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3BEF6" w14:textId="67514C2C" w:rsidR="002D7804" w:rsidRPr="004A6040" w:rsidRDefault="007B2765" w:rsidP="00364C6C">
      <w:pPr>
        <w:pStyle w:val="1-MainHeading"/>
      </w:pPr>
      <w:bookmarkStart w:id="0" w:name="_Toc167269735"/>
      <w:bookmarkStart w:id="1" w:name="_Toc107927642"/>
      <w:bookmarkStart w:id="2" w:name="_Toc107927656"/>
      <w:r>
        <w:t>7.02</w:t>
      </w:r>
      <w:r w:rsidR="002D7804">
        <w:tab/>
        <w:t>SELPERCATINIB,</w:t>
      </w:r>
      <w:r w:rsidR="002D7804">
        <w:br/>
        <w:t>Capsule 40 mg,</w:t>
      </w:r>
      <w:r w:rsidR="002D7804">
        <w:br/>
      </w:r>
      <w:r w:rsidR="002D7804" w:rsidRPr="00F24C7F">
        <w:t>Capsule 80 mg</w:t>
      </w:r>
      <w:r w:rsidR="002D7804">
        <w:t>,</w:t>
      </w:r>
      <w:r w:rsidR="002D7804">
        <w:br/>
        <w:t>Retevmo</w:t>
      </w:r>
      <w:r w:rsidR="002D7804" w:rsidRPr="004A6040">
        <w:rPr>
          <w:vertAlign w:val="superscript"/>
        </w:rPr>
        <w:t>®</w:t>
      </w:r>
      <w:r w:rsidR="002D7804" w:rsidRPr="004A6040">
        <w:t>,</w:t>
      </w:r>
      <w:r w:rsidR="002D7804" w:rsidRPr="004A6040">
        <w:br/>
      </w:r>
      <w:r w:rsidR="002D7804">
        <w:t>ELI LILLY AUSTRALIA PTY LTD</w:t>
      </w:r>
      <w:r w:rsidR="002D7804" w:rsidRPr="004A6040">
        <w:t>.</w:t>
      </w:r>
      <w:bookmarkEnd w:id="0"/>
    </w:p>
    <w:p w14:paraId="04589B98" w14:textId="77777777" w:rsidR="002D7804" w:rsidRPr="00407F2D" w:rsidRDefault="002D7804" w:rsidP="002D7804">
      <w:pPr>
        <w:pStyle w:val="2-SectionHeading"/>
      </w:pPr>
      <w:bookmarkStart w:id="3" w:name="_Toc167269737"/>
      <w:r w:rsidRPr="00407F2D">
        <w:t xml:space="preserve">Purpose of </w:t>
      </w:r>
      <w:r>
        <w:t>submission</w:t>
      </w:r>
      <w:bookmarkEnd w:id="3"/>
    </w:p>
    <w:p w14:paraId="5655DAA1" w14:textId="476037A9" w:rsidR="002D7804" w:rsidRDefault="002D7804" w:rsidP="002D7804">
      <w:pPr>
        <w:pStyle w:val="3-BodyText"/>
      </w:pPr>
      <w:r>
        <w:t>The Standard Re-entry r</w:t>
      </w:r>
      <w:r w:rsidRPr="00045D44">
        <w:t>esubmission</w:t>
      </w:r>
      <w:r>
        <w:t xml:space="preserve"> </w:t>
      </w:r>
      <w:r w:rsidRPr="00045D44">
        <w:t>request</w:t>
      </w:r>
      <w:r>
        <w:t>ed</w:t>
      </w:r>
      <w:r w:rsidRPr="00045D44">
        <w:t xml:space="preserve"> a General Schedule</w:t>
      </w:r>
      <w:r>
        <w:t>,</w:t>
      </w:r>
      <w:r w:rsidRPr="00045D44">
        <w:t xml:space="preserve"> Authority Required (STREAMLINED) listing for the treatment of advanced or metastatic rearranged during transfection (</w:t>
      </w:r>
      <w:r w:rsidRPr="002E10E8">
        <w:rPr>
          <w:i/>
        </w:rPr>
        <w:t>RET</w:t>
      </w:r>
      <w:r w:rsidRPr="00045D44">
        <w:t xml:space="preserve">) fusion-positive </w:t>
      </w:r>
      <w:r>
        <w:t>non-small cell lung cancer (</w:t>
      </w:r>
      <w:r w:rsidRPr="00045D44">
        <w:t>NSCLC</w:t>
      </w:r>
      <w:r>
        <w:t>)</w:t>
      </w:r>
      <w:r w:rsidRPr="00045D44">
        <w:t>.</w:t>
      </w:r>
    </w:p>
    <w:p w14:paraId="36B1261C" w14:textId="77777777" w:rsidR="002D7804" w:rsidRDefault="002D7804" w:rsidP="002D7804">
      <w:pPr>
        <w:pStyle w:val="3-BodyText"/>
      </w:pPr>
      <w:r w:rsidRPr="005750C5">
        <w:t xml:space="preserve">Listing was requested on the basis of a </w:t>
      </w:r>
      <w:r>
        <w:t>cost utility</w:t>
      </w:r>
      <w:r w:rsidRPr="005750C5">
        <w:t xml:space="preserve"> analysis versus</w:t>
      </w:r>
      <w:r w:rsidRPr="00045D44">
        <w:t xml:space="preserve"> pembrolizumab in combination with platinum-based </w:t>
      </w:r>
      <w:r>
        <w:t xml:space="preserve">doublet </w:t>
      </w:r>
      <w:r w:rsidRPr="00045D44">
        <w:t>chemotherapy (pembrolizumab + PC)</w:t>
      </w:r>
      <w:r>
        <w:t>.</w:t>
      </w:r>
    </w:p>
    <w:p w14:paraId="450FCEEC" w14:textId="7B4750F4" w:rsidR="002D7804" w:rsidRDefault="002D7804" w:rsidP="002D7804">
      <w:pPr>
        <w:pStyle w:val="TableFigureHeading"/>
        <w:rPr>
          <w:rStyle w:val="CommentReference"/>
          <w:b/>
          <w:szCs w:val="24"/>
        </w:rPr>
      </w:pPr>
      <w:bookmarkStart w:id="4" w:name="_Ref163891289"/>
      <w:r>
        <w:t xml:space="preserve">Table </w:t>
      </w:r>
      <w:r w:rsidR="00BA56FF">
        <w:fldChar w:fldCharType="begin" w:fldLock="1"/>
      </w:r>
      <w:r w:rsidR="00BA56FF">
        <w:instrText xml:space="preserve"> SEQ Table \* ARABIC </w:instrText>
      </w:r>
      <w:r w:rsidR="00BA56FF">
        <w:fldChar w:fldCharType="separate"/>
      </w:r>
      <w:r w:rsidR="00F979CE">
        <w:rPr>
          <w:noProof/>
        </w:rPr>
        <w:t>1</w:t>
      </w:r>
      <w:r w:rsidR="00BA56FF">
        <w:rPr>
          <w:noProof/>
        </w:rPr>
        <w:fldChar w:fldCharType="end"/>
      </w:r>
      <w:bookmarkEnd w:id="4"/>
      <w:r>
        <w:t>:</w:t>
      </w:r>
      <w:r w:rsidRPr="004A6040">
        <w:rPr>
          <w:rStyle w:val="CommentReference"/>
          <w:b/>
          <w:szCs w:val="24"/>
        </w:rPr>
        <w:t xml:space="preserve"> Key components of the clinical issue addressed by the submission (as stated in the submission)</w:t>
      </w:r>
    </w:p>
    <w:tbl>
      <w:tblPr>
        <w:tblStyle w:val="TableGrid"/>
        <w:tblW w:w="5000" w:type="pct"/>
        <w:tblCellMar>
          <w:left w:w="57" w:type="dxa"/>
          <w:right w:w="57" w:type="dxa"/>
        </w:tblCellMar>
        <w:tblLook w:val="04A0" w:firstRow="1" w:lastRow="0" w:firstColumn="1" w:lastColumn="0" w:noHBand="0" w:noVBand="1"/>
        <w:tblCaption w:val="Table 1: Key components of the clinical issue addressed by the submission (as stated in the submission)"/>
      </w:tblPr>
      <w:tblGrid>
        <w:gridCol w:w="1441"/>
        <w:gridCol w:w="7576"/>
      </w:tblGrid>
      <w:tr w:rsidR="002D7804" w14:paraId="7E2977A5" w14:textId="77777777">
        <w:trPr>
          <w:trHeight w:val="60"/>
        </w:trPr>
        <w:tc>
          <w:tcPr>
            <w:tcW w:w="799" w:type="pct"/>
            <w:vAlign w:val="center"/>
          </w:tcPr>
          <w:p w14:paraId="0A8209E8" w14:textId="77777777" w:rsidR="002D7804" w:rsidRPr="002363DC" w:rsidRDefault="002D7804">
            <w:pPr>
              <w:pStyle w:val="Tabletext8pt"/>
              <w:keepNext/>
              <w:framePr w:hSpace="0" w:wrap="auto" w:vAnchor="margin" w:yAlign="inline"/>
              <w:spacing w:before="0" w:after="0"/>
              <w:jc w:val="center"/>
              <w:rPr>
                <w:rFonts w:ascii="Arial Narrow" w:hAnsi="Arial Narrow"/>
                <w:b/>
                <w:bCs/>
                <w:sz w:val="20"/>
              </w:rPr>
            </w:pPr>
            <w:r w:rsidRPr="002363DC">
              <w:rPr>
                <w:rStyle w:val="Strong"/>
                <w:rFonts w:ascii="Arial Narrow" w:hAnsi="Arial Narrow"/>
                <w:b/>
                <w:bCs/>
                <w:sz w:val="20"/>
              </w:rPr>
              <w:t>Component</w:t>
            </w:r>
          </w:p>
        </w:tc>
        <w:tc>
          <w:tcPr>
            <w:tcW w:w="4201" w:type="pct"/>
            <w:vAlign w:val="center"/>
          </w:tcPr>
          <w:p w14:paraId="39C2B869" w14:textId="77777777" w:rsidR="002D7804" w:rsidRPr="002363DC" w:rsidRDefault="002D7804">
            <w:pPr>
              <w:pStyle w:val="Tabletext8pt"/>
              <w:keepNext/>
              <w:framePr w:hSpace="0" w:wrap="auto" w:vAnchor="margin" w:yAlign="inline"/>
              <w:spacing w:before="0" w:after="0"/>
              <w:jc w:val="center"/>
              <w:rPr>
                <w:rFonts w:ascii="Arial Narrow" w:hAnsi="Arial Narrow"/>
                <w:b/>
                <w:bCs/>
                <w:sz w:val="20"/>
              </w:rPr>
            </w:pPr>
            <w:r w:rsidRPr="002363DC">
              <w:rPr>
                <w:rStyle w:val="Strong"/>
                <w:rFonts w:ascii="Arial Narrow" w:hAnsi="Arial Narrow"/>
                <w:b/>
                <w:bCs/>
                <w:sz w:val="20"/>
              </w:rPr>
              <w:t>Description</w:t>
            </w:r>
          </w:p>
        </w:tc>
      </w:tr>
      <w:tr w:rsidR="002D7804" w14:paraId="4B148B8D" w14:textId="77777777">
        <w:trPr>
          <w:trHeight w:val="283"/>
        </w:trPr>
        <w:tc>
          <w:tcPr>
            <w:tcW w:w="799" w:type="pct"/>
            <w:shd w:val="clear" w:color="auto" w:fill="auto"/>
            <w:vAlign w:val="center"/>
          </w:tcPr>
          <w:p w14:paraId="17DFFD8A"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Population</w:t>
            </w:r>
          </w:p>
        </w:tc>
        <w:tc>
          <w:tcPr>
            <w:tcW w:w="4201" w:type="pct"/>
            <w:shd w:val="clear" w:color="auto" w:fill="auto"/>
            <w:vAlign w:val="center"/>
          </w:tcPr>
          <w:p w14:paraId="070E4FB5"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 xml:space="preserve">Adults (ages 18 years or older) with histologically and cytologically confirmed advanced or metastatic NSCLC who are </w:t>
            </w:r>
            <w:r w:rsidRPr="002363DC">
              <w:rPr>
                <w:rFonts w:ascii="Arial Narrow" w:hAnsi="Arial Narrow"/>
                <w:i/>
                <w:sz w:val="20"/>
              </w:rPr>
              <w:t>RET</w:t>
            </w:r>
            <w:r w:rsidRPr="002363DC">
              <w:rPr>
                <w:rFonts w:ascii="Arial Narrow" w:hAnsi="Arial Narrow"/>
                <w:sz w:val="20"/>
              </w:rPr>
              <w:t xml:space="preserve"> fusion-positive</w:t>
            </w:r>
            <w:r>
              <w:rPr>
                <w:rFonts w:ascii="Arial Narrow" w:hAnsi="Arial Narrow"/>
                <w:sz w:val="20"/>
              </w:rPr>
              <w:t>.</w:t>
            </w:r>
          </w:p>
        </w:tc>
      </w:tr>
      <w:tr w:rsidR="002D7804" w14:paraId="273D3127" w14:textId="77777777">
        <w:trPr>
          <w:trHeight w:val="283"/>
        </w:trPr>
        <w:tc>
          <w:tcPr>
            <w:tcW w:w="799" w:type="pct"/>
            <w:shd w:val="clear" w:color="auto" w:fill="auto"/>
            <w:vAlign w:val="center"/>
          </w:tcPr>
          <w:p w14:paraId="6E3A6DEC"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Intervention</w:t>
            </w:r>
          </w:p>
        </w:tc>
        <w:tc>
          <w:tcPr>
            <w:tcW w:w="4201" w:type="pct"/>
            <w:shd w:val="clear" w:color="auto" w:fill="auto"/>
            <w:vAlign w:val="center"/>
          </w:tcPr>
          <w:p w14:paraId="5297DE6F" w14:textId="0F984949"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 xml:space="preserve">Selpercatinib orally administered in </w:t>
            </w:r>
            <w:r w:rsidRPr="002363DC">
              <w:rPr>
                <w:rFonts w:ascii="Arial Narrow" w:hAnsi="Arial Narrow"/>
                <w:i/>
                <w:sz w:val="20"/>
              </w:rPr>
              <w:t>RET</w:t>
            </w:r>
            <w:r w:rsidRPr="002363DC">
              <w:rPr>
                <w:rFonts w:ascii="Arial Narrow" w:hAnsi="Arial Narrow"/>
                <w:sz w:val="20"/>
              </w:rPr>
              <w:t xml:space="preserve"> fusion-positive NSCLC patients until disease progression. In patients with bodyweight ≥</w:t>
            </w:r>
            <w:r w:rsidR="00BC5A69">
              <w:rPr>
                <w:rFonts w:ascii="Arial Narrow" w:hAnsi="Arial Narrow"/>
                <w:sz w:val="20"/>
              </w:rPr>
              <w:t xml:space="preserve"> </w:t>
            </w:r>
            <w:r w:rsidRPr="002363DC">
              <w:rPr>
                <w:rFonts w:ascii="Arial Narrow" w:hAnsi="Arial Narrow"/>
                <w:sz w:val="20"/>
              </w:rPr>
              <w:t>50 kg, the recommended dose of selpercatinib is 160 mg twice daily. In patients with body &lt;</w:t>
            </w:r>
            <w:r w:rsidR="00BC5A69">
              <w:rPr>
                <w:rFonts w:ascii="Arial Narrow" w:hAnsi="Arial Narrow"/>
                <w:sz w:val="20"/>
              </w:rPr>
              <w:t xml:space="preserve"> </w:t>
            </w:r>
            <w:r w:rsidRPr="002363DC">
              <w:rPr>
                <w:rFonts w:ascii="Arial Narrow" w:hAnsi="Arial Narrow"/>
                <w:sz w:val="20"/>
              </w:rPr>
              <w:t>50 kg, the recommended dose of selpercatinib is 120 mg twice daily</w:t>
            </w:r>
            <w:r>
              <w:rPr>
                <w:rFonts w:ascii="Arial Narrow" w:hAnsi="Arial Narrow"/>
                <w:sz w:val="20"/>
              </w:rPr>
              <w:t>.</w:t>
            </w:r>
          </w:p>
        </w:tc>
      </w:tr>
      <w:tr w:rsidR="002D7804" w14:paraId="114C5F0D" w14:textId="77777777" w:rsidTr="00BC5A69">
        <w:trPr>
          <w:trHeight w:val="146"/>
        </w:trPr>
        <w:tc>
          <w:tcPr>
            <w:tcW w:w="799" w:type="pct"/>
            <w:shd w:val="clear" w:color="auto" w:fill="auto"/>
            <w:vAlign w:val="center"/>
          </w:tcPr>
          <w:p w14:paraId="71935D10" w14:textId="77777777" w:rsidR="002D7804" w:rsidRPr="00BC5A69" w:rsidRDefault="002D7804">
            <w:pPr>
              <w:pStyle w:val="Tabletext8pt"/>
              <w:keepNext/>
              <w:framePr w:hSpace="0" w:wrap="auto" w:vAnchor="margin" w:yAlign="inline"/>
              <w:spacing w:before="0" w:after="0"/>
              <w:rPr>
                <w:rFonts w:ascii="Arial Narrow" w:hAnsi="Arial Narrow"/>
                <w:sz w:val="20"/>
                <w:vertAlign w:val="superscript"/>
              </w:rPr>
            </w:pPr>
            <w:r w:rsidRPr="00BC5A69">
              <w:rPr>
                <w:rFonts w:ascii="Arial Narrow" w:hAnsi="Arial Narrow"/>
                <w:sz w:val="20"/>
              </w:rPr>
              <w:t xml:space="preserve">Comparator </w:t>
            </w:r>
            <w:r w:rsidRPr="00BC5A69">
              <w:rPr>
                <w:rFonts w:ascii="Arial Narrow" w:hAnsi="Arial Narrow"/>
                <w:sz w:val="20"/>
                <w:vertAlign w:val="superscript"/>
              </w:rPr>
              <w:t>a</w:t>
            </w:r>
          </w:p>
        </w:tc>
        <w:tc>
          <w:tcPr>
            <w:tcW w:w="4201" w:type="pct"/>
            <w:shd w:val="clear" w:color="auto" w:fill="auto"/>
            <w:vAlign w:val="center"/>
          </w:tcPr>
          <w:p w14:paraId="3D661BFC"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Pembrolizumab in combination with platinum-based doublet chemotherapy</w:t>
            </w:r>
            <w:r w:rsidRPr="003E0475">
              <w:rPr>
                <w:rFonts w:ascii="Arial Narrow" w:hAnsi="Arial Narrow"/>
                <w:sz w:val="20"/>
              </w:rPr>
              <w:t>.</w:t>
            </w:r>
            <w:r>
              <w:rPr>
                <w:rFonts w:ascii="Arial Narrow" w:hAnsi="Arial Narrow"/>
                <w:sz w:val="20"/>
              </w:rPr>
              <w:t xml:space="preserve"> </w:t>
            </w:r>
            <w:r w:rsidRPr="0054247B">
              <w:rPr>
                <w:rFonts w:ascii="Arial Narrow" w:hAnsi="Arial Narrow"/>
                <w:sz w:val="20"/>
                <w:vertAlign w:val="superscript"/>
              </w:rPr>
              <w:t>b</w:t>
            </w:r>
          </w:p>
        </w:tc>
      </w:tr>
      <w:tr w:rsidR="002D7804" w14:paraId="0FE1ED72" w14:textId="77777777">
        <w:trPr>
          <w:trHeight w:val="283"/>
        </w:trPr>
        <w:tc>
          <w:tcPr>
            <w:tcW w:w="799" w:type="pct"/>
            <w:shd w:val="clear" w:color="auto" w:fill="auto"/>
            <w:vAlign w:val="center"/>
          </w:tcPr>
          <w:p w14:paraId="39E73AA8"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Outcomes</w:t>
            </w:r>
          </w:p>
        </w:tc>
        <w:tc>
          <w:tcPr>
            <w:tcW w:w="4201" w:type="pct"/>
            <w:shd w:val="clear" w:color="auto" w:fill="auto"/>
            <w:vAlign w:val="center"/>
          </w:tcPr>
          <w:p w14:paraId="76C21D10"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Safety and tolerability of selpercatinib; objective response rate; progression-free survival; overall survival; and health-related quality of life</w:t>
            </w:r>
          </w:p>
        </w:tc>
      </w:tr>
      <w:tr w:rsidR="002D7804" w14:paraId="6FE84633" w14:textId="77777777">
        <w:trPr>
          <w:trHeight w:val="283"/>
        </w:trPr>
        <w:tc>
          <w:tcPr>
            <w:tcW w:w="799" w:type="pct"/>
            <w:vAlign w:val="center"/>
          </w:tcPr>
          <w:p w14:paraId="695EE0FD" w14:textId="77777777" w:rsidR="002D7804" w:rsidRPr="00BC5A69" w:rsidRDefault="002D7804">
            <w:pPr>
              <w:pStyle w:val="Tabletext8pt"/>
              <w:keepNext/>
              <w:framePr w:hSpace="0" w:wrap="auto" w:vAnchor="margin" w:yAlign="inline"/>
              <w:spacing w:before="0" w:after="0"/>
              <w:rPr>
                <w:rFonts w:ascii="Arial Narrow" w:hAnsi="Arial Narrow"/>
                <w:sz w:val="20"/>
                <w:vertAlign w:val="superscript"/>
              </w:rPr>
            </w:pPr>
            <w:r w:rsidRPr="00BC5A69">
              <w:rPr>
                <w:rFonts w:ascii="Arial Narrow" w:hAnsi="Arial Narrow"/>
                <w:sz w:val="20"/>
              </w:rPr>
              <w:t xml:space="preserve">Clinical claim </w:t>
            </w:r>
            <w:r w:rsidRPr="00BC5A69">
              <w:rPr>
                <w:rFonts w:ascii="Arial Narrow" w:hAnsi="Arial Narrow"/>
                <w:sz w:val="20"/>
                <w:vertAlign w:val="superscript"/>
              </w:rPr>
              <w:t>c</w:t>
            </w:r>
          </w:p>
        </w:tc>
        <w:tc>
          <w:tcPr>
            <w:tcW w:w="4201" w:type="pct"/>
            <w:vAlign w:val="center"/>
          </w:tcPr>
          <w:p w14:paraId="77EA3B0C" w14:textId="77777777" w:rsidR="002D7804" w:rsidRPr="002363DC" w:rsidRDefault="002D7804">
            <w:pPr>
              <w:pStyle w:val="Tabletext8pt"/>
              <w:keepNext/>
              <w:framePr w:hSpace="0" w:wrap="auto" w:vAnchor="margin" w:yAlign="inline"/>
              <w:spacing w:before="0" w:after="0"/>
              <w:rPr>
                <w:rFonts w:ascii="Arial Narrow" w:hAnsi="Arial Narrow"/>
                <w:sz w:val="20"/>
              </w:rPr>
            </w:pPr>
            <w:r w:rsidRPr="002363DC">
              <w:rPr>
                <w:rFonts w:ascii="Arial Narrow" w:hAnsi="Arial Narrow"/>
                <w:sz w:val="20"/>
              </w:rPr>
              <w:t xml:space="preserve">In treatment-naïve patients with </w:t>
            </w:r>
            <w:r w:rsidRPr="002363DC">
              <w:rPr>
                <w:rFonts w:ascii="Arial Narrow" w:hAnsi="Arial Narrow"/>
                <w:i/>
                <w:sz w:val="20"/>
              </w:rPr>
              <w:t>RET</w:t>
            </w:r>
            <w:r w:rsidRPr="002363DC">
              <w:rPr>
                <w:rFonts w:ascii="Arial Narrow" w:hAnsi="Arial Narrow"/>
                <w:sz w:val="20"/>
              </w:rPr>
              <w:t xml:space="preserve"> fusion-positive advanced or metastatic NSCLC, selpercatinib is superior to pembrolizumab in combination with platinum-based doublet chemotherapy in terms of efficacy and has a different, but clinically manageable, safety profile.</w:t>
            </w:r>
          </w:p>
        </w:tc>
      </w:tr>
    </w:tbl>
    <w:p w14:paraId="3CDA02B2" w14:textId="77777777" w:rsidR="002D7804" w:rsidRDefault="002D7804" w:rsidP="002D7804">
      <w:pPr>
        <w:pStyle w:val="TableFigNotes18"/>
        <w:spacing w:before="0" w:after="0" w:line="240" w:lineRule="auto"/>
        <w:rPr>
          <w:rFonts w:ascii="Arial Narrow" w:hAnsi="Arial Narrow"/>
          <w:sz w:val="18"/>
          <w:szCs w:val="18"/>
        </w:rPr>
      </w:pPr>
      <w:r w:rsidRPr="002363DC">
        <w:rPr>
          <w:rFonts w:ascii="Arial Narrow" w:hAnsi="Arial Narrow"/>
          <w:sz w:val="18"/>
          <w:szCs w:val="18"/>
        </w:rPr>
        <w:t>Source: Table 1-1 p27 of the resubmission.</w:t>
      </w:r>
    </w:p>
    <w:p w14:paraId="12A63D5C" w14:textId="329E56BE" w:rsidR="002D7804" w:rsidRDefault="002D7804" w:rsidP="002D7804">
      <w:pPr>
        <w:pStyle w:val="TableFigNotes18"/>
        <w:spacing w:before="0" w:after="0" w:line="240" w:lineRule="auto"/>
        <w:rPr>
          <w:rFonts w:ascii="Arial Narrow" w:hAnsi="Arial Narrow"/>
          <w:sz w:val="18"/>
          <w:szCs w:val="18"/>
        </w:rPr>
      </w:pPr>
      <w:r w:rsidRPr="002363DC">
        <w:rPr>
          <w:rFonts w:ascii="Arial Narrow" w:hAnsi="Arial Narrow"/>
          <w:sz w:val="18"/>
          <w:szCs w:val="18"/>
        </w:rPr>
        <w:t xml:space="preserve">NSCLC, = non-small cell lung cancer; </w:t>
      </w:r>
      <w:r w:rsidRPr="002363DC">
        <w:rPr>
          <w:rFonts w:ascii="Arial Narrow" w:hAnsi="Arial Narrow"/>
          <w:i/>
          <w:sz w:val="18"/>
          <w:szCs w:val="18"/>
        </w:rPr>
        <w:t>RET</w:t>
      </w:r>
      <w:r w:rsidRPr="002363DC">
        <w:rPr>
          <w:rFonts w:ascii="Arial Narrow" w:hAnsi="Arial Narrow"/>
          <w:sz w:val="18"/>
          <w:szCs w:val="18"/>
        </w:rPr>
        <w:t xml:space="preserve"> = rearranged during transfection</w:t>
      </w:r>
      <w:r>
        <w:rPr>
          <w:rFonts w:ascii="Arial Narrow" w:hAnsi="Arial Narrow"/>
          <w:sz w:val="18"/>
          <w:szCs w:val="18"/>
        </w:rPr>
        <w:t>.</w:t>
      </w:r>
    </w:p>
    <w:p w14:paraId="0E8CABF8" w14:textId="6D1269C8" w:rsidR="002D7804" w:rsidRPr="005F7861" w:rsidRDefault="002D7804" w:rsidP="002D7804">
      <w:pPr>
        <w:pStyle w:val="TableFigNotes18"/>
        <w:spacing w:before="0" w:after="0" w:line="240" w:lineRule="auto"/>
        <w:rPr>
          <w:rFonts w:ascii="Arial Narrow" w:hAnsi="Arial Narrow"/>
          <w:sz w:val="18"/>
          <w:szCs w:val="18"/>
        </w:rPr>
      </w:pPr>
      <w:r w:rsidRPr="005F7861">
        <w:rPr>
          <w:rFonts w:ascii="Arial Narrow" w:hAnsi="Arial Narrow"/>
          <w:sz w:val="18"/>
          <w:szCs w:val="18"/>
          <w:vertAlign w:val="superscript"/>
        </w:rPr>
        <w:t xml:space="preserve">a </w:t>
      </w:r>
      <w:r w:rsidR="007B2FA9" w:rsidRPr="00E70D45">
        <w:rPr>
          <w:rFonts w:ascii="Arial Narrow" w:hAnsi="Arial Narrow"/>
          <w:sz w:val="18"/>
          <w:szCs w:val="18"/>
        </w:rPr>
        <w:t>The resubmission did not include docetaxel as a</w:t>
      </w:r>
      <w:r w:rsidRPr="00E70D45">
        <w:rPr>
          <w:rFonts w:ascii="Arial Narrow" w:hAnsi="Arial Narrow"/>
          <w:sz w:val="18"/>
          <w:szCs w:val="18"/>
        </w:rPr>
        <w:t xml:space="preserve"> supplementary comparator.</w:t>
      </w:r>
    </w:p>
    <w:p w14:paraId="45AE0FC0" w14:textId="77777777" w:rsidR="002D7804" w:rsidRPr="00E70D45" w:rsidRDefault="002D7804" w:rsidP="002D7804">
      <w:pPr>
        <w:pStyle w:val="TableFigNotes18"/>
        <w:spacing w:before="0" w:after="0" w:line="240" w:lineRule="auto"/>
        <w:rPr>
          <w:rFonts w:ascii="Arial Narrow" w:hAnsi="Arial Narrow"/>
          <w:sz w:val="18"/>
          <w:szCs w:val="18"/>
          <w:vertAlign w:val="superscript"/>
        </w:rPr>
      </w:pPr>
      <w:r w:rsidRPr="00E70D45">
        <w:rPr>
          <w:rFonts w:ascii="Arial Narrow" w:hAnsi="Arial Narrow"/>
          <w:sz w:val="18"/>
          <w:szCs w:val="18"/>
          <w:vertAlign w:val="superscript"/>
        </w:rPr>
        <w:t xml:space="preserve">b </w:t>
      </w:r>
      <w:r w:rsidRPr="00E70D45">
        <w:rPr>
          <w:rFonts w:ascii="Arial Narrow" w:hAnsi="Arial Narrow"/>
          <w:sz w:val="18"/>
          <w:szCs w:val="18"/>
        </w:rPr>
        <w:t>Pemetrexed with either cisplatin or carboplatin.</w:t>
      </w:r>
    </w:p>
    <w:p w14:paraId="79C2B271" w14:textId="77777777" w:rsidR="0059511B" w:rsidRPr="005F7861" w:rsidRDefault="002D7804" w:rsidP="0059511B">
      <w:pPr>
        <w:pStyle w:val="BodyText"/>
        <w:rPr>
          <w:rFonts w:ascii="Arial Narrow" w:hAnsi="Arial Narrow" w:cs="Segoe UI"/>
          <w:sz w:val="18"/>
          <w:szCs w:val="18"/>
          <w:u w:val="single"/>
        </w:rPr>
      </w:pPr>
      <w:r w:rsidRPr="00E70D45">
        <w:rPr>
          <w:rFonts w:ascii="Arial Narrow" w:hAnsi="Arial Narrow"/>
          <w:sz w:val="18"/>
          <w:szCs w:val="18"/>
          <w:vertAlign w:val="superscript"/>
        </w:rPr>
        <w:t xml:space="preserve">c </w:t>
      </w:r>
      <w:r w:rsidRPr="00E70D45">
        <w:rPr>
          <w:rFonts w:ascii="Arial Narrow" w:hAnsi="Arial Narrow"/>
          <w:sz w:val="18"/>
          <w:szCs w:val="18"/>
        </w:rPr>
        <w:t>The resubmission did not include a superiority claim of selpercatinib compared to docetaxel in previously treated patients.</w:t>
      </w:r>
      <w:r w:rsidR="0059511B" w:rsidRPr="005F7861">
        <w:rPr>
          <w:rFonts w:ascii="Arial Narrow" w:hAnsi="Arial Narrow" w:cs="Segoe UI"/>
          <w:sz w:val="18"/>
          <w:szCs w:val="18"/>
          <w:u w:val="single"/>
        </w:rPr>
        <w:t xml:space="preserve"> </w:t>
      </w:r>
    </w:p>
    <w:p w14:paraId="103F8985" w14:textId="77777777" w:rsidR="002D7804" w:rsidRPr="00407F2D" w:rsidRDefault="002D7804" w:rsidP="002D7804">
      <w:pPr>
        <w:pStyle w:val="2-SectionHeading"/>
      </w:pPr>
      <w:bookmarkStart w:id="5" w:name="_Toc167269738"/>
      <w:r w:rsidRPr="00407F2D">
        <w:t>Background</w:t>
      </w:r>
      <w:bookmarkEnd w:id="5"/>
    </w:p>
    <w:p w14:paraId="708B6E5B" w14:textId="77777777" w:rsidR="002D7804" w:rsidRPr="004151CF" w:rsidRDefault="002D7804" w:rsidP="002D7804">
      <w:pPr>
        <w:pStyle w:val="4-SubsectionHeading"/>
      </w:pPr>
      <w:bookmarkStart w:id="6" w:name="_Toc22897638"/>
      <w:bookmarkStart w:id="7" w:name="_Toc167269739"/>
      <w:r w:rsidRPr="004151CF">
        <w:t>Registration status</w:t>
      </w:r>
      <w:bookmarkEnd w:id="6"/>
      <w:bookmarkEnd w:id="7"/>
    </w:p>
    <w:p w14:paraId="7BA459E9" w14:textId="3441294F" w:rsidR="002D7804" w:rsidRDefault="002D7804" w:rsidP="002D7804">
      <w:pPr>
        <w:pStyle w:val="3-BodyText"/>
      </w:pPr>
      <w:bookmarkStart w:id="8" w:name="_Toc22897639"/>
      <w:bookmarkStart w:id="9" w:name="_Hlk112059474"/>
      <w:r>
        <w:t xml:space="preserve">Selpercatinib </w:t>
      </w:r>
      <w:r w:rsidRPr="000E7701">
        <w:t xml:space="preserve">received provisional </w:t>
      </w:r>
      <w:r w:rsidRPr="00F62635">
        <w:t>Therapeutic Goods Administration (</w:t>
      </w:r>
      <w:r>
        <w:t>TGA) approval</w:t>
      </w:r>
      <w:r w:rsidRPr="000E7701">
        <w:t xml:space="preserve"> on 3 July 2023 for </w:t>
      </w:r>
      <w:r>
        <w:t>‘</w:t>
      </w:r>
      <w:r w:rsidRPr="000E7701">
        <w:t xml:space="preserve">the treatment of adult patients with locally advanced or metastatic </w:t>
      </w:r>
      <w:r w:rsidRPr="0052685B">
        <w:rPr>
          <w:i/>
          <w:iCs/>
        </w:rPr>
        <w:t xml:space="preserve">RET </w:t>
      </w:r>
      <w:r>
        <w:t xml:space="preserve">fusion-positive </w:t>
      </w:r>
      <w:r w:rsidRPr="000E7701">
        <w:t>non-small cell lung cancer (NSCLC)</w:t>
      </w:r>
      <w:r w:rsidR="00364C6C">
        <w:t>’</w:t>
      </w:r>
      <w:r>
        <w:t>.</w:t>
      </w:r>
    </w:p>
    <w:p w14:paraId="6B1A4996" w14:textId="55BF0167" w:rsidR="002D7804" w:rsidRDefault="008D35C9" w:rsidP="002D7804">
      <w:pPr>
        <w:pStyle w:val="3-BodyText"/>
      </w:pPr>
      <w:r>
        <w:t>The indication section of the TGA Product Information states ‘t</w:t>
      </w:r>
      <w:r w:rsidR="002D7804" w:rsidRPr="000E7701" w:rsidDel="005D55ED">
        <w:t xml:space="preserve">he decision to approve this indication </w:t>
      </w:r>
      <w:r w:rsidR="002D7804" w:rsidDel="005D55ED">
        <w:t>was</w:t>
      </w:r>
      <w:r w:rsidR="002D7804" w:rsidRPr="000E7701" w:rsidDel="005D55ED">
        <w:t xml:space="preserve"> made on the basis of objective response rate and duration of response from a single arm study. Continued approval of this indication depends on verification and description of benefit in a confirmatory trial</w:t>
      </w:r>
      <w:r>
        <w:t>’.</w:t>
      </w:r>
    </w:p>
    <w:p w14:paraId="567706F5" w14:textId="24707E0C" w:rsidR="002D7804" w:rsidRDefault="002D7804" w:rsidP="00BC5A69">
      <w:pPr>
        <w:pStyle w:val="3-BodyText"/>
      </w:pPr>
      <w:r>
        <w:lastRenderedPageBreak/>
        <w:t xml:space="preserve">The TGA noted that reports from the LIBRETTO-001 study and LIBRETTO-431 trial </w:t>
      </w:r>
      <w:r w:rsidR="00E570C1">
        <w:t>should</w:t>
      </w:r>
      <w:r>
        <w:t xml:space="preserve"> be submitted to the TGA by 2024 and 2026 respectively (</w:t>
      </w:r>
      <w:r w:rsidRPr="00B043F0">
        <w:t xml:space="preserve">the </w:t>
      </w:r>
      <w:r>
        <w:t xml:space="preserve">TGA </w:t>
      </w:r>
      <w:r w:rsidRPr="000E7701">
        <w:t>AusPAR</w:t>
      </w:r>
      <w:r>
        <w:t xml:space="preserve">). </w:t>
      </w:r>
    </w:p>
    <w:p w14:paraId="2F52D5EC" w14:textId="77777777" w:rsidR="002D7804" w:rsidRDefault="002D7804" w:rsidP="002D7804">
      <w:pPr>
        <w:pStyle w:val="4-SubsectionHeading"/>
      </w:pPr>
      <w:bookmarkStart w:id="10" w:name="_Toc167269740"/>
      <w:r w:rsidRPr="00621ADA">
        <w:t>Previous PBAC consideration</w:t>
      </w:r>
      <w:bookmarkEnd w:id="8"/>
      <w:bookmarkEnd w:id="10"/>
    </w:p>
    <w:p w14:paraId="17E58E50" w14:textId="6E7B85AA" w:rsidR="002D7804" w:rsidRPr="00F62635" w:rsidRDefault="002D7804" w:rsidP="002D7804">
      <w:pPr>
        <w:pStyle w:val="3-BodyText"/>
        <w:rPr>
          <w:color w:val="000000" w:themeColor="text1"/>
        </w:rPr>
      </w:pPr>
      <w:bookmarkStart w:id="11" w:name="_Hlk163735142"/>
      <w:bookmarkEnd w:id="9"/>
      <w:r>
        <w:rPr>
          <w:color w:val="000000" w:themeColor="text1"/>
        </w:rPr>
        <w:t>The PBAC considered s</w:t>
      </w:r>
      <w:r w:rsidRPr="00F62635">
        <w:rPr>
          <w:color w:val="000000" w:themeColor="text1"/>
        </w:rPr>
        <w:t>e</w:t>
      </w:r>
      <w:r>
        <w:rPr>
          <w:color w:val="000000" w:themeColor="text1"/>
        </w:rPr>
        <w:t xml:space="preserve">lpercatinib for the requested patient population at the July 2023 meeting. </w:t>
      </w:r>
      <w:r>
        <w:rPr>
          <w:color w:val="000000" w:themeColor="text1"/>
        </w:rPr>
        <w:fldChar w:fldCharType="begin" w:fldLock="1"/>
      </w:r>
      <w:r>
        <w:rPr>
          <w:color w:val="000000" w:themeColor="text1"/>
        </w:rPr>
        <w:instrText xml:space="preserve"> REF _Ref163891302 \h </w:instrText>
      </w:r>
      <w:r>
        <w:rPr>
          <w:color w:val="000000" w:themeColor="text1"/>
        </w:rPr>
      </w:r>
      <w:r>
        <w:rPr>
          <w:color w:val="000000" w:themeColor="text1"/>
        </w:rPr>
        <w:fldChar w:fldCharType="separate"/>
      </w:r>
      <w:r w:rsidR="00F979CE">
        <w:t xml:space="preserve">Table </w:t>
      </w:r>
      <w:r w:rsidR="00F979CE">
        <w:rPr>
          <w:noProof/>
        </w:rPr>
        <w:t>2</w:t>
      </w:r>
      <w:r>
        <w:rPr>
          <w:color w:val="000000" w:themeColor="text1"/>
        </w:rPr>
        <w:fldChar w:fldCharType="end"/>
      </w:r>
      <w:r>
        <w:rPr>
          <w:color w:val="000000" w:themeColor="text1"/>
        </w:rPr>
        <w:t xml:space="preserve"> summarises the outstanding matters of concern. </w:t>
      </w:r>
    </w:p>
    <w:p w14:paraId="5C9142CA" w14:textId="57BBD2E4" w:rsidR="002D7804" w:rsidRDefault="002D7804" w:rsidP="007C6A96">
      <w:pPr>
        <w:pStyle w:val="Caption"/>
      </w:pPr>
      <w:bookmarkStart w:id="12" w:name="_Ref163891302"/>
      <w:bookmarkEnd w:id="11"/>
      <w:r>
        <w:t xml:space="preserve">Table </w:t>
      </w:r>
      <w:r w:rsidR="00BA56FF">
        <w:fldChar w:fldCharType="begin" w:fldLock="1"/>
      </w:r>
      <w:r w:rsidR="00BA56FF">
        <w:instrText xml:space="preserve"> SEQ Table \* ARABIC </w:instrText>
      </w:r>
      <w:r w:rsidR="00BA56FF">
        <w:fldChar w:fldCharType="separate"/>
      </w:r>
      <w:r w:rsidR="00F979CE">
        <w:rPr>
          <w:noProof/>
        </w:rPr>
        <w:t>2</w:t>
      </w:r>
      <w:r w:rsidR="00BA56FF">
        <w:rPr>
          <w:noProof/>
        </w:rPr>
        <w:fldChar w:fldCharType="end"/>
      </w:r>
      <w:bookmarkEnd w:id="12"/>
      <w:r>
        <w:t>:</w:t>
      </w:r>
      <w:r w:rsidRPr="00C56EAC">
        <w:rPr>
          <w:rStyle w:val="CommentReference"/>
          <w:b/>
          <w:szCs w:val="24"/>
        </w:rPr>
        <w:t xml:space="preserve"> </w:t>
      </w:r>
      <w:r w:rsidRPr="00F62635">
        <w:rPr>
          <w:rStyle w:val="CommentReference"/>
          <w:b/>
          <w:szCs w:val="24"/>
        </w:rPr>
        <w:t>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174"/>
        <w:gridCol w:w="4207"/>
        <w:gridCol w:w="3636"/>
      </w:tblGrid>
      <w:tr w:rsidR="002D7804" w:rsidRPr="00F62635" w14:paraId="61265AE9" w14:textId="77777777" w:rsidTr="007C6A96">
        <w:trPr>
          <w:cantSplit/>
          <w:tblHeader/>
        </w:trPr>
        <w:tc>
          <w:tcPr>
            <w:tcW w:w="651" w:type="pct"/>
            <w:tcMar>
              <w:left w:w="20" w:type="dxa"/>
              <w:right w:w="20" w:type="dxa"/>
            </w:tcMar>
            <w:vAlign w:val="center"/>
          </w:tcPr>
          <w:p w14:paraId="4BBC3445" w14:textId="77777777" w:rsidR="002D7804" w:rsidRPr="00F62635" w:rsidRDefault="002D7804" w:rsidP="007C6A96">
            <w:pPr>
              <w:pStyle w:val="In-tableHeading"/>
              <w:keepNext w:val="0"/>
            </w:pPr>
            <w:r w:rsidRPr="00F62635">
              <w:t>Component</w:t>
            </w:r>
          </w:p>
        </w:tc>
        <w:tc>
          <w:tcPr>
            <w:tcW w:w="2333" w:type="pct"/>
            <w:tcMar>
              <w:left w:w="20" w:type="dxa"/>
              <w:right w:w="20" w:type="dxa"/>
            </w:tcMar>
            <w:vAlign w:val="center"/>
          </w:tcPr>
          <w:p w14:paraId="0E2E22B2" w14:textId="77777777" w:rsidR="002D7804" w:rsidRPr="00F62635" w:rsidRDefault="002D7804" w:rsidP="007C6A96">
            <w:pPr>
              <w:pStyle w:val="In-tableHeading"/>
              <w:keepNext w:val="0"/>
              <w:jc w:val="center"/>
            </w:pPr>
            <w:r w:rsidRPr="00F62635">
              <w:t>Matter of concern</w:t>
            </w:r>
          </w:p>
        </w:tc>
        <w:tc>
          <w:tcPr>
            <w:tcW w:w="2016" w:type="pct"/>
            <w:tcMar>
              <w:left w:w="20" w:type="dxa"/>
              <w:right w:w="20" w:type="dxa"/>
            </w:tcMar>
            <w:vAlign w:val="center"/>
          </w:tcPr>
          <w:p w14:paraId="1AF5C229" w14:textId="77777777" w:rsidR="002D7804" w:rsidRPr="00604DCD" w:rsidRDefault="002D7804" w:rsidP="007C6A96">
            <w:pPr>
              <w:pStyle w:val="In-tableHeading"/>
              <w:keepNext w:val="0"/>
              <w:jc w:val="center"/>
            </w:pPr>
            <w:r w:rsidRPr="00604DCD">
              <w:t>How the resubmission addressed it</w:t>
            </w:r>
          </w:p>
        </w:tc>
      </w:tr>
      <w:tr w:rsidR="002D7804" w:rsidRPr="00F62635" w14:paraId="32C1AF53" w14:textId="77777777" w:rsidTr="007C6A96">
        <w:trPr>
          <w:cantSplit/>
        </w:trPr>
        <w:tc>
          <w:tcPr>
            <w:tcW w:w="651" w:type="pct"/>
            <w:tcMar>
              <w:left w:w="20" w:type="dxa"/>
              <w:right w:w="20" w:type="dxa"/>
            </w:tcMar>
          </w:tcPr>
          <w:p w14:paraId="177A8971" w14:textId="77777777" w:rsidR="002D7804" w:rsidRPr="00F62635" w:rsidRDefault="002D7804" w:rsidP="007C6A96">
            <w:pPr>
              <w:pStyle w:val="TableText0"/>
              <w:keepNext w:val="0"/>
            </w:pPr>
            <w:r>
              <w:t>Comparative clinical evidence</w:t>
            </w:r>
          </w:p>
        </w:tc>
        <w:tc>
          <w:tcPr>
            <w:tcW w:w="2333" w:type="pct"/>
            <w:tcMar>
              <w:left w:w="20" w:type="dxa"/>
              <w:right w:w="20" w:type="dxa"/>
            </w:tcMar>
          </w:tcPr>
          <w:p w14:paraId="52F78400" w14:textId="77777777" w:rsidR="002D7804" w:rsidRPr="00F62635" w:rsidRDefault="002D7804" w:rsidP="007C6A96">
            <w:pPr>
              <w:pStyle w:val="TableText0"/>
              <w:keepNext w:val="0"/>
              <w:rPr>
                <w:szCs w:val="20"/>
              </w:rPr>
            </w:pPr>
            <w:r w:rsidRPr="00AC21AF">
              <w:rPr>
                <w:rFonts w:eastAsia="Times New Roman" w:cs="Arial"/>
                <w:bCs w:val="0"/>
                <w:snapToGrid w:val="0"/>
                <w:color w:val="000000" w:themeColor="text1"/>
                <w:szCs w:val="20"/>
              </w:rPr>
              <w:t>The PBAC considered the indirect comparisons were associated with a high degree of uncertainty with several transitivity, applicability</w:t>
            </w:r>
            <w:r>
              <w:rPr>
                <w:rFonts w:eastAsia="Times New Roman" w:cs="Arial"/>
                <w:bCs w:val="0"/>
                <w:snapToGrid w:val="0"/>
                <w:color w:val="000000" w:themeColor="text1"/>
                <w:szCs w:val="20"/>
              </w:rPr>
              <w:t>,</w:t>
            </w:r>
            <w:r w:rsidRPr="00AC21AF">
              <w:rPr>
                <w:rFonts w:eastAsia="Times New Roman" w:cs="Arial"/>
                <w:bCs w:val="0"/>
                <w:snapToGrid w:val="0"/>
                <w:color w:val="000000" w:themeColor="text1"/>
                <w:szCs w:val="20"/>
              </w:rPr>
              <w:t xml:space="preserve"> and reliability issues. The PBAC advised that the true extent of confounding and the magnitude of the comparative treatment effect of selpercatinib compared with pembrolizumab + PC remained unknown. As such, the PBAC considered that the claim of superior comparative effectiveness was not adequately supported by the data provided</w:t>
            </w:r>
            <w:r>
              <w:rPr>
                <w:rFonts w:eastAsia="Times New Roman" w:cs="Arial"/>
                <w:bCs w:val="0"/>
                <w:snapToGrid w:val="0"/>
                <w:color w:val="000000" w:themeColor="text1"/>
                <w:szCs w:val="20"/>
              </w:rPr>
              <w:t xml:space="preserve"> (para. 7.7-7.10, </w:t>
            </w:r>
            <w:r w:rsidRPr="00565D55">
              <w:rPr>
                <w:rFonts w:eastAsia="Times New Roman" w:cs="Arial"/>
                <w:bCs w:val="0"/>
                <w:snapToGrid w:val="0"/>
                <w:color w:val="000000" w:themeColor="text1"/>
                <w:szCs w:val="20"/>
              </w:rPr>
              <w:t>selpercatinib</w:t>
            </w:r>
            <w:r>
              <w:rPr>
                <w:rFonts w:eastAsia="Times New Roman" w:cs="Arial"/>
                <w:bCs w:val="0"/>
                <w:snapToGrid w:val="0"/>
                <w:color w:val="000000" w:themeColor="text1"/>
                <w:szCs w:val="20"/>
              </w:rPr>
              <w:t>,</w:t>
            </w:r>
            <w:r w:rsidRPr="00565D55">
              <w:rPr>
                <w:rFonts w:eastAsia="Times New Roman" w:cs="Arial"/>
                <w:bCs w:val="0"/>
                <w:snapToGrid w:val="0"/>
                <w:color w:val="000000" w:themeColor="text1"/>
                <w:szCs w:val="20"/>
              </w:rPr>
              <w:t xml:space="preserve"> PSD</w:t>
            </w:r>
            <w:r>
              <w:rPr>
                <w:rFonts w:eastAsia="Times New Roman" w:cs="Arial"/>
                <w:bCs w:val="0"/>
                <w:snapToGrid w:val="0"/>
                <w:color w:val="000000" w:themeColor="text1"/>
                <w:szCs w:val="20"/>
              </w:rPr>
              <w:t>, July 2023 PBAC meeting).</w:t>
            </w:r>
          </w:p>
        </w:tc>
        <w:tc>
          <w:tcPr>
            <w:tcW w:w="2016" w:type="pct"/>
            <w:tcMar>
              <w:left w:w="20" w:type="dxa"/>
              <w:right w:w="20" w:type="dxa"/>
            </w:tcMar>
          </w:tcPr>
          <w:p w14:paraId="7C8FC691" w14:textId="7CF49B34" w:rsidR="002D7804" w:rsidRPr="00604DCD" w:rsidRDefault="002D7804" w:rsidP="007C6A96">
            <w:pPr>
              <w:pStyle w:val="TableText0"/>
              <w:keepNext w:val="0"/>
            </w:pPr>
            <w:r w:rsidRPr="00604DCD">
              <w:t xml:space="preserve">Addressed. Presented evidence from the pivotal head-to-head LIBRETTO-431 trial comparing selpercatinib to platinum-based doublet chemotherapy with or without pembrolizumab in </w:t>
            </w:r>
            <w:r w:rsidR="00364C6C">
              <w:t>patients</w:t>
            </w:r>
            <w:r w:rsidR="00364C6C" w:rsidRPr="00604DCD">
              <w:t xml:space="preserve"> </w:t>
            </w:r>
            <w:r w:rsidRPr="00604DCD">
              <w:t xml:space="preserve">with </w:t>
            </w:r>
            <w:r w:rsidRPr="00BC5A69">
              <w:rPr>
                <w:i/>
                <w:iCs/>
              </w:rPr>
              <w:t>RET</w:t>
            </w:r>
            <w:r w:rsidRPr="00604DCD">
              <w:t xml:space="preserve"> fusion-positive NSCLC.</w:t>
            </w:r>
            <w:r w:rsidR="00573ED3" w:rsidRPr="00604DCD">
              <w:t xml:space="preserve"> </w:t>
            </w:r>
            <w:r w:rsidR="00364C6C">
              <w:t>Patients</w:t>
            </w:r>
            <w:r w:rsidR="00364C6C" w:rsidRPr="00604DCD">
              <w:t xml:space="preserve"> </w:t>
            </w:r>
            <w:r w:rsidR="00573ED3" w:rsidRPr="00604DCD">
              <w:t xml:space="preserve">treated with selpercatinib experienced a statistically significant improvement in PFS compared to </w:t>
            </w:r>
            <w:r w:rsidR="00364C6C">
              <w:t>patients</w:t>
            </w:r>
            <w:r w:rsidR="00364C6C" w:rsidRPr="00604DCD">
              <w:t xml:space="preserve"> </w:t>
            </w:r>
            <w:r w:rsidR="00573ED3" w:rsidRPr="00604DCD">
              <w:t>treated with pembrolizumab + PC arm in the ITT-pembrolizumab population (HR</w:t>
            </w:r>
            <w:r w:rsidR="00BC5A69">
              <w:t xml:space="preserve"> </w:t>
            </w:r>
            <w:r w:rsidR="00573ED3" w:rsidRPr="00604DCD">
              <w:t>=</w:t>
            </w:r>
            <w:r w:rsidR="00BC5A69">
              <w:t xml:space="preserve"> </w:t>
            </w:r>
            <w:r w:rsidR="00573ED3" w:rsidRPr="00604DCD">
              <w:t>0.465</w:t>
            </w:r>
            <w:r w:rsidR="00BC5A69">
              <w:t>;</w:t>
            </w:r>
            <w:r w:rsidR="00573ED3" w:rsidRPr="00604DCD">
              <w:t xml:space="preserve"> 95% CI</w:t>
            </w:r>
            <w:r w:rsidR="00BC5A69">
              <w:t xml:space="preserve">: </w:t>
            </w:r>
            <w:r w:rsidR="00573ED3" w:rsidRPr="00604DCD">
              <w:t>0.309, 0.699) and the ITT population (HR</w:t>
            </w:r>
            <w:r w:rsidR="00BC5A69">
              <w:t xml:space="preserve"> </w:t>
            </w:r>
            <w:r w:rsidR="00573ED3" w:rsidRPr="00604DCD">
              <w:t>=</w:t>
            </w:r>
            <w:r w:rsidR="00BC5A69">
              <w:t xml:space="preserve"> </w:t>
            </w:r>
            <w:r w:rsidR="00573ED3" w:rsidRPr="00604DCD">
              <w:t>0.482</w:t>
            </w:r>
            <w:r w:rsidR="00BC5A69">
              <w:t>;</w:t>
            </w:r>
            <w:r w:rsidR="00573ED3" w:rsidRPr="00604DCD">
              <w:t xml:space="preserve"> 95% CI</w:t>
            </w:r>
            <w:r w:rsidR="00BC5A69">
              <w:t xml:space="preserve">: </w:t>
            </w:r>
            <w:r w:rsidR="00573ED3" w:rsidRPr="00604DCD">
              <w:t xml:space="preserve">0.331, 0.700). </w:t>
            </w:r>
            <w:r w:rsidR="00191798" w:rsidRPr="00604DCD">
              <w:t xml:space="preserve">The results </w:t>
            </w:r>
            <w:r w:rsidR="00321674" w:rsidRPr="00604DCD">
              <w:t>aligned with</w:t>
            </w:r>
            <w:r w:rsidR="00191798" w:rsidRPr="00604DCD">
              <w:t xml:space="preserve"> the MAIC 2 model</w:t>
            </w:r>
            <w:r w:rsidR="004945A6">
              <w:t xml:space="preserve"> presented in the previous submission</w:t>
            </w:r>
            <w:r w:rsidR="00191798" w:rsidRPr="00604DCD">
              <w:t>.</w:t>
            </w:r>
            <w:r w:rsidR="00B843B0" w:rsidRPr="00604DCD">
              <w:t xml:space="preserve"> </w:t>
            </w:r>
            <w:r w:rsidR="009E1E29" w:rsidRPr="00604DCD">
              <w:t xml:space="preserve">However, </w:t>
            </w:r>
            <w:r w:rsidR="00191798" w:rsidRPr="00604DCD">
              <w:t>OS</w:t>
            </w:r>
            <w:r w:rsidR="00B843B0" w:rsidRPr="00604DCD">
              <w:t xml:space="preserve"> gained was not statistically significant (HR</w:t>
            </w:r>
            <w:r w:rsidR="00BC5A69">
              <w:t xml:space="preserve"> </w:t>
            </w:r>
            <w:r w:rsidR="00B843B0" w:rsidRPr="00604DCD">
              <w:t>=</w:t>
            </w:r>
            <w:r w:rsidR="00BC5A69">
              <w:t xml:space="preserve"> </w:t>
            </w:r>
            <w:r w:rsidR="00B843B0" w:rsidRPr="00604DCD">
              <w:t>0.961</w:t>
            </w:r>
            <w:r w:rsidR="00BC5A69">
              <w:t>;</w:t>
            </w:r>
            <w:r w:rsidR="00B843B0" w:rsidRPr="00604DCD">
              <w:t xml:space="preserve"> P</w:t>
            </w:r>
            <w:r w:rsidR="00BC5A69">
              <w:t xml:space="preserve"> </w:t>
            </w:r>
            <w:r w:rsidR="00B843B0" w:rsidRPr="00604DCD">
              <w:t>=</w:t>
            </w:r>
            <w:r w:rsidR="00BC5A69">
              <w:t xml:space="preserve"> </w:t>
            </w:r>
            <w:r w:rsidR="00B843B0" w:rsidRPr="00604DCD">
              <w:t>0.9033 in the ITT-pembrolizumab population).</w:t>
            </w:r>
            <w:r w:rsidR="00191798" w:rsidRPr="00604DCD">
              <w:t xml:space="preserve"> OS in the control arm was significantly confounded by treatment cross-over and the comparative treatment effect of selpercatinib was likely underestimated.</w:t>
            </w:r>
          </w:p>
        </w:tc>
      </w:tr>
      <w:tr w:rsidR="002D7804" w:rsidRPr="00F62635" w14:paraId="5D565F53" w14:textId="77777777" w:rsidTr="007C6A96">
        <w:trPr>
          <w:cantSplit/>
        </w:trPr>
        <w:tc>
          <w:tcPr>
            <w:tcW w:w="651" w:type="pct"/>
            <w:tcMar>
              <w:left w:w="20" w:type="dxa"/>
              <w:right w:w="20" w:type="dxa"/>
            </w:tcMar>
          </w:tcPr>
          <w:p w14:paraId="4B6FC65D" w14:textId="77777777" w:rsidR="002D7804" w:rsidRDefault="002D7804" w:rsidP="007C6A96">
            <w:pPr>
              <w:pStyle w:val="TableText0"/>
              <w:keepNext w:val="0"/>
            </w:pPr>
            <w:r>
              <w:t>S</w:t>
            </w:r>
            <w:r w:rsidRPr="00302B55">
              <w:t>elpercatinib effectiveness relative to docetaxel in previously treated patients</w:t>
            </w:r>
          </w:p>
        </w:tc>
        <w:tc>
          <w:tcPr>
            <w:tcW w:w="2333" w:type="pct"/>
            <w:tcMar>
              <w:left w:w="20" w:type="dxa"/>
              <w:right w:w="20" w:type="dxa"/>
            </w:tcMar>
          </w:tcPr>
          <w:p w14:paraId="1A19B501" w14:textId="77777777" w:rsidR="002D7804" w:rsidRPr="00AC21AF" w:rsidRDefault="002D7804" w:rsidP="007C6A96">
            <w:pPr>
              <w:pStyle w:val="TableText0"/>
              <w:keepNext w:val="0"/>
              <w:rPr>
                <w:rFonts w:eastAsia="Times New Roman" w:cs="Arial"/>
                <w:bCs w:val="0"/>
                <w:snapToGrid w:val="0"/>
                <w:color w:val="000000" w:themeColor="text1"/>
                <w:szCs w:val="20"/>
              </w:rPr>
            </w:pPr>
            <w:r w:rsidRPr="00302B55">
              <w:rPr>
                <w:rFonts w:eastAsia="Times New Roman" w:cs="Arial"/>
                <w:bCs w:val="0"/>
                <w:snapToGrid w:val="0"/>
                <w:color w:val="000000" w:themeColor="text1"/>
                <w:szCs w:val="20"/>
              </w:rPr>
              <w:t xml:space="preserve">It is anticipated that the predominant use of selpercatinib is as </w:t>
            </w:r>
            <w:r>
              <w:rPr>
                <w:rFonts w:eastAsia="Times New Roman" w:cs="Arial"/>
                <w:bCs w:val="0"/>
                <w:snapToGrid w:val="0"/>
                <w:color w:val="000000" w:themeColor="text1"/>
                <w:szCs w:val="20"/>
              </w:rPr>
              <w:t xml:space="preserve">the </w:t>
            </w:r>
            <w:r w:rsidRPr="00302B55">
              <w:rPr>
                <w:rFonts w:eastAsia="Times New Roman" w:cs="Arial"/>
                <w:bCs w:val="0"/>
                <w:snapToGrid w:val="0"/>
                <w:color w:val="000000" w:themeColor="text1"/>
                <w:szCs w:val="20"/>
              </w:rPr>
              <w:t xml:space="preserve">initial targeted therapy for </w:t>
            </w:r>
            <w:r w:rsidRPr="0052685B">
              <w:rPr>
                <w:rFonts w:eastAsia="Times New Roman" w:cs="Arial"/>
                <w:bCs w:val="0"/>
                <w:i/>
                <w:iCs/>
                <w:snapToGrid w:val="0"/>
                <w:color w:val="000000" w:themeColor="text1"/>
                <w:szCs w:val="20"/>
              </w:rPr>
              <w:t>RET</w:t>
            </w:r>
            <w:r w:rsidRPr="00302B55">
              <w:rPr>
                <w:rFonts w:eastAsia="Times New Roman" w:cs="Arial"/>
                <w:bCs w:val="0"/>
                <w:snapToGrid w:val="0"/>
                <w:color w:val="000000" w:themeColor="text1"/>
                <w:szCs w:val="20"/>
              </w:rPr>
              <w:t xml:space="preserve"> fusion-positive advanced NSCLC. The indirect comparison with docetaxel was considered largely uninformative and was not assessed further in the evaluation. The ESC agreed with the evaluation that the indirect comparison with docetaxel was largely uninformative due to the high risk of selection bias (para</w:t>
            </w:r>
            <w:r>
              <w:rPr>
                <w:rFonts w:eastAsia="Times New Roman" w:cs="Arial"/>
                <w:bCs w:val="0"/>
                <w:snapToGrid w:val="0"/>
                <w:color w:val="000000" w:themeColor="text1"/>
                <w:szCs w:val="20"/>
              </w:rPr>
              <w:t>.</w:t>
            </w:r>
            <w:r w:rsidRPr="00302B55">
              <w:rPr>
                <w:rFonts w:eastAsia="Times New Roman" w:cs="Arial"/>
                <w:bCs w:val="0"/>
                <w:snapToGrid w:val="0"/>
                <w:color w:val="000000" w:themeColor="text1"/>
                <w:szCs w:val="20"/>
              </w:rPr>
              <w:t xml:space="preserve"> 6.9, selpercatinib</w:t>
            </w:r>
            <w:r>
              <w:rPr>
                <w:rFonts w:eastAsia="Times New Roman" w:cs="Arial"/>
                <w:bCs w:val="0"/>
                <w:snapToGrid w:val="0"/>
                <w:color w:val="000000" w:themeColor="text1"/>
                <w:szCs w:val="20"/>
              </w:rPr>
              <w:t>,</w:t>
            </w:r>
            <w:r w:rsidRPr="00302B55">
              <w:rPr>
                <w:rFonts w:eastAsia="Times New Roman" w:cs="Arial"/>
                <w:bCs w:val="0"/>
                <w:snapToGrid w:val="0"/>
                <w:color w:val="000000" w:themeColor="text1"/>
                <w:szCs w:val="20"/>
              </w:rPr>
              <w:t xml:space="preserve"> PSD, July 2023 PBAC meeting).</w:t>
            </w:r>
          </w:p>
        </w:tc>
        <w:tc>
          <w:tcPr>
            <w:tcW w:w="2016" w:type="pct"/>
            <w:tcMar>
              <w:left w:w="20" w:type="dxa"/>
              <w:right w:w="20" w:type="dxa"/>
            </w:tcMar>
          </w:tcPr>
          <w:p w14:paraId="6741AB52" w14:textId="77777777" w:rsidR="002D7804" w:rsidRPr="00604DCD" w:rsidRDefault="002D7804" w:rsidP="007C6A96">
            <w:pPr>
              <w:pStyle w:val="TableText0"/>
              <w:keepNext w:val="0"/>
            </w:pPr>
            <w:r w:rsidRPr="00604DCD">
              <w:t>A clinical claim of superior efficacy of selpercatinib to docetaxel as a second-line treatment was not proposed in the resubmission.</w:t>
            </w:r>
          </w:p>
        </w:tc>
      </w:tr>
      <w:tr w:rsidR="002D7804" w:rsidRPr="00F62635" w14:paraId="51C08AED" w14:textId="77777777" w:rsidTr="007C6A96">
        <w:trPr>
          <w:cantSplit/>
        </w:trPr>
        <w:tc>
          <w:tcPr>
            <w:tcW w:w="651" w:type="pct"/>
            <w:tcMar>
              <w:left w:w="20" w:type="dxa"/>
              <w:right w:w="20" w:type="dxa"/>
            </w:tcMar>
          </w:tcPr>
          <w:p w14:paraId="5593DAA1" w14:textId="77777777" w:rsidR="002D7804" w:rsidRDefault="002D7804" w:rsidP="007C6A96">
            <w:pPr>
              <w:pStyle w:val="TableText0"/>
              <w:keepNext w:val="0"/>
            </w:pPr>
            <w:r>
              <w:lastRenderedPageBreak/>
              <w:t>Economic model</w:t>
            </w:r>
          </w:p>
        </w:tc>
        <w:tc>
          <w:tcPr>
            <w:tcW w:w="2333" w:type="pct"/>
            <w:tcMar>
              <w:left w:w="20" w:type="dxa"/>
              <w:right w:w="20" w:type="dxa"/>
            </w:tcMar>
          </w:tcPr>
          <w:p w14:paraId="24372669" w14:textId="2A69DC58" w:rsidR="002D7804" w:rsidRDefault="002D7804" w:rsidP="007C6A96">
            <w:pPr>
              <w:pStyle w:val="TableText0"/>
              <w:keepNext w:val="0"/>
              <w:rPr>
                <w:rFonts w:eastAsia="Times New Roman" w:cs="Arial"/>
                <w:bCs w:val="0"/>
                <w:snapToGrid w:val="0"/>
                <w:color w:val="000000" w:themeColor="text1"/>
                <w:szCs w:val="20"/>
              </w:rPr>
            </w:pPr>
            <w:r w:rsidRPr="00565D55">
              <w:rPr>
                <w:rFonts w:eastAsia="Times New Roman" w:cs="Arial"/>
                <w:bCs w:val="0"/>
                <w:snapToGrid w:val="0"/>
                <w:color w:val="000000" w:themeColor="text1"/>
                <w:szCs w:val="20"/>
              </w:rPr>
              <w:t xml:space="preserve">The PBAC considered the economic model unreliable due to the uncertainties in the clinical data from the indirect comparison with pembrolizumab + PC. In addition, the PBAC agreed with the evaluation that the submission made a number of unreasonable or unjustified assumptions and errors in the base case analysis and noted that a re-specified base case was proposed during the evaluation. The pre-PBAC response provided a re-specified base case that differed from that provided during the evaluation in </w:t>
            </w:r>
            <w:r>
              <w:rPr>
                <w:rFonts w:eastAsia="Times New Roman" w:cs="Arial"/>
                <w:bCs w:val="0"/>
                <w:snapToGrid w:val="0"/>
                <w:color w:val="000000" w:themeColor="text1"/>
                <w:szCs w:val="20"/>
              </w:rPr>
              <w:t>3</w:t>
            </w:r>
            <w:r w:rsidRPr="00565D55">
              <w:rPr>
                <w:rFonts w:eastAsia="Times New Roman" w:cs="Arial"/>
                <w:bCs w:val="0"/>
                <w:snapToGrid w:val="0"/>
                <w:color w:val="000000" w:themeColor="text1"/>
                <w:szCs w:val="20"/>
              </w:rPr>
              <w:t xml:space="preserve"> ways: application of the selpercatinib treatment effect derived from the MAIC Model 2; use of a 10 year rather than a 7.5-year time horizon (submission base case time horizon was 20 years); and incorporation of a </w:t>
            </w:r>
            <w:r w:rsidR="00053838" w:rsidRPr="00053838">
              <w:rPr>
                <w:rFonts w:eastAsia="Times New Roman" w:cs="Arial" w:hint="eastAsia"/>
                <w:bCs w:val="0"/>
                <w:snapToGrid w:val="0"/>
                <w:color w:val="000000" w:themeColor="text1"/>
                <w:w w:val="31"/>
                <w:szCs w:val="20"/>
                <w:shd w:val="solid" w:color="000000" w:fill="000000"/>
                <w:fitText w:val="140" w:id="-892610304"/>
                <w14:textFill>
                  <w14:solidFill>
                    <w14:schemeClr w14:val="tx1">
                      <w14:alpha w14:val="100000"/>
                    </w14:schemeClr>
                  </w14:solidFill>
                </w14:textFill>
              </w:rPr>
              <w:t xml:space="preserve">　</w:t>
            </w:r>
            <w:r w:rsidR="00053838" w:rsidRPr="00053838">
              <w:rPr>
                <w:rFonts w:eastAsia="Times New Roman" w:cs="Arial"/>
                <w:bCs w:val="0"/>
                <w:snapToGrid w:val="0"/>
                <w:color w:val="000000" w:themeColor="text1"/>
                <w:w w:val="31"/>
                <w:szCs w:val="20"/>
                <w:shd w:val="solid" w:color="000000" w:fill="000000"/>
                <w:fitText w:val="140" w:id="-892610304"/>
                <w14:textFill>
                  <w14:solidFill>
                    <w14:schemeClr w14:val="tx1">
                      <w14:alpha w14:val="100000"/>
                    </w14:schemeClr>
                  </w14:solidFill>
                </w14:textFill>
              </w:rPr>
              <w:t>|</w:t>
            </w:r>
            <w:r w:rsidR="00053838" w:rsidRPr="00053838">
              <w:rPr>
                <w:rFonts w:eastAsia="Times New Roman" w:cs="Arial" w:hint="eastAsia"/>
                <w:bCs w:val="0"/>
                <w:snapToGrid w:val="0"/>
                <w:color w:val="000000" w:themeColor="text1"/>
                <w:w w:val="31"/>
                <w:szCs w:val="20"/>
                <w:shd w:val="solid" w:color="000000" w:fill="000000"/>
                <w:fitText w:val="140" w:id="-892610304"/>
                <w14:textFill>
                  <w14:solidFill>
                    <w14:schemeClr w14:val="tx1">
                      <w14:alpha w14:val="100000"/>
                    </w14:schemeClr>
                  </w14:solidFill>
                </w14:textFill>
              </w:rPr>
              <w:t xml:space="preserve">　</w:t>
            </w:r>
            <w:r w:rsidRPr="00565D55">
              <w:rPr>
                <w:rFonts w:eastAsia="Times New Roman" w:cs="Arial"/>
                <w:bCs w:val="0"/>
                <w:snapToGrid w:val="0"/>
                <w:color w:val="000000" w:themeColor="text1"/>
                <w:szCs w:val="20"/>
              </w:rPr>
              <w:t>% price reduction for selpercatinib. The PBAC noted the re-specified base case and the price reduction proposed in the pre-PBAC response. However, the PBAC considered the fundamental uncertainty associated with the indirect comparison between poorly transitive studies that formed the basis of the model cannot be resolved by re-specification. As such, the PBAC considered the ICER remained highly uncertain (para. 7.12, selpercatinib</w:t>
            </w:r>
            <w:r>
              <w:rPr>
                <w:rFonts w:eastAsia="Times New Roman" w:cs="Arial"/>
                <w:bCs w:val="0"/>
                <w:snapToGrid w:val="0"/>
                <w:color w:val="000000" w:themeColor="text1"/>
                <w:szCs w:val="20"/>
              </w:rPr>
              <w:t>,</w:t>
            </w:r>
            <w:r w:rsidRPr="00565D55">
              <w:rPr>
                <w:rFonts w:eastAsia="Times New Roman" w:cs="Arial"/>
                <w:bCs w:val="0"/>
                <w:snapToGrid w:val="0"/>
                <w:color w:val="000000" w:themeColor="text1"/>
                <w:szCs w:val="20"/>
              </w:rPr>
              <w:t xml:space="preserve"> PSD, July 2023 PBAC Meeting).</w:t>
            </w:r>
          </w:p>
          <w:p w14:paraId="5C967AFC" w14:textId="77777777" w:rsidR="00BC5A69" w:rsidRDefault="00BC5A69" w:rsidP="007C6A96">
            <w:pPr>
              <w:pStyle w:val="TableText0"/>
              <w:keepNext w:val="0"/>
              <w:rPr>
                <w:rFonts w:eastAsia="Times New Roman" w:cs="Arial"/>
                <w:bCs w:val="0"/>
                <w:snapToGrid w:val="0"/>
                <w:color w:val="000000" w:themeColor="text1"/>
                <w:szCs w:val="20"/>
              </w:rPr>
            </w:pPr>
          </w:p>
          <w:p w14:paraId="2FD1B177" w14:textId="0481EE7C" w:rsidR="002D7804" w:rsidRPr="00AC21AF" w:rsidRDefault="002D7804" w:rsidP="007C6A96">
            <w:pPr>
              <w:pStyle w:val="Default"/>
              <w:rPr>
                <w:rFonts w:cs="Arial"/>
                <w:snapToGrid w:val="0"/>
                <w:color w:val="000000" w:themeColor="text1"/>
                <w:szCs w:val="20"/>
              </w:rPr>
            </w:pPr>
            <w:r w:rsidRPr="00510C3F">
              <w:rPr>
                <w:rFonts w:ascii="Arial Narrow" w:hAnsi="Arial Narrow" w:cs="Arial"/>
                <w:snapToGrid w:val="0"/>
                <w:color w:val="000000" w:themeColor="text1"/>
                <w:sz w:val="20"/>
                <w:szCs w:val="20"/>
              </w:rPr>
              <w:t>The PBAC considered a resubmission for selpercatinib should address the following issues:</w:t>
            </w:r>
            <w:r w:rsidRPr="009E6638">
              <w:rPr>
                <w:rFonts w:ascii="Arial Narrow" w:hAnsi="Arial Narrow" w:cs="Arial"/>
                <w:snapToGrid w:val="0"/>
                <w:color w:val="000000" w:themeColor="text1"/>
                <w:sz w:val="20"/>
                <w:szCs w:val="20"/>
              </w:rPr>
              <w:t xml:space="preserve"> The indirect comparisons presented in the submission were associated with a high degree of uncertainty… Provide an economic model that incorporates revised data pertaining to the magnitude of comparative treatment effectiveness (para. 7.15, selpercatinib</w:t>
            </w:r>
            <w:r>
              <w:rPr>
                <w:rFonts w:ascii="Arial Narrow" w:hAnsi="Arial Narrow" w:cs="Arial"/>
                <w:snapToGrid w:val="0"/>
                <w:color w:val="000000" w:themeColor="text1"/>
                <w:sz w:val="20"/>
                <w:szCs w:val="20"/>
              </w:rPr>
              <w:t>,</w:t>
            </w:r>
            <w:r w:rsidRPr="009E6638">
              <w:rPr>
                <w:rFonts w:ascii="Arial Narrow" w:hAnsi="Arial Narrow" w:cs="Arial"/>
                <w:snapToGrid w:val="0"/>
                <w:color w:val="000000" w:themeColor="text1"/>
                <w:sz w:val="20"/>
                <w:szCs w:val="20"/>
              </w:rPr>
              <w:t xml:space="preserve"> PSD, July 2023 PBAC meeting).</w:t>
            </w:r>
          </w:p>
        </w:tc>
        <w:tc>
          <w:tcPr>
            <w:tcW w:w="2016" w:type="pct"/>
            <w:tcMar>
              <w:left w:w="20" w:type="dxa"/>
              <w:right w:w="20" w:type="dxa"/>
            </w:tcMar>
          </w:tcPr>
          <w:p w14:paraId="1A91F960" w14:textId="77777777" w:rsidR="002D7804" w:rsidRPr="00604DCD" w:rsidRDefault="002D7804" w:rsidP="007C6A96">
            <w:pPr>
              <w:pStyle w:val="TableText0"/>
              <w:keepNext w:val="0"/>
            </w:pPr>
            <w:r w:rsidRPr="00604DCD">
              <w:t>Not adequately addressed. The resubmission did not use the clinical outcomes from the LIBRETTO-431 trial in the economic model.</w:t>
            </w:r>
          </w:p>
          <w:p w14:paraId="6D1894DD" w14:textId="77777777" w:rsidR="002D7804" w:rsidRPr="00604DCD" w:rsidRDefault="002D7804" w:rsidP="007C6A96">
            <w:pPr>
              <w:pStyle w:val="TableText0"/>
              <w:keepNext w:val="0"/>
            </w:pPr>
          </w:p>
          <w:p w14:paraId="6313DCF1" w14:textId="2A6ED9D0" w:rsidR="002D7804" w:rsidRPr="00604DCD" w:rsidRDefault="002D7804" w:rsidP="007C6A96">
            <w:pPr>
              <w:pStyle w:val="TableText0"/>
              <w:keepNext w:val="0"/>
            </w:pPr>
            <w:r w:rsidRPr="00604DCD">
              <w:t>Base case comparative efficacy was revised to the MAIC 2 model consistent with the July 2023 pre-PBAC response, rather than the NMA</w:t>
            </w:r>
            <w:r w:rsidR="009D6792" w:rsidRPr="00604DCD">
              <w:t xml:space="preserve"> used in the July 2023 submission</w:t>
            </w:r>
            <w:r w:rsidRPr="00604DCD">
              <w:t xml:space="preserve">. The </w:t>
            </w:r>
            <w:r w:rsidR="005D6334" w:rsidRPr="00604DCD">
              <w:t>re</w:t>
            </w:r>
            <w:r w:rsidRPr="00604DCD">
              <w:t>submission claimed that this approach was validated with PFS and OS data from the LIBRETTO-431 trial, the KN189 study, the LIBRETTO-001 study January 2023 data, and observational evidence.</w:t>
            </w:r>
          </w:p>
          <w:p w14:paraId="0C0FF0BB" w14:textId="77777777" w:rsidR="002D7804" w:rsidRPr="00604DCD" w:rsidRDefault="002D7804" w:rsidP="007C6A96">
            <w:pPr>
              <w:pStyle w:val="TableText0"/>
              <w:keepNext w:val="0"/>
            </w:pPr>
          </w:p>
          <w:p w14:paraId="5A92EDFB" w14:textId="39A4CEAC" w:rsidR="002D7804" w:rsidRPr="00604DCD" w:rsidRDefault="00741517" w:rsidP="007C6A96">
            <w:pPr>
              <w:pStyle w:val="TableText0"/>
              <w:keepNext w:val="0"/>
            </w:pPr>
            <w:r w:rsidRPr="00604DCD">
              <w:t>The results of the LIBRETTO-431 trial would have been more suitable than the MAIC 2 model for the economic evaluation given that it was conducted in the target population</w:t>
            </w:r>
            <w:r w:rsidR="009D5059">
              <w:t xml:space="preserve"> and</w:t>
            </w:r>
            <w:r w:rsidRPr="00604DCD">
              <w:t xml:space="preserve"> observed and unobserved differences in the patient characteristics were addressed using randomisation</w:t>
            </w:r>
            <w:r w:rsidR="009D5059">
              <w:t xml:space="preserve">. </w:t>
            </w:r>
            <w:r w:rsidRPr="00604DCD">
              <w:t>Alternatively, using the more mature data from the LIBRETTO-001 study</w:t>
            </w:r>
            <w:r w:rsidR="004945A6">
              <w:t xml:space="preserve"> </w:t>
            </w:r>
            <w:r w:rsidR="004945A6" w:rsidRPr="005564E4">
              <w:t>may</w:t>
            </w:r>
            <w:r w:rsidRPr="00604DCD">
              <w:t xml:space="preserve"> have increased certainty around the survival extrapolations. Sensitivity analysis using the LIBRETTO-431 trial data could not be conducted. The survival outcomes in the selpercatinib arm of the MAIC 2 model aligned with the LIBRETTO</w:t>
            </w:r>
            <w:r w:rsidRPr="00604DCD">
              <w:noBreakHyphen/>
              <w:t>001 study (June 2021 and January 2023 data cut) and LIBRETTO-431 trial, providing some external validity for the modelled PFS and OS results in the selpercatinib arm. However, the survival outcomes in the pembrolizumab + PC arm remained uncertain, especially due to crossover in the LIBRETTO-431 trial.</w:t>
            </w:r>
            <w:r w:rsidR="00882C2B" w:rsidRPr="00604DCD">
              <w:t xml:space="preserve"> </w:t>
            </w:r>
          </w:p>
        </w:tc>
      </w:tr>
      <w:tr w:rsidR="002D7804" w:rsidRPr="00F62635" w14:paraId="724A5304" w14:textId="77777777" w:rsidTr="007C6A96">
        <w:trPr>
          <w:cantSplit/>
        </w:trPr>
        <w:tc>
          <w:tcPr>
            <w:tcW w:w="651" w:type="pct"/>
            <w:tcMar>
              <w:left w:w="20" w:type="dxa"/>
              <w:right w:w="20" w:type="dxa"/>
            </w:tcMar>
          </w:tcPr>
          <w:p w14:paraId="629E90A5" w14:textId="77777777" w:rsidR="002D7804" w:rsidRDefault="002D7804" w:rsidP="007C6A96">
            <w:pPr>
              <w:pStyle w:val="TableText0"/>
              <w:keepNext w:val="0"/>
            </w:pPr>
            <w:r>
              <w:t>Time horizon</w:t>
            </w:r>
          </w:p>
        </w:tc>
        <w:tc>
          <w:tcPr>
            <w:tcW w:w="2333" w:type="pct"/>
            <w:tcMar>
              <w:left w:w="20" w:type="dxa"/>
              <w:right w:w="20" w:type="dxa"/>
            </w:tcMar>
          </w:tcPr>
          <w:p w14:paraId="781FEF04" w14:textId="4B49BAA4" w:rsidR="002D7804" w:rsidRPr="00DC7F0B" w:rsidRDefault="002D7804" w:rsidP="007C6A96">
            <w:pPr>
              <w:pStyle w:val="TableText0"/>
              <w:keepNext w:val="0"/>
              <w:rPr>
                <w:rFonts w:eastAsia="Times New Roman" w:cs="Arial"/>
                <w:bCs w:val="0"/>
                <w:snapToGrid w:val="0"/>
                <w:color w:val="000000" w:themeColor="text1"/>
                <w:szCs w:val="20"/>
              </w:rPr>
            </w:pPr>
            <w:r w:rsidRPr="00F42C86">
              <w:rPr>
                <w:rFonts w:eastAsia="Times New Roman" w:cs="Arial"/>
                <w:bCs w:val="0"/>
                <w:snapToGrid w:val="0"/>
                <w:color w:val="000000" w:themeColor="text1"/>
                <w:szCs w:val="20"/>
              </w:rPr>
              <w:t>The pre-PBAC response provided a re-specified base case that differed from that</w:t>
            </w:r>
            <w:r>
              <w:rPr>
                <w:rFonts w:eastAsia="Times New Roman" w:cs="Arial"/>
                <w:bCs w:val="0"/>
                <w:snapToGrid w:val="0"/>
                <w:color w:val="000000" w:themeColor="text1"/>
                <w:szCs w:val="20"/>
              </w:rPr>
              <w:t xml:space="preserve"> </w:t>
            </w:r>
            <w:r w:rsidRPr="00F42C86">
              <w:rPr>
                <w:rFonts w:eastAsia="Times New Roman" w:cs="Arial"/>
                <w:bCs w:val="0"/>
                <w:snapToGrid w:val="0"/>
                <w:color w:val="000000" w:themeColor="text1"/>
                <w:szCs w:val="20"/>
              </w:rPr>
              <w:t xml:space="preserve">provided during the evaluation </w:t>
            </w:r>
            <w:r>
              <w:rPr>
                <w:rFonts w:eastAsia="Times New Roman" w:cs="Arial"/>
                <w:bCs w:val="0"/>
                <w:snapToGrid w:val="0"/>
                <w:color w:val="000000" w:themeColor="text1"/>
                <w:szCs w:val="20"/>
              </w:rPr>
              <w:t>because it</w:t>
            </w:r>
            <w:r w:rsidRPr="00F42C86">
              <w:rPr>
                <w:rFonts w:eastAsia="Times New Roman" w:cs="Arial"/>
                <w:bCs w:val="0"/>
                <w:snapToGrid w:val="0"/>
                <w:color w:val="000000" w:themeColor="text1"/>
                <w:szCs w:val="20"/>
              </w:rPr>
              <w:t xml:space="preserve"> use</w:t>
            </w:r>
            <w:r>
              <w:rPr>
                <w:rFonts w:eastAsia="Times New Roman" w:cs="Arial"/>
                <w:bCs w:val="0"/>
                <w:snapToGrid w:val="0"/>
                <w:color w:val="000000" w:themeColor="text1"/>
                <w:szCs w:val="20"/>
              </w:rPr>
              <w:t>d</w:t>
            </w:r>
            <w:r w:rsidRPr="00F42C86">
              <w:rPr>
                <w:rFonts w:eastAsia="Times New Roman" w:cs="Arial"/>
                <w:bCs w:val="0"/>
                <w:snapToGrid w:val="0"/>
                <w:color w:val="000000" w:themeColor="text1"/>
                <w:szCs w:val="20"/>
              </w:rPr>
              <w:t xml:space="preserve"> of a 10 year rather than a </w:t>
            </w:r>
            <w:r w:rsidR="005E7586" w:rsidRPr="00F42C86">
              <w:rPr>
                <w:rFonts w:eastAsia="Times New Roman" w:cs="Arial"/>
                <w:bCs w:val="0"/>
                <w:snapToGrid w:val="0"/>
                <w:color w:val="000000" w:themeColor="text1"/>
                <w:szCs w:val="20"/>
              </w:rPr>
              <w:t>7.5</w:t>
            </w:r>
            <w:r w:rsidR="005E7586">
              <w:rPr>
                <w:rFonts w:eastAsia="Times New Roman" w:cs="Arial"/>
                <w:bCs w:val="0"/>
                <w:snapToGrid w:val="0"/>
                <w:color w:val="000000" w:themeColor="text1"/>
                <w:szCs w:val="20"/>
              </w:rPr>
              <w:t>-year</w:t>
            </w:r>
            <w:r w:rsidRPr="00F42C86">
              <w:rPr>
                <w:rFonts w:eastAsia="Times New Roman" w:cs="Arial"/>
                <w:bCs w:val="0"/>
                <w:snapToGrid w:val="0"/>
                <w:color w:val="000000" w:themeColor="text1"/>
                <w:szCs w:val="20"/>
              </w:rPr>
              <w:t xml:space="preserve"> time horizon (submission base case time horizon was 20 years)</w:t>
            </w:r>
            <w:r>
              <w:rPr>
                <w:rFonts w:eastAsia="Times New Roman" w:cs="Arial"/>
                <w:bCs w:val="0"/>
                <w:snapToGrid w:val="0"/>
                <w:color w:val="000000" w:themeColor="text1"/>
                <w:szCs w:val="20"/>
              </w:rPr>
              <w:t xml:space="preserve"> (para. 7.12, selpercatinib, PSD, July 2023 PBAC meeting).</w:t>
            </w:r>
          </w:p>
        </w:tc>
        <w:tc>
          <w:tcPr>
            <w:tcW w:w="2016" w:type="pct"/>
            <w:tcMar>
              <w:left w:w="20" w:type="dxa"/>
              <w:right w:w="20" w:type="dxa"/>
            </w:tcMar>
          </w:tcPr>
          <w:p w14:paraId="7C216DED" w14:textId="77777777" w:rsidR="002D7804" w:rsidRPr="00604DCD" w:rsidRDefault="002D7804" w:rsidP="007C6A96">
            <w:pPr>
              <w:pStyle w:val="TableText0"/>
              <w:keepNext w:val="0"/>
            </w:pPr>
            <w:r w:rsidRPr="00604DCD">
              <w:t xml:space="preserve">Not adequately addressed. </w:t>
            </w:r>
          </w:p>
          <w:p w14:paraId="29831882" w14:textId="77777777" w:rsidR="002D7804" w:rsidRPr="00604DCD" w:rsidRDefault="002D7804" w:rsidP="007C6A96">
            <w:pPr>
              <w:pStyle w:val="TableText0"/>
              <w:keepNext w:val="0"/>
            </w:pPr>
            <w:r w:rsidRPr="00604DCD">
              <w:t>The time horizon was unchanged compared to the July 2023 pre-PBAC response but changed compared to the July 2023 submission, which used 20 years.</w:t>
            </w:r>
          </w:p>
          <w:p w14:paraId="254FED00" w14:textId="77777777" w:rsidR="002D7804" w:rsidRPr="00604DCD" w:rsidRDefault="002D7804" w:rsidP="007C6A96">
            <w:pPr>
              <w:pStyle w:val="TableText0"/>
              <w:keepNext w:val="0"/>
            </w:pPr>
          </w:p>
          <w:p w14:paraId="0643CE34" w14:textId="77777777" w:rsidR="002D7804" w:rsidRPr="00604DCD" w:rsidRDefault="002D7804" w:rsidP="007C6A96">
            <w:pPr>
              <w:pStyle w:val="TableText0"/>
              <w:keepNext w:val="0"/>
            </w:pPr>
            <w:r w:rsidRPr="00604DCD">
              <w:t>The resubmission justified using a 10-year time horizon stating that the LIBRETTO-001 study Jan 2023 data cut showed median OS was not reached and 62.3% were alive at median follow-up (3.5 years). The resubmission maintained that a longer time horizon was appropriate given the longer follow-up (median 3.5 years) and greater magnitude of benefit observed in the LIBRETTO-001 study compared with KN-189 when pembrolizumab was considered by the PBAC at the July 2019 meeting.</w:t>
            </w:r>
          </w:p>
        </w:tc>
      </w:tr>
      <w:tr w:rsidR="002D7804" w:rsidRPr="00F62635" w14:paraId="6A65DCF2" w14:textId="77777777" w:rsidTr="007C6A96">
        <w:trPr>
          <w:cantSplit/>
        </w:trPr>
        <w:tc>
          <w:tcPr>
            <w:tcW w:w="651" w:type="pct"/>
            <w:tcMar>
              <w:left w:w="20" w:type="dxa"/>
              <w:right w:w="20" w:type="dxa"/>
            </w:tcMar>
          </w:tcPr>
          <w:p w14:paraId="285FAE26" w14:textId="77777777" w:rsidR="002D7804" w:rsidRDefault="002D7804" w:rsidP="007C6A96">
            <w:pPr>
              <w:pStyle w:val="TableText0"/>
              <w:keepNext w:val="0"/>
            </w:pPr>
            <w:r>
              <w:lastRenderedPageBreak/>
              <w:t>Financial estimates</w:t>
            </w:r>
          </w:p>
        </w:tc>
        <w:tc>
          <w:tcPr>
            <w:tcW w:w="2333" w:type="pct"/>
            <w:tcMar>
              <w:left w:w="20" w:type="dxa"/>
              <w:right w:w="20" w:type="dxa"/>
            </w:tcMar>
          </w:tcPr>
          <w:p w14:paraId="79A8BEA5" w14:textId="77777777" w:rsidR="002D7804" w:rsidRPr="00DC7F0B" w:rsidRDefault="002D7804" w:rsidP="007C6A96">
            <w:pPr>
              <w:pStyle w:val="TableText0"/>
              <w:keepNext w:val="0"/>
              <w:rPr>
                <w:rFonts w:eastAsia="Times New Roman" w:cs="Arial"/>
                <w:bCs w:val="0"/>
                <w:snapToGrid w:val="0"/>
                <w:color w:val="000000" w:themeColor="text1"/>
                <w:szCs w:val="20"/>
              </w:rPr>
            </w:pPr>
            <w:r w:rsidRPr="00A7187C">
              <w:rPr>
                <w:rFonts w:eastAsia="Times New Roman" w:cs="Arial"/>
                <w:bCs w:val="0"/>
                <w:snapToGrid w:val="0"/>
                <w:color w:val="000000" w:themeColor="text1"/>
                <w:szCs w:val="20"/>
              </w:rPr>
              <w:t>The PBAC agreed with the DUSC that the overall financial estimates presented were overestimated. The PBAC considered that the prevalent population was overestimated as a proportion of previously treated patients would be deceased or unable to tolerate further treatment by the time they became eligible for selpercatinib.</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The PBAC agreed with DUSC that the proportion of prevalent patients</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 xml:space="preserve">eligible for treatment would be between 70% and 80% </w:t>
            </w:r>
            <w:r>
              <w:rPr>
                <w:rFonts w:eastAsia="Times New Roman" w:cs="Arial"/>
                <w:bCs w:val="0"/>
                <w:snapToGrid w:val="0"/>
                <w:color w:val="000000" w:themeColor="text1"/>
                <w:szCs w:val="20"/>
              </w:rPr>
              <w:t>(para. 7.13, selpercatinib, PSD, July 2023 PBAC meeting).</w:t>
            </w:r>
          </w:p>
        </w:tc>
        <w:tc>
          <w:tcPr>
            <w:tcW w:w="2016" w:type="pct"/>
            <w:tcMar>
              <w:left w:w="20" w:type="dxa"/>
              <w:right w:w="20" w:type="dxa"/>
            </w:tcMar>
          </w:tcPr>
          <w:p w14:paraId="59A6ADC9" w14:textId="77777777" w:rsidR="002D7804" w:rsidRPr="00604DCD" w:rsidRDefault="002D7804" w:rsidP="007C6A96">
            <w:pPr>
              <w:pStyle w:val="TableText0"/>
              <w:keepNext w:val="0"/>
            </w:pPr>
            <w:r w:rsidRPr="00604DCD">
              <w:t xml:space="preserve">Addressed. Prevalent patients amended to 80% of the patients from prior 2 years. </w:t>
            </w:r>
          </w:p>
        </w:tc>
      </w:tr>
      <w:tr w:rsidR="002D7804" w:rsidRPr="00F62635" w14:paraId="1360A9EC" w14:textId="77777777" w:rsidTr="007C6A96">
        <w:trPr>
          <w:cantSplit/>
        </w:trPr>
        <w:tc>
          <w:tcPr>
            <w:tcW w:w="651" w:type="pct"/>
            <w:tcMar>
              <w:left w:w="20" w:type="dxa"/>
              <w:right w:w="20" w:type="dxa"/>
            </w:tcMar>
          </w:tcPr>
          <w:p w14:paraId="60DA2374" w14:textId="77777777" w:rsidR="002D7804" w:rsidRDefault="002D7804" w:rsidP="007C6A96">
            <w:pPr>
              <w:pStyle w:val="TableText0"/>
              <w:keepNext w:val="0"/>
            </w:pPr>
            <w:r>
              <w:t>Financial estimates</w:t>
            </w:r>
          </w:p>
        </w:tc>
        <w:tc>
          <w:tcPr>
            <w:tcW w:w="2333" w:type="pct"/>
            <w:tcMar>
              <w:left w:w="20" w:type="dxa"/>
              <w:right w:w="20" w:type="dxa"/>
            </w:tcMar>
          </w:tcPr>
          <w:p w14:paraId="2B8EF66E" w14:textId="77777777" w:rsidR="002D7804" w:rsidRPr="00A7187C" w:rsidRDefault="002D7804" w:rsidP="007C6A96">
            <w:pPr>
              <w:pStyle w:val="TableText0"/>
              <w:keepNext w:val="0"/>
              <w:rPr>
                <w:rFonts w:eastAsia="Times New Roman" w:cs="Arial"/>
                <w:bCs w:val="0"/>
                <w:snapToGrid w:val="0"/>
                <w:color w:val="000000" w:themeColor="text1"/>
                <w:szCs w:val="20"/>
              </w:rPr>
            </w:pPr>
            <w:r w:rsidRPr="00DA55C9">
              <w:rPr>
                <w:rFonts w:eastAsia="Times New Roman" w:cs="Arial"/>
                <w:bCs w:val="0"/>
                <w:snapToGrid w:val="0"/>
                <w:color w:val="000000" w:themeColor="text1"/>
                <w:szCs w:val="20"/>
              </w:rPr>
              <w:t>The PBAC also noted that in</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 xml:space="preserve">the LIBRETTO-001 </w:t>
            </w:r>
            <w:r>
              <w:rPr>
                <w:rFonts w:eastAsia="Times New Roman" w:cs="Arial"/>
                <w:bCs w:val="0"/>
                <w:snapToGrid w:val="0"/>
                <w:color w:val="000000" w:themeColor="text1"/>
                <w:szCs w:val="20"/>
              </w:rPr>
              <w:t>study</w:t>
            </w:r>
            <w:r w:rsidRPr="00DA55C9">
              <w:rPr>
                <w:rFonts w:eastAsia="Times New Roman" w:cs="Arial"/>
                <w:bCs w:val="0"/>
                <w:snapToGrid w:val="0"/>
                <w:color w:val="000000" w:themeColor="text1"/>
                <w:szCs w:val="20"/>
              </w:rPr>
              <w:t>, 31.9% of patients were treated beyond disease progression,</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while the proposed restriction stated that patients must not develop disease</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progression while receiving selpercatinib. The PBAC agreed with DUSC that it may be</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more appropriate to apply a duration based on the modelled PFS from the trial (32.1</w:t>
            </w:r>
            <w:r>
              <w:rPr>
                <w:rFonts w:eastAsia="Times New Roman" w:cs="Arial"/>
                <w:bCs w:val="0"/>
                <w:snapToGrid w:val="0"/>
                <w:color w:val="000000" w:themeColor="text1"/>
                <w:szCs w:val="20"/>
              </w:rPr>
              <w:t xml:space="preserve"> </w:t>
            </w:r>
            <w:r w:rsidRPr="00DA55C9">
              <w:rPr>
                <w:rFonts w:eastAsia="Times New Roman" w:cs="Arial"/>
                <w:bCs w:val="0"/>
                <w:snapToGrid w:val="0"/>
                <w:color w:val="000000" w:themeColor="text1"/>
                <w:szCs w:val="20"/>
              </w:rPr>
              <w:t>months)</w:t>
            </w:r>
            <w:r>
              <w:rPr>
                <w:rFonts w:eastAsia="Times New Roman" w:cs="Arial"/>
                <w:bCs w:val="0"/>
                <w:snapToGrid w:val="0"/>
                <w:color w:val="000000" w:themeColor="text1"/>
                <w:szCs w:val="20"/>
              </w:rPr>
              <w:t xml:space="preserve"> (para. 7.13, selpercatinib, PSD, July 2023 PBAC meeting).</w:t>
            </w:r>
          </w:p>
        </w:tc>
        <w:tc>
          <w:tcPr>
            <w:tcW w:w="2016" w:type="pct"/>
            <w:tcMar>
              <w:left w:w="20" w:type="dxa"/>
              <w:right w:w="20" w:type="dxa"/>
            </w:tcMar>
          </w:tcPr>
          <w:p w14:paraId="269092E9" w14:textId="03992B5F" w:rsidR="002D7804" w:rsidRPr="00604DCD" w:rsidRDefault="002D7804" w:rsidP="007C6A96">
            <w:pPr>
              <w:pStyle w:val="TableText0"/>
              <w:keepNext w:val="0"/>
            </w:pPr>
            <w:r w:rsidRPr="00604DCD">
              <w:t>Not addressed. Treatment duration was unchanged at 34.7 months</w:t>
            </w:r>
            <w:r w:rsidR="0058610A">
              <w:t>, based on the modelled time to treatment discontinuation</w:t>
            </w:r>
            <w:r w:rsidR="007E4909" w:rsidRPr="00604DCD">
              <w:t xml:space="preserve">. </w:t>
            </w:r>
          </w:p>
        </w:tc>
      </w:tr>
    </w:tbl>
    <w:p w14:paraId="7E637BD4" w14:textId="00C99A05" w:rsidR="002D7804" w:rsidRDefault="002D7804" w:rsidP="002D7804">
      <w:pPr>
        <w:pStyle w:val="FooterTableFigure"/>
      </w:pPr>
      <w:r>
        <w:t>Source: Compiled during the evaluation, based on  the resubmission.</w:t>
      </w:r>
    </w:p>
    <w:p w14:paraId="500933B9" w14:textId="2B28A407" w:rsidR="00861BF1" w:rsidRDefault="00BC5A69" w:rsidP="002D7804">
      <w:pPr>
        <w:pStyle w:val="FooterTableFigure"/>
      </w:pPr>
      <w:r>
        <w:t xml:space="preserve">CI = confidence interval; </w:t>
      </w:r>
      <w:r w:rsidR="002D7804">
        <w:t>DU</w:t>
      </w:r>
      <w:r w:rsidR="002D7804" w:rsidRPr="000F0D63">
        <w:t xml:space="preserve">SC = </w:t>
      </w:r>
      <w:r w:rsidR="00D57C5F">
        <w:t xml:space="preserve">Drug </w:t>
      </w:r>
      <w:r w:rsidR="005E7586">
        <w:t xml:space="preserve">Utilisation </w:t>
      </w:r>
      <w:r w:rsidR="005E7586" w:rsidRPr="000F0D63">
        <w:t>Sub</w:t>
      </w:r>
      <w:r w:rsidR="002D7804" w:rsidRPr="000F0D63">
        <w:t xml:space="preserve"> Committee;</w:t>
      </w:r>
      <w:r w:rsidR="002D7804">
        <w:t xml:space="preserve"> </w:t>
      </w:r>
      <w:r>
        <w:t xml:space="preserve">HR = hazard ratio; </w:t>
      </w:r>
      <w:r w:rsidR="002D7804">
        <w:t xml:space="preserve">ICER = incremental cost effectiveness ratio; </w:t>
      </w:r>
      <w:r>
        <w:t xml:space="preserve">ITT = intention to treat; </w:t>
      </w:r>
      <w:r w:rsidR="002D7804" w:rsidRPr="000F0D63">
        <w:t>MAIC = matching adjusted indirect comparison; NMA = network meta-analysis; NSCLC = non-small cell lung cancer; OS</w:t>
      </w:r>
      <w:r w:rsidR="002D7804">
        <w:t xml:space="preserve"> = overall survival; </w:t>
      </w:r>
      <w:r w:rsidR="002D7804" w:rsidRPr="000F0D63">
        <w:t>PBAC = Pharmaceutical Benefits Advisory Committee;</w:t>
      </w:r>
      <w:r w:rsidR="002D7804">
        <w:t xml:space="preserve"> </w:t>
      </w:r>
      <w:r w:rsidR="002D7804" w:rsidRPr="000F0D63">
        <w:t>PC = platinum</w:t>
      </w:r>
      <w:r w:rsidR="002D7804">
        <w:t>-based doublet</w:t>
      </w:r>
      <w:r w:rsidR="002D7804" w:rsidRPr="000F0D63">
        <w:t xml:space="preserve"> chemotherapy; PFS = progression-free survival; PSD = Public Summary Document; </w:t>
      </w:r>
      <w:r w:rsidRPr="002363DC">
        <w:rPr>
          <w:i/>
          <w:szCs w:val="18"/>
        </w:rPr>
        <w:t>RET</w:t>
      </w:r>
      <w:r w:rsidRPr="002363DC">
        <w:rPr>
          <w:szCs w:val="18"/>
        </w:rPr>
        <w:t xml:space="preserve"> = rearranged during transfection</w:t>
      </w:r>
      <w:r w:rsidR="002D7804">
        <w:t>.</w:t>
      </w:r>
    </w:p>
    <w:p w14:paraId="2FAE96D0" w14:textId="04BC3B46" w:rsidR="00861BF1" w:rsidRPr="00861BF1" w:rsidRDefault="00861BF1" w:rsidP="00861BF1">
      <w:pPr>
        <w:rPr>
          <w:i/>
          <w:iCs/>
        </w:rPr>
      </w:pPr>
      <w:r>
        <w:tab/>
      </w:r>
      <w:r w:rsidRPr="00861BF1">
        <w:rPr>
          <w:i/>
          <w:iCs/>
        </w:rPr>
        <w:t>For more detail on PBAC’s view, see section 7 PBAC outcome.</w:t>
      </w:r>
    </w:p>
    <w:p w14:paraId="0F1D4126" w14:textId="77777777" w:rsidR="002D7804" w:rsidRPr="00882085" w:rsidRDefault="002D7804" w:rsidP="002D7804">
      <w:pPr>
        <w:pStyle w:val="2-SectionHeading"/>
      </w:pPr>
      <w:bookmarkStart w:id="13" w:name="_Toc107902078"/>
      <w:bookmarkStart w:id="14" w:name="_Toc167269741"/>
      <w:bookmarkEnd w:id="13"/>
      <w:r w:rsidRPr="00407F2D">
        <w:t>Requested listing</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268"/>
        <w:gridCol w:w="708"/>
        <w:gridCol w:w="851"/>
        <w:gridCol w:w="709"/>
        <w:gridCol w:w="1792"/>
      </w:tblGrid>
      <w:tr w:rsidR="002D7804" w:rsidRPr="001428E9" w14:paraId="77A3AA94" w14:textId="77777777">
        <w:trPr>
          <w:cantSplit/>
          <w:trHeight w:val="20"/>
        </w:trPr>
        <w:tc>
          <w:tcPr>
            <w:tcW w:w="2689" w:type="dxa"/>
            <w:vAlign w:val="center"/>
          </w:tcPr>
          <w:p w14:paraId="705919BB" w14:textId="77777777" w:rsidR="002D7804" w:rsidRPr="001428E9" w:rsidRDefault="002D7804">
            <w:pPr>
              <w:keepNext/>
              <w:keepLines/>
              <w:jc w:val="center"/>
              <w:rPr>
                <w:rFonts w:ascii="Arial Narrow" w:hAnsi="Arial Narrow"/>
                <w:b/>
                <w:bCs/>
                <w:sz w:val="20"/>
                <w:szCs w:val="20"/>
              </w:rPr>
            </w:pPr>
            <w:r w:rsidRPr="001428E9">
              <w:rPr>
                <w:rFonts w:ascii="Arial Narrow" w:hAnsi="Arial Narrow"/>
                <w:b/>
                <w:bCs/>
                <w:sz w:val="20"/>
                <w:szCs w:val="20"/>
              </w:rPr>
              <w:t>MEDICINAL PRODUCT</w:t>
            </w:r>
          </w:p>
          <w:p w14:paraId="253D0D5A" w14:textId="77777777" w:rsidR="002D7804" w:rsidRPr="001428E9" w:rsidRDefault="002D7804">
            <w:pPr>
              <w:keepNext/>
              <w:keepLines/>
              <w:jc w:val="center"/>
              <w:rPr>
                <w:rFonts w:ascii="Arial Narrow" w:hAnsi="Arial Narrow"/>
                <w:b/>
                <w:sz w:val="20"/>
                <w:szCs w:val="20"/>
              </w:rPr>
            </w:pPr>
            <w:r w:rsidRPr="001428E9">
              <w:rPr>
                <w:rFonts w:ascii="Arial Narrow" w:hAnsi="Arial Narrow"/>
                <w:b/>
                <w:bCs/>
                <w:sz w:val="20"/>
                <w:szCs w:val="20"/>
              </w:rPr>
              <w:t>medicinal product pack</w:t>
            </w:r>
          </w:p>
        </w:tc>
        <w:tc>
          <w:tcPr>
            <w:tcW w:w="2268" w:type="dxa"/>
            <w:vAlign w:val="center"/>
          </w:tcPr>
          <w:p w14:paraId="3235F742" w14:textId="77777777" w:rsidR="002D7804" w:rsidRPr="00C61A59" w:rsidRDefault="002D7804">
            <w:pPr>
              <w:pStyle w:val="TableText0"/>
              <w:jc w:val="center"/>
              <w:rPr>
                <w:b/>
                <w:bCs w:val="0"/>
                <w:szCs w:val="20"/>
              </w:rPr>
            </w:pPr>
            <w:r w:rsidRPr="00C61A59">
              <w:rPr>
                <w:b/>
                <w:bCs w:val="0"/>
                <w:snapToGrid w:val="0"/>
              </w:rPr>
              <w:t>Dispensed Price for Max. Qty</w:t>
            </w:r>
          </w:p>
        </w:tc>
        <w:tc>
          <w:tcPr>
            <w:tcW w:w="708" w:type="dxa"/>
            <w:vAlign w:val="center"/>
          </w:tcPr>
          <w:p w14:paraId="5B5B7657" w14:textId="77777777" w:rsidR="002D7804" w:rsidRPr="001428E9" w:rsidRDefault="002D7804">
            <w:pPr>
              <w:keepNext/>
              <w:keepLines/>
              <w:jc w:val="center"/>
              <w:rPr>
                <w:rFonts w:ascii="Arial Narrow" w:hAnsi="Arial Narrow"/>
                <w:b/>
                <w:sz w:val="20"/>
                <w:szCs w:val="20"/>
              </w:rPr>
            </w:pPr>
            <w:r w:rsidRPr="001428E9">
              <w:rPr>
                <w:rFonts w:ascii="Arial Narrow" w:hAnsi="Arial Narrow"/>
                <w:b/>
                <w:sz w:val="20"/>
                <w:szCs w:val="20"/>
              </w:rPr>
              <w:t>Max. qty packs</w:t>
            </w:r>
          </w:p>
        </w:tc>
        <w:tc>
          <w:tcPr>
            <w:tcW w:w="851" w:type="dxa"/>
            <w:vAlign w:val="center"/>
          </w:tcPr>
          <w:p w14:paraId="5ED7DFDD" w14:textId="77777777" w:rsidR="002D7804" w:rsidRPr="001428E9" w:rsidRDefault="002D7804">
            <w:pPr>
              <w:keepNext/>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1AB40F95" w14:textId="1B2279AF" w:rsidR="002D7804" w:rsidRPr="001428E9" w:rsidRDefault="005E7586">
            <w:pPr>
              <w:keepNext/>
              <w:keepLines/>
              <w:jc w:val="center"/>
              <w:rPr>
                <w:rFonts w:ascii="Arial Narrow" w:hAnsi="Arial Narrow"/>
                <w:b/>
                <w:sz w:val="20"/>
                <w:szCs w:val="20"/>
              </w:rPr>
            </w:pPr>
            <w:r>
              <w:rPr>
                <w:rFonts w:ascii="Arial Narrow" w:hAnsi="Arial Narrow"/>
                <w:b/>
                <w:sz w:val="20"/>
                <w:szCs w:val="20"/>
              </w:rPr>
              <w:t>No</w:t>
            </w:r>
            <w:r w:rsidR="002D7804" w:rsidRPr="001428E9">
              <w:rPr>
                <w:rFonts w:ascii="Arial Narrow" w:hAnsi="Arial Narrow"/>
                <w:b/>
                <w:sz w:val="20"/>
                <w:szCs w:val="20"/>
              </w:rPr>
              <w:t>.</w:t>
            </w:r>
            <w:r w:rsidR="00330871">
              <w:rPr>
                <w:rFonts w:ascii="Arial Narrow" w:hAnsi="Arial Narrow"/>
                <w:b/>
                <w:sz w:val="20"/>
                <w:szCs w:val="20"/>
              </w:rPr>
              <w:t xml:space="preserve"> </w:t>
            </w:r>
            <w:r w:rsidR="002D7804" w:rsidRPr="001428E9">
              <w:rPr>
                <w:rFonts w:ascii="Arial Narrow" w:hAnsi="Arial Narrow"/>
                <w:b/>
                <w:sz w:val="20"/>
                <w:szCs w:val="20"/>
              </w:rPr>
              <w:t>of</w:t>
            </w:r>
          </w:p>
          <w:p w14:paraId="08C688FF" w14:textId="77777777" w:rsidR="002D7804" w:rsidRPr="001428E9" w:rsidRDefault="002D7804">
            <w:pPr>
              <w:keepNext/>
              <w:keepLines/>
              <w:jc w:val="center"/>
              <w:rPr>
                <w:rFonts w:ascii="Arial Narrow" w:hAnsi="Arial Narrow"/>
                <w:b/>
                <w:sz w:val="20"/>
                <w:szCs w:val="20"/>
              </w:rPr>
            </w:pPr>
            <w:r w:rsidRPr="001428E9">
              <w:rPr>
                <w:rFonts w:ascii="Arial Narrow" w:hAnsi="Arial Narrow"/>
                <w:b/>
                <w:sz w:val="20"/>
                <w:szCs w:val="20"/>
              </w:rPr>
              <w:t>Rpts</w:t>
            </w:r>
          </w:p>
        </w:tc>
        <w:tc>
          <w:tcPr>
            <w:tcW w:w="1792" w:type="dxa"/>
            <w:vAlign w:val="center"/>
          </w:tcPr>
          <w:p w14:paraId="43824526" w14:textId="77777777" w:rsidR="002D7804" w:rsidRPr="001428E9" w:rsidRDefault="002D7804">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2D7804" w:rsidRPr="001428E9" w14:paraId="47344B16" w14:textId="77777777">
        <w:trPr>
          <w:cantSplit/>
          <w:trHeight w:val="20"/>
        </w:trPr>
        <w:tc>
          <w:tcPr>
            <w:tcW w:w="9017" w:type="dxa"/>
            <w:gridSpan w:val="6"/>
            <w:vAlign w:val="center"/>
          </w:tcPr>
          <w:p w14:paraId="5CD3DF8F" w14:textId="77777777" w:rsidR="002D7804" w:rsidRPr="001428E9" w:rsidRDefault="002D7804">
            <w:pPr>
              <w:pStyle w:val="TableText0"/>
              <w:rPr>
                <w:rFonts w:cs="Arial"/>
                <w:szCs w:val="20"/>
              </w:rPr>
            </w:pPr>
            <w:r>
              <w:t>SELPERCATINIB</w:t>
            </w:r>
            <w:r w:rsidRPr="00A40326">
              <w:rPr>
                <w:rFonts w:cs="Arial"/>
                <w:szCs w:val="20"/>
              </w:rPr>
              <w:t xml:space="preserve"> </w:t>
            </w:r>
          </w:p>
        </w:tc>
      </w:tr>
      <w:tr w:rsidR="002D7804" w:rsidRPr="001428E9" w14:paraId="2CB8B487" w14:textId="77777777">
        <w:trPr>
          <w:cantSplit/>
          <w:trHeight w:val="20"/>
        </w:trPr>
        <w:tc>
          <w:tcPr>
            <w:tcW w:w="2689" w:type="dxa"/>
            <w:vAlign w:val="center"/>
          </w:tcPr>
          <w:p w14:paraId="3C31788A" w14:textId="77777777" w:rsidR="002D7804" w:rsidRPr="00A40326" w:rsidRDefault="002D7804">
            <w:pPr>
              <w:pStyle w:val="TableText0"/>
              <w:keepLines/>
              <w:rPr>
                <w:szCs w:val="20"/>
              </w:rPr>
            </w:pPr>
            <w:r>
              <w:t>Selpercatinib 80 mg capsule, 112</w:t>
            </w:r>
          </w:p>
        </w:tc>
        <w:tc>
          <w:tcPr>
            <w:tcW w:w="2268" w:type="dxa"/>
          </w:tcPr>
          <w:p w14:paraId="50EA0F0A" w14:textId="2D2DE9CA" w:rsidR="002D7804" w:rsidRPr="00565C79" w:rsidRDefault="002D7804">
            <w:pPr>
              <w:pStyle w:val="TableText0"/>
            </w:pPr>
            <w:r w:rsidRPr="0010684C">
              <w:t>$</w:t>
            </w:r>
            <w:r w:rsidR="00DA3714" w:rsidRPr="00DA3714">
              <w:rPr>
                <w:color w:val="000000"/>
                <w:spacing w:val="45"/>
                <w:shd w:val="solid" w:color="000000" w:fill="000000"/>
                <w:fitText w:val="330" w:id="-893663488"/>
                <w14:textFill>
                  <w14:solidFill>
                    <w14:srgbClr w14:val="000000">
                      <w14:alpha w14:val="100000"/>
                    </w14:srgbClr>
                  </w14:solidFill>
                </w14:textFill>
              </w:rPr>
              <w:t>|||</w:t>
            </w:r>
            <w:r w:rsidR="00DA3714" w:rsidRPr="00DA3714">
              <w:rPr>
                <w:color w:val="000000"/>
                <w:spacing w:val="15"/>
                <w:shd w:val="solid" w:color="000000" w:fill="000000"/>
                <w:fitText w:val="330" w:id="-893663488"/>
                <w14:textFill>
                  <w14:solidFill>
                    <w14:srgbClr w14:val="000000">
                      <w14:alpha w14:val="100000"/>
                    </w14:srgbClr>
                  </w14:solidFill>
                </w14:textFill>
              </w:rPr>
              <w:t>|</w:t>
            </w:r>
            <w:r w:rsidRPr="00565C79">
              <w:t>published price</w:t>
            </w:r>
          </w:p>
          <w:p w14:paraId="3E4FC25B" w14:textId="67F19106" w:rsidR="002D7804" w:rsidRPr="001428E9" w:rsidRDefault="002D7804">
            <w:pPr>
              <w:pStyle w:val="TableText0"/>
              <w:rPr>
                <w:szCs w:val="20"/>
              </w:rPr>
            </w:pPr>
            <w:r w:rsidRPr="0010684C">
              <w:t>$</w:t>
            </w:r>
            <w:r w:rsidR="00DA3714" w:rsidRPr="00DA3714">
              <w:rPr>
                <w:color w:val="000000"/>
                <w:spacing w:val="45"/>
                <w:shd w:val="solid" w:color="000000" w:fill="000000"/>
                <w:fitText w:val="330" w:id="-893663487"/>
                <w14:textFill>
                  <w14:solidFill>
                    <w14:srgbClr w14:val="000000">
                      <w14:alpha w14:val="100000"/>
                    </w14:srgbClr>
                  </w14:solidFill>
                </w14:textFill>
              </w:rPr>
              <w:t>|||</w:t>
            </w:r>
            <w:r w:rsidR="00DA3714" w:rsidRPr="00DA3714">
              <w:rPr>
                <w:color w:val="000000"/>
                <w:spacing w:val="15"/>
                <w:shd w:val="solid" w:color="000000" w:fill="000000"/>
                <w:fitText w:val="330" w:id="-893663487"/>
                <w14:textFill>
                  <w14:solidFill>
                    <w14:srgbClr w14:val="000000">
                      <w14:alpha w14:val="100000"/>
                    </w14:srgbClr>
                  </w14:solidFill>
                </w14:textFill>
              </w:rPr>
              <w:t>|</w:t>
            </w:r>
            <w:r>
              <w:t xml:space="preserve"> </w:t>
            </w:r>
            <w:r w:rsidRPr="00565C79">
              <w:t>effective price</w:t>
            </w:r>
          </w:p>
        </w:tc>
        <w:tc>
          <w:tcPr>
            <w:tcW w:w="708" w:type="dxa"/>
            <w:vAlign w:val="center"/>
          </w:tcPr>
          <w:p w14:paraId="14E00117" w14:textId="77777777" w:rsidR="002D7804" w:rsidRPr="001428E9" w:rsidRDefault="002D7804">
            <w:pPr>
              <w:keepLines/>
              <w:jc w:val="center"/>
              <w:rPr>
                <w:rFonts w:ascii="Arial Narrow" w:hAnsi="Arial Narrow"/>
                <w:sz w:val="20"/>
                <w:szCs w:val="20"/>
              </w:rPr>
            </w:pPr>
            <w:r>
              <w:rPr>
                <w:rFonts w:ascii="Arial Narrow" w:hAnsi="Arial Narrow"/>
                <w:sz w:val="20"/>
              </w:rPr>
              <w:t>1</w:t>
            </w:r>
          </w:p>
        </w:tc>
        <w:tc>
          <w:tcPr>
            <w:tcW w:w="851" w:type="dxa"/>
            <w:vAlign w:val="center"/>
          </w:tcPr>
          <w:p w14:paraId="709695A3" w14:textId="77777777" w:rsidR="002D7804" w:rsidRPr="001428E9" w:rsidRDefault="002D7804">
            <w:pPr>
              <w:keepLines/>
              <w:jc w:val="center"/>
              <w:rPr>
                <w:rFonts w:ascii="Arial Narrow" w:hAnsi="Arial Narrow"/>
                <w:sz w:val="20"/>
                <w:szCs w:val="20"/>
              </w:rPr>
            </w:pPr>
            <w:r>
              <w:rPr>
                <w:rFonts w:ascii="Arial Narrow" w:hAnsi="Arial Narrow"/>
                <w:sz w:val="20"/>
              </w:rPr>
              <w:t>112</w:t>
            </w:r>
          </w:p>
        </w:tc>
        <w:tc>
          <w:tcPr>
            <w:tcW w:w="709" w:type="dxa"/>
            <w:vAlign w:val="center"/>
          </w:tcPr>
          <w:p w14:paraId="5BF77697" w14:textId="77777777" w:rsidR="002D7804" w:rsidRPr="001428E9" w:rsidRDefault="002D7804">
            <w:pPr>
              <w:keepLines/>
              <w:jc w:val="center"/>
              <w:rPr>
                <w:rFonts w:ascii="Arial Narrow" w:hAnsi="Arial Narrow"/>
                <w:sz w:val="20"/>
                <w:szCs w:val="20"/>
              </w:rPr>
            </w:pPr>
            <w:r>
              <w:rPr>
                <w:rFonts w:ascii="Arial Narrow" w:hAnsi="Arial Narrow"/>
                <w:sz w:val="20"/>
              </w:rPr>
              <w:t>5</w:t>
            </w:r>
          </w:p>
        </w:tc>
        <w:tc>
          <w:tcPr>
            <w:tcW w:w="1792" w:type="dxa"/>
          </w:tcPr>
          <w:p w14:paraId="3F8D59BE" w14:textId="77777777" w:rsidR="002D7804" w:rsidRPr="00A40326" w:rsidRDefault="002D7804">
            <w:pPr>
              <w:keepLines/>
              <w:jc w:val="left"/>
              <w:rPr>
                <w:rFonts w:ascii="Arial Narrow" w:hAnsi="Arial Narrow"/>
                <w:sz w:val="20"/>
                <w:szCs w:val="20"/>
              </w:rPr>
            </w:pPr>
            <w:r w:rsidRPr="00592A3E">
              <w:rPr>
                <w:rFonts w:ascii="Arial Narrow" w:hAnsi="Arial Narrow"/>
                <w:sz w:val="20"/>
                <w:szCs w:val="20"/>
              </w:rPr>
              <w:t>R</w:t>
            </w:r>
            <w:r>
              <w:rPr>
                <w:rFonts w:ascii="Arial Narrow" w:hAnsi="Arial Narrow"/>
                <w:sz w:val="20"/>
                <w:szCs w:val="20"/>
              </w:rPr>
              <w:t>etevmo</w:t>
            </w:r>
            <w:r w:rsidRPr="00592A3E">
              <w:rPr>
                <w:rFonts w:ascii="Arial Narrow" w:hAnsi="Arial Narrow"/>
                <w:sz w:val="20"/>
                <w:szCs w:val="20"/>
              </w:rPr>
              <w:t>, Eli Lilly Australia Pty Ltd</w:t>
            </w:r>
          </w:p>
        </w:tc>
      </w:tr>
      <w:tr w:rsidR="002D7804" w:rsidRPr="001428E9" w14:paraId="7E3DEC22" w14:textId="77777777">
        <w:trPr>
          <w:cantSplit/>
          <w:trHeight w:val="20"/>
        </w:trPr>
        <w:tc>
          <w:tcPr>
            <w:tcW w:w="2689" w:type="dxa"/>
            <w:vAlign w:val="center"/>
          </w:tcPr>
          <w:p w14:paraId="44F2651A" w14:textId="77777777" w:rsidR="002D7804" w:rsidRPr="0010684C" w:rsidRDefault="002D7804">
            <w:pPr>
              <w:pStyle w:val="TableText0"/>
              <w:keepLines/>
            </w:pPr>
            <w:r>
              <w:t>Selpercatinib 80 mg capsule, 56</w:t>
            </w:r>
          </w:p>
        </w:tc>
        <w:tc>
          <w:tcPr>
            <w:tcW w:w="2268" w:type="dxa"/>
          </w:tcPr>
          <w:p w14:paraId="221D69EB" w14:textId="1FC605D3" w:rsidR="002D7804" w:rsidRPr="00565C79" w:rsidRDefault="002D7804">
            <w:pPr>
              <w:pStyle w:val="TableText0"/>
            </w:pPr>
            <w:r w:rsidRPr="0010684C">
              <w:t>$</w:t>
            </w:r>
            <w:r w:rsidR="00DA3714" w:rsidRPr="00DA3714">
              <w:rPr>
                <w:color w:val="000000"/>
                <w:spacing w:val="45"/>
                <w:shd w:val="solid" w:color="000000" w:fill="000000"/>
                <w:fitText w:val="330" w:id="-893663486"/>
                <w14:textFill>
                  <w14:solidFill>
                    <w14:srgbClr w14:val="000000">
                      <w14:alpha w14:val="100000"/>
                    </w14:srgbClr>
                  </w14:solidFill>
                </w14:textFill>
              </w:rPr>
              <w:t>|||</w:t>
            </w:r>
            <w:r w:rsidR="00DA3714" w:rsidRPr="00DA3714">
              <w:rPr>
                <w:color w:val="000000"/>
                <w:spacing w:val="15"/>
                <w:shd w:val="solid" w:color="000000" w:fill="000000"/>
                <w:fitText w:val="330" w:id="-893663486"/>
                <w14:textFill>
                  <w14:solidFill>
                    <w14:srgbClr w14:val="000000">
                      <w14:alpha w14:val="100000"/>
                    </w14:srgbClr>
                  </w14:solidFill>
                </w14:textFill>
              </w:rPr>
              <w:t>|</w:t>
            </w:r>
            <w:r w:rsidRPr="00565C79">
              <w:t>published price</w:t>
            </w:r>
          </w:p>
          <w:p w14:paraId="5D751D2F" w14:textId="7AA84E3F" w:rsidR="002D7804" w:rsidRPr="001428E9" w:rsidRDefault="002D7804">
            <w:pPr>
              <w:pStyle w:val="TableText0"/>
              <w:rPr>
                <w:szCs w:val="20"/>
              </w:rPr>
            </w:pPr>
            <w:r w:rsidRPr="0010684C">
              <w:t>$</w:t>
            </w:r>
            <w:r w:rsidR="00DA3714" w:rsidRPr="00DA3714">
              <w:rPr>
                <w:color w:val="000000"/>
                <w:spacing w:val="45"/>
                <w:shd w:val="solid" w:color="000000" w:fill="000000"/>
                <w:fitText w:val="330" w:id="-893663485"/>
                <w14:textFill>
                  <w14:solidFill>
                    <w14:srgbClr w14:val="000000">
                      <w14:alpha w14:val="100000"/>
                    </w14:srgbClr>
                  </w14:solidFill>
                </w14:textFill>
              </w:rPr>
              <w:t>|||</w:t>
            </w:r>
            <w:r w:rsidR="00DA3714" w:rsidRPr="00DA3714">
              <w:rPr>
                <w:color w:val="000000"/>
                <w:spacing w:val="15"/>
                <w:shd w:val="solid" w:color="000000" w:fill="000000"/>
                <w:fitText w:val="330" w:id="-893663485"/>
                <w14:textFill>
                  <w14:solidFill>
                    <w14:srgbClr w14:val="000000">
                      <w14:alpha w14:val="100000"/>
                    </w14:srgbClr>
                  </w14:solidFill>
                </w14:textFill>
              </w:rPr>
              <w:t>|</w:t>
            </w:r>
            <w:r>
              <w:t xml:space="preserve"> </w:t>
            </w:r>
            <w:r w:rsidRPr="00565C79">
              <w:t>effective price</w:t>
            </w:r>
          </w:p>
        </w:tc>
        <w:tc>
          <w:tcPr>
            <w:tcW w:w="708" w:type="dxa"/>
            <w:vAlign w:val="center"/>
          </w:tcPr>
          <w:p w14:paraId="70ED727B" w14:textId="77777777" w:rsidR="002D7804" w:rsidRPr="001428E9" w:rsidRDefault="002D7804">
            <w:pPr>
              <w:keepLines/>
              <w:jc w:val="center"/>
              <w:rPr>
                <w:rFonts w:ascii="Arial Narrow" w:hAnsi="Arial Narrow"/>
                <w:sz w:val="20"/>
                <w:szCs w:val="20"/>
              </w:rPr>
            </w:pPr>
            <w:r>
              <w:rPr>
                <w:rFonts w:ascii="Arial Narrow" w:hAnsi="Arial Narrow"/>
                <w:sz w:val="20"/>
              </w:rPr>
              <w:t>1</w:t>
            </w:r>
          </w:p>
        </w:tc>
        <w:tc>
          <w:tcPr>
            <w:tcW w:w="851" w:type="dxa"/>
            <w:vAlign w:val="center"/>
          </w:tcPr>
          <w:p w14:paraId="604DD3CA" w14:textId="77777777" w:rsidR="002D7804" w:rsidRPr="001428E9" w:rsidRDefault="002D7804">
            <w:pPr>
              <w:keepLines/>
              <w:jc w:val="center"/>
              <w:rPr>
                <w:rFonts w:ascii="Arial Narrow" w:hAnsi="Arial Narrow"/>
                <w:sz w:val="20"/>
                <w:szCs w:val="20"/>
              </w:rPr>
            </w:pPr>
            <w:r>
              <w:rPr>
                <w:rFonts w:ascii="Arial Narrow" w:hAnsi="Arial Narrow"/>
                <w:sz w:val="20"/>
              </w:rPr>
              <w:t>56</w:t>
            </w:r>
          </w:p>
        </w:tc>
        <w:tc>
          <w:tcPr>
            <w:tcW w:w="709" w:type="dxa"/>
            <w:vAlign w:val="center"/>
          </w:tcPr>
          <w:p w14:paraId="24C2D702" w14:textId="77777777" w:rsidR="002D7804" w:rsidRPr="001428E9" w:rsidRDefault="002D7804">
            <w:pPr>
              <w:keepLines/>
              <w:jc w:val="center"/>
              <w:rPr>
                <w:rFonts w:ascii="Arial Narrow" w:hAnsi="Arial Narrow"/>
                <w:sz w:val="20"/>
                <w:szCs w:val="20"/>
              </w:rPr>
            </w:pPr>
            <w:r>
              <w:rPr>
                <w:rFonts w:ascii="Arial Narrow" w:hAnsi="Arial Narrow"/>
                <w:sz w:val="20"/>
              </w:rPr>
              <w:t>5</w:t>
            </w:r>
          </w:p>
        </w:tc>
        <w:tc>
          <w:tcPr>
            <w:tcW w:w="1792" w:type="dxa"/>
          </w:tcPr>
          <w:p w14:paraId="61BF2D68" w14:textId="77777777" w:rsidR="002D7804" w:rsidRPr="00A40326" w:rsidRDefault="002D7804">
            <w:pPr>
              <w:keepLines/>
              <w:jc w:val="left"/>
              <w:rPr>
                <w:rFonts w:ascii="Arial Narrow" w:hAnsi="Arial Narrow"/>
                <w:sz w:val="20"/>
                <w:szCs w:val="20"/>
              </w:rPr>
            </w:pPr>
            <w:r w:rsidRPr="00592A3E">
              <w:rPr>
                <w:rFonts w:ascii="Arial Narrow" w:hAnsi="Arial Narrow"/>
                <w:sz w:val="20"/>
                <w:szCs w:val="20"/>
              </w:rPr>
              <w:t>R</w:t>
            </w:r>
            <w:r>
              <w:rPr>
                <w:rFonts w:ascii="Arial Narrow" w:hAnsi="Arial Narrow"/>
                <w:sz w:val="20"/>
                <w:szCs w:val="20"/>
              </w:rPr>
              <w:t>etevmo</w:t>
            </w:r>
            <w:r w:rsidRPr="00592A3E">
              <w:rPr>
                <w:rFonts w:ascii="Arial Narrow" w:hAnsi="Arial Narrow"/>
                <w:sz w:val="20"/>
                <w:szCs w:val="20"/>
              </w:rPr>
              <w:t>, Eli Lilly Australia Pty Ltd</w:t>
            </w:r>
          </w:p>
        </w:tc>
      </w:tr>
      <w:tr w:rsidR="002D7804" w:rsidRPr="001428E9" w14:paraId="13C0E4CC" w14:textId="77777777">
        <w:trPr>
          <w:cantSplit/>
          <w:trHeight w:val="20"/>
        </w:trPr>
        <w:tc>
          <w:tcPr>
            <w:tcW w:w="2689" w:type="dxa"/>
            <w:vAlign w:val="center"/>
          </w:tcPr>
          <w:p w14:paraId="2898D023" w14:textId="77777777" w:rsidR="002D7804" w:rsidRPr="00A40326" w:rsidRDefault="002D7804">
            <w:pPr>
              <w:pStyle w:val="TableText0"/>
              <w:keepLines/>
              <w:rPr>
                <w:szCs w:val="20"/>
              </w:rPr>
            </w:pPr>
            <w:r>
              <w:t>Selpercatinib 40 mg capsule, 56</w:t>
            </w:r>
          </w:p>
        </w:tc>
        <w:tc>
          <w:tcPr>
            <w:tcW w:w="2268" w:type="dxa"/>
          </w:tcPr>
          <w:p w14:paraId="097584E4" w14:textId="6A55AF5C" w:rsidR="002D7804" w:rsidRPr="0010684C" w:rsidRDefault="002D7804">
            <w:pPr>
              <w:keepNext/>
              <w:jc w:val="left"/>
              <w:rPr>
                <w:rFonts w:ascii="Arial Narrow" w:hAnsi="Arial Narrow"/>
                <w:bCs/>
                <w:sz w:val="20"/>
                <w:szCs w:val="20"/>
              </w:rPr>
            </w:pPr>
            <w:r w:rsidRPr="00FA1B07">
              <w:rPr>
                <w:rFonts w:ascii="Arial Narrow" w:hAnsi="Arial Narrow"/>
                <w:bCs/>
                <w:sz w:val="20"/>
                <w:szCs w:val="20"/>
              </w:rPr>
              <w:t>$</w:t>
            </w:r>
            <w:r w:rsidR="00DA3714" w:rsidRPr="00DA3714">
              <w:rPr>
                <w:rFonts w:ascii="Arial Narrow" w:hAnsi="Arial Narrow"/>
                <w:color w:val="000000"/>
                <w:spacing w:val="45"/>
                <w:sz w:val="20"/>
                <w:szCs w:val="20"/>
                <w:shd w:val="solid" w:color="000000" w:fill="000000"/>
                <w:fitText w:val="330" w:id="-893663484"/>
                <w14:textFill>
                  <w14:solidFill>
                    <w14:srgbClr w14:val="000000">
                      <w14:alpha w14:val="100000"/>
                    </w14:srgbClr>
                  </w14:solidFill>
                </w14:textFill>
              </w:rPr>
              <w:t>|||</w:t>
            </w:r>
            <w:r w:rsidR="00DA3714" w:rsidRPr="00DA3714">
              <w:rPr>
                <w:rFonts w:ascii="Arial Narrow" w:hAnsi="Arial Narrow"/>
                <w:color w:val="000000"/>
                <w:spacing w:val="15"/>
                <w:sz w:val="20"/>
                <w:szCs w:val="20"/>
                <w:shd w:val="solid" w:color="000000" w:fill="000000"/>
                <w:fitText w:val="330" w:id="-893663484"/>
                <w14:textFill>
                  <w14:solidFill>
                    <w14:srgbClr w14:val="000000">
                      <w14:alpha w14:val="100000"/>
                    </w14:srgbClr>
                  </w14:solidFill>
                </w14:textFill>
              </w:rPr>
              <w:t>|</w:t>
            </w:r>
            <w:r w:rsidRPr="0010684C">
              <w:rPr>
                <w:rFonts w:ascii="Arial Narrow" w:hAnsi="Arial Narrow"/>
                <w:bCs/>
                <w:sz w:val="20"/>
                <w:szCs w:val="20"/>
              </w:rPr>
              <w:t>published price</w:t>
            </w:r>
          </w:p>
          <w:p w14:paraId="7C77DED0" w14:textId="1307B321" w:rsidR="002D7804" w:rsidRPr="001428E9" w:rsidRDefault="002D7804">
            <w:pPr>
              <w:keepNext/>
              <w:jc w:val="left"/>
              <w:rPr>
                <w:rFonts w:ascii="Arial Narrow" w:hAnsi="Arial Narrow"/>
                <w:sz w:val="20"/>
                <w:szCs w:val="20"/>
              </w:rPr>
            </w:pPr>
            <w:r w:rsidRPr="0010684C">
              <w:rPr>
                <w:rFonts w:ascii="Arial Narrow" w:hAnsi="Arial Narrow"/>
                <w:sz w:val="20"/>
                <w:szCs w:val="20"/>
              </w:rPr>
              <w:t>$</w:t>
            </w:r>
            <w:r w:rsidR="00DA3714" w:rsidRPr="00DA3714">
              <w:rPr>
                <w:rFonts w:ascii="Arial Narrow" w:hAnsi="Arial Narrow"/>
                <w:color w:val="000000"/>
                <w:spacing w:val="45"/>
                <w:sz w:val="20"/>
                <w:szCs w:val="20"/>
                <w:shd w:val="solid" w:color="000000" w:fill="000000"/>
                <w:fitText w:val="330" w:id="-893663483"/>
                <w14:textFill>
                  <w14:solidFill>
                    <w14:srgbClr w14:val="000000">
                      <w14:alpha w14:val="100000"/>
                    </w14:srgbClr>
                  </w14:solidFill>
                </w14:textFill>
              </w:rPr>
              <w:t>|||</w:t>
            </w:r>
            <w:r w:rsidR="00DA3714" w:rsidRPr="00DA3714">
              <w:rPr>
                <w:rFonts w:ascii="Arial Narrow" w:hAnsi="Arial Narrow"/>
                <w:color w:val="000000"/>
                <w:spacing w:val="15"/>
                <w:sz w:val="20"/>
                <w:szCs w:val="20"/>
                <w:shd w:val="solid" w:color="000000" w:fill="000000"/>
                <w:fitText w:val="330" w:id="-893663483"/>
                <w14:textFill>
                  <w14:solidFill>
                    <w14:srgbClr w14:val="000000">
                      <w14:alpha w14:val="100000"/>
                    </w14:srgbClr>
                  </w14:solidFill>
                </w14:textFill>
              </w:rPr>
              <w:t>|</w:t>
            </w:r>
            <w:r>
              <w:rPr>
                <w:rFonts w:ascii="Arial Narrow" w:hAnsi="Arial Narrow"/>
                <w:sz w:val="20"/>
                <w:szCs w:val="20"/>
              </w:rPr>
              <w:t xml:space="preserve"> </w:t>
            </w:r>
            <w:r w:rsidRPr="0010684C">
              <w:rPr>
                <w:rFonts w:ascii="Arial Narrow" w:hAnsi="Arial Narrow"/>
                <w:sz w:val="20"/>
                <w:szCs w:val="20"/>
              </w:rPr>
              <w:t>effective price</w:t>
            </w:r>
          </w:p>
        </w:tc>
        <w:tc>
          <w:tcPr>
            <w:tcW w:w="708" w:type="dxa"/>
            <w:vAlign w:val="center"/>
          </w:tcPr>
          <w:p w14:paraId="1DABD66A" w14:textId="77777777" w:rsidR="002D7804" w:rsidRPr="001428E9" w:rsidRDefault="002D7804">
            <w:pPr>
              <w:keepNext/>
              <w:jc w:val="center"/>
              <w:rPr>
                <w:rFonts w:ascii="Arial Narrow" w:hAnsi="Arial Narrow"/>
                <w:sz w:val="20"/>
                <w:szCs w:val="20"/>
              </w:rPr>
            </w:pPr>
            <w:r>
              <w:rPr>
                <w:rFonts w:ascii="Arial Narrow" w:hAnsi="Arial Narrow"/>
                <w:sz w:val="20"/>
                <w:szCs w:val="20"/>
              </w:rPr>
              <w:t>1</w:t>
            </w:r>
          </w:p>
        </w:tc>
        <w:tc>
          <w:tcPr>
            <w:tcW w:w="851" w:type="dxa"/>
            <w:vAlign w:val="center"/>
          </w:tcPr>
          <w:p w14:paraId="644D55EE" w14:textId="77777777" w:rsidR="002D7804" w:rsidRPr="001428E9" w:rsidRDefault="002D7804">
            <w:pPr>
              <w:keepNext/>
              <w:jc w:val="center"/>
              <w:rPr>
                <w:rFonts w:ascii="Arial Narrow" w:hAnsi="Arial Narrow"/>
                <w:sz w:val="20"/>
                <w:szCs w:val="20"/>
              </w:rPr>
            </w:pPr>
            <w:r>
              <w:rPr>
                <w:rFonts w:ascii="Arial Narrow" w:hAnsi="Arial Narrow"/>
                <w:sz w:val="20"/>
                <w:szCs w:val="20"/>
              </w:rPr>
              <w:t>56</w:t>
            </w:r>
          </w:p>
        </w:tc>
        <w:tc>
          <w:tcPr>
            <w:tcW w:w="709" w:type="dxa"/>
            <w:vAlign w:val="center"/>
          </w:tcPr>
          <w:p w14:paraId="05E678DC" w14:textId="77777777" w:rsidR="002D7804" w:rsidRPr="001428E9" w:rsidRDefault="002D7804">
            <w:pPr>
              <w:keepNext/>
              <w:jc w:val="center"/>
              <w:rPr>
                <w:rFonts w:ascii="Arial Narrow" w:hAnsi="Arial Narrow"/>
                <w:sz w:val="20"/>
                <w:szCs w:val="20"/>
              </w:rPr>
            </w:pPr>
            <w:r>
              <w:rPr>
                <w:rFonts w:ascii="Arial Narrow" w:hAnsi="Arial Narrow"/>
                <w:sz w:val="20"/>
                <w:szCs w:val="20"/>
              </w:rPr>
              <w:t>5</w:t>
            </w:r>
          </w:p>
        </w:tc>
        <w:tc>
          <w:tcPr>
            <w:tcW w:w="1792" w:type="dxa"/>
          </w:tcPr>
          <w:p w14:paraId="75B74AE3" w14:textId="77777777" w:rsidR="002D7804" w:rsidRPr="001428E9" w:rsidRDefault="002D7804">
            <w:pPr>
              <w:keepNext/>
              <w:jc w:val="left"/>
              <w:rPr>
                <w:rFonts w:ascii="Arial Narrow" w:hAnsi="Arial Narrow"/>
                <w:sz w:val="20"/>
                <w:szCs w:val="20"/>
              </w:rPr>
            </w:pPr>
            <w:r w:rsidRPr="00592A3E">
              <w:rPr>
                <w:rFonts w:ascii="Arial Narrow" w:hAnsi="Arial Narrow"/>
                <w:sz w:val="20"/>
                <w:szCs w:val="20"/>
              </w:rPr>
              <w:t>R</w:t>
            </w:r>
            <w:r>
              <w:rPr>
                <w:rFonts w:ascii="Arial Narrow" w:hAnsi="Arial Narrow"/>
                <w:sz w:val="20"/>
                <w:szCs w:val="20"/>
              </w:rPr>
              <w:t>etevmo</w:t>
            </w:r>
            <w:r w:rsidRPr="00592A3E">
              <w:rPr>
                <w:rFonts w:ascii="Arial Narrow" w:hAnsi="Arial Narrow"/>
                <w:sz w:val="20"/>
                <w:szCs w:val="20"/>
              </w:rPr>
              <w:t>, Eli Lilly Australia Pty Ltd</w:t>
            </w:r>
          </w:p>
        </w:tc>
      </w:tr>
    </w:tbl>
    <w:p w14:paraId="6A16232C" w14:textId="77777777" w:rsidR="002D7804" w:rsidRPr="001C2234" w:rsidRDefault="002D7804" w:rsidP="002D7804">
      <w:pPr>
        <w:pStyle w:val="TableHeader"/>
        <w:rPr>
          <w:rStyle w:val="CommentReference"/>
          <w:bCs/>
          <w:sz w:val="18"/>
          <w:szCs w:val="14"/>
        </w:rPr>
      </w:pPr>
      <w:r w:rsidRPr="001C2234">
        <w:rPr>
          <w:rStyle w:val="CommentReference"/>
          <w:bCs/>
          <w:sz w:val="18"/>
          <w:szCs w:val="14"/>
        </w:rPr>
        <w:t xml:space="preserve">Source: </w:t>
      </w:r>
      <w:r>
        <w:rPr>
          <w:rStyle w:val="CommentReference"/>
          <w:bCs/>
          <w:sz w:val="18"/>
          <w:szCs w:val="14"/>
        </w:rPr>
        <w:t>Table 1-5,</w:t>
      </w:r>
      <w:r w:rsidRPr="001C2234">
        <w:rPr>
          <w:rStyle w:val="CommentReference"/>
          <w:bCs/>
          <w:sz w:val="18"/>
          <w:szCs w:val="14"/>
        </w:rPr>
        <w:t xml:space="preserve"> p</w:t>
      </w:r>
      <w:r>
        <w:rPr>
          <w:rStyle w:val="CommentReference"/>
          <w:bCs/>
          <w:sz w:val="18"/>
          <w:szCs w:val="14"/>
        </w:rPr>
        <w:t>3</w:t>
      </w:r>
      <w:r w:rsidRPr="001C2234">
        <w:rPr>
          <w:rStyle w:val="CommentReference"/>
          <w:bCs/>
          <w:sz w:val="18"/>
          <w:szCs w:val="14"/>
        </w:rPr>
        <w:t>9 of the resubmission</w:t>
      </w:r>
      <w:r>
        <w:rPr>
          <w:rStyle w:val="CommentReference"/>
          <w:bCs/>
          <w:sz w:val="18"/>
          <w:szCs w:val="14"/>
        </w:rPr>
        <w:t>.</w:t>
      </w:r>
    </w:p>
    <w:p w14:paraId="7163058E" w14:textId="5129664D" w:rsidR="002D7804" w:rsidRPr="004643E3" w:rsidRDefault="002D7804" w:rsidP="00915220">
      <w:pPr>
        <w:pStyle w:val="TableHeader"/>
        <w:spacing w:after="120"/>
        <w:rPr>
          <w:rStyle w:val="CommentReference"/>
          <w:bCs/>
          <w:sz w:val="18"/>
          <w:szCs w:val="18"/>
        </w:rPr>
      </w:pPr>
      <w:r w:rsidRPr="004643E3">
        <w:rPr>
          <w:rStyle w:val="CommentReference"/>
          <w:bCs/>
          <w:sz w:val="18"/>
          <w:szCs w:val="18"/>
        </w:rPr>
        <w:t>DPMQ = dispensed price for maximum quantity; mg = milligram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2D7804" w:rsidRPr="00046D64" w14:paraId="69F7AAC9" w14:textId="77777777">
        <w:trPr>
          <w:cantSplit/>
          <w:trHeight w:val="20"/>
        </w:trPr>
        <w:tc>
          <w:tcPr>
            <w:tcW w:w="5000" w:type="pct"/>
          </w:tcPr>
          <w:p w14:paraId="7ED91B42" w14:textId="77777777" w:rsidR="002D7804" w:rsidRPr="00046D64" w:rsidRDefault="002D7804" w:rsidP="00915220">
            <w:pPr>
              <w:pStyle w:val="TableText0"/>
              <w:keepNext w:val="0"/>
              <w:keepLines/>
            </w:pPr>
            <w:bookmarkStart w:id="15" w:name="_Hlk104809082"/>
            <w:r w:rsidRPr="00962499">
              <w:t>GENERAL – General Schedule (Code GE)</w:t>
            </w:r>
          </w:p>
        </w:tc>
      </w:tr>
      <w:tr w:rsidR="002D7804" w:rsidRPr="00046D64" w14:paraId="3F1FBE1C" w14:textId="77777777">
        <w:trPr>
          <w:cantSplit/>
          <w:trHeight w:val="20"/>
        </w:trPr>
        <w:tc>
          <w:tcPr>
            <w:tcW w:w="5000" w:type="pct"/>
          </w:tcPr>
          <w:p w14:paraId="5D5FCBF1" w14:textId="094CD6E6" w:rsidR="002D7804" w:rsidRPr="00046D64" w:rsidRDefault="002D7804" w:rsidP="00915220">
            <w:pPr>
              <w:pStyle w:val="TableText0"/>
              <w:keepNext w:val="0"/>
              <w:keepLines/>
              <w:rPr>
                <w:b/>
              </w:rPr>
            </w:pPr>
            <w:r w:rsidRPr="00046D64">
              <w:rPr>
                <w:b/>
              </w:rPr>
              <w:t xml:space="preserve">Prescriber type: </w:t>
            </w:r>
            <w:r>
              <w:fldChar w:fldCharType="begin" w:fldLock="1">
                <w:ffData>
                  <w:name w:val=""/>
                  <w:enabled/>
                  <w:calcOnExit w:val="0"/>
                  <w:checkBox>
                    <w:sizeAuto/>
                    <w:default w:val="1"/>
                  </w:checkBox>
                </w:ffData>
              </w:fldChar>
            </w:r>
            <w:r>
              <w:instrText xml:space="preserve"> FORMCHECKBOX </w:instrText>
            </w:r>
            <w:r w:rsidR="008762F8">
              <w:fldChar w:fldCharType="separate"/>
            </w:r>
            <w:r>
              <w:fldChar w:fldCharType="end"/>
            </w:r>
            <w:r w:rsidRPr="00046D64">
              <w:t xml:space="preserve">Medical Practitioners </w:t>
            </w:r>
          </w:p>
        </w:tc>
      </w:tr>
      <w:tr w:rsidR="002D7804" w:rsidRPr="00046D64" w14:paraId="36533021" w14:textId="77777777">
        <w:trPr>
          <w:cantSplit/>
          <w:trHeight w:val="20"/>
        </w:trPr>
        <w:tc>
          <w:tcPr>
            <w:tcW w:w="5000" w:type="pct"/>
          </w:tcPr>
          <w:p w14:paraId="3FCCFEAE" w14:textId="77777777" w:rsidR="002D7804" w:rsidRPr="00046D64" w:rsidRDefault="002D7804" w:rsidP="00915220">
            <w:pPr>
              <w:pStyle w:val="TableText0"/>
              <w:keepNext w:val="0"/>
              <w:keepLines/>
              <w:rPr>
                <w:rFonts w:eastAsia="Times New Roman"/>
              </w:rPr>
            </w:pPr>
            <w:r w:rsidRPr="00046D64">
              <w:rPr>
                <w:b/>
              </w:rPr>
              <w:t xml:space="preserve">Restriction type: </w:t>
            </w:r>
            <w:r w:rsidRPr="00C61A59">
              <w:rPr>
                <w:color w:val="0066FF"/>
              </w:rPr>
              <w:t xml:space="preserve"> </w:t>
            </w:r>
            <w:r w:rsidRPr="00C61A59">
              <w:rPr>
                <w:color w:val="0066FF"/>
              </w:rPr>
              <w:br/>
            </w:r>
            <w:r>
              <w:rPr>
                <w:rFonts w:eastAsia="Times New Roman"/>
              </w:rPr>
              <w:fldChar w:fldCharType="begin" w:fldLock="1">
                <w:ffData>
                  <w:name w:val=""/>
                  <w:enabled/>
                  <w:calcOnExit w:val="0"/>
                  <w:checkBox>
                    <w:sizeAuto/>
                    <w:default w:val="1"/>
                  </w:checkBox>
                </w:ffData>
              </w:fldChar>
            </w:r>
            <w:r>
              <w:rPr>
                <w:rFonts w:eastAsia="Times New Roman"/>
              </w:rPr>
              <w:instrText xml:space="preserve"> FORMCHECKBOX </w:instrText>
            </w:r>
            <w:r w:rsidR="008762F8">
              <w:rPr>
                <w:rFonts w:eastAsia="Times New Roman"/>
              </w:rPr>
            </w:r>
            <w:r w:rsidR="008762F8">
              <w:rPr>
                <w:rFonts w:eastAsia="Times New Roman"/>
              </w:rPr>
              <w:fldChar w:fldCharType="separate"/>
            </w:r>
            <w:r>
              <w:rPr>
                <w:rFonts w:eastAsia="Times New Roman"/>
              </w:rPr>
              <w:fldChar w:fldCharType="end"/>
            </w:r>
            <w:r w:rsidRPr="00046D64">
              <w:rPr>
                <w:rFonts w:eastAsia="Times New Roman"/>
              </w:rPr>
              <w:t xml:space="preserve">Authority Required (STREAMLINED) </w:t>
            </w:r>
          </w:p>
        </w:tc>
      </w:tr>
      <w:tr w:rsidR="002D7804" w:rsidRPr="00046D64" w14:paraId="74D11958" w14:textId="77777777">
        <w:trPr>
          <w:cantSplit/>
          <w:trHeight w:val="20"/>
        </w:trPr>
        <w:tc>
          <w:tcPr>
            <w:tcW w:w="5000" w:type="pct"/>
            <w:vAlign w:val="center"/>
          </w:tcPr>
          <w:p w14:paraId="306A3071" w14:textId="77777777" w:rsidR="002D7804" w:rsidRPr="00046D64" w:rsidRDefault="002D7804" w:rsidP="00915220">
            <w:pPr>
              <w:pStyle w:val="TableText0"/>
              <w:keepNext w:val="0"/>
              <w:keepLines/>
              <w:rPr>
                <w:b/>
              </w:rPr>
            </w:pPr>
            <w:r w:rsidRPr="001C03C0">
              <w:rPr>
                <w:b/>
              </w:rPr>
              <w:t xml:space="preserve">Condition: </w:t>
            </w:r>
            <w:r w:rsidRPr="001C03C0">
              <w:rPr>
                <w:bCs w:val="0"/>
              </w:rPr>
              <w:t>Non-small cell lung cancer (NSCLC)</w:t>
            </w:r>
          </w:p>
        </w:tc>
      </w:tr>
      <w:tr w:rsidR="002D7804" w:rsidRPr="00046D64" w14:paraId="116A6800" w14:textId="77777777">
        <w:trPr>
          <w:cantSplit/>
          <w:trHeight w:val="20"/>
        </w:trPr>
        <w:tc>
          <w:tcPr>
            <w:tcW w:w="5000" w:type="pct"/>
            <w:vAlign w:val="center"/>
          </w:tcPr>
          <w:p w14:paraId="14C62AF3" w14:textId="77777777" w:rsidR="002D7804" w:rsidRPr="00046D64" w:rsidRDefault="002D7804" w:rsidP="00915220">
            <w:pPr>
              <w:pStyle w:val="TableText0"/>
              <w:keepNext w:val="0"/>
              <w:keepLines/>
              <w:rPr>
                <w:b/>
              </w:rPr>
            </w:pPr>
            <w:r w:rsidRPr="001C03C0">
              <w:rPr>
                <w:b/>
              </w:rPr>
              <w:t xml:space="preserve">Indication:  </w:t>
            </w:r>
            <w:r w:rsidRPr="001C03C0">
              <w:rPr>
                <w:bCs w:val="0"/>
              </w:rPr>
              <w:t>Locally advanced or metastatic non-small cell lung cancer</w:t>
            </w:r>
          </w:p>
        </w:tc>
      </w:tr>
      <w:tr w:rsidR="002D7804" w:rsidRPr="00046D64" w14:paraId="234BB862" w14:textId="77777777">
        <w:trPr>
          <w:cantSplit/>
          <w:trHeight w:val="20"/>
        </w:trPr>
        <w:tc>
          <w:tcPr>
            <w:tcW w:w="5000" w:type="pct"/>
            <w:vAlign w:val="center"/>
            <w:hideMark/>
          </w:tcPr>
          <w:p w14:paraId="3A24728F" w14:textId="77777777" w:rsidR="002D7804" w:rsidRPr="00046D64" w:rsidRDefault="002D7804" w:rsidP="00915220">
            <w:pPr>
              <w:pStyle w:val="TableText0"/>
              <w:keepNext w:val="0"/>
              <w:keepLines/>
            </w:pPr>
            <w:r w:rsidRPr="00046D64">
              <w:rPr>
                <w:b/>
              </w:rPr>
              <w:t>Clinical criteria:</w:t>
            </w:r>
          </w:p>
        </w:tc>
      </w:tr>
      <w:tr w:rsidR="002D7804" w:rsidRPr="00046D64" w14:paraId="6E6FACDA" w14:textId="77777777">
        <w:trPr>
          <w:cantSplit/>
          <w:trHeight w:val="20"/>
        </w:trPr>
        <w:tc>
          <w:tcPr>
            <w:tcW w:w="5000" w:type="pct"/>
            <w:vAlign w:val="center"/>
            <w:hideMark/>
          </w:tcPr>
          <w:p w14:paraId="2AED58AD" w14:textId="77777777" w:rsidR="002D7804" w:rsidRPr="00CB3EAC" w:rsidRDefault="002D7804" w:rsidP="00915220">
            <w:pPr>
              <w:pStyle w:val="TableText0"/>
              <w:keepNext w:val="0"/>
              <w:keepLines/>
              <w:rPr>
                <w:color w:val="000000" w:themeColor="text1"/>
              </w:rPr>
            </w:pPr>
            <w:r w:rsidRPr="00CB3EAC">
              <w:rPr>
                <w:color w:val="000000" w:themeColor="text1"/>
              </w:rPr>
              <w:t>The condition must have evidence of rearranged during transfection (RET) gene fusion in tumour material – this evidence has been obtained prior to commencing this drug</w:t>
            </w:r>
          </w:p>
        </w:tc>
      </w:tr>
      <w:tr w:rsidR="002D7804" w:rsidRPr="00046D64" w14:paraId="3B32C316" w14:textId="77777777">
        <w:trPr>
          <w:cantSplit/>
          <w:trHeight w:val="20"/>
        </w:trPr>
        <w:tc>
          <w:tcPr>
            <w:tcW w:w="5000" w:type="pct"/>
            <w:vAlign w:val="center"/>
            <w:hideMark/>
          </w:tcPr>
          <w:p w14:paraId="4D471663" w14:textId="77777777" w:rsidR="002D7804" w:rsidRPr="00CB3EAC" w:rsidRDefault="002D7804" w:rsidP="00915220">
            <w:pPr>
              <w:pStyle w:val="TableText0"/>
              <w:keepNext w:val="0"/>
              <w:keepLines/>
              <w:rPr>
                <w:color w:val="000000" w:themeColor="text1"/>
              </w:rPr>
            </w:pPr>
            <w:r w:rsidRPr="00CB3EAC">
              <w:rPr>
                <w:b/>
                <w:color w:val="000000" w:themeColor="text1"/>
              </w:rPr>
              <w:t>AND</w:t>
            </w:r>
          </w:p>
        </w:tc>
      </w:tr>
      <w:tr w:rsidR="002D7804" w:rsidRPr="00046D64" w14:paraId="43BF9290" w14:textId="77777777">
        <w:trPr>
          <w:cantSplit/>
          <w:trHeight w:val="20"/>
        </w:trPr>
        <w:tc>
          <w:tcPr>
            <w:tcW w:w="5000" w:type="pct"/>
            <w:vAlign w:val="center"/>
            <w:hideMark/>
          </w:tcPr>
          <w:p w14:paraId="2572E4C8" w14:textId="77777777" w:rsidR="002D7804" w:rsidRPr="00CB3EAC" w:rsidRDefault="002D7804" w:rsidP="00915220">
            <w:pPr>
              <w:pStyle w:val="TableText0"/>
              <w:keepNext w:val="0"/>
              <w:keepLines/>
              <w:rPr>
                <w:color w:val="000000" w:themeColor="text1"/>
              </w:rPr>
            </w:pPr>
            <w:r w:rsidRPr="00CB3EAC">
              <w:rPr>
                <w:b/>
                <w:color w:val="000000" w:themeColor="text1"/>
              </w:rPr>
              <w:t>Clinical criteria:</w:t>
            </w:r>
          </w:p>
        </w:tc>
      </w:tr>
      <w:tr w:rsidR="002D7804" w:rsidRPr="00046D64" w14:paraId="23D102AD" w14:textId="77777777">
        <w:trPr>
          <w:cantSplit/>
          <w:trHeight w:val="20"/>
        </w:trPr>
        <w:tc>
          <w:tcPr>
            <w:tcW w:w="5000" w:type="pct"/>
            <w:vAlign w:val="center"/>
            <w:hideMark/>
          </w:tcPr>
          <w:p w14:paraId="27668A36" w14:textId="77777777" w:rsidR="002D7804" w:rsidRPr="00CB3EAC" w:rsidRDefault="002D7804" w:rsidP="00915220">
            <w:pPr>
              <w:pStyle w:val="TableText0"/>
              <w:keepNext w:val="0"/>
              <w:keepLines/>
              <w:rPr>
                <w:color w:val="000000" w:themeColor="text1"/>
              </w:rPr>
            </w:pPr>
            <w:r w:rsidRPr="00CB3EAC">
              <w:rPr>
                <w:color w:val="000000" w:themeColor="text1"/>
              </w:rPr>
              <w:lastRenderedPageBreak/>
              <w:t>Patient must have a World Health Organisation (WHO) Eastern Cooperative Oncology Group (ECOG) performance status score of no higher than 2 at treatment initiation</w:t>
            </w:r>
          </w:p>
        </w:tc>
      </w:tr>
      <w:tr w:rsidR="002D7804" w:rsidRPr="00046D64" w14:paraId="20088D3B" w14:textId="77777777">
        <w:trPr>
          <w:cantSplit/>
          <w:trHeight w:val="20"/>
        </w:trPr>
        <w:tc>
          <w:tcPr>
            <w:tcW w:w="5000" w:type="pct"/>
            <w:vAlign w:val="center"/>
          </w:tcPr>
          <w:p w14:paraId="24605E26" w14:textId="77777777" w:rsidR="002D7804" w:rsidRPr="00CB3EAC" w:rsidRDefault="002D7804" w:rsidP="00915220">
            <w:pPr>
              <w:pStyle w:val="TableText0"/>
              <w:keepNext w:val="0"/>
              <w:keepLines/>
              <w:rPr>
                <w:color w:val="0066FF"/>
              </w:rPr>
            </w:pPr>
            <w:r w:rsidRPr="00046D64">
              <w:rPr>
                <w:b/>
              </w:rPr>
              <w:t>AND</w:t>
            </w:r>
          </w:p>
        </w:tc>
      </w:tr>
      <w:tr w:rsidR="002D7804" w:rsidRPr="00046D64" w14:paraId="513CD190" w14:textId="77777777">
        <w:trPr>
          <w:cantSplit/>
          <w:trHeight w:val="20"/>
        </w:trPr>
        <w:tc>
          <w:tcPr>
            <w:tcW w:w="5000" w:type="pct"/>
            <w:vAlign w:val="center"/>
            <w:hideMark/>
          </w:tcPr>
          <w:p w14:paraId="031ED778" w14:textId="77777777" w:rsidR="002D7804" w:rsidRPr="00046D64" w:rsidRDefault="002D7804" w:rsidP="00915220">
            <w:pPr>
              <w:pStyle w:val="TableText0"/>
              <w:keepNext w:val="0"/>
              <w:keepLines/>
            </w:pPr>
            <w:r w:rsidRPr="00046D64">
              <w:rPr>
                <w:b/>
              </w:rPr>
              <w:t>Clinical criteria:</w:t>
            </w:r>
          </w:p>
        </w:tc>
      </w:tr>
      <w:tr w:rsidR="002D7804" w:rsidRPr="00046D64" w14:paraId="30ADF314" w14:textId="77777777">
        <w:trPr>
          <w:cantSplit/>
          <w:trHeight w:val="20"/>
        </w:trPr>
        <w:tc>
          <w:tcPr>
            <w:tcW w:w="5000" w:type="pct"/>
            <w:vAlign w:val="center"/>
            <w:hideMark/>
          </w:tcPr>
          <w:p w14:paraId="25405948" w14:textId="77777777" w:rsidR="002D7804" w:rsidRPr="00CB3EAC" w:rsidRDefault="002D7804" w:rsidP="00915220">
            <w:pPr>
              <w:pStyle w:val="TableText0"/>
              <w:keepNext w:val="0"/>
              <w:keepLines/>
              <w:rPr>
                <w:color w:val="000000" w:themeColor="text1"/>
              </w:rPr>
            </w:pPr>
            <w:r w:rsidRPr="00CB3EAC">
              <w:rPr>
                <w:color w:val="000000" w:themeColor="text1"/>
              </w:rPr>
              <w:t>The treatment must be the sole PBS-subsidised systemic anti-cancer therapy for this PBS indication.</w:t>
            </w:r>
          </w:p>
        </w:tc>
      </w:tr>
      <w:tr w:rsidR="002D7804" w:rsidRPr="00046D64" w14:paraId="38C7A2BA" w14:textId="77777777">
        <w:trPr>
          <w:cantSplit/>
          <w:trHeight w:val="20"/>
        </w:trPr>
        <w:tc>
          <w:tcPr>
            <w:tcW w:w="5000" w:type="pct"/>
            <w:vAlign w:val="center"/>
            <w:hideMark/>
          </w:tcPr>
          <w:p w14:paraId="1C530A87" w14:textId="77777777" w:rsidR="002D7804" w:rsidRPr="00CB3EAC" w:rsidRDefault="002D7804" w:rsidP="00915220">
            <w:pPr>
              <w:pStyle w:val="TableText0"/>
              <w:keepNext w:val="0"/>
              <w:keepLines/>
              <w:rPr>
                <w:color w:val="000000" w:themeColor="text1"/>
              </w:rPr>
            </w:pPr>
            <w:r w:rsidRPr="00CB3EAC">
              <w:rPr>
                <w:b/>
                <w:color w:val="000000" w:themeColor="text1"/>
              </w:rPr>
              <w:t>Treatment criteria:</w:t>
            </w:r>
          </w:p>
        </w:tc>
      </w:tr>
      <w:tr w:rsidR="002D7804" w:rsidRPr="00046D64" w14:paraId="5948B9BB" w14:textId="77777777">
        <w:trPr>
          <w:cantSplit/>
          <w:trHeight w:val="20"/>
        </w:trPr>
        <w:tc>
          <w:tcPr>
            <w:tcW w:w="5000" w:type="pct"/>
            <w:vAlign w:val="center"/>
            <w:hideMark/>
          </w:tcPr>
          <w:p w14:paraId="5DBA9090" w14:textId="77777777" w:rsidR="002D7804" w:rsidRPr="00CB3EAC" w:rsidRDefault="002D7804" w:rsidP="00915220">
            <w:pPr>
              <w:pStyle w:val="TableText0"/>
              <w:keepNext w:val="0"/>
              <w:keepLines/>
              <w:rPr>
                <w:i/>
                <w:iCs/>
                <w:color w:val="000000" w:themeColor="text1"/>
              </w:rPr>
            </w:pPr>
            <w:r w:rsidRPr="00CB3EAC">
              <w:rPr>
                <w:color w:val="000000" w:themeColor="text1"/>
              </w:rPr>
              <w:t>Patient must be undergoing initial treatment with this drug</w:t>
            </w:r>
            <w:r>
              <w:rPr>
                <w:color w:val="000000" w:themeColor="text1"/>
              </w:rPr>
              <w:t>.</w:t>
            </w:r>
          </w:p>
        </w:tc>
      </w:tr>
      <w:tr w:rsidR="002D7804" w:rsidRPr="00046D64" w14:paraId="5C333CF2" w14:textId="77777777">
        <w:trPr>
          <w:cantSplit/>
          <w:trHeight w:val="20"/>
        </w:trPr>
        <w:tc>
          <w:tcPr>
            <w:tcW w:w="5000" w:type="pct"/>
            <w:vAlign w:val="center"/>
          </w:tcPr>
          <w:p w14:paraId="560A1778" w14:textId="77777777" w:rsidR="002D7804" w:rsidRPr="00CB3EAC" w:rsidRDefault="002D7804" w:rsidP="00915220">
            <w:pPr>
              <w:pStyle w:val="TableText0"/>
              <w:keepNext w:val="0"/>
              <w:keepLines/>
              <w:rPr>
                <w:b/>
                <w:bCs w:val="0"/>
                <w:color w:val="000000" w:themeColor="text1"/>
              </w:rPr>
            </w:pPr>
            <w:r w:rsidRPr="00CB3EAC">
              <w:rPr>
                <w:b/>
                <w:bCs w:val="0"/>
                <w:color w:val="000000" w:themeColor="text1"/>
              </w:rPr>
              <w:t>OR</w:t>
            </w:r>
          </w:p>
        </w:tc>
      </w:tr>
      <w:tr w:rsidR="002D7804" w:rsidRPr="00046D64" w14:paraId="42879AC4" w14:textId="77777777">
        <w:trPr>
          <w:cantSplit/>
          <w:trHeight w:val="217"/>
        </w:trPr>
        <w:tc>
          <w:tcPr>
            <w:tcW w:w="5000" w:type="pct"/>
            <w:vAlign w:val="center"/>
          </w:tcPr>
          <w:p w14:paraId="34B5EE66" w14:textId="77777777" w:rsidR="002D7804" w:rsidRPr="00CB3EAC" w:rsidRDefault="002D7804" w:rsidP="00915220">
            <w:pPr>
              <w:pStyle w:val="TableText0"/>
              <w:keepNext w:val="0"/>
              <w:keepLines/>
              <w:rPr>
                <w:color w:val="000000" w:themeColor="text1"/>
              </w:rPr>
            </w:pPr>
            <w:r w:rsidRPr="00CB3EAC">
              <w:rPr>
                <w:color w:val="000000" w:themeColor="text1"/>
              </w:rPr>
              <w:t>Patient must be undergoing continuing treatment with this drug, with an absence of further disease progression since the last prescription</w:t>
            </w:r>
            <w:r>
              <w:rPr>
                <w:color w:val="000000" w:themeColor="text1"/>
              </w:rPr>
              <w:t>.</w:t>
            </w:r>
          </w:p>
        </w:tc>
      </w:tr>
      <w:tr w:rsidR="002D7804" w:rsidRPr="00046D64" w14:paraId="7EE800F0" w14:textId="77777777">
        <w:trPr>
          <w:cantSplit/>
          <w:trHeight w:val="20"/>
        </w:trPr>
        <w:tc>
          <w:tcPr>
            <w:tcW w:w="5000" w:type="pct"/>
            <w:vAlign w:val="center"/>
            <w:hideMark/>
          </w:tcPr>
          <w:p w14:paraId="674937A1" w14:textId="77777777" w:rsidR="002D7804" w:rsidRPr="00046D64" w:rsidRDefault="002D7804" w:rsidP="00915220">
            <w:pPr>
              <w:pStyle w:val="TableText0"/>
              <w:keepNext w:val="0"/>
              <w:keepLines/>
            </w:pPr>
            <w:r w:rsidRPr="00046D64">
              <w:rPr>
                <w:b/>
              </w:rPr>
              <w:t xml:space="preserve">Prescribing Instructions: </w:t>
            </w:r>
          </w:p>
        </w:tc>
      </w:tr>
      <w:tr w:rsidR="002D7804" w:rsidRPr="00046D64" w14:paraId="3591345D" w14:textId="77777777">
        <w:trPr>
          <w:cantSplit/>
          <w:trHeight w:val="20"/>
        </w:trPr>
        <w:tc>
          <w:tcPr>
            <w:tcW w:w="5000" w:type="pct"/>
            <w:vAlign w:val="center"/>
            <w:hideMark/>
          </w:tcPr>
          <w:p w14:paraId="2578F525" w14:textId="77777777" w:rsidR="002D7804" w:rsidRDefault="002D7804" w:rsidP="00915220">
            <w:pPr>
              <w:pStyle w:val="TableText0"/>
              <w:keepNext w:val="0"/>
              <w:keepLines/>
              <w:rPr>
                <w:bCs w:val="0"/>
              </w:rPr>
            </w:pPr>
            <w:r w:rsidRPr="00046D64">
              <w:rPr>
                <w:b/>
              </w:rPr>
              <w:t xml:space="preserve">Administrative Advice: </w:t>
            </w:r>
          </w:p>
          <w:p w14:paraId="2C614CF5" w14:textId="77777777" w:rsidR="002D7804" w:rsidRDefault="002D7804" w:rsidP="00915220">
            <w:pPr>
              <w:pStyle w:val="TableText0"/>
              <w:keepNext w:val="0"/>
              <w:keepLines/>
            </w:pPr>
            <w:r>
              <w:t>No increase in the maximum quantity or number of units may be authorised.</w:t>
            </w:r>
          </w:p>
          <w:p w14:paraId="2BD2158B" w14:textId="77777777" w:rsidR="002D7804" w:rsidRPr="00046D64" w:rsidRDefault="002D7804" w:rsidP="00915220">
            <w:pPr>
              <w:pStyle w:val="TableText0"/>
              <w:keepNext w:val="0"/>
              <w:keepLines/>
            </w:pPr>
            <w:r>
              <w:t>No increase in the maximum number of repeats may be authorised.</w:t>
            </w:r>
          </w:p>
        </w:tc>
      </w:tr>
    </w:tbl>
    <w:p w14:paraId="1E929679" w14:textId="77777777" w:rsidR="002D7804" w:rsidRDefault="002D7804" w:rsidP="002D7804">
      <w:pPr>
        <w:pStyle w:val="FooterTableFigure"/>
      </w:pPr>
      <w:r>
        <w:t>Source: Table 1-7, pp40-41 of the resubmission.</w:t>
      </w:r>
    </w:p>
    <w:bookmarkEnd w:id="15"/>
    <w:p w14:paraId="30902F49" w14:textId="631C803F" w:rsidR="002D7804" w:rsidRPr="004E15EE" w:rsidRDefault="002D7804" w:rsidP="002D7804">
      <w:pPr>
        <w:pStyle w:val="ExecSumBodyText"/>
        <w:numPr>
          <w:ilvl w:val="1"/>
          <w:numId w:val="1"/>
        </w:numPr>
        <w:rPr>
          <w:i/>
          <w:iCs/>
        </w:rPr>
      </w:pPr>
      <w:r w:rsidRPr="00C0012C">
        <w:t xml:space="preserve">The </w:t>
      </w:r>
      <w:r>
        <w:t>re</w:t>
      </w:r>
      <w:r w:rsidRPr="00C0012C">
        <w:t xml:space="preserve">submission </w:t>
      </w:r>
      <w:r>
        <w:t xml:space="preserve">requested a special pricing arrangement (SPA) for selpercatinib. </w:t>
      </w:r>
    </w:p>
    <w:p w14:paraId="63771C8B" w14:textId="5D1BE641" w:rsidR="004101AD" w:rsidRPr="00604DCD" w:rsidRDefault="002D7804" w:rsidP="004101AD">
      <w:pPr>
        <w:pStyle w:val="3-BodyText"/>
      </w:pPr>
      <w:r w:rsidRPr="00604DCD">
        <w:t xml:space="preserve">The </w:t>
      </w:r>
      <w:r w:rsidR="008D35C9">
        <w:t xml:space="preserve">requested </w:t>
      </w:r>
      <w:r w:rsidRPr="00604DCD">
        <w:t xml:space="preserve">effective </w:t>
      </w:r>
      <w:r w:rsidR="00062FB0">
        <w:t>ex-manufacturer prices (</w:t>
      </w:r>
      <w:r w:rsidRPr="00604DCD">
        <w:t>EMPs</w:t>
      </w:r>
      <w:r w:rsidR="00062FB0">
        <w:t>)</w:t>
      </w:r>
      <w:r w:rsidRPr="00604DCD">
        <w:t xml:space="preserve"> </w:t>
      </w:r>
      <w:r w:rsidR="00957E82">
        <w:t xml:space="preserve">in the resubmission </w:t>
      </w:r>
      <w:r w:rsidR="00536939" w:rsidRPr="00604DCD">
        <w:t xml:space="preserve">were </w:t>
      </w:r>
      <w:r w:rsidR="004101AD" w:rsidRPr="00604DCD">
        <w:t>$</w:t>
      </w:r>
      <w:r w:rsidR="00DA3714" w:rsidRPr="008762F8">
        <w:rPr>
          <w:color w:val="000000"/>
          <w:w w:val="15"/>
          <w:shd w:val="solid" w:color="000000" w:fill="000000"/>
          <w:fitText w:val="-20" w:id="-893663482"/>
          <w14:textFill>
            <w14:solidFill>
              <w14:srgbClr w14:val="000000">
                <w14:alpha w14:val="100000"/>
              </w14:srgbClr>
            </w14:solidFill>
          </w14:textFill>
        </w:rPr>
        <w:t xml:space="preserve">|  </w:t>
      </w:r>
      <w:r w:rsidR="00DA3714" w:rsidRPr="008762F8">
        <w:rPr>
          <w:color w:val="000000"/>
          <w:spacing w:val="-69"/>
          <w:w w:val="15"/>
          <w:shd w:val="solid" w:color="000000" w:fill="000000"/>
          <w:fitText w:val="-20" w:id="-893663482"/>
          <w14:textFill>
            <w14:solidFill>
              <w14:srgbClr w14:val="000000">
                <w14:alpha w14:val="100000"/>
              </w14:srgbClr>
            </w14:solidFill>
          </w14:textFill>
        </w:rPr>
        <w:t>|</w:t>
      </w:r>
      <w:r w:rsidR="004101AD" w:rsidRPr="00604DCD">
        <w:t>for 80</w:t>
      </w:r>
      <w:r w:rsidR="001B6687">
        <w:t xml:space="preserve"> </w:t>
      </w:r>
      <w:r w:rsidR="004101AD" w:rsidRPr="00604DCD">
        <w:t>mg x 112 pack, $</w:t>
      </w:r>
      <w:r w:rsidR="00DA3714" w:rsidRPr="008762F8">
        <w:rPr>
          <w:color w:val="000000"/>
          <w:w w:val="15"/>
          <w:shd w:val="solid" w:color="000000" w:fill="000000"/>
          <w:fitText w:val="-20" w:id="-893663481"/>
          <w14:textFill>
            <w14:solidFill>
              <w14:srgbClr w14:val="000000">
                <w14:alpha w14:val="100000"/>
              </w14:srgbClr>
            </w14:solidFill>
          </w14:textFill>
        </w:rPr>
        <w:t xml:space="preserve">|  </w:t>
      </w:r>
      <w:r w:rsidR="00DA3714" w:rsidRPr="008762F8">
        <w:rPr>
          <w:color w:val="000000"/>
          <w:spacing w:val="-69"/>
          <w:w w:val="15"/>
          <w:shd w:val="solid" w:color="000000" w:fill="000000"/>
          <w:fitText w:val="-20" w:id="-893663481"/>
          <w14:textFill>
            <w14:solidFill>
              <w14:srgbClr w14:val="000000">
                <w14:alpha w14:val="100000"/>
              </w14:srgbClr>
            </w14:solidFill>
          </w14:textFill>
        </w:rPr>
        <w:t>|</w:t>
      </w:r>
      <w:r w:rsidR="004101AD" w:rsidRPr="00604DCD">
        <w:t>for 80 mg x 56 pack, and $</w:t>
      </w:r>
      <w:r w:rsidR="00DA3714" w:rsidRPr="008762F8">
        <w:rPr>
          <w:color w:val="000000"/>
          <w:w w:val="15"/>
          <w:shd w:val="solid" w:color="000000" w:fill="000000"/>
          <w:fitText w:val="-20" w:id="-893663480"/>
          <w14:textFill>
            <w14:solidFill>
              <w14:srgbClr w14:val="000000">
                <w14:alpha w14:val="100000"/>
              </w14:srgbClr>
            </w14:solidFill>
          </w14:textFill>
        </w:rPr>
        <w:t xml:space="preserve">|  </w:t>
      </w:r>
      <w:r w:rsidR="00DA3714" w:rsidRPr="008762F8">
        <w:rPr>
          <w:color w:val="000000"/>
          <w:spacing w:val="-69"/>
          <w:w w:val="15"/>
          <w:shd w:val="solid" w:color="000000" w:fill="000000"/>
          <w:fitText w:val="-20" w:id="-893663480"/>
          <w14:textFill>
            <w14:solidFill>
              <w14:srgbClr w14:val="000000">
                <w14:alpha w14:val="100000"/>
              </w14:srgbClr>
            </w14:solidFill>
          </w14:textFill>
        </w:rPr>
        <w:t>|</w:t>
      </w:r>
      <w:r w:rsidR="004101AD" w:rsidRPr="00604DCD">
        <w:t>for 40</w:t>
      </w:r>
      <w:r w:rsidR="00FC1A2E">
        <w:t> </w:t>
      </w:r>
      <w:r w:rsidR="004101AD" w:rsidRPr="00604DCD">
        <w:t>mg x 56 pack</w:t>
      </w:r>
      <w:r w:rsidR="008D35C9">
        <w:t xml:space="preserve"> (</w:t>
      </w:r>
      <w:r w:rsidR="0058610A" w:rsidRPr="000724F0">
        <w:t>9.55</w:t>
      </w:r>
      <w:r w:rsidR="008D35C9">
        <w:t>% lower than proposed in the July 2023 pre-PBAC response)</w:t>
      </w:r>
      <w:r w:rsidR="004101AD" w:rsidRPr="00604DCD">
        <w:t>.</w:t>
      </w:r>
    </w:p>
    <w:p w14:paraId="21F9700B" w14:textId="33C2D963" w:rsidR="002D7804" w:rsidRDefault="00012137" w:rsidP="002D7804">
      <w:pPr>
        <w:pStyle w:val="ExecSumBodyText"/>
        <w:numPr>
          <w:ilvl w:val="1"/>
          <w:numId w:val="1"/>
        </w:numPr>
      </w:pPr>
      <w:r w:rsidRPr="00604DCD">
        <w:t xml:space="preserve">The PBAC previously </w:t>
      </w:r>
      <w:r w:rsidR="00957E82">
        <w:t>considered that</w:t>
      </w:r>
      <w:r w:rsidRPr="00604DCD">
        <w:t xml:space="preserve"> a line-agnostic listing was appropriate (para</w:t>
      </w:r>
      <w:r w:rsidR="00957E82">
        <w:t>graph</w:t>
      </w:r>
      <w:r w:rsidRPr="00604DCD">
        <w:t xml:space="preserve"> 7.4, selpercatinib, </w:t>
      </w:r>
      <w:r w:rsidR="00D54684" w:rsidRPr="00604DCD">
        <w:t>public summary document (</w:t>
      </w:r>
      <w:r w:rsidRPr="00604DCD">
        <w:t>PSD</w:t>
      </w:r>
      <w:r w:rsidR="00D54684" w:rsidRPr="00604DCD">
        <w:t>)</w:t>
      </w:r>
      <w:r w:rsidRPr="00604DCD">
        <w:t xml:space="preserve">, July 2023 PBAC meeting). </w:t>
      </w:r>
      <w:r w:rsidR="002D7804" w:rsidRPr="00604DCD">
        <w:t>The PBAC previously considered that selpercatinib was most likely to be used as first-line therapy in keeping with international guidelines (para</w:t>
      </w:r>
      <w:r w:rsidR="00957E82">
        <w:t>graph</w:t>
      </w:r>
      <w:r w:rsidR="002D7804" w:rsidRPr="00604DCD">
        <w:t xml:space="preserve"> 7.5, selpercatinib PSD, July 2023 PBAC meeting).</w:t>
      </w:r>
    </w:p>
    <w:p w14:paraId="4186C919" w14:textId="5C022A27" w:rsidR="00244E87" w:rsidRPr="00604DCD" w:rsidRDefault="00244E87" w:rsidP="002D7804">
      <w:pPr>
        <w:pStyle w:val="ExecSumBodyText"/>
        <w:numPr>
          <w:ilvl w:val="1"/>
          <w:numId w:val="1"/>
        </w:numPr>
      </w:pPr>
      <w:bookmarkStart w:id="16" w:name="_Hlk166581176"/>
      <w:bookmarkStart w:id="17" w:name="_Ref173133589"/>
      <w:r>
        <w:t xml:space="preserve">The Secretariat noted that having </w:t>
      </w:r>
      <w:r w:rsidRPr="00244E87">
        <w:t>two different pack sizes for the same strength and for the same ‘circumstances’ (112 units and 56 units for 80</w:t>
      </w:r>
      <w:r w:rsidR="00782083">
        <w:t xml:space="preserve"> </w:t>
      </w:r>
      <w:r w:rsidRPr="00244E87">
        <w:t xml:space="preserve">mg capsule) is not possible </w:t>
      </w:r>
      <w:r>
        <w:t xml:space="preserve">within the relevant </w:t>
      </w:r>
      <w:r w:rsidRPr="00244E87">
        <w:t>legislation</w:t>
      </w:r>
      <w:r>
        <w:t xml:space="preserve">. </w:t>
      </w:r>
      <w:r w:rsidRPr="00244E87">
        <w:t>For identical restrictions, there can only be one declared maximum quantity.</w:t>
      </w:r>
      <w:bookmarkEnd w:id="16"/>
      <w:r>
        <w:t xml:space="preserve"> The </w:t>
      </w:r>
      <w:r w:rsidRPr="00244E87">
        <w:t>Secretariat suggested</w:t>
      </w:r>
      <w:r>
        <w:t xml:space="preserve"> amending the</w:t>
      </w:r>
      <w:r w:rsidRPr="00244E87">
        <w:t xml:space="preserve"> maximum quantity for both listings </w:t>
      </w:r>
      <w:r>
        <w:t>to</w:t>
      </w:r>
      <w:r w:rsidRPr="00244E87">
        <w:t xml:space="preserve"> 112 units</w:t>
      </w:r>
      <w:r>
        <w:t>.</w:t>
      </w:r>
      <w:bookmarkEnd w:id="17"/>
    </w:p>
    <w:p w14:paraId="794C0D24" w14:textId="1599B70D" w:rsidR="002D7804" w:rsidRPr="00604DCD" w:rsidRDefault="002D7804" w:rsidP="002D7804">
      <w:pPr>
        <w:pStyle w:val="ExecSumBodyText"/>
        <w:numPr>
          <w:ilvl w:val="1"/>
          <w:numId w:val="1"/>
        </w:numPr>
      </w:pPr>
      <w:r w:rsidRPr="00604DCD">
        <w:t>The resubmission proposed flow on changes to the PBS listing of pembrolizumab to enable its use after treatment with selpercatinib for metastatic NSCLC</w:t>
      </w:r>
      <w:r w:rsidR="00C06DE5" w:rsidRPr="00604DCD">
        <w:t xml:space="preserve"> (Stage IV)</w:t>
      </w:r>
      <w:r w:rsidRPr="00604DCD">
        <w:t>. These proposed flow-on changes were considered reasonable at the July 2023 PBAC meeting (para</w:t>
      </w:r>
      <w:r w:rsidR="00957E82">
        <w:t>graph</w:t>
      </w:r>
      <w:r w:rsidRPr="00604DCD">
        <w:t xml:space="preserve"> 3.6, selpercatinib, PSD, July 2023 PBAC meeting). </w:t>
      </w:r>
    </w:p>
    <w:p w14:paraId="196B6991" w14:textId="7E63126B" w:rsidR="00861BF1" w:rsidRPr="00861BF1" w:rsidRDefault="00861BF1" w:rsidP="00861BF1">
      <w:pPr>
        <w:pStyle w:val="3-BodyText"/>
        <w:numPr>
          <w:ilvl w:val="0"/>
          <w:numId w:val="0"/>
        </w:numPr>
        <w:ind w:left="720"/>
        <w:rPr>
          <w:i/>
          <w:iCs/>
          <w:snapToGrid/>
          <w:lang w:val="en-US"/>
        </w:rPr>
      </w:pPr>
      <w:r w:rsidRPr="00861BF1">
        <w:rPr>
          <w:i/>
          <w:iCs/>
          <w:lang w:val="en-US"/>
        </w:rPr>
        <w:t>For more detail on PBAC’s view, see section 7 PBAC outcome.</w:t>
      </w:r>
    </w:p>
    <w:p w14:paraId="3F479698" w14:textId="41ED1B49" w:rsidR="002D7804" w:rsidRPr="00407F2D" w:rsidDel="00195452" w:rsidRDefault="002D7804" w:rsidP="002D7804">
      <w:pPr>
        <w:pStyle w:val="2-SectionHeading"/>
      </w:pPr>
      <w:bookmarkStart w:id="18" w:name="_Toc167269742"/>
      <w:r w:rsidDel="00195452">
        <w:t>Population and disease</w:t>
      </w:r>
      <w:bookmarkEnd w:id="18"/>
    </w:p>
    <w:p w14:paraId="38692CD8" w14:textId="77777777" w:rsidR="002D7804" w:rsidRPr="00652A43" w:rsidRDefault="002D7804" w:rsidP="002D7804">
      <w:pPr>
        <w:pStyle w:val="3-BodyText"/>
      </w:pPr>
      <w:r w:rsidRPr="00CA3E23">
        <w:t>Lung cancer has one of the poorest prognoses of all cancers in Australia. It is the leading cause of cancer-related mortality and accounts for 18% of all cancer-related deaths with an estimated 8,693 lung cancer deaths in 2021</w:t>
      </w:r>
      <w:r>
        <w:t>.</w:t>
      </w:r>
      <w:r>
        <w:rPr>
          <w:rStyle w:val="FootnoteReference"/>
        </w:rPr>
        <w:footnoteReference w:id="2"/>
      </w:r>
      <w:r w:rsidRPr="00CA3E23">
        <w:t xml:space="preserve"> Over half of patients </w:t>
      </w:r>
      <w:r w:rsidRPr="00CA3E23">
        <w:lastRenderedPageBreak/>
        <w:t>diagnosed with lung cancer die within one year of being diagnosed and the 5-year relative survival rate is 20%</w:t>
      </w:r>
      <w:r>
        <w:t>. Despite a projected decrease in the mortality rates for lung cancer over the next 20 years, the estimated number of lung cancer deaths is estimated to increase as a result of Australia’s growing and ageing population.</w:t>
      </w:r>
      <w:r>
        <w:rPr>
          <w:rStyle w:val="FootnoteReference"/>
        </w:rPr>
        <w:footnoteReference w:id="3"/>
      </w:r>
    </w:p>
    <w:p w14:paraId="35EA3C53" w14:textId="77777777" w:rsidR="002D7804" w:rsidRDefault="002D7804" w:rsidP="002D7804">
      <w:pPr>
        <w:pStyle w:val="3-BodyText"/>
      </w:pPr>
      <w:r>
        <w:t>NSCLC accounts for approximately 85%-90% of lung cancers. There are 3 main subtypes of NSCLC: adenocarcinoma, squamous cell carcinoma, and large cell carcinoma.</w:t>
      </w:r>
    </w:p>
    <w:p w14:paraId="76191E88" w14:textId="6D85DC42" w:rsidR="002D7804" w:rsidRPr="00604DCD" w:rsidRDefault="002D7804" w:rsidP="002D7804">
      <w:pPr>
        <w:pStyle w:val="3-BodyText"/>
        <w:rPr>
          <w:iCs/>
        </w:rPr>
      </w:pPr>
      <w:r w:rsidRPr="00C851CE">
        <w:rPr>
          <w:i/>
        </w:rPr>
        <w:t>RET</w:t>
      </w:r>
      <w:r w:rsidRPr="00604DCD">
        <w:rPr>
          <w:iCs/>
        </w:rPr>
        <w:t xml:space="preserve"> fusions are present in 1%-2% of NSCLC patients.</w:t>
      </w:r>
      <w:r w:rsidRPr="00604DCD">
        <w:rPr>
          <w:rStyle w:val="FootnoteReference"/>
          <w:iCs/>
        </w:rPr>
        <w:footnoteReference w:id="4"/>
      </w:r>
      <w:r w:rsidRPr="00604DCD">
        <w:rPr>
          <w:iCs/>
        </w:rPr>
        <w:t xml:space="preserve"> At least </w:t>
      </w:r>
      <w:r w:rsidR="0029389A" w:rsidRPr="00604DCD">
        <w:rPr>
          <w:iCs/>
        </w:rPr>
        <w:t xml:space="preserve">45 </w:t>
      </w:r>
      <w:r w:rsidRPr="00C851CE">
        <w:rPr>
          <w:i/>
        </w:rPr>
        <w:t>RET</w:t>
      </w:r>
      <w:r w:rsidRPr="00604DCD">
        <w:rPr>
          <w:iCs/>
        </w:rPr>
        <w:t xml:space="preserve"> gene fusion variants have been identified in lung cancers, the most common being </w:t>
      </w:r>
      <w:r w:rsidRPr="00C851CE">
        <w:rPr>
          <w:i/>
        </w:rPr>
        <w:t>KIF5B-RET</w:t>
      </w:r>
      <w:r w:rsidRPr="00604DCD">
        <w:rPr>
          <w:iCs/>
        </w:rPr>
        <w:t xml:space="preserve"> (70%-90%), followed by </w:t>
      </w:r>
      <w:r w:rsidRPr="00C851CE">
        <w:rPr>
          <w:i/>
        </w:rPr>
        <w:t>CCDC6-RET</w:t>
      </w:r>
      <w:r w:rsidRPr="00604DCD">
        <w:rPr>
          <w:iCs/>
        </w:rPr>
        <w:t xml:space="preserve"> and </w:t>
      </w:r>
      <w:r w:rsidRPr="00C851CE">
        <w:rPr>
          <w:i/>
        </w:rPr>
        <w:t>NCOA4-RET</w:t>
      </w:r>
      <w:r w:rsidRPr="00604DCD">
        <w:rPr>
          <w:iCs/>
        </w:rPr>
        <w:t>.</w:t>
      </w:r>
      <w:r w:rsidR="00157A51" w:rsidRPr="00604DCD">
        <w:rPr>
          <w:rStyle w:val="FootnoteReference"/>
          <w:iCs/>
        </w:rPr>
        <w:t xml:space="preserve"> </w:t>
      </w:r>
      <w:r w:rsidR="00157A51" w:rsidRPr="00604DCD">
        <w:rPr>
          <w:rStyle w:val="FootnoteReference"/>
          <w:iCs/>
        </w:rPr>
        <w:footnoteReference w:id="5"/>
      </w:r>
      <w:r w:rsidRPr="00604DCD">
        <w:rPr>
          <w:iCs/>
        </w:rPr>
        <w:t xml:space="preserve"> The clinical implications of specific gene fusion partners are currently not well defined. </w:t>
      </w:r>
    </w:p>
    <w:p w14:paraId="0EA07ED8" w14:textId="6412DCED" w:rsidR="002D7804" w:rsidRPr="00604DCD" w:rsidRDefault="000C444C" w:rsidP="00A35BAC">
      <w:pPr>
        <w:pStyle w:val="3-BodyText"/>
      </w:pPr>
      <w:bookmarkStart w:id="19" w:name="_Ref164261765"/>
      <w:r w:rsidRPr="00DF0D10">
        <w:t xml:space="preserve">The July 2023 submission stated that </w:t>
      </w:r>
      <w:r w:rsidRPr="00E2432E">
        <w:rPr>
          <w:i/>
          <w:iCs/>
        </w:rPr>
        <w:t>RET</w:t>
      </w:r>
      <w:r w:rsidRPr="00DF0D10">
        <w:t xml:space="preserve"> fusion status was not an independent prognostic biomarker. </w:t>
      </w:r>
      <w:r w:rsidR="00A35BAC">
        <w:t>At that time, t</w:t>
      </w:r>
      <w:r w:rsidR="002D7804">
        <w:t xml:space="preserve">he PBAC </w:t>
      </w:r>
      <w:r w:rsidR="00A35BAC">
        <w:t>considered</w:t>
      </w:r>
      <w:r w:rsidR="002D7804">
        <w:t xml:space="preserve"> that </w:t>
      </w:r>
      <w:r w:rsidR="002D7804" w:rsidRPr="00E5275F">
        <w:rPr>
          <w:i/>
          <w:iCs/>
        </w:rPr>
        <w:t>RET</w:t>
      </w:r>
      <w:r w:rsidR="002D7804" w:rsidRPr="000B1799">
        <w:t xml:space="preserve"> fusion status</w:t>
      </w:r>
      <w:r w:rsidR="007B2765">
        <w:t>,</w:t>
      </w:r>
      <w:r w:rsidR="002D7804" w:rsidRPr="000B1799">
        <w:t xml:space="preserve"> </w:t>
      </w:r>
      <w:r w:rsidR="007B2765">
        <w:t xml:space="preserve">as </w:t>
      </w:r>
      <w:r w:rsidR="002D7804" w:rsidRPr="000B1799">
        <w:t xml:space="preserve">an independent prognostic characteristic for </w:t>
      </w:r>
      <w:r w:rsidR="002D7804">
        <w:t>progression-free survival (</w:t>
      </w:r>
      <w:r w:rsidR="002D7804" w:rsidRPr="000B1799">
        <w:t>PFS</w:t>
      </w:r>
      <w:r w:rsidR="002D7804">
        <w:t>)</w:t>
      </w:r>
      <w:r w:rsidR="002D7804" w:rsidRPr="000B1799">
        <w:t xml:space="preserve"> or </w:t>
      </w:r>
      <w:r w:rsidR="002D7804">
        <w:t>overall survival (</w:t>
      </w:r>
      <w:r w:rsidR="002D7804" w:rsidRPr="000B1799">
        <w:t>OS</w:t>
      </w:r>
      <w:r w:rsidR="002D7804">
        <w:t>)</w:t>
      </w:r>
      <w:r w:rsidR="007B2765">
        <w:t>,</w:t>
      </w:r>
      <w:r w:rsidR="002D7804" w:rsidRPr="000B1799">
        <w:t xml:space="preserve"> </w:t>
      </w:r>
      <w:r w:rsidR="002D7804">
        <w:t xml:space="preserve">was a </w:t>
      </w:r>
      <w:r w:rsidR="002D7804" w:rsidRPr="000B1799">
        <w:t>source of significant uncertainty</w:t>
      </w:r>
      <w:r w:rsidR="002D7804">
        <w:t xml:space="preserve"> (para</w:t>
      </w:r>
      <w:r w:rsidR="00957E82">
        <w:t>graph</w:t>
      </w:r>
      <w:r w:rsidR="002D7804">
        <w:t xml:space="preserve"> 7.15, selpercatinib, PSD, July 2023 PBAC meeting)</w:t>
      </w:r>
      <w:r w:rsidR="002D7804" w:rsidRPr="00852CF6">
        <w:t>.</w:t>
      </w:r>
      <w:r w:rsidR="002D7804">
        <w:t xml:space="preserve"> </w:t>
      </w:r>
      <w:bookmarkEnd w:id="19"/>
    </w:p>
    <w:p w14:paraId="3E2ED0AD" w14:textId="1CBA5E39" w:rsidR="002D7804" w:rsidRDefault="002D7804" w:rsidP="00B1508C">
      <w:pPr>
        <w:pStyle w:val="3-BodyText"/>
      </w:pPr>
      <w:r w:rsidRPr="261A464C">
        <w:t xml:space="preserve">The target population for </w:t>
      </w:r>
      <w:r>
        <w:t xml:space="preserve">treatment with </w:t>
      </w:r>
      <w:r w:rsidRPr="261A464C">
        <w:t xml:space="preserve">selpercatinib is locally advanced or metastatic </w:t>
      </w:r>
      <w:r w:rsidRPr="00E5275F">
        <w:rPr>
          <w:i/>
        </w:rPr>
        <w:t>RET</w:t>
      </w:r>
      <w:r>
        <w:t xml:space="preserve"> fusion-positive</w:t>
      </w:r>
      <w:r w:rsidRPr="261A464C">
        <w:t xml:space="preserve"> NSCLC patients</w:t>
      </w:r>
      <w:r>
        <w:t xml:space="preserve">, with an </w:t>
      </w:r>
      <w:r w:rsidRPr="00D313F6">
        <w:t xml:space="preserve">Eastern Cooperative Oncology Group </w:t>
      </w:r>
      <w:r>
        <w:t>(ECOG) performance status of 0 to 2</w:t>
      </w:r>
      <w:r w:rsidRPr="261A464C">
        <w:t>.</w:t>
      </w:r>
      <w:r>
        <w:t xml:space="preserve"> </w:t>
      </w:r>
      <w:r w:rsidRPr="00965517">
        <w:t>International guidelines recommend the use of targeted therapies</w:t>
      </w:r>
      <w:r>
        <w:t>, including selpercatinib,</w:t>
      </w:r>
      <w:r w:rsidRPr="00965517">
        <w:t xml:space="preserve"> as first-line treatment for advanced or metastatic NSCLC </w:t>
      </w:r>
      <w:r>
        <w:t xml:space="preserve">patients with </w:t>
      </w:r>
      <w:r w:rsidRPr="00965517">
        <w:t xml:space="preserve">specific oncogenic drivers, </w:t>
      </w:r>
      <w:r>
        <w:t>as they have been shown to have</w:t>
      </w:r>
      <w:r w:rsidRPr="00965517">
        <w:t xml:space="preserve"> higher response rates than other therapies</w:t>
      </w:r>
      <w:r>
        <w:t>,</w:t>
      </w:r>
      <w:r w:rsidRPr="00965517">
        <w:t xml:space="preserve"> including</w:t>
      </w:r>
      <w:r w:rsidRPr="00312718">
        <w:t xml:space="preserve"> immune checkpoint inhibitors</w:t>
      </w:r>
      <w:r>
        <w:t>,</w:t>
      </w:r>
      <w:r w:rsidRPr="00965517">
        <w:t xml:space="preserve"> and are better tolerate</w:t>
      </w:r>
      <w:r>
        <w:t>d.</w:t>
      </w:r>
      <w:r>
        <w:rPr>
          <w:rStyle w:val="FootnoteReference"/>
        </w:rPr>
        <w:footnoteReference w:id="6"/>
      </w:r>
      <w:r w:rsidRPr="00E5275F">
        <w:rPr>
          <w:vertAlign w:val="superscript"/>
        </w:rPr>
        <w:t>,</w:t>
      </w:r>
      <w:r>
        <w:rPr>
          <w:rStyle w:val="FootnoteReference"/>
        </w:rPr>
        <w:footnoteReference w:id="7"/>
      </w:r>
      <w:r>
        <w:t xml:space="preserve"> </w:t>
      </w:r>
    </w:p>
    <w:p w14:paraId="4CE9A47D" w14:textId="22B59759" w:rsidR="002D7804" w:rsidRDefault="002D7804" w:rsidP="002D7804">
      <w:pPr>
        <w:pStyle w:val="3-BodyText"/>
      </w:pPr>
      <w:bookmarkStart w:id="20" w:name="_Hlk163753349"/>
      <w:r>
        <w:t xml:space="preserve">The resubmission proposed a line-agnostic indication for selpercatinib to enable access for patients who may have received treatment for their advanced or metastatic disease prior to the listing of selpercatinib or who initiate systemic treatment prior to </w:t>
      </w:r>
      <w:r w:rsidRPr="00E5275F">
        <w:rPr>
          <w:i/>
        </w:rPr>
        <w:t>RET</w:t>
      </w:r>
      <w:r>
        <w:t xml:space="preserve"> fusion status being determined.</w:t>
      </w:r>
      <w:r w:rsidDel="008C0C08">
        <w:t xml:space="preserve"> </w:t>
      </w:r>
      <w:r>
        <w:t xml:space="preserve">The PBAC previously </w:t>
      </w:r>
      <w:r w:rsidR="00957E82">
        <w:t>considered</w:t>
      </w:r>
      <w:r w:rsidR="00012137">
        <w:t xml:space="preserve"> </w:t>
      </w:r>
      <w:r>
        <w:t xml:space="preserve">that a line-agnostic listing was appropriate </w:t>
      </w:r>
      <w:r w:rsidR="00012137">
        <w:t xml:space="preserve">and that </w:t>
      </w:r>
      <w:r w:rsidR="00012137" w:rsidRPr="00DF17F0">
        <w:t>selpercatinib was most likely to be used as first-line therapy in keeping with international guidelines</w:t>
      </w:r>
      <w:r w:rsidR="00012137">
        <w:t xml:space="preserve"> </w:t>
      </w:r>
      <w:r>
        <w:t>(para</w:t>
      </w:r>
      <w:r w:rsidR="00957E82">
        <w:t>graphs</w:t>
      </w:r>
      <w:r>
        <w:t xml:space="preserve"> 7.4</w:t>
      </w:r>
      <w:r w:rsidR="00012137">
        <w:t xml:space="preserve"> and 7.5</w:t>
      </w:r>
      <w:r>
        <w:t>, selpercatinib, PSD, July 2023 PBAC meeting).</w:t>
      </w:r>
    </w:p>
    <w:bookmarkEnd w:id="20"/>
    <w:p w14:paraId="1F0C3E1F" w14:textId="4F82D622" w:rsidR="002D7804" w:rsidRDefault="002D7804" w:rsidP="001471E1">
      <w:pPr>
        <w:pStyle w:val="3-BodyText"/>
      </w:pPr>
      <w:r w:rsidRPr="005A198C">
        <w:lastRenderedPageBreak/>
        <w:t xml:space="preserve">Selpercatinib is an orally available, small molecule inhibitor of the </w:t>
      </w:r>
      <w:r w:rsidRPr="00C1273C">
        <w:rPr>
          <w:i/>
          <w:iCs/>
        </w:rPr>
        <w:t>RET</w:t>
      </w:r>
      <w:r w:rsidRPr="005A198C">
        <w:t xml:space="preserve"> receptor tyrosine kinase. </w:t>
      </w:r>
      <w:r w:rsidRPr="000528C8">
        <w:t xml:space="preserve">In </w:t>
      </w:r>
      <w:r w:rsidRPr="00C1273C">
        <w:rPr>
          <w:i/>
          <w:iCs/>
        </w:rPr>
        <w:t>RET</w:t>
      </w:r>
      <w:r w:rsidRPr="000528C8">
        <w:t xml:space="preserve"> enzyme assays, selpercatinib inhibits the kinase activity of </w:t>
      </w:r>
      <w:r w:rsidRPr="00C1273C">
        <w:rPr>
          <w:i/>
          <w:iCs/>
        </w:rPr>
        <w:t>RET</w:t>
      </w:r>
      <w:r w:rsidRPr="000528C8">
        <w:t xml:space="preserve">, </w:t>
      </w:r>
      <w:r w:rsidRPr="00C1273C">
        <w:rPr>
          <w:i/>
          <w:iCs/>
        </w:rPr>
        <w:t>RET</w:t>
      </w:r>
      <w:r w:rsidRPr="000528C8">
        <w:t xml:space="preserve">-V804L, </w:t>
      </w:r>
      <w:r w:rsidRPr="00C1273C">
        <w:rPr>
          <w:i/>
          <w:iCs/>
        </w:rPr>
        <w:t>RET</w:t>
      </w:r>
      <w:r w:rsidRPr="000528C8">
        <w:t>-V804M,</w:t>
      </w:r>
      <w:r>
        <w:t xml:space="preserve"> </w:t>
      </w:r>
      <w:r w:rsidRPr="00C1273C">
        <w:rPr>
          <w:i/>
          <w:iCs/>
        </w:rPr>
        <w:t>RET</w:t>
      </w:r>
      <w:r w:rsidRPr="000528C8">
        <w:t xml:space="preserve">-A883F, </w:t>
      </w:r>
      <w:r w:rsidRPr="00C1273C">
        <w:rPr>
          <w:i/>
          <w:iCs/>
        </w:rPr>
        <w:t>RET</w:t>
      </w:r>
      <w:r w:rsidRPr="000528C8">
        <w:t xml:space="preserve">-S904F, and </w:t>
      </w:r>
      <w:r w:rsidRPr="00C1273C">
        <w:rPr>
          <w:i/>
          <w:iCs/>
        </w:rPr>
        <w:t>RET</w:t>
      </w:r>
      <w:r w:rsidRPr="000528C8">
        <w:t>-M918T</w:t>
      </w:r>
      <w:r>
        <w:t>.</w:t>
      </w:r>
    </w:p>
    <w:p w14:paraId="0E91C69F" w14:textId="63B7825F" w:rsidR="00861BF1" w:rsidRPr="00861BF1" w:rsidRDefault="00861BF1" w:rsidP="00861BF1">
      <w:pPr>
        <w:pStyle w:val="3-BodyText"/>
        <w:numPr>
          <w:ilvl w:val="0"/>
          <w:numId w:val="0"/>
        </w:numPr>
        <w:ind w:left="720"/>
        <w:rPr>
          <w:i/>
          <w:iCs/>
        </w:rPr>
      </w:pPr>
      <w:r w:rsidRPr="00861BF1">
        <w:rPr>
          <w:i/>
          <w:iCs/>
        </w:rPr>
        <w:t>For more detail on PBAC’s view, see section 7 PBAC outcome.</w:t>
      </w:r>
    </w:p>
    <w:p w14:paraId="33B7EFE6" w14:textId="77777777" w:rsidR="002D7804" w:rsidRPr="00407F2D" w:rsidRDefault="002D7804" w:rsidP="002D7804">
      <w:pPr>
        <w:pStyle w:val="2-SectionHeading"/>
      </w:pPr>
      <w:bookmarkStart w:id="21" w:name="_Toc167269743"/>
      <w:r w:rsidRPr="00407F2D">
        <w:t>Comparator</w:t>
      </w:r>
      <w:bookmarkEnd w:id="21"/>
    </w:p>
    <w:p w14:paraId="6B17CF8D" w14:textId="363B83D1" w:rsidR="002D7804" w:rsidRPr="0025743E" w:rsidRDefault="002D7804" w:rsidP="0025743E">
      <w:pPr>
        <w:pStyle w:val="3-BodyText"/>
        <w:rPr>
          <w:snapToGrid/>
          <w:lang w:val="en-US"/>
        </w:rPr>
      </w:pPr>
      <w:r w:rsidRPr="00F73362">
        <w:rPr>
          <w:snapToGrid/>
          <w:lang w:val="en-US"/>
        </w:rPr>
        <w:t xml:space="preserve">The resubmission nominated </w:t>
      </w:r>
      <w:r w:rsidRPr="00F73362" w:rsidDel="00B1508C">
        <w:rPr>
          <w:snapToGrid/>
          <w:lang w:val="en-US"/>
        </w:rPr>
        <w:t xml:space="preserve">pembrolizumab </w:t>
      </w:r>
      <w:r w:rsidR="000D7282">
        <w:rPr>
          <w:snapToGrid/>
          <w:lang w:val="en-US"/>
        </w:rPr>
        <w:t>+ PC</w:t>
      </w:r>
      <w:r w:rsidRPr="00F73362">
        <w:rPr>
          <w:snapToGrid/>
          <w:lang w:val="en-US"/>
        </w:rPr>
        <w:t xml:space="preserve"> as the main comparator in the first-line setting.</w:t>
      </w:r>
      <w:r w:rsidR="009C1F46">
        <w:rPr>
          <w:i/>
          <w:snapToGrid/>
          <w:lang w:val="en-US"/>
        </w:rPr>
        <w:t xml:space="preserve"> </w:t>
      </w:r>
      <w:r w:rsidRPr="00F73362">
        <w:rPr>
          <w:snapToGrid/>
          <w:lang w:val="en-US"/>
        </w:rPr>
        <w:t xml:space="preserve">The main argument provided in support of this nomination was </w:t>
      </w:r>
      <w:r>
        <w:rPr>
          <w:snapToGrid/>
          <w:lang w:val="en-US"/>
        </w:rPr>
        <w:t>that</w:t>
      </w:r>
      <w:r w:rsidRPr="00F73362">
        <w:rPr>
          <w:snapToGrid/>
          <w:lang w:val="en-US"/>
        </w:rPr>
        <w:t xml:space="preserve"> in the absence of PBS-listed treatments for </w:t>
      </w:r>
      <w:r w:rsidRPr="005732B0">
        <w:rPr>
          <w:i/>
          <w:iCs/>
          <w:snapToGrid/>
          <w:lang w:val="en-US"/>
        </w:rPr>
        <w:t>RET</w:t>
      </w:r>
      <w:r w:rsidRPr="00F73362">
        <w:rPr>
          <w:snapToGrid/>
          <w:lang w:val="en-US"/>
        </w:rPr>
        <w:t xml:space="preserve"> fusion-positive, advanced or metastatic NSCLC, </w:t>
      </w:r>
      <w:r>
        <w:rPr>
          <w:snapToGrid/>
          <w:lang w:val="en-US"/>
        </w:rPr>
        <w:t>patients</w:t>
      </w:r>
      <w:r w:rsidRPr="00F73362">
        <w:rPr>
          <w:snapToGrid/>
          <w:lang w:val="en-US"/>
        </w:rPr>
        <w:t xml:space="preserve"> receive therapies within </w:t>
      </w:r>
      <w:r w:rsidR="00FA7CEF">
        <w:rPr>
          <w:snapToGrid/>
          <w:lang w:val="en-US"/>
        </w:rPr>
        <w:t>s</w:t>
      </w:r>
      <w:r w:rsidRPr="00F73362">
        <w:rPr>
          <w:snapToGrid/>
          <w:lang w:val="en-US"/>
        </w:rPr>
        <w:t xml:space="preserve">tandard of </w:t>
      </w:r>
      <w:r w:rsidR="00FA7CEF">
        <w:rPr>
          <w:snapToGrid/>
          <w:lang w:val="en-US"/>
        </w:rPr>
        <w:t>c</w:t>
      </w:r>
      <w:r w:rsidRPr="00F73362">
        <w:rPr>
          <w:snapToGrid/>
          <w:lang w:val="en-US"/>
        </w:rPr>
        <w:t>are.</w:t>
      </w:r>
      <w:r w:rsidR="00A316ED">
        <w:rPr>
          <w:snapToGrid/>
          <w:lang w:val="en-US"/>
        </w:rPr>
        <w:t xml:space="preserve"> </w:t>
      </w:r>
      <w:r w:rsidRPr="00F73362">
        <w:rPr>
          <w:snapToGrid/>
          <w:lang w:val="en-US"/>
        </w:rPr>
        <w:t xml:space="preserve">Pembrolizumab </w:t>
      </w:r>
      <w:r w:rsidR="00C229D3">
        <w:rPr>
          <w:snapToGrid/>
          <w:lang w:val="en-US"/>
        </w:rPr>
        <w:t xml:space="preserve">+ PC </w:t>
      </w:r>
      <w:r>
        <w:rPr>
          <w:snapToGrid/>
          <w:lang w:val="en-US"/>
        </w:rPr>
        <w:t>was</w:t>
      </w:r>
      <w:r w:rsidRPr="00F73362">
        <w:rPr>
          <w:snapToGrid/>
          <w:lang w:val="en-US"/>
        </w:rPr>
        <w:t xml:space="preserve"> considered </w:t>
      </w:r>
      <w:r w:rsidR="00FA7CEF">
        <w:rPr>
          <w:snapToGrid/>
          <w:lang w:val="en-US"/>
        </w:rPr>
        <w:t>standard of care</w:t>
      </w:r>
      <w:r w:rsidRPr="00F73362">
        <w:rPr>
          <w:snapToGrid/>
          <w:lang w:val="en-US"/>
        </w:rPr>
        <w:t xml:space="preserve"> for </w:t>
      </w:r>
      <w:proofErr w:type="gramStart"/>
      <w:r w:rsidRPr="00F73362">
        <w:rPr>
          <w:snapToGrid/>
          <w:lang w:val="en-US"/>
        </w:rPr>
        <w:t>the majority of</w:t>
      </w:r>
      <w:proofErr w:type="gramEnd"/>
      <w:r w:rsidRPr="00F73362">
        <w:rPr>
          <w:snapToGrid/>
          <w:lang w:val="en-US"/>
        </w:rPr>
        <w:t xml:space="preserve"> advanced NSCLC patients with or without </w:t>
      </w:r>
      <w:r w:rsidR="00E95F4C" w:rsidRPr="00E95F4C">
        <w:rPr>
          <w:i/>
          <w:iCs/>
          <w:snapToGrid/>
          <w:lang w:val="en-US"/>
        </w:rPr>
        <w:t>RET</w:t>
      </w:r>
      <w:r w:rsidR="00E95F4C">
        <w:rPr>
          <w:snapToGrid/>
          <w:lang w:val="en-US"/>
        </w:rPr>
        <w:t xml:space="preserve"> </w:t>
      </w:r>
      <w:r w:rsidRPr="00F73362">
        <w:rPr>
          <w:snapToGrid/>
          <w:lang w:val="en-US"/>
        </w:rPr>
        <w:t>genomic variations</w:t>
      </w:r>
      <w:r w:rsidR="219C19E4" w:rsidRPr="00F73362">
        <w:rPr>
          <w:snapToGrid/>
          <w:lang w:val="en-US"/>
        </w:rPr>
        <w:t>.</w:t>
      </w:r>
      <w:r w:rsidR="0025743E">
        <w:rPr>
          <w:snapToGrid/>
          <w:lang w:val="en-US"/>
        </w:rPr>
        <w:t xml:space="preserve"> </w:t>
      </w:r>
      <w:r w:rsidRPr="0025743E">
        <w:rPr>
          <w:snapToGrid/>
          <w:lang w:val="en-US"/>
        </w:rPr>
        <w:t>Pembrolizumab + PC</w:t>
      </w:r>
      <w:r w:rsidRPr="0025743E">
        <w:rPr>
          <w:rFonts w:cs="Calibri"/>
          <w:iCs/>
          <w:lang w:val="en-US"/>
        </w:rPr>
        <w:t xml:space="preserve"> as the main comparator for the first-line treatment setting was previously considered reasonable by the PBAC (para</w:t>
      </w:r>
      <w:r w:rsidR="00957E82">
        <w:rPr>
          <w:rFonts w:cs="Calibri"/>
          <w:iCs/>
          <w:lang w:val="en-US"/>
        </w:rPr>
        <w:t>graph</w:t>
      </w:r>
      <w:r w:rsidRPr="0025743E">
        <w:rPr>
          <w:rFonts w:cs="Calibri"/>
          <w:iCs/>
          <w:lang w:val="en-US"/>
        </w:rPr>
        <w:t xml:space="preserve"> 7.5, selpercatinib, PSD, July 2023 PBAC meeting). </w:t>
      </w:r>
    </w:p>
    <w:p w14:paraId="42940132" w14:textId="30BCF08A" w:rsidR="00861BF1" w:rsidRPr="00861BF1" w:rsidRDefault="00861BF1" w:rsidP="00861BF1">
      <w:pPr>
        <w:pStyle w:val="3-BodyText"/>
        <w:numPr>
          <w:ilvl w:val="0"/>
          <w:numId w:val="0"/>
        </w:numPr>
        <w:ind w:left="720"/>
        <w:rPr>
          <w:rFonts w:cs="Calibri"/>
          <w:i/>
          <w:iCs/>
          <w:snapToGrid/>
          <w:lang w:val="en-US"/>
        </w:rPr>
      </w:pPr>
      <w:r w:rsidRPr="00861BF1">
        <w:rPr>
          <w:rFonts w:cs="Calibri"/>
          <w:i/>
          <w:iCs/>
          <w:lang w:val="en-US"/>
        </w:rPr>
        <w:t>For more detail on PBAC’s view, see section 7 PBAC outcome.</w:t>
      </w:r>
    </w:p>
    <w:p w14:paraId="0E3A4C2C" w14:textId="77777777" w:rsidR="002D7804" w:rsidRPr="00364C6C" w:rsidRDefault="002D7804" w:rsidP="002D7804">
      <w:pPr>
        <w:pStyle w:val="2-SectionHeading"/>
      </w:pPr>
      <w:bookmarkStart w:id="22" w:name="_Toc167269744"/>
      <w:bookmarkStart w:id="23" w:name="_Toc22897640"/>
      <w:r w:rsidRPr="00364C6C">
        <w:t>Consideration of the evidence</w:t>
      </w:r>
      <w:bookmarkEnd w:id="22"/>
    </w:p>
    <w:p w14:paraId="5455F5C7" w14:textId="77777777" w:rsidR="00861BF1" w:rsidRPr="00364C6C" w:rsidRDefault="00861BF1" w:rsidP="00861BF1">
      <w:pPr>
        <w:pStyle w:val="4-SubsectionHeading"/>
      </w:pPr>
      <w:bookmarkStart w:id="24" w:name="_Hlk76375935"/>
      <w:bookmarkStart w:id="25" w:name="_Toc167269745"/>
      <w:r w:rsidRPr="00364C6C">
        <w:t>Sponsor hearing</w:t>
      </w:r>
    </w:p>
    <w:p w14:paraId="19FB83E5" w14:textId="2A08AD66" w:rsidR="00861BF1" w:rsidRPr="00364C6C" w:rsidRDefault="00861BF1" w:rsidP="00861BF1">
      <w:pPr>
        <w:widowControl w:val="0"/>
        <w:numPr>
          <w:ilvl w:val="1"/>
          <w:numId w:val="1"/>
        </w:numPr>
        <w:spacing w:after="120"/>
        <w:rPr>
          <w:rFonts w:cs="Calibri"/>
          <w:bCs/>
          <w:snapToGrid w:val="0"/>
        </w:rPr>
      </w:pPr>
      <w:r w:rsidRPr="00364C6C">
        <w:rPr>
          <w:rFonts w:cs="Calibri"/>
          <w:bCs/>
          <w:snapToGrid w:val="0"/>
        </w:rPr>
        <w:t>There was no hearing for this item.</w:t>
      </w:r>
    </w:p>
    <w:p w14:paraId="60FFAA34" w14:textId="77777777" w:rsidR="00861BF1" w:rsidRPr="00364C6C" w:rsidRDefault="00861BF1" w:rsidP="00861BF1">
      <w:pPr>
        <w:pStyle w:val="4-SubsectionHeading"/>
      </w:pPr>
      <w:r w:rsidRPr="00364C6C">
        <w:t>Consumer comments</w:t>
      </w:r>
    </w:p>
    <w:p w14:paraId="2F9F108F" w14:textId="59F09A4E" w:rsidR="00364C6C" w:rsidRPr="00364C6C" w:rsidRDefault="00861BF1" w:rsidP="00364C6C">
      <w:pPr>
        <w:widowControl w:val="0"/>
        <w:numPr>
          <w:ilvl w:val="1"/>
          <w:numId w:val="1"/>
        </w:numPr>
        <w:spacing w:after="120"/>
        <w:rPr>
          <w:rFonts w:asciiTheme="minorHAnsi" w:hAnsiTheme="minorHAnsi"/>
          <w:bCs/>
          <w:snapToGrid w:val="0"/>
        </w:rPr>
      </w:pPr>
      <w:bookmarkStart w:id="26" w:name="_Hlk76382618"/>
      <w:r w:rsidRPr="00364C6C">
        <w:rPr>
          <w:rFonts w:asciiTheme="minorHAnsi" w:hAnsiTheme="minorHAnsi"/>
          <w:bCs/>
          <w:snapToGrid w:val="0"/>
        </w:rPr>
        <w:t>The PBAC noted and welcomed the input from health care professionals (</w:t>
      </w:r>
      <w:r w:rsidR="00364C6C" w:rsidRPr="00364C6C">
        <w:rPr>
          <w:rFonts w:asciiTheme="minorHAnsi" w:hAnsiTheme="minorHAnsi"/>
          <w:bCs/>
          <w:snapToGrid w:val="0"/>
        </w:rPr>
        <w:t>3</w:t>
      </w:r>
      <w:r w:rsidRPr="00364C6C">
        <w:rPr>
          <w:rFonts w:asciiTheme="minorHAnsi" w:hAnsiTheme="minorHAnsi"/>
          <w:bCs/>
          <w:snapToGrid w:val="0"/>
        </w:rPr>
        <w:t>) and organisations (</w:t>
      </w:r>
      <w:r w:rsidR="00364C6C" w:rsidRPr="00364C6C">
        <w:rPr>
          <w:rFonts w:asciiTheme="minorHAnsi" w:hAnsiTheme="minorHAnsi"/>
          <w:bCs/>
          <w:snapToGrid w:val="0"/>
        </w:rPr>
        <w:t>3</w:t>
      </w:r>
      <w:r w:rsidRPr="00364C6C">
        <w:rPr>
          <w:rFonts w:asciiTheme="minorHAnsi" w:hAnsiTheme="minorHAnsi"/>
          <w:bCs/>
          <w:snapToGrid w:val="0"/>
        </w:rPr>
        <w:t xml:space="preserve">) via the Consumer Comments facility on the PBS website. </w:t>
      </w:r>
      <w:r w:rsidR="00364C6C" w:rsidRPr="00364C6C">
        <w:rPr>
          <w:bCs/>
        </w:rPr>
        <w:t>The comments from the health care professionals described the potential efficacy and quality of life benefits with selpercatinib. It was also stated that selpercatinib was associated with minimal adverse events.</w:t>
      </w:r>
      <w:bookmarkStart w:id="27" w:name="_Hlk97141415"/>
      <w:r w:rsidR="00364C6C" w:rsidRPr="00364C6C">
        <w:rPr>
          <w:bCs/>
        </w:rPr>
        <w:t xml:space="preserve"> The PBAC also recalled that in July 2023 input supporting the </w:t>
      </w:r>
      <w:r w:rsidR="00AB73E3">
        <w:rPr>
          <w:bCs/>
        </w:rPr>
        <w:t xml:space="preserve">listing of selpercatinib </w:t>
      </w:r>
      <w:r w:rsidR="00364C6C" w:rsidRPr="00364C6C">
        <w:rPr>
          <w:bCs/>
        </w:rPr>
        <w:t>was received from an individual and a health care professional.</w:t>
      </w:r>
    </w:p>
    <w:bookmarkEnd w:id="27"/>
    <w:p w14:paraId="521A7FA5" w14:textId="061CB948" w:rsidR="00364C6C" w:rsidRPr="00364C6C" w:rsidRDefault="00364C6C" w:rsidP="006E2772">
      <w:pPr>
        <w:pStyle w:val="3-BodyText"/>
        <w:ind w:left="709" w:hanging="709"/>
        <w:rPr>
          <w:rFonts w:cstheme="minorHAnsi"/>
        </w:rPr>
      </w:pPr>
      <w:r w:rsidRPr="00364C6C">
        <w:rPr>
          <w:bCs/>
        </w:rPr>
        <w:t xml:space="preserve">Input was again received from Rare Cancers Australia and the Lung Foundation Australia. Rare Cancers Australia highlighted that patients with NSCLC with rare mutations are often faced with an extremely poor prognosis and stated that such patients need treatment options that provide significant improvements in survival. Both organisations noted that selpercatinib is an oral targeted therapy that may allow patients to live a </w:t>
      </w:r>
      <w:r w:rsidRPr="00B41EE5">
        <w:rPr>
          <w:rFonts w:cstheme="minorHAnsi"/>
          <w:bCs/>
        </w:rPr>
        <w:t>better and healthier life with their condition</w:t>
      </w:r>
      <w:r w:rsidR="008E153E" w:rsidRPr="00702F11">
        <w:rPr>
          <w:rFonts w:cstheme="minorHAnsi"/>
          <w:bCs/>
        </w:rPr>
        <w:t xml:space="preserve"> </w:t>
      </w:r>
      <w:r w:rsidR="00782083" w:rsidRPr="00B41EE5">
        <w:rPr>
          <w:rFonts w:cstheme="minorHAnsi"/>
          <w:bCs/>
        </w:rPr>
        <w:t xml:space="preserve">and commented that an oral </w:t>
      </w:r>
      <w:r w:rsidR="008E153E" w:rsidRPr="00B41EE5">
        <w:rPr>
          <w:rFonts w:cstheme="minorHAnsi"/>
          <w:bCs/>
        </w:rPr>
        <w:t>medication</w:t>
      </w:r>
      <w:r w:rsidR="00782083" w:rsidRPr="00B41EE5">
        <w:rPr>
          <w:rFonts w:cstheme="minorHAnsi"/>
          <w:bCs/>
        </w:rPr>
        <w:t xml:space="preserve"> is </w:t>
      </w:r>
      <w:r w:rsidR="008E153E" w:rsidRPr="00D47A46">
        <w:rPr>
          <w:rFonts w:cstheme="minorHAnsi"/>
          <w:color w:val="212121"/>
        </w:rPr>
        <w:t xml:space="preserve">more accessible for those in rural and remote areas and those for whom the cost of travel </w:t>
      </w:r>
      <w:r w:rsidR="00782083" w:rsidRPr="00D47A46">
        <w:rPr>
          <w:rFonts w:cstheme="minorHAnsi"/>
          <w:color w:val="212121"/>
        </w:rPr>
        <w:t xml:space="preserve">(for infusions) </w:t>
      </w:r>
      <w:r w:rsidR="008E153E" w:rsidRPr="00D47A46">
        <w:rPr>
          <w:rFonts w:cstheme="minorHAnsi"/>
          <w:color w:val="212121"/>
        </w:rPr>
        <w:t>was a barrier to attending treatment</w:t>
      </w:r>
      <w:r w:rsidRPr="00B41EE5">
        <w:rPr>
          <w:rFonts w:cstheme="minorHAnsi"/>
          <w:bCs/>
        </w:rPr>
        <w:t>.</w:t>
      </w:r>
    </w:p>
    <w:p w14:paraId="5D9FB834" w14:textId="5ECF78D1" w:rsidR="00364C6C" w:rsidRPr="00FB229F" w:rsidRDefault="00364C6C" w:rsidP="00364C6C">
      <w:pPr>
        <w:pStyle w:val="3-BodyText"/>
        <w:ind w:left="709" w:hanging="709"/>
        <w:rPr>
          <w:i/>
        </w:rPr>
      </w:pPr>
      <w:r w:rsidRPr="00FB229F">
        <w:rPr>
          <w:bCs/>
        </w:rPr>
        <w:t xml:space="preserve">The Medical Oncology Group of Australia (MOGA) </w:t>
      </w:r>
      <w:r>
        <w:rPr>
          <w:bCs/>
        </w:rPr>
        <w:t>again</w:t>
      </w:r>
      <w:r w:rsidRPr="00FB229F">
        <w:rPr>
          <w:bCs/>
        </w:rPr>
        <w:t xml:space="preserve"> expressed its strong support for the selpercatinib submission, categorising it as one of the therapies of “highest priority for PBS listing”. The PBAC noted that the MOGA presented a European Society for Medical Oncology Magnitude of Clinical Benefit Scale (ESMO-MCBS) for </w:t>
      </w:r>
      <w:r w:rsidRPr="00FB229F">
        <w:rPr>
          <w:bCs/>
        </w:rPr>
        <w:lastRenderedPageBreak/>
        <w:t>selpercatinib</w:t>
      </w:r>
      <w:r w:rsidR="00F2334B">
        <w:rPr>
          <w:bCs/>
        </w:rPr>
        <w:t xml:space="preserve"> </w:t>
      </w:r>
      <w:r w:rsidR="00911137">
        <w:rPr>
          <w:bCs/>
        </w:rPr>
        <w:t xml:space="preserve">based on the LIBRETTO-431 trial, </w:t>
      </w:r>
      <w:r w:rsidRPr="00FB229F">
        <w:rPr>
          <w:bCs/>
        </w:rPr>
        <w:t>which was limited to 3 (out of a maximum of 5, where 5 and 4 represent the grades with substantial improvement)</w:t>
      </w:r>
      <w:r w:rsidRPr="00FB229F">
        <w:rPr>
          <w:rStyle w:val="FootnoteReference"/>
          <w:bCs/>
        </w:rPr>
        <w:footnoteReference w:id="8"/>
      </w:r>
      <w:r>
        <w:rPr>
          <w:bCs/>
        </w:rPr>
        <w:t xml:space="preserve">. </w:t>
      </w:r>
    </w:p>
    <w:bookmarkEnd w:id="24"/>
    <w:bookmarkEnd w:id="26"/>
    <w:p w14:paraId="6D88E80F" w14:textId="537F0477" w:rsidR="002D7804" w:rsidRPr="00C9624D" w:rsidRDefault="002D7804" w:rsidP="002D7804">
      <w:pPr>
        <w:pStyle w:val="4-SubsectionHeading"/>
      </w:pPr>
      <w:r w:rsidRPr="00C9624D">
        <w:t>Clinical trials</w:t>
      </w:r>
      <w:bookmarkEnd w:id="23"/>
      <w:bookmarkEnd w:id="25"/>
    </w:p>
    <w:p w14:paraId="383B6A81" w14:textId="38435600" w:rsidR="002D7804" w:rsidRPr="00604DCD" w:rsidRDefault="002D7804" w:rsidP="002D7804">
      <w:pPr>
        <w:pStyle w:val="3-BodyText"/>
      </w:pPr>
      <w:r>
        <w:rPr>
          <w:snapToGrid/>
          <w:lang w:val="en-US"/>
        </w:rPr>
        <w:t xml:space="preserve">The resubmission was based on one head-to-head trial comparing </w:t>
      </w:r>
      <w:r w:rsidRPr="00C56EAC">
        <w:rPr>
          <w:snapToGrid/>
          <w:lang w:val="en-US"/>
        </w:rPr>
        <w:t xml:space="preserve">selpercatinib to pemetrexed plus platinum-based chemotherapy (carboplatin or cisplatin) with or without pembrolizumab </w:t>
      </w:r>
      <w:r>
        <w:rPr>
          <w:snapToGrid/>
          <w:lang w:val="en-US"/>
        </w:rPr>
        <w:t xml:space="preserve">(pembrolizumab ± PC) in </w:t>
      </w:r>
      <w:r w:rsidR="00364C6C">
        <w:rPr>
          <w:snapToGrid/>
          <w:lang w:val="en-US"/>
        </w:rPr>
        <w:t xml:space="preserve">patients </w:t>
      </w:r>
      <w:r>
        <w:rPr>
          <w:snapToGrid/>
          <w:lang w:val="en-US"/>
        </w:rPr>
        <w:t xml:space="preserve">with </w:t>
      </w:r>
      <w:r w:rsidRPr="00865CB0">
        <w:rPr>
          <w:i/>
          <w:iCs/>
          <w:snapToGrid/>
          <w:lang w:val="en-US"/>
        </w:rPr>
        <w:t>RET</w:t>
      </w:r>
      <w:r>
        <w:rPr>
          <w:snapToGrid/>
          <w:lang w:val="en-US"/>
        </w:rPr>
        <w:t xml:space="preserve"> fusion-positive advanced (locally advanced or metastatic) non-squamous NSCLC: LIBRETTO</w:t>
      </w:r>
      <w:r w:rsidR="00C1519B">
        <w:rPr>
          <w:snapToGrid/>
          <w:lang w:val="en-US"/>
        </w:rPr>
        <w:noBreakHyphen/>
      </w:r>
      <w:r>
        <w:rPr>
          <w:snapToGrid/>
          <w:lang w:val="en-US"/>
        </w:rPr>
        <w:t xml:space="preserve">431. </w:t>
      </w:r>
      <w:r w:rsidRPr="00604DCD">
        <w:rPr>
          <w:snapToGrid/>
          <w:lang w:val="en-US"/>
        </w:rPr>
        <w:t>This was a new trial presented in the resubmission.</w:t>
      </w:r>
    </w:p>
    <w:p w14:paraId="15612D30" w14:textId="257A2EBD" w:rsidR="00957E82" w:rsidRPr="00865CB0" w:rsidRDefault="002D7804" w:rsidP="002D7804">
      <w:pPr>
        <w:pStyle w:val="3-BodyText"/>
      </w:pPr>
      <w:bookmarkStart w:id="28" w:name="_Ref169276094"/>
      <w:r w:rsidRPr="002D53D8">
        <w:t xml:space="preserve">The resubmission also presented </w:t>
      </w:r>
      <w:r w:rsidR="00957E82">
        <w:t>updated data from the LIBRETTO-001 study. This was a</w:t>
      </w:r>
      <w:r w:rsidR="00957E82" w:rsidRPr="002D53D8">
        <w:t xml:space="preserve"> phase II</w:t>
      </w:r>
      <w:r w:rsidR="00957E82">
        <w:t>,</w:t>
      </w:r>
      <w:r w:rsidR="00957E82" w:rsidRPr="002D53D8">
        <w:t xml:space="preserve"> single-arm study of selpercatinib in </w:t>
      </w:r>
      <w:r w:rsidR="00364C6C">
        <w:rPr>
          <w:snapToGrid/>
          <w:lang w:val="en-US"/>
        </w:rPr>
        <w:t>patients</w:t>
      </w:r>
      <w:r w:rsidR="00957E82" w:rsidRPr="002D53D8">
        <w:t xml:space="preserve"> with </w:t>
      </w:r>
      <w:r w:rsidR="00957E82" w:rsidRPr="00632B98">
        <w:rPr>
          <w:i/>
          <w:iCs/>
        </w:rPr>
        <w:t>RET</w:t>
      </w:r>
      <w:r w:rsidR="00957E82" w:rsidRPr="002D53D8">
        <w:t xml:space="preserve"> fusion-positive advanced (locally advanced or metastatic) non-squamous NSCLC. </w:t>
      </w:r>
      <w:r w:rsidR="00957E82" w:rsidRPr="00604DCD">
        <w:rPr>
          <w:rFonts w:ascii="Calibri" w:eastAsia="Calibri" w:hAnsi="Calibri" w:cs="Calibri"/>
        </w:rPr>
        <w:t>The July</w:t>
      </w:r>
      <w:r w:rsidR="00FC1A2E">
        <w:rPr>
          <w:rFonts w:ascii="Calibri" w:eastAsia="Calibri" w:hAnsi="Calibri" w:cs="Calibri"/>
        </w:rPr>
        <w:t> </w:t>
      </w:r>
      <w:r w:rsidR="00957E82" w:rsidRPr="00604DCD">
        <w:rPr>
          <w:rFonts w:ascii="Calibri" w:eastAsia="Calibri" w:hAnsi="Calibri" w:cs="Calibri"/>
        </w:rPr>
        <w:t>2023 submission presented data up to 15 June 2021.</w:t>
      </w:r>
      <w:bookmarkEnd w:id="28"/>
      <w:r w:rsidR="008D1073" w:rsidRPr="008D1073">
        <w:t xml:space="preserve"> </w:t>
      </w:r>
      <w:r w:rsidR="008D1073" w:rsidRPr="002D53D8">
        <w:t>The resubmission presented updated data up to 13 January 2023</w:t>
      </w:r>
      <w:r w:rsidR="008D1073">
        <w:t xml:space="preserve"> </w:t>
      </w:r>
      <w:r w:rsidR="008D1073" w:rsidRPr="00861BF1">
        <w:t xml:space="preserve">(but did not update the </w:t>
      </w:r>
      <w:r w:rsidR="00747485" w:rsidRPr="00861BF1">
        <w:t>indirect treatment comparisons (ITCs)</w:t>
      </w:r>
      <w:r w:rsidR="008D1073" w:rsidRPr="00861BF1">
        <w:t>, see discussion below).</w:t>
      </w:r>
    </w:p>
    <w:p w14:paraId="5A71B5CC" w14:textId="6C359E97" w:rsidR="002D7804" w:rsidRPr="002D53D8" w:rsidRDefault="00957E82" w:rsidP="002D7804">
      <w:pPr>
        <w:pStyle w:val="3-BodyText"/>
      </w:pPr>
      <w:r>
        <w:rPr>
          <w:rFonts w:ascii="Calibri" w:eastAsia="Calibri" w:hAnsi="Calibri" w:cs="Calibri"/>
        </w:rPr>
        <w:t xml:space="preserve">The </w:t>
      </w:r>
      <w:r w:rsidR="002D7804" w:rsidRPr="002D53D8">
        <w:t>following clinical evidence from the July 2023 submission</w:t>
      </w:r>
      <w:r>
        <w:t xml:space="preserve"> was represented and used to inform the ITCs between selpercatinib (LIBRETTO-001 study treatment-naïve cohort) and pembrolizumab + PC (KN-021 (Cohort G) trial and KN-189 trials)</w:t>
      </w:r>
      <w:r w:rsidR="008808F1">
        <w:t>:</w:t>
      </w:r>
      <w:r w:rsidR="001E18EF">
        <w:t xml:space="preserve"> </w:t>
      </w:r>
    </w:p>
    <w:p w14:paraId="57583244" w14:textId="1A7FB4E2" w:rsidR="002D7804" w:rsidRPr="00604DCD" w:rsidRDefault="002D7804" w:rsidP="00861BF1">
      <w:pPr>
        <w:pStyle w:val="3-BodyText"/>
        <w:numPr>
          <w:ilvl w:val="2"/>
          <w:numId w:val="13"/>
        </w:numPr>
        <w:ind w:left="1134"/>
      </w:pPr>
      <w:r w:rsidRPr="002D53D8">
        <w:t xml:space="preserve">LIBRETTO-001: </w:t>
      </w:r>
      <w:r w:rsidR="00865CB0">
        <w:t xml:space="preserve">As outlined in paragraph </w:t>
      </w:r>
      <w:r w:rsidR="00865CB0">
        <w:fldChar w:fldCharType="begin" w:fldLock="1"/>
      </w:r>
      <w:r w:rsidR="00865CB0">
        <w:instrText xml:space="preserve"> REF _Ref169276094 \r \h </w:instrText>
      </w:r>
      <w:r w:rsidR="00865CB0">
        <w:fldChar w:fldCharType="separate"/>
      </w:r>
      <w:r w:rsidR="00F979CE">
        <w:t>6.6</w:t>
      </w:r>
      <w:r w:rsidR="00865CB0">
        <w:fldChar w:fldCharType="end"/>
      </w:r>
      <w:r w:rsidR="00865CB0">
        <w:t xml:space="preserve">. Data up to 15 June 2021. </w:t>
      </w:r>
    </w:p>
    <w:p w14:paraId="6D8D4EC4" w14:textId="249F3799" w:rsidR="002D7804" w:rsidRPr="002D53D8" w:rsidRDefault="002D7804" w:rsidP="00861BF1">
      <w:pPr>
        <w:pStyle w:val="3-BodyText"/>
        <w:numPr>
          <w:ilvl w:val="2"/>
          <w:numId w:val="13"/>
        </w:numPr>
        <w:ind w:left="1134"/>
      </w:pPr>
      <w:r w:rsidRPr="002D53D8">
        <w:t xml:space="preserve">KN-189: A double-blind, randomised, controlled, phase III trial comparing pembrolizumab + PC versus PC in treatment-naïve </w:t>
      </w:r>
      <w:r w:rsidR="00364C6C">
        <w:rPr>
          <w:snapToGrid/>
          <w:lang w:val="en-US"/>
        </w:rPr>
        <w:t>patients</w:t>
      </w:r>
      <w:r w:rsidRPr="002D53D8">
        <w:t xml:space="preserve"> with metastatic non-squamous NSCLC without sensitising </w:t>
      </w:r>
      <w:r w:rsidRPr="00C75111">
        <w:rPr>
          <w:i/>
          <w:iCs/>
        </w:rPr>
        <w:t>EGFR</w:t>
      </w:r>
      <w:r w:rsidRPr="002D53D8">
        <w:t xml:space="preserve"> or </w:t>
      </w:r>
      <w:r w:rsidRPr="00D03ACC">
        <w:rPr>
          <w:i/>
          <w:iCs/>
        </w:rPr>
        <w:t>ALK</w:t>
      </w:r>
      <w:r w:rsidRPr="002D53D8">
        <w:t xml:space="preserve"> mutations.</w:t>
      </w:r>
      <w:r>
        <w:t xml:space="preserve"> </w:t>
      </w:r>
    </w:p>
    <w:p w14:paraId="61139CE7" w14:textId="0B24A2CE" w:rsidR="002D7804" w:rsidRDefault="002D7804" w:rsidP="00861BF1">
      <w:pPr>
        <w:pStyle w:val="3-BodyText"/>
        <w:numPr>
          <w:ilvl w:val="2"/>
          <w:numId w:val="13"/>
        </w:numPr>
        <w:ind w:left="1134"/>
      </w:pPr>
      <w:r w:rsidRPr="002D53D8">
        <w:t xml:space="preserve">KN-021 (Cohort G): An open-label, randomised, controlled, phase II trial comparing pembrolizumab + PC versus PC in treatment-naïve </w:t>
      </w:r>
      <w:r w:rsidR="00364C6C">
        <w:rPr>
          <w:snapToGrid/>
          <w:lang w:val="en-US"/>
        </w:rPr>
        <w:t>patients</w:t>
      </w:r>
      <w:r w:rsidRPr="002D53D8">
        <w:t xml:space="preserve"> with metastatic non-squamous NSCLC without sensitising </w:t>
      </w:r>
      <w:r w:rsidRPr="1BD5FB9F">
        <w:rPr>
          <w:i/>
        </w:rPr>
        <w:t xml:space="preserve">EGFR </w:t>
      </w:r>
      <w:r w:rsidRPr="002D53D8">
        <w:t xml:space="preserve">or </w:t>
      </w:r>
      <w:r w:rsidRPr="7A6E3C8F">
        <w:rPr>
          <w:i/>
        </w:rPr>
        <w:t xml:space="preserve">ALK </w:t>
      </w:r>
      <w:r w:rsidRPr="002D53D8">
        <w:t>mutations.</w:t>
      </w:r>
      <w:r>
        <w:t xml:space="preserve"> </w:t>
      </w:r>
    </w:p>
    <w:p w14:paraId="520339B5" w14:textId="1BBC61D0" w:rsidR="0074451E" w:rsidRPr="00865CB0" w:rsidRDefault="008808F1" w:rsidP="008808F1">
      <w:pPr>
        <w:pStyle w:val="3-BodyText"/>
        <w:rPr>
          <w:lang w:val="en-US"/>
        </w:rPr>
      </w:pPr>
      <w:r w:rsidRPr="007A7229">
        <w:t xml:space="preserve">The </w:t>
      </w:r>
      <w:r>
        <w:t>ITCs</w:t>
      </w:r>
      <w:r w:rsidRPr="007A7229">
        <w:t xml:space="preserve"> were unchanged from the July 2023 submission</w:t>
      </w:r>
      <w:r>
        <w:t xml:space="preserve"> and </w:t>
      </w:r>
      <w:r w:rsidR="0074451E">
        <w:t>included a network meta-analysis, an anchored ITC</w:t>
      </w:r>
      <w:r w:rsidR="000A7E98">
        <w:t>,</w:t>
      </w:r>
      <w:r w:rsidR="0074451E">
        <w:t xml:space="preserve"> and an unanchored matching-adjusted </w:t>
      </w:r>
      <w:r w:rsidR="00DA7FC0">
        <w:t>indirect comparison (</w:t>
      </w:r>
      <w:r w:rsidR="0074451E">
        <w:t>MAIC</w:t>
      </w:r>
      <w:r w:rsidR="00DA7FC0">
        <w:t>)</w:t>
      </w:r>
      <w:r w:rsidR="0074451E" w:rsidRPr="007A7229">
        <w:t xml:space="preserve">. </w:t>
      </w:r>
      <w:r w:rsidR="001E18EF">
        <w:t xml:space="preserve">The </w:t>
      </w:r>
      <w:r w:rsidR="0074451E">
        <w:t>MAIC</w:t>
      </w:r>
      <w:r w:rsidR="001E18EF">
        <w:t xml:space="preserve"> was conducted </w:t>
      </w:r>
      <w:r w:rsidR="0074451E">
        <w:t xml:space="preserve">by matching individual patient data for the single selpercatinib arm of the LIBRETTO-001 study to published summary data for the pembrolizumab + PC arm of the KN-189 trial. Two models were considered: Model 1 matched </w:t>
      </w:r>
      <w:r w:rsidR="00364C6C">
        <w:rPr>
          <w:snapToGrid/>
          <w:lang w:val="en-US"/>
        </w:rPr>
        <w:t>patients</w:t>
      </w:r>
      <w:r w:rsidR="0074451E" w:rsidRPr="002D53D8">
        <w:t xml:space="preserve"> </w:t>
      </w:r>
      <w:r w:rsidR="0074451E">
        <w:t xml:space="preserve">on all prespecified characteristics excluding smoking status (MAIC 1 model); and Model 2 matched </w:t>
      </w:r>
      <w:r w:rsidR="00364C6C">
        <w:rPr>
          <w:snapToGrid/>
          <w:lang w:val="en-US"/>
        </w:rPr>
        <w:t>patients</w:t>
      </w:r>
      <w:r w:rsidR="0074451E" w:rsidRPr="002D53D8">
        <w:t xml:space="preserve"> </w:t>
      </w:r>
      <w:r w:rsidR="0074451E">
        <w:t>on all prespecified characteristics including smoking status (MAIC 2 model).</w:t>
      </w:r>
    </w:p>
    <w:p w14:paraId="11AACCF9" w14:textId="39ED7727" w:rsidR="002D7804" w:rsidRPr="0019415E" w:rsidRDefault="002D7804" w:rsidP="002D7804">
      <w:pPr>
        <w:pStyle w:val="3-BodyText"/>
        <w:rPr>
          <w:lang w:val="en-US"/>
        </w:rPr>
      </w:pPr>
      <w:r>
        <w:rPr>
          <w:snapToGrid/>
          <w:lang w:val="en-US"/>
        </w:rPr>
        <w:t xml:space="preserve">The resubmission also presented a supplementary study – a retrospective, international, multicenter study on clinical biological features and treatment outcomes for </w:t>
      </w:r>
      <w:r w:rsidR="00364C6C">
        <w:rPr>
          <w:snapToGrid/>
          <w:lang w:val="en-US"/>
        </w:rPr>
        <w:t>patients</w:t>
      </w:r>
      <w:r w:rsidR="00364C6C" w:rsidDel="00364C6C">
        <w:t xml:space="preserve"> </w:t>
      </w:r>
      <w:r>
        <w:rPr>
          <w:snapToGrid/>
          <w:lang w:val="en-US"/>
        </w:rPr>
        <w:t xml:space="preserve">with </w:t>
      </w:r>
      <w:r w:rsidRPr="00D97D0E">
        <w:rPr>
          <w:i/>
          <w:snapToGrid/>
          <w:lang w:val="en-US"/>
        </w:rPr>
        <w:t>RET</w:t>
      </w:r>
      <w:r>
        <w:rPr>
          <w:snapToGrid/>
          <w:lang w:val="en-US"/>
        </w:rPr>
        <w:t xml:space="preserve"> fusion-positive NSCLC (N=205): RET:MAP.</w:t>
      </w:r>
    </w:p>
    <w:p w14:paraId="60862507" w14:textId="3B0DFA30" w:rsidR="002D7804" w:rsidRDefault="002D7804" w:rsidP="002D7804">
      <w:pPr>
        <w:pStyle w:val="3-BodyText"/>
        <w:rPr>
          <w:snapToGrid/>
          <w:lang w:val="en-US"/>
        </w:rPr>
      </w:pPr>
      <w:r>
        <w:rPr>
          <w:snapToGrid/>
          <w:lang w:val="en-US"/>
        </w:rPr>
        <w:t xml:space="preserve">Details of the trials and </w:t>
      </w:r>
      <w:r w:rsidR="007B2765">
        <w:rPr>
          <w:snapToGrid/>
          <w:lang w:val="en-US"/>
        </w:rPr>
        <w:t xml:space="preserve">studies </w:t>
      </w:r>
      <w:r>
        <w:rPr>
          <w:snapToGrid/>
          <w:lang w:val="en-US"/>
        </w:rPr>
        <w:t xml:space="preserve">presented in the </w:t>
      </w:r>
      <w:r w:rsidR="006D5EFF">
        <w:rPr>
          <w:snapToGrid/>
          <w:lang w:val="en-US"/>
        </w:rPr>
        <w:t>re</w:t>
      </w:r>
      <w:r>
        <w:rPr>
          <w:snapToGrid/>
          <w:lang w:val="en-US"/>
        </w:rPr>
        <w:t xml:space="preserve">submission are provided in </w:t>
      </w:r>
      <w:r>
        <w:rPr>
          <w:snapToGrid/>
          <w:lang w:val="en-US"/>
        </w:rPr>
        <w:fldChar w:fldCharType="begin" w:fldLock="1"/>
      </w:r>
      <w:r>
        <w:rPr>
          <w:snapToGrid/>
          <w:lang w:val="en-US"/>
        </w:rPr>
        <w:instrText xml:space="preserve"> REF _Ref104803956 \h </w:instrText>
      </w:r>
      <w:r>
        <w:rPr>
          <w:snapToGrid/>
          <w:lang w:val="en-US"/>
        </w:rPr>
      </w:r>
      <w:r>
        <w:rPr>
          <w:snapToGrid/>
          <w:lang w:val="en-US"/>
        </w:rPr>
        <w:fldChar w:fldCharType="separate"/>
      </w:r>
      <w:r w:rsidR="00F979CE">
        <w:t xml:space="preserve">Table </w:t>
      </w:r>
      <w:r w:rsidR="00F979CE">
        <w:rPr>
          <w:noProof/>
        </w:rPr>
        <w:t>3</w:t>
      </w:r>
      <w:r>
        <w:rPr>
          <w:snapToGrid/>
          <w:lang w:val="en-US"/>
        </w:rPr>
        <w:fldChar w:fldCharType="end"/>
      </w:r>
      <w:r>
        <w:rPr>
          <w:snapToGrid/>
          <w:lang w:val="en-US"/>
        </w:rPr>
        <w:t xml:space="preserve">. </w:t>
      </w:r>
    </w:p>
    <w:p w14:paraId="6DBC3317" w14:textId="3327BFC9" w:rsidR="002D7804" w:rsidRDefault="002D7804" w:rsidP="002D7804">
      <w:pPr>
        <w:pStyle w:val="TableFigureHeading"/>
        <w:rPr>
          <w:rStyle w:val="CommentReference"/>
          <w:b/>
          <w:szCs w:val="24"/>
        </w:rPr>
      </w:pPr>
      <w:bookmarkStart w:id="29" w:name="_Ref104803956"/>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3</w:t>
      </w:r>
      <w:r w:rsidR="00BA56FF">
        <w:rPr>
          <w:noProof/>
        </w:rPr>
        <w:fldChar w:fldCharType="end"/>
      </w:r>
      <w:bookmarkEnd w:id="29"/>
      <w:r>
        <w:t>:</w:t>
      </w:r>
      <w:r w:rsidRPr="002E4F02">
        <w:rPr>
          <w:rStyle w:val="CommentReference"/>
          <w:b/>
          <w:szCs w:val="24"/>
        </w:rPr>
        <w:t xml:space="preserve"> Trials/studies</w:t>
      </w:r>
      <w:r>
        <w:rPr>
          <w:rStyle w:val="CommentReference"/>
          <w:b/>
          <w:szCs w:val="24"/>
        </w:rPr>
        <w:t xml:space="preserve"> </w:t>
      </w:r>
      <w:r w:rsidRPr="002E4F02">
        <w:rPr>
          <w:rStyle w:val="CommentReference"/>
          <w:b/>
          <w:szCs w:val="24"/>
        </w:rPr>
        <w:t>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studies and associated reports presented in the submission"/>
      </w:tblPr>
      <w:tblGrid>
        <w:gridCol w:w="1643"/>
        <w:gridCol w:w="5354"/>
        <w:gridCol w:w="2020"/>
      </w:tblGrid>
      <w:tr w:rsidR="002D7804" w:rsidRPr="000C4181" w14:paraId="4F8C6116" w14:textId="77777777">
        <w:trPr>
          <w:tblHeader/>
        </w:trPr>
        <w:tc>
          <w:tcPr>
            <w:tcW w:w="911" w:type="pct"/>
            <w:vAlign w:val="center"/>
          </w:tcPr>
          <w:p w14:paraId="6800E10E" w14:textId="77777777" w:rsidR="002D7804" w:rsidRPr="000C4181" w:rsidRDefault="002D7804">
            <w:pPr>
              <w:pStyle w:val="In-tableHeading"/>
              <w:jc w:val="center"/>
              <w:rPr>
                <w:szCs w:val="20"/>
              </w:rPr>
            </w:pPr>
            <w:r w:rsidRPr="000C4181">
              <w:rPr>
                <w:szCs w:val="20"/>
              </w:rPr>
              <w:t>Trial ID</w:t>
            </w:r>
          </w:p>
        </w:tc>
        <w:tc>
          <w:tcPr>
            <w:tcW w:w="2969" w:type="pct"/>
            <w:tcBorders>
              <w:bottom w:val="single" w:sz="4" w:space="0" w:color="auto"/>
            </w:tcBorders>
            <w:vAlign w:val="center"/>
          </w:tcPr>
          <w:p w14:paraId="04C6BEEA" w14:textId="77777777" w:rsidR="002D7804" w:rsidRPr="000C4181" w:rsidRDefault="002D7804">
            <w:pPr>
              <w:pStyle w:val="In-tableHeading"/>
              <w:jc w:val="center"/>
              <w:rPr>
                <w:szCs w:val="20"/>
              </w:rPr>
            </w:pPr>
            <w:r w:rsidRPr="000C4181">
              <w:rPr>
                <w:szCs w:val="20"/>
              </w:rPr>
              <w:t>Protocol title/ Publication title</w:t>
            </w:r>
          </w:p>
        </w:tc>
        <w:tc>
          <w:tcPr>
            <w:tcW w:w="1120" w:type="pct"/>
            <w:tcBorders>
              <w:bottom w:val="single" w:sz="4" w:space="0" w:color="auto"/>
            </w:tcBorders>
            <w:vAlign w:val="center"/>
          </w:tcPr>
          <w:p w14:paraId="5796CEE7" w14:textId="77777777" w:rsidR="002D7804" w:rsidRPr="000C4181" w:rsidRDefault="002D7804">
            <w:pPr>
              <w:pStyle w:val="In-tableHeading"/>
              <w:jc w:val="center"/>
              <w:rPr>
                <w:szCs w:val="20"/>
              </w:rPr>
            </w:pPr>
            <w:r w:rsidRPr="000C4181">
              <w:rPr>
                <w:szCs w:val="20"/>
              </w:rPr>
              <w:t>Publication citation</w:t>
            </w:r>
          </w:p>
        </w:tc>
      </w:tr>
      <w:tr w:rsidR="002D7804" w:rsidRPr="000C4181" w14:paraId="7C81E547" w14:textId="77777777">
        <w:tc>
          <w:tcPr>
            <w:tcW w:w="911" w:type="pct"/>
            <w:tcBorders>
              <w:bottom w:val="nil"/>
            </w:tcBorders>
            <w:vAlign w:val="center"/>
          </w:tcPr>
          <w:p w14:paraId="57757BC8" w14:textId="77777777" w:rsidR="002D7804" w:rsidRPr="000C4181" w:rsidRDefault="002D7804">
            <w:pPr>
              <w:pStyle w:val="TableText0"/>
              <w:spacing w:after="60"/>
              <w:rPr>
                <w:szCs w:val="20"/>
              </w:rPr>
            </w:pPr>
          </w:p>
        </w:tc>
        <w:tc>
          <w:tcPr>
            <w:tcW w:w="2969" w:type="pct"/>
            <w:tcBorders>
              <w:bottom w:val="nil"/>
            </w:tcBorders>
            <w:vAlign w:val="center"/>
          </w:tcPr>
          <w:p w14:paraId="511A8BFC" w14:textId="77777777" w:rsidR="002D7804" w:rsidRPr="000C4181" w:rsidRDefault="002D7804">
            <w:pPr>
              <w:pStyle w:val="TableText0"/>
              <w:spacing w:after="60"/>
              <w:rPr>
                <w:szCs w:val="20"/>
              </w:rPr>
            </w:pPr>
            <w:r w:rsidRPr="000C4181">
              <w:rPr>
                <w:szCs w:val="20"/>
              </w:rPr>
              <w:t>A Multicentre, Randomised, Open-Label, Phase 3 Trial Comparing Selpercatinib to Platinum-Based and Pemetrexed Therapy with or without Pembrolizumab as Initial Treatment of Advanced or Metastatic RET Fusion-Positive Non-Small Cell Lung Cancer</w:t>
            </w:r>
          </w:p>
        </w:tc>
        <w:tc>
          <w:tcPr>
            <w:tcW w:w="1120" w:type="pct"/>
            <w:tcBorders>
              <w:bottom w:val="nil"/>
            </w:tcBorders>
            <w:vAlign w:val="center"/>
          </w:tcPr>
          <w:p w14:paraId="027924B5" w14:textId="77777777" w:rsidR="002D7804" w:rsidRPr="000C4181" w:rsidRDefault="002D7804">
            <w:pPr>
              <w:pStyle w:val="TableText0"/>
              <w:spacing w:after="60"/>
              <w:rPr>
                <w:szCs w:val="20"/>
              </w:rPr>
            </w:pPr>
            <w:r w:rsidRPr="000C4181">
              <w:rPr>
                <w:szCs w:val="20"/>
              </w:rPr>
              <w:t>May 2023</w:t>
            </w:r>
          </w:p>
        </w:tc>
      </w:tr>
      <w:tr w:rsidR="002D7804" w:rsidRPr="000C4181" w14:paraId="49FBCD40" w14:textId="77777777">
        <w:tc>
          <w:tcPr>
            <w:tcW w:w="911" w:type="pct"/>
            <w:tcBorders>
              <w:top w:val="nil"/>
              <w:bottom w:val="nil"/>
            </w:tcBorders>
            <w:vAlign w:val="center"/>
          </w:tcPr>
          <w:p w14:paraId="1E45D779" w14:textId="77777777" w:rsidR="002D7804" w:rsidRPr="000C4181" w:rsidRDefault="002D7804">
            <w:pPr>
              <w:pStyle w:val="TableText0"/>
              <w:spacing w:after="60"/>
              <w:rPr>
                <w:szCs w:val="20"/>
              </w:rPr>
            </w:pPr>
            <w:r w:rsidRPr="000C4181">
              <w:rPr>
                <w:szCs w:val="20"/>
              </w:rPr>
              <w:t>LIBRETTO-431</w:t>
            </w:r>
          </w:p>
          <w:p w14:paraId="7867FF1E" w14:textId="77777777" w:rsidR="002D7804" w:rsidRPr="000C4181" w:rsidRDefault="002D7804">
            <w:pPr>
              <w:pStyle w:val="TableText0"/>
              <w:spacing w:after="60"/>
              <w:rPr>
                <w:szCs w:val="20"/>
              </w:rPr>
            </w:pPr>
            <w:r w:rsidRPr="000C4181">
              <w:rPr>
                <w:szCs w:val="20"/>
              </w:rPr>
              <w:t>NCT04194944</w:t>
            </w:r>
          </w:p>
        </w:tc>
        <w:tc>
          <w:tcPr>
            <w:tcW w:w="2969" w:type="pct"/>
            <w:vMerge w:val="restart"/>
            <w:tcBorders>
              <w:top w:val="nil"/>
            </w:tcBorders>
            <w:vAlign w:val="center"/>
          </w:tcPr>
          <w:p w14:paraId="48B30AA6" w14:textId="7F3EE037" w:rsidR="002D7804" w:rsidRPr="000C4181" w:rsidRDefault="002D7804">
            <w:pPr>
              <w:pStyle w:val="TableText0"/>
              <w:spacing w:after="60"/>
              <w:rPr>
                <w:szCs w:val="20"/>
              </w:rPr>
            </w:pPr>
            <w:r w:rsidRPr="000C4181">
              <w:rPr>
                <w:szCs w:val="20"/>
              </w:rPr>
              <w:t xml:space="preserve">Zhou, C., Solomon, B., Loong, H. H., </w:t>
            </w:r>
            <w:r w:rsidR="000A7E98">
              <w:rPr>
                <w:szCs w:val="20"/>
              </w:rPr>
              <w:t xml:space="preserve">et al. </w:t>
            </w:r>
            <w:r w:rsidRPr="000C4181">
              <w:rPr>
                <w:szCs w:val="20"/>
              </w:rPr>
              <w:t>Investigators, L.-T. First-Line Selpercatinib or Chemotherapy and Pembrolizumab in RET Fusion-Positive NSCLC.</w:t>
            </w:r>
          </w:p>
        </w:tc>
        <w:tc>
          <w:tcPr>
            <w:tcW w:w="1120" w:type="pct"/>
            <w:tcBorders>
              <w:top w:val="nil"/>
              <w:bottom w:val="nil"/>
            </w:tcBorders>
            <w:vAlign w:val="center"/>
          </w:tcPr>
          <w:p w14:paraId="17AC59C0" w14:textId="77777777" w:rsidR="002D7804" w:rsidRPr="000C4181" w:rsidRDefault="002D7804">
            <w:pPr>
              <w:pStyle w:val="TableText0"/>
              <w:spacing w:after="60"/>
              <w:rPr>
                <w:szCs w:val="20"/>
              </w:rPr>
            </w:pPr>
            <w:r w:rsidRPr="000C4181">
              <w:rPr>
                <w:szCs w:val="20"/>
              </w:rPr>
              <w:t>NEJM 2023; 389(20), 1839</w:t>
            </w:r>
          </w:p>
        </w:tc>
      </w:tr>
      <w:tr w:rsidR="002D7804" w:rsidRPr="000C4181" w14:paraId="54F61240" w14:textId="77777777" w:rsidTr="00BC5A69">
        <w:trPr>
          <w:trHeight w:val="107"/>
        </w:trPr>
        <w:tc>
          <w:tcPr>
            <w:tcW w:w="911" w:type="pct"/>
            <w:tcBorders>
              <w:top w:val="nil"/>
              <w:bottom w:val="single" w:sz="4" w:space="0" w:color="auto"/>
            </w:tcBorders>
            <w:vAlign w:val="center"/>
          </w:tcPr>
          <w:p w14:paraId="5BFDFA6C" w14:textId="77777777" w:rsidR="002D7804" w:rsidRPr="000C4181" w:rsidRDefault="002D7804">
            <w:pPr>
              <w:pStyle w:val="TableText0"/>
              <w:spacing w:after="60"/>
              <w:rPr>
                <w:szCs w:val="20"/>
              </w:rPr>
            </w:pPr>
          </w:p>
        </w:tc>
        <w:tc>
          <w:tcPr>
            <w:tcW w:w="2969" w:type="pct"/>
            <w:vMerge/>
            <w:vAlign w:val="center"/>
          </w:tcPr>
          <w:p w14:paraId="397CE9D6" w14:textId="77777777" w:rsidR="002D7804" w:rsidRPr="000C4181" w:rsidRDefault="002D7804">
            <w:pPr>
              <w:pStyle w:val="TableText0"/>
              <w:spacing w:after="60"/>
              <w:rPr>
                <w:szCs w:val="20"/>
                <w:lang w:val="en-US"/>
              </w:rPr>
            </w:pPr>
          </w:p>
        </w:tc>
        <w:tc>
          <w:tcPr>
            <w:tcW w:w="1120" w:type="pct"/>
            <w:tcBorders>
              <w:top w:val="nil"/>
              <w:bottom w:val="nil"/>
            </w:tcBorders>
            <w:vAlign w:val="center"/>
          </w:tcPr>
          <w:p w14:paraId="0823801A" w14:textId="77777777" w:rsidR="002D7804" w:rsidRPr="000C4181" w:rsidRDefault="002D7804">
            <w:pPr>
              <w:pStyle w:val="TableText0"/>
              <w:spacing w:after="60"/>
              <w:rPr>
                <w:szCs w:val="20"/>
                <w:lang w:val="en-US"/>
              </w:rPr>
            </w:pPr>
          </w:p>
        </w:tc>
      </w:tr>
      <w:tr w:rsidR="002D7804" w:rsidRPr="000C4181" w14:paraId="705914D0" w14:textId="77777777">
        <w:tc>
          <w:tcPr>
            <w:tcW w:w="911" w:type="pct"/>
            <w:vMerge w:val="restart"/>
            <w:shd w:val="clear" w:color="auto" w:fill="B8CCE4" w:themeFill="accent1" w:themeFillTint="66"/>
            <w:vAlign w:val="center"/>
          </w:tcPr>
          <w:p w14:paraId="7F2712EA" w14:textId="77777777" w:rsidR="002D7804" w:rsidRPr="000C4181" w:rsidRDefault="002D7804">
            <w:pPr>
              <w:pStyle w:val="TableText0"/>
              <w:spacing w:after="60"/>
              <w:rPr>
                <w:szCs w:val="20"/>
              </w:rPr>
            </w:pPr>
            <w:r w:rsidRPr="000C4181">
              <w:rPr>
                <w:szCs w:val="20"/>
              </w:rPr>
              <w:t>LIBRETTO-001</w:t>
            </w:r>
          </w:p>
          <w:p w14:paraId="190D89E8" w14:textId="77777777" w:rsidR="002D7804" w:rsidRPr="000C4181" w:rsidRDefault="002D7804">
            <w:pPr>
              <w:pStyle w:val="TableText0"/>
              <w:spacing w:after="60"/>
              <w:rPr>
                <w:szCs w:val="20"/>
              </w:rPr>
            </w:pPr>
            <w:r w:rsidRPr="000C4181">
              <w:rPr>
                <w:szCs w:val="20"/>
              </w:rPr>
              <w:t>NCT03157128</w:t>
            </w:r>
          </w:p>
        </w:tc>
        <w:tc>
          <w:tcPr>
            <w:tcW w:w="2969" w:type="pct"/>
            <w:tcBorders>
              <w:bottom w:val="nil"/>
            </w:tcBorders>
            <w:shd w:val="clear" w:color="auto" w:fill="auto"/>
            <w:vAlign w:val="center"/>
          </w:tcPr>
          <w:p w14:paraId="3770362A" w14:textId="77777777" w:rsidR="002D7804" w:rsidRPr="000C4181" w:rsidRDefault="002D7804">
            <w:pPr>
              <w:pStyle w:val="TableText0"/>
              <w:spacing w:after="60"/>
            </w:pPr>
            <w:r>
              <w:t>A Phase 1/2 Study of Oral Selpercatinib (LOXO-292) in Patients with Advanced Solid Tumours, Including RET Fusion-Positive Solid Tumours, Medullary Thyroid Cancer, and Other Tumours with RET Activation</w:t>
            </w:r>
          </w:p>
        </w:tc>
        <w:tc>
          <w:tcPr>
            <w:tcW w:w="1120" w:type="pct"/>
            <w:tcBorders>
              <w:bottom w:val="nil"/>
            </w:tcBorders>
            <w:shd w:val="clear" w:color="auto" w:fill="auto"/>
            <w:vAlign w:val="center"/>
          </w:tcPr>
          <w:p w14:paraId="66DABB87" w14:textId="77777777" w:rsidR="002D7804" w:rsidRPr="000C4181" w:rsidRDefault="002D7804">
            <w:pPr>
              <w:pStyle w:val="TableText0"/>
              <w:spacing w:after="60"/>
              <w:rPr>
                <w:szCs w:val="20"/>
              </w:rPr>
            </w:pPr>
            <w:r w:rsidRPr="000C4181">
              <w:rPr>
                <w:szCs w:val="20"/>
              </w:rPr>
              <w:t>January 2023</w:t>
            </w:r>
          </w:p>
        </w:tc>
      </w:tr>
      <w:tr w:rsidR="002D7804" w:rsidRPr="000C4181" w14:paraId="20CE89C0" w14:textId="77777777">
        <w:tc>
          <w:tcPr>
            <w:tcW w:w="911" w:type="pct"/>
            <w:vMerge/>
            <w:vAlign w:val="center"/>
          </w:tcPr>
          <w:p w14:paraId="2480698C" w14:textId="77777777" w:rsidR="002D7804" w:rsidRPr="000C4181" w:rsidRDefault="002D7804">
            <w:pPr>
              <w:pStyle w:val="TableText0"/>
              <w:spacing w:after="60"/>
              <w:rPr>
                <w:szCs w:val="20"/>
              </w:rPr>
            </w:pPr>
          </w:p>
        </w:tc>
        <w:tc>
          <w:tcPr>
            <w:tcW w:w="2969" w:type="pct"/>
            <w:tcBorders>
              <w:bottom w:val="nil"/>
            </w:tcBorders>
            <w:shd w:val="clear" w:color="auto" w:fill="B8CCE4" w:themeFill="accent1" w:themeFillTint="66"/>
            <w:vAlign w:val="center"/>
          </w:tcPr>
          <w:p w14:paraId="6D5DEE9B" w14:textId="77777777" w:rsidR="002D7804" w:rsidRPr="000C4181" w:rsidRDefault="002D7804">
            <w:pPr>
              <w:pStyle w:val="TableText0"/>
              <w:spacing w:after="60"/>
              <w:rPr>
                <w:szCs w:val="20"/>
              </w:rPr>
            </w:pPr>
            <w:r w:rsidRPr="00C06558">
              <w:rPr>
                <w:szCs w:val="20"/>
              </w:rPr>
              <w:t>Interim Clinical Study Report (Protocol LOXO-RET-17001): A Study of Selpercatinib (LOXO-292) in Participants With Advanced Solid Tumours, RET Fusion-Positive Solid Tumours, and Medullary Thyroid Cancer</w:t>
            </w:r>
            <w:r>
              <w:rPr>
                <w:szCs w:val="20"/>
              </w:rPr>
              <w:t>.</w:t>
            </w:r>
          </w:p>
        </w:tc>
        <w:tc>
          <w:tcPr>
            <w:tcW w:w="1120" w:type="pct"/>
            <w:tcBorders>
              <w:bottom w:val="nil"/>
            </w:tcBorders>
            <w:shd w:val="clear" w:color="auto" w:fill="B8CCE4" w:themeFill="accent1" w:themeFillTint="66"/>
            <w:vAlign w:val="center"/>
          </w:tcPr>
          <w:p w14:paraId="4797ACD7" w14:textId="77777777" w:rsidR="002D7804" w:rsidRPr="000C4181" w:rsidRDefault="002D7804">
            <w:pPr>
              <w:pStyle w:val="TableText0"/>
              <w:spacing w:after="60"/>
              <w:rPr>
                <w:szCs w:val="20"/>
              </w:rPr>
            </w:pPr>
            <w:r w:rsidRPr="004D4CF6">
              <w:rPr>
                <w:szCs w:val="20"/>
              </w:rPr>
              <w:t>15 June 2021</w:t>
            </w:r>
          </w:p>
        </w:tc>
      </w:tr>
      <w:tr w:rsidR="002D7804" w:rsidRPr="000C4181" w14:paraId="7823729A" w14:textId="77777777" w:rsidTr="00747485">
        <w:trPr>
          <w:trHeight w:val="329"/>
        </w:trPr>
        <w:tc>
          <w:tcPr>
            <w:tcW w:w="911" w:type="pct"/>
            <w:vMerge/>
            <w:vAlign w:val="center"/>
          </w:tcPr>
          <w:p w14:paraId="2E8755D4"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vAlign w:val="center"/>
          </w:tcPr>
          <w:p w14:paraId="18F48002" w14:textId="2F234068" w:rsidR="002D7804" w:rsidRPr="000C4181" w:rsidRDefault="002D7804">
            <w:pPr>
              <w:pStyle w:val="TableText0"/>
              <w:spacing w:after="60"/>
              <w:rPr>
                <w:szCs w:val="20"/>
              </w:rPr>
            </w:pPr>
            <w:r w:rsidRPr="000C4181">
              <w:rPr>
                <w:szCs w:val="20"/>
              </w:rPr>
              <w:t xml:space="preserve">Drilon, A., Subbiah, V., Gautschi, O., </w:t>
            </w:r>
            <w:r w:rsidR="000A7E98">
              <w:rPr>
                <w:szCs w:val="20"/>
              </w:rPr>
              <w:t xml:space="preserve">et al. </w:t>
            </w:r>
            <w:r w:rsidRPr="000C4181">
              <w:rPr>
                <w:szCs w:val="20"/>
              </w:rPr>
              <w:t>Selpercatinib in Patients With RET Fusion-Positive Non-Small-Cell Lung Cancer: Updated Safety and Efficacy From the Registrational LIBRETTO-001 Phase I/II Trial.</w:t>
            </w:r>
          </w:p>
        </w:tc>
        <w:tc>
          <w:tcPr>
            <w:tcW w:w="1120" w:type="pct"/>
            <w:tcBorders>
              <w:top w:val="nil"/>
              <w:bottom w:val="nil"/>
            </w:tcBorders>
            <w:shd w:val="clear" w:color="auto" w:fill="B8CCE4" w:themeFill="accent1" w:themeFillTint="66"/>
            <w:vAlign w:val="center"/>
          </w:tcPr>
          <w:p w14:paraId="76DF85F8" w14:textId="77777777" w:rsidR="002D7804" w:rsidRPr="000C4181" w:rsidRDefault="002D7804">
            <w:pPr>
              <w:pStyle w:val="TableText0"/>
              <w:spacing w:after="60"/>
              <w:rPr>
                <w:szCs w:val="20"/>
              </w:rPr>
            </w:pPr>
            <w:r w:rsidRPr="000C4181">
              <w:rPr>
                <w:szCs w:val="20"/>
              </w:rPr>
              <w:t>J Clin Oncol, 2023; 41, 385-394.</w:t>
            </w:r>
          </w:p>
        </w:tc>
      </w:tr>
      <w:tr w:rsidR="002D7804" w:rsidRPr="000C4181" w14:paraId="1C18C60A" w14:textId="77777777">
        <w:trPr>
          <w:trHeight w:val="137"/>
        </w:trPr>
        <w:tc>
          <w:tcPr>
            <w:tcW w:w="911" w:type="pct"/>
            <w:vMerge/>
            <w:vAlign w:val="center"/>
          </w:tcPr>
          <w:p w14:paraId="02F0735D"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5D865C2C" w14:textId="77777777" w:rsidR="002D7804" w:rsidRPr="000C4181" w:rsidRDefault="002D7804">
            <w:pPr>
              <w:pStyle w:val="TableText0"/>
              <w:spacing w:after="60"/>
              <w:rPr>
                <w:szCs w:val="20"/>
              </w:rPr>
            </w:pPr>
            <w:r w:rsidRPr="000C4181">
              <w:rPr>
                <w:rFonts w:cs="ArialNarrow"/>
                <w:szCs w:val="20"/>
              </w:rPr>
              <w:t xml:space="preserve">Oxnard, G et al. Clinical Activity of LOXO-292, a Highly Selective </w:t>
            </w:r>
            <w:r w:rsidRPr="000C4181">
              <w:rPr>
                <w:rFonts w:cs="ArialNarrow-Italic"/>
                <w:szCs w:val="20"/>
              </w:rPr>
              <w:t>RET</w:t>
            </w:r>
          </w:p>
        </w:tc>
        <w:tc>
          <w:tcPr>
            <w:tcW w:w="1120" w:type="pct"/>
            <w:tcBorders>
              <w:top w:val="nil"/>
              <w:bottom w:val="nil"/>
            </w:tcBorders>
            <w:shd w:val="clear" w:color="auto" w:fill="B8CCE4" w:themeFill="accent1" w:themeFillTint="66"/>
          </w:tcPr>
          <w:p w14:paraId="068AF655" w14:textId="77777777" w:rsidR="002D7804" w:rsidRPr="000C4181" w:rsidRDefault="002D7804">
            <w:pPr>
              <w:pStyle w:val="TableText0"/>
              <w:spacing w:after="60"/>
              <w:rPr>
                <w:szCs w:val="20"/>
              </w:rPr>
            </w:pPr>
            <w:r w:rsidRPr="006D71E7">
              <w:rPr>
                <w:rFonts w:cs="ArialNarrow"/>
                <w:szCs w:val="20"/>
              </w:rPr>
              <w:t>J Thorac Oncol, 2018; 13, S349-S350.</w:t>
            </w:r>
          </w:p>
        </w:tc>
      </w:tr>
      <w:tr w:rsidR="002D7804" w:rsidRPr="000C4181" w14:paraId="2CC3C1C6" w14:textId="77777777">
        <w:trPr>
          <w:trHeight w:val="133"/>
        </w:trPr>
        <w:tc>
          <w:tcPr>
            <w:tcW w:w="911" w:type="pct"/>
            <w:vMerge/>
            <w:vAlign w:val="center"/>
          </w:tcPr>
          <w:p w14:paraId="7D723915" w14:textId="77777777" w:rsidR="002D7804" w:rsidRPr="000C4181" w:rsidRDefault="002D7804">
            <w:pPr>
              <w:pStyle w:val="TableText0"/>
              <w:spacing w:after="60"/>
              <w:rPr>
                <w:szCs w:val="20"/>
              </w:rPr>
            </w:pPr>
          </w:p>
        </w:tc>
        <w:tc>
          <w:tcPr>
            <w:tcW w:w="2969" w:type="pct"/>
            <w:tcBorders>
              <w:top w:val="nil"/>
            </w:tcBorders>
            <w:shd w:val="clear" w:color="auto" w:fill="B8CCE4" w:themeFill="accent1" w:themeFillTint="66"/>
          </w:tcPr>
          <w:p w14:paraId="2204D776" w14:textId="77777777" w:rsidR="002D7804" w:rsidRPr="000C4181" w:rsidRDefault="002D7804">
            <w:pPr>
              <w:pStyle w:val="TableText0"/>
              <w:spacing w:after="60"/>
              <w:rPr>
                <w:rFonts w:cs="ArialNarrow"/>
                <w:szCs w:val="20"/>
              </w:rPr>
            </w:pPr>
            <w:r w:rsidRPr="000C4181">
              <w:rPr>
                <w:rFonts w:cs="ArialNarrow"/>
                <w:szCs w:val="20"/>
              </w:rPr>
              <w:t>Nishio, M et al. Efficacy and Safety Analysis of Selpercatinib in Patients</w:t>
            </w:r>
          </w:p>
        </w:tc>
        <w:tc>
          <w:tcPr>
            <w:tcW w:w="1120" w:type="pct"/>
            <w:tcBorders>
              <w:top w:val="nil"/>
            </w:tcBorders>
            <w:shd w:val="clear" w:color="auto" w:fill="B8CCE4" w:themeFill="accent1" w:themeFillTint="66"/>
          </w:tcPr>
          <w:p w14:paraId="2ECA9506" w14:textId="77777777" w:rsidR="002D7804" w:rsidRPr="000C4181" w:rsidRDefault="002D7804">
            <w:pPr>
              <w:pStyle w:val="TableText0"/>
              <w:spacing w:after="60"/>
              <w:rPr>
                <w:rFonts w:cs="ArialNarrow"/>
                <w:szCs w:val="20"/>
              </w:rPr>
            </w:pPr>
            <w:r w:rsidRPr="00DB21C0">
              <w:rPr>
                <w:rFonts w:cs="ArialNarrow"/>
                <w:szCs w:val="20"/>
              </w:rPr>
              <w:t>Gan To Kagaku Ryoho, 2022; 49, 669-675.</w:t>
            </w:r>
          </w:p>
        </w:tc>
      </w:tr>
      <w:tr w:rsidR="002D7804" w:rsidRPr="000C4181" w14:paraId="73C96E64" w14:textId="77777777" w:rsidTr="00BC5A69">
        <w:trPr>
          <w:trHeight w:val="312"/>
        </w:trPr>
        <w:tc>
          <w:tcPr>
            <w:tcW w:w="5000" w:type="pct"/>
            <w:gridSpan w:val="3"/>
            <w:tcBorders>
              <w:bottom w:val="nil"/>
            </w:tcBorders>
            <w:vAlign w:val="center"/>
          </w:tcPr>
          <w:p w14:paraId="6CEDA46A" w14:textId="77777777" w:rsidR="002D7804" w:rsidRPr="000C4181" w:rsidRDefault="002D7804">
            <w:pPr>
              <w:pStyle w:val="TableText0"/>
              <w:spacing w:after="60"/>
              <w:rPr>
                <w:szCs w:val="20"/>
              </w:rPr>
            </w:pPr>
            <w:r w:rsidRPr="000C4181">
              <w:rPr>
                <w:szCs w:val="20"/>
              </w:rPr>
              <w:t>Main comparator: pembrolizumab + pemetrexed + platinum chemotherapy used for an indirect comparison with LIBRETTO-001</w:t>
            </w:r>
          </w:p>
        </w:tc>
      </w:tr>
      <w:tr w:rsidR="002D7804" w:rsidRPr="000C4181" w14:paraId="06B5D12A" w14:textId="77777777">
        <w:tc>
          <w:tcPr>
            <w:tcW w:w="911" w:type="pct"/>
            <w:vMerge w:val="restart"/>
            <w:shd w:val="clear" w:color="auto" w:fill="B8CCE4" w:themeFill="accent1" w:themeFillTint="66"/>
          </w:tcPr>
          <w:p w14:paraId="119CE426" w14:textId="77777777" w:rsidR="002D7804" w:rsidRPr="000C4181" w:rsidRDefault="002D7804">
            <w:pPr>
              <w:pStyle w:val="TableText0"/>
              <w:spacing w:after="60"/>
              <w:rPr>
                <w:szCs w:val="20"/>
              </w:rPr>
            </w:pPr>
            <w:r w:rsidRPr="000C4181">
              <w:rPr>
                <w:szCs w:val="20"/>
              </w:rPr>
              <w:t>KN-189</w:t>
            </w:r>
          </w:p>
          <w:p w14:paraId="4AE935FC" w14:textId="77777777" w:rsidR="002D7804" w:rsidRPr="000C4181" w:rsidRDefault="002D7804">
            <w:pPr>
              <w:pStyle w:val="TableText0"/>
              <w:spacing w:after="60"/>
              <w:rPr>
                <w:szCs w:val="20"/>
              </w:rPr>
            </w:pPr>
            <w:r w:rsidRPr="000C4181">
              <w:rPr>
                <w:szCs w:val="20"/>
              </w:rPr>
              <w:t>NCT03950674</w:t>
            </w:r>
          </w:p>
        </w:tc>
        <w:tc>
          <w:tcPr>
            <w:tcW w:w="2969" w:type="pct"/>
            <w:tcBorders>
              <w:bottom w:val="nil"/>
            </w:tcBorders>
            <w:shd w:val="clear" w:color="auto" w:fill="B8CCE4" w:themeFill="accent1" w:themeFillTint="66"/>
          </w:tcPr>
          <w:p w14:paraId="6FC8D684" w14:textId="77777777" w:rsidR="002D7804" w:rsidRPr="000C4181" w:rsidRDefault="002D7804">
            <w:pPr>
              <w:pStyle w:val="TableText0"/>
              <w:spacing w:after="60"/>
              <w:rPr>
                <w:szCs w:val="20"/>
              </w:rPr>
            </w:pPr>
            <w:r w:rsidRPr="000C4181">
              <w:rPr>
                <w:szCs w:val="20"/>
              </w:rPr>
              <w:t>Study of Pemetrexed+Platinum Chemotherapy With or Without Pembrolizumab (MK-3475) in Participants With First Line Metastatic Nonsquamous Non-small Cell Lung Cancer (MK-3475-189/KEYNOTE-189)-Japan Extension Study. NCT03950674</w:t>
            </w:r>
          </w:p>
        </w:tc>
        <w:tc>
          <w:tcPr>
            <w:tcW w:w="1120" w:type="pct"/>
            <w:tcBorders>
              <w:bottom w:val="nil"/>
            </w:tcBorders>
            <w:shd w:val="clear" w:color="auto" w:fill="B8CCE4" w:themeFill="accent1" w:themeFillTint="66"/>
            <w:vAlign w:val="center"/>
          </w:tcPr>
          <w:p w14:paraId="06DA7B38" w14:textId="77777777" w:rsidR="002D7804" w:rsidRPr="000C4181" w:rsidRDefault="002D7804">
            <w:pPr>
              <w:pStyle w:val="TableText0"/>
              <w:spacing w:after="60"/>
              <w:rPr>
                <w:szCs w:val="20"/>
              </w:rPr>
            </w:pPr>
            <w:r w:rsidRPr="000C4181">
              <w:rPr>
                <w:szCs w:val="20"/>
              </w:rPr>
              <w:t>Not reported</w:t>
            </w:r>
          </w:p>
        </w:tc>
      </w:tr>
      <w:tr w:rsidR="002D7804" w:rsidRPr="000C4181" w14:paraId="43AE3711" w14:textId="77777777">
        <w:tc>
          <w:tcPr>
            <w:tcW w:w="911" w:type="pct"/>
            <w:vMerge/>
          </w:tcPr>
          <w:p w14:paraId="0825E61E"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30F9C6AB" w14:textId="77777777" w:rsidR="002D7804" w:rsidRPr="000C4181" w:rsidRDefault="002D7804">
            <w:pPr>
              <w:pStyle w:val="TableText0"/>
              <w:spacing w:after="60"/>
              <w:rPr>
                <w:szCs w:val="20"/>
              </w:rPr>
            </w:pPr>
            <w:r w:rsidRPr="000C4181">
              <w:rPr>
                <w:szCs w:val="20"/>
              </w:rPr>
              <w:t>Study of Pemetrexed+Platinum Chemotherapy With or Without</w:t>
            </w:r>
            <w:r>
              <w:rPr>
                <w:szCs w:val="20"/>
              </w:rPr>
              <w:t xml:space="preserve"> </w:t>
            </w:r>
            <w:r w:rsidRPr="000C4181">
              <w:rPr>
                <w:szCs w:val="20"/>
              </w:rPr>
              <w:t>Pembrolizumab (MK-3475) in Participants With First-Line Metastatic</w:t>
            </w:r>
            <w:r>
              <w:rPr>
                <w:szCs w:val="20"/>
              </w:rPr>
              <w:t xml:space="preserve"> </w:t>
            </w:r>
            <w:r w:rsidRPr="000C4181">
              <w:rPr>
                <w:szCs w:val="20"/>
              </w:rPr>
              <w:t>Nonsquamous Non-small Cell Lung Cancer (MK-3475-189/KEYNOTE-189). NCT02578680</w:t>
            </w:r>
          </w:p>
        </w:tc>
        <w:tc>
          <w:tcPr>
            <w:tcW w:w="1120" w:type="pct"/>
            <w:tcBorders>
              <w:top w:val="nil"/>
              <w:bottom w:val="nil"/>
            </w:tcBorders>
            <w:shd w:val="clear" w:color="auto" w:fill="B8CCE4" w:themeFill="accent1" w:themeFillTint="66"/>
            <w:vAlign w:val="center"/>
          </w:tcPr>
          <w:p w14:paraId="794769AE" w14:textId="77777777" w:rsidR="002D7804" w:rsidRPr="000C4181" w:rsidRDefault="002D7804">
            <w:pPr>
              <w:pStyle w:val="TableText0"/>
              <w:spacing w:after="60"/>
              <w:rPr>
                <w:szCs w:val="20"/>
              </w:rPr>
            </w:pPr>
            <w:r w:rsidRPr="000C4181">
              <w:rPr>
                <w:szCs w:val="20"/>
              </w:rPr>
              <w:t>Not reported</w:t>
            </w:r>
          </w:p>
        </w:tc>
      </w:tr>
      <w:tr w:rsidR="002D7804" w:rsidRPr="000C4181" w14:paraId="38802ECD" w14:textId="77777777">
        <w:tc>
          <w:tcPr>
            <w:tcW w:w="911" w:type="pct"/>
            <w:vMerge/>
          </w:tcPr>
          <w:p w14:paraId="0D834E96"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016A87F1" w14:textId="77777777" w:rsidR="002D7804" w:rsidRPr="000C4181" w:rsidRDefault="002D7804">
            <w:pPr>
              <w:pStyle w:val="TableText0"/>
              <w:spacing w:after="60"/>
              <w:rPr>
                <w:szCs w:val="20"/>
              </w:rPr>
            </w:pPr>
            <w:r w:rsidRPr="000C4181">
              <w:rPr>
                <w:szCs w:val="20"/>
              </w:rPr>
              <w:t>Gandhi L et al. Pembrolizumab plus Chemotherapy in Metastatic Non–Small-Cell Lung Cancer.</w:t>
            </w:r>
          </w:p>
        </w:tc>
        <w:tc>
          <w:tcPr>
            <w:tcW w:w="1120" w:type="pct"/>
            <w:tcBorders>
              <w:top w:val="nil"/>
              <w:bottom w:val="nil"/>
            </w:tcBorders>
            <w:shd w:val="clear" w:color="auto" w:fill="B8CCE4" w:themeFill="accent1" w:themeFillTint="66"/>
            <w:vAlign w:val="center"/>
          </w:tcPr>
          <w:p w14:paraId="6EEDEBE9" w14:textId="77777777" w:rsidR="002D7804" w:rsidRPr="000C4181" w:rsidRDefault="002D7804">
            <w:pPr>
              <w:pStyle w:val="TableText0"/>
              <w:spacing w:after="60"/>
              <w:rPr>
                <w:szCs w:val="20"/>
              </w:rPr>
            </w:pPr>
            <w:r w:rsidRPr="000C4181">
              <w:rPr>
                <w:szCs w:val="20"/>
              </w:rPr>
              <w:t>N Engl J Med, 2018; 378,</w:t>
            </w:r>
            <w:r>
              <w:rPr>
                <w:szCs w:val="20"/>
              </w:rPr>
              <w:t xml:space="preserve"> </w:t>
            </w:r>
            <w:r w:rsidRPr="000C4181">
              <w:rPr>
                <w:szCs w:val="20"/>
              </w:rPr>
              <w:t>2078-2092</w:t>
            </w:r>
          </w:p>
        </w:tc>
      </w:tr>
      <w:tr w:rsidR="002D7804" w:rsidRPr="000C4181" w14:paraId="017F72E1" w14:textId="77777777">
        <w:tc>
          <w:tcPr>
            <w:tcW w:w="911" w:type="pct"/>
            <w:vMerge/>
          </w:tcPr>
          <w:p w14:paraId="289035BB"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3F6A16CF" w14:textId="04C12C42" w:rsidR="002D7804" w:rsidRPr="000C4181" w:rsidRDefault="002D7804">
            <w:pPr>
              <w:pStyle w:val="TableText0"/>
              <w:spacing w:after="60"/>
              <w:rPr>
                <w:szCs w:val="20"/>
              </w:rPr>
            </w:pPr>
            <w:r w:rsidRPr="000C4181">
              <w:rPr>
                <w:szCs w:val="20"/>
              </w:rPr>
              <w:t xml:space="preserve">Horinouchi, H et al. Safety and tolerability of pembrolizumab or </w:t>
            </w:r>
            <w:r w:rsidR="005E7586" w:rsidRPr="000C4181">
              <w:rPr>
                <w:szCs w:val="20"/>
              </w:rPr>
              <w:t>placebo plus</w:t>
            </w:r>
            <w:r w:rsidRPr="000C4181">
              <w:rPr>
                <w:szCs w:val="20"/>
              </w:rPr>
              <w:t xml:space="preserve"> pemetrexed and platinum as first-line therapy in Japanese patients</w:t>
            </w:r>
            <w:r>
              <w:rPr>
                <w:szCs w:val="20"/>
              </w:rPr>
              <w:t xml:space="preserve"> </w:t>
            </w:r>
            <w:r w:rsidRPr="000C4181">
              <w:rPr>
                <w:szCs w:val="20"/>
              </w:rPr>
              <w:t>(PTS) with metastatic non-squamous non-small cell lung cancer</w:t>
            </w:r>
            <w:r>
              <w:rPr>
                <w:szCs w:val="20"/>
              </w:rPr>
              <w:t xml:space="preserve"> </w:t>
            </w:r>
            <w:r w:rsidRPr="000C4181">
              <w:rPr>
                <w:szCs w:val="20"/>
              </w:rPr>
              <w:t>(NSCLC) enrolled in the phase III KEYNOTE-189 study.</w:t>
            </w:r>
          </w:p>
        </w:tc>
        <w:tc>
          <w:tcPr>
            <w:tcW w:w="1120" w:type="pct"/>
            <w:tcBorders>
              <w:top w:val="nil"/>
              <w:bottom w:val="nil"/>
            </w:tcBorders>
            <w:shd w:val="clear" w:color="auto" w:fill="B8CCE4" w:themeFill="accent1" w:themeFillTint="66"/>
            <w:vAlign w:val="center"/>
          </w:tcPr>
          <w:p w14:paraId="63F9CECD" w14:textId="77777777" w:rsidR="002D7804" w:rsidRPr="000C4181" w:rsidRDefault="002D7804">
            <w:pPr>
              <w:pStyle w:val="TableText0"/>
              <w:spacing w:after="60"/>
              <w:rPr>
                <w:szCs w:val="20"/>
              </w:rPr>
            </w:pPr>
            <w:r w:rsidRPr="000C4181">
              <w:rPr>
                <w:szCs w:val="20"/>
              </w:rPr>
              <w:t>Annals of Oncology,</w:t>
            </w:r>
            <w:r>
              <w:rPr>
                <w:szCs w:val="20"/>
              </w:rPr>
              <w:t xml:space="preserve"> </w:t>
            </w:r>
            <w:r w:rsidRPr="000C4181">
              <w:rPr>
                <w:szCs w:val="20"/>
              </w:rPr>
              <w:t>2019; 30, ii56-ii57</w:t>
            </w:r>
          </w:p>
        </w:tc>
      </w:tr>
      <w:tr w:rsidR="002D7804" w:rsidRPr="000C4181" w14:paraId="76A0832F" w14:textId="77777777">
        <w:tc>
          <w:tcPr>
            <w:tcW w:w="911" w:type="pct"/>
            <w:vMerge/>
          </w:tcPr>
          <w:p w14:paraId="1166E481"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3358D646" w14:textId="77777777" w:rsidR="002D7804" w:rsidRPr="000C4181" w:rsidRDefault="002D7804">
            <w:pPr>
              <w:pStyle w:val="TableText0"/>
              <w:spacing w:after="60"/>
              <w:rPr>
                <w:szCs w:val="20"/>
              </w:rPr>
            </w:pPr>
            <w:r w:rsidRPr="000C4181">
              <w:rPr>
                <w:szCs w:val="20"/>
              </w:rPr>
              <w:t>Horinouchi, H et al. Pembrolizumab plus pemetrexed-platinum for</w:t>
            </w:r>
            <w:r>
              <w:rPr>
                <w:szCs w:val="20"/>
              </w:rPr>
              <w:t xml:space="preserve"> </w:t>
            </w:r>
            <w:r w:rsidRPr="000C4181">
              <w:rPr>
                <w:szCs w:val="20"/>
              </w:rPr>
              <w:t>metastatic nonsquamous non-small-cell lung cancer: KEYNOTE-189</w:t>
            </w:r>
          </w:p>
        </w:tc>
        <w:tc>
          <w:tcPr>
            <w:tcW w:w="1120" w:type="pct"/>
            <w:tcBorders>
              <w:top w:val="nil"/>
              <w:bottom w:val="nil"/>
            </w:tcBorders>
            <w:shd w:val="clear" w:color="auto" w:fill="B8CCE4" w:themeFill="accent1" w:themeFillTint="66"/>
            <w:vAlign w:val="center"/>
          </w:tcPr>
          <w:p w14:paraId="7220FD40" w14:textId="77777777" w:rsidR="002D7804" w:rsidRPr="000C4181" w:rsidRDefault="002D7804">
            <w:pPr>
              <w:pStyle w:val="TableText0"/>
              <w:spacing w:after="60"/>
              <w:rPr>
                <w:szCs w:val="20"/>
              </w:rPr>
            </w:pPr>
            <w:r w:rsidRPr="000C4181">
              <w:rPr>
                <w:szCs w:val="20"/>
              </w:rPr>
              <w:t>Japan Study. Cancer Sci,</w:t>
            </w:r>
            <w:r>
              <w:rPr>
                <w:szCs w:val="20"/>
              </w:rPr>
              <w:t xml:space="preserve"> </w:t>
            </w:r>
            <w:r w:rsidRPr="000C4181">
              <w:rPr>
                <w:szCs w:val="20"/>
              </w:rPr>
              <w:t>2021; 112, 3255-3265</w:t>
            </w:r>
          </w:p>
        </w:tc>
      </w:tr>
      <w:tr w:rsidR="002D7804" w:rsidRPr="000C4181" w14:paraId="5767205C" w14:textId="77777777">
        <w:tc>
          <w:tcPr>
            <w:tcW w:w="911" w:type="pct"/>
            <w:vMerge/>
          </w:tcPr>
          <w:p w14:paraId="06D59F22" w14:textId="77777777" w:rsidR="002D7804" w:rsidRPr="000C4181" w:rsidRDefault="002D7804">
            <w:pPr>
              <w:pStyle w:val="TableText0"/>
              <w:spacing w:after="60"/>
              <w:rPr>
                <w:szCs w:val="20"/>
              </w:rPr>
            </w:pPr>
          </w:p>
        </w:tc>
        <w:tc>
          <w:tcPr>
            <w:tcW w:w="2969" w:type="pct"/>
            <w:tcBorders>
              <w:top w:val="nil"/>
              <w:bottom w:val="single" w:sz="4" w:space="0" w:color="auto"/>
            </w:tcBorders>
            <w:shd w:val="clear" w:color="auto" w:fill="B8CCE4" w:themeFill="accent1" w:themeFillTint="66"/>
          </w:tcPr>
          <w:p w14:paraId="4C4694F9" w14:textId="77777777" w:rsidR="002D7804" w:rsidRPr="000C4181" w:rsidRDefault="002D7804">
            <w:pPr>
              <w:pStyle w:val="TableText0"/>
              <w:spacing w:after="60"/>
              <w:rPr>
                <w:szCs w:val="20"/>
              </w:rPr>
            </w:pPr>
            <w:r w:rsidRPr="000C4181">
              <w:rPr>
                <w:szCs w:val="20"/>
              </w:rPr>
              <w:t>Rodríguez-Abreu, D et al. Pemetrexed plus platinum with or without</w:t>
            </w:r>
            <w:r>
              <w:rPr>
                <w:szCs w:val="20"/>
              </w:rPr>
              <w:t xml:space="preserve"> </w:t>
            </w:r>
            <w:r w:rsidRPr="000C4181">
              <w:rPr>
                <w:szCs w:val="20"/>
              </w:rPr>
              <w:t>pembrolizumab in patients with previously untreated metastatic</w:t>
            </w:r>
            <w:r>
              <w:rPr>
                <w:szCs w:val="20"/>
              </w:rPr>
              <w:t xml:space="preserve"> </w:t>
            </w:r>
            <w:r w:rsidRPr="000C4181">
              <w:rPr>
                <w:szCs w:val="20"/>
              </w:rPr>
              <w:t>nonsquamous NSCLC: protocol-specified final analysis from</w:t>
            </w:r>
            <w:r>
              <w:rPr>
                <w:szCs w:val="20"/>
              </w:rPr>
              <w:t xml:space="preserve"> </w:t>
            </w:r>
            <w:r w:rsidRPr="000C4181">
              <w:rPr>
                <w:szCs w:val="20"/>
              </w:rPr>
              <w:t>KEYNOTE-189.</w:t>
            </w:r>
          </w:p>
        </w:tc>
        <w:tc>
          <w:tcPr>
            <w:tcW w:w="1120" w:type="pct"/>
            <w:tcBorders>
              <w:top w:val="nil"/>
              <w:bottom w:val="single" w:sz="4" w:space="0" w:color="auto"/>
            </w:tcBorders>
            <w:shd w:val="clear" w:color="auto" w:fill="B8CCE4" w:themeFill="accent1" w:themeFillTint="66"/>
            <w:vAlign w:val="center"/>
          </w:tcPr>
          <w:p w14:paraId="4ACDE215" w14:textId="77777777" w:rsidR="002D7804" w:rsidRPr="000C4181" w:rsidRDefault="002D7804">
            <w:pPr>
              <w:pStyle w:val="TableText0"/>
              <w:spacing w:after="60"/>
              <w:rPr>
                <w:szCs w:val="20"/>
              </w:rPr>
            </w:pPr>
            <w:r w:rsidRPr="000C4181">
              <w:rPr>
                <w:szCs w:val="20"/>
              </w:rPr>
              <w:t>Ann Oncol, 2021; 32,</w:t>
            </w:r>
            <w:r>
              <w:rPr>
                <w:szCs w:val="20"/>
              </w:rPr>
              <w:t xml:space="preserve"> </w:t>
            </w:r>
            <w:r w:rsidRPr="000C4181">
              <w:rPr>
                <w:szCs w:val="20"/>
              </w:rPr>
              <w:t>881-895</w:t>
            </w:r>
          </w:p>
        </w:tc>
      </w:tr>
      <w:tr w:rsidR="002D7804" w:rsidRPr="000C4181" w14:paraId="4AD2B47E" w14:textId="77777777">
        <w:tc>
          <w:tcPr>
            <w:tcW w:w="911" w:type="pct"/>
            <w:vMerge w:val="restart"/>
            <w:shd w:val="clear" w:color="auto" w:fill="B8CCE4" w:themeFill="accent1" w:themeFillTint="66"/>
          </w:tcPr>
          <w:p w14:paraId="2A51565F" w14:textId="77777777" w:rsidR="002D7804" w:rsidRPr="000C4181" w:rsidRDefault="002D7804">
            <w:pPr>
              <w:pStyle w:val="TableText0"/>
              <w:spacing w:after="60"/>
              <w:rPr>
                <w:szCs w:val="20"/>
              </w:rPr>
            </w:pPr>
            <w:r w:rsidRPr="000C4181">
              <w:rPr>
                <w:szCs w:val="20"/>
              </w:rPr>
              <w:t>KN-021</w:t>
            </w:r>
          </w:p>
          <w:p w14:paraId="0D6B3209" w14:textId="77777777" w:rsidR="002D7804" w:rsidRPr="000C4181" w:rsidRDefault="002D7804">
            <w:pPr>
              <w:pStyle w:val="TableText0"/>
              <w:spacing w:after="60"/>
              <w:rPr>
                <w:szCs w:val="20"/>
              </w:rPr>
            </w:pPr>
            <w:r w:rsidRPr="000C4181">
              <w:rPr>
                <w:szCs w:val="20"/>
              </w:rPr>
              <w:t>NCT02039674</w:t>
            </w:r>
          </w:p>
        </w:tc>
        <w:tc>
          <w:tcPr>
            <w:tcW w:w="2969" w:type="pct"/>
            <w:tcBorders>
              <w:bottom w:val="nil"/>
            </w:tcBorders>
            <w:shd w:val="clear" w:color="auto" w:fill="B8CCE4" w:themeFill="accent1" w:themeFillTint="66"/>
          </w:tcPr>
          <w:p w14:paraId="646B4D99" w14:textId="77777777" w:rsidR="002D7804" w:rsidRPr="000C4181" w:rsidRDefault="002D7804">
            <w:pPr>
              <w:pStyle w:val="TableText0"/>
              <w:spacing w:after="60"/>
              <w:rPr>
                <w:szCs w:val="20"/>
              </w:rPr>
            </w:pPr>
            <w:r w:rsidRPr="000C4181">
              <w:rPr>
                <w:szCs w:val="20"/>
              </w:rPr>
              <w:t>A Study of Pembrolizumab (MK-3475) in Combination with Chemotherapy in Participants With Non-small Cell Lung Cancer (MK-3475-021/KEYNOTE-021).</w:t>
            </w:r>
          </w:p>
        </w:tc>
        <w:tc>
          <w:tcPr>
            <w:tcW w:w="1120" w:type="pct"/>
            <w:tcBorders>
              <w:bottom w:val="nil"/>
            </w:tcBorders>
            <w:shd w:val="clear" w:color="auto" w:fill="B8CCE4" w:themeFill="accent1" w:themeFillTint="66"/>
            <w:vAlign w:val="center"/>
          </w:tcPr>
          <w:p w14:paraId="038CC79E" w14:textId="77777777" w:rsidR="002D7804" w:rsidRPr="000C4181" w:rsidRDefault="002D7804">
            <w:pPr>
              <w:pStyle w:val="TableText0"/>
              <w:spacing w:after="60"/>
              <w:rPr>
                <w:szCs w:val="20"/>
              </w:rPr>
            </w:pPr>
            <w:r w:rsidRPr="000C4181">
              <w:rPr>
                <w:szCs w:val="20"/>
              </w:rPr>
              <w:t>Not reported</w:t>
            </w:r>
          </w:p>
        </w:tc>
      </w:tr>
      <w:tr w:rsidR="002D7804" w:rsidRPr="000C4181" w14:paraId="5FBA8001" w14:textId="77777777">
        <w:tc>
          <w:tcPr>
            <w:tcW w:w="911" w:type="pct"/>
            <w:vMerge/>
          </w:tcPr>
          <w:p w14:paraId="1063132D"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43E3712D" w14:textId="77777777" w:rsidR="002D7804" w:rsidRPr="000C4181" w:rsidRDefault="002D7804">
            <w:pPr>
              <w:pStyle w:val="TableText0"/>
              <w:spacing w:after="60"/>
              <w:rPr>
                <w:szCs w:val="20"/>
              </w:rPr>
            </w:pPr>
            <w:r w:rsidRPr="000C4181">
              <w:rPr>
                <w:szCs w:val="20"/>
              </w:rPr>
              <w:t>Langer, C et al. Randomized, phase 2 study of carboplatin and pemetrexed with or without pembrolizumab as first-line therapy for advanced NSCLC: KEYNOTE-021 cohort G.</w:t>
            </w:r>
          </w:p>
        </w:tc>
        <w:tc>
          <w:tcPr>
            <w:tcW w:w="1120" w:type="pct"/>
            <w:tcBorders>
              <w:top w:val="nil"/>
              <w:bottom w:val="nil"/>
            </w:tcBorders>
            <w:shd w:val="clear" w:color="auto" w:fill="B8CCE4" w:themeFill="accent1" w:themeFillTint="66"/>
            <w:vAlign w:val="center"/>
          </w:tcPr>
          <w:p w14:paraId="07799E4C" w14:textId="77777777" w:rsidR="002D7804" w:rsidRPr="000C4181" w:rsidRDefault="002D7804">
            <w:pPr>
              <w:pStyle w:val="TableText0"/>
              <w:spacing w:after="60"/>
              <w:rPr>
                <w:szCs w:val="20"/>
              </w:rPr>
            </w:pPr>
            <w:r w:rsidRPr="000C4181">
              <w:rPr>
                <w:szCs w:val="20"/>
              </w:rPr>
              <w:t>Annals of Oncology,</w:t>
            </w:r>
            <w:r>
              <w:rPr>
                <w:szCs w:val="20"/>
              </w:rPr>
              <w:t xml:space="preserve"> </w:t>
            </w:r>
            <w:r w:rsidRPr="000C4181">
              <w:rPr>
                <w:szCs w:val="20"/>
              </w:rPr>
              <w:t>2016(a); 27, vi582</w:t>
            </w:r>
          </w:p>
        </w:tc>
      </w:tr>
      <w:tr w:rsidR="002D7804" w:rsidRPr="000C4181" w14:paraId="1029170E" w14:textId="77777777">
        <w:tc>
          <w:tcPr>
            <w:tcW w:w="911" w:type="pct"/>
            <w:vMerge/>
          </w:tcPr>
          <w:p w14:paraId="10CDA1A0"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3BBE22E2" w14:textId="77777777" w:rsidR="002D7804" w:rsidRPr="000C4181" w:rsidRDefault="002D7804">
            <w:pPr>
              <w:pStyle w:val="TableText0"/>
              <w:spacing w:after="60"/>
              <w:rPr>
                <w:szCs w:val="20"/>
              </w:rPr>
            </w:pPr>
            <w:r w:rsidRPr="000C4181">
              <w:rPr>
                <w:szCs w:val="20"/>
              </w:rPr>
              <w:t>Langer, C et al. Carboplatin and pemetrexed with or without</w:t>
            </w:r>
            <w:r>
              <w:rPr>
                <w:szCs w:val="20"/>
              </w:rPr>
              <w:t xml:space="preserve"> </w:t>
            </w:r>
            <w:r w:rsidRPr="000C4181">
              <w:rPr>
                <w:szCs w:val="20"/>
              </w:rPr>
              <w:t>pembrolizumab for advanced, non-squamous non-small-cell lung</w:t>
            </w:r>
            <w:r>
              <w:rPr>
                <w:szCs w:val="20"/>
              </w:rPr>
              <w:t xml:space="preserve"> </w:t>
            </w:r>
            <w:r w:rsidRPr="000C4181">
              <w:rPr>
                <w:szCs w:val="20"/>
              </w:rPr>
              <w:t>cancer: a randomised, phase 2 cohort of the open-label KEYNOTE-021</w:t>
            </w:r>
            <w:r>
              <w:rPr>
                <w:szCs w:val="20"/>
              </w:rPr>
              <w:t xml:space="preserve"> </w:t>
            </w:r>
            <w:r w:rsidRPr="000C4181">
              <w:rPr>
                <w:szCs w:val="20"/>
              </w:rPr>
              <w:t>study.</w:t>
            </w:r>
          </w:p>
        </w:tc>
        <w:tc>
          <w:tcPr>
            <w:tcW w:w="1120" w:type="pct"/>
            <w:tcBorders>
              <w:top w:val="nil"/>
              <w:bottom w:val="nil"/>
            </w:tcBorders>
            <w:shd w:val="clear" w:color="auto" w:fill="B8CCE4" w:themeFill="accent1" w:themeFillTint="66"/>
            <w:vAlign w:val="center"/>
          </w:tcPr>
          <w:p w14:paraId="084D14F1" w14:textId="77777777" w:rsidR="002D7804" w:rsidRPr="000C4181" w:rsidRDefault="002D7804">
            <w:pPr>
              <w:pStyle w:val="TableText0"/>
              <w:spacing w:after="60"/>
              <w:rPr>
                <w:szCs w:val="20"/>
              </w:rPr>
            </w:pPr>
            <w:r w:rsidRPr="000C4181">
              <w:rPr>
                <w:szCs w:val="20"/>
              </w:rPr>
              <w:t>Lancet Oncol, 2016(b);</w:t>
            </w:r>
            <w:r>
              <w:rPr>
                <w:szCs w:val="20"/>
              </w:rPr>
              <w:t xml:space="preserve"> </w:t>
            </w:r>
            <w:r w:rsidRPr="000C4181">
              <w:rPr>
                <w:szCs w:val="20"/>
              </w:rPr>
              <w:t>17, 1497-1508</w:t>
            </w:r>
          </w:p>
        </w:tc>
      </w:tr>
      <w:tr w:rsidR="002D7804" w:rsidRPr="000C4181" w14:paraId="58AB0160" w14:textId="77777777">
        <w:tc>
          <w:tcPr>
            <w:tcW w:w="911" w:type="pct"/>
            <w:vMerge/>
          </w:tcPr>
          <w:p w14:paraId="13661BBA" w14:textId="77777777" w:rsidR="002D7804" w:rsidRPr="000C4181" w:rsidRDefault="002D7804">
            <w:pPr>
              <w:pStyle w:val="TableText0"/>
              <w:spacing w:after="60"/>
              <w:rPr>
                <w:szCs w:val="20"/>
              </w:rPr>
            </w:pPr>
          </w:p>
        </w:tc>
        <w:tc>
          <w:tcPr>
            <w:tcW w:w="2969" w:type="pct"/>
            <w:tcBorders>
              <w:top w:val="nil"/>
              <w:bottom w:val="nil"/>
            </w:tcBorders>
            <w:shd w:val="clear" w:color="auto" w:fill="B8CCE4" w:themeFill="accent1" w:themeFillTint="66"/>
          </w:tcPr>
          <w:p w14:paraId="4F42656B" w14:textId="77777777" w:rsidR="002D7804" w:rsidRPr="000C4181" w:rsidRDefault="002D7804">
            <w:pPr>
              <w:pStyle w:val="TableText0"/>
              <w:spacing w:after="60"/>
              <w:rPr>
                <w:szCs w:val="20"/>
              </w:rPr>
            </w:pPr>
            <w:r w:rsidRPr="000C4181">
              <w:rPr>
                <w:szCs w:val="20"/>
              </w:rPr>
              <w:t>Awad, M et al. Long-Term Overall Survival From KEYNOTE-021 Cohort</w:t>
            </w:r>
            <w:r>
              <w:rPr>
                <w:szCs w:val="20"/>
              </w:rPr>
              <w:t xml:space="preserve"> </w:t>
            </w:r>
            <w:r w:rsidRPr="000C4181">
              <w:rPr>
                <w:szCs w:val="20"/>
              </w:rPr>
              <w:t>G: Pemetrexed and Carboplatin With or Without Pembrolizumab as</w:t>
            </w:r>
            <w:r>
              <w:rPr>
                <w:szCs w:val="20"/>
              </w:rPr>
              <w:t xml:space="preserve"> </w:t>
            </w:r>
            <w:r w:rsidRPr="000C4181">
              <w:rPr>
                <w:szCs w:val="20"/>
              </w:rPr>
              <w:t>First-Line Therapy for Advanced Nonsquamous NSCLC.</w:t>
            </w:r>
          </w:p>
        </w:tc>
        <w:tc>
          <w:tcPr>
            <w:tcW w:w="1120" w:type="pct"/>
            <w:tcBorders>
              <w:top w:val="nil"/>
              <w:bottom w:val="nil"/>
            </w:tcBorders>
            <w:shd w:val="clear" w:color="auto" w:fill="B8CCE4" w:themeFill="accent1" w:themeFillTint="66"/>
            <w:vAlign w:val="center"/>
          </w:tcPr>
          <w:p w14:paraId="41399236" w14:textId="77777777" w:rsidR="002D7804" w:rsidRPr="000C4181" w:rsidRDefault="002D7804">
            <w:pPr>
              <w:pStyle w:val="TableText0"/>
              <w:spacing w:after="60"/>
              <w:rPr>
                <w:szCs w:val="20"/>
              </w:rPr>
            </w:pPr>
            <w:r w:rsidRPr="000C4181">
              <w:rPr>
                <w:szCs w:val="20"/>
              </w:rPr>
              <w:t>J Thorac Oncol, 2021; 16,</w:t>
            </w:r>
            <w:r>
              <w:rPr>
                <w:szCs w:val="20"/>
              </w:rPr>
              <w:t xml:space="preserve"> </w:t>
            </w:r>
            <w:r w:rsidRPr="000C4181">
              <w:rPr>
                <w:szCs w:val="20"/>
              </w:rPr>
              <w:t>162-168</w:t>
            </w:r>
          </w:p>
        </w:tc>
      </w:tr>
      <w:tr w:rsidR="002D7804" w:rsidRPr="000C4181" w14:paraId="1CBF0A1A" w14:textId="77777777">
        <w:tc>
          <w:tcPr>
            <w:tcW w:w="5000" w:type="pct"/>
            <w:gridSpan w:val="3"/>
            <w:tcBorders>
              <w:bottom w:val="single" w:sz="4" w:space="0" w:color="auto"/>
            </w:tcBorders>
            <w:shd w:val="clear" w:color="auto" w:fill="auto"/>
          </w:tcPr>
          <w:p w14:paraId="33609EF6" w14:textId="77777777" w:rsidR="002D7804" w:rsidRPr="005C5740" w:rsidRDefault="002D7804">
            <w:pPr>
              <w:pStyle w:val="TableText0"/>
              <w:spacing w:after="60"/>
              <w:rPr>
                <w:b/>
                <w:szCs w:val="20"/>
              </w:rPr>
            </w:pPr>
            <w:r w:rsidRPr="005C5740">
              <w:rPr>
                <w:b/>
                <w:szCs w:val="20"/>
              </w:rPr>
              <w:t>Supplementary study</w:t>
            </w:r>
          </w:p>
        </w:tc>
      </w:tr>
      <w:tr w:rsidR="002D7804" w:rsidRPr="000C4181" w14:paraId="1C04F2F3" w14:textId="77777777">
        <w:tc>
          <w:tcPr>
            <w:tcW w:w="911" w:type="pct"/>
            <w:tcBorders>
              <w:bottom w:val="single" w:sz="4" w:space="0" w:color="auto"/>
            </w:tcBorders>
            <w:shd w:val="clear" w:color="auto" w:fill="auto"/>
          </w:tcPr>
          <w:p w14:paraId="67F34CE7" w14:textId="77777777" w:rsidR="002D7804" w:rsidRPr="000C4181" w:rsidRDefault="002D7804">
            <w:pPr>
              <w:pStyle w:val="TableText0"/>
              <w:spacing w:after="60"/>
              <w:rPr>
                <w:szCs w:val="20"/>
              </w:rPr>
            </w:pPr>
            <w:r w:rsidRPr="00A77BD9">
              <w:rPr>
                <w:szCs w:val="20"/>
              </w:rPr>
              <w:t>RET:MAP</w:t>
            </w:r>
          </w:p>
        </w:tc>
        <w:tc>
          <w:tcPr>
            <w:tcW w:w="2969" w:type="pct"/>
            <w:tcBorders>
              <w:bottom w:val="single" w:sz="4" w:space="0" w:color="auto"/>
            </w:tcBorders>
            <w:shd w:val="clear" w:color="auto" w:fill="auto"/>
          </w:tcPr>
          <w:p w14:paraId="7BDA225D" w14:textId="77777777" w:rsidR="002D7804" w:rsidRPr="000C4181" w:rsidRDefault="002D7804">
            <w:pPr>
              <w:pStyle w:val="TableText0"/>
              <w:spacing w:after="60"/>
              <w:rPr>
                <w:szCs w:val="20"/>
              </w:rPr>
            </w:pPr>
            <w:r w:rsidRPr="00A77BD9">
              <w:rPr>
                <w:szCs w:val="20"/>
              </w:rPr>
              <w:t xml:space="preserve">Aldea, M., et al., RET-MAP: An International Multicenter Study on Clinicobiologic Features and Treatment Response in Patients With Lung Cancer Harboring a RET Fusion. </w:t>
            </w:r>
          </w:p>
        </w:tc>
        <w:tc>
          <w:tcPr>
            <w:tcW w:w="1120" w:type="pct"/>
            <w:tcBorders>
              <w:bottom w:val="single" w:sz="4" w:space="0" w:color="auto"/>
            </w:tcBorders>
            <w:shd w:val="clear" w:color="auto" w:fill="auto"/>
            <w:vAlign w:val="center"/>
          </w:tcPr>
          <w:p w14:paraId="7A6551ED" w14:textId="77777777" w:rsidR="002D7804" w:rsidRPr="000C4181" w:rsidRDefault="002D7804">
            <w:pPr>
              <w:pStyle w:val="TableText0"/>
              <w:spacing w:after="60"/>
              <w:rPr>
                <w:szCs w:val="20"/>
              </w:rPr>
            </w:pPr>
            <w:r w:rsidRPr="00A77BD9">
              <w:rPr>
                <w:szCs w:val="20"/>
              </w:rPr>
              <w:t>J Thorac Oncol, 2023. 18(5): p. 576-586.</w:t>
            </w:r>
          </w:p>
        </w:tc>
      </w:tr>
    </w:tbl>
    <w:p w14:paraId="04E925E1" w14:textId="12FA484F" w:rsidR="002D7804" w:rsidRDefault="002D7804" w:rsidP="002D7804">
      <w:pPr>
        <w:pStyle w:val="FooterTableFigure"/>
      </w:pPr>
      <w:r>
        <w:t>Source: Table 2-3of the resubmission; Table 2 of the selpercatinib, PSD, July 2023 PBAC meeting.</w:t>
      </w:r>
    </w:p>
    <w:p w14:paraId="74166874" w14:textId="5B5FCB0C" w:rsidR="002D7804" w:rsidRPr="00FC1A2E" w:rsidRDefault="002D7804" w:rsidP="00FC1A2E">
      <w:pPr>
        <w:pStyle w:val="FooterTableFigure"/>
        <w:rPr>
          <w:szCs w:val="18"/>
        </w:rPr>
      </w:pPr>
      <w:r w:rsidRPr="00017171">
        <w:rPr>
          <w:szCs w:val="18"/>
          <w:shd w:val="clear" w:color="auto" w:fill="C6D9F1" w:themeFill="text2" w:themeFillTint="33"/>
        </w:rPr>
        <w:t>Blue shading</w:t>
      </w:r>
      <w:r w:rsidRPr="00017171">
        <w:rPr>
          <w:szCs w:val="18"/>
        </w:rPr>
        <w:t xml:space="preserve"> indicates data previously considered by the PBAC.</w:t>
      </w:r>
    </w:p>
    <w:p w14:paraId="1AB21BF6" w14:textId="4D721B11" w:rsidR="002D7804" w:rsidRPr="002070EC" w:rsidRDefault="002D7804" w:rsidP="002D7804">
      <w:pPr>
        <w:pStyle w:val="3-BodyText"/>
      </w:pPr>
      <w:r w:rsidRPr="002070EC">
        <w:t xml:space="preserve">The key features of the direct randomised trial and included evidence are summarised in </w:t>
      </w:r>
      <w:r w:rsidRPr="002070EC">
        <w:fldChar w:fldCharType="begin" w:fldLock="1"/>
      </w:r>
      <w:r w:rsidRPr="002070EC">
        <w:instrText xml:space="preserve"> REF _Ref104804098 \h  \* MERGEFORMAT </w:instrText>
      </w:r>
      <w:r w:rsidRPr="002070EC">
        <w:fldChar w:fldCharType="separate"/>
      </w:r>
      <w:r w:rsidR="00F979CE" w:rsidRPr="00F979CE">
        <w:t>Table 4</w:t>
      </w:r>
      <w:r w:rsidRPr="002070EC">
        <w:fldChar w:fldCharType="end"/>
      </w:r>
      <w:r w:rsidRPr="002070EC">
        <w:t xml:space="preserve">. </w:t>
      </w:r>
    </w:p>
    <w:p w14:paraId="3DE75C8C" w14:textId="5267849D" w:rsidR="002D7804" w:rsidRPr="00D6076E" w:rsidRDefault="002D7804" w:rsidP="002D7804">
      <w:pPr>
        <w:pStyle w:val="Caption"/>
        <w:rPr>
          <w:rStyle w:val="CommentReference"/>
          <w:rFonts w:eastAsiaTheme="majorEastAsia" w:cstheme="majorBidi"/>
          <w:b/>
          <w:szCs w:val="24"/>
        </w:rPr>
      </w:pPr>
      <w:bookmarkStart w:id="30" w:name="_Ref104804098"/>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F979CE">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30"/>
      <w:r w:rsidRPr="00D6076E">
        <w:rPr>
          <w:rStyle w:val="CommentReference"/>
          <w:rFonts w:eastAsiaTheme="majorEastAsia" w:cstheme="majorBidi"/>
          <w:b/>
          <w:szCs w:val="24"/>
        </w:rPr>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413"/>
        <w:gridCol w:w="1701"/>
        <w:gridCol w:w="1559"/>
        <w:gridCol w:w="586"/>
        <w:gridCol w:w="1374"/>
        <w:gridCol w:w="1385"/>
        <w:gridCol w:w="999"/>
      </w:tblGrid>
      <w:tr w:rsidR="00D569D4" w:rsidRPr="00B41614" w14:paraId="27F30F26" w14:textId="77777777" w:rsidTr="009903C4">
        <w:trPr>
          <w:cantSplit/>
          <w:tblHeader/>
        </w:trPr>
        <w:tc>
          <w:tcPr>
            <w:tcW w:w="1413" w:type="dxa"/>
            <w:shd w:val="clear" w:color="auto" w:fill="auto"/>
            <w:vAlign w:val="center"/>
          </w:tcPr>
          <w:p w14:paraId="6FD638D4" w14:textId="77777777" w:rsidR="002D7804" w:rsidRPr="00B41614" w:rsidRDefault="002D7804">
            <w:pPr>
              <w:pStyle w:val="In-tableHeading"/>
              <w:jc w:val="center"/>
            </w:pPr>
            <w:r w:rsidRPr="00B41614">
              <w:t>Trial</w:t>
            </w:r>
          </w:p>
        </w:tc>
        <w:tc>
          <w:tcPr>
            <w:tcW w:w="1701" w:type="dxa"/>
            <w:shd w:val="clear" w:color="auto" w:fill="auto"/>
            <w:vAlign w:val="center"/>
          </w:tcPr>
          <w:p w14:paraId="084F1248" w14:textId="77777777" w:rsidR="002D7804" w:rsidRPr="00B41614" w:rsidRDefault="002D7804">
            <w:pPr>
              <w:pStyle w:val="In-tableHeading"/>
              <w:jc w:val="center"/>
            </w:pPr>
            <w:r w:rsidRPr="00B41614">
              <w:t>N</w:t>
            </w:r>
          </w:p>
        </w:tc>
        <w:tc>
          <w:tcPr>
            <w:tcW w:w="1559" w:type="dxa"/>
            <w:shd w:val="clear" w:color="auto" w:fill="auto"/>
            <w:vAlign w:val="center"/>
          </w:tcPr>
          <w:p w14:paraId="5C7D11F8" w14:textId="02B64228" w:rsidR="002D7804" w:rsidRPr="00B41614" w:rsidRDefault="002D7804">
            <w:pPr>
              <w:pStyle w:val="In-tableHeading"/>
              <w:jc w:val="center"/>
            </w:pPr>
            <w:r w:rsidRPr="00B41614">
              <w:t>Design/duration</w:t>
            </w:r>
          </w:p>
        </w:tc>
        <w:tc>
          <w:tcPr>
            <w:tcW w:w="586" w:type="dxa"/>
            <w:shd w:val="clear" w:color="auto" w:fill="auto"/>
            <w:vAlign w:val="center"/>
          </w:tcPr>
          <w:p w14:paraId="452751AD" w14:textId="77777777" w:rsidR="002D7804" w:rsidRPr="007A7229" w:rsidRDefault="002D7804">
            <w:pPr>
              <w:pStyle w:val="In-tableHeading"/>
              <w:jc w:val="center"/>
            </w:pPr>
            <w:r w:rsidRPr="007A7229">
              <w:t>Risk of bias</w:t>
            </w:r>
          </w:p>
        </w:tc>
        <w:tc>
          <w:tcPr>
            <w:tcW w:w="0" w:type="auto"/>
            <w:shd w:val="clear" w:color="auto" w:fill="auto"/>
            <w:vAlign w:val="center"/>
          </w:tcPr>
          <w:p w14:paraId="107539FC" w14:textId="77777777" w:rsidR="002D7804" w:rsidRPr="00B41614" w:rsidRDefault="002D7804">
            <w:pPr>
              <w:pStyle w:val="In-tableHeading"/>
              <w:jc w:val="center"/>
            </w:pPr>
            <w:r w:rsidRPr="00B41614">
              <w:t>Patient population</w:t>
            </w:r>
          </w:p>
        </w:tc>
        <w:tc>
          <w:tcPr>
            <w:tcW w:w="0" w:type="auto"/>
            <w:shd w:val="clear" w:color="auto" w:fill="auto"/>
            <w:vAlign w:val="center"/>
          </w:tcPr>
          <w:p w14:paraId="7C3E2DBE" w14:textId="26E385B6" w:rsidR="002D7804" w:rsidRPr="00B41614" w:rsidRDefault="002D7804">
            <w:pPr>
              <w:pStyle w:val="In-tableHeading"/>
              <w:jc w:val="center"/>
            </w:pPr>
            <w:r w:rsidRPr="00B41614">
              <w:t>Outcomes</w:t>
            </w:r>
          </w:p>
        </w:tc>
        <w:tc>
          <w:tcPr>
            <w:tcW w:w="0" w:type="auto"/>
            <w:shd w:val="clear" w:color="auto" w:fill="auto"/>
            <w:vAlign w:val="center"/>
          </w:tcPr>
          <w:p w14:paraId="786DD0E0" w14:textId="77777777" w:rsidR="002D7804" w:rsidRPr="00B41614" w:rsidRDefault="002D7804">
            <w:pPr>
              <w:pStyle w:val="In-tableHeading"/>
              <w:jc w:val="center"/>
            </w:pPr>
            <w:r w:rsidRPr="00B41614">
              <w:t>Use</w:t>
            </w:r>
            <w:r>
              <w:t>d</w:t>
            </w:r>
            <w:r w:rsidRPr="00B41614">
              <w:t xml:space="preserve"> in modelled evaluation</w:t>
            </w:r>
          </w:p>
        </w:tc>
      </w:tr>
      <w:tr w:rsidR="002D7804" w:rsidRPr="00E2771E" w14:paraId="2D494CD9" w14:textId="77777777">
        <w:trPr>
          <w:cantSplit/>
        </w:trPr>
        <w:tc>
          <w:tcPr>
            <w:tcW w:w="0" w:type="auto"/>
            <w:gridSpan w:val="7"/>
            <w:shd w:val="clear" w:color="auto" w:fill="auto"/>
            <w:vAlign w:val="center"/>
          </w:tcPr>
          <w:p w14:paraId="3298DC54" w14:textId="77777777" w:rsidR="002D7804" w:rsidRPr="007A7229" w:rsidRDefault="002D7804">
            <w:pPr>
              <w:pStyle w:val="In-tableHeading"/>
            </w:pPr>
            <w:r w:rsidRPr="007A7229">
              <w:rPr>
                <w:bCs/>
                <w:szCs w:val="20"/>
              </w:rPr>
              <w:t>Selpercatinib vs pembrolizumab +PC</w:t>
            </w:r>
          </w:p>
        </w:tc>
      </w:tr>
      <w:tr w:rsidR="002D7804" w:rsidRPr="00E2771E" w14:paraId="20E77223" w14:textId="77777777" w:rsidTr="00E2432E">
        <w:trPr>
          <w:cantSplit/>
        </w:trPr>
        <w:tc>
          <w:tcPr>
            <w:tcW w:w="1413" w:type="dxa"/>
            <w:shd w:val="clear" w:color="auto" w:fill="auto"/>
          </w:tcPr>
          <w:p w14:paraId="7015DB80" w14:textId="650BB286" w:rsidR="002D7804" w:rsidRPr="00E2771E" w:rsidRDefault="002D7804">
            <w:pPr>
              <w:pStyle w:val="TableText0"/>
              <w:rPr>
                <w:lang w:val="en-US"/>
              </w:rPr>
            </w:pPr>
            <w:r w:rsidRPr="007A4D55">
              <w:rPr>
                <w:szCs w:val="20"/>
              </w:rPr>
              <w:t>LIBRETTO-431</w:t>
            </w:r>
            <w:r w:rsidR="009903C4" w:rsidRPr="007A4D55">
              <w:rPr>
                <w:szCs w:val="20"/>
                <w:vertAlign w:val="superscript"/>
              </w:rPr>
              <w:t xml:space="preserve"> a</w:t>
            </w:r>
          </w:p>
        </w:tc>
        <w:tc>
          <w:tcPr>
            <w:tcW w:w="1701" w:type="dxa"/>
            <w:shd w:val="clear" w:color="auto" w:fill="auto"/>
          </w:tcPr>
          <w:p w14:paraId="11929FF5" w14:textId="77777777" w:rsidR="002D7804" w:rsidRDefault="002D7804">
            <w:pPr>
              <w:jc w:val="left"/>
              <w:rPr>
                <w:rFonts w:ascii="Arial Narrow" w:hAnsi="Arial Narrow"/>
                <w:sz w:val="20"/>
                <w:szCs w:val="20"/>
              </w:rPr>
            </w:pPr>
            <w:r>
              <w:rPr>
                <w:rFonts w:ascii="Arial Narrow" w:hAnsi="Arial Narrow"/>
                <w:sz w:val="20"/>
                <w:szCs w:val="20"/>
              </w:rPr>
              <w:t>ITT-pembrolizumab population:</w:t>
            </w:r>
          </w:p>
          <w:p w14:paraId="410F478E" w14:textId="77777777" w:rsidR="002D7804" w:rsidRPr="007A4D55" w:rsidRDefault="002D7804">
            <w:pPr>
              <w:jc w:val="left"/>
              <w:rPr>
                <w:rFonts w:ascii="Arial Narrow" w:hAnsi="Arial Narrow"/>
                <w:sz w:val="20"/>
                <w:szCs w:val="20"/>
              </w:rPr>
            </w:pPr>
            <w:r w:rsidRPr="007A4D55">
              <w:rPr>
                <w:rFonts w:ascii="Arial Narrow" w:hAnsi="Arial Narrow"/>
                <w:sz w:val="20"/>
                <w:szCs w:val="20"/>
              </w:rPr>
              <w:t>Selpercatinib: 129</w:t>
            </w:r>
          </w:p>
          <w:p w14:paraId="0238EC5B" w14:textId="71024138" w:rsidR="002D7804" w:rsidRDefault="002D7804">
            <w:pPr>
              <w:jc w:val="left"/>
              <w:rPr>
                <w:rFonts w:ascii="Arial Narrow" w:hAnsi="Arial Narrow"/>
                <w:sz w:val="20"/>
                <w:szCs w:val="20"/>
                <w:vertAlign w:val="superscript"/>
              </w:rPr>
            </w:pPr>
            <w:r w:rsidRPr="007A4D55">
              <w:rPr>
                <w:rFonts w:ascii="Arial Narrow" w:hAnsi="Arial Narrow"/>
                <w:sz w:val="20"/>
                <w:szCs w:val="20"/>
              </w:rPr>
              <w:t>Control: 83</w:t>
            </w:r>
          </w:p>
          <w:p w14:paraId="5CD00366" w14:textId="77777777" w:rsidR="002D7804" w:rsidRDefault="002D7804">
            <w:pPr>
              <w:jc w:val="left"/>
              <w:rPr>
                <w:rFonts w:ascii="Arial Narrow" w:hAnsi="Arial Narrow"/>
                <w:sz w:val="20"/>
                <w:szCs w:val="20"/>
                <w:vertAlign w:val="superscript"/>
              </w:rPr>
            </w:pPr>
          </w:p>
          <w:p w14:paraId="331F3D92" w14:textId="77777777" w:rsidR="002D7804" w:rsidRDefault="002D7804">
            <w:pPr>
              <w:jc w:val="left"/>
              <w:rPr>
                <w:rFonts w:ascii="Arial Narrow" w:hAnsi="Arial Narrow"/>
                <w:sz w:val="20"/>
                <w:szCs w:val="20"/>
              </w:rPr>
            </w:pPr>
            <w:r w:rsidRPr="00C56117">
              <w:rPr>
                <w:rFonts w:ascii="Arial Narrow" w:hAnsi="Arial Narrow"/>
                <w:sz w:val="20"/>
                <w:szCs w:val="20"/>
              </w:rPr>
              <w:t>ITT-</w:t>
            </w:r>
            <w:r>
              <w:rPr>
                <w:rFonts w:ascii="Arial Narrow" w:hAnsi="Arial Narrow"/>
                <w:sz w:val="20"/>
                <w:szCs w:val="20"/>
              </w:rPr>
              <w:t>population:</w:t>
            </w:r>
          </w:p>
          <w:p w14:paraId="5089C887" w14:textId="77777777" w:rsidR="002D7804" w:rsidRPr="00C56117" w:rsidRDefault="002D7804">
            <w:pPr>
              <w:jc w:val="left"/>
              <w:rPr>
                <w:rFonts w:ascii="Arial Narrow" w:hAnsi="Arial Narrow"/>
                <w:sz w:val="20"/>
                <w:szCs w:val="20"/>
              </w:rPr>
            </w:pPr>
            <w:r w:rsidRPr="00C56117">
              <w:rPr>
                <w:rFonts w:ascii="Arial Narrow" w:hAnsi="Arial Narrow"/>
                <w:sz w:val="20"/>
                <w:szCs w:val="20"/>
              </w:rPr>
              <w:t>Selpercatinib: 1</w:t>
            </w:r>
            <w:r>
              <w:rPr>
                <w:rFonts w:ascii="Arial Narrow" w:hAnsi="Arial Narrow"/>
                <w:sz w:val="20"/>
                <w:szCs w:val="20"/>
              </w:rPr>
              <w:t>59</w:t>
            </w:r>
          </w:p>
          <w:p w14:paraId="50DECF9D" w14:textId="77777777" w:rsidR="002D7804" w:rsidRPr="00E2771E" w:rsidRDefault="002D7804">
            <w:pPr>
              <w:pStyle w:val="TableText0"/>
              <w:rPr>
                <w:lang w:val="en-US"/>
              </w:rPr>
            </w:pPr>
            <w:r w:rsidRPr="00C56117">
              <w:rPr>
                <w:szCs w:val="20"/>
              </w:rPr>
              <w:t xml:space="preserve">Control: </w:t>
            </w:r>
            <w:r>
              <w:rPr>
                <w:szCs w:val="20"/>
              </w:rPr>
              <w:t>102</w:t>
            </w:r>
          </w:p>
          <w:p w14:paraId="0ECF9B72" w14:textId="77777777" w:rsidR="002D7804" w:rsidRPr="00E2771E" w:rsidRDefault="002D7804">
            <w:pPr>
              <w:pStyle w:val="TableText0"/>
            </w:pPr>
          </w:p>
          <w:p w14:paraId="4D8B1CFC" w14:textId="77777777" w:rsidR="002D7804" w:rsidRPr="00E2771E" w:rsidRDefault="002D7804">
            <w:pPr>
              <w:pStyle w:val="TableText0"/>
            </w:pPr>
            <w:r>
              <w:t>Safety-population:</w:t>
            </w:r>
          </w:p>
          <w:p w14:paraId="6CE3CEB4" w14:textId="77777777" w:rsidR="002D7804" w:rsidRPr="00E2771E" w:rsidRDefault="002D7804">
            <w:pPr>
              <w:jc w:val="left"/>
              <w:rPr>
                <w:rFonts w:ascii="Arial Narrow" w:hAnsi="Arial Narrow"/>
                <w:sz w:val="20"/>
                <w:szCs w:val="20"/>
              </w:rPr>
            </w:pPr>
            <w:r w:rsidRPr="7540B92D">
              <w:rPr>
                <w:rFonts w:ascii="Arial Narrow" w:hAnsi="Arial Narrow"/>
                <w:sz w:val="20"/>
                <w:szCs w:val="20"/>
              </w:rPr>
              <w:t>Selpercatinib: 158</w:t>
            </w:r>
          </w:p>
          <w:p w14:paraId="7A7DC374" w14:textId="77777777" w:rsidR="002D7804" w:rsidRPr="00E2771E" w:rsidRDefault="002D7804">
            <w:pPr>
              <w:pStyle w:val="TableText0"/>
              <w:rPr>
                <w:lang w:val="en-US"/>
              </w:rPr>
            </w:pPr>
            <w:r>
              <w:t>Control: 98</w:t>
            </w:r>
          </w:p>
        </w:tc>
        <w:tc>
          <w:tcPr>
            <w:tcW w:w="1559" w:type="dxa"/>
            <w:shd w:val="clear" w:color="auto" w:fill="auto"/>
          </w:tcPr>
          <w:p w14:paraId="45C020EB" w14:textId="77777777" w:rsidR="002D7804" w:rsidRDefault="002D7804">
            <w:pPr>
              <w:jc w:val="left"/>
              <w:rPr>
                <w:rFonts w:ascii="Arial Narrow" w:hAnsi="Arial Narrow"/>
                <w:sz w:val="20"/>
                <w:szCs w:val="20"/>
              </w:rPr>
            </w:pPr>
            <w:r w:rsidRPr="007A4D55">
              <w:rPr>
                <w:rFonts w:ascii="Arial Narrow" w:hAnsi="Arial Narrow"/>
                <w:sz w:val="20"/>
                <w:szCs w:val="20"/>
              </w:rPr>
              <w:t>RCT, OL</w:t>
            </w:r>
          </w:p>
          <w:p w14:paraId="76BBA0DF" w14:textId="77777777" w:rsidR="002D7804" w:rsidRPr="00E2771E" w:rsidRDefault="002D7804">
            <w:pPr>
              <w:pStyle w:val="TableText0"/>
              <w:rPr>
                <w:lang w:val="en-US"/>
              </w:rPr>
            </w:pPr>
            <w:r w:rsidRPr="007A4D55">
              <w:rPr>
                <w:szCs w:val="20"/>
              </w:rPr>
              <w:t>Median 19.4 months (selpercatinib)</w:t>
            </w:r>
          </w:p>
        </w:tc>
        <w:tc>
          <w:tcPr>
            <w:tcW w:w="586" w:type="dxa"/>
            <w:shd w:val="clear" w:color="auto" w:fill="auto"/>
          </w:tcPr>
          <w:p w14:paraId="1717927C" w14:textId="77777777" w:rsidR="002D7804" w:rsidRPr="007A7229" w:rsidRDefault="002D7804">
            <w:pPr>
              <w:pStyle w:val="TableText0"/>
              <w:rPr>
                <w:lang w:val="en-US"/>
              </w:rPr>
            </w:pPr>
            <w:r w:rsidRPr="007A7229">
              <w:rPr>
                <w:lang w:val="en-US"/>
              </w:rPr>
              <w:t>High</w:t>
            </w:r>
          </w:p>
        </w:tc>
        <w:tc>
          <w:tcPr>
            <w:tcW w:w="0" w:type="auto"/>
            <w:shd w:val="clear" w:color="auto" w:fill="auto"/>
          </w:tcPr>
          <w:p w14:paraId="7E5B621B" w14:textId="77777777" w:rsidR="002D7804" w:rsidRPr="00E2771E" w:rsidRDefault="002D7804">
            <w:pPr>
              <w:pStyle w:val="TableText0"/>
              <w:rPr>
                <w:lang w:val="en-US"/>
              </w:rPr>
            </w:pPr>
            <w:r>
              <w:rPr>
                <w:lang w:val="en-US"/>
              </w:rPr>
              <w:t xml:space="preserve">Untreated </w:t>
            </w:r>
            <w:r w:rsidRPr="00EC6778">
              <w:rPr>
                <w:lang w:val="en-US"/>
              </w:rPr>
              <w:t>Stage IIIB to Stage IV</w:t>
            </w:r>
            <w:r>
              <w:rPr>
                <w:lang w:val="en-US"/>
              </w:rPr>
              <w:t xml:space="preserve">, </w:t>
            </w:r>
            <w:r w:rsidRPr="00EC6778">
              <w:rPr>
                <w:i/>
                <w:iCs/>
                <w:lang w:val="en-US"/>
              </w:rPr>
              <w:t>RET</w:t>
            </w:r>
            <w:r>
              <w:rPr>
                <w:lang w:val="en-US"/>
              </w:rPr>
              <w:t xml:space="preserve"> fusion-positive NSCLC</w:t>
            </w:r>
          </w:p>
        </w:tc>
        <w:tc>
          <w:tcPr>
            <w:tcW w:w="0" w:type="auto"/>
            <w:shd w:val="clear" w:color="auto" w:fill="auto"/>
          </w:tcPr>
          <w:p w14:paraId="12CF9574" w14:textId="77777777" w:rsidR="002D7804" w:rsidRPr="00E2771E" w:rsidRDefault="002D7804">
            <w:pPr>
              <w:pStyle w:val="TableText0"/>
              <w:rPr>
                <w:lang w:val="en-US"/>
              </w:rPr>
            </w:pPr>
            <w:r>
              <w:rPr>
                <w:lang w:val="en-US"/>
              </w:rPr>
              <w:t>PFS by BICR, PFS by investigator, ORR, DOR, DCR, OS, EORTC QLQ-C30.</w:t>
            </w:r>
          </w:p>
        </w:tc>
        <w:tc>
          <w:tcPr>
            <w:tcW w:w="0" w:type="auto"/>
            <w:shd w:val="clear" w:color="auto" w:fill="auto"/>
          </w:tcPr>
          <w:p w14:paraId="40A54F7E" w14:textId="77777777" w:rsidR="002D7804" w:rsidRPr="00E2771E" w:rsidRDefault="002D7804">
            <w:pPr>
              <w:pStyle w:val="TableText0"/>
              <w:rPr>
                <w:lang w:val="en-US"/>
              </w:rPr>
            </w:pPr>
            <w:r w:rsidRPr="00E2771E">
              <w:rPr>
                <w:lang w:val="en-US"/>
              </w:rPr>
              <w:t>No</w:t>
            </w:r>
          </w:p>
        </w:tc>
      </w:tr>
      <w:tr w:rsidR="008808F1" w:rsidRPr="00E2771E" w14:paraId="713AD569" w14:textId="77777777" w:rsidTr="00307994">
        <w:trPr>
          <w:cantSplit/>
        </w:trPr>
        <w:tc>
          <w:tcPr>
            <w:tcW w:w="1413" w:type="dxa"/>
            <w:vMerge w:val="restart"/>
            <w:shd w:val="clear" w:color="auto" w:fill="B8CCE4" w:themeFill="accent1" w:themeFillTint="66"/>
          </w:tcPr>
          <w:p w14:paraId="6A1268A0" w14:textId="77777777" w:rsidR="008808F1" w:rsidRPr="00E2771E" w:rsidRDefault="008808F1">
            <w:pPr>
              <w:pStyle w:val="TableText0"/>
              <w:rPr>
                <w:lang w:val="en-US"/>
              </w:rPr>
            </w:pPr>
            <w:r w:rsidRPr="009B1E85">
              <w:t xml:space="preserve">LIBRETTO-001 </w:t>
            </w:r>
          </w:p>
        </w:tc>
        <w:tc>
          <w:tcPr>
            <w:tcW w:w="1701" w:type="dxa"/>
            <w:vMerge w:val="restart"/>
            <w:shd w:val="clear" w:color="auto" w:fill="B8CCE4" w:themeFill="accent1" w:themeFillTint="66"/>
          </w:tcPr>
          <w:p w14:paraId="7C96E924" w14:textId="7E1BC7AE" w:rsidR="008808F1" w:rsidRDefault="008808F1">
            <w:pPr>
              <w:pStyle w:val="TableText0"/>
            </w:pPr>
            <w:r w:rsidRPr="009B1E85">
              <w:t>Selpercatinib: 69 (treatment</w:t>
            </w:r>
            <w:r>
              <w:t xml:space="preserve"> naïve </w:t>
            </w:r>
            <w:r>
              <w:rPr>
                <w:vertAlign w:val="superscript"/>
              </w:rPr>
              <w:t>b</w:t>
            </w:r>
            <w:r>
              <w:t>)</w:t>
            </w:r>
          </w:p>
          <w:p w14:paraId="0C04E8BA" w14:textId="77777777" w:rsidR="008808F1" w:rsidRDefault="008808F1">
            <w:pPr>
              <w:pStyle w:val="TableText0"/>
            </w:pPr>
          </w:p>
          <w:p w14:paraId="5F44C001" w14:textId="62ACD0CD" w:rsidR="008808F1" w:rsidRPr="00E2771E" w:rsidRDefault="008808F1">
            <w:pPr>
              <w:pStyle w:val="TableText0"/>
              <w:rPr>
                <w:lang w:val="en-US"/>
              </w:rPr>
            </w:pPr>
            <w:r>
              <w:t>Previously treated with platinum-based chemotherapy: 247</w:t>
            </w:r>
          </w:p>
        </w:tc>
        <w:tc>
          <w:tcPr>
            <w:tcW w:w="1559" w:type="dxa"/>
            <w:shd w:val="clear" w:color="auto" w:fill="B8CCE4" w:themeFill="accent1" w:themeFillTint="66"/>
          </w:tcPr>
          <w:p w14:paraId="6B86C632" w14:textId="77777777" w:rsidR="008808F1" w:rsidRDefault="008808F1">
            <w:pPr>
              <w:pStyle w:val="TableText0"/>
            </w:pPr>
            <w:r>
              <w:t>Single arm, OL</w:t>
            </w:r>
          </w:p>
          <w:p w14:paraId="2C6E5238" w14:textId="77777777" w:rsidR="008808F1" w:rsidRDefault="008808F1">
            <w:pPr>
              <w:pStyle w:val="TableText0"/>
            </w:pPr>
            <w:r>
              <w:t xml:space="preserve">Median </w:t>
            </w:r>
            <w:r w:rsidRPr="008C241D">
              <w:t xml:space="preserve">25.2 months </w:t>
            </w:r>
            <w:r w:rsidRPr="00656446">
              <w:t>(15 June 2021 data-cut)</w:t>
            </w:r>
          </w:p>
          <w:p w14:paraId="1F54F11B" w14:textId="6679C2F7" w:rsidR="008808F1" w:rsidRPr="00E2771E" w:rsidRDefault="008808F1">
            <w:pPr>
              <w:pStyle w:val="TableText0"/>
              <w:rPr>
                <w:lang w:val="en-US"/>
              </w:rPr>
            </w:pPr>
          </w:p>
        </w:tc>
        <w:tc>
          <w:tcPr>
            <w:tcW w:w="586" w:type="dxa"/>
            <w:vMerge w:val="restart"/>
            <w:shd w:val="clear" w:color="auto" w:fill="B8CCE4" w:themeFill="accent1" w:themeFillTint="66"/>
          </w:tcPr>
          <w:p w14:paraId="18B26C95" w14:textId="77777777" w:rsidR="008808F1" w:rsidRPr="007A7229" w:rsidRDefault="008808F1">
            <w:pPr>
              <w:pStyle w:val="TableText0"/>
              <w:rPr>
                <w:lang w:val="en-US"/>
              </w:rPr>
            </w:pPr>
            <w:r w:rsidRPr="007A7229">
              <w:rPr>
                <w:lang w:val="en-US"/>
              </w:rPr>
              <w:t>High</w:t>
            </w:r>
          </w:p>
        </w:tc>
        <w:tc>
          <w:tcPr>
            <w:tcW w:w="0" w:type="auto"/>
            <w:vMerge w:val="restart"/>
            <w:shd w:val="clear" w:color="auto" w:fill="B8CCE4" w:themeFill="accent1" w:themeFillTint="66"/>
          </w:tcPr>
          <w:p w14:paraId="0FFC4675" w14:textId="7518A143" w:rsidR="008808F1" w:rsidRPr="00E2771E" w:rsidRDefault="008808F1">
            <w:pPr>
              <w:pStyle w:val="TableText0"/>
              <w:rPr>
                <w:lang w:val="en-US"/>
              </w:rPr>
            </w:pPr>
            <w:r w:rsidRPr="00E2771E">
              <w:rPr>
                <w:lang w:val="en-US"/>
              </w:rPr>
              <w:t>Treatment naïve</w:t>
            </w:r>
            <w:r>
              <w:rPr>
                <w:lang w:val="en-US"/>
              </w:rPr>
              <w:t xml:space="preserve"> </w:t>
            </w:r>
            <w:r>
              <w:rPr>
                <w:vertAlign w:val="superscript"/>
                <w:lang w:val="en-US"/>
              </w:rPr>
              <w:t>b</w:t>
            </w:r>
            <w:r>
              <w:rPr>
                <w:lang w:val="en-US"/>
              </w:rPr>
              <w:t xml:space="preserve"> </w:t>
            </w:r>
            <w:r w:rsidRPr="00F60B3A">
              <w:rPr>
                <w:lang w:val="en-US"/>
              </w:rPr>
              <w:t>Stage IIIB or Stage IV</w:t>
            </w:r>
            <w:r>
              <w:rPr>
                <w:lang w:val="en-US"/>
              </w:rPr>
              <w:t>,</w:t>
            </w:r>
            <w:r w:rsidRPr="00F60B3A">
              <w:rPr>
                <w:lang w:val="en-US"/>
              </w:rPr>
              <w:t xml:space="preserve"> </w:t>
            </w:r>
            <w:r w:rsidRPr="00EC6778">
              <w:rPr>
                <w:i/>
                <w:iCs/>
                <w:lang w:val="en-US"/>
              </w:rPr>
              <w:t>RET</w:t>
            </w:r>
            <w:r w:rsidRPr="00F60B3A">
              <w:rPr>
                <w:lang w:val="en-US"/>
              </w:rPr>
              <w:t xml:space="preserve"> fusion-positive advanced NSCLC</w:t>
            </w:r>
          </w:p>
        </w:tc>
        <w:tc>
          <w:tcPr>
            <w:tcW w:w="0" w:type="auto"/>
            <w:vMerge w:val="restart"/>
            <w:shd w:val="clear" w:color="auto" w:fill="B8CCE4" w:themeFill="accent1" w:themeFillTint="66"/>
          </w:tcPr>
          <w:p w14:paraId="5C279E11" w14:textId="77777777" w:rsidR="008808F1" w:rsidRPr="00E2771E" w:rsidRDefault="008808F1">
            <w:pPr>
              <w:pStyle w:val="TableText0"/>
              <w:rPr>
                <w:lang w:val="en-US"/>
              </w:rPr>
            </w:pPr>
            <w:r w:rsidRPr="007A4D55">
              <w:rPr>
                <w:szCs w:val="20"/>
              </w:rPr>
              <w:t>ORR, PFS, OS, TTD</w:t>
            </w:r>
          </w:p>
        </w:tc>
        <w:tc>
          <w:tcPr>
            <w:tcW w:w="0" w:type="auto"/>
            <w:vMerge w:val="restart"/>
            <w:shd w:val="clear" w:color="auto" w:fill="B8CCE4" w:themeFill="accent1" w:themeFillTint="66"/>
          </w:tcPr>
          <w:p w14:paraId="76E7C86A" w14:textId="77777777" w:rsidR="008808F1" w:rsidRDefault="008808F1">
            <w:pPr>
              <w:pStyle w:val="TableText0"/>
              <w:rPr>
                <w:lang w:val="en-US"/>
              </w:rPr>
            </w:pPr>
            <w:r>
              <w:rPr>
                <w:lang w:val="en-US"/>
              </w:rPr>
              <w:t xml:space="preserve">Yes </w:t>
            </w:r>
          </w:p>
          <w:p w14:paraId="35008D55" w14:textId="77777777" w:rsidR="008808F1" w:rsidRPr="00E2771E" w:rsidRDefault="008808F1">
            <w:pPr>
              <w:pStyle w:val="TableText0"/>
              <w:rPr>
                <w:lang w:val="en-US"/>
              </w:rPr>
            </w:pPr>
            <w:r w:rsidRPr="009B1E85">
              <w:t>(</w:t>
            </w:r>
            <w:r w:rsidRPr="00656B61">
              <w:t>15 June 2021</w:t>
            </w:r>
            <w:r>
              <w:t xml:space="preserve"> </w:t>
            </w:r>
            <w:r w:rsidRPr="009B1E85">
              <w:t>data-cut)</w:t>
            </w:r>
          </w:p>
        </w:tc>
      </w:tr>
      <w:tr w:rsidR="008808F1" w:rsidRPr="00E2771E" w14:paraId="6EFFA7EA" w14:textId="77777777" w:rsidTr="00307994">
        <w:trPr>
          <w:cantSplit/>
        </w:trPr>
        <w:tc>
          <w:tcPr>
            <w:tcW w:w="1413" w:type="dxa"/>
            <w:vMerge/>
            <w:shd w:val="clear" w:color="auto" w:fill="B8CCE4" w:themeFill="accent1" w:themeFillTint="66"/>
          </w:tcPr>
          <w:p w14:paraId="083F2256" w14:textId="77777777" w:rsidR="008808F1" w:rsidRPr="009B1E85" w:rsidRDefault="008808F1">
            <w:pPr>
              <w:pStyle w:val="TableText0"/>
            </w:pPr>
          </w:p>
        </w:tc>
        <w:tc>
          <w:tcPr>
            <w:tcW w:w="1701" w:type="dxa"/>
            <w:vMerge/>
            <w:shd w:val="clear" w:color="auto" w:fill="B8CCE4" w:themeFill="accent1" w:themeFillTint="66"/>
          </w:tcPr>
          <w:p w14:paraId="7914F3C9" w14:textId="77777777" w:rsidR="008808F1" w:rsidRPr="009B1E85" w:rsidRDefault="008808F1">
            <w:pPr>
              <w:pStyle w:val="TableText0"/>
            </w:pPr>
          </w:p>
        </w:tc>
        <w:tc>
          <w:tcPr>
            <w:tcW w:w="1559" w:type="dxa"/>
            <w:shd w:val="clear" w:color="auto" w:fill="auto"/>
          </w:tcPr>
          <w:p w14:paraId="33D96F37" w14:textId="303A7599" w:rsidR="008808F1" w:rsidRDefault="008808F1">
            <w:pPr>
              <w:pStyle w:val="TableText0"/>
            </w:pPr>
            <w:r>
              <w:t xml:space="preserve">Median 31.1 months </w:t>
            </w:r>
            <w:r w:rsidRPr="009B1E85">
              <w:t>(13 January 2023 data-cut)</w:t>
            </w:r>
          </w:p>
        </w:tc>
        <w:tc>
          <w:tcPr>
            <w:tcW w:w="586" w:type="dxa"/>
            <w:vMerge/>
            <w:shd w:val="clear" w:color="auto" w:fill="B8CCE4" w:themeFill="accent1" w:themeFillTint="66"/>
          </w:tcPr>
          <w:p w14:paraId="378C5AEF" w14:textId="77777777" w:rsidR="008808F1" w:rsidRPr="007A7229" w:rsidRDefault="008808F1">
            <w:pPr>
              <w:pStyle w:val="TableText0"/>
              <w:rPr>
                <w:lang w:val="en-US"/>
              </w:rPr>
            </w:pPr>
          </w:p>
        </w:tc>
        <w:tc>
          <w:tcPr>
            <w:tcW w:w="0" w:type="auto"/>
            <w:vMerge/>
            <w:shd w:val="clear" w:color="auto" w:fill="B8CCE4" w:themeFill="accent1" w:themeFillTint="66"/>
          </w:tcPr>
          <w:p w14:paraId="1E896761" w14:textId="77777777" w:rsidR="008808F1" w:rsidRPr="00E2771E" w:rsidRDefault="008808F1">
            <w:pPr>
              <w:pStyle w:val="TableText0"/>
              <w:rPr>
                <w:lang w:val="en-US"/>
              </w:rPr>
            </w:pPr>
          </w:p>
        </w:tc>
        <w:tc>
          <w:tcPr>
            <w:tcW w:w="0" w:type="auto"/>
            <w:vMerge/>
            <w:shd w:val="clear" w:color="auto" w:fill="B8CCE4" w:themeFill="accent1" w:themeFillTint="66"/>
          </w:tcPr>
          <w:p w14:paraId="184FC4F0" w14:textId="77777777" w:rsidR="008808F1" w:rsidRPr="007A4D55" w:rsidRDefault="008808F1">
            <w:pPr>
              <w:pStyle w:val="TableText0"/>
              <w:rPr>
                <w:szCs w:val="20"/>
              </w:rPr>
            </w:pPr>
          </w:p>
        </w:tc>
        <w:tc>
          <w:tcPr>
            <w:tcW w:w="0" w:type="auto"/>
            <w:vMerge/>
            <w:shd w:val="clear" w:color="auto" w:fill="B8CCE4" w:themeFill="accent1" w:themeFillTint="66"/>
          </w:tcPr>
          <w:p w14:paraId="4742F6B7" w14:textId="77777777" w:rsidR="008808F1" w:rsidRDefault="008808F1">
            <w:pPr>
              <w:pStyle w:val="TableText0"/>
              <w:rPr>
                <w:lang w:val="en-US"/>
              </w:rPr>
            </w:pPr>
          </w:p>
        </w:tc>
      </w:tr>
      <w:tr w:rsidR="002D7804" w:rsidRPr="00E2771E" w14:paraId="778BEC2E" w14:textId="77777777">
        <w:trPr>
          <w:cantSplit/>
        </w:trPr>
        <w:tc>
          <w:tcPr>
            <w:tcW w:w="0" w:type="auto"/>
            <w:gridSpan w:val="7"/>
            <w:shd w:val="clear" w:color="auto" w:fill="auto"/>
          </w:tcPr>
          <w:p w14:paraId="791A0DAF" w14:textId="77777777" w:rsidR="002D7804" w:rsidRPr="007A7229" w:rsidRDefault="002D7804">
            <w:pPr>
              <w:pStyle w:val="TableText0"/>
              <w:rPr>
                <w:lang w:val="en-US"/>
              </w:rPr>
            </w:pPr>
            <w:r w:rsidRPr="007A7229">
              <w:rPr>
                <w:b/>
                <w:szCs w:val="20"/>
              </w:rPr>
              <w:t>Indirect comparison</w:t>
            </w:r>
          </w:p>
        </w:tc>
      </w:tr>
      <w:tr w:rsidR="00D0113B" w:rsidRPr="00E2771E" w14:paraId="5A6C5FB2" w14:textId="77777777" w:rsidTr="009903C4">
        <w:trPr>
          <w:cantSplit/>
        </w:trPr>
        <w:tc>
          <w:tcPr>
            <w:tcW w:w="1413" w:type="dxa"/>
            <w:shd w:val="clear" w:color="auto" w:fill="B8CCE4" w:themeFill="accent1" w:themeFillTint="66"/>
          </w:tcPr>
          <w:p w14:paraId="4DF0996B" w14:textId="77777777" w:rsidR="002D7804" w:rsidRPr="009B1E85" w:rsidRDefault="002D7804">
            <w:pPr>
              <w:pStyle w:val="TableText0"/>
            </w:pPr>
            <w:r>
              <w:t xml:space="preserve">KN-021 </w:t>
            </w:r>
            <w:r>
              <w:br/>
              <w:t>(Cohort G)</w:t>
            </w:r>
          </w:p>
        </w:tc>
        <w:tc>
          <w:tcPr>
            <w:tcW w:w="1701" w:type="dxa"/>
            <w:shd w:val="clear" w:color="auto" w:fill="B8CCE4" w:themeFill="accent1" w:themeFillTint="66"/>
          </w:tcPr>
          <w:p w14:paraId="223A8FB0" w14:textId="77777777" w:rsidR="002D7804" w:rsidRPr="007A4D55" w:rsidRDefault="002D7804">
            <w:pPr>
              <w:jc w:val="left"/>
              <w:rPr>
                <w:rFonts w:ascii="Arial Narrow" w:hAnsi="Arial Narrow"/>
                <w:sz w:val="20"/>
                <w:szCs w:val="20"/>
              </w:rPr>
            </w:pPr>
            <w:r w:rsidRPr="007A4D55">
              <w:rPr>
                <w:rFonts w:ascii="Arial Narrow" w:hAnsi="Arial Narrow"/>
                <w:sz w:val="20"/>
                <w:szCs w:val="20"/>
              </w:rPr>
              <w:t>Pembro</w:t>
            </w:r>
            <w:r>
              <w:rPr>
                <w:rFonts w:ascii="Arial Narrow" w:hAnsi="Arial Narrow"/>
                <w:sz w:val="20"/>
                <w:szCs w:val="20"/>
              </w:rPr>
              <w:t>lizumab</w:t>
            </w:r>
            <w:r w:rsidRPr="007A4D55">
              <w:rPr>
                <w:rFonts w:ascii="Arial Narrow" w:hAnsi="Arial Narrow"/>
                <w:sz w:val="20"/>
                <w:szCs w:val="20"/>
              </w:rPr>
              <w:t xml:space="preserve"> + PC: </w:t>
            </w:r>
          </w:p>
          <w:p w14:paraId="3BA72968" w14:textId="77777777" w:rsidR="002D7804" w:rsidRPr="007A4D55" w:rsidRDefault="002D7804">
            <w:pPr>
              <w:jc w:val="left"/>
              <w:rPr>
                <w:rFonts w:ascii="Arial Narrow" w:hAnsi="Arial Narrow"/>
                <w:sz w:val="20"/>
                <w:szCs w:val="20"/>
              </w:rPr>
            </w:pPr>
            <w:r w:rsidRPr="007A4D55">
              <w:rPr>
                <w:rFonts w:ascii="Arial Narrow" w:hAnsi="Arial Narrow"/>
                <w:sz w:val="20"/>
                <w:szCs w:val="20"/>
              </w:rPr>
              <w:t>60</w:t>
            </w:r>
          </w:p>
          <w:p w14:paraId="16EC45CA" w14:textId="77777777" w:rsidR="002D7804" w:rsidRPr="009B1E85" w:rsidRDefault="002D7804">
            <w:pPr>
              <w:pStyle w:val="TableText0"/>
            </w:pPr>
            <w:r w:rsidRPr="007A4D55">
              <w:rPr>
                <w:szCs w:val="20"/>
              </w:rPr>
              <w:t>PC alone: 63</w:t>
            </w:r>
          </w:p>
        </w:tc>
        <w:tc>
          <w:tcPr>
            <w:tcW w:w="1559" w:type="dxa"/>
            <w:shd w:val="clear" w:color="auto" w:fill="B8CCE4" w:themeFill="accent1" w:themeFillTint="66"/>
          </w:tcPr>
          <w:p w14:paraId="013E030B" w14:textId="77777777" w:rsidR="002D7804" w:rsidRPr="007A4D55" w:rsidRDefault="002D7804">
            <w:pPr>
              <w:jc w:val="left"/>
              <w:rPr>
                <w:rFonts w:ascii="Arial Narrow" w:hAnsi="Arial Narrow"/>
                <w:sz w:val="20"/>
                <w:szCs w:val="20"/>
              </w:rPr>
            </w:pPr>
            <w:r w:rsidRPr="007A4D55">
              <w:rPr>
                <w:rFonts w:ascii="Arial Narrow" w:hAnsi="Arial Narrow"/>
                <w:sz w:val="20"/>
                <w:szCs w:val="20"/>
              </w:rPr>
              <w:t xml:space="preserve">RCT, </w:t>
            </w:r>
            <w:r>
              <w:rPr>
                <w:rFonts w:ascii="Arial Narrow" w:hAnsi="Arial Narrow"/>
                <w:sz w:val="20"/>
                <w:szCs w:val="20"/>
              </w:rPr>
              <w:t>OL</w:t>
            </w:r>
          </w:p>
          <w:p w14:paraId="43077A5D" w14:textId="77777777" w:rsidR="002D7804" w:rsidRPr="009B1E85" w:rsidRDefault="002D7804">
            <w:pPr>
              <w:pStyle w:val="TableText0"/>
            </w:pPr>
            <w:r w:rsidRPr="007A4D55">
              <w:rPr>
                <w:szCs w:val="20"/>
              </w:rPr>
              <w:t xml:space="preserve">Median </w:t>
            </w:r>
            <w:r>
              <w:rPr>
                <w:szCs w:val="20"/>
              </w:rPr>
              <w:t>49.4</w:t>
            </w:r>
            <w:r w:rsidRPr="007A4D55">
              <w:rPr>
                <w:szCs w:val="20"/>
              </w:rPr>
              <w:t xml:space="preserve"> months</w:t>
            </w:r>
          </w:p>
        </w:tc>
        <w:tc>
          <w:tcPr>
            <w:tcW w:w="586" w:type="dxa"/>
            <w:shd w:val="clear" w:color="auto" w:fill="B8CCE4" w:themeFill="accent1" w:themeFillTint="66"/>
          </w:tcPr>
          <w:p w14:paraId="10EE1290" w14:textId="77777777" w:rsidR="002D7804" w:rsidRPr="007A7229" w:rsidRDefault="002D7804">
            <w:pPr>
              <w:pStyle w:val="TableText0"/>
              <w:rPr>
                <w:lang w:val="en-US"/>
              </w:rPr>
            </w:pPr>
            <w:r w:rsidRPr="007A7229">
              <w:rPr>
                <w:lang w:val="en-US"/>
              </w:rPr>
              <w:t>High</w:t>
            </w:r>
          </w:p>
        </w:tc>
        <w:tc>
          <w:tcPr>
            <w:tcW w:w="0" w:type="auto"/>
            <w:shd w:val="clear" w:color="auto" w:fill="B8CCE4" w:themeFill="accent1" w:themeFillTint="66"/>
          </w:tcPr>
          <w:p w14:paraId="184AD5E9" w14:textId="77777777" w:rsidR="002D7804" w:rsidRPr="00E2771E" w:rsidRDefault="002D7804">
            <w:pPr>
              <w:pStyle w:val="TableText0"/>
              <w:rPr>
                <w:lang w:val="en-US"/>
              </w:rPr>
            </w:pPr>
            <w:r w:rsidRPr="00F60B3A">
              <w:rPr>
                <w:lang w:val="en-US"/>
              </w:rPr>
              <w:t xml:space="preserve">Untreated NSQ Stage IV, </w:t>
            </w:r>
            <w:r w:rsidRPr="00BC5A69">
              <w:rPr>
                <w:i/>
                <w:iCs/>
                <w:lang w:val="en-US"/>
              </w:rPr>
              <w:t>EGFR</w:t>
            </w:r>
            <w:r w:rsidRPr="00F60B3A">
              <w:rPr>
                <w:lang w:val="en-US"/>
              </w:rPr>
              <w:t xml:space="preserve"> and </w:t>
            </w:r>
            <w:r w:rsidRPr="00EC6778">
              <w:rPr>
                <w:i/>
                <w:iCs/>
                <w:lang w:val="en-US"/>
              </w:rPr>
              <w:t xml:space="preserve">ALK </w:t>
            </w:r>
            <w:r w:rsidRPr="00F60B3A">
              <w:rPr>
                <w:lang w:val="en-US"/>
              </w:rPr>
              <w:t>negative</w:t>
            </w:r>
            <w:r>
              <w:rPr>
                <w:lang w:val="en-US"/>
              </w:rPr>
              <w:t xml:space="preserve"> </w:t>
            </w:r>
            <w:r w:rsidRPr="00F60B3A">
              <w:rPr>
                <w:lang w:val="en-US"/>
              </w:rPr>
              <w:t>NSCLC</w:t>
            </w:r>
          </w:p>
        </w:tc>
        <w:tc>
          <w:tcPr>
            <w:tcW w:w="0" w:type="auto"/>
            <w:shd w:val="clear" w:color="auto" w:fill="B8CCE4" w:themeFill="accent1" w:themeFillTint="66"/>
          </w:tcPr>
          <w:p w14:paraId="09FD1CF2" w14:textId="77777777" w:rsidR="002D7804" w:rsidRPr="007A4D55" w:rsidRDefault="002D7804">
            <w:pPr>
              <w:pStyle w:val="TableText0"/>
              <w:rPr>
                <w:szCs w:val="20"/>
              </w:rPr>
            </w:pPr>
            <w:r w:rsidRPr="007A4D55">
              <w:rPr>
                <w:szCs w:val="20"/>
              </w:rPr>
              <w:t>ORR, PFS,</w:t>
            </w:r>
            <w:r>
              <w:rPr>
                <w:szCs w:val="20"/>
              </w:rPr>
              <w:t xml:space="preserve"> </w:t>
            </w:r>
            <w:r w:rsidRPr="007A4D55">
              <w:rPr>
                <w:szCs w:val="20"/>
              </w:rPr>
              <w:t>OS</w:t>
            </w:r>
          </w:p>
        </w:tc>
        <w:tc>
          <w:tcPr>
            <w:tcW w:w="0" w:type="auto"/>
            <w:shd w:val="clear" w:color="auto" w:fill="B8CCE4" w:themeFill="accent1" w:themeFillTint="66"/>
          </w:tcPr>
          <w:p w14:paraId="4E4C2676" w14:textId="77777777" w:rsidR="002D7804" w:rsidRDefault="002D7804">
            <w:pPr>
              <w:pStyle w:val="TableText0"/>
              <w:rPr>
                <w:lang w:val="en-US"/>
              </w:rPr>
            </w:pPr>
            <w:r w:rsidRPr="007A4D55">
              <w:rPr>
                <w:szCs w:val="20"/>
              </w:rPr>
              <w:t>Yes</w:t>
            </w:r>
          </w:p>
        </w:tc>
      </w:tr>
      <w:tr w:rsidR="00D0113B" w:rsidRPr="00E2771E" w14:paraId="0CEE7F3B" w14:textId="77777777" w:rsidTr="009903C4">
        <w:trPr>
          <w:cantSplit/>
        </w:trPr>
        <w:tc>
          <w:tcPr>
            <w:tcW w:w="1413" w:type="dxa"/>
            <w:shd w:val="clear" w:color="auto" w:fill="B8CCE4" w:themeFill="accent1" w:themeFillTint="66"/>
          </w:tcPr>
          <w:p w14:paraId="0AA01FE9" w14:textId="77777777" w:rsidR="002D7804" w:rsidRPr="009B1E85" w:rsidRDefault="002D7804">
            <w:pPr>
              <w:pStyle w:val="TableText0"/>
            </w:pPr>
            <w:r w:rsidRPr="007A4D55">
              <w:rPr>
                <w:szCs w:val="20"/>
              </w:rPr>
              <w:t>KN-189</w:t>
            </w:r>
          </w:p>
        </w:tc>
        <w:tc>
          <w:tcPr>
            <w:tcW w:w="1701" w:type="dxa"/>
            <w:shd w:val="clear" w:color="auto" w:fill="B8CCE4" w:themeFill="accent1" w:themeFillTint="66"/>
          </w:tcPr>
          <w:p w14:paraId="3BF4E4DE" w14:textId="77777777" w:rsidR="002D7804" w:rsidRPr="007A4D55" w:rsidRDefault="002D7804">
            <w:pPr>
              <w:jc w:val="left"/>
              <w:rPr>
                <w:rFonts w:ascii="Arial Narrow" w:hAnsi="Arial Narrow"/>
                <w:sz w:val="20"/>
                <w:szCs w:val="20"/>
              </w:rPr>
            </w:pPr>
            <w:r w:rsidRPr="007A4D55">
              <w:rPr>
                <w:rFonts w:ascii="Arial Narrow" w:hAnsi="Arial Narrow"/>
                <w:sz w:val="20"/>
                <w:szCs w:val="20"/>
              </w:rPr>
              <w:t>Pembro</w:t>
            </w:r>
            <w:r>
              <w:rPr>
                <w:rFonts w:ascii="Arial Narrow" w:hAnsi="Arial Narrow"/>
                <w:sz w:val="20"/>
                <w:szCs w:val="20"/>
              </w:rPr>
              <w:t>lizumab</w:t>
            </w:r>
            <w:r w:rsidRPr="007A4D55">
              <w:rPr>
                <w:rFonts w:ascii="Arial Narrow" w:hAnsi="Arial Narrow"/>
                <w:sz w:val="20"/>
                <w:szCs w:val="20"/>
              </w:rPr>
              <w:t xml:space="preserve"> + PC:</w:t>
            </w:r>
            <w:r>
              <w:rPr>
                <w:rFonts w:ascii="Arial Narrow" w:hAnsi="Arial Narrow"/>
                <w:sz w:val="20"/>
                <w:szCs w:val="20"/>
              </w:rPr>
              <w:t xml:space="preserve"> </w:t>
            </w:r>
            <w:r w:rsidRPr="007A4D55">
              <w:rPr>
                <w:rFonts w:ascii="Arial Narrow" w:hAnsi="Arial Narrow"/>
                <w:sz w:val="20"/>
                <w:szCs w:val="20"/>
              </w:rPr>
              <w:t>410</w:t>
            </w:r>
          </w:p>
          <w:p w14:paraId="3CFCED78" w14:textId="77777777" w:rsidR="002D7804" w:rsidRPr="009B1E85" w:rsidRDefault="002D7804">
            <w:pPr>
              <w:pStyle w:val="TableText0"/>
            </w:pPr>
            <w:r w:rsidRPr="007A4D55">
              <w:rPr>
                <w:szCs w:val="20"/>
              </w:rPr>
              <w:t>Placebo + PC:</w:t>
            </w:r>
            <w:r>
              <w:rPr>
                <w:szCs w:val="20"/>
              </w:rPr>
              <w:t xml:space="preserve"> </w:t>
            </w:r>
            <w:r w:rsidRPr="007A4D55">
              <w:rPr>
                <w:szCs w:val="20"/>
              </w:rPr>
              <w:t>206</w:t>
            </w:r>
          </w:p>
        </w:tc>
        <w:tc>
          <w:tcPr>
            <w:tcW w:w="1559" w:type="dxa"/>
            <w:shd w:val="clear" w:color="auto" w:fill="B8CCE4" w:themeFill="accent1" w:themeFillTint="66"/>
          </w:tcPr>
          <w:p w14:paraId="4E2EDFBF" w14:textId="77777777" w:rsidR="002D7804" w:rsidRPr="007A4D55" w:rsidRDefault="002D7804">
            <w:pPr>
              <w:jc w:val="left"/>
              <w:rPr>
                <w:rFonts w:ascii="Arial Narrow" w:hAnsi="Arial Narrow"/>
                <w:sz w:val="20"/>
                <w:szCs w:val="20"/>
              </w:rPr>
            </w:pPr>
            <w:r w:rsidRPr="007A4D55">
              <w:rPr>
                <w:rFonts w:ascii="Arial Narrow" w:hAnsi="Arial Narrow"/>
                <w:sz w:val="20"/>
                <w:szCs w:val="20"/>
              </w:rPr>
              <w:t>RCT, DB</w:t>
            </w:r>
          </w:p>
          <w:p w14:paraId="774A8357" w14:textId="77777777" w:rsidR="002D7804" w:rsidRPr="009B1E85" w:rsidRDefault="002D7804">
            <w:pPr>
              <w:pStyle w:val="TableText0"/>
            </w:pPr>
            <w:r w:rsidRPr="007A4D55">
              <w:rPr>
                <w:szCs w:val="20"/>
              </w:rPr>
              <w:t>Median 31.0 months</w:t>
            </w:r>
          </w:p>
        </w:tc>
        <w:tc>
          <w:tcPr>
            <w:tcW w:w="586" w:type="dxa"/>
            <w:shd w:val="clear" w:color="auto" w:fill="B8CCE4" w:themeFill="accent1" w:themeFillTint="66"/>
          </w:tcPr>
          <w:p w14:paraId="009DA276" w14:textId="77777777" w:rsidR="002D7804" w:rsidRPr="007A7229" w:rsidRDefault="002D7804">
            <w:pPr>
              <w:pStyle w:val="TableText0"/>
              <w:rPr>
                <w:lang w:val="en-US"/>
              </w:rPr>
            </w:pPr>
            <w:r w:rsidRPr="007A7229">
              <w:rPr>
                <w:lang w:val="en-US"/>
              </w:rPr>
              <w:t>High</w:t>
            </w:r>
          </w:p>
        </w:tc>
        <w:tc>
          <w:tcPr>
            <w:tcW w:w="0" w:type="auto"/>
            <w:shd w:val="clear" w:color="auto" w:fill="B8CCE4" w:themeFill="accent1" w:themeFillTint="66"/>
          </w:tcPr>
          <w:p w14:paraId="3A6E341A" w14:textId="77777777" w:rsidR="002D7804" w:rsidRPr="00E2771E" w:rsidRDefault="002D7804">
            <w:pPr>
              <w:pStyle w:val="TableText0"/>
              <w:rPr>
                <w:lang w:val="en-US"/>
              </w:rPr>
            </w:pPr>
            <w:r w:rsidRPr="00F60B3A">
              <w:rPr>
                <w:lang w:val="en-US"/>
              </w:rPr>
              <w:t xml:space="preserve">Untreated NSQ Stage IV, </w:t>
            </w:r>
            <w:r w:rsidRPr="00BC5A69">
              <w:rPr>
                <w:i/>
                <w:iCs/>
                <w:lang w:val="en-US"/>
              </w:rPr>
              <w:t>EGFR</w:t>
            </w:r>
            <w:r w:rsidRPr="00F60B3A">
              <w:rPr>
                <w:lang w:val="en-US"/>
              </w:rPr>
              <w:t xml:space="preserve"> and </w:t>
            </w:r>
            <w:r w:rsidRPr="00EC6778">
              <w:rPr>
                <w:i/>
                <w:iCs/>
                <w:lang w:val="en-US"/>
              </w:rPr>
              <w:t xml:space="preserve">ALK </w:t>
            </w:r>
            <w:r w:rsidRPr="00F60B3A">
              <w:rPr>
                <w:lang w:val="en-US"/>
              </w:rPr>
              <w:t>negative</w:t>
            </w:r>
            <w:r>
              <w:rPr>
                <w:lang w:val="en-US"/>
              </w:rPr>
              <w:t xml:space="preserve"> </w:t>
            </w:r>
            <w:r w:rsidRPr="00F60B3A">
              <w:rPr>
                <w:lang w:val="en-US"/>
              </w:rPr>
              <w:t>NSCLC</w:t>
            </w:r>
          </w:p>
        </w:tc>
        <w:tc>
          <w:tcPr>
            <w:tcW w:w="0" w:type="auto"/>
            <w:shd w:val="clear" w:color="auto" w:fill="B8CCE4" w:themeFill="accent1" w:themeFillTint="66"/>
          </w:tcPr>
          <w:p w14:paraId="30D19BDE" w14:textId="77777777" w:rsidR="002D7804" w:rsidRPr="007A4D55" w:rsidRDefault="002D7804">
            <w:pPr>
              <w:pStyle w:val="TableText0"/>
              <w:rPr>
                <w:szCs w:val="20"/>
              </w:rPr>
            </w:pPr>
            <w:r w:rsidRPr="007A4D55">
              <w:rPr>
                <w:szCs w:val="20"/>
              </w:rPr>
              <w:t>ORR, PFS,</w:t>
            </w:r>
            <w:r>
              <w:rPr>
                <w:szCs w:val="20"/>
              </w:rPr>
              <w:t xml:space="preserve"> </w:t>
            </w:r>
            <w:r w:rsidRPr="007A4D55">
              <w:rPr>
                <w:szCs w:val="20"/>
              </w:rPr>
              <w:t>OS</w:t>
            </w:r>
          </w:p>
        </w:tc>
        <w:tc>
          <w:tcPr>
            <w:tcW w:w="0" w:type="auto"/>
            <w:shd w:val="clear" w:color="auto" w:fill="B8CCE4" w:themeFill="accent1" w:themeFillTint="66"/>
          </w:tcPr>
          <w:p w14:paraId="74557175" w14:textId="77777777" w:rsidR="002D7804" w:rsidRDefault="002D7804">
            <w:pPr>
              <w:pStyle w:val="TableText0"/>
              <w:rPr>
                <w:lang w:val="en-US"/>
              </w:rPr>
            </w:pPr>
            <w:r w:rsidRPr="007A4D55">
              <w:rPr>
                <w:szCs w:val="20"/>
              </w:rPr>
              <w:t>Yes</w:t>
            </w:r>
          </w:p>
        </w:tc>
      </w:tr>
      <w:tr w:rsidR="002D7804" w:rsidRPr="00E2771E" w14:paraId="223881A9" w14:textId="77777777">
        <w:trPr>
          <w:cantSplit/>
        </w:trPr>
        <w:tc>
          <w:tcPr>
            <w:tcW w:w="9017" w:type="dxa"/>
            <w:gridSpan w:val="7"/>
            <w:shd w:val="clear" w:color="auto" w:fill="auto"/>
          </w:tcPr>
          <w:p w14:paraId="3493B94D" w14:textId="77777777" w:rsidR="002D7804" w:rsidRPr="007A7229" w:rsidRDefault="002D7804">
            <w:pPr>
              <w:pStyle w:val="TableText0"/>
              <w:rPr>
                <w:szCs w:val="20"/>
              </w:rPr>
            </w:pPr>
            <w:r w:rsidRPr="007A7229">
              <w:rPr>
                <w:b/>
                <w:bCs w:val="0"/>
                <w:szCs w:val="20"/>
              </w:rPr>
              <w:t>Supplementary study</w:t>
            </w:r>
          </w:p>
        </w:tc>
      </w:tr>
      <w:tr w:rsidR="002D7804" w:rsidRPr="00E2771E" w14:paraId="29385BE4" w14:textId="77777777" w:rsidTr="00E2432E">
        <w:trPr>
          <w:cantSplit/>
        </w:trPr>
        <w:tc>
          <w:tcPr>
            <w:tcW w:w="1413" w:type="dxa"/>
            <w:shd w:val="clear" w:color="auto" w:fill="auto"/>
          </w:tcPr>
          <w:p w14:paraId="6CD2FD32" w14:textId="77777777" w:rsidR="002D7804" w:rsidRDefault="002D7804">
            <w:pPr>
              <w:pStyle w:val="TableText0"/>
              <w:rPr>
                <w:szCs w:val="20"/>
              </w:rPr>
            </w:pPr>
            <w:r>
              <w:rPr>
                <w:szCs w:val="20"/>
              </w:rPr>
              <w:t>RET:MAP</w:t>
            </w:r>
          </w:p>
        </w:tc>
        <w:tc>
          <w:tcPr>
            <w:tcW w:w="1701" w:type="dxa"/>
            <w:shd w:val="clear" w:color="auto" w:fill="auto"/>
          </w:tcPr>
          <w:p w14:paraId="754847F8" w14:textId="77777777" w:rsidR="002D7804" w:rsidRDefault="002D7804">
            <w:pPr>
              <w:jc w:val="left"/>
              <w:rPr>
                <w:rFonts w:ascii="Arial Narrow" w:hAnsi="Arial Narrow"/>
                <w:sz w:val="20"/>
                <w:szCs w:val="20"/>
              </w:rPr>
            </w:pPr>
            <w:r>
              <w:rPr>
                <w:rFonts w:ascii="Arial Narrow" w:hAnsi="Arial Narrow"/>
                <w:i/>
                <w:iCs/>
                <w:sz w:val="20"/>
                <w:szCs w:val="20"/>
              </w:rPr>
              <w:t>RET</w:t>
            </w:r>
            <w:r>
              <w:rPr>
                <w:rFonts w:ascii="Arial Narrow" w:hAnsi="Arial Narrow"/>
                <w:sz w:val="20"/>
                <w:szCs w:val="20"/>
              </w:rPr>
              <w:t xml:space="preserve"> inhibitor: 145</w:t>
            </w:r>
          </w:p>
          <w:p w14:paraId="70FDE901" w14:textId="77777777" w:rsidR="002D7804" w:rsidRPr="007A4D55" w:rsidRDefault="002D7804">
            <w:pPr>
              <w:jc w:val="left"/>
              <w:rPr>
                <w:rFonts w:ascii="Arial Narrow" w:hAnsi="Arial Narrow"/>
                <w:sz w:val="20"/>
                <w:szCs w:val="20"/>
              </w:rPr>
            </w:pPr>
            <w:r>
              <w:rPr>
                <w:rFonts w:ascii="Arial Narrow" w:hAnsi="Arial Narrow"/>
                <w:sz w:val="20"/>
                <w:szCs w:val="20"/>
              </w:rPr>
              <w:t xml:space="preserve">No </w:t>
            </w:r>
            <w:r>
              <w:rPr>
                <w:rFonts w:ascii="Arial Narrow" w:hAnsi="Arial Narrow"/>
                <w:i/>
                <w:iCs/>
                <w:sz w:val="20"/>
                <w:szCs w:val="20"/>
              </w:rPr>
              <w:t>RET</w:t>
            </w:r>
            <w:r>
              <w:rPr>
                <w:rFonts w:ascii="Arial Narrow" w:hAnsi="Arial Narrow"/>
                <w:sz w:val="20"/>
                <w:szCs w:val="20"/>
              </w:rPr>
              <w:t xml:space="preserve"> inhibitor: 60</w:t>
            </w:r>
          </w:p>
        </w:tc>
        <w:tc>
          <w:tcPr>
            <w:tcW w:w="1559" w:type="dxa"/>
            <w:shd w:val="clear" w:color="auto" w:fill="auto"/>
          </w:tcPr>
          <w:p w14:paraId="57E0CB91" w14:textId="77777777" w:rsidR="002D7804" w:rsidRDefault="002D7804">
            <w:pPr>
              <w:jc w:val="left"/>
              <w:rPr>
                <w:rFonts w:ascii="Arial Narrow" w:hAnsi="Arial Narrow"/>
                <w:sz w:val="20"/>
                <w:szCs w:val="20"/>
              </w:rPr>
            </w:pPr>
            <w:r>
              <w:rPr>
                <w:rFonts w:ascii="Arial Narrow" w:hAnsi="Arial Narrow"/>
                <w:sz w:val="20"/>
                <w:szCs w:val="20"/>
              </w:rPr>
              <w:t>Retrospective</w:t>
            </w:r>
          </w:p>
          <w:p w14:paraId="65EE4B6C" w14:textId="77777777" w:rsidR="002D7804" w:rsidRDefault="002D7804">
            <w:pPr>
              <w:jc w:val="left"/>
              <w:rPr>
                <w:rFonts w:ascii="Arial Narrow" w:hAnsi="Arial Narrow"/>
                <w:sz w:val="20"/>
                <w:szCs w:val="20"/>
              </w:rPr>
            </w:pPr>
            <w:r>
              <w:rPr>
                <w:rFonts w:ascii="Arial Narrow" w:hAnsi="Arial Narrow"/>
                <w:sz w:val="20"/>
                <w:szCs w:val="20"/>
              </w:rPr>
              <w:t>Median OS 50.6 months</w:t>
            </w:r>
          </w:p>
          <w:p w14:paraId="01D04E99" w14:textId="77777777" w:rsidR="002D7804" w:rsidRPr="007A4D55" w:rsidRDefault="002D7804">
            <w:pPr>
              <w:jc w:val="left"/>
              <w:rPr>
                <w:rFonts w:ascii="Arial Narrow" w:hAnsi="Arial Narrow"/>
                <w:sz w:val="20"/>
                <w:szCs w:val="20"/>
              </w:rPr>
            </w:pPr>
            <w:r>
              <w:rPr>
                <w:rFonts w:ascii="Arial Narrow" w:hAnsi="Arial Narrow"/>
                <w:sz w:val="20"/>
                <w:szCs w:val="20"/>
              </w:rPr>
              <w:t>Median PFS 16.2 months</w:t>
            </w:r>
          </w:p>
        </w:tc>
        <w:tc>
          <w:tcPr>
            <w:tcW w:w="586" w:type="dxa"/>
            <w:shd w:val="clear" w:color="auto" w:fill="auto"/>
          </w:tcPr>
          <w:p w14:paraId="2F63E753" w14:textId="77777777" w:rsidR="002D7804" w:rsidRPr="007A7229" w:rsidRDefault="002D7804">
            <w:pPr>
              <w:pStyle w:val="TableText0"/>
              <w:rPr>
                <w:lang w:val="en-US"/>
              </w:rPr>
            </w:pPr>
            <w:r w:rsidRPr="007A7229">
              <w:rPr>
                <w:lang w:val="en-US"/>
              </w:rPr>
              <w:t>High</w:t>
            </w:r>
          </w:p>
        </w:tc>
        <w:tc>
          <w:tcPr>
            <w:tcW w:w="0" w:type="auto"/>
            <w:shd w:val="clear" w:color="auto" w:fill="auto"/>
          </w:tcPr>
          <w:p w14:paraId="26AE2749" w14:textId="77777777" w:rsidR="002D7804" w:rsidRPr="00F60B3A" w:rsidRDefault="002D7804">
            <w:pPr>
              <w:pStyle w:val="TableText0"/>
              <w:rPr>
                <w:lang w:val="en-US"/>
              </w:rPr>
            </w:pPr>
            <w:r>
              <w:rPr>
                <w:lang w:val="en-US"/>
              </w:rPr>
              <w:t>A</w:t>
            </w:r>
            <w:r w:rsidRPr="00DB0C16">
              <w:rPr>
                <w:lang w:val="en-US"/>
              </w:rPr>
              <w:t xml:space="preserve">dvanced </w:t>
            </w:r>
            <w:r w:rsidRPr="00A9296C">
              <w:rPr>
                <w:i/>
                <w:lang w:val="en-US"/>
              </w:rPr>
              <w:t>RET</w:t>
            </w:r>
            <w:r w:rsidRPr="00DB0C16">
              <w:rPr>
                <w:lang w:val="en-US"/>
              </w:rPr>
              <w:t xml:space="preserve"> fusion-positive NSCLC who received treatment with </w:t>
            </w:r>
            <w:r w:rsidRPr="00A9296C">
              <w:rPr>
                <w:i/>
                <w:lang w:val="en-US"/>
              </w:rPr>
              <w:t>RET</w:t>
            </w:r>
            <w:r w:rsidRPr="00DB0C16">
              <w:rPr>
                <w:lang w:val="en-US"/>
              </w:rPr>
              <w:t xml:space="preserve"> inhibitors</w:t>
            </w:r>
          </w:p>
        </w:tc>
        <w:tc>
          <w:tcPr>
            <w:tcW w:w="0" w:type="auto"/>
            <w:shd w:val="clear" w:color="auto" w:fill="auto"/>
          </w:tcPr>
          <w:p w14:paraId="0225D49E" w14:textId="77777777" w:rsidR="002D7804" w:rsidRPr="007A4D55" w:rsidRDefault="002D7804">
            <w:pPr>
              <w:jc w:val="left"/>
              <w:rPr>
                <w:rFonts w:ascii="Arial Narrow" w:hAnsi="Arial Narrow"/>
                <w:sz w:val="20"/>
                <w:szCs w:val="20"/>
              </w:rPr>
            </w:pPr>
            <w:r>
              <w:rPr>
                <w:rFonts w:ascii="Arial Narrow" w:hAnsi="Arial Narrow"/>
                <w:sz w:val="20"/>
                <w:szCs w:val="20"/>
              </w:rPr>
              <w:t>OS, ORR</w:t>
            </w:r>
          </w:p>
        </w:tc>
        <w:tc>
          <w:tcPr>
            <w:tcW w:w="0" w:type="auto"/>
            <w:shd w:val="clear" w:color="auto" w:fill="auto"/>
          </w:tcPr>
          <w:p w14:paraId="005A749D" w14:textId="77777777" w:rsidR="002D7804" w:rsidRPr="007A4D55" w:rsidRDefault="002D7804">
            <w:pPr>
              <w:pStyle w:val="TableText0"/>
              <w:rPr>
                <w:szCs w:val="20"/>
              </w:rPr>
            </w:pPr>
            <w:r>
              <w:rPr>
                <w:szCs w:val="20"/>
              </w:rPr>
              <w:t>No</w:t>
            </w:r>
          </w:p>
        </w:tc>
      </w:tr>
    </w:tbl>
    <w:p w14:paraId="722A14C8" w14:textId="77777777" w:rsidR="002D7804" w:rsidRDefault="002D7804" w:rsidP="002D7804">
      <w:pPr>
        <w:pStyle w:val="FooterTableFigure"/>
      </w:pPr>
      <w:r>
        <w:t xml:space="preserve">Source: Section 2 of the resubmission; section 2 of the July 2023 submission; </w:t>
      </w:r>
      <w:r w:rsidRPr="00387F0F">
        <w:t>Table JZJC.8.11</w:t>
      </w:r>
      <w:r>
        <w:t>, p195 of the LIBRETTO 431 CSR.</w:t>
      </w:r>
    </w:p>
    <w:p w14:paraId="536C403B" w14:textId="2988D8D5" w:rsidR="002D7804" w:rsidRDefault="002D7804" w:rsidP="002D7804">
      <w:pPr>
        <w:pStyle w:val="FooterTableFigure"/>
        <w:spacing w:after="0"/>
      </w:pPr>
      <w:r w:rsidRPr="000152E5">
        <w:rPr>
          <w:i/>
          <w:iCs/>
        </w:rPr>
        <w:t>ALK</w:t>
      </w:r>
      <w:r>
        <w:rPr>
          <w:i/>
          <w:iCs/>
        </w:rPr>
        <w:t xml:space="preserve"> </w:t>
      </w:r>
      <w:r>
        <w:t xml:space="preserve"> =  </w:t>
      </w:r>
      <w:r w:rsidRPr="00962499">
        <w:t>anaplastic lymphoma kinase</w:t>
      </w:r>
      <w:r w:rsidRPr="00F13980">
        <w:t>;</w:t>
      </w:r>
      <w:r w:rsidRPr="00962499">
        <w:t xml:space="preserve"> </w:t>
      </w:r>
      <w:r>
        <w:t xml:space="preserve">BICR = blinded independent central review; </w:t>
      </w:r>
      <w:r w:rsidRPr="00962499">
        <w:t>DB</w:t>
      </w:r>
      <w:r>
        <w:t xml:space="preserve"> = </w:t>
      </w:r>
      <w:r w:rsidRPr="00962499">
        <w:t>double blind</w:t>
      </w:r>
      <w:r>
        <w:t>;</w:t>
      </w:r>
      <w:r w:rsidRPr="00962499">
        <w:t xml:space="preserve"> </w:t>
      </w:r>
      <w:r>
        <w:t xml:space="preserve">DCR = duration of complete response; DOR = duration of response; </w:t>
      </w:r>
      <w:r w:rsidRPr="008D313B">
        <w:rPr>
          <w:i/>
          <w:iCs/>
        </w:rPr>
        <w:t>EGFR</w:t>
      </w:r>
      <w:r>
        <w:t xml:space="preserve"> = </w:t>
      </w:r>
      <w:r w:rsidRPr="00962499">
        <w:t>epidermal growth factor rece</w:t>
      </w:r>
      <w:r>
        <w:t xml:space="preserve">ptor </w:t>
      </w:r>
      <w:r w:rsidRPr="00957E82">
        <w:t>(</w:t>
      </w:r>
      <w:r w:rsidRPr="00307994">
        <w:t>not reported for LIBRETTO-001</w:t>
      </w:r>
      <w:r w:rsidRPr="00957E82">
        <w:t>);</w:t>
      </w:r>
      <w:r>
        <w:t xml:space="preserve"> EORTC QLQ-C30 = </w:t>
      </w:r>
      <w:r w:rsidRPr="00177E8E">
        <w:t>the European Organization for the Research and Treatment of Cancer Quality of Life Questionnaire</w:t>
      </w:r>
      <w:r>
        <w:t xml:space="preserve">; </w:t>
      </w:r>
      <w:r w:rsidR="00BC5A69">
        <w:t xml:space="preserve">ITT = intention to treat; </w:t>
      </w:r>
      <w:r w:rsidRPr="00962499">
        <w:t>NSQ</w:t>
      </w:r>
      <w:r>
        <w:t xml:space="preserve"> = </w:t>
      </w:r>
      <w:r w:rsidRPr="00962499">
        <w:t>non-squamous; NSCLC</w:t>
      </w:r>
      <w:r>
        <w:t xml:space="preserve"> = </w:t>
      </w:r>
      <w:r w:rsidRPr="00962499">
        <w:t>non-small cell lung cancer; OL</w:t>
      </w:r>
      <w:r>
        <w:t xml:space="preserve"> = </w:t>
      </w:r>
      <w:r w:rsidRPr="00962499">
        <w:t xml:space="preserve">open label; </w:t>
      </w:r>
      <w:r w:rsidRPr="00F13980">
        <w:t>ORR</w:t>
      </w:r>
      <w:r>
        <w:t xml:space="preserve"> = </w:t>
      </w:r>
      <w:r w:rsidRPr="00F13980">
        <w:t>overall/objective response rate</w:t>
      </w:r>
      <w:r>
        <w:t>;</w:t>
      </w:r>
      <w:r w:rsidRPr="00962499">
        <w:t xml:space="preserve"> OS</w:t>
      </w:r>
      <w:r>
        <w:t xml:space="preserve"> = </w:t>
      </w:r>
      <w:r w:rsidRPr="00962499">
        <w:t>overall survival</w:t>
      </w:r>
      <w:r>
        <w:t>;</w:t>
      </w:r>
      <w:r w:rsidRPr="00962499">
        <w:t xml:space="preserve"> </w:t>
      </w:r>
      <w:r>
        <w:t xml:space="preserve">PC = pemetrexed plus platinum (cisplatin or carboplatin) chemotherapy; </w:t>
      </w:r>
      <w:r w:rsidRPr="00962499">
        <w:t>PFS</w:t>
      </w:r>
      <w:r>
        <w:t xml:space="preserve"> = p</w:t>
      </w:r>
      <w:r w:rsidRPr="00962499">
        <w:t>rogression</w:t>
      </w:r>
      <w:r>
        <w:t>-</w:t>
      </w:r>
      <w:r w:rsidRPr="00962499">
        <w:t>free survival;</w:t>
      </w:r>
      <w:r>
        <w:t xml:space="preserve"> </w:t>
      </w:r>
      <w:r w:rsidRPr="00962499">
        <w:t>R</w:t>
      </w:r>
      <w:r w:rsidR="00BC5A69">
        <w:t>CT</w:t>
      </w:r>
      <w:r>
        <w:t xml:space="preserve"> = </w:t>
      </w:r>
      <w:r w:rsidRPr="00962499">
        <w:t>randomised</w:t>
      </w:r>
      <w:r w:rsidR="00BC5A69">
        <w:t xml:space="preserve"> controlled trial</w:t>
      </w:r>
      <w:r w:rsidRPr="00962499">
        <w:t xml:space="preserve">; </w:t>
      </w:r>
      <w:r w:rsidRPr="007A0F47">
        <w:rPr>
          <w:i/>
        </w:rPr>
        <w:t>RET</w:t>
      </w:r>
      <w:r>
        <w:t xml:space="preserve"> = </w:t>
      </w:r>
      <w:r w:rsidRPr="006A31C4">
        <w:t>rearrange</w:t>
      </w:r>
      <w:r w:rsidRPr="006A31C4">
        <w:rPr>
          <w:szCs w:val="12"/>
        </w:rPr>
        <w:t>d during transfection</w:t>
      </w:r>
      <w:r w:rsidR="00BC5A69">
        <w:t>; TTD = time to treatment discontinuation</w:t>
      </w:r>
    </w:p>
    <w:p w14:paraId="7AE8EFC5" w14:textId="532C8682" w:rsidR="002D7804" w:rsidRDefault="002D7804" w:rsidP="002D7804">
      <w:pPr>
        <w:pStyle w:val="TableFigNotes18"/>
        <w:spacing w:before="0" w:after="0" w:line="240" w:lineRule="auto"/>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1 May 2023 data cutoff.</w:t>
      </w:r>
      <w:r>
        <w:br/>
      </w:r>
      <w:r w:rsidRPr="00FA4EE8">
        <w:rPr>
          <w:rFonts w:ascii="Arial Narrow" w:hAnsi="Arial Narrow"/>
          <w:sz w:val="18"/>
          <w:szCs w:val="18"/>
          <w:vertAlign w:val="superscript"/>
        </w:rPr>
        <w:t xml:space="preserve">b </w:t>
      </w:r>
      <w:r w:rsidRPr="1E66DA96">
        <w:rPr>
          <w:rFonts w:ascii="Arial Narrow" w:hAnsi="Arial Narrow"/>
          <w:sz w:val="18"/>
          <w:szCs w:val="18"/>
        </w:rPr>
        <w:t>No</w:t>
      </w:r>
      <w:r>
        <w:rPr>
          <w:rFonts w:ascii="Arial Narrow" w:hAnsi="Arial Narrow"/>
          <w:sz w:val="18"/>
          <w:szCs w:val="18"/>
        </w:rPr>
        <w:t xml:space="preserve"> prior cancer treatment for metastatic or advanced stage NSCLC. </w:t>
      </w:r>
    </w:p>
    <w:p w14:paraId="55435EB0" w14:textId="77777777" w:rsidR="002D7804" w:rsidRPr="00446694" w:rsidRDefault="002D7804" w:rsidP="002D7804">
      <w:pPr>
        <w:rPr>
          <w:lang w:eastAsia="en-US"/>
        </w:rPr>
      </w:pPr>
      <w:r>
        <w:rPr>
          <w:rFonts w:ascii="Arial Narrow" w:hAnsi="Arial Narrow"/>
          <w:sz w:val="18"/>
          <w:szCs w:val="18"/>
        </w:rPr>
        <w:t xml:space="preserve">Italics added during the evaluation. </w:t>
      </w:r>
    </w:p>
    <w:p w14:paraId="1494652D" w14:textId="77777777" w:rsidR="002D7804" w:rsidRDefault="002D7804" w:rsidP="00FC1A2E">
      <w:pPr>
        <w:pStyle w:val="TableFigNotes18"/>
        <w:spacing w:before="0" w:after="120" w:line="240" w:lineRule="auto"/>
        <w:rPr>
          <w:rFonts w:ascii="Arial Narrow" w:hAnsi="Arial Narrow"/>
          <w:sz w:val="18"/>
          <w:szCs w:val="22"/>
        </w:rPr>
      </w:pPr>
      <w:r w:rsidRPr="009D3116">
        <w:rPr>
          <w:rFonts w:ascii="Arial Narrow" w:hAnsi="Arial Narrow"/>
          <w:sz w:val="18"/>
          <w:szCs w:val="22"/>
          <w:shd w:val="clear" w:color="auto" w:fill="B8CCE4" w:themeFill="accent1" w:themeFillTint="66"/>
        </w:rPr>
        <w:t>Blue shading</w:t>
      </w:r>
      <w:r w:rsidRPr="009D3116">
        <w:rPr>
          <w:rFonts w:ascii="Arial Narrow" w:hAnsi="Arial Narrow"/>
          <w:sz w:val="18"/>
          <w:szCs w:val="22"/>
        </w:rPr>
        <w:t xml:space="preserve"> indicates data previously considered by the PBAC.</w:t>
      </w:r>
    </w:p>
    <w:p w14:paraId="1BFA1DA8" w14:textId="5714232E" w:rsidR="002D7804" w:rsidRPr="009019A6" w:rsidRDefault="002D7804" w:rsidP="002D7804">
      <w:pPr>
        <w:pStyle w:val="3-BodyText"/>
      </w:pPr>
      <w:r>
        <w:t xml:space="preserve">The LIBRETTO-431 trial was a global, multicentre, randomised, open-label, controlled, phase III study comparing selpercatinib to pemetrexed plus platinum-based </w:t>
      </w:r>
      <w:r>
        <w:lastRenderedPageBreak/>
        <w:t xml:space="preserve">chemotherapy (carboplatin or cisplatin) with or without pembrolizumab in </w:t>
      </w:r>
      <w:r w:rsidR="00364C6C">
        <w:rPr>
          <w:snapToGrid/>
          <w:lang w:val="en-US"/>
        </w:rPr>
        <w:t>patients</w:t>
      </w:r>
      <w:r>
        <w:t xml:space="preserve"> with advanced or metastatic, </w:t>
      </w:r>
      <w:r w:rsidRPr="00A9296C">
        <w:rPr>
          <w:i/>
        </w:rPr>
        <w:t>RET</w:t>
      </w:r>
      <w:r>
        <w:t xml:space="preserve"> fusion-positive NSCLC. The LIBRETTO-431 trial commenced on 19 March 2020 and is ongoing. </w:t>
      </w:r>
    </w:p>
    <w:p w14:paraId="6550733F" w14:textId="19EFF584" w:rsidR="002D7804" w:rsidRDefault="006D5EFF" w:rsidP="002D7804">
      <w:pPr>
        <w:pStyle w:val="3-BodyText"/>
      </w:pPr>
      <w:r>
        <w:t xml:space="preserve">In the </w:t>
      </w:r>
      <w:r w:rsidR="002D7804">
        <w:t>LIBRETTO-431 trial</w:t>
      </w:r>
      <w:r>
        <w:t>,</w:t>
      </w:r>
      <w:r w:rsidR="002D7804">
        <w:t xml:space="preserve"> </w:t>
      </w:r>
      <w:r>
        <w:t xml:space="preserve">patients were </w:t>
      </w:r>
      <w:r w:rsidR="002D7804">
        <w:t xml:space="preserve">randomly assigned </w:t>
      </w:r>
      <w:r>
        <w:t xml:space="preserve">2:1 (initially </w:t>
      </w:r>
      <w:r w:rsidR="002D7804">
        <w:t>1:1</w:t>
      </w:r>
      <w:r>
        <w:t xml:space="preserve"> with protocol amended June 2020)</w:t>
      </w:r>
      <w:r w:rsidR="002D7804">
        <w:t xml:space="preserve"> to the selpercatinib arm or the pembrolizumab + PC arm, stratified based on:</w:t>
      </w:r>
    </w:p>
    <w:p w14:paraId="5A622116" w14:textId="77777777" w:rsidR="002D7804" w:rsidRDefault="002D7804" w:rsidP="00861BF1">
      <w:pPr>
        <w:pStyle w:val="ListParagraph"/>
        <w:numPr>
          <w:ilvl w:val="0"/>
          <w:numId w:val="10"/>
        </w:numPr>
        <w:snapToGrid w:val="0"/>
        <w:ind w:left="1134"/>
      </w:pPr>
      <w:r>
        <w:t>Geography (East Asia versus non-East Asia),</w:t>
      </w:r>
    </w:p>
    <w:p w14:paraId="019C23BC" w14:textId="77777777" w:rsidR="002D7804" w:rsidRDefault="002D7804" w:rsidP="00861BF1">
      <w:pPr>
        <w:pStyle w:val="ListParagraph"/>
        <w:numPr>
          <w:ilvl w:val="0"/>
          <w:numId w:val="10"/>
        </w:numPr>
        <w:snapToGrid w:val="0"/>
        <w:ind w:left="1134"/>
      </w:pPr>
      <w:r>
        <w:t>Brain metastases per investigator assessment (presence versus absence or unknown), and</w:t>
      </w:r>
    </w:p>
    <w:p w14:paraId="5E13957F" w14:textId="77777777" w:rsidR="002D7804" w:rsidRPr="00446694" w:rsidRDefault="002D7804" w:rsidP="00861BF1">
      <w:pPr>
        <w:pStyle w:val="ListParagraph"/>
        <w:numPr>
          <w:ilvl w:val="0"/>
          <w:numId w:val="10"/>
        </w:numPr>
        <w:snapToGrid w:val="0"/>
        <w:ind w:left="1134"/>
        <w:rPr>
          <w:lang w:eastAsia="en-US"/>
        </w:rPr>
      </w:pPr>
      <w:r>
        <w:t>W</w:t>
      </w:r>
      <w:r w:rsidRPr="005A185E">
        <w:t xml:space="preserve">hether the investigator intended to treat the </w:t>
      </w:r>
      <w:r>
        <w:t>participant</w:t>
      </w:r>
      <w:r w:rsidRPr="005A185E">
        <w:t xml:space="preserve"> with or without pembrolizumab (decision was made before treatment allocation).</w:t>
      </w:r>
    </w:p>
    <w:p w14:paraId="1F453CFC" w14:textId="7E59626F" w:rsidR="00A74C53" w:rsidRPr="007A7229" w:rsidRDefault="002D7804" w:rsidP="002D7804">
      <w:pPr>
        <w:pStyle w:val="3-BodyText"/>
      </w:pPr>
      <w:r w:rsidRPr="007A7229">
        <w:t xml:space="preserve">The LIBRETTO-431 trial </w:t>
      </w:r>
      <w:r w:rsidR="00A74C53" w:rsidRPr="007A7229">
        <w:t>had a high risk of bias as:</w:t>
      </w:r>
    </w:p>
    <w:p w14:paraId="305B1DCD" w14:textId="1D4C932B" w:rsidR="002D7804" w:rsidRPr="007A7229" w:rsidRDefault="00A74C53" w:rsidP="00861BF1">
      <w:pPr>
        <w:pStyle w:val="3-BodyText"/>
        <w:numPr>
          <w:ilvl w:val="1"/>
          <w:numId w:val="7"/>
        </w:numPr>
        <w:ind w:left="1134"/>
      </w:pPr>
      <w:r w:rsidRPr="007A7229">
        <w:t>The trial was</w:t>
      </w:r>
      <w:r w:rsidR="002D7804" w:rsidRPr="007A7229">
        <w:t xml:space="preserve"> open-label</w:t>
      </w:r>
      <w:r w:rsidRPr="007A7229">
        <w:t>,</w:t>
      </w:r>
      <w:r w:rsidR="002D7804" w:rsidRPr="007A7229">
        <w:t xml:space="preserve"> and so there was a high risk of bias for patient-reported outcomes</w:t>
      </w:r>
      <w:r w:rsidR="00957E82">
        <w:t xml:space="preserve"> such as quality of life</w:t>
      </w:r>
      <w:r w:rsidR="002D7804" w:rsidRPr="007A7229">
        <w:t>. To minimise bias, key primary and secondary endpoints were determined based on the assessment of a blinded independent central review (BICR).</w:t>
      </w:r>
      <w:r w:rsidRPr="007A7229">
        <w:t xml:space="preserve"> </w:t>
      </w:r>
    </w:p>
    <w:p w14:paraId="32931FA9" w14:textId="38170AC5" w:rsidR="002D7804" w:rsidRPr="007A7229" w:rsidRDefault="00190DFA" w:rsidP="00861BF1">
      <w:pPr>
        <w:pStyle w:val="3-BodyText"/>
        <w:numPr>
          <w:ilvl w:val="1"/>
          <w:numId w:val="7"/>
        </w:numPr>
        <w:ind w:left="1134"/>
      </w:pPr>
      <w:r w:rsidRPr="007A7229">
        <w:t>Overall,</w:t>
      </w:r>
      <w:r w:rsidR="002D7804" w:rsidRPr="007A7229">
        <w:t xml:space="preserve"> 75% of </w:t>
      </w:r>
      <w:r w:rsidR="00364C6C">
        <w:rPr>
          <w:snapToGrid/>
          <w:lang w:val="en-US"/>
        </w:rPr>
        <w:t>patients</w:t>
      </w:r>
      <w:r w:rsidR="00000F32">
        <w:t xml:space="preserve"> who discontinued treatment</w:t>
      </w:r>
      <w:r w:rsidR="002D7804" w:rsidRPr="007A7229">
        <w:t xml:space="preserve"> crossed over from the control arm to selpercatinib treatment </w:t>
      </w:r>
      <w:r w:rsidR="00000F32">
        <w:t xml:space="preserve">or a commercially available selective </w:t>
      </w:r>
      <w:r w:rsidR="00000F32">
        <w:rPr>
          <w:i/>
          <w:iCs/>
        </w:rPr>
        <w:t xml:space="preserve">RET </w:t>
      </w:r>
      <w:r w:rsidR="00000F32">
        <w:t xml:space="preserve">inhibitor (see paragraph </w:t>
      </w:r>
      <w:r w:rsidR="00000F32">
        <w:fldChar w:fldCharType="begin" w:fldLock="1"/>
      </w:r>
      <w:r w:rsidR="00000F32">
        <w:instrText xml:space="preserve"> REF _Ref169592048 \r \h </w:instrText>
      </w:r>
      <w:r w:rsidR="00000F32">
        <w:fldChar w:fldCharType="separate"/>
      </w:r>
      <w:r w:rsidR="00F979CE">
        <w:t>6.19</w:t>
      </w:r>
      <w:r w:rsidR="00000F32">
        <w:fldChar w:fldCharType="end"/>
      </w:r>
      <w:r w:rsidR="00000F32">
        <w:t>).</w:t>
      </w:r>
      <w:r w:rsidR="002D7804" w:rsidRPr="007A7229">
        <w:t xml:space="preserve"> Consequently, OS in the control arm was significantly confounded and likely to underestimate the comparative treatment effect of selpercatinib.</w:t>
      </w:r>
    </w:p>
    <w:p w14:paraId="2CDB966A" w14:textId="7853D569" w:rsidR="002D7804" w:rsidRPr="008808F1" w:rsidRDefault="002D7804" w:rsidP="008808F1">
      <w:pPr>
        <w:pStyle w:val="3-BodyText"/>
        <w:rPr>
          <w:i/>
          <w:iCs/>
        </w:rPr>
      </w:pPr>
      <w:r w:rsidDel="009019A6">
        <w:t xml:space="preserve">The resubmission </w:t>
      </w:r>
      <w:r>
        <w:t>only presented</w:t>
      </w:r>
      <w:r w:rsidDel="009019A6">
        <w:t xml:space="preserve"> the ITT-pembrolizumab population </w:t>
      </w:r>
      <w:r>
        <w:t>(</w:t>
      </w:r>
      <w:r w:rsidR="00364C6C">
        <w:t xml:space="preserve">patients </w:t>
      </w:r>
      <w:r>
        <w:t xml:space="preserve">where the investigator intended to treat the </w:t>
      </w:r>
      <w:r w:rsidR="00364C6C">
        <w:t xml:space="preserve">patient </w:t>
      </w:r>
      <w:r>
        <w:t>with pembrolizumab</w:t>
      </w:r>
      <w:r w:rsidDel="009019A6">
        <w:t xml:space="preserve"> </w:t>
      </w:r>
      <w:r>
        <w:t xml:space="preserve">if allocated to the pembrolizumab </w:t>
      </w:r>
      <w:r w:rsidRPr="004F22DD">
        <w:rPr>
          <w:rFonts w:cstheme="minorBidi"/>
        </w:rPr>
        <w:t>±</w:t>
      </w:r>
      <w:r w:rsidRPr="0092315C">
        <w:t xml:space="preserve"> PC</w:t>
      </w:r>
      <w:r w:rsidDel="00F033B9">
        <w:t xml:space="preserve"> </w:t>
      </w:r>
      <w:r>
        <w:t xml:space="preserve">arm) </w:t>
      </w:r>
      <w:r w:rsidDel="009019A6">
        <w:t>and not the ITT-population</w:t>
      </w:r>
      <w:r>
        <w:t xml:space="preserve"> (all </w:t>
      </w:r>
      <w:r w:rsidR="00364C6C">
        <w:t xml:space="preserve">patients </w:t>
      </w:r>
      <w:r>
        <w:t>whether or not they received pembrolizumab). The resubmission explained that this was because</w:t>
      </w:r>
      <w:r w:rsidDel="009019A6">
        <w:t xml:space="preserve"> </w:t>
      </w:r>
      <w:r>
        <w:t xml:space="preserve">pembrolizumab </w:t>
      </w:r>
      <w:r w:rsidRPr="004F22DD">
        <w:rPr>
          <w:rFonts w:cstheme="minorBidi"/>
        </w:rPr>
        <w:t>+</w:t>
      </w:r>
      <w:r w:rsidRPr="0092315C">
        <w:t xml:space="preserve"> PC</w:t>
      </w:r>
      <w:r w:rsidDel="00F033B9">
        <w:t xml:space="preserve"> </w:t>
      </w:r>
      <w:r w:rsidDel="009019A6">
        <w:t xml:space="preserve">is considered the </w:t>
      </w:r>
      <w:r w:rsidR="00FA7CEF">
        <w:t>standard of care</w:t>
      </w:r>
      <w:r w:rsidDel="009019A6">
        <w:t xml:space="preserve"> in many geographies. </w:t>
      </w:r>
      <w:r w:rsidRPr="007A7229">
        <w:rPr>
          <w:iCs/>
        </w:rPr>
        <w:t>While the ITT-pembrolizumab population was most relevant given the proposed comparator, the ITT-population would also capture the efficacy of selpercatinib in patients who would not have been treated with pembrolizumab. Furthermore, t</w:t>
      </w:r>
      <w:r w:rsidRPr="007A7229" w:rsidDel="009019A6">
        <w:rPr>
          <w:iCs/>
        </w:rPr>
        <w:t xml:space="preserve">his decreased the total available </w:t>
      </w:r>
      <w:r w:rsidRPr="007A7229">
        <w:rPr>
          <w:iCs/>
        </w:rPr>
        <w:t xml:space="preserve">sample size </w:t>
      </w:r>
      <w:r w:rsidRPr="007A7229" w:rsidDel="009019A6">
        <w:rPr>
          <w:iCs/>
        </w:rPr>
        <w:t>for analysis from 261 to 212, and increased uncertainty in the results.</w:t>
      </w:r>
      <w:r w:rsidR="007E1C32" w:rsidRPr="007A7229">
        <w:rPr>
          <w:iCs/>
        </w:rPr>
        <w:t xml:space="preserve"> </w:t>
      </w:r>
      <w:r w:rsidR="00A36432" w:rsidRPr="007A7229">
        <w:rPr>
          <w:iCs/>
        </w:rPr>
        <w:t xml:space="preserve">The </w:t>
      </w:r>
      <w:r w:rsidR="00D73F2E" w:rsidRPr="007A7229">
        <w:rPr>
          <w:iCs/>
        </w:rPr>
        <w:t xml:space="preserve">evaluation </w:t>
      </w:r>
      <w:r w:rsidR="000A3D39" w:rsidRPr="007A7229">
        <w:rPr>
          <w:iCs/>
        </w:rPr>
        <w:t>included the ITT-population for PFS and OS.</w:t>
      </w:r>
      <w:r w:rsidR="00364C6C">
        <w:rPr>
          <w:iCs/>
        </w:rPr>
        <w:t xml:space="preserve"> The pre-PBAC response stated that as pembrolizumab + PC was considered th</w:t>
      </w:r>
      <w:r w:rsidR="006D5EFF">
        <w:rPr>
          <w:iCs/>
        </w:rPr>
        <w:t>e</w:t>
      </w:r>
      <w:r w:rsidR="00364C6C">
        <w:rPr>
          <w:iCs/>
        </w:rPr>
        <w:t xml:space="preserve"> appropriate comparator in July 2023, the results of the ITT-</w:t>
      </w:r>
      <w:r w:rsidR="00AD0583">
        <w:rPr>
          <w:iCs/>
        </w:rPr>
        <w:t xml:space="preserve">pembrolizumab </w:t>
      </w:r>
      <w:r w:rsidR="00364C6C">
        <w:rPr>
          <w:iCs/>
        </w:rPr>
        <w:t>population were considered the pivotal evidence. Further, the pre-PBAC response noted that LIBRETTO-431 was powered to investigate outcomes in the ITT-</w:t>
      </w:r>
      <w:r w:rsidR="00AD0583">
        <w:rPr>
          <w:iCs/>
        </w:rPr>
        <w:t xml:space="preserve">pembrolizumab </w:t>
      </w:r>
      <w:r w:rsidR="00364C6C">
        <w:rPr>
          <w:iCs/>
        </w:rPr>
        <w:t>population.</w:t>
      </w:r>
    </w:p>
    <w:p w14:paraId="5F7DDB40" w14:textId="77777777" w:rsidR="00196C0C" w:rsidRDefault="00196C0C" w:rsidP="002D7804">
      <w:pPr>
        <w:pStyle w:val="4-SubsectionHeading"/>
      </w:pPr>
      <w:bookmarkStart w:id="31" w:name="_Toc22897641"/>
      <w:bookmarkStart w:id="32" w:name="_Toc167269746"/>
      <w:r>
        <w:br w:type="page"/>
      </w:r>
    </w:p>
    <w:p w14:paraId="7F2626A3" w14:textId="57D347FF" w:rsidR="002D7804" w:rsidRPr="00C9624D" w:rsidRDefault="002D7804" w:rsidP="002D7804">
      <w:pPr>
        <w:pStyle w:val="4-SubsectionHeading"/>
      </w:pPr>
      <w:r w:rsidRPr="00C9624D">
        <w:lastRenderedPageBreak/>
        <w:t>Comparative effectiveness</w:t>
      </w:r>
      <w:bookmarkEnd w:id="31"/>
      <w:bookmarkEnd w:id="32"/>
    </w:p>
    <w:p w14:paraId="75A53C03" w14:textId="4D4719FF" w:rsidR="002D7804" w:rsidRPr="00D602D5" w:rsidRDefault="002D7804" w:rsidP="002D7804">
      <w:pPr>
        <w:pStyle w:val="3-BodyText"/>
        <w:numPr>
          <w:ilvl w:val="0"/>
          <w:numId w:val="0"/>
        </w:numPr>
        <w:ind w:left="720" w:hanging="720"/>
        <w:rPr>
          <w:u w:val="single"/>
        </w:rPr>
      </w:pPr>
      <w:r w:rsidRPr="00D602D5">
        <w:rPr>
          <w:u w:val="single"/>
        </w:rPr>
        <w:t>LIBRETTO-431</w:t>
      </w:r>
    </w:p>
    <w:p w14:paraId="5EFC4895" w14:textId="247CA0CA" w:rsidR="002D7804" w:rsidRPr="00FD2076" w:rsidRDefault="002D7804" w:rsidP="002D7804">
      <w:pPr>
        <w:pStyle w:val="3-BodyText"/>
      </w:pPr>
      <w:r>
        <w:t>The survival outcomes PFS and OS for the ITT-pembrolizumab population and the ITT-</w:t>
      </w:r>
      <w:r w:rsidRPr="00D6094C">
        <w:t>population are summarised in</w:t>
      </w:r>
      <w:r w:rsidRPr="4018BE61">
        <w:rPr>
          <w:rFonts w:cstheme="minorBidi"/>
        </w:rPr>
        <w:t xml:space="preserve"> </w:t>
      </w:r>
      <w:r w:rsidRPr="4018BE61">
        <w:rPr>
          <w:rFonts w:cstheme="minorBidi"/>
          <w:b/>
        </w:rPr>
        <w:fldChar w:fldCharType="begin" w:fldLock="1"/>
      </w:r>
      <w:r w:rsidRPr="4018BE61">
        <w:rPr>
          <w:rFonts w:cstheme="minorBidi"/>
          <w:b/>
        </w:rPr>
        <w:instrText xml:space="preserve"> REF _Ref163891514 \h  \* MERGEFORMAT </w:instrText>
      </w:r>
      <w:r w:rsidRPr="4018BE61">
        <w:rPr>
          <w:rFonts w:cstheme="minorBidi"/>
          <w:b/>
        </w:rPr>
      </w:r>
      <w:r w:rsidRPr="4018BE61">
        <w:rPr>
          <w:rFonts w:cstheme="minorBidi"/>
          <w:b/>
        </w:rPr>
        <w:fldChar w:fldCharType="separate"/>
      </w:r>
      <w:r w:rsidR="00F979CE" w:rsidRPr="00F979CE">
        <w:rPr>
          <w:rStyle w:val="CommentReference"/>
          <w:rFonts w:asciiTheme="minorHAnsi" w:eastAsiaTheme="majorEastAsia" w:hAnsiTheme="minorHAnsi" w:cstheme="minorBidi"/>
          <w:b w:val="0"/>
          <w:sz w:val="24"/>
          <w:szCs w:val="24"/>
        </w:rPr>
        <w:t>Table 5</w:t>
      </w:r>
      <w:r w:rsidRPr="4018BE61">
        <w:rPr>
          <w:rFonts w:cstheme="minorBidi"/>
          <w:b/>
        </w:rPr>
        <w:fldChar w:fldCharType="end"/>
      </w:r>
      <w:r w:rsidRPr="4018BE61">
        <w:rPr>
          <w:rFonts w:cstheme="minorBidi"/>
          <w:b/>
        </w:rPr>
        <w:t>.</w:t>
      </w:r>
      <w:r w:rsidRPr="00D6094C">
        <w:t xml:space="preserve"> </w:t>
      </w:r>
      <w:r w:rsidRPr="00724431">
        <w:t>The corresponding</w:t>
      </w:r>
      <w:r w:rsidRPr="00D6094C">
        <w:t xml:space="preserve"> Kaplan-Meier curves</w:t>
      </w:r>
      <w:r w:rsidRPr="00FD2076">
        <w:t xml:space="preserve"> are presented in </w:t>
      </w:r>
      <w:r>
        <w:fldChar w:fldCharType="begin" w:fldLock="1"/>
      </w:r>
      <w:r>
        <w:instrText xml:space="preserve"> REF _Ref163891816 \h </w:instrText>
      </w:r>
      <w:r>
        <w:fldChar w:fldCharType="separate"/>
      </w:r>
      <w:r w:rsidR="00F979CE">
        <w:t xml:space="preserve">Figure </w:t>
      </w:r>
      <w:r w:rsidR="00F979CE">
        <w:rPr>
          <w:noProof/>
        </w:rPr>
        <w:t>1</w:t>
      </w:r>
      <w:r>
        <w:fldChar w:fldCharType="end"/>
      </w:r>
      <w:r>
        <w:t xml:space="preserve"> </w:t>
      </w:r>
      <w:r w:rsidRPr="00FD2076">
        <w:t xml:space="preserve">and </w:t>
      </w:r>
      <w:r>
        <w:fldChar w:fldCharType="begin" w:fldLock="1"/>
      </w:r>
      <w:r>
        <w:instrText xml:space="preserve"> REF _Ref163891827 \h </w:instrText>
      </w:r>
      <w:r>
        <w:fldChar w:fldCharType="separate"/>
      </w:r>
      <w:r w:rsidR="00F979CE">
        <w:t xml:space="preserve">Figure </w:t>
      </w:r>
      <w:r w:rsidR="00F979CE">
        <w:rPr>
          <w:noProof/>
        </w:rPr>
        <w:t>2</w:t>
      </w:r>
      <w:r>
        <w:fldChar w:fldCharType="end"/>
      </w:r>
      <w:r w:rsidRPr="00FD2076">
        <w:t>.</w:t>
      </w:r>
    </w:p>
    <w:p w14:paraId="0F7961F6" w14:textId="1B35B0BC" w:rsidR="002D7804" w:rsidRPr="00D6076E" w:rsidRDefault="002D7804" w:rsidP="002D7804">
      <w:pPr>
        <w:pStyle w:val="Caption"/>
        <w:rPr>
          <w:rStyle w:val="CommentReference"/>
          <w:rFonts w:eastAsiaTheme="majorEastAsia" w:cstheme="majorBidi"/>
          <w:b/>
          <w:szCs w:val="24"/>
        </w:rPr>
      </w:pPr>
      <w:bookmarkStart w:id="33" w:name="_Ref163891514"/>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F979CE">
        <w:rPr>
          <w:rStyle w:val="CommentReference"/>
          <w:rFonts w:eastAsiaTheme="majorEastAsia" w:cstheme="majorBidi"/>
          <w:b/>
          <w:noProof/>
          <w:szCs w:val="24"/>
        </w:rPr>
        <w:t>5</w:t>
      </w:r>
      <w:r w:rsidRPr="00D6076E">
        <w:rPr>
          <w:rStyle w:val="CommentReference"/>
          <w:rFonts w:eastAsiaTheme="majorEastAsia" w:cstheme="majorBidi"/>
          <w:b/>
          <w:szCs w:val="24"/>
        </w:rPr>
        <w:fldChar w:fldCharType="end"/>
      </w:r>
      <w:bookmarkEnd w:id="33"/>
      <w:r w:rsidRPr="00D6076E">
        <w:rPr>
          <w:rStyle w:val="CommentReference"/>
          <w:rFonts w:eastAsiaTheme="majorEastAsia" w:cstheme="majorBidi"/>
          <w:b/>
          <w:szCs w:val="24"/>
        </w:rPr>
        <w:t xml:space="preserve">: Summary of survival outcomes in </w:t>
      </w:r>
      <w:r>
        <w:rPr>
          <w:rStyle w:val="CommentReference"/>
          <w:rFonts w:eastAsiaTheme="majorEastAsia" w:cstheme="majorBidi"/>
          <w:b/>
          <w:szCs w:val="24"/>
        </w:rPr>
        <w:t>LIBRETTO-431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Summary of survival outcomes in LIBRETTO-431 trial"/>
      </w:tblPr>
      <w:tblGrid>
        <w:gridCol w:w="3115"/>
        <w:gridCol w:w="1681"/>
        <w:gridCol w:w="1556"/>
        <w:gridCol w:w="1320"/>
        <w:gridCol w:w="1345"/>
      </w:tblGrid>
      <w:tr w:rsidR="002D7804" w:rsidRPr="00801948" w14:paraId="1C7E407D" w14:textId="77777777" w:rsidTr="00BC5A69">
        <w:trPr>
          <w:cantSplit/>
          <w:tblHeader/>
        </w:trPr>
        <w:tc>
          <w:tcPr>
            <w:tcW w:w="1727" w:type="pct"/>
            <w:tcMar>
              <w:left w:w="20" w:type="dxa"/>
              <w:right w:w="20" w:type="dxa"/>
            </w:tcMar>
            <w:vAlign w:val="center"/>
          </w:tcPr>
          <w:p w14:paraId="3EAFC813" w14:textId="77777777" w:rsidR="002D7804" w:rsidRPr="00801948" w:rsidRDefault="002D7804">
            <w:pPr>
              <w:pStyle w:val="In-tableHeading"/>
              <w:jc w:val="center"/>
              <w:rPr>
                <w:szCs w:val="20"/>
              </w:rPr>
            </w:pPr>
          </w:p>
        </w:tc>
        <w:tc>
          <w:tcPr>
            <w:tcW w:w="932" w:type="pct"/>
            <w:tcMar>
              <w:left w:w="20" w:type="dxa"/>
              <w:right w:w="20" w:type="dxa"/>
            </w:tcMar>
            <w:vAlign w:val="center"/>
          </w:tcPr>
          <w:p w14:paraId="789B5318" w14:textId="77777777" w:rsidR="002D7804" w:rsidRPr="00801948" w:rsidRDefault="002D7804">
            <w:pPr>
              <w:pStyle w:val="In-tableHeading"/>
              <w:jc w:val="center"/>
              <w:rPr>
                <w:szCs w:val="20"/>
              </w:rPr>
            </w:pPr>
            <w:r w:rsidRPr="00801948">
              <w:rPr>
                <w:szCs w:val="20"/>
              </w:rPr>
              <w:t xml:space="preserve">Selpercatinib </w:t>
            </w:r>
          </w:p>
        </w:tc>
        <w:tc>
          <w:tcPr>
            <w:tcW w:w="863" w:type="pct"/>
            <w:tcMar>
              <w:left w:w="20" w:type="dxa"/>
              <w:right w:w="20" w:type="dxa"/>
            </w:tcMar>
            <w:vAlign w:val="center"/>
          </w:tcPr>
          <w:p w14:paraId="79CFC9E2" w14:textId="77777777" w:rsidR="002D7804" w:rsidRPr="00801948" w:rsidRDefault="002D7804">
            <w:pPr>
              <w:pStyle w:val="In-tableHeading"/>
              <w:jc w:val="center"/>
              <w:rPr>
                <w:szCs w:val="20"/>
              </w:rPr>
            </w:pPr>
            <w:r w:rsidRPr="00801948">
              <w:rPr>
                <w:szCs w:val="20"/>
              </w:rPr>
              <w:t xml:space="preserve">Pembrolizumab ± PC </w:t>
            </w:r>
          </w:p>
        </w:tc>
        <w:tc>
          <w:tcPr>
            <w:tcW w:w="732" w:type="pct"/>
            <w:tcMar>
              <w:left w:w="20" w:type="dxa"/>
              <w:right w:w="20" w:type="dxa"/>
            </w:tcMar>
            <w:vAlign w:val="center"/>
          </w:tcPr>
          <w:p w14:paraId="3380E135" w14:textId="77777777" w:rsidR="002D7804" w:rsidRPr="00801948" w:rsidRDefault="002D7804">
            <w:pPr>
              <w:pStyle w:val="In-tableHeading"/>
              <w:jc w:val="center"/>
              <w:rPr>
                <w:szCs w:val="20"/>
              </w:rPr>
            </w:pPr>
            <w:r w:rsidRPr="00801948">
              <w:rPr>
                <w:szCs w:val="20"/>
              </w:rPr>
              <w:t>Absolute difference</w:t>
            </w:r>
          </w:p>
        </w:tc>
        <w:tc>
          <w:tcPr>
            <w:tcW w:w="746" w:type="pct"/>
            <w:tcMar>
              <w:left w:w="20" w:type="dxa"/>
              <w:right w:w="20" w:type="dxa"/>
            </w:tcMar>
            <w:vAlign w:val="center"/>
          </w:tcPr>
          <w:p w14:paraId="724C7CB3" w14:textId="2B14F63F" w:rsidR="002D7804" w:rsidRPr="00801948" w:rsidRDefault="002D7804">
            <w:pPr>
              <w:pStyle w:val="In-tableHeading"/>
              <w:jc w:val="center"/>
              <w:rPr>
                <w:szCs w:val="20"/>
              </w:rPr>
            </w:pPr>
            <w:r w:rsidRPr="00801948">
              <w:rPr>
                <w:szCs w:val="20"/>
              </w:rPr>
              <w:t xml:space="preserve">Hazard ratio </w:t>
            </w:r>
            <w:r w:rsidR="00957E82">
              <w:rPr>
                <w:szCs w:val="20"/>
              </w:rPr>
              <w:br/>
            </w:r>
            <w:r w:rsidRPr="00801948">
              <w:rPr>
                <w:szCs w:val="20"/>
              </w:rPr>
              <w:t>(95% CI)</w:t>
            </w:r>
          </w:p>
          <w:p w14:paraId="7B58E60B" w14:textId="77777777" w:rsidR="002D7804" w:rsidRPr="00801948" w:rsidRDefault="002D7804">
            <w:pPr>
              <w:pStyle w:val="In-tableHeading"/>
              <w:jc w:val="center"/>
              <w:rPr>
                <w:szCs w:val="20"/>
              </w:rPr>
            </w:pPr>
            <w:r w:rsidRPr="00801948">
              <w:rPr>
                <w:szCs w:val="20"/>
              </w:rPr>
              <w:t>P value</w:t>
            </w:r>
          </w:p>
        </w:tc>
      </w:tr>
      <w:tr w:rsidR="002D7804" w:rsidRPr="00801948" w14:paraId="77A0E5DA" w14:textId="77777777" w:rsidTr="002E1E88">
        <w:trPr>
          <w:cantSplit/>
        </w:trPr>
        <w:tc>
          <w:tcPr>
            <w:tcW w:w="5000" w:type="pct"/>
            <w:gridSpan w:val="5"/>
            <w:tcMar>
              <w:left w:w="20" w:type="dxa"/>
              <w:right w:w="20" w:type="dxa"/>
            </w:tcMar>
            <w:vAlign w:val="center"/>
          </w:tcPr>
          <w:p w14:paraId="327CC511" w14:textId="77777777" w:rsidR="002D7804" w:rsidRPr="00801948" w:rsidRDefault="002D7804">
            <w:pPr>
              <w:pStyle w:val="In-tableHeading"/>
              <w:rPr>
                <w:szCs w:val="20"/>
              </w:rPr>
            </w:pPr>
            <w:r w:rsidRPr="00801948">
              <w:rPr>
                <w:szCs w:val="20"/>
              </w:rPr>
              <w:t>Progression-free survival assessed by BICR</w:t>
            </w:r>
          </w:p>
        </w:tc>
      </w:tr>
      <w:tr w:rsidR="002D7804" w:rsidRPr="00801948" w14:paraId="5493BA20" w14:textId="77777777" w:rsidTr="002E1E88">
        <w:trPr>
          <w:cantSplit/>
        </w:trPr>
        <w:tc>
          <w:tcPr>
            <w:tcW w:w="5000" w:type="pct"/>
            <w:gridSpan w:val="5"/>
            <w:tcMar>
              <w:left w:w="20" w:type="dxa"/>
              <w:right w:w="20" w:type="dxa"/>
            </w:tcMar>
            <w:vAlign w:val="center"/>
          </w:tcPr>
          <w:p w14:paraId="729EE3BD" w14:textId="77777777" w:rsidR="002D7804" w:rsidRPr="00801948" w:rsidRDefault="002D7804">
            <w:pPr>
              <w:pStyle w:val="TableText0"/>
              <w:rPr>
                <w:szCs w:val="20"/>
              </w:rPr>
            </w:pPr>
            <w:r w:rsidRPr="00801948">
              <w:rPr>
                <w:szCs w:val="20"/>
              </w:rPr>
              <w:t>ITT-pembrolizumab population (+PC)</w:t>
            </w:r>
          </w:p>
        </w:tc>
      </w:tr>
      <w:tr w:rsidR="002D7804" w:rsidRPr="00801948" w14:paraId="10FF5BCB" w14:textId="77777777" w:rsidTr="00BC5A69">
        <w:trPr>
          <w:cantSplit/>
        </w:trPr>
        <w:tc>
          <w:tcPr>
            <w:tcW w:w="1727" w:type="pct"/>
            <w:tcMar>
              <w:left w:w="20" w:type="dxa"/>
              <w:right w:w="20" w:type="dxa"/>
            </w:tcMar>
            <w:vAlign w:val="center"/>
          </w:tcPr>
          <w:p w14:paraId="42585031" w14:textId="77777777" w:rsidR="002D7804" w:rsidRPr="00801948" w:rsidRDefault="002D7804">
            <w:pPr>
              <w:pStyle w:val="TableText0"/>
              <w:rPr>
                <w:szCs w:val="20"/>
              </w:rPr>
            </w:pPr>
            <w:r w:rsidRPr="00801948">
              <w:rPr>
                <w:szCs w:val="20"/>
              </w:rPr>
              <w:t>Events, n (%)</w:t>
            </w:r>
          </w:p>
        </w:tc>
        <w:tc>
          <w:tcPr>
            <w:tcW w:w="932" w:type="pct"/>
            <w:tcMar>
              <w:left w:w="20" w:type="dxa"/>
              <w:right w:w="20" w:type="dxa"/>
            </w:tcMar>
            <w:vAlign w:val="center"/>
          </w:tcPr>
          <w:p w14:paraId="51093739" w14:textId="77777777" w:rsidR="002D7804" w:rsidRPr="00801948" w:rsidRDefault="002D7804">
            <w:pPr>
              <w:pStyle w:val="TableText0"/>
              <w:jc w:val="center"/>
            </w:pPr>
            <w:r>
              <w:t>49/129 (37.9%)</w:t>
            </w:r>
          </w:p>
        </w:tc>
        <w:tc>
          <w:tcPr>
            <w:tcW w:w="863" w:type="pct"/>
            <w:tcMar>
              <w:left w:w="20" w:type="dxa"/>
              <w:right w:w="20" w:type="dxa"/>
            </w:tcMar>
            <w:vAlign w:val="center"/>
          </w:tcPr>
          <w:p w14:paraId="69987439" w14:textId="77777777" w:rsidR="002D7804" w:rsidRPr="00801948" w:rsidRDefault="002D7804">
            <w:pPr>
              <w:pStyle w:val="TableText0"/>
              <w:jc w:val="center"/>
            </w:pPr>
            <w:r>
              <w:t>49/83 (59.0%)</w:t>
            </w:r>
          </w:p>
        </w:tc>
        <w:tc>
          <w:tcPr>
            <w:tcW w:w="732" w:type="pct"/>
            <w:tcMar>
              <w:left w:w="20" w:type="dxa"/>
              <w:right w:w="20" w:type="dxa"/>
            </w:tcMar>
            <w:vAlign w:val="center"/>
          </w:tcPr>
          <w:p w14:paraId="18AFABD7" w14:textId="7F02359E" w:rsidR="002D7804" w:rsidRPr="00801948" w:rsidRDefault="00957E82">
            <w:pPr>
              <w:pStyle w:val="TableText0"/>
              <w:jc w:val="center"/>
              <w:rPr>
                <w:szCs w:val="20"/>
              </w:rPr>
            </w:pPr>
            <w:r>
              <w:rPr>
                <w:szCs w:val="20"/>
              </w:rPr>
              <w:t>-</w:t>
            </w:r>
          </w:p>
        </w:tc>
        <w:tc>
          <w:tcPr>
            <w:tcW w:w="746" w:type="pct"/>
            <w:vMerge w:val="restart"/>
            <w:tcMar>
              <w:left w:w="20" w:type="dxa"/>
              <w:right w:w="20" w:type="dxa"/>
            </w:tcMar>
            <w:vAlign w:val="center"/>
          </w:tcPr>
          <w:p w14:paraId="2660179F" w14:textId="6155131E" w:rsidR="002D7804" w:rsidRPr="00801948" w:rsidRDefault="002D7804">
            <w:pPr>
              <w:pStyle w:val="TableText0"/>
              <w:jc w:val="center"/>
              <w:rPr>
                <w:b/>
                <w:bCs w:val="0"/>
                <w:szCs w:val="20"/>
              </w:rPr>
            </w:pPr>
            <w:r w:rsidRPr="00801948">
              <w:rPr>
                <w:b/>
                <w:bCs w:val="0"/>
                <w:szCs w:val="20"/>
              </w:rPr>
              <w:t>0.465</w:t>
            </w:r>
            <w:r w:rsidR="00BE6790" w:rsidRPr="001A1717">
              <w:rPr>
                <w:sz w:val="18"/>
                <w:szCs w:val="18"/>
                <w:vertAlign w:val="superscript"/>
              </w:rPr>
              <w:t xml:space="preserve"> a</w:t>
            </w:r>
          </w:p>
          <w:p w14:paraId="4F76F14C" w14:textId="2C267348" w:rsidR="002D7804" w:rsidRPr="00E2432E" w:rsidRDefault="002D7804">
            <w:pPr>
              <w:pStyle w:val="TableText0"/>
              <w:jc w:val="center"/>
              <w:rPr>
                <w:b/>
                <w:bCs w:val="0"/>
                <w:szCs w:val="20"/>
              </w:rPr>
            </w:pPr>
            <w:r w:rsidRPr="00801948">
              <w:rPr>
                <w:szCs w:val="20"/>
              </w:rPr>
              <w:t>(0.309,0.699)</w:t>
            </w:r>
            <w:r w:rsidR="00BE6790" w:rsidRPr="0000132C">
              <w:rPr>
                <w:sz w:val="18"/>
                <w:szCs w:val="18"/>
                <w:vertAlign w:val="superscript"/>
              </w:rPr>
              <w:t xml:space="preserve"> b</w:t>
            </w:r>
          </w:p>
          <w:p w14:paraId="2113D5D7" w14:textId="5F2EF3F5" w:rsidR="002D7804" w:rsidRPr="00801948" w:rsidRDefault="002D7804">
            <w:pPr>
              <w:pStyle w:val="TableText0"/>
              <w:jc w:val="center"/>
              <w:rPr>
                <w:szCs w:val="20"/>
              </w:rPr>
            </w:pPr>
            <w:r w:rsidRPr="00801948">
              <w:rPr>
                <w:szCs w:val="20"/>
              </w:rPr>
              <w:t>P=0.0002</w:t>
            </w:r>
            <w:r w:rsidR="0000132C" w:rsidRPr="001A1717">
              <w:rPr>
                <w:sz w:val="18"/>
                <w:szCs w:val="18"/>
                <w:vertAlign w:val="superscript"/>
              </w:rPr>
              <w:t xml:space="preserve"> c</w:t>
            </w:r>
          </w:p>
        </w:tc>
      </w:tr>
      <w:tr w:rsidR="002D7804" w:rsidRPr="00801948" w14:paraId="03AEDF18" w14:textId="77777777" w:rsidTr="00BC5A69">
        <w:trPr>
          <w:cantSplit/>
        </w:trPr>
        <w:tc>
          <w:tcPr>
            <w:tcW w:w="1727" w:type="pct"/>
            <w:tcMar>
              <w:left w:w="20" w:type="dxa"/>
              <w:right w:w="20" w:type="dxa"/>
            </w:tcMar>
            <w:vAlign w:val="center"/>
          </w:tcPr>
          <w:p w14:paraId="2F71478D" w14:textId="77777777" w:rsidR="002D7804" w:rsidRPr="00801948" w:rsidRDefault="002D7804">
            <w:pPr>
              <w:pStyle w:val="TableText0"/>
              <w:rPr>
                <w:szCs w:val="20"/>
              </w:rPr>
            </w:pPr>
            <w:r w:rsidRPr="00801948">
              <w:rPr>
                <w:szCs w:val="20"/>
              </w:rPr>
              <w:t>Median PFS, months (95% CI)</w:t>
            </w:r>
          </w:p>
        </w:tc>
        <w:tc>
          <w:tcPr>
            <w:tcW w:w="932" w:type="pct"/>
            <w:tcMar>
              <w:left w:w="20" w:type="dxa"/>
              <w:right w:w="20" w:type="dxa"/>
            </w:tcMar>
            <w:vAlign w:val="center"/>
          </w:tcPr>
          <w:p w14:paraId="5750BBAC" w14:textId="3E2F2DAA" w:rsidR="002D7804" w:rsidRPr="00801948" w:rsidRDefault="002D7804" w:rsidP="00BC5A69">
            <w:pPr>
              <w:pStyle w:val="TableText0"/>
              <w:jc w:val="center"/>
              <w:rPr>
                <w:szCs w:val="20"/>
              </w:rPr>
            </w:pPr>
            <w:r w:rsidRPr="00801948">
              <w:rPr>
                <w:szCs w:val="20"/>
              </w:rPr>
              <w:t>24.84</w:t>
            </w:r>
            <w:r w:rsidR="00BC5A69">
              <w:rPr>
                <w:szCs w:val="20"/>
              </w:rPr>
              <w:t xml:space="preserve"> </w:t>
            </w:r>
            <w:r w:rsidRPr="00801948">
              <w:rPr>
                <w:szCs w:val="20"/>
              </w:rPr>
              <w:t>(16.89, NE)</w:t>
            </w:r>
          </w:p>
        </w:tc>
        <w:tc>
          <w:tcPr>
            <w:tcW w:w="863" w:type="pct"/>
            <w:tcMar>
              <w:left w:w="20" w:type="dxa"/>
              <w:right w:w="20" w:type="dxa"/>
            </w:tcMar>
            <w:vAlign w:val="center"/>
          </w:tcPr>
          <w:p w14:paraId="615054F4" w14:textId="460DE35D" w:rsidR="002D7804" w:rsidRPr="00801948" w:rsidRDefault="002D7804" w:rsidP="00BC5A69">
            <w:pPr>
              <w:pStyle w:val="TableText0"/>
              <w:jc w:val="center"/>
              <w:rPr>
                <w:szCs w:val="20"/>
              </w:rPr>
            </w:pPr>
            <w:r w:rsidRPr="00801948">
              <w:rPr>
                <w:szCs w:val="20"/>
              </w:rPr>
              <w:t>11.17</w:t>
            </w:r>
            <w:r w:rsidR="00BC5A69">
              <w:rPr>
                <w:szCs w:val="20"/>
              </w:rPr>
              <w:t xml:space="preserve"> </w:t>
            </w:r>
            <w:r w:rsidRPr="00801948">
              <w:rPr>
                <w:szCs w:val="20"/>
              </w:rPr>
              <w:t>(8.77, 16.76)</w:t>
            </w:r>
          </w:p>
        </w:tc>
        <w:tc>
          <w:tcPr>
            <w:tcW w:w="732" w:type="pct"/>
            <w:tcMar>
              <w:left w:w="20" w:type="dxa"/>
              <w:right w:w="20" w:type="dxa"/>
            </w:tcMar>
            <w:vAlign w:val="center"/>
          </w:tcPr>
          <w:p w14:paraId="61D7F226" w14:textId="77777777" w:rsidR="002D7804" w:rsidRPr="00801948" w:rsidRDefault="002D7804">
            <w:pPr>
              <w:pStyle w:val="TableText0"/>
              <w:jc w:val="center"/>
              <w:rPr>
                <w:szCs w:val="20"/>
              </w:rPr>
            </w:pPr>
            <w:r w:rsidRPr="00801948">
              <w:rPr>
                <w:szCs w:val="20"/>
              </w:rPr>
              <w:t>13.67 months</w:t>
            </w:r>
          </w:p>
        </w:tc>
        <w:tc>
          <w:tcPr>
            <w:tcW w:w="746" w:type="pct"/>
            <w:vMerge/>
            <w:tcMar>
              <w:left w:w="20" w:type="dxa"/>
              <w:right w:w="20" w:type="dxa"/>
            </w:tcMar>
            <w:vAlign w:val="center"/>
          </w:tcPr>
          <w:p w14:paraId="34719005" w14:textId="77777777" w:rsidR="002D7804" w:rsidRPr="00801948" w:rsidRDefault="002D7804">
            <w:pPr>
              <w:pStyle w:val="TableText0"/>
              <w:jc w:val="center"/>
              <w:rPr>
                <w:szCs w:val="20"/>
              </w:rPr>
            </w:pPr>
          </w:p>
        </w:tc>
      </w:tr>
      <w:tr w:rsidR="002D7804" w:rsidRPr="00801948" w14:paraId="1F9A83E0" w14:textId="77777777" w:rsidTr="00BC5A69">
        <w:trPr>
          <w:cantSplit/>
        </w:trPr>
        <w:tc>
          <w:tcPr>
            <w:tcW w:w="1727" w:type="pct"/>
            <w:tcMar>
              <w:left w:w="20" w:type="dxa"/>
              <w:right w:w="20" w:type="dxa"/>
            </w:tcMar>
          </w:tcPr>
          <w:p w14:paraId="66B155F0" w14:textId="77777777" w:rsidR="002D7804" w:rsidRPr="00801948" w:rsidRDefault="002D7804">
            <w:pPr>
              <w:pStyle w:val="TableText0"/>
              <w:rPr>
                <w:szCs w:val="20"/>
              </w:rPr>
            </w:pPr>
            <w:r w:rsidRPr="00801948">
              <w:rPr>
                <w:szCs w:val="20"/>
              </w:rPr>
              <w:t>% not progressed at 6 months</w:t>
            </w:r>
          </w:p>
        </w:tc>
        <w:tc>
          <w:tcPr>
            <w:tcW w:w="932" w:type="pct"/>
            <w:tcMar>
              <w:left w:w="20" w:type="dxa"/>
              <w:right w:w="20" w:type="dxa"/>
            </w:tcMar>
            <w:vAlign w:val="center"/>
          </w:tcPr>
          <w:p w14:paraId="3C3AB732" w14:textId="77777777" w:rsidR="002D7804" w:rsidRPr="00801948" w:rsidRDefault="002D7804">
            <w:pPr>
              <w:pStyle w:val="TableText0"/>
              <w:jc w:val="center"/>
              <w:rPr>
                <w:rFonts w:cs="Arial"/>
                <w:szCs w:val="20"/>
              </w:rPr>
            </w:pPr>
            <w:r w:rsidRPr="00801948">
              <w:rPr>
                <w:szCs w:val="20"/>
              </w:rPr>
              <w:t>87.2</w:t>
            </w:r>
            <w:r>
              <w:rPr>
                <w:szCs w:val="20"/>
              </w:rPr>
              <w:t xml:space="preserve"> </w:t>
            </w:r>
            <w:r w:rsidRPr="0072175E">
              <w:rPr>
                <w:szCs w:val="20"/>
              </w:rPr>
              <w:t>(80.0, 92.0)</w:t>
            </w:r>
          </w:p>
        </w:tc>
        <w:tc>
          <w:tcPr>
            <w:tcW w:w="863" w:type="pct"/>
            <w:tcMar>
              <w:left w:w="20" w:type="dxa"/>
              <w:right w:w="20" w:type="dxa"/>
            </w:tcMar>
            <w:vAlign w:val="center"/>
          </w:tcPr>
          <w:p w14:paraId="3392DF4B" w14:textId="77777777" w:rsidR="002D7804" w:rsidRPr="00801948" w:rsidRDefault="002D7804">
            <w:pPr>
              <w:pStyle w:val="TableText0"/>
              <w:jc w:val="center"/>
              <w:rPr>
                <w:rFonts w:cs="Arial"/>
                <w:szCs w:val="20"/>
              </w:rPr>
            </w:pPr>
            <w:r w:rsidRPr="00801948">
              <w:rPr>
                <w:szCs w:val="20"/>
              </w:rPr>
              <w:t>72.1</w:t>
            </w:r>
            <w:r>
              <w:rPr>
                <w:szCs w:val="20"/>
              </w:rPr>
              <w:t xml:space="preserve"> </w:t>
            </w:r>
            <w:r w:rsidRPr="005B18EB">
              <w:rPr>
                <w:szCs w:val="20"/>
              </w:rPr>
              <w:t>(60.8, 80.7)</w:t>
            </w:r>
          </w:p>
        </w:tc>
        <w:tc>
          <w:tcPr>
            <w:tcW w:w="732" w:type="pct"/>
            <w:tcMar>
              <w:left w:w="20" w:type="dxa"/>
              <w:right w:w="20" w:type="dxa"/>
            </w:tcMar>
            <w:vAlign w:val="center"/>
          </w:tcPr>
          <w:p w14:paraId="248D09D4" w14:textId="77777777" w:rsidR="002D7804" w:rsidRPr="00801948" w:rsidRDefault="002D7804">
            <w:pPr>
              <w:pStyle w:val="TableText0"/>
              <w:jc w:val="center"/>
              <w:rPr>
                <w:rFonts w:cs="Arial"/>
                <w:szCs w:val="20"/>
              </w:rPr>
            </w:pPr>
            <w:r w:rsidRPr="00705D95">
              <w:rPr>
                <w:rFonts w:cs="Arial"/>
                <w:szCs w:val="20"/>
              </w:rPr>
              <w:t>15.1</w:t>
            </w:r>
            <w:r>
              <w:rPr>
                <w:rFonts w:cs="Arial"/>
                <w:szCs w:val="20"/>
              </w:rPr>
              <w:t xml:space="preserve"> (</w:t>
            </w:r>
            <w:r w:rsidRPr="0000709F">
              <w:rPr>
                <w:rFonts w:cs="Arial"/>
                <w:szCs w:val="20"/>
              </w:rPr>
              <w:t>3.6, 26.6)</w:t>
            </w:r>
          </w:p>
        </w:tc>
        <w:tc>
          <w:tcPr>
            <w:tcW w:w="746" w:type="pct"/>
            <w:vMerge/>
            <w:tcMar>
              <w:left w:w="20" w:type="dxa"/>
              <w:right w:w="20" w:type="dxa"/>
            </w:tcMar>
            <w:vAlign w:val="center"/>
          </w:tcPr>
          <w:p w14:paraId="51BECBBA" w14:textId="77777777" w:rsidR="002D7804" w:rsidRPr="00801948" w:rsidDel="0061549B" w:rsidRDefault="002D7804">
            <w:pPr>
              <w:pStyle w:val="TableText0"/>
              <w:jc w:val="center"/>
              <w:rPr>
                <w:szCs w:val="20"/>
              </w:rPr>
            </w:pPr>
          </w:p>
        </w:tc>
      </w:tr>
      <w:tr w:rsidR="002D7804" w:rsidRPr="00801948" w14:paraId="7BF85C05" w14:textId="77777777" w:rsidTr="00BC5A69">
        <w:trPr>
          <w:cantSplit/>
        </w:trPr>
        <w:tc>
          <w:tcPr>
            <w:tcW w:w="1727" w:type="pct"/>
            <w:tcMar>
              <w:left w:w="20" w:type="dxa"/>
              <w:right w:w="20" w:type="dxa"/>
            </w:tcMar>
          </w:tcPr>
          <w:p w14:paraId="05C1F209" w14:textId="77777777" w:rsidR="002D7804" w:rsidRPr="00801948" w:rsidRDefault="002D7804">
            <w:pPr>
              <w:pStyle w:val="TableText0"/>
              <w:rPr>
                <w:szCs w:val="20"/>
              </w:rPr>
            </w:pPr>
            <w:r w:rsidRPr="00801948">
              <w:rPr>
                <w:szCs w:val="20"/>
              </w:rPr>
              <w:t>% not progressed at 30 months</w:t>
            </w:r>
          </w:p>
        </w:tc>
        <w:tc>
          <w:tcPr>
            <w:tcW w:w="932" w:type="pct"/>
            <w:tcMar>
              <w:left w:w="20" w:type="dxa"/>
              <w:right w:w="20" w:type="dxa"/>
            </w:tcMar>
            <w:vAlign w:val="center"/>
          </w:tcPr>
          <w:p w14:paraId="7C6EE595" w14:textId="77777777" w:rsidR="002D7804" w:rsidRPr="00801948" w:rsidRDefault="002D7804">
            <w:pPr>
              <w:pStyle w:val="TableText0"/>
              <w:jc w:val="center"/>
              <w:rPr>
                <w:szCs w:val="20"/>
              </w:rPr>
            </w:pPr>
            <w:r w:rsidRPr="00801948">
              <w:rPr>
                <w:szCs w:val="20"/>
              </w:rPr>
              <w:t>49.7</w:t>
            </w:r>
            <w:r>
              <w:rPr>
                <w:szCs w:val="20"/>
              </w:rPr>
              <w:t xml:space="preserve"> </w:t>
            </w:r>
            <w:r w:rsidRPr="00E66D12">
              <w:rPr>
                <w:szCs w:val="20"/>
              </w:rPr>
              <w:t>(36.6, 61.4)</w:t>
            </w:r>
          </w:p>
        </w:tc>
        <w:tc>
          <w:tcPr>
            <w:tcW w:w="863" w:type="pct"/>
            <w:tcMar>
              <w:left w:w="20" w:type="dxa"/>
              <w:right w:w="20" w:type="dxa"/>
            </w:tcMar>
            <w:vAlign w:val="center"/>
          </w:tcPr>
          <w:p w14:paraId="456A8CAD" w14:textId="77777777" w:rsidR="002D7804" w:rsidRPr="00801948" w:rsidRDefault="002D7804">
            <w:pPr>
              <w:pStyle w:val="TableText0"/>
              <w:jc w:val="center"/>
              <w:rPr>
                <w:szCs w:val="20"/>
              </w:rPr>
            </w:pPr>
            <w:r>
              <w:rPr>
                <w:szCs w:val="20"/>
              </w:rPr>
              <w:t>NE</w:t>
            </w:r>
          </w:p>
        </w:tc>
        <w:tc>
          <w:tcPr>
            <w:tcW w:w="732" w:type="pct"/>
            <w:tcMar>
              <w:left w:w="20" w:type="dxa"/>
              <w:right w:w="20" w:type="dxa"/>
            </w:tcMar>
            <w:vAlign w:val="center"/>
          </w:tcPr>
          <w:p w14:paraId="23A392F4" w14:textId="77777777" w:rsidR="002D7804" w:rsidRPr="00801948" w:rsidRDefault="002D7804">
            <w:pPr>
              <w:pStyle w:val="TableText0"/>
              <w:jc w:val="center"/>
              <w:rPr>
                <w:rFonts w:cs="Arial"/>
                <w:szCs w:val="20"/>
              </w:rPr>
            </w:pPr>
            <w:r>
              <w:rPr>
                <w:rFonts w:cs="Arial"/>
                <w:szCs w:val="20"/>
              </w:rPr>
              <w:t>NE</w:t>
            </w:r>
          </w:p>
        </w:tc>
        <w:tc>
          <w:tcPr>
            <w:tcW w:w="746" w:type="pct"/>
            <w:vMerge/>
            <w:tcMar>
              <w:left w:w="20" w:type="dxa"/>
              <w:right w:w="20" w:type="dxa"/>
            </w:tcMar>
            <w:vAlign w:val="center"/>
          </w:tcPr>
          <w:p w14:paraId="554966C4" w14:textId="77777777" w:rsidR="002D7804" w:rsidRPr="00801948" w:rsidDel="0061549B" w:rsidRDefault="002D7804">
            <w:pPr>
              <w:pStyle w:val="TableText0"/>
              <w:jc w:val="center"/>
              <w:rPr>
                <w:szCs w:val="20"/>
              </w:rPr>
            </w:pPr>
          </w:p>
        </w:tc>
      </w:tr>
      <w:tr w:rsidR="002D7804" w:rsidRPr="00801948" w14:paraId="4D70450C" w14:textId="77777777" w:rsidTr="002E1E88">
        <w:trPr>
          <w:cantSplit/>
        </w:trPr>
        <w:tc>
          <w:tcPr>
            <w:tcW w:w="5000" w:type="pct"/>
            <w:gridSpan w:val="5"/>
            <w:tcMar>
              <w:left w:w="20" w:type="dxa"/>
              <w:right w:w="20" w:type="dxa"/>
            </w:tcMar>
            <w:vAlign w:val="center"/>
          </w:tcPr>
          <w:p w14:paraId="01EF1E76" w14:textId="507EFDA6" w:rsidR="002D7804" w:rsidRPr="00801948" w:rsidRDefault="002D7804">
            <w:pPr>
              <w:pStyle w:val="TableText0"/>
              <w:rPr>
                <w:szCs w:val="20"/>
              </w:rPr>
            </w:pPr>
            <w:r w:rsidRPr="00801948">
              <w:rPr>
                <w:szCs w:val="20"/>
              </w:rPr>
              <w:t>ITT-population (±PC)</w:t>
            </w:r>
          </w:p>
        </w:tc>
      </w:tr>
      <w:tr w:rsidR="002D7804" w:rsidRPr="00801948" w14:paraId="17357429" w14:textId="77777777" w:rsidTr="00BC5A69">
        <w:trPr>
          <w:cantSplit/>
        </w:trPr>
        <w:tc>
          <w:tcPr>
            <w:tcW w:w="1727" w:type="pct"/>
            <w:tcMar>
              <w:left w:w="20" w:type="dxa"/>
              <w:right w:w="20" w:type="dxa"/>
            </w:tcMar>
            <w:vAlign w:val="center"/>
          </w:tcPr>
          <w:p w14:paraId="6715AF55" w14:textId="77777777" w:rsidR="002D7804" w:rsidRPr="00801948" w:rsidRDefault="002D7804">
            <w:pPr>
              <w:pStyle w:val="TableText0"/>
              <w:rPr>
                <w:szCs w:val="20"/>
              </w:rPr>
            </w:pPr>
            <w:r w:rsidRPr="00801948">
              <w:rPr>
                <w:szCs w:val="20"/>
              </w:rPr>
              <w:t>Events, n (%)</w:t>
            </w:r>
          </w:p>
        </w:tc>
        <w:tc>
          <w:tcPr>
            <w:tcW w:w="932" w:type="pct"/>
            <w:tcMar>
              <w:left w:w="20" w:type="dxa"/>
              <w:right w:w="20" w:type="dxa"/>
            </w:tcMar>
            <w:vAlign w:val="center"/>
          </w:tcPr>
          <w:p w14:paraId="45F435C8" w14:textId="77777777" w:rsidR="002D7804" w:rsidRPr="00801948" w:rsidRDefault="002D7804">
            <w:pPr>
              <w:pStyle w:val="TableText0"/>
              <w:jc w:val="center"/>
            </w:pPr>
            <w:r>
              <w:t>61/159 (38.4%)</w:t>
            </w:r>
          </w:p>
        </w:tc>
        <w:tc>
          <w:tcPr>
            <w:tcW w:w="863" w:type="pct"/>
            <w:tcMar>
              <w:left w:w="20" w:type="dxa"/>
              <w:right w:w="20" w:type="dxa"/>
            </w:tcMar>
            <w:vAlign w:val="center"/>
          </w:tcPr>
          <w:p w14:paraId="44C014B2" w14:textId="77777777" w:rsidR="002D7804" w:rsidRPr="00801948" w:rsidRDefault="002D7804">
            <w:pPr>
              <w:pStyle w:val="TableText0"/>
              <w:jc w:val="center"/>
            </w:pPr>
            <w:r>
              <w:t>57/102 (55.9%)</w:t>
            </w:r>
          </w:p>
        </w:tc>
        <w:tc>
          <w:tcPr>
            <w:tcW w:w="732" w:type="pct"/>
            <w:tcMar>
              <w:left w:w="20" w:type="dxa"/>
              <w:right w:w="20" w:type="dxa"/>
            </w:tcMar>
            <w:vAlign w:val="center"/>
          </w:tcPr>
          <w:p w14:paraId="17E6BEBE" w14:textId="61DAC41D" w:rsidR="002D7804" w:rsidRPr="00801948" w:rsidRDefault="00957E82">
            <w:pPr>
              <w:pStyle w:val="TableText0"/>
              <w:jc w:val="center"/>
              <w:rPr>
                <w:szCs w:val="20"/>
              </w:rPr>
            </w:pPr>
            <w:r>
              <w:rPr>
                <w:szCs w:val="20"/>
              </w:rPr>
              <w:t>-</w:t>
            </w:r>
          </w:p>
        </w:tc>
        <w:tc>
          <w:tcPr>
            <w:tcW w:w="746" w:type="pct"/>
            <w:vMerge w:val="restart"/>
            <w:tcMar>
              <w:left w:w="20" w:type="dxa"/>
              <w:right w:w="20" w:type="dxa"/>
            </w:tcMar>
            <w:vAlign w:val="center"/>
          </w:tcPr>
          <w:p w14:paraId="0A303CD8" w14:textId="58AEF711" w:rsidR="002D7804" w:rsidRPr="00801948" w:rsidRDefault="002D7804">
            <w:pPr>
              <w:pStyle w:val="TableText0"/>
              <w:jc w:val="center"/>
              <w:rPr>
                <w:b/>
                <w:bCs w:val="0"/>
                <w:szCs w:val="20"/>
              </w:rPr>
            </w:pPr>
            <w:r w:rsidRPr="00801948">
              <w:rPr>
                <w:b/>
                <w:bCs w:val="0"/>
                <w:szCs w:val="20"/>
              </w:rPr>
              <w:t>0.482</w:t>
            </w:r>
            <w:r w:rsidR="00BE6790" w:rsidRPr="001A1717">
              <w:rPr>
                <w:sz w:val="18"/>
                <w:szCs w:val="18"/>
                <w:vertAlign w:val="superscript"/>
              </w:rPr>
              <w:t xml:space="preserve"> a</w:t>
            </w:r>
          </w:p>
          <w:p w14:paraId="779AD852" w14:textId="5A226074" w:rsidR="002D7804" w:rsidRPr="00E2432E" w:rsidRDefault="002D7804">
            <w:pPr>
              <w:pStyle w:val="TableText0"/>
              <w:jc w:val="center"/>
              <w:rPr>
                <w:b/>
                <w:bCs w:val="0"/>
                <w:szCs w:val="20"/>
              </w:rPr>
            </w:pPr>
            <w:r w:rsidRPr="00801948">
              <w:rPr>
                <w:szCs w:val="20"/>
              </w:rPr>
              <w:t>(0.331, 0.700)</w:t>
            </w:r>
            <w:r w:rsidR="00BE6790" w:rsidRPr="001A1717">
              <w:rPr>
                <w:sz w:val="18"/>
                <w:szCs w:val="18"/>
                <w:vertAlign w:val="superscript"/>
              </w:rPr>
              <w:t xml:space="preserve"> b</w:t>
            </w:r>
          </w:p>
          <w:p w14:paraId="0A69C84A" w14:textId="7D8DD9B2" w:rsidR="002D7804" w:rsidRPr="00801948" w:rsidRDefault="002D7804">
            <w:pPr>
              <w:pStyle w:val="TableText0"/>
              <w:jc w:val="center"/>
              <w:rPr>
                <w:szCs w:val="20"/>
              </w:rPr>
            </w:pPr>
            <w:r w:rsidRPr="00801948">
              <w:rPr>
                <w:szCs w:val="20"/>
              </w:rPr>
              <w:t>P=0.0001</w:t>
            </w:r>
            <w:r w:rsidR="0000132C" w:rsidRPr="001A1717">
              <w:rPr>
                <w:sz w:val="18"/>
                <w:szCs w:val="18"/>
                <w:vertAlign w:val="superscript"/>
              </w:rPr>
              <w:t xml:space="preserve"> c</w:t>
            </w:r>
          </w:p>
        </w:tc>
      </w:tr>
      <w:tr w:rsidR="002D7804" w:rsidRPr="00801948" w14:paraId="202A45E9" w14:textId="77777777" w:rsidTr="00BC5A69">
        <w:trPr>
          <w:cantSplit/>
        </w:trPr>
        <w:tc>
          <w:tcPr>
            <w:tcW w:w="1727" w:type="pct"/>
            <w:tcMar>
              <w:left w:w="20" w:type="dxa"/>
              <w:right w:w="20" w:type="dxa"/>
            </w:tcMar>
            <w:vAlign w:val="center"/>
          </w:tcPr>
          <w:p w14:paraId="78B601FD" w14:textId="77777777" w:rsidR="002D7804" w:rsidRPr="00801948" w:rsidRDefault="002D7804">
            <w:pPr>
              <w:pStyle w:val="TableText0"/>
              <w:rPr>
                <w:szCs w:val="20"/>
              </w:rPr>
            </w:pPr>
            <w:r w:rsidRPr="00801948">
              <w:rPr>
                <w:szCs w:val="20"/>
              </w:rPr>
              <w:t>Median PFS, months (95% CI)</w:t>
            </w:r>
          </w:p>
        </w:tc>
        <w:tc>
          <w:tcPr>
            <w:tcW w:w="932" w:type="pct"/>
            <w:tcMar>
              <w:left w:w="20" w:type="dxa"/>
              <w:right w:w="20" w:type="dxa"/>
            </w:tcMar>
            <w:vAlign w:val="center"/>
          </w:tcPr>
          <w:p w14:paraId="6C8BDC56" w14:textId="60EA8F2B" w:rsidR="002D7804" w:rsidRPr="00801948" w:rsidRDefault="002D7804" w:rsidP="00BC5A69">
            <w:pPr>
              <w:pStyle w:val="TableText0"/>
              <w:jc w:val="center"/>
              <w:rPr>
                <w:szCs w:val="20"/>
              </w:rPr>
            </w:pPr>
            <w:r w:rsidRPr="00801948">
              <w:rPr>
                <w:szCs w:val="20"/>
              </w:rPr>
              <w:t>24.84</w:t>
            </w:r>
            <w:r w:rsidR="00BC5A69">
              <w:rPr>
                <w:szCs w:val="20"/>
              </w:rPr>
              <w:t xml:space="preserve"> </w:t>
            </w:r>
            <w:r w:rsidRPr="00801948">
              <w:rPr>
                <w:szCs w:val="20"/>
              </w:rPr>
              <w:t>(17.31, NE)</w:t>
            </w:r>
          </w:p>
        </w:tc>
        <w:tc>
          <w:tcPr>
            <w:tcW w:w="863" w:type="pct"/>
            <w:tcMar>
              <w:left w:w="20" w:type="dxa"/>
              <w:right w:w="20" w:type="dxa"/>
            </w:tcMar>
            <w:vAlign w:val="center"/>
          </w:tcPr>
          <w:p w14:paraId="6839F3C4" w14:textId="0AE0DB10" w:rsidR="002D7804" w:rsidRPr="00801948" w:rsidRDefault="002D7804" w:rsidP="00BC5A69">
            <w:pPr>
              <w:pStyle w:val="TableText0"/>
              <w:jc w:val="center"/>
              <w:rPr>
                <w:szCs w:val="20"/>
              </w:rPr>
            </w:pPr>
            <w:r w:rsidRPr="00801948">
              <w:rPr>
                <w:szCs w:val="20"/>
              </w:rPr>
              <w:t>11.17</w:t>
            </w:r>
            <w:r w:rsidR="00BC5A69">
              <w:rPr>
                <w:szCs w:val="20"/>
              </w:rPr>
              <w:t xml:space="preserve"> </w:t>
            </w:r>
            <w:r w:rsidRPr="00801948">
              <w:rPr>
                <w:szCs w:val="20"/>
              </w:rPr>
              <w:t>(8.77, 16.76)</w:t>
            </w:r>
          </w:p>
        </w:tc>
        <w:tc>
          <w:tcPr>
            <w:tcW w:w="732" w:type="pct"/>
            <w:tcMar>
              <w:left w:w="20" w:type="dxa"/>
              <w:right w:w="20" w:type="dxa"/>
            </w:tcMar>
            <w:vAlign w:val="center"/>
          </w:tcPr>
          <w:p w14:paraId="124990E7" w14:textId="2CF577D1" w:rsidR="002D7804" w:rsidRPr="00801948" w:rsidRDefault="002D7804">
            <w:pPr>
              <w:pStyle w:val="TableText0"/>
              <w:jc w:val="center"/>
              <w:rPr>
                <w:rFonts w:cs="Arial"/>
                <w:szCs w:val="20"/>
              </w:rPr>
            </w:pPr>
            <w:r w:rsidRPr="00801948">
              <w:rPr>
                <w:szCs w:val="20"/>
              </w:rPr>
              <w:t>13.67 months</w:t>
            </w:r>
          </w:p>
        </w:tc>
        <w:tc>
          <w:tcPr>
            <w:tcW w:w="746" w:type="pct"/>
            <w:vMerge/>
            <w:tcMar>
              <w:left w:w="20" w:type="dxa"/>
              <w:right w:w="20" w:type="dxa"/>
            </w:tcMar>
            <w:vAlign w:val="center"/>
          </w:tcPr>
          <w:p w14:paraId="2B48BA92" w14:textId="77777777" w:rsidR="002D7804" w:rsidRPr="00801948" w:rsidRDefault="002D7804">
            <w:pPr>
              <w:pStyle w:val="TableText0"/>
              <w:jc w:val="center"/>
              <w:rPr>
                <w:szCs w:val="20"/>
              </w:rPr>
            </w:pPr>
          </w:p>
        </w:tc>
      </w:tr>
      <w:tr w:rsidR="002D7804" w:rsidRPr="00801948" w14:paraId="38390427" w14:textId="77777777" w:rsidTr="00BC5A69">
        <w:trPr>
          <w:cantSplit/>
        </w:trPr>
        <w:tc>
          <w:tcPr>
            <w:tcW w:w="1727" w:type="pct"/>
            <w:tcMar>
              <w:left w:w="20" w:type="dxa"/>
              <w:right w:w="20" w:type="dxa"/>
            </w:tcMar>
          </w:tcPr>
          <w:p w14:paraId="10C8D171" w14:textId="77777777" w:rsidR="002D7804" w:rsidRPr="00801948" w:rsidRDefault="002D7804">
            <w:pPr>
              <w:pStyle w:val="TableText0"/>
              <w:rPr>
                <w:szCs w:val="20"/>
              </w:rPr>
            </w:pPr>
            <w:r w:rsidRPr="00801948">
              <w:rPr>
                <w:szCs w:val="20"/>
              </w:rPr>
              <w:t>% not progressed at 6 months</w:t>
            </w:r>
            <w:r>
              <w:rPr>
                <w:szCs w:val="20"/>
              </w:rPr>
              <w:t xml:space="preserve"> (95% CI)</w:t>
            </w:r>
          </w:p>
        </w:tc>
        <w:tc>
          <w:tcPr>
            <w:tcW w:w="932" w:type="pct"/>
            <w:tcMar>
              <w:left w:w="20" w:type="dxa"/>
              <w:right w:w="20" w:type="dxa"/>
            </w:tcMar>
            <w:vAlign w:val="center"/>
          </w:tcPr>
          <w:p w14:paraId="03178EB5" w14:textId="77777777" w:rsidR="002D7804" w:rsidRPr="00801948" w:rsidRDefault="002D7804">
            <w:pPr>
              <w:pStyle w:val="TableText0"/>
              <w:jc w:val="center"/>
              <w:rPr>
                <w:szCs w:val="20"/>
              </w:rPr>
            </w:pPr>
            <w:r w:rsidRPr="005766C8">
              <w:rPr>
                <w:szCs w:val="20"/>
              </w:rPr>
              <w:t>87.</w:t>
            </w:r>
            <w:r>
              <w:rPr>
                <w:szCs w:val="20"/>
              </w:rPr>
              <w:t xml:space="preserve">0 </w:t>
            </w:r>
            <w:r w:rsidRPr="00453BA8">
              <w:rPr>
                <w:szCs w:val="20"/>
              </w:rPr>
              <w:t>(80.6, 91.4)</w:t>
            </w:r>
          </w:p>
        </w:tc>
        <w:tc>
          <w:tcPr>
            <w:tcW w:w="863" w:type="pct"/>
            <w:tcMar>
              <w:left w:w="20" w:type="dxa"/>
              <w:right w:w="20" w:type="dxa"/>
            </w:tcMar>
            <w:vAlign w:val="center"/>
          </w:tcPr>
          <w:p w14:paraId="39CA6123" w14:textId="77777777" w:rsidR="002D7804" w:rsidRPr="00801948" w:rsidRDefault="002D7804">
            <w:pPr>
              <w:pStyle w:val="TableText0"/>
              <w:jc w:val="center"/>
              <w:rPr>
                <w:szCs w:val="20"/>
              </w:rPr>
            </w:pPr>
            <w:r>
              <w:rPr>
                <w:szCs w:val="20"/>
                <w:lang w:val="en-US"/>
              </w:rPr>
              <w:t xml:space="preserve">69.8 </w:t>
            </w:r>
            <w:r w:rsidRPr="00453BA8">
              <w:rPr>
                <w:szCs w:val="20"/>
                <w:lang w:val="en-US"/>
              </w:rPr>
              <w:t>(59.5, 78.0)</w:t>
            </w:r>
          </w:p>
        </w:tc>
        <w:tc>
          <w:tcPr>
            <w:tcW w:w="732" w:type="pct"/>
            <w:tcMar>
              <w:left w:w="20" w:type="dxa"/>
              <w:right w:w="20" w:type="dxa"/>
            </w:tcMar>
            <w:vAlign w:val="center"/>
          </w:tcPr>
          <w:p w14:paraId="23FD5C14" w14:textId="77777777" w:rsidR="002D7804" w:rsidRPr="00801948" w:rsidRDefault="002D7804">
            <w:pPr>
              <w:pStyle w:val="TableText0"/>
              <w:jc w:val="center"/>
              <w:rPr>
                <w:rFonts w:cs="Arial"/>
                <w:szCs w:val="20"/>
              </w:rPr>
            </w:pPr>
            <w:r w:rsidRPr="00453BA8">
              <w:rPr>
                <w:szCs w:val="20"/>
                <w:lang w:val="en-US"/>
              </w:rPr>
              <w:t>17.2 (6.6, 27.8)</w:t>
            </w:r>
          </w:p>
        </w:tc>
        <w:tc>
          <w:tcPr>
            <w:tcW w:w="746" w:type="pct"/>
            <w:vMerge/>
            <w:tcMar>
              <w:left w:w="20" w:type="dxa"/>
              <w:right w:w="20" w:type="dxa"/>
            </w:tcMar>
            <w:vAlign w:val="center"/>
          </w:tcPr>
          <w:p w14:paraId="49C22602" w14:textId="77777777" w:rsidR="002D7804" w:rsidRPr="00801948" w:rsidRDefault="002D7804">
            <w:pPr>
              <w:pStyle w:val="TableText0"/>
              <w:jc w:val="center"/>
              <w:rPr>
                <w:szCs w:val="20"/>
              </w:rPr>
            </w:pPr>
          </w:p>
        </w:tc>
      </w:tr>
      <w:tr w:rsidR="002D7804" w:rsidRPr="00801948" w14:paraId="7DDF747E" w14:textId="77777777" w:rsidTr="00BC5A69">
        <w:trPr>
          <w:cantSplit/>
        </w:trPr>
        <w:tc>
          <w:tcPr>
            <w:tcW w:w="1727" w:type="pct"/>
            <w:tcMar>
              <w:left w:w="20" w:type="dxa"/>
              <w:right w:w="20" w:type="dxa"/>
            </w:tcMar>
          </w:tcPr>
          <w:p w14:paraId="7E611572" w14:textId="77777777" w:rsidR="002D7804" w:rsidRPr="00801948" w:rsidRDefault="002D7804">
            <w:pPr>
              <w:pStyle w:val="TableText0"/>
              <w:rPr>
                <w:szCs w:val="20"/>
              </w:rPr>
            </w:pPr>
            <w:r w:rsidRPr="00801948">
              <w:rPr>
                <w:szCs w:val="20"/>
              </w:rPr>
              <w:t>% not progressed at 30 months</w:t>
            </w:r>
            <w:r>
              <w:rPr>
                <w:szCs w:val="20"/>
              </w:rPr>
              <w:t xml:space="preserve"> (95% CI)</w:t>
            </w:r>
          </w:p>
        </w:tc>
        <w:tc>
          <w:tcPr>
            <w:tcW w:w="932" w:type="pct"/>
            <w:tcMar>
              <w:left w:w="20" w:type="dxa"/>
              <w:right w:w="20" w:type="dxa"/>
            </w:tcMar>
            <w:vAlign w:val="center"/>
          </w:tcPr>
          <w:p w14:paraId="6D80A8FA" w14:textId="77777777" w:rsidR="002D7804" w:rsidRPr="00801948" w:rsidRDefault="002D7804">
            <w:pPr>
              <w:pStyle w:val="TableText0"/>
              <w:jc w:val="center"/>
              <w:rPr>
                <w:szCs w:val="20"/>
              </w:rPr>
            </w:pPr>
            <w:r w:rsidRPr="005766C8">
              <w:rPr>
                <w:szCs w:val="20"/>
              </w:rPr>
              <w:t>4</w:t>
            </w:r>
            <w:r>
              <w:rPr>
                <w:szCs w:val="20"/>
              </w:rPr>
              <w:t xml:space="preserve">8.5 </w:t>
            </w:r>
            <w:r w:rsidRPr="00453BA8">
              <w:rPr>
                <w:szCs w:val="20"/>
              </w:rPr>
              <w:t>(36.9, 59.1)</w:t>
            </w:r>
          </w:p>
        </w:tc>
        <w:tc>
          <w:tcPr>
            <w:tcW w:w="863" w:type="pct"/>
            <w:tcMar>
              <w:left w:w="20" w:type="dxa"/>
              <w:right w:w="20" w:type="dxa"/>
            </w:tcMar>
            <w:vAlign w:val="center"/>
          </w:tcPr>
          <w:p w14:paraId="7BDF74AE" w14:textId="1BD37D9D" w:rsidR="002D7804" w:rsidRPr="00801948" w:rsidRDefault="002D7804">
            <w:pPr>
              <w:pStyle w:val="TableText0"/>
              <w:jc w:val="center"/>
              <w:rPr>
                <w:szCs w:val="20"/>
                <w:lang w:val="en-US"/>
              </w:rPr>
            </w:pPr>
            <w:r>
              <w:rPr>
                <w:szCs w:val="20"/>
                <w:lang w:val="en-US"/>
              </w:rPr>
              <w:t>16.3</w:t>
            </w:r>
            <w:r w:rsidR="00F55CDF">
              <w:rPr>
                <w:szCs w:val="20"/>
                <w:lang w:val="en-US"/>
              </w:rPr>
              <w:t xml:space="preserve"> </w:t>
            </w:r>
            <w:r w:rsidRPr="00453BA8">
              <w:rPr>
                <w:szCs w:val="20"/>
                <w:lang w:val="en-US"/>
              </w:rPr>
              <w:t>(4.0, 36.0)</w:t>
            </w:r>
          </w:p>
        </w:tc>
        <w:tc>
          <w:tcPr>
            <w:tcW w:w="732" w:type="pct"/>
            <w:tcMar>
              <w:left w:w="20" w:type="dxa"/>
              <w:right w:w="20" w:type="dxa"/>
            </w:tcMar>
            <w:vAlign w:val="center"/>
          </w:tcPr>
          <w:p w14:paraId="468C2CC6" w14:textId="77777777" w:rsidR="002D7804" w:rsidRPr="00801948" w:rsidRDefault="002D7804">
            <w:pPr>
              <w:pStyle w:val="TableText0"/>
              <w:jc w:val="center"/>
              <w:rPr>
                <w:rFonts w:cs="Arial"/>
                <w:szCs w:val="20"/>
              </w:rPr>
            </w:pPr>
            <w:r w:rsidRPr="00453BA8">
              <w:rPr>
                <w:szCs w:val="20"/>
                <w:lang w:val="en-US"/>
              </w:rPr>
              <w:t>32.2 (11.8, 52.5)</w:t>
            </w:r>
          </w:p>
        </w:tc>
        <w:tc>
          <w:tcPr>
            <w:tcW w:w="746" w:type="pct"/>
            <w:vMerge/>
            <w:tcMar>
              <w:left w:w="20" w:type="dxa"/>
              <w:right w:w="20" w:type="dxa"/>
            </w:tcMar>
            <w:vAlign w:val="center"/>
          </w:tcPr>
          <w:p w14:paraId="0A9E819F" w14:textId="77777777" w:rsidR="002D7804" w:rsidRPr="00801948" w:rsidRDefault="002D7804">
            <w:pPr>
              <w:pStyle w:val="TableText0"/>
              <w:jc w:val="center"/>
              <w:rPr>
                <w:szCs w:val="20"/>
              </w:rPr>
            </w:pPr>
          </w:p>
        </w:tc>
      </w:tr>
      <w:tr w:rsidR="002D7804" w:rsidRPr="00801948" w14:paraId="0B6E0C1F" w14:textId="77777777" w:rsidTr="002E1E88">
        <w:trPr>
          <w:cantSplit/>
        </w:trPr>
        <w:tc>
          <w:tcPr>
            <w:tcW w:w="5000" w:type="pct"/>
            <w:gridSpan w:val="5"/>
            <w:tcMar>
              <w:left w:w="20" w:type="dxa"/>
              <w:right w:w="20" w:type="dxa"/>
            </w:tcMar>
            <w:vAlign w:val="center"/>
          </w:tcPr>
          <w:p w14:paraId="00850DC6" w14:textId="77777777" w:rsidR="002D7804" w:rsidRPr="00801948" w:rsidRDefault="002D7804">
            <w:pPr>
              <w:pStyle w:val="In-tableHeading"/>
              <w:rPr>
                <w:szCs w:val="20"/>
              </w:rPr>
            </w:pPr>
            <w:r w:rsidRPr="00801948">
              <w:rPr>
                <w:szCs w:val="20"/>
              </w:rPr>
              <w:t>Overall survival</w:t>
            </w:r>
          </w:p>
        </w:tc>
      </w:tr>
      <w:tr w:rsidR="002D7804" w:rsidRPr="00801948" w14:paraId="2FC6B3F7" w14:textId="77777777" w:rsidTr="002E1E88">
        <w:trPr>
          <w:cantSplit/>
        </w:trPr>
        <w:tc>
          <w:tcPr>
            <w:tcW w:w="5000" w:type="pct"/>
            <w:gridSpan w:val="5"/>
            <w:tcMar>
              <w:left w:w="20" w:type="dxa"/>
              <w:right w:w="20" w:type="dxa"/>
            </w:tcMar>
            <w:vAlign w:val="center"/>
          </w:tcPr>
          <w:p w14:paraId="17D3B4AB" w14:textId="77777777" w:rsidR="002D7804" w:rsidRPr="00801948" w:rsidRDefault="002D7804">
            <w:pPr>
              <w:pStyle w:val="TableText0"/>
              <w:rPr>
                <w:szCs w:val="20"/>
              </w:rPr>
            </w:pPr>
            <w:r w:rsidRPr="00801948">
              <w:rPr>
                <w:szCs w:val="20"/>
              </w:rPr>
              <w:t>ITT-pembrolizumab population (+PC)</w:t>
            </w:r>
          </w:p>
        </w:tc>
      </w:tr>
      <w:tr w:rsidR="002D7804" w:rsidRPr="00801948" w14:paraId="574305D5" w14:textId="77777777" w:rsidTr="00BC5A69">
        <w:trPr>
          <w:cantSplit/>
        </w:trPr>
        <w:tc>
          <w:tcPr>
            <w:tcW w:w="1727" w:type="pct"/>
            <w:tcMar>
              <w:left w:w="20" w:type="dxa"/>
              <w:right w:w="20" w:type="dxa"/>
            </w:tcMar>
            <w:vAlign w:val="center"/>
          </w:tcPr>
          <w:p w14:paraId="74F2D086" w14:textId="77777777" w:rsidR="002D7804" w:rsidRPr="00801948" w:rsidRDefault="002D7804">
            <w:pPr>
              <w:pStyle w:val="TableText0"/>
              <w:rPr>
                <w:szCs w:val="20"/>
              </w:rPr>
            </w:pPr>
            <w:r w:rsidRPr="00801948">
              <w:rPr>
                <w:szCs w:val="20"/>
              </w:rPr>
              <w:t>Deaths, n/N (%)</w:t>
            </w:r>
          </w:p>
        </w:tc>
        <w:tc>
          <w:tcPr>
            <w:tcW w:w="932" w:type="pct"/>
            <w:tcMar>
              <w:left w:w="20" w:type="dxa"/>
              <w:right w:w="20" w:type="dxa"/>
            </w:tcMar>
            <w:vAlign w:val="center"/>
          </w:tcPr>
          <w:p w14:paraId="2236994F" w14:textId="3FD5155C" w:rsidR="002D7804" w:rsidRPr="00801948" w:rsidRDefault="002D7804">
            <w:pPr>
              <w:pStyle w:val="TableText0"/>
              <w:jc w:val="center"/>
              <w:rPr>
                <w:szCs w:val="20"/>
              </w:rPr>
            </w:pPr>
            <w:r w:rsidRPr="00801948">
              <w:rPr>
                <w:szCs w:val="20"/>
              </w:rPr>
              <w:t>25/129 (19.4</w:t>
            </w:r>
            <w:r w:rsidR="00636DDF">
              <w:rPr>
                <w:szCs w:val="20"/>
              </w:rPr>
              <w:t>%</w:t>
            </w:r>
            <w:r w:rsidRPr="00801948">
              <w:rPr>
                <w:szCs w:val="20"/>
              </w:rPr>
              <w:t>)</w:t>
            </w:r>
          </w:p>
        </w:tc>
        <w:tc>
          <w:tcPr>
            <w:tcW w:w="863" w:type="pct"/>
            <w:tcMar>
              <w:left w:w="20" w:type="dxa"/>
              <w:right w:w="20" w:type="dxa"/>
            </w:tcMar>
            <w:vAlign w:val="center"/>
          </w:tcPr>
          <w:p w14:paraId="23A427DE" w14:textId="22833618" w:rsidR="002D7804" w:rsidRPr="00801948" w:rsidRDefault="002D7804">
            <w:pPr>
              <w:pStyle w:val="TableText0"/>
              <w:jc w:val="center"/>
              <w:rPr>
                <w:szCs w:val="20"/>
              </w:rPr>
            </w:pPr>
            <w:r w:rsidRPr="00801948">
              <w:rPr>
                <w:szCs w:val="20"/>
              </w:rPr>
              <w:t>15/83 (18.1</w:t>
            </w:r>
            <w:r w:rsidR="00636DDF">
              <w:rPr>
                <w:szCs w:val="20"/>
              </w:rPr>
              <w:t>%</w:t>
            </w:r>
            <w:r w:rsidRPr="00801948">
              <w:rPr>
                <w:szCs w:val="20"/>
              </w:rPr>
              <w:t>)</w:t>
            </w:r>
          </w:p>
        </w:tc>
        <w:tc>
          <w:tcPr>
            <w:tcW w:w="732" w:type="pct"/>
            <w:tcMar>
              <w:left w:w="20" w:type="dxa"/>
              <w:right w:w="20" w:type="dxa"/>
            </w:tcMar>
            <w:vAlign w:val="center"/>
          </w:tcPr>
          <w:p w14:paraId="6B9A4404" w14:textId="7441D834" w:rsidR="002D7804" w:rsidRPr="00801948" w:rsidRDefault="00957E82">
            <w:pPr>
              <w:pStyle w:val="TableText0"/>
              <w:jc w:val="center"/>
              <w:rPr>
                <w:szCs w:val="20"/>
              </w:rPr>
            </w:pPr>
            <w:r>
              <w:rPr>
                <w:szCs w:val="20"/>
              </w:rPr>
              <w:t>-</w:t>
            </w:r>
          </w:p>
        </w:tc>
        <w:tc>
          <w:tcPr>
            <w:tcW w:w="746" w:type="pct"/>
            <w:vMerge w:val="restart"/>
            <w:tcMar>
              <w:left w:w="20" w:type="dxa"/>
              <w:right w:w="20" w:type="dxa"/>
            </w:tcMar>
            <w:vAlign w:val="center"/>
          </w:tcPr>
          <w:p w14:paraId="18303B87" w14:textId="45716A16" w:rsidR="002D7804" w:rsidRPr="00801948" w:rsidRDefault="002D7804">
            <w:pPr>
              <w:pStyle w:val="TableText0"/>
              <w:jc w:val="center"/>
              <w:rPr>
                <w:szCs w:val="20"/>
              </w:rPr>
            </w:pPr>
            <w:r w:rsidRPr="00801948">
              <w:rPr>
                <w:szCs w:val="20"/>
              </w:rPr>
              <w:t>0.961</w:t>
            </w:r>
            <w:r w:rsidR="00BE6790" w:rsidRPr="001A1717">
              <w:rPr>
                <w:sz w:val="18"/>
                <w:szCs w:val="18"/>
                <w:vertAlign w:val="superscript"/>
              </w:rPr>
              <w:t xml:space="preserve"> a</w:t>
            </w:r>
          </w:p>
          <w:p w14:paraId="0D685714" w14:textId="10741486" w:rsidR="002D7804" w:rsidRPr="00E2432E" w:rsidRDefault="002D7804">
            <w:pPr>
              <w:pStyle w:val="TableText0"/>
              <w:jc w:val="center"/>
              <w:rPr>
                <w:b/>
                <w:bCs w:val="0"/>
                <w:szCs w:val="20"/>
              </w:rPr>
            </w:pPr>
            <w:r w:rsidRPr="00801948">
              <w:rPr>
                <w:szCs w:val="20"/>
              </w:rPr>
              <w:t>(0.503,1.835)</w:t>
            </w:r>
            <w:r w:rsidR="00BE6790" w:rsidRPr="001A1717">
              <w:rPr>
                <w:sz w:val="18"/>
                <w:szCs w:val="18"/>
                <w:vertAlign w:val="superscript"/>
              </w:rPr>
              <w:t xml:space="preserve"> b</w:t>
            </w:r>
          </w:p>
          <w:p w14:paraId="3D6498B4" w14:textId="6CDE9A3E" w:rsidR="002D7804" w:rsidRPr="00801948" w:rsidRDefault="002D7804" w:rsidP="00F55CDF">
            <w:pPr>
              <w:pStyle w:val="TableText0"/>
              <w:jc w:val="center"/>
              <w:rPr>
                <w:szCs w:val="20"/>
              </w:rPr>
            </w:pPr>
            <w:r w:rsidRPr="00801948">
              <w:rPr>
                <w:szCs w:val="20"/>
              </w:rPr>
              <w:t>P=0.9033</w:t>
            </w:r>
            <w:r w:rsidR="0000132C" w:rsidRPr="001A1717">
              <w:rPr>
                <w:sz w:val="18"/>
                <w:szCs w:val="18"/>
                <w:vertAlign w:val="superscript"/>
              </w:rPr>
              <w:t xml:space="preserve"> c</w:t>
            </w:r>
          </w:p>
        </w:tc>
      </w:tr>
      <w:tr w:rsidR="002D7804" w:rsidRPr="00801948" w14:paraId="665005E2" w14:textId="77777777" w:rsidTr="00BC5A69">
        <w:trPr>
          <w:cantSplit/>
        </w:trPr>
        <w:tc>
          <w:tcPr>
            <w:tcW w:w="1727" w:type="pct"/>
            <w:tcMar>
              <w:left w:w="20" w:type="dxa"/>
              <w:right w:w="20" w:type="dxa"/>
            </w:tcMar>
            <w:vAlign w:val="center"/>
          </w:tcPr>
          <w:p w14:paraId="4143B16B" w14:textId="77777777" w:rsidR="002D7804" w:rsidRPr="00801948" w:rsidRDefault="002D7804">
            <w:pPr>
              <w:pStyle w:val="TableText0"/>
              <w:rPr>
                <w:szCs w:val="20"/>
              </w:rPr>
            </w:pPr>
            <w:r w:rsidRPr="00801948">
              <w:rPr>
                <w:szCs w:val="20"/>
              </w:rPr>
              <w:t>Median months OS (95% CI)</w:t>
            </w:r>
          </w:p>
        </w:tc>
        <w:tc>
          <w:tcPr>
            <w:tcW w:w="932" w:type="pct"/>
            <w:tcMar>
              <w:left w:w="20" w:type="dxa"/>
              <w:right w:w="20" w:type="dxa"/>
            </w:tcMar>
            <w:vAlign w:val="center"/>
          </w:tcPr>
          <w:p w14:paraId="5CFA2512" w14:textId="77777777" w:rsidR="002D7804" w:rsidRPr="00801948" w:rsidRDefault="002D7804">
            <w:pPr>
              <w:pStyle w:val="TableText0"/>
              <w:spacing w:line="259" w:lineRule="auto"/>
              <w:jc w:val="center"/>
            </w:pPr>
            <w:r>
              <w:t>NE</w:t>
            </w:r>
          </w:p>
        </w:tc>
        <w:tc>
          <w:tcPr>
            <w:tcW w:w="863" w:type="pct"/>
            <w:tcMar>
              <w:left w:w="20" w:type="dxa"/>
              <w:right w:w="20" w:type="dxa"/>
            </w:tcMar>
            <w:vAlign w:val="center"/>
          </w:tcPr>
          <w:p w14:paraId="036CFD28" w14:textId="77777777" w:rsidR="002D7804" w:rsidRPr="00801948" w:rsidRDefault="002D7804">
            <w:pPr>
              <w:pStyle w:val="TableText0"/>
              <w:jc w:val="center"/>
              <w:rPr>
                <w:szCs w:val="20"/>
              </w:rPr>
            </w:pPr>
            <w:r w:rsidRPr="00801948">
              <w:rPr>
                <w:szCs w:val="20"/>
              </w:rPr>
              <w:t>NE</w:t>
            </w:r>
          </w:p>
        </w:tc>
        <w:tc>
          <w:tcPr>
            <w:tcW w:w="732" w:type="pct"/>
            <w:tcMar>
              <w:left w:w="20" w:type="dxa"/>
              <w:right w:w="20" w:type="dxa"/>
            </w:tcMar>
            <w:vAlign w:val="center"/>
          </w:tcPr>
          <w:p w14:paraId="0738A44D" w14:textId="77777777" w:rsidR="002D7804" w:rsidRPr="00801948" w:rsidRDefault="002D7804">
            <w:pPr>
              <w:pStyle w:val="TableText0"/>
              <w:jc w:val="center"/>
              <w:rPr>
                <w:szCs w:val="20"/>
              </w:rPr>
            </w:pPr>
            <w:r w:rsidRPr="00801948">
              <w:rPr>
                <w:szCs w:val="20"/>
              </w:rPr>
              <w:t>NE</w:t>
            </w:r>
          </w:p>
        </w:tc>
        <w:tc>
          <w:tcPr>
            <w:tcW w:w="746" w:type="pct"/>
            <w:vMerge/>
            <w:tcMar>
              <w:left w:w="20" w:type="dxa"/>
              <w:right w:w="20" w:type="dxa"/>
            </w:tcMar>
            <w:vAlign w:val="center"/>
          </w:tcPr>
          <w:p w14:paraId="2303DD5D" w14:textId="77777777" w:rsidR="002D7804" w:rsidRPr="00801948" w:rsidRDefault="002D7804">
            <w:pPr>
              <w:pStyle w:val="TableText0"/>
              <w:jc w:val="center"/>
              <w:rPr>
                <w:szCs w:val="20"/>
              </w:rPr>
            </w:pPr>
          </w:p>
        </w:tc>
      </w:tr>
      <w:tr w:rsidR="004B7FCB" w:rsidRPr="00801948" w14:paraId="7140C0C9" w14:textId="77777777" w:rsidTr="00BC5A69">
        <w:trPr>
          <w:cantSplit/>
        </w:trPr>
        <w:tc>
          <w:tcPr>
            <w:tcW w:w="1727" w:type="pct"/>
            <w:tcMar>
              <w:left w:w="20" w:type="dxa"/>
              <w:right w:w="20" w:type="dxa"/>
            </w:tcMar>
          </w:tcPr>
          <w:p w14:paraId="215E8426" w14:textId="3DAF5F93" w:rsidR="004B7FCB" w:rsidRPr="00801948" w:rsidRDefault="00340581">
            <w:pPr>
              <w:pStyle w:val="TableText0"/>
              <w:rPr>
                <w:szCs w:val="20"/>
              </w:rPr>
            </w:pPr>
            <w:r w:rsidRPr="00E435F4">
              <w:rPr>
                <w:szCs w:val="20"/>
              </w:rPr>
              <w:t>% Alive at 6 months (95% CI)</w:t>
            </w:r>
            <w:r w:rsidRPr="00E435F4">
              <w:rPr>
                <w:szCs w:val="20"/>
                <w:vertAlign w:val="superscript"/>
              </w:rPr>
              <w:t xml:space="preserve"> </w:t>
            </w:r>
          </w:p>
        </w:tc>
        <w:tc>
          <w:tcPr>
            <w:tcW w:w="932" w:type="pct"/>
            <w:tcMar>
              <w:left w:w="20" w:type="dxa"/>
              <w:right w:w="20" w:type="dxa"/>
            </w:tcMar>
          </w:tcPr>
          <w:p w14:paraId="42005888" w14:textId="11160BF4" w:rsidR="004B7FCB" w:rsidRPr="00801948" w:rsidRDefault="00340581">
            <w:pPr>
              <w:pStyle w:val="TableText0"/>
              <w:jc w:val="center"/>
              <w:rPr>
                <w:rFonts w:cs="Courier"/>
                <w:color w:val="000000"/>
                <w:szCs w:val="20"/>
              </w:rPr>
            </w:pPr>
            <w:r w:rsidRPr="00E435F4">
              <w:rPr>
                <w:szCs w:val="20"/>
              </w:rPr>
              <w:t>95.3 (89.9, 97.9)</w:t>
            </w:r>
          </w:p>
        </w:tc>
        <w:tc>
          <w:tcPr>
            <w:tcW w:w="863" w:type="pct"/>
            <w:tcMar>
              <w:left w:w="20" w:type="dxa"/>
              <w:right w:w="20" w:type="dxa"/>
            </w:tcMar>
          </w:tcPr>
          <w:p w14:paraId="22513220" w14:textId="15D5393B" w:rsidR="004B7FCB" w:rsidRPr="00801948" w:rsidRDefault="00340581">
            <w:pPr>
              <w:pStyle w:val="TableText0"/>
              <w:jc w:val="center"/>
              <w:rPr>
                <w:rFonts w:cs="Courier"/>
                <w:color w:val="000000"/>
                <w:szCs w:val="20"/>
              </w:rPr>
            </w:pPr>
            <w:r w:rsidRPr="00E435F4">
              <w:rPr>
                <w:szCs w:val="20"/>
              </w:rPr>
              <w:t>95.1 (87.4, 98.1)</w:t>
            </w:r>
          </w:p>
        </w:tc>
        <w:tc>
          <w:tcPr>
            <w:tcW w:w="732" w:type="pct"/>
            <w:tcMar>
              <w:left w:w="20" w:type="dxa"/>
              <w:right w:w="20" w:type="dxa"/>
            </w:tcMar>
          </w:tcPr>
          <w:p w14:paraId="1FFCAB80" w14:textId="300138A5" w:rsidR="004B7FCB" w:rsidRPr="00801948" w:rsidRDefault="00340581">
            <w:pPr>
              <w:pStyle w:val="TableText0"/>
              <w:jc w:val="center"/>
              <w:rPr>
                <w:rFonts w:cs="Courier"/>
                <w:color w:val="000000"/>
                <w:szCs w:val="20"/>
              </w:rPr>
            </w:pPr>
            <w:r w:rsidRPr="00E435F4">
              <w:rPr>
                <w:szCs w:val="20"/>
              </w:rPr>
              <w:t>0.3 (-5.7, 6.2)</w:t>
            </w:r>
          </w:p>
        </w:tc>
        <w:tc>
          <w:tcPr>
            <w:tcW w:w="746" w:type="pct"/>
            <w:vMerge/>
            <w:tcMar>
              <w:left w:w="20" w:type="dxa"/>
              <w:right w:w="20" w:type="dxa"/>
            </w:tcMar>
            <w:vAlign w:val="center"/>
          </w:tcPr>
          <w:p w14:paraId="3B4C17FB" w14:textId="77777777" w:rsidR="004B7FCB" w:rsidRPr="00801948" w:rsidRDefault="004B7FCB">
            <w:pPr>
              <w:pStyle w:val="TableText0"/>
              <w:jc w:val="center"/>
              <w:rPr>
                <w:rFonts w:cs="Arial"/>
                <w:szCs w:val="20"/>
              </w:rPr>
            </w:pPr>
          </w:p>
        </w:tc>
      </w:tr>
      <w:tr w:rsidR="004B7FCB" w:rsidRPr="00801948" w14:paraId="58C1FBC1" w14:textId="77777777" w:rsidTr="00BC5A69">
        <w:trPr>
          <w:cantSplit/>
        </w:trPr>
        <w:tc>
          <w:tcPr>
            <w:tcW w:w="1727" w:type="pct"/>
            <w:tcMar>
              <w:left w:w="20" w:type="dxa"/>
              <w:right w:w="20" w:type="dxa"/>
            </w:tcMar>
          </w:tcPr>
          <w:p w14:paraId="43EC7771" w14:textId="40761C0E" w:rsidR="004B7FCB" w:rsidRPr="00801948" w:rsidRDefault="00340581">
            <w:pPr>
              <w:pStyle w:val="TableText0"/>
              <w:rPr>
                <w:szCs w:val="20"/>
              </w:rPr>
            </w:pPr>
            <w:r w:rsidRPr="00E435F4">
              <w:rPr>
                <w:szCs w:val="20"/>
              </w:rPr>
              <w:t>% Alive at 24 months (95% CI)</w:t>
            </w:r>
            <w:r w:rsidRPr="00E435F4">
              <w:rPr>
                <w:szCs w:val="20"/>
                <w:vertAlign w:val="superscript"/>
              </w:rPr>
              <w:t xml:space="preserve"> </w:t>
            </w:r>
          </w:p>
        </w:tc>
        <w:tc>
          <w:tcPr>
            <w:tcW w:w="932" w:type="pct"/>
            <w:tcMar>
              <w:left w:w="20" w:type="dxa"/>
              <w:right w:w="20" w:type="dxa"/>
            </w:tcMar>
          </w:tcPr>
          <w:p w14:paraId="61AF1486" w14:textId="6627A06B" w:rsidR="004B7FCB" w:rsidRPr="00801948" w:rsidRDefault="00340581">
            <w:pPr>
              <w:pStyle w:val="TableText0"/>
              <w:jc w:val="center"/>
              <w:rPr>
                <w:rFonts w:cs="Courier"/>
                <w:color w:val="000000"/>
                <w:szCs w:val="20"/>
              </w:rPr>
            </w:pPr>
            <w:r w:rsidRPr="00E435F4">
              <w:rPr>
                <w:szCs w:val="20"/>
              </w:rPr>
              <w:t>75.2 (65.0, 82.8)</w:t>
            </w:r>
          </w:p>
        </w:tc>
        <w:tc>
          <w:tcPr>
            <w:tcW w:w="863" w:type="pct"/>
            <w:tcMar>
              <w:left w:w="20" w:type="dxa"/>
              <w:right w:w="20" w:type="dxa"/>
            </w:tcMar>
          </w:tcPr>
          <w:p w14:paraId="14B336CB" w14:textId="19421F7C" w:rsidR="004B7FCB" w:rsidRPr="00801948" w:rsidRDefault="00340581">
            <w:pPr>
              <w:pStyle w:val="TableText0"/>
              <w:jc w:val="center"/>
              <w:rPr>
                <w:rFonts w:cs="Courier"/>
                <w:color w:val="000000"/>
                <w:szCs w:val="20"/>
              </w:rPr>
            </w:pPr>
            <w:r w:rsidRPr="00E435F4">
              <w:rPr>
                <w:szCs w:val="20"/>
              </w:rPr>
              <w:t>79.0 (67.3, 86.9)</w:t>
            </w:r>
          </w:p>
        </w:tc>
        <w:tc>
          <w:tcPr>
            <w:tcW w:w="732" w:type="pct"/>
            <w:tcMar>
              <w:left w:w="20" w:type="dxa"/>
              <w:right w:w="20" w:type="dxa"/>
            </w:tcMar>
          </w:tcPr>
          <w:p w14:paraId="3A49C29E" w14:textId="18BEA021" w:rsidR="004B7FCB" w:rsidRPr="00801948" w:rsidRDefault="00340581">
            <w:pPr>
              <w:pStyle w:val="TableText0"/>
              <w:jc w:val="center"/>
              <w:rPr>
                <w:rFonts w:cs="Courier"/>
                <w:color w:val="000000"/>
                <w:szCs w:val="20"/>
              </w:rPr>
            </w:pPr>
            <w:r w:rsidRPr="00E435F4">
              <w:rPr>
                <w:szCs w:val="20"/>
              </w:rPr>
              <w:t>-3.8 (-16.9, 9.3)</w:t>
            </w:r>
          </w:p>
        </w:tc>
        <w:tc>
          <w:tcPr>
            <w:tcW w:w="746" w:type="pct"/>
            <w:vMerge/>
            <w:tcMar>
              <w:left w:w="20" w:type="dxa"/>
              <w:right w:w="20" w:type="dxa"/>
            </w:tcMar>
            <w:vAlign w:val="center"/>
          </w:tcPr>
          <w:p w14:paraId="3ABBFC11" w14:textId="77777777" w:rsidR="004B7FCB" w:rsidRPr="00801948" w:rsidRDefault="004B7FCB">
            <w:pPr>
              <w:pStyle w:val="TableText0"/>
              <w:jc w:val="center"/>
              <w:rPr>
                <w:rFonts w:cs="Arial"/>
                <w:szCs w:val="20"/>
              </w:rPr>
            </w:pPr>
          </w:p>
        </w:tc>
      </w:tr>
      <w:tr w:rsidR="002D7804" w:rsidRPr="00801948" w14:paraId="2A1F3F9D" w14:textId="77777777" w:rsidTr="00BC5A69">
        <w:trPr>
          <w:cantSplit/>
        </w:trPr>
        <w:tc>
          <w:tcPr>
            <w:tcW w:w="1727" w:type="pct"/>
            <w:tcMar>
              <w:left w:w="20" w:type="dxa"/>
              <w:right w:w="20" w:type="dxa"/>
            </w:tcMar>
          </w:tcPr>
          <w:p w14:paraId="26FEABC9" w14:textId="14A54078" w:rsidR="002D7804" w:rsidRPr="00801948" w:rsidRDefault="002D7804">
            <w:pPr>
              <w:pStyle w:val="TableText0"/>
              <w:rPr>
                <w:szCs w:val="20"/>
              </w:rPr>
            </w:pPr>
            <w:r w:rsidRPr="00801948">
              <w:rPr>
                <w:szCs w:val="20"/>
              </w:rPr>
              <w:t xml:space="preserve">% </w:t>
            </w:r>
            <w:r w:rsidR="00FB4933">
              <w:rPr>
                <w:szCs w:val="20"/>
              </w:rPr>
              <w:t>A</w:t>
            </w:r>
            <w:r w:rsidRPr="00801948">
              <w:rPr>
                <w:szCs w:val="20"/>
              </w:rPr>
              <w:t>live at 30 months</w:t>
            </w:r>
            <w:r>
              <w:rPr>
                <w:szCs w:val="20"/>
              </w:rPr>
              <w:t xml:space="preserve"> (95% CI</w:t>
            </w:r>
            <w:r w:rsidR="00161D42">
              <w:rPr>
                <w:szCs w:val="20"/>
              </w:rPr>
              <w:t>)</w:t>
            </w:r>
          </w:p>
        </w:tc>
        <w:tc>
          <w:tcPr>
            <w:tcW w:w="932" w:type="pct"/>
            <w:tcMar>
              <w:left w:w="20" w:type="dxa"/>
              <w:right w:w="20" w:type="dxa"/>
            </w:tcMar>
            <w:vAlign w:val="center"/>
          </w:tcPr>
          <w:p w14:paraId="1310FB17" w14:textId="77777777" w:rsidR="002D7804" w:rsidRPr="00801948" w:rsidRDefault="002D7804">
            <w:pPr>
              <w:pStyle w:val="TableText0"/>
              <w:jc w:val="center"/>
              <w:rPr>
                <w:rFonts w:cs="Arial"/>
                <w:szCs w:val="20"/>
              </w:rPr>
            </w:pPr>
            <w:r w:rsidRPr="00801948">
              <w:rPr>
                <w:rFonts w:cs="Courier"/>
                <w:color w:val="000000"/>
                <w:szCs w:val="20"/>
              </w:rPr>
              <w:t>75.2 (65.0, 82.8)</w:t>
            </w:r>
          </w:p>
        </w:tc>
        <w:tc>
          <w:tcPr>
            <w:tcW w:w="863" w:type="pct"/>
            <w:tcMar>
              <w:left w:w="20" w:type="dxa"/>
              <w:right w:w="20" w:type="dxa"/>
            </w:tcMar>
            <w:vAlign w:val="center"/>
          </w:tcPr>
          <w:p w14:paraId="0D7D5642" w14:textId="77777777" w:rsidR="002D7804" w:rsidRPr="00801948" w:rsidRDefault="002D7804">
            <w:pPr>
              <w:pStyle w:val="TableText0"/>
              <w:jc w:val="center"/>
              <w:rPr>
                <w:rFonts w:cs="Arial"/>
                <w:szCs w:val="20"/>
              </w:rPr>
            </w:pPr>
            <w:r w:rsidRPr="00801948">
              <w:rPr>
                <w:rFonts w:cs="Courier"/>
                <w:color w:val="000000"/>
                <w:szCs w:val="20"/>
              </w:rPr>
              <w:t>79.0 (67.3, 86.9)</w:t>
            </w:r>
          </w:p>
        </w:tc>
        <w:tc>
          <w:tcPr>
            <w:tcW w:w="732" w:type="pct"/>
            <w:tcMar>
              <w:left w:w="20" w:type="dxa"/>
              <w:right w:w="20" w:type="dxa"/>
            </w:tcMar>
            <w:vAlign w:val="center"/>
          </w:tcPr>
          <w:p w14:paraId="1C62DE99" w14:textId="77777777" w:rsidR="002D7804" w:rsidRPr="00801948" w:rsidRDefault="002D7804">
            <w:pPr>
              <w:pStyle w:val="TableText0"/>
              <w:jc w:val="center"/>
              <w:rPr>
                <w:rFonts w:cs="Arial"/>
                <w:szCs w:val="20"/>
              </w:rPr>
            </w:pPr>
            <w:r w:rsidRPr="00801948">
              <w:rPr>
                <w:rFonts w:cs="Courier"/>
                <w:color w:val="000000"/>
                <w:szCs w:val="20"/>
              </w:rPr>
              <w:t>-3.8 (-16.9,9.3)</w:t>
            </w:r>
          </w:p>
        </w:tc>
        <w:tc>
          <w:tcPr>
            <w:tcW w:w="746" w:type="pct"/>
            <w:vMerge/>
            <w:tcMar>
              <w:left w:w="20" w:type="dxa"/>
              <w:right w:w="20" w:type="dxa"/>
            </w:tcMar>
            <w:vAlign w:val="center"/>
          </w:tcPr>
          <w:p w14:paraId="1802450A" w14:textId="77777777" w:rsidR="002D7804" w:rsidRPr="00801948" w:rsidRDefault="002D7804">
            <w:pPr>
              <w:pStyle w:val="TableText0"/>
              <w:jc w:val="center"/>
              <w:rPr>
                <w:rFonts w:cs="Arial"/>
                <w:szCs w:val="20"/>
              </w:rPr>
            </w:pPr>
          </w:p>
        </w:tc>
      </w:tr>
      <w:tr w:rsidR="002D7804" w:rsidRPr="00801948" w14:paraId="020CE16C" w14:textId="77777777" w:rsidTr="002E1E88">
        <w:trPr>
          <w:cantSplit/>
        </w:trPr>
        <w:tc>
          <w:tcPr>
            <w:tcW w:w="5000" w:type="pct"/>
            <w:gridSpan w:val="5"/>
            <w:tcMar>
              <w:left w:w="20" w:type="dxa"/>
              <w:right w:w="20" w:type="dxa"/>
            </w:tcMar>
            <w:vAlign w:val="center"/>
          </w:tcPr>
          <w:p w14:paraId="0BD83F9B" w14:textId="3094E484" w:rsidR="002D7804" w:rsidRPr="00801948" w:rsidRDefault="002D7804">
            <w:pPr>
              <w:pStyle w:val="TableText0"/>
              <w:rPr>
                <w:rFonts w:cs="Arial"/>
                <w:szCs w:val="20"/>
              </w:rPr>
            </w:pPr>
            <w:r w:rsidRPr="00801948">
              <w:rPr>
                <w:szCs w:val="20"/>
              </w:rPr>
              <w:t>ITT-population (±PC)</w:t>
            </w:r>
          </w:p>
        </w:tc>
      </w:tr>
      <w:tr w:rsidR="002D7804" w:rsidRPr="00801948" w14:paraId="68562E3A" w14:textId="77777777" w:rsidTr="00BC5A69">
        <w:trPr>
          <w:cantSplit/>
        </w:trPr>
        <w:tc>
          <w:tcPr>
            <w:tcW w:w="1727" w:type="pct"/>
            <w:tcMar>
              <w:left w:w="20" w:type="dxa"/>
              <w:right w:w="20" w:type="dxa"/>
            </w:tcMar>
            <w:vAlign w:val="center"/>
          </w:tcPr>
          <w:p w14:paraId="4330A3FB" w14:textId="77777777" w:rsidR="002D7804" w:rsidRPr="00801948" w:rsidRDefault="002D7804">
            <w:pPr>
              <w:pStyle w:val="TableText0"/>
              <w:rPr>
                <w:szCs w:val="20"/>
              </w:rPr>
            </w:pPr>
            <w:r w:rsidRPr="00801948">
              <w:rPr>
                <w:szCs w:val="20"/>
              </w:rPr>
              <w:t>Deaths, n/N (%)</w:t>
            </w:r>
          </w:p>
        </w:tc>
        <w:tc>
          <w:tcPr>
            <w:tcW w:w="932" w:type="pct"/>
            <w:tcMar>
              <w:left w:w="20" w:type="dxa"/>
              <w:right w:w="20" w:type="dxa"/>
            </w:tcMar>
            <w:vAlign w:val="center"/>
          </w:tcPr>
          <w:p w14:paraId="3C0FB36C" w14:textId="49BC98F3" w:rsidR="002D7804" w:rsidRPr="00801948" w:rsidRDefault="002D7804">
            <w:pPr>
              <w:pStyle w:val="TableText0"/>
              <w:jc w:val="center"/>
              <w:rPr>
                <w:rFonts w:cs="Arial"/>
                <w:szCs w:val="20"/>
              </w:rPr>
            </w:pPr>
            <w:r w:rsidRPr="00801948">
              <w:rPr>
                <w:szCs w:val="20"/>
              </w:rPr>
              <w:t>32/159 (20.1</w:t>
            </w:r>
            <w:r w:rsidR="00636DDF">
              <w:rPr>
                <w:szCs w:val="20"/>
              </w:rPr>
              <w:t>%</w:t>
            </w:r>
            <w:r w:rsidRPr="00801948">
              <w:rPr>
                <w:szCs w:val="20"/>
              </w:rPr>
              <w:t>)</w:t>
            </w:r>
          </w:p>
        </w:tc>
        <w:tc>
          <w:tcPr>
            <w:tcW w:w="863" w:type="pct"/>
            <w:tcMar>
              <w:left w:w="20" w:type="dxa"/>
              <w:right w:w="20" w:type="dxa"/>
            </w:tcMar>
            <w:vAlign w:val="center"/>
          </w:tcPr>
          <w:p w14:paraId="4162FB8B" w14:textId="3AE76123" w:rsidR="002D7804" w:rsidRPr="00801948" w:rsidRDefault="002D7804">
            <w:pPr>
              <w:pStyle w:val="TableText0"/>
              <w:jc w:val="center"/>
              <w:rPr>
                <w:rFonts w:cs="Arial"/>
                <w:szCs w:val="20"/>
              </w:rPr>
            </w:pPr>
            <w:r w:rsidRPr="00801948">
              <w:rPr>
                <w:szCs w:val="20"/>
              </w:rPr>
              <w:t>18/102 (17.6</w:t>
            </w:r>
            <w:r w:rsidR="00636DDF">
              <w:rPr>
                <w:szCs w:val="20"/>
              </w:rPr>
              <w:t>%</w:t>
            </w:r>
            <w:r w:rsidRPr="00801948">
              <w:rPr>
                <w:szCs w:val="20"/>
              </w:rPr>
              <w:t>)</w:t>
            </w:r>
          </w:p>
        </w:tc>
        <w:tc>
          <w:tcPr>
            <w:tcW w:w="732" w:type="pct"/>
            <w:tcMar>
              <w:left w:w="20" w:type="dxa"/>
              <w:right w:w="20" w:type="dxa"/>
            </w:tcMar>
            <w:vAlign w:val="center"/>
          </w:tcPr>
          <w:p w14:paraId="0D58DE03" w14:textId="0F351350" w:rsidR="002D7804" w:rsidRPr="00801948" w:rsidRDefault="00957E82">
            <w:pPr>
              <w:pStyle w:val="TableText0"/>
              <w:jc w:val="center"/>
              <w:rPr>
                <w:rFonts w:cs="Arial"/>
                <w:szCs w:val="20"/>
              </w:rPr>
            </w:pPr>
            <w:r>
              <w:rPr>
                <w:rFonts w:cs="Arial"/>
                <w:szCs w:val="20"/>
              </w:rPr>
              <w:t>-</w:t>
            </w:r>
          </w:p>
        </w:tc>
        <w:tc>
          <w:tcPr>
            <w:tcW w:w="746" w:type="pct"/>
            <w:vMerge w:val="restart"/>
            <w:tcMar>
              <w:left w:w="20" w:type="dxa"/>
              <w:right w:w="20" w:type="dxa"/>
            </w:tcMar>
            <w:vAlign w:val="center"/>
          </w:tcPr>
          <w:p w14:paraId="2549DCC1" w14:textId="05B50248" w:rsidR="002D7804" w:rsidRPr="00801948" w:rsidRDefault="002D7804">
            <w:pPr>
              <w:pStyle w:val="TableText0"/>
              <w:jc w:val="center"/>
              <w:rPr>
                <w:szCs w:val="20"/>
              </w:rPr>
            </w:pPr>
            <w:r w:rsidRPr="00801948">
              <w:rPr>
                <w:szCs w:val="20"/>
              </w:rPr>
              <w:t>1.042</w:t>
            </w:r>
            <w:r w:rsidR="00BE6790" w:rsidRPr="001A1717">
              <w:rPr>
                <w:sz w:val="18"/>
                <w:szCs w:val="18"/>
                <w:vertAlign w:val="superscript"/>
              </w:rPr>
              <w:t xml:space="preserve"> a</w:t>
            </w:r>
            <w:r w:rsidRPr="00801948">
              <w:rPr>
                <w:szCs w:val="20"/>
              </w:rPr>
              <w:t xml:space="preserve"> </w:t>
            </w:r>
          </w:p>
          <w:p w14:paraId="1DA68C6A" w14:textId="17AB303B" w:rsidR="002D7804" w:rsidRPr="00E2432E" w:rsidRDefault="002D7804">
            <w:pPr>
              <w:pStyle w:val="TableText0"/>
              <w:jc w:val="center"/>
              <w:rPr>
                <w:b/>
                <w:bCs w:val="0"/>
                <w:szCs w:val="20"/>
              </w:rPr>
            </w:pPr>
            <w:r w:rsidRPr="00801948">
              <w:rPr>
                <w:szCs w:val="20"/>
              </w:rPr>
              <w:t>(0.578, 1.879)</w:t>
            </w:r>
            <w:r w:rsidR="00BE6790" w:rsidRPr="001A1717">
              <w:rPr>
                <w:sz w:val="18"/>
                <w:szCs w:val="18"/>
                <w:vertAlign w:val="superscript"/>
              </w:rPr>
              <w:t xml:space="preserve"> b</w:t>
            </w:r>
          </w:p>
          <w:p w14:paraId="1965901B" w14:textId="3A504ADB" w:rsidR="002D7804" w:rsidRPr="00801948" w:rsidRDefault="002D7804">
            <w:pPr>
              <w:pStyle w:val="TableText0"/>
              <w:jc w:val="center"/>
              <w:rPr>
                <w:rFonts w:cs="Arial"/>
                <w:szCs w:val="20"/>
              </w:rPr>
            </w:pPr>
            <w:r w:rsidRPr="00801948">
              <w:rPr>
                <w:szCs w:val="20"/>
              </w:rPr>
              <w:t>P=0.8905</w:t>
            </w:r>
            <w:r w:rsidR="0000132C" w:rsidRPr="001A1717">
              <w:rPr>
                <w:sz w:val="18"/>
                <w:szCs w:val="18"/>
                <w:vertAlign w:val="superscript"/>
              </w:rPr>
              <w:t xml:space="preserve"> c</w:t>
            </w:r>
          </w:p>
        </w:tc>
      </w:tr>
      <w:tr w:rsidR="002D7804" w:rsidRPr="00801948" w14:paraId="760CD62A" w14:textId="77777777" w:rsidTr="00BC5A69">
        <w:trPr>
          <w:cantSplit/>
        </w:trPr>
        <w:tc>
          <w:tcPr>
            <w:tcW w:w="1727" w:type="pct"/>
            <w:tcMar>
              <w:left w:w="20" w:type="dxa"/>
              <w:right w:w="20" w:type="dxa"/>
            </w:tcMar>
            <w:vAlign w:val="center"/>
          </w:tcPr>
          <w:p w14:paraId="4D385FC8" w14:textId="77777777" w:rsidR="002D7804" w:rsidRPr="00801948" w:rsidRDefault="002D7804">
            <w:pPr>
              <w:pStyle w:val="TableText0"/>
              <w:rPr>
                <w:szCs w:val="20"/>
              </w:rPr>
            </w:pPr>
            <w:r w:rsidRPr="00801948">
              <w:rPr>
                <w:szCs w:val="20"/>
              </w:rPr>
              <w:t>Median months OS (95% CI)</w:t>
            </w:r>
          </w:p>
        </w:tc>
        <w:tc>
          <w:tcPr>
            <w:tcW w:w="932" w:type="pct"/>
            <w:tcMar>
              <w:left w:w="20" w:type="dxa"/>
              <w:right w:w="20" w:type="dxa"/>
            </w:tcMar>
            <w:vAlign w:val="center"/>
          </w:tcPr>
          <w:p w14:paraId="06BF470A" w14:textId="77777777" w:rsidR="002D7804" w:rsidRPr="00801948" w:rsidRDefault="002D7804">
            <w:pPr>
              <w:pStyle w:val="TableText0"/>
              <w:jc w:val="center"/>
              <w:rPr>
                <w:rFonts w:cs="Arial"/>
                <w:szCs w:val="20"/>
              </w:rPr>
            </w:pPr>
            <w:r w:rsidRPr="00801948">
              <w:rPr>
                <w:szCs w:val="20"/>
              </w:rPr>
              <w:t>33.05 (33.05, NE)</w:t>
            </w:r>
          </w:p>
        </w:tc>
        <w:tc>
          <w:tcPr>
            <w:tcW w:w="863" w:type="pct"/>
            <w:tcMar>
              <w:left w:w="20" w:type="dxa"/>
              <w:right w:w="20" w:type="dxa"/>
            </w:tcMar>
            <w:vAlign w:val="center"/>
          </w:tcPr>
          <w:p w14:paraId="7314F3C4" w14:textId="77777777" w:rsidR="002D7804" w:rsidRPr="00801948" w:rsidRDefault="002D7804">
            <w:pPr>
              <w:pStyle w:val="TableText0"/>
              <w:jc w:val="center"/>
              <w:rPr>
                <w:rFonts w:cs="Arial"/>
                <w:szCs w:val="20"/>
              </w:rPr>
            </w:pPr>
            <w:r w:rsidRPr="00801948">
              <w:rPr>
                <w:szCs w:val="20"/>
              </w:rPr>
              <w:t>NE</w:t>
            </w:r>
          </w:p>
        </w:tc>
        <w:tc>
          <w:tcPr>
            <w:tcW w:w="732" w:type="pct"/>
            <w:tcMar>
              <w:left w:w="20" w:type="dxa"/>
              <w:right w:w="20" w:type="dxa"/>
            </w:tcMar>
            <w:vAlign w:val="center"/>
          </w:tcPr>
          <w:p w14:paraId="05D89BB2" w14:textId="77777777" w:rsidR="002D7804" w:rsidRPr="00801948" w:rsidRDefault="002D7804">
            <w:pPr>
              <w:pStyle w:val="TableText0"/>
              <w:jc w:val="center"/>
              <w:rPr>
                <w:rFonts w:cs="Arial"/>
                <w:szCs w:val="20"/>
              </w:rPr>
            </w:pPr>
            <w:r w:rsidRPr="00801948">
              <w:rPr>
                <w:szCs w:val="20"/>
              </w:rPr>
              <w:t>NE</w:t>
            </w:r>
          </w:p>
        </w:tc>
        <w:tc>
          <w:tcPr>
            <w:tcW w:w="746" w:type="pct"/>
            <w:vMerge/>
            <w:tcMar>
              <w:left w:w="20" w:type="dxa"/>
              <w:right w:w="20" w:type="dxa"/>
            </w:tcMar>
            <w:vAlign w:val="center"/>
          </w:tcPr>
          <w:p w14:paraId="61D9A7F2" w14:textId="77777777" w:rsidR="002D7804" w:rsidRPr="00801948" w:rsidRDefault="002D7804">
            <w:pPr>
              <w:pStyle w:val="TableText0"/>
              <w:jc w:val="center"/>
              <w:rPr>
                <w:rFonts w:cs="Arial"/>
                <w:szCs w:val="20"/>
              </w:rPr>
            </w:pPr>
          </w:p>
        </w:tc>
      </w:tr>
      <w:tr w:rsidR="004B7FCB" w:rsidRPr="00801948" w14:paraId="51B9180D" w14:textId="77777777" w:rsidTr="00BC5A69">
        <w:trPr>
          <w:cantSplit/>
        </w:trPr>
        <w:tc>
          <w:tcPr>
            <w:tcW w:w="1727" w:type="pct"/>
            <w:tcMar>
              <w:left w:w="20" w:type="dxa"/>
              <w:right w:w="20" w:type="dxa"/>
            </w:tcMar>
          </w:tcPr>
          <w:p w14:paraId="2B36E2FC" w14:textId="0D69A6DD" w:rsidR="004B7FCB" w:rsidRPr="00801948" w:rsidRDefault="00EA281D">
            <w:pPr>
              <w:pStyle w:val="TableText0"/>
              <w:rPr>
                <w:szCs w:val="20"/>
              </w:rPr>
            </w:pPr>
            <w:r w:rsidRPr="00E435F4">
              <w:rPr>
                <w:szCs w:val="20"/>
              </w:rPr>
              <w:t>% Alive at 6 months (95% CI)</w:t>
            </w:r>
            <w:r w:rsidRPr="00E435F4">
              <w:rPr>
                <w:szCs w:val="20"/>
                <w:vertAlign w:val="superscript"/>
              </w:rPr>
              <w:t xml:space="preserve"> </w:t>
            </w:r>
          </w:p>
        </w:tc>
        <w:tc>
          <w:tcPr>
            <w:tcW w:w="932" w:type="pct"/>
            <w:tcMar>
              <w:left w:w="20" w:type="dxa"/>
              <w:right w:w="20" w:type="dxa"/>
            </w:tcMar>
          </w:tcPr>
          <w:p w14:paraId="73AEAAB8" w14:textId="6FD41C78" w:rsidR="004B7FCB" w:rsidRPr="00801948" w:rsidRDefault="00EA281D">
            <w:pPr>
              <w:pStyle w:val="TableText0"/>
              <w:jc w:val="center"/>
              <w:rPr>
                <w:rFonts w:cs="Courier"/>
                <w:color w:val="000000"/>
                <w:szCs w:val="20"/>
              </w:rPr>
            </w:pPr>
            <w:r w:rsidRPr="00E435F4">
              <w:rPr>
                <w:szCs w:val="20"/>
              </w:rPr>
              <w:t>94.9 (90.1, 97.4)</w:t>
            </w:r>
          </w:p>
        </w:tc>
        <w:tc>
          <w:tcPr>
            <w:tcW w:w="863" w:type="pct"/>
            <w:tcMar>
              <w:left w:w="20" w:type="dxa"/>
              <w:right w:w="20" w:type="dxa"/>
            </w:tcMar>
          </w:tcPr>
          <w:p w14:paraId="0ED8587F" w14:textId="37552ADE" w:rsidR="004B7FCB" w:rsidRPr="00801948" w:rsidRDefault="00EA281D">
            <w:pPr>
              <w:pStyle w:val="TableText0"/>
              <w:jc w:val="center"/>
              <w:rPr>
                <w:rFonts w:cs="Courier"/>
                <w:color w:val="000000"/>
                <w:szCs w:val="20"/>
              </w:rPr>
            </w:pPr>
            <w:r w:rsidRPr="00E435F4">
              <w:rPr>
                <w:szCs w:val="20"/>
              </w:rPr>
              <w:t>96.0 (89.6, 98.5)</w:t>
            </w:r>
          </w:p>
        </w:tc>
        <w:tc>
          <w:tcPr>
            <w:tcW w:w="732" w:type="pct"/>
            <w:tcMar>
              <w:left w:w="20" w:type="dxa"/>
              <w:right w:w="20" w:type="dxa"/>
            </w:tcMar>
          </w:tcPr>
          <w:p w14:paraId="1CC7B929" w14:textId="595A697A" w:rsidR="004B7FCB" w:rsidRPr="00801948" w:rsidRDefault="00EA281D">
            <w:pPr>
              <w:pStyle w:val="TableText0"/>
              <w:jc w:val="center"/>
              <w:rPr>
                <w:rFonts w:cs="Courier"/>
                <w:color w:val="000000"/>
                <w:szCs w:val="20"/>
              </w:rPr>
            </w:pPr>
            <w:r w:rsidRPr="00E435F4">
              <w:rPr>
                <w:szCs w:val="20"/>
              </w:rPr>
              <w:t>-1.0 (-6.2, 4.1)</w:t>
            </w:r>
          </w:p>
        </w:tc>
        <w:tc>
          <w:tcPr>
            <w:tcW w:w="746" w:type="pct"/>
            <w:vMerge/>
            <w:tcMar>
              <w:left w:w="20" w:type="dxa"/>
              <w:right w:w="20" w:type="dxa"/>
            </w:tcMar>
            <w:vAlign w:val="center"/>
          </w:tcPr>
          <w:p w14:paraId="35171623" w14:textId="77777777" w:rsidR="004B7FCB" w:rsidRPr="00801948" w:rsidRDefault="004B7FCB">
            <w:pPr>
              <w:pStyle w:val="TableText0"/>
              <w:jc w:val="center"/>
              <w:rPr>
                <w:rFonts w:cs="Arial"/>
                <w:szCs w:val="20"/>
              </w:rPr>
            </w:pPr>
          </w:p>
        </w:tc>
      </w:tr>
      <w:tr w:rsidR="004B7FCB" w:rsidRPr="00801948" w14:paraId="7D25FF2C" w14:textId="77777777" w:rsidTr="00BC5A69">
        <w:trPr>
          <w:cantSplit/>
        </w:trPr>
        <w:tc>
          <w:tcPr>
            <w:tcW w:w="1727" w:type="pct"/>
            <w:tcMar>
              <w:left w:w="20" w:type="dxa"/>
              <w:right w:w="20" w:type="dxa"/>
            </w:tcMar>
          </w:tcPr>
          <w:p w14:paraId="7B125ED8" w14:textId="27210C38" w:rsidR="004B7FCB" w:rsidRPr="00801948" w:rsidRDefault="00EA281D">
            <w:pPr>
              <w:pStyle w:val="TableText0"/>
              <w:rPr>
                <w:szCs w:val="20"/>
              </w:rPr>
            </w:pPr>
            <w:r w:rsidRPr="00E435F4">
              <w:rPr>
                <w:szCs w:val="20"/>
              </w:rPr>
              <w:t>% Alive at 24 months (95% CI)</w:t>
            </w:r>
            <w:r w:rsidRPr="00E435F4">
              <w:rPr>
                <w:szCs w:val="20"/>
                <w:vertAlign w:val="superscript"/>
              </w:rPr>
              <w:t xml:space="preserve"> </w:t>
            </w:r>
          </w:p>
        </w:tc>
        <w:tc>
          <w:tcPr>
            <w:tcW w:w="932" w:type="pct"/>
            <w:tcMar>
              <w:left w:w="20" w:type="dxa"/>
              <w:right w:w="20" w:type="dxa"/>
            </w:tcMar>
            <w:vAlign w:val="center"/>
          </w:tcPr>
          <w:p w14:paraId="0ACD8CC4" w14:textId="2D914C91" w:rsidR="004B7FCB" w:rsidRPr="00801948" w:rsidRDefault="002B79D4">
            <w:pPr>
              <w:pStyle w:val="TableText0"/>
              <w:jc w:val="center"/>
              <w:rPr>
                <w:rFonts w:cs="Courier"/>
                <w:color w:val="000000"/>
                <w:szCs w:val="20"/>
              </w:rPr>
            </w:pPr>
            <w:r w:rsidRPr="0067774E">
              <w:rPr>
                <w:szCs w:val="20"/>
              </w:rPr>
              <w:t>74.1 (64.7, 81.4)</w:t>
            </w:r>
          </w:p>
        </w:tc>
        <w:tc>
          <w:tcPr>
            <w:tcW w:w="863" w:type="pct"/>
            <w:tcMar>
              <w:left w:w="20" w:type="dxa"/>
              <w:right w:w="20" w:type="dxa"/>
            </w:tcMar>
            <w:vAlign w:val="center"/>
          </w:tcPr>
          <w:p w14:paraId="0A9DFE44" w14:textId="3A332593" w:rsidR="004B7FCB" w:rsidRPr="00801948" w:rsidRDefault="002B79D4">
            <w:pPr>
              <w:pStyle w:val="TableText0"/>
              <w:jc w:val="center"/>
              <w:rPr>
                <w:rFonts w:cs="Courier"/>
                <w:color w:val="000000"/>
                <w:szCs w:val="20"/>
              </w:rPr>
            </w:pPr>
            <w:r w:rsidRPr="005F559F">
              <w:rPr>
                <w:szCs w:val="20"/>
              </w:rPr>
              <w:t>80.0 (69.4, 87.2)</w:t>
            </w:r>
          </w:p>
        </w:tc>
        <w:tc>
          <w:tcPr>
            <w:tcW w:w="732" w:type="pct"/>
            <w:tcMar>
              <w:left w:w="20" w:type="dxa"/>
              <w:right w:w="20" w:type="dxa"/>
            </w:tcMar>
          </w:tcPr>
          <w:p w14:paraId="6A303FFB" w14:textId="57355C81" w:rsidR="004B7FCB" w:rsidRPr="00801948" w:rsidRDefault="002B79D4">
            <w:pPr>
              <w:pStyle w:val="TableText0"/>
              <w:jc w:val="center"/>
              <w:rPr>
                <w:rFonts w:cs="Courier"/>
                <w:color w:val="000000"/>
                <w:szCs w:val="20"/>
              </w:rPr>
            </w:pPr>
            <w:r w:rsidRPr="002D0678">
              <w:rPr>
                <w:szCs w:val="20"/>
              </w:rPr>
              <w:t>-5.8 (-18.0, 6.3)</w:t>
            </w:r>
          </w:p>
        </w:tc>
        <w:tc>
          <w:tcPr>
            <w:tcW w:w="746" w:type="pct"/>
            <w:vMerge/>
            <w:tcMar>
              <w:left w:w="20" w:type="dxa"/>
              <w:right w:w="20" w:type="dxa"/>
            </w:tcMar>
            <w:vAlign w:val="center"/>
          </w:tcPr>
          <w:p w14:paraId="581372BF" w14:textId="77777777" w:rsidR="004B7FCB" w:rsidRPr="00801948" w:rsidRDefault="004B7FCB">
            <w:pPr>
              <w:pStyle w:val="TableText0"/>
              <w:jc w:val="center"/>
              <w:rPr>
                <w:rFonts w:cs="Arial"/>
                <w:szCs w:val="20"/>
              </w:rPr>
            </w:pPr>
          </w:p>
        </w:tc>
      </w:tr>
      <w:tr w:rsidR="002D7804" w:rsidRPr="00801948" w14:paraId="449A85FB" w14:textId="77777777" w:rsidTr="00BC5A69">
        <w:trPr>
          <w:cantSplit/>
        </w:trPr>
        <w:tc>
          <w:tcPr>
            <w:tcW w:w="1727" w:type="pct"/>
            <w:tcMar>
              <w:left w:w="20" w:type="dxa"/>
              <w:right w:w="20" w:type="dxa"/>
            </w:tcMar>
          </w:tcPr>
          <w:p w14:paraId="6580EEA2" w14:textId="17A0B69B" w:rsidR="002D7804" w:rsidRPr="00801948" w:rsidRDefault="002D7804">
            <w:pPr>
              <w:pStyle w:val="TableText0"/>
              <w:rPr>
                <w:szCs w:val="20"/>
              </w:rPr>
            </w:pPr>
            <w:r w:rsidRPr="00801948">
              <w:rPr>
                <w:szCs w:val="20"/>
              </w:rPr>
              <w:t xml:space="preserve">% </w:t>
            </w:r>
            <w:r w:rsidR="00FB4933">
              <w:rPr>
                <w:szCs w:val="20"/>
              </w:rPr>
              <w:t>A</w:t>
            </w:r>
            <w:r w:rsidRPr="00801948">
              <w:rPr>
                <w:szCs w:val="20"/>
              </w:rPr>
              <w:t>live at 30 months</w:t>
            </w:r>
            <w:r w:rsidRPr="00801948">
              <w:rPr>
                <w:szCs w:val="20"/>
                <w:vertAlign w:val="superscript"/>
              </w:rPr>
              <w:t xml:space="preserve"> </w:t>
            </w:r>
            <w:r>
              <w:rPr>
                <w:szCs w:val="20"/>
              </w:rPr>
              <w:t>(95% CI)</w:t>
            </w:r>
          </w:p>
        </w:tc>
        <w:tc>
          <w:tcPr>
            <w:tcW w:w="932" w:type="pct"/>
            <w:tcMar>
              <w:left w:w="20" w:type="dxa"/>
              <w:right w:w="20" w:type="dxa"/>
            </w:tcMar>
            <w:vAlign w:val="center"/>
          </w:tcPr>
          <w:p w14:paraId="1E4FB3EA" w14:textId="77777777" w:rsidR="002D7804" w:rsidRPr="00801948" w:rsidRDefault="002D7804">
            <w:pPr>
              <w:pStyle w:val="TableText0"/>
              <w:jc w:val="center"/>
              <w:rPr>
                <w:rFonts w:cs="Arial"/>
                <w:szCs w:val="20"/>
              </w:rPr>
            </w:pPr>
            <w:r w:rsidRPr="00801948">
              <w:rPr>
                <w:rFonts w:cs="Courier"/>
                <w:color w:val="000000"/>
                <w:szCs w:val="20"/>
              </w:rPr>
              <w:t>74.1 (64.7, 81.4)</w:t>
            </w:r>
          </w:p>
        </w:tc>
        <w:tc>
          <w:tcPr>
            <w:tcW w:w="863" w:type="pct"/>
            <w:tcMar>
              <w:left w:w="20" w:type="dxa"/>
              <w:right w:w="20" w:type="dxa"/>
            </w:tcMar>
            <w:vAlign w:val="center"/>
          </w:tcPr>
          <w:p w14:paraId="72B5E388" w14:textId="77777777" w:rsidR="002D7804" w:rsidRPr="00801948" w:rsidRDefault="002D7804">
            <w:pPr>
              <w:pStyle w:val="TableText0"/>
              <w:jc w:val="center"/>
              <w:rPr>
                <w:rFonts w:cs="Arial"/>
                <w:szCs w:val="20"/>
              </w:rPr>
            </w:pPr>
            <w:r w:rsidRPr="00801948">
              <w:rPr>
                <w:rFonts w:cs="Courier"/>
                <w:color w:val="000000"/>
                <w:szCs w:val="20"/>
              </w:rPr>
              <w:t>75.5 (61.2, 85.2)</w:t>
            </w:r>
          </w:p>
        </w:tc>
        <w:tc>
          <w:tcPr>
            <w:tcW w:w="732" w:type="pct"/>
            <w:tcMar>
              <w:left w:w="20" w:type="dxa"/>
              <w:right w:w="20" w:type="dxa"/>
            </w:tcMar>
            <w:vAlign w:val="center"/>
          </w:tcPr>
          <w:p w14:paraId="46E6DC34" w14:textId="77777777" w:rsidR="002D7804" w:rsidRPr="00801948" w:rsidRDefault="002D7804">
            <w:pPr>
              <w:pStyle w:val="TableText0"/>
              <w:jc w:val="center"/>
              <w:rPr>
                <w:rFonts w:cs="Arial"/>
                <w:szCs w:val="20"/>
              </w:rPr>
            </w:pPr>
            <w:r w:rsidRPr="00801948">
              <w:rPr>
                <w:rFonts w:cs="Courier"/>
                <w:color w:val="000000"/>
                <w:szCs w:val="20"/>
              </w:rPr>
              <w:t>-1.4 (-15.9, 13.1)</w:t>
            </w:r>
          </w:p>
        </w:tc>
        <w:tc>
          <w:tcPr>
            <w:tcW w:w="746" w:type="pct"/>
            <w:vMerge/>
            <w:tcMar>
              <w:left w:w="20" w:type="dxa"/>
              <w:right w:w="20" w:type="dxa"/>
            </w:tcMar>
            <w:vAlign w:val="center"/>
          </w:tcPr>
          <w:p w14:paraId="219AA437" w14:textId="77777777" w:rsidR="002D7804" w:rsidRPr="00801948" w:rsidRDefault="002D7804">
            <w:pPr>
              <w:pStyle w:val="TableText0"/>
              <w:jc w:val="center"/>
              <w:rPr>
                <w:rFonts w:cs="Arial"/>
                <w:szCs w:val="20"/>
              </w:rPr>
            </w:pPr>
          </w:p>
        </w:tc>
      </w:tr>
    </w:tbl>
    <w:p w14:paraId="7712CA44" w14:textId="26B4AC1C" w:rsidR="002D7804" w:rsidRPr="001A1717" w:rsidRDefault="002D7804" w:rsidP="002D7804">
      <w:pPr>
        <w:pStyle w:val="TableFigNotes18"/>
        <w:keepNext/>
        <w:spacing w:before="0" w:after="120" w:line="240" w:lineRule="auto"/>
        <w:rPr>
          <w:rFonts w:ascii="Arial Narrow" w:hAnsi="Arial Narrow"/>
          <w:sz w:val="18"/>
          <w:szCs w:val="18"/>
        </w:rPr>
      </w:pPr>
      <w:r w:rsidRPr="001A1717">
        <w:rPr>
          <w:rFonts w:ascii="Arial Narrow" w:hAnsi="Arial Narrow"/>
          <w:sz w:val="18"/>
          <w:szCs w:val="18"/>
        </w:rPr>
        <w:t>Source: Table 2-23of the resubmission; Tables JZJC.5.</w:t>
      </w:r>
      <w:r w:rsidR="00A93F2C">
        <w:rPr>
          <w:rFonts w:ascii="Arial Narrow" w:hAnsi="Arial Narrow"/>
          <w:sz w:val="18"/>
          <w:szCs w:val="18"/>
        </w:rPr>
        <w:t xml:space="preserve">1, </w:t>
      </w:r>
      <w:r w:rsidRPr="001A1717">
        <w:rPr>
          <w:rFonts w:ascii="Arial Narrow" w:hAnsi="Arial Narrow"/>
          <w:sz w:val="18"/>
          <w:szCs w:val="18"/>
        </w:rPr>
        <w:t xml:space="preserve">JZJC.5.2, </w:t>
      </w:r>
      <w:r w:rsidR="00A93F2C" w:rsidRPr="009F0C88">
        <w:rPr>
          <w:rFonts w:ascii="Arial Narrow" w:hAnsi="Arial Narrow"/>
          <w:sz w:val="18"/>
          <w:szCs w:val="18"/>
          <w:lang w:val="en-US"/>
        </w:rPr>
        <w:t>JZJC.5.3</w:t>
      </w:r>
      <w:r w:rsidR="00A93F2C">
        <w:rPr>
          <w:rFonts w:ascii="Arial Narrow" w:hAnsi="Arial Narrow"/>
          <w:sz w:val="18"/>
          <w:szCs w:val="18"/>
          <w:lang w:val="en-US"/>
        </w:rPr>
        <w:t xml:space="preserve">, </w:t>
      </w:r>
      <w:r w:rsidRPr="001A1717">
        <w:rPr>
          <w:rFonts w:ascii="Arial Narrow" w:hAnsi="Arial Narrow"/>
          <w:sz w:val="18"/>
          <w:szCs w:val="18"/>
        </w:rPr>
        <w:t>JZJC.8.77, JZJC.8.79, and 14.2.1.1.2, pp102-103 of the LIBRETTO-431 CSR.</w:t>
      </w:r>
    </w:p>
    <w:p w14:paraId="26E69BF9" w14:textId="574DB56A" w:rsidR="002D7804" w:rsidRPr="001A1717" w:rsidRDefault="002D7804" w:rsidP="002D7804">
      <w:pPr>
        <w:pStyle w:val="TableFigNotes18"/>
        <w:spacing w:before="0" w:after="120" w:line="240" w:lineRule="auto"/>
        <w:rPr>
          <w:rFonts w:ascii="Arial Narrow" w:hAnsi="Arial Narrow"/>
          <w:sz w:val="18"/>
          <w:szCs w:val="18"/>
        </w:rPr>
      </w:pPr>
      <w:r w:rsidRPr="001A1717">
        <w:rPr>
          <w:rFonts w:ascii="Arial Narrow" w:hAnsi="Arial Narrow"/>
          <w:sz w:val="18"/>
          <w:szCs w:val="18"/>
        </w:rPr>
        <w:t>BICR = blinded independent central review; CI = confidence interval; HR = hazard ratio; ITT = intention to treat; IWRS = interactive web response system; NE = not estimable;</w:t>
      </w:r>
      <w:r w:rsidR="00BC5A69">
        <w:rPr>
          <w:rFonts w:ascii="Arial Narrow" w:hAnsi="Arial Narrow"/>
          <w:sz w:val="18"/>
          <w:szCs w:val="18"/>
        </w:rPr>
        <w:t xml:space="preserve"> OS = overall survival;</w:t>
      </w:r>
      <w:r w:rsidRPr="001A1717">
        <w:rPr>
          <w:rFonts w:ascii="Arial Narrow" w:hAnsi="Arial Narrow"/>
          <w:sz w:val="18"/>
          <w:szCs w:val="18"/>
        </w:rPr>
        <w:t xml:space="preserve"> PC = platinum-based </w:t>
      </w:r>
      <w:r>
        <w:rPr>
          <w:rFonts w:ascii="Arial Narrow" w:hAnsi="Arial Narrow"/>
          <w:sz w:val="18"/>
          <w:szCs w:val="18"/>
        </w:rPr>
        <w:t>doublet</w:t>
      </w:r>
      <w:r w:rsidRPr="001A1717">
        <w:rPr>
          <w:rFonts w:ascii="Arial Narrow" w:hAnsi="Arial Narrow"/>
          <w:sz w:val="18"/>
          <w:szCs w:val="18"/>
        </w:rPr>
        <w:t xml:space="preserve"> chemotherapy; PFS = progression-free survival</w:t>
      </w:r>
      <w:r w:rsidR="004553C1">
        <w:rPr>
          <w:rFonts w:ascii="Arial Narrow" w:hAnsi="Arial Narrow"/>
          <w:sz w:val="18"/>
          <w:szCs w:val="18"/>
        </w:rPr>
        <w:t>.</w:t>
      </w:r>
    </w:p>
    <w:p w14:paraId="77FA704D" w14:textId="0AF8984E" w:rsidR="002D7804" w:rsidRPr="001A1717" w:rsidRDefault="002D7804" w:rsidP="002D7804">
      <w:pPr>
        <w:pStyle w:val="TableFigNotes18"/>
        <w:spacing w:before="0" w:after="120" w:line="240" w:lineRule="auto"/>
        <w:rPr>
          <w:rFonts w:ascii="Arial Narrow" w:hAnsi="Arial Narrow"/>
          <w:sz w:val="18"/>
          <w:szCs w:val="18"/>
        </w:rPr>
      </w:pPr>
      <w:r w:rsidRPr="001A1717">
        <w:rPr>
          <w:rFonts w:ascii="Arial Narrow" w:hAnsi="Arial Narrow"/>
          <w:sz w:val="18"/>
          <w:szCs w:val="18"/>
          <w:vertAlign w:val="superscript"/>
        </w:rPr>
        <w:t>a</w:t>
      </w:r>
      <w:r w:rsidRPr="001A1717">
        <w:rPr>
          <w:rFonts w:ascii="Arial Narrow" w:hAnsi="Arial Narrow"/>
          <w:sz w:val="18"/>
          <w:szCs w:val="18"/>
        </w:rPr>
        <w:t xml:space="preserve"> Stratified by Geography (East Asian versus non-East Asian) – IWRS, Brain metastases (presence or absence/unknown) – IWRS</w:t>
      </w:r>
      <w:r w:rsidR="2E7E7EB3" w:rsidRPr="355B0DBB">
        <w:rPr>
          <w:rFonts w:ascii="Arial Narrow" w:hAnsi="Arial Narrow"/>
          <w:sz w:val="18"/>
          <w:szCs w:val="18"/>
        </w:rPr>
        <w:t>.</w:t>
      </w:r>
    </w:p>
    <w:p w14:paraId="5DB339CD" w14:textId="69DE473F" w:rsidR="002D7804" w:rsidRPr="001A1717" w:rsidRDefault="002D7804" w:rsidP="002D7804">
      <w:pPr>
        <w:pStyle w:val="TableFigNotes18"/>
        <w:spacing w:before="0" w:after="120" w:line="240" w:lineRule="auto"/>
        <w:rPr>
          <w:rFonts w:ascii="Arial Narrow" w:hAnsi="Arial Narrow"/>
          <w:sz w:val="18"/>
          <w:szCs w:val="18"/>
        </w:rPr>
      </w:pPr>
      <w:r w:rsidRPr="001A1717">
        <w:rPr>
          <w:rFonts w:ascii="Arial Narrow" w:hAnsi="Arial Narrow"/>
          <w:sz w:val="18"/>
          <w:szCs w:val="18"/>
          <w:vertAlign w:val="superscript"/>
        </w:rPr>
        <w:t>b</w:t>
      </w:r>
      <w:r w:rsidRPr="001A1717">
        <w:rPr>
          <w:rFonts w:ascii="Arial Narrow" w:hAnsi="Arial Narrow"/>
          <w:sz w:val="18"/>
          <w:szCs w:val="18"/>
        </w:rPr>
        <w:t xml:space="preserve"> 95% C</w:t>
      </w:r>
      <w:r w:rsidR="00BC5A69">
        <w:rPr>
          <w:rFonts w:ascii="Arial Narrow" w:hAnsi="Arial Narrow"/>
          <w:sz w:val="18"/>
          <w:szCs w:val="18"/>
        </w:rPr>
        <w:t>I</w:t>
      </w:r>
      <w:r w:rsidRPr="001A1717">
        <w:rPr>
          <w:rFonts w:ascii="Arial Narrow" w:hAnsi="Arial Narrow"/>
          <w:sz w:val="18"/>
          <w:szCs w:val="18"/>
        </w:rPr>
        <w:t xml:space="preserve">s and 2-sided p-values for the </w:t>
      </w:r>
      <w:r w:rsidR="00BC5A69">
        <w:rPr>
          <w:rFonts w:ascii="Arial Narrow" w:hAnsi="Arial Narrow"/>
          <w:sz w:val="18"/>
          <w:szCs w:val="18"/>
        </w:rPr>
        <w:t>d</w:t>
      </w:r>
      <w:r w:rsidRPr="001A1717">
        <w:rPr>
          <w:rFonts w:ascii="Arial Narrow" w:hAnsi="Arial Narrow"/>
          <w:sz w:val="18"/>
          <w:szCs w:val="18"/>
        </w:rPr>
        <w:t>ifference between rates were calculated based on normal approximation</w:t>
      </w:r>
      <w:r w:rsidR="004553C1">
        <w:rPr>
          <w:rFonts w:ascii="Arial Narrow" w:hAnsi="Arial Narrow"/>
          <w:sz w:val="18"/>
          <w:szCs w:val="18"/>
        </w:rPr>
        <w:t>.</w:t>
      </w:r>
    </w:p>
    <w:p w14:paraId="3FBD42D1" w14:textId="579ACFB2" w:rsidR="002D7804" w:rsidRPr="001A1717" w:rsidRDefault="002D7804" w:rsidP="002D7804">
      <w:pPr>
        <w:pStyle w:val="TableFigNotes18"/>
        <w:spacing w:before="0" w:after="120" w:line="240" w:lineRule="auto"/>
        <w:rPr>
          <w:rFonts w:ascii="Arial Narrow" w:hAnsi="Arial Narrow"/>
          <w:sz w:val="18"/>
          <w:szCs w:val="18"/>
        </w:rPr>
      </w:pPr>
      <w:r w:rsidRPr="001A1717">
        <w:rPr>
          <w:rFonts w:ascii="Arial Narrow" w:hAnsi="Arial Narrow"/>
          <w:sz w:val="18"/>
          <w:szCs w:val="18"/>
          <w:vertAlign w:val="superscript"/>
        </w:rPr>
        <w:t>c</w:t>
      </w:r>
      <w:r w:rsidRPr="001A1717">
        <w:rPr>
          <w:rFonts w:ascii="Arial Narrow" w:hAnsi="Arial Narrow"/>
          <w:sz w:val="18"/>
          <w:szCs w:val="18"/>
        </w:rPr>
        <w:t xml:space="preserve"> p-values are computed based on comparator carboplatin or cisplatin + pemetrexed + pembrolizumab</w:t>
      </w:r>
      <w:r w:rsidR="004553C1">
        <w:rPr>
          <w:rFonts w:ascii="Arial Narrow" w:hAnsi="Arial Narrow"/>
          <w:sz w:val="18"/>
          <w:szCs w:val="18"/>
        </w:rPr>
        <w:t>.</w:t>
      </w:r>
    </w:p>
    <w:p w14:paraId="0B46C940" w14:textId="7026236B" w:rsidR="002D7804" w:rsidRPr="001A1717" w:rsidRDefault="002D7804" w:rsidP="00E2432E">
      <w:pPr>
        <w:pStyle w:val="TableFigNotes18"/>
        <w:spacing w:before="0" w:after="120" w:line="240" w:lineRule="auto"/>
        <w:jc w:val="both"/>
        <w:rPr>
          <w:rFonts w:ascii="Arial Narrow" w:hAnsi="Arial Narrow"/>
          <w:sz w:val="18"/>
          <w:szCs w:val="18"/>
        </w:rPr>
      </w:pPr>
      <w:r w:rsidRPr="001A1717">
        <w:rPr>
          <w:rFonts w:ascii="Arial Narrow" w:hAnsi="Arial Narrow"/>
          <w:sz w:val="18"/>
          <w:szCs w:val="18"/>
        </w:rPr>
        <w:t xml:space="preserve">Note: ITT-pembrolizumab population were those that received pembrolizumab as decided by the study investigator intention to treat (no less than 80%); ITT-population </w:t>
      </w:r>
      <w:r w:rsidR="007E1C32">
        <w:rPr>
          <w:rFonts w:ascii="Arial Narrow" w:hAnsi="Arial Narrow"/>
          <w:sz w:val="18"/>
          <w:szCs w:val="18"/>
        </w:rPr>
        <w:t xml:space="preserve">included the ITT-pembrolizumab population and </w:t>
      </w:r>
      <w:r w:rsidRPr="001A1717">
        <w:rPr>
          <w:rFonts w:ascii="Arial Narrow" w:hAnsi="Arial Narrow"/>
          <w:sz w:val="18"/>
          <w:szCs w:val="18"/>
        </w:rPr>
        <w:t>those that did not receive pembrolizumab as decided by the study investigator intention to treat (no more than 20%)</w:t>
      </w:r>
      <w:r w:rsidR="004553C1">
        <w:rPr>
          <w:rFonts w:ascii="Arial Narrow" w:hAnsi="Arial Narrow"/>
          <w:sz w:val="18"/>
          <w:szCs w:val="18"/>
        </w:rPr>
        <w:t>.</w:t>
      </w:r>
    </w:p>
    <w:p w14:paraId="35A353FF" w14:textId="77777777" w:rsidR="002D7804" w:rsidRDefault="002D7804" w:rsidP="002D7804">
      <w:pPr>
        <w:pStyle w:val="TableFigNotes18"/>
        <w:spacing w:before="0" w:after="120" w:line="240" w:lineRule="auto"/>
        <w:rPr>
          <w:rFonts w:ascii="Arial Narrow" w:hAnsi="Arial Narrow"/>
          <w:sz w:val="18"/>
          <w:szCs w:val="18"/>
        </w:rPr>
      </w:pPr>
      <w:r w:rsidRPr="001A1717">
        <w:rPr>
          <w:rFonts w:ascii="Arial Narrow" w:hAnsi="Arial Narrow"/>
          <w:b/>
          <w:bCs/>
          <w:sz w:val="18"/>
          <w:szCs w:val="18"/>
        </w:rPr>
        <w:t>Bold</w:t>
      </w:r>
      <w:r w:rsidRPr="001A1717">
        <w:rPr>
          <w:rFonts w:ascii="Arial Narrow" w:hAnsi="Arial Narrow"/>
          <w:sz w:val="18"/>
          <w:szCs w:val="18"/>
        </w:rPr>
        <w:t xml:space="preserve"> indicates statistically significant results.</w:t>
      </w:r>
    </w:p>
    <w:p w14:paraId="55DA3CDF" w14:textId="54FA54CB" w:rsidR="002D7804" w:rsidRPr="004E20BF" w:rsidRDefault="002D7804" w:rsidP="002D7804">
      <w:pPr>
        <w:pStyle w:val="Caption"/>
      </w:pPr>
      <w:bookmarkStart w:id="34" w:name="_Ref163891816"/>
      <w:r>
        <w:lastRenderedPageBreak/>
        <w:t xml:space="preserve">Figure </w:t>
      </w:r>
      <w:r w:rsidR="00BA56FF">
        <w:fldChar w:fldCharType="begin" w:fldLock="1"/>
      </w:r>
      <w:r w:rsidR="00BA56FF">
        <w:instrText xml:space="preserve"> SEQ Figure \* ARABIC </w:instrText>
      </w:r>
      <w:r w:rsidR="00BA56FF">
        <w:fldChar w:fldCharType="separate"/>
      </w:r>
      <w:r w:rsidR="00F979CE">
        <w:rPr>
          <w:noProof/>
        </w:rPr>
        <w:t>1</w:t>
      </w:r>
      <w:r w:rsidR="00BA56FF">
        <w:rPr>
          <w:noProof/>
        </w:rPr>
        <w:fldChar w:fldCharType="end"/>
      </w:r>
      <w:bookmarkEnd w:id="34"/>
      <w:r>
        <w:t xml:space="preserve">: </w:t>
      </w:r>
      <w:r w:rsidRPr="00273051">
        <w:t>Kaplan-Meier curve of PFS assessed by BICR for the ITT-</w:t>
      </w:r>
      <w:r w:rsidR="00C937ED">
        <w:t>p</w:t>
      </w:r>
      <w:r w:rsidRPr="00273051">
        <w:t>embrolizum</w:t>
      </w:r>
      <w:r w:rsidRPr="00DB3CC6">
        <w:t>ab</w:t>
      </w:r>
      <w:r w:rsidRPr="00273051">
        <w:t xml:space="preserve"> </w:t>
      </w:r>
      <w:r w:rsidR="00C937ED">
        <w:t>p</w:t>
      </w:r>
      <w:r w:rsidRPr="00273051">
        <w:t>opulation</w:t>
      </w:r>
      <w:r>
        <w:t>, LIBRETTO-431</w:t>
      </w:r>
    </w:p>
    <w:p w14:paraId="305E0BAF" w14:textId="77777777" w:rsidR="002D7804" w:rsidRDefault="002D7804" w:rsidP="002D7804">
      <w:pPr>
        <w:pStyle w:val="BodyText"/>
        <w:keepNext/>
      </w:pPr>
      <w:r w:rsidRPr="00FD0E5F">
        <w:rPr>
          <w:rFonts w:ascii="Arial Narrow" w:hAnsi="Arial Narrow"/>
          <w:noProof/>
          <w:sz w:val="18"/>
          <w:szCs w:val="18"/>
        </w:rPr>
        <w:drawing>
          <wp:inline distT="0" distB="0" distL="0" distR="0" wp14:anchorId="77A400C4" wp14:editId="1AC2E487">
            <wp:extent cx="5774263" cy="3455670"/>
            <wp:effectExtent l="0" t="0" r="0" b="0"/>
            <wp:docPr id="1966510376" name="Picture 2" descr="Figure 1: Kaplan-Meier curve of PFS assessed by BICR for the ITT-pembrolizumab population, LIBRETTO-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10376" name="Picture 2" descr="Figure 1: Kaplan-Meier curve of PFS assessed by BICR for the ITT-pembrolizumab population, LIBRETTO-4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521" cy="3460014"/>
                    </a:xfrm>
                    <a:prstGeom prst="rect">
                      <a:avLst/>
                    </a:prstGeom>
                    <a:noFill/>
                    <a:ln>
                      <a:noFill/>
                    </a:ln>
                  </pic:spPr>
                </pic:pic>
              </a:graphicData>
            </a:graphic>
          </wp:inline>
        </w:drawing>
      </w:r>
    </w:p>
    <w:p w14:paraId="22F2F5CB" w14:textId="77777777" w:rsidR="002D7804" w:rsidRPr="00FD0E5F" w:rsidRDefault="002D7804" w:rsidP="008F6B61">
      <w:pPr>
        <w:pStyle w:val="TableFigNotes18"/>
        <w:keepNext/>
        <w:spacing w:before="0" w:line="240" w:lineRule="auto"/>
        <w:rPr>
          <w:rFonts w:ascii="Arial Narrow" w:hAnsi="Arial Narrow"/>
          <w:sz w:val="18"/>
          <w:szCs w:val="18"/>
        </w:rPr>
      </w:pPr>
      <w:r w:rsidRPr="00FD0E5F">
        <w:rPr>
          <w:rFonts w:ascii="Arial Narrow" w:hAnsi="Arial Narrow"/>
          <w:sz w:val="18"/>
          <w:szCs w:val="18"/>
        </w:rPr>
        <w:t>Source: Figure 2-5, p70 of the resubmission.</w:t>
      </w:r>
    </w:p>
    <w:p w14:paraId="5DCC2F95" w14:textId="4AF476EB" w:rsidR="002D7804" w:rsidRDefault="002D7804" w:rsidP="002D7804">
      <w:pPr>
        <w:pStyle w:val="TableFigNotes18"/>
        <w:keepNext/>
        <w:spacing w:line="240" w:lineRule="auto"/>
        <w:rPr>
          <w:rFonts w:ascii="Arial Narrow" w:hAnsi="Arial Narrow"/>
          <w:sz w:val="18"/>
          <w:szCs w:val="18"/>
        </w:rPr>
      </w:pPr>
      <w:r w:rsidRPr="00FD0E5F">
        <w:rPr>
          <w:rFonts w:ascii="Arial Narrow" w:hAnsi="Arial Narrow"/>
          <w:sz w:val="18"/>
          <w:szCs w:val="18"/>
        </w:rPr>
        <w:t>BICR</w:t>
      </w:r>
      <w:r>
        <w:rPr>
          <w:rFonts w:ascii="Arial Narrow" w:hAnsi="Arial Narrow"/>
          <w:sz w:val="18"/>
          <w:szCs w:val="18"/>
        </w:rPr>
        <w:t xml:space="preserve"> = </w:t>
      </w:r>
      <w:r w:rsidRPr="00FD0E5F">
        <w:rPr>
          <w:rFonts w:ascii="Arial Narrow" w:hAnsi="Arial Narrow"/>
          <w:sz w:val="18"/>
          <w:szCs w:val="18"/>
        </w:rPr>
        <w:t>blinded independent central review; CI, confidence interval; HR</w:t>
      </w:r>
      <w:r>
        <w:rPr>
          <w:rFonts w:ascii="Arial Narrow" w:hAnsi="Arial Narrow"/>
          <w:sz w:val="18"/>
          <w:szCs w:val="18"/>
        </w:rPr>
        <w:t xml:space="preserve"> =</w:t>
      </w:r>
      <w:r w:rsidRPr="00FD0E5F">
        <w:rPr>
          <w:rFonts w:ascii="Arial Narrow" w:hAnsi="Arial Narrow"/>
          <w:sz w:val="18"/>
          <w:szCs w:val="18"/>
        </w:rPr>
        <w:t xml:space="preserve"> hazard ratio; ITT</w:t>
      </w:r>
      <w:r>
        <w:rPr>
          <w:rFonts w:ascii="Arial Narrow" w:hAnsi="Arial Narrow"/>
          <w:sz w:val="18"/>
          <w:szCs w:val="18"/>
        </w:rPr>
        <w:t xml:space="preserve"> =</w:t>
      </w:r>
      <w:r w:rsidRPr="00FD0E5F">
        <w:rPr>
          <w:rFonts w:ascii="Arial Narrow" w:hAnsi="Arial Narrow"/>
          <w:sz w:val="18"/>
          <w:szCs w:val="18"/>
        </w:rPr>
        <w:t xml:space="preserve"> intent-to-treat; IWRS</w:t>
      </w:r>
      <w:r>
        <w:rPr>
          <w:rFonts w:ascii="Arial Narrow" w:hAnsi="Arial Narrow"/>
          <w:sz w:val="18"/>
          <w:szCs w:val="18"/>
        </w:rPr>
        <w:t xml:space="preserve"> =</w:t>
      </w:r>
      <w:r w:rsidRPr="00FD0E5F">
        <w:rPr>
          <w:rFonts w:ascii="Arial Narrow" w:hAnsi="Arial Narrow"/>
          <w:sz w:val="18"/>
          <w:szCs w:val="18"/>
        </w:rPr>
        <w:t xml:space="preserve"> interactive web response system; PFS</w:t>
      </w:r>
      <w:r>
        <w:rPr>
          <w:rFonts w:ascii="Arial Narrow" w:hAnsi="Arial Narrow"/>
          <w:sz w:val="18"/>
          <w:szCs w:val="18"/>
        </w:rPr>
        <w:t xml:space="preserve"> =</w:t>
      </w:r>
      <w:r w:rsidRPr="00FD0E5F">
        <w:rPr>
          <w:rFonts w:ascii="Arial Narrow" w:hAnsi="Arial Narrow"/>
          <w:sz w:val="18"/>
          <w:szCs w:val="18"/>
        </w:rPr>
        <w:t xml:space="preserve"> progression-free survival; TRT A</w:t>
      </w:r>
      <w:r>
        <w:rPr>
          <w:rFonts w:ascii="Arial Narrow" w:hAnsi="Arial Narrow"/>
          <w:sz w:val="18"/>
          <w:szCs w:val="18"/>
        </w:rPr>
        <w:t xml:space="preserve"> =</w:t>
      </w:r>
      <w:r w:rsidRPr="00FD0E5F">
        <w:rPr>
          <w:rFonts w:ascii="Arial Narrow" w:hAnsi="Arial Narrow"/>
          <w:sz w:val="18"/>
          <w:szCs w:val="18"/>
        </w:rPr>
        <w:t xml:space="preserve"> selpercatinib; TRT B</w:t>
      </w:r>
      <w:r>
        <w:rPr>
          <w:rFonts w:ascii="Arial Narrow" w:hAnsi="Arial Narrow"/>
          <w:sz w:val="18"/>
          <w:szCs w:val="18"/>
        </w:rPr>
        <w:t xml:space="preserve"> =</w:t>
      </w:r>
      <w:r w:rsidRPr="00FD0E5F">
        <w:rPr>
          <w:rFonts w:ascii="Arial Narrow" w:hAnsi="Arial Narrow"/>
          <w:sz w:val="18"/>
          <w:szCs w:val="18"/>
        </w:rPr>
        <w:t xml:space="preserve"> carboplatin or cisplatin + pemetrexed + pembrolizumab</w:t>
      </w:r>
      <w:r w:rsidR="2A78F543" w:rsidRPr="72AD9F9F">
        <w:rPr>
          <w:rFonts w:ascii="Arial Narrow" w:hAnsi="Arial Narrow"/>
          <w:sz w:val="18"/>
          <w:szCs w:val="18"/>
        </w:rPr>
        <w:t>.</w:t>
      </w:r>
    </w:p>
    <w:p w14:paraId="7D4A41DD" w14:textId="5F128CF3" w:rsidR="002D7804" w:rsidRPr="00FD0E5F" w:rsidRDefault="002D7804" w:rsidP="002D7804">
      <w:pPr>
        <w:pStyle w:val="TableFigNotes18"/>
        <w:keepNext/>
        <w:spacing w:line="240" w:lineRule="auto"/>
        <w:rPr>
          <w:rFonts w:ascii="Arial Narrow" w:hAnsi="Arial Narrow"/>
          <w:sz w:val="18"/>
          <w:szCs w:val="18"/>
        </w:rPr>
      </w:pPr>
      <w:r w:rsidRPr="00FD0E5F">
        <w:rPr>
          <w:rFonts w:ascii="Arial Narrow" w:hAnsi="Arial Narrow"/>
          <w:sz w:val="18"/>
          <w:szCs w:val="18"/>
          <w:vertAlign w:val="superscript"/>
        </w:rPr>
        <w:t xml:space="preserve">a </w:t>
      </w:r>
      <w:r w:rsidRPr="00FD0E5F">
        <w:rPr>
          <w:rFonts w:ascii="Arial Narrow" w:hAnsi="Arial Narrow"/>
          <w:sz w:val="18"/>
          <w:szCs w:val="18"/>
        </w:rPr>
        <w:t>HR – IWRS stratified hazard ratio from Cox proportional hazard model and 95% CI of TRT A versus TRT B</w:t>
      </w:r>
      <w:r w:rsidR="665648DF" w:rsidRPr="72AD9F9F">
        <w:rPr>
          <w:rFonts w:ascii="Arial Narrow" w:hAnsi="Arial Narrow"/>
          <w:sz w:val="18"/>
          <w:szCs w:val="18"/>
        </w:rPr>
        <w:t>.</w:t>
      </w:r>
    </w:p>
    <w:p w14:paraId="24CDBA37" w14:textId="0FB0ADDB" w:rsidR="002D7804" w:rsidRPr="00FD0E5F" w:rsidRDefault="002D7804" w:rsidP="002D7804">
      <w:pPr>
        <w:pStyle w:val="TableFigNotes18"/>
        <w:widowControl w:val="0"/>
        <w:spacing w:line="240" w:lineRule="auto"/>
        <w:rPr>
          <w:rFonts w:ascii="Arial Narrow" w:hAnsi="Arial Narrow"/>
          <w:sz w:val="18"/>
          <w:szCs w:val="18"/>
        </w:rPr>
      </w:pPr>
      <w:r w:rsidRPr="00FD0E5F">
        <w:rPr>
          <w:rFonts w:ascii="Arial Narrow" w:hAnsi="Arial Narrow"/>
          <w:sz w:val="18"/>
          <w:szCs w:val="18"/>
          <w:vertAlign w:val="superscript"/>
        </w:rPr>
        <w:t>b</w:t>
      </w:r>
      <w:r w:rsidRPr="00FD0E5F">
        <w:rPr>
          <w:rFonts w:ascii="Arial Narrow" w:hAnsi="Arial Narrow"/>
          <w:sz w:val="18"/>
          <w:szCs w:val="18"/>
        </w:rPr>
        <w:t xml:space="preserve"> Log-rank IWRS stratified p-value (2-sided) for comparison of TRT A versus TRT B</w:t>
      </w:r>
      <w:r w:rsidR="665648DF" w:rsidRPr="2364FAE2">
        <w:rPr>
          <w:rFonts w:ascii="Arial Narrow" w:hAnsi="Arial Narrow"/>
          <w:sz w:val="18"/>
          <w:szCs w:val="18"/>
        </w:rPr>
        <w:t>.</w:t>
      </w:r>
    </w:p>
    <w:p w14:paraId="036D9E6F" w14:textId="764BEB90" w:rsidR="002D7804" w:rsidRDefault="002D7804" w:rsidP="002D7804">
      <w:pPr>
        <w:pStyle w:val="Caption"/>
        <w:jc w:val="left"/>
      </w:pPr>
      <w:bookmarkStart w:id="35" w:name="_Ref163891827"/>
      <w:r>
        <w:lastRenderedPageBreak/>
        <w:t xml:space="preserve">Figure </w:t>
      </w:r>
      <w:r w:rsidR="00BA56FF">
        <w:fldChar w:fldCharType="begin" w:fldLock="1"/>
      </w:r>
      <w:r w:rsidR="00BA56FF">
        <w:instrText xml:space="preserve"> SEQ Figure \* ARABIC </w:instrText>
      </w:r>
      <w:r w:rsidR="00BA56FF">
        <w:fldChar w:fldCharType="separate"/>
      </w:r>
      <w:r w:rsidR="00F979CE">
        <w:rPr>
          <w:noProof/>
        </w:rPr>
        <w:t>2</w:t>
      </w:r>
      <w:r w:rsidR="00BA56FF">
        <w:rPr>
          <w:noProof/>
        </w:rPr>
        <w:fldChar w:fldCharType="end"/>
      </w:r>
      <w:bookmarkEnd w:id="35"/>
      <w:r>
        <w:t xml:space="preserve">: </w:t>
      </w:r>
      <w:r w:rsidRPr="00132937">
        <w:t>Kaplan-Meier curve of PFS assessed by BICR for the ITT-</w:t>
      </w:r>
      <w:r>
        <w:t>p</w:t>
      </w:r>
      <w:r w:rsidRPr="00132937">
        <w:t>opulation</w:t>
      </w:r>
      <w:r>
        <w:t>, LIBRETTO-431</w:t>
      </w:r>
    </w:p>
    <w:p w14:paraId="1F63C29F" w14:textId="77777777" w:rsidR="002D7804" w:rsidRDefault="002D7804" w:rsidP="002D7804">
      <w:pPr>
        <w:pStyle w:val="BodyText"/>
        <w:keepNext/>
        <w:rPr>
          <w:lang w:eastAsia="en-US"/>
        </w:rPr>
      </w:pPr>
      <w:r>
        <w:rPr>
          <w:noProof/>
          <w:lang w:eastAsia="en-US"/>
        </w:rPr>
        <w:drawing>
          <wp:inline distT="0" distB="0" distL="0" distR="0" wp14:anchorId="4650B6AF" wp14:editId="25922C72">
            <wp:extent cx="5657850" cy="3398128"/>
            <wp:effectExtent l="0" t="0" r="0" b="0"/>
            <wp:docPr id="2107167569" name="Picture 1" descr="Figure 2: Kaplan-Meier curve of PFS assessed by BICR for the ITT-population, LIBRETTO-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67569" name="Picture 1" descr="Figure 2: Kaplan-Meier curve of PFS assessed by BICR for the ITT-population, LIBRETTO-4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0607" cy="3399784"/>
                    </a:xfrm>
                    <a:prstGeom prst="rect">
                      <a:avLst/>
                    </a:prstGeom>
                    <a:noFill/>
                  </pic:spPr>
                </pic:pic>
              </a:graphicData>
            </a:graphic>
          </wp:inline>
        </w:drawing>
      </w:r>
    </w:p>
    <w:p w14:paraId="512E0D60" w14:textId="77777777" w:rsidR="002D7804" w:rsidRPr="00FD0E5F" w:rsidRDefault="002D7804" w:rsidP="008F6B61">
      <w:pPr>
        <w:pStyle w:val="TableFigNotes18"/>
        <w:keepNext/>
        <w:spacing w:before="0" w:line="240" w:lineRule="auto"/>
        <w:rPr>
          <w:rFonts w:ascii="Arial Narrow" w:hAnsi="Arial Narrow"/>
          <w:sz w:val="18"/>
          <w:szCs w:val="18"/>
        </w:rPr>
      </w:pPr>
      <w:r w:rsidRPr="00FD0E5F">
        <w:rPr>
          <w:rFonts w:ascii="Arial Narrow" w:hAnsi="Arial Narrow"/>
          <w:sz w:val="18"/>
          <w:szCs w:val="18"/>
        </w:rPr>
        <w:t xml:space="preserve">Source: </w:t>
      </w:r>
      <w:r w:rsidRPr="00132937">
        <w:rPr>
          <w:rFonts w:ascii="Arial Narrow" w:hAnsi="Arial Narrow"/>
          <w:sz w:val="18"/>
          <w:szCs w:val="18"/>
        </w:rPr>
        <w:t>Figure JZJC.5.2</w:t>
      </w:r>
      <w:r w:rsidRPr="00FD0E5F">
        <w:rPr>
          <w:rFonts w:ascii="Arial Narrow" w:hAnsi="Arial Narrow"/>
          <w:sz w:val="18"/>
          <w:szCs w:val="18"/>
        </w:rPr>
        <w:t>, p</w:t>
      </w:r>
      <w:r>
        <w:rPr>
          <w:rFonts w:ascii="Arial Narrow" w:hAnsi="Arial Narrow"/>
          <w:sz w:val="18"/>
          <w:szCs w:val="18"/>
        </w:rPr>
        <w:t>104</w:t>
      </w:r>
      <w:r w:rsidRPr="00FD0E5F">
        <w:rPr>
          <w:rFonts w:ascii="Arial Narrow" w:hAnsi="Arial Narrow"/>
          <w:sz w:val="18"/>
          <w:szCs w:val="18"/>
        </w:rPr>
        <w:t xml:space="preserve"> of the </w:t>
      </w:r>
      <w:r>
        <w:rPr>
          <w:rFonts w:ascii="Arial Narrow" w:hAnsi="Arial Narrow"/>
          <w:sz w:val="18"/>
          <w:szCs w:val="18"/>
        </w:rPr>
        <w:t>LIBRETTO-431 CSR</w:t>
      </w:r>
      <w:r w:rsidRPr="00FD0E5F">
        <w:rPr>
          <w:rFonts w:ascii="Arial Narrow" w:hAnsi="Arial Narrow"/>
          <w:sz w:val="18"/>
          <w:szCs w:val="18"/>
        </w:rPr>
        <w:t>.</w:t>
      </w:r>
    </w:p>
    <w:p w14:paraId="6EC3FDE1" w14:textId="5F8BF428" w:rsidR="002D7804" w:rsidRDefault="002D7804" w:rsidP="002D7804">
      <w:pPr>
        <w:pStyle w:val="TableFigNotes18"/>
        <w:keepNext/>
        <w:spacing w:line="240" w:lineRule="auto"/>
        <w:rPr>
          <w:rFonts w:ascii="Arial Narrow" w:hAnsi="Arial Narrow"/>
          <w:sz w:val="18"/>
          <w:szCs w:val="18"/>
        </w:rPr>
      </w:pPr>
      <w:r w:rsidRPr="00FD0E5F">
        <w:rPr>
          <w:rFonts w:ascii="Arial Narrow" w:hAnsi="Arial Narrow"/>
          <w:sz w:val="18"/>
          <w:szCs w:val="18"/>
        </w:rPr>
        <w:t>BICR</w:t>
      </w:r>
      <w:r>
        <w:rPr>
          <w:rFonts w:ascii="Arial Narrow" w:hAnsi="Arial Narrow"/>
          <w:sz w:val="18"/>
          <w:szCs w:val="18"/>
        </w:rPr>
        <w:t xml:space="preserve"> = </w:t>
      </w:r>
      <w:r w:rsidRPr="00FD0E5F">
        <w:rPr>
          <w:rFonts w:ascii="Arial Narrow" w:hAnsi="Arial Narrow"/>
          <w:sz w:val="18"/>
          <w:szCs w:val="18"/>
        </w:rPr>
        <w:t>blinded independent central review; CI, confidence interval; HR</w:t>
      </w:r>
      <w:r>
        <w:rPr>
          <w:rFonts w:ascii="Arial Narrow" w:hAnsi="Arial Narrow"/>
          <w:sz w:val="18"/>
          <w:szCs w:val="18"/>
        </w:rPr>
        <w:t xml:space="preserve"> =</w:t>
      </w:r>
      <w:r w:rsidRPr="00FD0E5F">
        <w:rPr>
          <w:rFonts w:ascii="Arial Narrow" w:hAnsi="Arial Narrow"/>
          <w:sz w:val="18"/>
          <w:szCs w:val="18"/>
        </w:rPr>
        <w:t xml:space="preserve"> hazard ratio; ITT</w:t>
      </w:r>
      <w:r>
        <w:rPr>
          <w:rFonts w:ascii="Arial Narrow" w:hAnsi="Arial Narrow"/>
          <w:sz w:val="18"/>
          <w:szCs w:val="18"/>
        </w:rPr>
        <w:t xml:space="preserve"> =</w:t>
      </w:r>
      <w:r w:rsidRPr="00FD0E5F">
        <w:rPr>
          <w:rFonts w:ascii="Arial Narrow" w:hAnsi="Arial Narrow"/>
          <w:sz w:val="18"/>
          <w:szCs w:val="18"/>
        </w:rPr>
        <w:t xml:space="preserve"> intent-to-treat; IWRS</w:t>
      </w:r>
      <w:r>
        <w:rPr>
          <w:rFonts w:ascii="Arial Narrow" w:hAnsi="Arial Narrow"/>
          <w:sz w:val="18"/>
          <w:szCs w:val="18"/>
        </w:rPr>
        <w:t xml:space="preserve"> =</w:t>
      </w:r>
      <w:r w:rsidRPr="00FD0E5F">
        <w:rPr>
          <w:rFonts w:ascii="Arial Narrow" w:hAnsi="Arial Narrow"/>
          <w:sz w:val="18"/>
          <w:szCs w:val="18"/>
        </w:rPr>
        <w:t xml:space="preserve"> interactive web response system; PFS</w:t>
      </w:r>
      <w:r>
        <w:rPr>
          <w:rFonts w:ascii="Arial Narrow" w:hAnsi="Arial Narrow"/>
          <w:sz w:val="18"/>
          <w:szCs w:val="18"/>
        </w:rPr>
        <w:t xml:space="preserve"> =</w:t>
      </w:r>
      <w:r w:rsidRPr="00FD0E5F">
        <w:rPr>
          <w:rFonts w:ascii="Arial Narrow" w:hAnsi="Arial Narrow"/>
          <w:sz w:val="18"/>
          <w:szCs w:val="18"/>
        </w:rPr>
        <w:t xml:space="preserve"> progression-free survival; TRT A</w:t>
      </w:r>
      <w:r>
        <w:rPr>
          <w:rFonts w:ascii="Arial Narrow" w:hAnsi="Arial Narrow"/>
          <w:sz w:val="18"/>
          <w:szCs w:val="18"/>
        </w:rPr>
        <w:t xml:space="preserve"> =</w:t>
      </w:r>
      <w:r w:rsidRPr="00FD0E5F">
        <w:rPr>
          <w:rFonts w:ascii="Arial Narrow" w:hAnsi="Arial Narrow"/>
          <w:sz w:val="18"/>
          <w:szCs w:val="18"/>
        </w:rPr>
        <w:t xml:space="preserve"> selpercatinib; TRT B</w:t>
      </w:r>
      <w:r>
        <w:rPr>
          <w:rFonts w:ascii="Arial Narrow" w:hAnsi="Arial Narrow"/>
          <w:sz w:val="18"/>
          <w:szCs w:val="18"/>
        </w:rPr>
        <w:t xml:space="preserve"> =</w:t>
      </w:r>
      <w:r w:rsidRPr="00FD0E5F">
        <w:rPr>
          <w:rFonts w:ascii="Arial Narrow" w:hAnsi="Arial Narrow"/>
          <w:sz w:val="18"/>
          <w:szCs w:val="18"/>
        </w:rPr>
        <w:t xml:space="preserve"> carboplatin or cisplatin + pemetrexed </w:t>
      </w:r>
      <w:r>
        <w:rPr>
          <w:rFonts w:ascii="Arial Narrow" w:hAnsi="Arial Narrow"/>
          <w:sz w:val="18"/>
          <w:szCs w:val="18"/>
        </w:rPr>
        <w:t>±</w:t>
      </w:r>
      <w:r w:rsidRPr="00FD0E5F">
        <w:rPr>
          <w:rFonts w:ascii="Arial Narrow" w:hAnsi="Arial Narrow"/>
          <w:sz w:val="18"/>
          <w:szCs w:val="18"/>
        </w:rPr>
        <w:t xml:space="preserve"> pembrolizumab</w:t>
      </w:r>
      <w:r w:rsidR="030D84E3" w:rsidRPr="72AD9F9F">
        <w:rPr>
          <w:rFonts w:ascii="Arial Narrow" w:hAnsi="Arial Narrow"/>
          <w:sz w:val="18"/>
          <w:szCs w:val="18"/>
        </w:rPr>
        <w:t>.</w:t>
      </w:r>
    </w:p>
    <w:p w14:paraId="6FEF910E" w14:textId="09959601" w:rsidR="002D7804" w:rsidRPr="00FD0E5F" w:rsidRDefault="002D7804" w:rsidP="002D7804">
      <w:pPr>
        <w:pStyle w:val="TableFigNotes18"/>
        <w:keepNext/>
        <w:spacing w:line="240" w:lineRule="auto"/>
        <w:rPr>
          <w:rFonts w:ascii="Arial Narrow" w:hAnsi="Arial Narrow"/>
          <w:sz w:val="18"/>
          <w:szCs w:val="18"/>
        </w:rPr>
      </w:pPr>
      <w:r w:rsidRPr="00FD0E5F">
        <w:rPr>
          <w:rFonts w:ascii="Arial Narrow" w:hAnsi="Arial Narrow"/>
          <w:sz w:val="18"/>
          <w:szCs w:val="18"/>
          <w:vertAlign w:val="superscript"/>
        </w:rPr>
        <w:t xml:space="preserve">a </w:t>
      </w:r>
      <w:r w:rsidRPr="00FD0E5F">
        <w:rPr>
          <w:rFonts w:ascii="Arial Narrow" w:hAnsi="Arial Narrow"/>
          <w:sz w:val="18"/>
          <w:szCs w:val="18"/>
        </w:rPr>
        <w:t>HR – IWRS stratified hazard ratio from Cox proportional hazard model and 95% CI of TRT A versus TRT B</w:t>
      </w:r>
      <w:r w:rsidR="41B3D3DF" w:rsidRPr="72AD9F9F">
        <w:rPr>
          <w:rFonts w:ascii="Arial Narrow" w:hAnsi="Arial Narrow"/>
          <w:sz w:val="18"/>
          <w:szCs w:val="18"/>
        </w:rPr>
        <w:t>.</w:t>
      </w:r>
    </w:p>
    <w:p w14:paraId="549CAAB7" w14:textId="7DE24CA0" w:rsidR="002D7804" w:rsidRPr="00FD0E5F" w:rsidRDefault="002D7804" w:rsidP="00FC1A2E">
      <w:pPr>
        <w:pStyle w:val="TableFigNotes18"/>
        <w:widowControl w:val="0"/>
        <w:spacing w:after="120" w:line="240" w:lineRule="auto"/>
        <w:rPr>
          <w:rFonts w:ascii="Arial Narrow" w:hAnsi="Arial Narrow"/>
          <w:sz w:val="18"/>
          <w:szCs w:val="18"/>
        </w:rPr>
      </w:pPr>
      <w:r w:rsidRPr="00FD0E5F">
        <w:rPr>
          <w:rFonts w:ascii="Arial Narrow" w:hAnsi="Arial Narrow"/>
          <w:sz w:val="18"/>
          <w:szCs w:val="18"/>
          <w:vertAlign w:val="superscript"/>
        </w:rPr>
        <w:t>b</w:t>
      </w:r>
      <w:r w:rsidRPr="00FD0E5F">
        <w:rPr>
          <w:rFonts w:ascii="Arial Narrow" w:hAnsi="Arial Narrow"/>
          <w:sz w:val="18"/>
          <w:szCs w:val="18"/>
        </w:rPr>
        <w:t xml:space="preserve"> Log-rank IWRS stratified p-value (2-sided) for comparison of TRT A versus TRT B</w:t>
      </w:r>
      <w:r w:rsidR="41B3D3DF" w:rsidRPr="72AD9F9F">
        <w:rPr>
          <w:rFonts w:ascii="Arial Narrow" w:hAnsi="Arial Narrow"/>
          <w:sz w:val="18"/>
          <w:szCs w:val="18"/>
        </w:rPr>
        <w:t>.</w:t>
      </w:r>
    </w:p>
    <w:p w14:paraId="194E0639" w14:textId="12F2156B" w:rsidR="002D7804" w:rsidRDefault="00364C6C" w:rsidP="002D7804">
      <w:pPr>
        <w:pStyle w:val="3-BodyText"/>
      </w:pPr>
      <w:r>
        <w:rPr>
          <w:snapToGrid/>
          <w:lang w:val="en-US"/>
        </w:rPr>
        <w:t>Patients</w:t>
      </w:r>
      <w:r w:rsidR="002D7804" w:rsidRPr="00A421CF">
        <w:rPr>
          <w:lang w:eastAsia="en-US"/>
        </w:rPr>
        <w:t xml:space="preserve"> </w:t>
      </w:r>
      <w:r w:rsidR="002D7804">
        <w:rPr>
          <w:lang w:eastAsia="en-US"/>
        </w:rPr>
        <w:t>treated with</w:t>
      </w:r>
      <w:r w:rsidR="002D7804" w:rsidRPr="00A421CF">
        <w:rPr>
          <w:lang w:eastAsia="en-US"/>
        </w:rPr>
        <w:t xml:space="preserve"> </w:t>
      </w:r>
      <w:r w:rsidR="002D7804">
        <w:rPr>
          <w:lang w:eastAsia="en-US"/>
        </w:rPr>
        <w:t>selpercatinib experienced</w:t>
      </w:r>
      <w:r w:rsidR="002D7804" w:rsidRPr="00A421CF">
        <w:rPr>
          <w:lang w:eastAsia="en-US"/>
        </w:rPr>
        <w:t xml:space="preserve"> a </w:t>
      </w:r>
      <w:r w:rsidR="002D7804" w:rsidRPr="009E5435">
        <w:rPr>
          <w:lang w:eastAsia="en-US"/>
        </w:rPr>
        <w:t>statistically significant improvement in PFS</w:t>
      </w:r>
      <w:r w:rsidR="002D7804" w:rsidRPr="00A421CF">
        <w:rPr>
          <w:lang w:eastAsia="en-US"/>
        </w:rPr>
        <w:t xml:space="preserve"> compared to </w:t>
      </w:r>
      <w:r>
        <w:rPr>
          <w:snapToGrid/>
          <w:lang w:val="en-US"/>
        </w:rPr>
        <w:t>patients</w:t>
      </w:r>
      <w:r w:rsidR="002D7804" w:rsidRPr="00A421CF">
        <w:rPr>
          <w:lang w:eastAsia="en-US"/>
        </w:rPr>
        <w:t xml:space="preserve"> </w:t>
      </w:r>
      <w:r w:rsidR="002D7804">
        <w:rPr>
          <w:lang w:eastAsia="en-US"/>
        </w:rPr>
        <w:t>treated with</w:t>
      </w:r>
      <w:r w:rsidR="002D7804" w:rsidRPr="00A421CF">
        <w:rPr>
          <w:lang w:eastAsia="en-US"/>
        </w:rPr>
        <w:t xml:space="preserve"> </w:t>
      </w:r>
      <w:r w:rsidR="002D7804">
        <w:rPr>
          <w:lang w:eastAsia="en-US"/>
        </w:rPr>
        <w:t>pembrolizumab + PC arm</w:t>
      </w:r>
      <w:r w:rsidR="002D7804" w:rsidRPr="00A421CF">
        <w:rPr>
          <w:lang w:eastAsia="en-US"/>
        </w:rPr>
        <w:t xml:space="preserve"> in the ITT-</w:t>
      </w:r>
      <w:r w:rsidR="002D7804">
        <w:rPr>
          <w:lang w:eastAsia="en-US"/>
        </w:rPr>
        <w:t>p</w:t>
      </w:r>
      <w:r w:rsidR="002D7804" w:rsidRPr="00A421CF">
        <w:rPr>
          <w:lang w:eastAsia="en-US"/>
        </w:rPr>
        <w:t xml:space="preserve">embrolizumab </w:t>
      </w:r>
      <w:r w:rsidR="002D7804">
        <w:rPr>
          <w:lang w:eastAsia="en-US"/>
        </w:rPr>
        <w:t>p</w:t>
      </w:r>
      <w:r w:rsidR="002D7804" w:rsidRPr="00A421CF">
        <w:rPr>
          <w:lang w:eastAsia="en-US"/>
        </w:rPr>
        <w:t>opulation</w:t>
      </w:r>
      <w:r w:rsidR="002D7804">
        <w:rPr>
          <w:lang w:eastAsia="en-US"/>
        </w:rPr>
        <w:t xml:space="preserve"> (HR = 0.465, 95% CI</w:t>
      </w:r>
      <w:r w:rsidR="006D5EFF">
        <w:rPr>
          <w:lang w:eastAsia="en-US"/>
        </w:rPr>
        <w:t>:</w:t>
      </w:r>
      <w:r w:rsidR="002D7804">
        <w:rPr>
          <w:lang w:eastAsia="en-US"/>
        </w:rPr>
        <w:t xml:space="preserve"> 0.309, 0.699) and the ITT</w:t>
      </w:r>
      <w:r w:rsidR="0083560E">
        <w:rPr>
          <w:lang w:eastAsia="en-US"/>
        </w:rPr>
        <w:t>-</w:t>
      </w:r>
      <w:r w:rsidR="002D7804">
        <w:rPr>
          <w:lang w:eastAsia="en-US"/>
        </w:rPr>
        <w:t>population (HR =</w:t>
      </w:r>
      <w:r w:rsidR="008F6B61">
        <w:rPr>
          <w:lang w:eastAsia="en-US"/>
        </w:rPr>
        <w:t xml:space="preserve"> </w:t>
      </w:r>
      <w:r w:rsidR="002D7804">
        <w:rPr>
          <w:lang w:eastAsia="en-US"/>
        </w:rPr>
        <w:t>0.482, 95% CI</w:t>
      </w:r>
      <w:r w:rsidR="006D5EFF">
        <w:rPr>
          <w:lang w:eastAsia="en-US"/>
        </w:rPr>
        <w:t>:</w:t>
      </w:r>
      <w:r w:rsidR="002D7804">
        <w:rPr>
          <w:lang w:eastAsia="en-US"/>
        </w:rPr>
        <w:t xml:space="preserve">0.331, 0.700). </w:t>
      </w:r>
      <w:r w:rsidR="002D7804" w:rsidRPr="00A421CF">
        <w:rPr>
          <w:lang w:eastAsia="en-US"/>
        </w:rPr>
        <w:t>The median incremental PFS was 13.67 months</w:t>
      </w:r>
      <w:r w:rsidR="002D7804">
        <w:rPr>
          <w:lang w:eastAsia="en-US"/>
        </w:rPr>
        <w:t xml:space="preserve"> in both analysis populations</w:t>
      </w:r>
      <w:r w:rsidR="002D7804" w:rsidRPr="00A421CF">
        <w:rPr>
          <w:lang w:eastAsia="en-US"/>
        </w:rPr>
        <w:t>.</w:t>
      </w:r>
    </w:p>
    <w:p w14:paraId="2FF505FF" w14:textId="2A1C9CD9" w:rsidR="00D9634E" w:rsidRPr="00E2432E" w:rsidRDefault="00C12212" w:rsidP="002D7804">
      <w:pPr>
        <w:pStyle w:val="3-BodyText"/>
        <w:rPr>
          <w:i/>
        </w:rPr>
      </w:pPr>
      <w:r>
        <w:t>The OS data were immature. As at the 1 May 2023 data cutoff, in the ITT-pembrolizumab population, 19.4% of patients in selpercatinib arm and 18.1% of patients in the pembrolizumab + PC arm had died.</w:t>
      </w:r>
    </w:p>
    <w:p w14:paraId="6A6C5E0A" w14:textId="6AE7FBA0" w:rsidR="00805D56" w:rsidRPr="00861BF1" w:rsidRDefault="00D9634E" w:rsidP="00805D56">
      <w:pPr>
        <w:pStyle w:val="3-BodyText"/>
      </w:pPr>
      <w:bookmarkStart w:id="36" w:name="_Ref169592048"/>
      <w:r>
        <w:t>As of the 01 May 2023 data cutoff date, 56 patients from the ITT-</w:t>
      </w:r>
      <w:r w:rsidR="0083560E">
        <w:t>p</w:t>
      </w:r>
      <w:r>
        <w:t xml:space="preserve">embrolizumab </w:t>
      </w:r>
      <w:r w:rsidR="0083560E">
        <w:t>p</w:t>
      </w:r>
      <w:r>
        <w:t xml:space="preserve">opulation randomised to </w:t>
      </w:r>
      <w:r w:rsidR="00252370">
        <w:t>the control arm</w:t>
      </w:r>
      <w:r>
        <w:t xml:space="preserve"> (including 3 patients who were randomised but did not receive treatment) had discontinued treatment. Of these, 36 patients (64.3%) crossed ove</w:t>
      </w:r>
      <w:r w:rsidRPr="008C0E3C">
        <w:t xml:space="preserve">r and received selpercatinib on-study. </w:t>
      </w:r>
      <w:r w:rsidR="00CD40F1">
        <w:t xml:space="preserve">In addition, 6 other patients </w:t>
      </w:r>
      <w:r w:rsidR="00102784">
        <w:t xml:space="preserve">who discontinued study treatment </w:t>
      </w:r>
      <w:r w:rsidR="00CD40F1">
        <w:t xml:space="preserve">(10.7%) received a commercially available selective </w:t>
      </w:r>
      <w:r w:rsidR="00CD40F1" w:rsidRPr="009B2E7C">
        <w:rPr>
          <w:i/>
        </w:rPr>
        <w:t>RET</w:t>
      </w:r>
      <w:r w:rsidR="00CD40F1">
        <w:t xml:space="preserve"> inhibitor after discontinuation from the study</w:t>
      </w:r>
      <w:r w:rsidR="00186102">
        <w:t xml:space="preserve">. </w:t>
      </w:r>
      <w:r w:rsidR="002E5836">
        <w:t>The effective crossover rate was 75%</w:t>
      </w:r>
      <w:r w:rsidR="00CF50CE">
        <w:t xml:space="preserve"> of patients who discontinued treatment in the control arm</w:t>
      </w:r>
      <w:r w:rsidR="00A85496">
        <w:rPr>
          <w:rStyle w:val="FootnoteReference"/>
        </w:rPr>
        <w:footnoteReference w:id="9"/>
      </w:r>
      <w:r w:rsidR="002E5836">
        <w:t xml:space="preserve">. </w:t>
      </w:r>
      <w:r w:rsidR="002D7804" w:rsidRPr="007A7229">
        <w:t xml:space="preserve">The OS in the control arm was confounded by treatment cross-over and the comparative treatment effect </w:t>
      </w:r>
      <w:r w:rsidR="002D7804" w:rsidRPr="007A7229">
        <w:lastRenderedPageBreak/>
        <w:t>of selpercatinib was likely underestimated.</w:t>
      </w:r>
      <w:r w:rsidR="007D2E6E" w:rsidRPr="007A7229">
        <w:t xml:space="preserve"> </w:t>
      </w:r>
      <w:r w:rsidR="002246E4" w:rsidRPr="007A7229">
        <w:t>The resubmission did not present any adjustment for crossover.</w:t>
      </w:r>
      <w:r w:rsidR="00957E82">
        <w:t xml:space="preserve"> </w:t>
      </w:r>
      <w:r w:rsidR="00957E82" w:rsidRPr="00861BF1">
        <w:t xml:space="preserve">The </w:t>
      </w:r>
      <w:r w:rsidR="00AA57D3" w:rsidRPr="00861BF1">
        <w:t>ESC agreed with the</w:t>
      </w:r>
      <w:r w:rsidR="00EA0170" w:rsidRPr="00EA0170">
        <w:t xml:space="preserve"> Pre-Sub-Committee Response</w:t>
      </w:r>
      <w:r w:rsidR="00AA57D3" w:rsidRPr="00861BF1">
        <w:t xml:space="preserve"> </w:t>
      </w:r>
      <w:r w:rsidR="00EA0170">
        <w:t>(</w:t>
      </w:r>
      <w:r w:rsidR="00957E82" w:rsidRPr="00861BF1">
        <w:t>PSCR</w:t>
      </w:r>
      <w:r w:rsidR="00EA0170">
        <w:t>)</w:t>
      </w:r>
      <w:r w:rsidR="00957E82" w:rsidRPr="00861BF1">
        <w:t xml:space="preserve"> that given the immaturity of the OS data from LIBRETTO-431, none of the crossover adjustment methods would have provided a reliable estimate of OS. </w:t>
      </w:r>
      <w:bookmarkEnd w:id="36"/>
      <w:r w:rsidR="00A85496">
        <w:t>The PBAC noted that 50%</w:t>
      </w:r>
      <w:r w:rsidR="00A85496">
        <w:rPr>
          <w:rStyle w:val="FootnoteReference"/>
        </w:rPr>
        <w:footnoteReference w:id="10"/>
      </w:r>
      <w:r w:rsidR="00A85496">
        <w:t xml:space="preserve"> of patients randomised to the pembrolizumab +</w:t>
      </w:r>
      <w:r w:rsidR="001D2BDD">
        <w:t xml:space="preserve"> </w:t>
      </w:r>
      <w:r w:rsidR="00A85496">
        <w:t xml:space="preserve">PC arm crossed over to a </w:t>
      </w:r>
      <w:r w:rsidR="00A85496" w:rsidRPr="00A85496">
        <w:rPr>
          <w:i/>
          <w:iCs/>
        </w:rPr>
        <w:t>RET</w:t>
      </w:r>
      <w:r w:rsidR="00A85496">
        <w:t xml:space="preserve"> inhibitor.</w:t>
      </w:r>
    </w:p>
    <w:p w14:paraId="14AC717D" w14:textId="457E91F2" w:rsidR="002548D9" w:rsidRDefault="009D7820" w:rsidP="00E2432E">
      <w:pPr>
        <w:pStyle w:val="3-BodyText"/>
        <w:rPr>
          <w:lang w:eastAsia="en-US"/>
        </w:rPr>
      </w:pPr>
      <w:r>
        <w:rPr>
          <w:lang w:eastAsia="en-US"/>
        </w:rPr>
        <w:t>Objective Response Rate (</w:t>
      </w:r>
      <w:r w:rsidR="00275331">
        <w:rPr>
          <w:lang w:eastAsia="en-US"/>
        </w:rPr>
        <w:t>ORR</w:t>
      </w:r>
      <w:r>
        <w:rPr>
          <w:lang w:eastAsia="en-US"/>
        </w:rPr>
        <w:t>)</w:t>
      </w:r>
      <w:r w:rsidR="00275331">
        <w:rPr>
          <w:lang w:eastAsia="en-US"/>
        </w:rPr>
        <w:t xml:space="preserve"> was significantly higher in the selpercatinib (83.7%) versus the pembrolizumab + PC arm (65.1%) in the ITT-</w:t>
      </w:r>
      <w:r w:rsidR="0083560E">
        <w:rPr>
          <w:lang w:eastAsia="en-US"/>
        </w:rPr>
        <w:t>p</w:t>
      </w:r>
      <w:r w:rsidR="00275331">
        <w:rPr>
          <w:lang w:eastAsia="en-US"/>
        </w:rPr>
        <w:t xml:space="preserve">embrolizumab </w:t>
      </w:r>
      <w:r w:rsidR="0083560E">
        <w:rPr>
          <w:lang w:eastAsia="en-US"/>
        </w:rPr>
        <w:t>p</w:t>
      </w:r>
      <w:r w:rsidR="00275331">
        <w:rPr>
          <w:lang w:eastAsia="en-US"/>
        </w:rPr>
        <w:t>opulation (odds ratio, OR = 2.7; 95% CI</w:t>
      </w:r>
      <w:r w:rsidR="006D5EFF">
        <w:rPr>
          <w:lang w:eastAsia="en-US"/>
        </w:rPr>
        <w:t>:</w:t>
      </w:r>
      <w:r w:rsidR="00275331">
        <w:rPr>
          <w:lang w:eastAsia="en-US"/>
        </w:rPr>
        <w:t xml:space="preserve"> 1.4, 5.1; p=0.0028). A similar result was found in the ITT</w:t>
      </w:r>
      <w:r w:rsidR="0083560E">
        <w:rPr>
          <w:lang w:eastAsia="en-US"/>
        </w:rPr>
        <w:t>-</w:t>
      </w:r>
      <w:r w:rsidR="00275331">
        <w:rPr>
          <w:lang w:eastAsia="en-US"/>
        </w:rPr>
        <w:t>population (OR = 2.9; 95% CI: 1.6</w:t>
      </w:r>
      <w:r w:rsidR="006D5EFF">
        <w:rPr>
          <w:lang w:eastAsia="en-US"/>
        </w:rPr>
        <w:t xml:space="preserve">, </w:t>
      </w:r>
      <w:r w:rsidR="00275331">
        <w:rPr>
          <w:lang w:eastAsia="en-US"/>
        </w:rPr>
        <w:t>5.2; p = 0.0003)</w:t>
      </w:r>
      <w:r w:rsidR="00F1549F">
        <w:rPr>
          <w:lang w:eastAsia="en-US"/>
        </w:rPr>
        <w:t>.</w:t>
      </w:r>
    </w:p>
    <w:p w14:paraId="2270AF87" w14:textId="0B1297E7" w:rsidR="002D7804" w:rsidRDefault="002D7804" w:rsidP="00372A9A">
      <w:pPr>
        <w:pStyle w:val="3-BodyText"/>
        <w:rPr>
          <w:lang w:eastAsia="en-US"/>
        </w:rPr>
      </w:pPr>
      <w:r>
        <w:rPr>
          <w:lang w:eastAsia="en-US"/>
        </w:rPr>
        <w:t>The LIBRETTO-431 trial collected p</w:t>
      </w:r>
      <w:r w:rsidRPr="00285121">
        <w:rPr>
          <w:lang w:eastAsia="en-US"/>
        </w:rPr>
        <w:t xml:space="preserve">atient-reported </w:t>
      </w:r>
      <w:r>
        <w:rPr>
          <w:lang w:eastAsia="en-US"/>
        </w:rPr>
        <w:t xml:space="preserve">health related quality of life </w:t>
      </w:r>
      <w:r w:rsidRPr="00A61EE0">
        <w:rPr>
          <w:lang w:eastAsia="en-US"/>
        </w:rPr>
        <w:t>using the</w:t>
      </w:r>
      <w:r w:rsidRPr="00285121">
        <w:t xml:space="preserve"> </w:t>
      </w:r>
      <w:r w:rsidRPr="00E1472E">
        <w:t>European Organisation for Research and Treatment</w:t>
      </w:r>
      <w:r>
        <w:t xml:space="preserve"> QLQ-C30 (</w:t>
      </w:r>
      <w:r>
        <w:rPr>
          <w:lang w:eastAsia="en-US"/>
        </w:rPr>
        <w:fldChar w:fldCharType="begin" w:fldLock="1"/>
      </w:r>
      <w:r>
        <w:rPr>
          <w:lang w:eastAsia="en-US"/>
        </w:rPr>
        <w:instrText xml:space="preserve"> REF _Ref163891896 \h </w:instrText>
      </w:r>
      <w:r>
        <w:rPr>
          <w:lang w:eastAsia="en-US"/>
        </w:rPr>
      </w:r>
      <w:r>
        <w:rPr>
          <w:lang w:eastAsia="en-US"/>
        </w:rPr>
        <w:fldChar w:fldCharType="separate"/>
      </w:r>
      <w:r w:rsidR="00F979CE">
        <w:t xml:space="preserve">Figure </w:t>
      </w:r>
      <w:r w:rsidR="00F979CE">
        <w:rPr>
          <w:noProof/>
        </w:rPr>
        <w:t>3</w:t>
      </w:r>
      <w:r>
        <w:rPr>
          <w:lang w:eastAsia="en-US"/>
        </w:rPr>
        <w:fldChar w:fldCharType="end"/>
      </w:r>
      <w:r>
        <w:rPr>
          <w:lang w:eastAsia="en-US"/>
        </w:rPr>
        <w:t>).</w:t>
      </w:r>
    </w:p>
    <w:p w14:paraId="580A894F" w14:textId="0103F16F" w:rsidR="002D7804" w:rsidRDefault="002D7804" w:rsidP="002D7804">
      <w:pPr>
        <w:pStyle w:val="Caption"/>
        <w:jc w:val="left"/>
      </w:pPr>
      <w:bookmarkStart w:id="37" w:name="_Ref163891896"/>
      <w:r>
        <w:t xml:space="preserve">Figure </w:t>
      </w:r>
      <w:r w:rsidR="00BA56FF">
        <w:fldChar w:fldCharType="begin" w:fldLock="1"/>
      </w:r>
      <w:r w:rsidR="00BA56FF">
        <w:instrText xml:space="preserve"> SEQ Figure \* ARABIC </w:instrText>
      </w:r>
      <w:r w:rsidR="00BA56FF">
        <w:fldChar w:fldCharType="separate"/>
      </w:r>
      <w:r w:rsidR="00F979CE">
        <w:rPr>
          <w:noProof/>
        </w:rPr>
        <w:t>3</w:t>
      </w:r>
      <w:r w:rsidR="00BA56FF">
        <w:rPr>
          <w:noProof/>
        </w:rPr>
        <w:fldChar w:fldCharType="end"/>
      </w:r>
      <w:bookmarkEnd w:id="37"/>
      <w:r>
        <w:t>:</w:t>
      </w:r>
      <w:r w:rsidRPr="00FD2076">
        <w:t xml:space="preserve"> </w:t>
      </w:r>
      <w:r>
        <w:t xml:space="preserve">EORTC IL19 physical functioning Kaplan-Meier plots of time to confirmed deterioration, </w:t>
      </w:r>
      <w:r w:rsidRPr="00D03BA5">
        <w:t>ITT-</w:t>
      </w:r>
      <w:r>
        <w:t>p</w:t>
      </w:r>
      <w:r w:rsidRPr="00D03BA5">
        <w:t xml:space="preserve">embrolizumab </w:t>
      </w:r>
      <w:r w:rsidRPr="431F13A9">
        <w:t>population</w:t>
      </w:r>
    </w:p>
    <w:p w14:paraId="27428F8A" w14:textId="0478A7E8" w:rsidR="002D7804" w:rsidRDefault="002D7804" w:rsidP="002D7804">
      <w:pPr>
        <w:pStyle w:val="mdFigure"/>
      </w:pPr>
      <w:r>
        <w:rPr>
          <w:noProof/>
        </w:rPr>
        <w:drawing>
          <wp:inline distT="0" distB="0" distL="0" distR="0" wp14:anchorId="5C674F76" wp14:editId="193DFC71">
            <wp:extent cx="5868343" cy="3094074"/>
            <wp:effectExtent l="0" t="0" r="0" b="0"/>
            <wp:docPr id="1279138088" name="Picture 1279138088" descr="Figure 3: EORTC IL19 physical functioning Kaplan-Meier plots of time to confirmed deterioration, ITT-pembrolizumab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38088" name="Picture 1279138088" descr="Figure 3: EORTC IL19 physical functioning Kaplan-Meier plots of time to confirmed deterioration, ITT-pembrolizumab population"/>
                    <pic:cNvPicPr>
                      <a:picLocks noChangeAspect="1" noChangeArrowheads="1"/>
                    </pic:cNvPicPr>
                  </pic:nvPicPr>
                  <pic:blipFill rotWithShape="1">
                    <a:blip r:embed="rId10">
                      <a:extLst>
                        <a:ext uri="{28A0092B-C50C-407E-A947-70E740481C1C}">
                          <a14:useLocalDpi xmlns:a14="http://schemas.microsoft.com/office/drawing/2010/main" val="0"/>
                        </a:ext>
                      </a:extLst>
                    </a:blip>
                    <a:srcRect l="1" t="4953" r="435" b="19175"/>
                    <a:stretch/>
                  </pic:blipFill>
                  <pic:spPr bwMode="auto">
                    <a:xfrm>
                      <a:off x="0" y="0"/>
                      <a:ext cx="5882779" cy="3101685"/>
                    </a:xfrm>
                    <a:prstGeom prst="rect">
                      <a:avLst/>
                    </a:prstGeom>
                    <a:noFill/>
                    <a:ln>
                      <a:noFill/>
                    </a:ln>
                    <a:extLst>
                      <a:ext uri="{53640926-AAD7-44D8-BBD7-CCE9431645EC}">
                        <a14:shadowObscured xmlns:a14="http://schemas.microsoft.com/office/drawing/2010/main"/>
                      </a:ext>
                    </a:extLst>
                  </pic:spPr>
                </pic:pic>
              </a:graphicData>
            </a:graphic>
          </wp:inline>
        </w:drawing>
      </w:r>
    </w:p>
    <w:p w14:paraId="3F8973EE" w14:textId="77777777" w:rsidR="002D7804" w:rsidRPr="000960E7" w:rsidRDefault="002D7804" w:rsidP="002D7804">
      <w:pPr>
        <w:pStyle w:val="Caption"/>
        <w:rPr>
          <w:b w:val="0"/>
          <w:bCs w:val="0"/>
          <w:sz w:val="18"/>
          <w:szCs w:val="16"/>
          <w:lang w:eastAsia="ja-JP"/>
        </w:rPr>
      </w:pPr>
      <w:r w:rsidRPr="000960E7">
        <w:rPr>
          <w:b w:val="0"/>
          <w:bCs w:val="0"/>
          <w:sz w:val="18"/>
          <w:szCs w:val="16"/>
        </w:rPr>
        <w:t>Source: Figure JZJC.8.49, p2159 of the LIBRETTO-431 CSR.</w:t>
      </w:r>
    </w:p>
    <w:p w14:paraId="1731404A" w14:textId="20C076A7" w:rsidR="002D7804" w:rsidRDefault="002D7804" w:rsidP="002D7804">
      <w:pPr>
        <w:pStyle w:val="Caption"/>
        <w:keepNext w:val="0"/>
        <w:keepLines w:val="0"/>
        <w:widowControl w:val="0"/>
        <w:rPr>
          <w:b w:val="0"/>
          <w:bCs w:val="0"/>
          <w:sz w:val="18"/>
          <w:szCs w:val="16"/>
        </w:rPr>
      </w:pPr>
      <w:r w:rsidRPr="000960E7">
        <w:rPr>
          <w:b w:val="0"/>
          <w:bCs w:val="0"/>
          <w:sz w:val="18"/>
          <w:szCs w:val="16"/>
          <w:lang w:eastAsia="ja-JP"/>
        </w:rPr>
        <w:t xml:space="preserve">CI = confidence interval; EORTC IL19 = </w:t>
      </w:r>
      <w:r w:rsidRPr="000960E7">
        <w:rPr>
          <w:b w:val="0"/>
          <w:bCs w:val="0"/>
          <w:sz w:val="18"/>
          <w:szCs w:val="16"/>
        </w:rPr>
        <w:t xml:space="preserve">European Organisation for Research and Treatment Item Library 19; HR = hazard ratio; </w:t>
      </w:r>
      <w:r w:rsidR="00D13049">
        <w:rPr>
          <w:b w:val="0"/>
          <w:bCs w:val="0"/>
          <w:sz w:val="18"/>
          <w:szCs w:val="16"/>
        </w:rPr>
        <w:t xml:space="preserve">PRO = </w:t>
      </w:r>
      <w:r w:rsidR="00D13049" w:rsidRPr="00D13049">
        <w:rPr>
          <w:b w:val="0"/>
          <w:bCs w:val="0"/>
          <w:sz w:val="18"/>
          <w:szCs w:val="16"/>
        </w:rPr>
        <w:t>patient-reported outcome</w:t>
      </w:r>
      <w:r w:rsidR="00D13049">
        <w:rPr>
          <w:b w:val="0"/>
          <w:bCs w:val="0"/>
          <w:sz w:val="18"/>
          <w:szCs w:val="16"/>
        </w:rPr>
        <w:t>;</w:t>
      </w:r>
      <w:r w:rsidR="00D13049" w:rsidRPr="00D13049">
        <w:rPr>
          <w:b w:val="0"/>
          <w:bCs w:val="0"/>
          <w:sz w:val="18"/>
          <w:szCs w:val="16"/>
        </w:rPr>
        <w:t xml:space="preserve"> </w:t>
      </w:r>
      <w:r w:rsidRPr="000960E7">
        <w:rPr>
          <w:b w:val="0"/>
          <w:bCs w:val="0"/>
          <w:sz w:val="18"/>
          <w:szCs w:val="16"/>
        </w:rPr>
        <w:t xml:space="preserve">TRT A = </w:t>
      </w:r>
      <w:r w:rsidR="00BC5A69">
        <w:rPr>
          <w:b w:val="0"/>
          <w:bCs w:val="0"/>
          <w:sz w:val="18"/>
          <w:szCs w:val="16"/>
        </w:rPr>
        <w:t>s</w:t>
      </w:r>
      <w:r w:rsidRPr="000960E7">
        <w:rPr>
          <w:b w:val="0"/>
          <w:bCs w:val="0"/>
          <w:sz w:val="18"/>
          <w:szCs w:val="16"/>
        </w:rPr>
        <w:t xml:space="preserve">elpercatinib; TRT B = </w:t>
      </w:r>
      <w:r w:rsidR="00BC5A69">
        <w:rPr>
          <w:b w:val="0"/>
          <w:bCs w:val="0"/>
          <w:sz w:val="18"/>
          <w:szCs w:val="16"/>
        </w:rPr>
        <w:t>c</w:t>
      </w:r>
      <w:r w:rsidRPr="000960E7">
        <w:rPr>
          <w:b w:val="0"/>
          <w:bCs w:val="0"/>
          <w:sz w:val="18"/>
          <w:szCs w:val="16"/>
        </w:rPr>
        <w:t xml:space="preserve">arboplatin or </w:t>
      </w:r>
      <w:r w:rsidR="00BC5A69">
        <w:rPr>
          <w:b w:val="0"/>
          <w:bCs w:val="0"/>
          <w:sz w:val="18"/>
          <w:szCs w:val="16"/>
        </w:rPr>
        <w:t>c</w:t>
      </w:r>
      <w:r w:rsidRPr="000960E7">
        <w:rPr>
          <w:b w:val="0"/>
          <w:bCs w:val="0"/>
          <w:sz w:val="18"/>
          <w:szCs w:val="16"/>
        </w:rPr>
        <w:t>isplatin</w:t>
      </w:r>
      <w:r w:rsidR="00741FEB">
        <w:rPr>
          <w:b w:val="0"/>
          <w:bCs w:val="0"/>
          <w:sz w:val="18"/>
          <w:szCs w:val="16"/>
        </w:rPr>
        <w:t xml:space="preserve"> </w:t>
      </w:r>
      <w:r w:rsidRPr="000960E7">
        <w:rPr>
          <w:b w:val="0"/>
          <w:bCs w:val="0"/>
          <w:sz w:val="18"/>
          <w:szCs w:val="16"/>
        </w:rPr>
        <w:t>+</w:t>
      </w:r>
      <w:r w:rsidR="00741FEB">
        <w:rPr>
          <w:b w:val="0"/>
          <w:bCs w:val="0"/>
          <w:sz w:val="18"/>
          <w:szCs w:val="16"/>
        </w:rPr>
        <w:t xml:space="preserve"> </w:t>
      </w:r>
      <w:r w:rsidR="00BC5A69">
        <w:rPr>
          <w:b w:val="0"/>
          <w:bCs w:val="0"/>
          <w:sz w:val="18"/>
          <w:szCs w:val="16"/>
        </w:rPr>
        <w:t>p</w:t>
      </w:r>
      <w:r w:rsidRPr="000960E7">
        <w:rPr>
          <w:b w:val="0"/>
          <w:bCs w:val="0"/>
          <w:sz w:val="18"/>
          <w:szCs w:val="16"/>
        </w:rPr>
        <w:t>emetrexed</w:t>
      </w:r>
      <w:r w:rsidR="00741FEB">
        <w:rPr>
          <w:b w:val="0"/>
          <w:bCs w:val="0"/>
          <w:sz w:val="18"/>
          <w:szCs w:val="16"/>
        </w:rPr>
        <w:t xml:space="preserve"> </w:t>
      </w:r>
      <w:r w:rsidRPr="000960E7">
        <w:rPr>
          <w:b w:val="0"/>
          <w:bCs w:val="0"/>
          <w:sz w:val="18"/>
          <w:szCs w:val="16"/>
        </w:rPr>
        <w:t>+</w:t>
      </w:r>
      <w:r w:rsidR="00741FEB">
        <w:rPr>
          <w:b w:val="0"/>
          <w:bCs w:val="0"/>
          <w:sz w:val="18"/>
          <w:szCs w:val="16"/>
        </w:rPr>
        <w:t xml:space="preserve"> </w:t>
      </w:r>
      <w:r w:rsidR="00BC5A69">
        <w:rPr>
          <w:b w:val="0"/>
          <w:bCs w:val="0"/>
          <w:sz w:val="18"/>
          <w:szCs w:val="16"/>
        </w:rPr>
        <w:t>p</w:t>
      </w:r>
      <w:r w:rsidRPr="000960E7">
        <w:rPr>
          <w:b w:val="0"/>
          <w:bCs w:val="0"/>
          <w:sz w:val="18"/>
          <w:szCs w:val="16"/>
        </w:rPr>
        <w:t>embrolizumab</w:t>
      </w:r>
      <w:r w:rsidR="009424E0">
        <w:rPr>
          <w:b w:val="0"/>
          <w:bCs w:val="0"/>
          <w:sz w:val="18"/>
          <w:szCs w:val="16"/>
        </w:rPr>
        <w:t>.</w:t>
      </w:r>
    </w:p>
    <w:p w14:paraId="7D809872" w14:textId="0807B407" w:rsidR="009929B5" w:rsidRPr="00E2432E" w:rsidRDefault="009929B5" w:rsidP="009929B5">
      <w:pPr>
        <w:rPr>
          <w:rFonts w:ascii="Arial Narrow" w:hAnsi="Arial Narrow"/>
          <w:sz w:val="18"/>
          <w:szCs w:val="18"/>
        </w:rPr>
      </w:pPr>
      <w:r w:rsidRPr="00E2432E">
        <w:rPr>
          <w:rFonts w:ascii="Arial Narrow" w:hAnsi="Arial Narrow"/>
          <w:sz w:val="18"/>
          <w:szCs w:val="18"/>
        </w:rPr>
        <w:t xml:space="preserve">The time to confirmed PRO deterioration was calculated using all on-treatment visits prior to disease </w:t>
      </w:r>
      <w:r w:rsidR="0053072A" w:rsidRPr="0053072A">
        <w:rPr>
          <w:rFonts w:ascii="Arial Narrow" w:hAnsi="Arial Narrow"/>
          <w:sz w:val="18"/>
          <w:szCs w:val="18"/>
        </w:rPr>
        <w:t>progression and</w:t>
      </w:r>
      <w:r w:rsidRPr="00E2432E">
        <w:rPr>
          <w:rFonts w:ascii="Arial Narrow" w:hAnsi="Arial Narrow"/>
          <w:sz w:val="18"/>
          <w:szCs w:val="18"/>
        </w:rPr>
        <w:t xml:space="preserve"> was defined as the time from randomization until first assessment with a deterioration in PRO score meeting or exceeding the responder definition threshold (5) confirmed at the next subsequent assessment.</w:t>
      </w:r>
    </w:p>
    <w:p w14:paraId="577C0DA7" w14:textId="212B5689" w:rsidR="002D7804" w:rsidRDefault="009929B5" w:rsidP="00FC1A2E">
      <w:pPr>
        <w:pStyle w:val="BodyText"/>
        <w:spacing w:after="120"/>
        <w:jc w:val="both"/>
        <w:rPr>
          <w:u w:val="single"/>
          <w:lang w:eastAsia="en-US"/>
        </w:rPr>
      </w:pPr>
      <w:r w:rsidRPr="00E2432E">
        <w:rPr>
          <w:rFonts w:ascii="Arial Narrow" w:hAnsi="Arial Narrow"/>
          <w:sz w:val="18"/>
          <w:szCs w:val="18"/>
        </w:rPr>
        <w:t>Patients without a PRO deterioration event were censored at the date of their last PRO assessment; patients with no data or no baseline data were censored at Day 1. Patients with no post-baseline data were censored at Day 2.</w:t>
      </w:r>
    </w:p>
    <w:p w14:paraId="4D24B767" w14:textId="595C842A" w:rsidR="002D7804" w:rsidRDefault="002D7804" w:rsidP="00E2432E">
      <w:pPr>
        <w:pStyle w:val="3-BodyText"/>
        <w:spacing w:before="240"/>
        <w:rPr>
          <w:lang w:eastAsia="en-US"/>
        </w:rPr>
      </w:pPr>
      <w:r w:rsidRPr="00876603">
        <w:rPr>
          <w:lang w:eastAsia="en-US"/>
        </w:rPr>
        <w:lastRenderedPageBreak/>
        <w:t>T</w:t>
      </w:r>
      <w:r>
        <w:rPr>
          <w:lang w:eastAsia="en-US"/>
        </w:rPr>
        <w:t xml:space="preserve">ime to confirmed deterioration </w:t>
      </w:r>
      <w:r w:rsidRPr="00876603">
        <w:rPr>
          <w:lang w:eastAsia="en-US"/>
        </w:rPr>
        <w:t>was defined as the time from the date of randomization to the date of the first increase (≥</w:t>
      </w:r>
      <w:r w:rsidR="00FC1A2E">
        <w:rPr>
          <w:lang w:eastAsia="en-US"/>
        </w:rPr>
        <w:t> </w:t>
      </w:r>
      <w:r w:rsidRPr="00876603">
        <w:rPr>
          <w:lang w:eastAsia="en-US"/>
        </w:rPr>
        <w:t>5 points of the EORTC QLQ-C30 Physical Functioning score) and confirmed at the next subsequent assessment.</w:t>
      </w:r>
    </w:p>
    <w:p w14:paraId="149CCE4D" w14:textId="137FD8EC" w:rsidR="002D7804" w:rsidRDefault="002D7804" w:rsidP="002D7804">
      <w:pPr>
        <w:pStyle w:val="3-BodyText"/>
        <w:rPr>
          <w:lang w:eastAsia="en-US"/>
        </w:rPr>
      </w:pPr>
      <w:r>
        <w:rPr>
          <w:lang w:eastAsia="en-US"/>
        </w:rPr>
        <w:t xml:space="preserve">The median time to confirmed deterioration of physical function in the </w:t>
      </w:r>
      <w:r w:rsidRPr="00A61EE0">
        <w:rPr>
          <w:lang w:eastAsia="en-US"/>
        </w:rPr>
        <w:t>ITT-</w:t>
      </w:r>
      <w:r>
        <w:rPr>
          <w:lang w:eastAsia="en-US"/>
        </w:rPr>
        <w:t>p</w:t>
      </w:r>
      <w:r w:rsidRPr="00A61EE0">
        <w:rPr>
          <w:lang w:eastAsia="en-US"/>
        </w:rPr>
        <w:t xml:space="preserve">embrolizumab </w:t>
      </w:r>
      <w:r>
        <w:rPr>
          <w:lang w:eastAsia="en-US"/>
        </w:rPr>
        <w:t>p</w:t>
      </w:r>
      <w:r w:rsidRPr="00A61EE0">
        <w:rPr>
          <w:lang w:eastAsia="en-US"/>
        </w:rPr>
        <w:t>opulation</w:t>
      </w:r>
      <w:r>
        <w:rPr>
          <w:lang w:eastAsia="en-US"/>
        </w:rPr>
        <w:t xml:space="preserve"> was 2.8 months (95% CI: 1.3, 5.6) in the selpercatinib arm versus 0.5 months (95% CI: 0.4, 1.2) in the pembrolizumab + PC arm (HR = 0.54, 95% CI: 0.38, 0.76). The results were similar for the ITT</w:t>
      </w:r>
      <w:r w:rsidR="0083560E">
        <w:rPr>
          <w:lang w:eastAsia="en-US"/>
        </w:rPr>
        <w:t>-</w:t>
      </w:r>
      <w:r>
        <w:rPr>
          <w:lang w:eastAsia="en-US"/>
        </w:rPr>
        <w:t>population.</w:t>
      </w:r>
      <w:r w:rsidR="00957E82">
        <w:rPr>
          <w:lang w:eastAsia="en-US"/>
        </w:rPr>
        <w:t xml:space="preserve"> </w:t>
      </w:r>
      <w:r w:rsidR="00957E82" w:rsidRPr="00861BF1">
        <w:rPr>
          <w:lang w:eastAsia="en-US"/>
        </w:rPr>
        <w:t>The ESC, noting the open-label nature of the trial, considered that the quality</w:t>
      </w:r>
      <w:r w:rsidR="00BC5A69">
        <w:rPr>
          <w:lang w:eastAsia="en-US"/>
        </w:rPr>
        <w:t>-</w:t>
      </w:r>
      <w:r w:rsidR="00957E82" w:rsidRPr="00861BF1">
        <w:rPr>
          <w:lang w:eastAsia="en-US"/>
        </w:rPr>
        <w:t>of</w:t>
      </w:r>
      <w:r w:rsidR="00BC5A69">
        <w:rPr>
          <w:lang w:eastAsia="en-US"/>
        </w:rPr>
        <w:t>-</w:t>
      </w:r>
      <w:r w:rsidR="00957E82" w:rsidRPr="00861BF1">
        <w:rPr>
          <w:lang w:eastAsia="en-US"/>
        </w:rPr>
        <w:t>life outcomes were likely biased as they did not reflect the adverse event (AE) profile of selpercatinib.</w:t>
      </w:r>
    </w:p>
    <w:p w14:paraId="6CF61BA2" w14:textId="354F6FFB" w:rsidR="006D5EFF" w:rsidRPr="00861BF1" w:rsidRDefault="006D5EFF" w:rsidP="006D5EFF">
      <w:pPr>
        <w:pStyle w:val="3-BodyText"/>
      </w:pPr>
      <w:r>
        <w:t>S</w:t>
      </w:r>
      <w:r w:rsidRPr="00FB2DC4">
        <w:t xml:space="preserve">ubgroup analyses were performed based on age, Eastern Cooperative Oncology Group (ECOG) performance status, disease state, brain metastasis, liver metastasis, gender, race, region, smoking status, </w:t>
      </w:r>
      <w:r w:rsidRPr="00957E82">
        <w:rPr>
          <w:i/>
          <w:iCs/>
        </w:rPr>
        <w:t>RET</w:t>
      </w:r>
      <w:r w:rsidRPr="00FB2DC4">
        <w:t xml:space="preserve"> specimen type, </w:t>
      </w:r>
      <w:r w:rsidRPr="00957E82">
        <w:rPr>
          <w:i/>
          <w:iCs/>
        </w:rPr>
        <w:t>RET</w:t>
      </w:r>
      <w:r w:rsidRPr="00FB2DC4">
        <w:t xml:space="preserve"> fusion results, and PD-L1 expression by both BICR and investigator assessment for all the primary and secondary outcomes</w:t>
      </w:r>
      <w:r w:rsidRPr="007A7229">
        <w:t>.</w:t>
      </w:r>
      <w:r w:rsidRPr="00957E82">
        <w:rPr>
          <w:bCs/>
        </w:rPr>
        <w:t xml:space="preserve"> Subgroup analyses of PFS and OS were generally consistent with the PFS and OS for the overall population. </w:t>
      </w:r>
    </w:p>
    <w:p w14:paraId="5EA31851" w14:textId="77777777" w:rsidR="002D7804" w:rsidRDefault="002D7804" w:rsidP="00FC1A2E">
      <w:pPr>
        <w:pStyle w:val="BodyText"/>
        <w:keepNext/>
        <w:spacing w:after="120"/>
        <w:jc w:val="both"/>
        <w:rPr>
          <w:u w:val="single"/>
          <w:lang w:eastAsia="en-US"/>
        </w:rPr>
      </w:pPr>
      <w:r w:rsidRPr="00163F83">
        <w:rPr>
          <w:u w:val="single"/>
          <w:lang w:eastAsia="en-US"/>
        </w:rPr>
        <w:t>LIBRETTO-001</w:t>
      </w:r>
    </w:p>
    <w:p w14:paraId="31E8CC0B" w14:textId="641EB914" w:rsidR="002D7804" w:rsidRDefault="002D7804" w:rsidP="002D7804">
      <w:pPr>
        <w:pStyle w:val="3-BodyText"/>
        <w:keepNext/>
        <w:rPr>
          <w:lang w:eastAsia="en-US"/>
        </w:rPr>
      </w:pPr>
      <w:r w:rsidRPr="7507A46B">
        <w:rPr>
          <w:lang w:eastAsia="en-US"/>
        </w:rPr>
        <w:t>At</w:t>
      </w:r>
      <w:r w:rsidRPr="002C4D4F">
        <w:rPr>
          <w:lang w:eastAsia="en-US"/>
        </w:rPr>
        <w:t xml:space="preserve"> </w:t>
      </w:r>
      <w:r>
        <w:rPr>
          <w:lang w:eastAsia="en-US"/>
        </w:rPr>
        <w:t>the</w:t>
      </w:r>
      <w:r w:rsidRPr="002C4D4F">
        <w:rPr>
          <w:lang w:eastAsia="en-US"/>
        </w:rPr>
        <w:t xml:space="preserve"> 13 January 2023 data cutoff</w:t>
      </w:r>
      <w:r>
        <w:rPr>
          <w:lang w:eastAsia="en-US"/>
        </w:rPr>
        <w:t xml:space="preserve">, </w:t>
      </w:r>
      <w:r w:rsidRPr="002C4D4F">
        <w:rPr>
          <w:lang w:eastAsia="en-US"/>
        </w:rPr>
        <w:t xml:space="preserve">115 (32.3%) advanced </w:t>
      </w:r>
      <w:r w:rsidRPr="00A9296C">
        <w:rPr>
          <w:i/>
          <w:lang w:eastAsia="en-US"/>
        </w:rPr>
        <w:t>RET</w:t>
      </w:r>
      <w:r w:rsidRPr="002C4D4F">
        <w:rPr>
          <w:lang w:eastAsia="en-US"/>
        </w:rPr>
        <w:t xml:space="preserve"> fusion-positive NSCLC </w:t>
      </w:r>
      <w:r w:rsidR="00364C6C">
        <w:rPr>
          <w:snapToGrid/>
          <w:lang w:val="en-US"/>
        </w:rPr>
        <w:t>patients</w:t>
      </w:r>
      <w:r w:rsidRPr="002C4D4F">
        <w:rPr>
          <w:lang w:eastAsia="en-US"/>
        </w:rPr>
        <w:t xml:space="preserve"> (including treatment-naïve population [</w:t>
      </w:r>
      <w:r>
        <w:rPr>
          <w:lang w:eastAsia="en-US"/>
        </w:rPr>
        <w:t>N</w:t>
      </w:r>
      <w:r w:rsidRPr="002C4D4F">
        <w:rPr>
          <w:lang w:eastAsia="en-US"/>
        </w:rPr>
        <w:t>=</w:t>
      </w:r>
      <w:r w:rsidR="005732B0">
        <w:rPr>
          <w:lang w:eastAsia="en-US"/>
        </w:rPr>
        <w:t>1</w:t>
      </w:r>
      <w:r w:rsidRPr="002C4D4F">
        <w:rPr>
          <w:lang w:eastAsia="en-US"/>
        </w:rPr>
        <w:t>9] and the population previously treated with platinum-based chemotherapy [</w:t>
      </w:r>
      <w:r>
        <w:rPr>
          <w:lang w:eastAsia="en-US"/>
        </w:rPr>
        <w:t>N</w:t>
      </w:r>
      <w:r w:rsidRPr="002C4D4F">
        <w:rPr>
          <w:lang w:eastAsia="en-US"/>
        </w:rPr>
        <w:t>=83]) in LIBRETTO-001</w:t>
      </w:r>
      <w:r w:rsidR="006D5EFF">
        <w:rPr>
          <w:lang w:eastAsia="en-US"/>
        </w:rPr>
        <w:t xml:space="preserve"> remained on treatment</w:t>
      </w:r>
      <w:r w:rsidRPr="002C4D4F">
        <w:rPr>
          <w:lang w:eastAsia="en-US"/>
        </w:rPr>
        <w:t xml:space="preserve"> with at least 4.5 years of follow-up from the first dose of selpercatinib.</w:t>
      </w:r>
    </w:p>
    <w:p w14:paraId="4AE89C0F" w14:textId="5AF28757" w:rsidR="002D7804" w:rsidRPr="00F25F31" w:rsidRDefault="002D7804" w:rsidP="002D7804">
      <w:pPr>
        <w:pStyle w:val="3-BodyText"/>
        <w:rPr>
          <w:lang w:eastAsia="en-US"/>
        </w:rPr>
      </w:pPr>
      <w:r>
        <w:rPr>
          <w:lang w:eastAsia="en-US"/>
        </w:rPr>
        <w:fldChar w:fldCharType="begin" w:fldLock="1"/>
      </w:r>
      <w:r>
        <w:rPr>
          <w:lang w:eastAsia="en-US"/>
        </w:rPr>
        <w:instrText xml:space="preserve"> REF _Ref163891971 \h  \* MERGEFORMAT </w:instrText>
      </w:r>
      <w:r>
        <w:rPr>
          <w:lang w:eastAsia="en-US"/>
        </w:rPr>
      </w:r>
      <w:r>
        <w:rPr>
          <w:lang w:eastAsia="en-US"/>
        </w:rPr>
        <w:fldChar w:fldCharType="separate"/>
      </w:r>
      <w:r w:rsidR="00F979CE">
        <w:rPr>
          <w:lang w:eastAsia="en-US"/>
        </w:rPr>
        <w:t>Table 6</w:t>
      </w:r>
      <w:r>
        <w:rPr>
          <w:lang w:eastAsia="en-US"/>
        </w:rPr>
        <w:fldChar w:fldCharType="end"/>
      </w:r>
      <w:r>
        <w:rPr>
          <w:lang w:eastAsia="en-US"/>
        </w:rPr>
        <w:t xml:space="preserve"> </w:t>
      </w:r>
      <w:r w:rsidR="00DA1EEE">
        <w:rPr>
          <w:lang w:eastAsia="en-US"/>
        </w:rPr>
        <w:t>summ</w:t>
      </w:r>
      <w:r w:rsidR="00F1549F">
        <w:rPr>
          <w:lang w:eastAsia="en-US"/>
        </w:rPr>
        <w:t>a</w:t>
      </w:r>
      <w:r w:rsidR="00DA1EEE">
        <w:rPr>
          <w:lang w:eastAsia="en-US"/>
        </w:rPr>
        <w:t>rises</w:t>
      </w:r>
      <w:r>
        <w:rPr>
          <w:lang w:eastAsia="en-US"/>
        </w:rPr>
        <w:t xml:space="preserve"> the efficacy results from LIBRETTO-001 study for the 13</w:t>
      </w:r>
      <w:r w:rsidR="00FC1A2E">
        <w:rPr>
          <w:lang w:eastAsia="en-US"/>
        </w:rPr>
        <w:t> </w:t>
      </w:r>
      <w:r>
        <w:rPr>
          <w:lang w:eastAsia="en-US"/>
        </w:rPr>
        <w:t>January</w:t>
      </w:r>
      <w:r w:rsidR="00FC1A2E">
        <w:rPr>
          <w:lang w:eastAsia="en-US"/>
        </w:rPr>
        <w:t> </w:t>
      </w:r>
      <w:r>
        <w:rPr>
          <w:lang w:eastAsia="en-US"/>
        </w:rPr>
        <w:t xml:space="preserve">2023 and the June 2021 data cut. </w:t>
      </w:r>
    </w:p>
    <w:p w14:paraId="58B7D206" w14:textId="3F8B55C8" w:rsidR="002D7804" w:rsidRDefault="002D7804" w:rsidP="00372A9A">
      <w:pPr>
        <w:pStyle w:val="Caption"/>
      </w:pPr>
      <w:bookmarkStart w:id="38" w:name="_Ref163891971"/>
      <w:r>
        <w:t xml:space="preserve">Table </w:t>
      </w:r>
      <w:r w:rsidR="00BA56FF">
        <w:fldChar w:fldCharType="begin" w:fldLock="1"/>
      </w:r>
      <w:r w:rsidR="00BA56FF">
        <w:instrText xml:space="preserve"> SEQ Table \* ARABIC </w:instrText>
      </w:r>
      <w:r w:rsidR="00BA56FF">
        <w:fldChar w:fldCharType="separate"/>
      </w:r>
      <w:r w:rsidR="00F979CE">
        <w:rPr>
          <w:noProof/>
        </w:rPr>
        <w:t>6</w:t>
      </w:r>
      <w:r w:rsidR="00BA56FF">
        <w:rPr>
          <w:noProof/>
        </w:rPr>
        <w:fldChar w:fldCharType="end"/>
      </w:r>
      <w:bookmarkEnd w:id="38"/>
      <w:r>
        <w:t xml:space="preserve">: </w:t>
      </w:r>
      <w:r w:rsidRPr="0023669E">
        <w:t xml:space="preserve">Summary of </w:t>
      </w:r>
      <w:r>
        <w:t>efficacy results</w:t>
      </w:r>
      <w:r w:rsidRPr="0023669E">
        <w:t xml:space="preserve"> for the </w:t>
      </w:r>
      <w:r>
        <w:t xml:space="preserve">advanced </w:t>
      </w:r>
      <w:r w:rsidRPr="009B2E7C">
        <w:rPr>
          <w:i/>
        </w:rPr>
        <w:t>RET</w:t>
      </w:r>
      <w:r>
        <w:t xml:space="preserve"> fusion-positive NSCLC population in </w:t>
      </w:r>
      <w:r w:rsidRPr="00E914F9">
        <w:rPr>
          <w:bCs w:val="0"/>
        </w:rPr>
        <w:t>LIBRETTO</w:t>
      </w:r>
      <w:r>
        <w:t>-001</w:t>
      </w:r>
    </w:p>
    <w:tbl>
      <w:tblPr>
        <w:tblStyle w:val="TableGrid"/>
        <w:tblW w:w="0" w:type="auto"/>
        <w:tblLook w:val="04A0" w:firstRow="1" w:lastRow="0" w:firstColumn="1" w:lastColumn="0" w:noHBand="0" w:noVBand="1"/>
        <w:tblCaption w:val="Table 6: Summary of efficacy results for the advanced RET fusion-positive NSCLC population in LIBRETTO-001"/>
      </w:tblPr>
      <w:tblGrid>
        <w:gridCol w:w="1675"/>
        <w:gridCol w:w="1680"/>
        <w:gridCol w:w="1876"/>
        <w:gridCol w:w="1844"/>
        <w:gridCol w:w="1942"/>
      </w:tblGrid>
      <w:tr w:rsidR="00957E82" w:rsidRPr="00AA72A8" w14:paraId="23CC2AD8" w14:textId="77777777" w:rsidTr="00BC5A69">
        <w:trPr>
          <w:trHeight w:val="20"/>
        </w:trPr>
        <w:tc>
          <w:tcPr>
            <w:tcW w:w="1675" w:type="dxa"/>
            <w:vMerge w:val="restart"/>
            <w:tcMar>
              <w:left w:w="40" w:type="dxa"/>
              <w:right w:w="40" w:type="dxa"/>
            </w:tcMar>
          </w:tcPr>
          <w:p w14:paraId="1F012392" w14:textId="77777777" w:rsidR="00957E82" w:rsidRDefault="00957E82" w:rsidP="00372A9A">
            <w:pPr>
              <w:pStyle w:val="TableH28pt"/>
              <w:spacing w:before="0" w:after="0"/>
              <w:jc w:val="center"/>
              <w:rPr>
                <w:rFonts w:ascii="Arial Narrow" w:hAnsi="Arial Narrow"/>
                <w:sz w:val="20"/>
                <w:szCs w:val="24"/>
              </w:rPr>
            </w:pPr>
          </w:p>
        </w:tc>
        <w:tc>
          <w:tcPr>
            <w:tcW w:w="3556" w:type="dxa"/>
            <w:gridSpan w:val="2"/>
            <w:tcMar>
              <w:left w:w="40" w:type="dxa"/>
              <w:right w:w="40" w:type="dxa"/>
            </w:tcMar>
          </w:tcPr>
          <w:p w14:paraId="09BE6764" w14:textId="77777777" w:rsidR="00957E82" w:rsidRPr="00AA72A8" w:rsidRDefault="00957E82" w:rsidP="00372A9A">
            <w:pPr>
              <w:pStyle w:val="TableH28pt"/>
              <w:spacing w:before="0" w:after="0"/>
              <w:jc w:val="center"/>
              <w:rPr>
                <w:rFonts w:ascii="Arial Narrow" w:hAnsi="Arial Narrow"/>
                <w:sz w:val="20"/>
                <w:szCs w:val="24"/>
              </w:rPr>
            </w:pPr>
            <w:r w:rsidRPr="00A2401C">
              <w:rPr>
                <w:rFonts w:ascii="Arial Narrow" w:hAnsi="Arial Narrow"/>
                <w:sz w:val="20"/>
                <w:szCs w:val="24"/>
              </w:rPr>
              <w:t>January 2023</w:t>
            </w:r>
            <w:r>
              <w:rPr>
                <w:rFonts w:ascii="Arial Narrow" w:hAnsi="Arial Narrow"/>
                <w:sz w:val="20"/>
                <w:szCs w:val="24"/>
              </w:rPr>
              <w:t xml:space="preserve"> data cut</w:t>
            </w:r>
          </w:p>
        </w:tc>
        <w:tc>
          <w:tcPr>
            <w:tcW w:w="3786" w:type="dxa"/>
            <w:gridSpan w:val="2"/>
            <w:shd w:val="clear" w:color="auto" w:fill="B8CCE4" w:themeFill="accent1" w:themeFillTint="66"/>
            <w:tcMar>
              <w:left w:w="40" w:type="dxa"/>
              <w:right w:w="40" w:type="dxa"/>
            </w:tcMar>
          </w:tcPr>
          <w:p w14:paraId="68912883" w14:textId="2522DA12" w:rsidR="00957E82" w:rsidRDefault="00957E82" w:rsidP="00372A9A">
            <w:pPr>
              <w:pStyle w:val="TableH28pt"/>
              <w:spacing w:before="0" w:after="0"/>
              <w:jc w:val="center"/>
              <w:rPr>
                <w:rFonts w:ascii="Arial Narrow" w:hAnsi="Arial Narrow"/>
                <w:sz w:val="20"/>
                <w:szCs w:val="24"/>
              </w:rPr>
            </w:pPr>
            <w:r>
              <w:rPr>
                <w:rFonts w:ascii="Arial Narrow" w:hAnsi="Arial Narrow"/>
                <w:sz w:val="20"/>
                <w:szCs w:val="24"/>
              </w:rPr>
              <w:t>June 2021 data cut</w:t>
            </w:r>
            <w:r w:rsidR="008D1073">
              <w:rPr>
                <w:rFonts w:ascii="Arial Narrow" w:hAnsi="Arial Narrow"/>
                <w:sz w:val="20"/>
                <w:szCs w:val="24"/>
              </w:rPr>
              <w:t xml:space="preserve"> (included in ITC)</w:t>
            </w:r>
          </w:p>
        </w:tc>
      </w:tr>
      <w:tr w:rsidR="00957E82" w:rsidRPr="00AA72A8" w14:paraId="5DE72C6F" w14:textId="77777777" w:rsidTr="00BC5A69">
        <w:trPr>
          <w:trHeight w:val="20"/>
        </w:trPr>
        <w:tc>
          <w:tcPr>
            <w:tcW w:w="1675" w:type="dxa"/>
            <w:vMerge/>
            <w:tcMar>
              <w:left w:w="40" w:type="dxa"/>
              <w:right w:w="40" w:type="dxa"/>
            </w:tcMar>
          </w:tcPr>
          <w:p w14:paraId="6A94609B" w14:textId="77777777" w:rsidR="00957E82" w:rsidRPr="00AA72A8" w:rsidRDefault="00957E82" w:rsidP="00E2432E">
            <w:pPr>
              <w:pStyle w:val="Tabletext8ptCentered"/>
              <w:keepNext/>
              <w:framePr w:hSpace="0" w:wrap="auto" w:vAnchor="margin" w:yAlign="inline"/>
              <w:spacing w:before="0" w:after="0"/>
              <w:rPr>
                <w:rFonts w:ascii="Arial Narrow" w:hAnsi="Arial Narrow"/>
                <w:b/>
                <w:bCs/>
                <w:sz w:val="20"/>
              </w:rPr>
            </w:pPr>
          </w:p>
        </w:tc>
        <w:tc>
          <w:tcPr>
            <w:tcW w:w="1680" w:type="dxa"/>
            <w:tcMar>
              <w:left w:w="40" w:type="dxa"/>
              <w:right w:w="40" w:type="dxa"/>
            </w:tcMar>
          </w:tcPr>
          <w:p w14:paraId="594B06BB" w14:textId="77777777" w:rsidR="00957E82" w:rsidRPr="00B230F1" w:rsidRDefault="00957E82" w:rsidP="00372A9A">
            <w:pPr>
              <w:pStyle w:val="TableH28pt"/>
              <w:spacing w:before="0" w:after="0"/>
              <w:jc w:val="center"/>
              <w:rPr>
                <w:rFonts w:ascii="Arial Narrow" w:hAnsi="Arial Narrow"/>
                <w:sz w:val="20"/>
                <w:szCs w:val="24"/>
              </w:rPr>
            </w:pPr>
            <w:r>
              <w:rPr>
                <w:rFonts w:ascii="Arial Narrow" w:hAnsi="Arial Narrow"/>
                <w:sz w:val="20"/>
                <w:szCs w:val="24"/>
              </w:rPr>
              <w:t xml:space="preserve">Treatment-naïve </w:t>
            </w:r>
            <w:r w:rsidRPr="00B230F1">
              <w:rPr>
                <w:rFonts w:ascii="Arial Narrow" w:hAnsi="Arial Narrow"/>
                <w:sz w:val="20"/>
                <w:szCs w:val="24"/>
              </w:rPr>
              <w:t xml:space="preserve">cohort </w:t>
            </w:r>
          </w:p>
          <w:p w14:paraId="2E4E0768" w14:textId="77777777" w:rsidR="00957E82" w:rsidRDefault="00957E82" w:rsidP="00372A9A">
            <w:pPr>
              <w:pStyle w:val="TableH28pt"/>
              <w:spacing w:before="0" w:after="0"/>
              <w:jc w:val="center"/>
              <w:rPr>
                <w:rFonts w:ascii="Arial Narrow" w:hAnsi="Arial Narrow"/>
                <w:sz w:val="20"/>
                <w:szCs w:val="24"/>
              </w:rPr>
            </w:pPr>
            <w:r w:rsidRPr="00B230F1">
              <w:rPr>
                <w:rFonts w:ascii="Arial Narrow" w:hAnsi="Arial Narrow"/>
                <w:sz w:val="20"/>
                <w:szCs w:val="24"/>
              </w:rPr>
              <w:t>(N=69)</w:t>
            </w:r>
          </w:p>
        </w:tc>
        <w:tc>
          <w:tcPr>
            <w:tcW w:w="1876" w:type="dxa"/>
            <w:tcMar>
              <w:left w:w="40" w:type="dxa"/>
              <w:right w:w="40" w:type="dxa"/>
            </w:tcMar>
          </w:tcPr>
          <w:p w14:paraId="027EE199" w14:textId="77777777" w:rsidR="00957E82" w:rsidRPr="00AA72A8" w:rsidRDefault="00957E82" w:rsidP="00372A9A">
            <w:pPr>
              <w:pStyle w:val="TableH28pt"/>
              <w:spacing w:before="0" w:after="0"/>
              <w:jc w:val="center"/>
              <w:rPr>
                <w:rFonts w:ascii="Arial Narrow" w:hAnsi="Arial Narrow"/>
                <w:b w:val="0"/>
                <w:sz w:val="20"/>
              </w:rPr>
            </w:pPr>
            <w:r w:rsidRPr="7B328678">
              <w:rPr>
                <w:rFonts w:ascii="Arial Narrow" w:hAnsi="Arial Narrow"/>
                <w:sz w:val="20"/>
              </w:rPr>
              <w:t>Previously treated with platinum-based chemotherapy cohort</w:t>
            </w:r>
          </w:p>
          <w:p w14:paraId="58A162A1" w14:textId="77777777" w:rsidR="00957E82" w:rsidRPr="00AA72A8" w:rsidRDefault="00957E82" w:rsidP="00E2432E">
            <w:pPr>
              <w:pStyle w:val="Tabletext8ptCentered"/>
              <w:keepNext/>
              <w:framePr w:hSpace="0" w:wrap="auto" w:vAnchor="margin" w:yAlign="inline"/>
              <w:spacing w:before="0" w:after="0"/>
              <w:jc w:val="center"/>
              <w:rPr>
                <w:rFonts w:ascii="Arial Narrow" w:hAnsi="Arial Narrow"/>
                <w:sz w:val="20"/>
                <w:szCs w:val="24"/>
              </w:rPr>
            </w:pPr>
            <w:r w:rsidRPr="00AA72A8">
              <w:rPr>
                <w:rFonts w:ascii="Arial Narrow" w:hAnsi="Arial Narrow"/>
                <w:b/>
                <w:sz w:val="20"/>
                <w:szCs w:val="24"/>
              </w:rPr>
              <w:t>(N=247)</w:t>
            </w:r>
          </w:p>
        </w:tc>
        <w:tc>
          <w:tcPr>
            <w:tcW w:w="1844" w:type="dxa"/>
            <w:shd w:val="clear" w:color="auto" w:fill="B8CCE4" w:themeFill="accent1" w:themeFillTint="66"/>
            <w:tcMar>
              <w:left w:w="40" w:type="dxa"/>
              <w:right w:w="40" w:type="dxa"/>
            </w:tcMar>
          </w:tcPr>
          <w:p w14:paraId="42518F3C" w14:textId="77777777" w:rsidR="00957E82" w:rsidRPr="00AA72A8" w:rsidRDefault="00957E82" w:rsidP="00372A9A">
            <w:pPr>
              <w:pStyle w:val="TableH28pt"/>
              <w:spacing w:before="0" w:after="0"/>
              <w:jc w:val="center"/>
              <w:rPr>
                <w:rFonts w:ascii="Arial Narrow" w:hAnsi="Arial Narrow"/>
                <w:b w:val="0"/>
                <w:sz w:val="20"/>
                <w:szCs w:val="24"/>
              </w:rPr>
            </w:pPr>
            <w:r>
              <w:rPr>
                <w:rFonts w:ascii="Arial Narrow" w:hAnsi="Arial Narrow"/>
                <w:sz w:val="20"/>
                <w:szCs w:val="24"/>
              </w:rPr>
              <w:t xml:space="preserve">Treatment-naïve cohort </w:t>
            </w:r>
          </w:p>
          <w:p w14:paraId="4DF0CBFC" w14:textId="77777777" w:rsidR="00957E82" w:rsidRDefault="00957E82" w:rsidP="00372A9A">
            <w:pPr>
              <w:pStyle w:val="TableH28pt"/>
              <w:spacing w:before="0" w:after="0"/>
              <w:jc w:val="center"/>
              <w:rPr>
                <w:rFonts w:ascii="Arial Narrow" w:hAnsi="Arial Narrow"/>
                <w:sz w:val="20"/>
                <w:szCs w:val="24"/>
              </w:rPr>
            </w:pPr>
            <w:r w:rsidRPr="00AA72A8">
              <w:rPr>
                <w:rFonts w:ascii="Arial Narrow" w:hAnsi="Arial Narrow"/>
                <w:sz w:val="20"/>
                <w:szCs w:val="24"/>
              </w:rPr>
              <w:t>(N=69)</w:t>
            </w:r>
          </w:p>
        </w:tc>
        <w:tc>
          <w:tcPr>
            <w:tcW w:w="1942" w:type="dxa"/>
            <w:shd w:val="clear" w:color="auto" w:fill="B8CCE4" w:themeFill="accent1" w:themeFillTint="66"/>
            <w:tcMar>
              <w:left w:w="40" w:type="dxa"/>
              <w:right w:w="40" w:type="dxa"/>
            </w:tcMar>
          </w:tcPr>
          <w:p w14:paraId="29CE5E8F" w14:textId="77777777" w:rsidR="00957E82" w:rsidRPr="00AA72A8" w:rsidRDefault="00957E82" w:rsidP="00372A9A">
            <w:pPr>
              <w:pStyle w:val="TableH28pt"/>
              <w:spacing w:before="0" w:after="0"/>
              <w:jc w:val="center"/>
              <w:rPr>
                <w:rFonts w:ascii="Arial Narrow" w:hAnsi="Arial Narrow"/>
                <w:b w:val="0"/>
                <w:sz w:val="20"/>
                <w:szCs w:val="24"/>
              </w:rPr>
            </w:pPr>
            <w:r>
              <w:rPr>
                <w:rFonts w:ascii="Arial Narrow" w:hAnsi="Arial Narrow"/>
                <w:sz w:val="20"/>
                <w:szCs w:val="24"/>
              </w:rPr>
              <w:t>Previously treated with platinum-based chemotherapy cohort</w:t>
            </w:r>
          </w:p>
          <w:p w14:paraId="6D0E6FE2" w14:textId="77777777" w:rsidR="00957E82" w:rsidRDefault="00957E82" w:rsidP="00372A9A">
            <w:pPr>
              <w:pStyle w:val="TableH28pt"/>
              <w:spacing w:before="0" w:after="0"/>
              <w:jc w:val="center"/>
              <w:rPr>
                <w:rFonts w:ascii="Arial Narrow" w:hAnsi="Arial Narrow"/>
                <w:sz w:val="20"/>
                <w:szCs w:val="24"/>
              </w:rPr>
            </w:pPr>
            <w:r w:rsidRPr="00AA72A8">
              <w:rPr>
                <w:rFonts w:ascii="Arial Narrow" w:hAnsi="Arial Narrow"/>
                <w:sz w:val="20"/>
                <w:szCs w:val="24"/>
              </w:rPr>
              <w:t>(N=247)</w:t>
            </w:r>
          </w:p>
        </w:tc>
      </w:tr>
      <w:tr w:rsidR="002D7804" w:rsidRPr="00AA72A8" w14:paraId="0F17B5F8" w14:textId="77777777" w:rsidTr="00BC5A69">
        <w:trPr>
          <w:trHeight w:val="20"/>
        </w:trPr>
        <w:tc>
          <w:tcPr>
            <w:tcW w:w="0" w:type="auto"/>
            <w:gridSpan w:val="5"/>
            <w:tcMar>
              <w:left w:w="40" w:type="dxa"/>
              <w:right w:w="40" w:type="dxa"/>
            </w:tcMar>
          </w:tcPr>
          <w:p w14:paraId="08A07791" w14:textId="6D15CD26" w:rsidR="002D7804" w:rsidRPr="00B230F1" w:rsidRDefault="002D7804" w:rsidP="00372A9A">
            <w:pPr>
              <w:pStyle w:val="TableH28pt"/>
              <w:spacing w:before="0" w:after="0"/>
              <w:rPr>
                <w:rFonts w:ascii="Arial Narrow" w:hAnsi="Arial Narrow"/>
                <w:bCs/>
                <w:sz w:val="20"/>
                <w:szCs w:val="24"/>
              </w:rPr>
            </w:pPr>
            <w:r w:rsidRPr="00B230F1">
              <w:rPr>
                <w:rFonts w:ascii="Arial Narrow" w:hAnsi="Arial Narrow"/>
                <w:bCs/>
                <w:sz w:val="20"/>
              </w:rPr>
              <w:t xml:space="preserve">ORR assessed by </w:t>
            </w:r>
            <w:r w:rsidR="005732B0">
              <w:rPr>
                <w:rFonts w:ascii="Arial Narrow" w:hAnsi="Arial Narrow"/>
                <w:sz w:val="20"/>
              </w:rPr>
              <w:t xml:space="preserve">IRC </w:t>
            </w:r>
            <w:r w:rsidRPr="00B230F1">
              <w:rPr>
                <w:rFonts w:ascii="Arial Narrow" w:hAnsi="Arial Narrow"/>
                <w:bCs/>
                <w:sz w:val="20"/>
                <w:vertAlign w:val="superscript"/>
              </w:rPr>
              <w:t>a</w:t>
            </w:r>
          </w:p>
        </w:tc>
      </w:tr>
      <w:tr w:rsidR="002D7804" w:rsidRPr="00AA72A8" w14:paraId="0AB19778" w14:textId="77777777" w:rsidTr="00BC5A69">
        <w:trPr>
          <w:trHeight w:val="20"/>
        </w:trPr>
        <w:tc>
          <w:tcPr>
            <w:tcW w:w="1675" w:type="dxa"/>
            <w:tcMar>
              <w:left w:w="40" w:type="dxa"/>
              <w:right w:w="40" w:type="dxa"/>
            </w:tcMar>
          </w:tcPr>
          <w:p w14:paraId="1BAC98BA" w14:textId="77777777" w:rsidR="002D7804" w:rsidRPr="00AA72A8" w:rsidRDefault="002D7804" w:rsidP="00BC5A69">
            <w:pPr>
              <w:pStyle w:val="Tabletext8pt"/>
              <w:keepNext/>
              <w:framePr w:hSpace="0" w:wrap="auto" w:vAnchor="margin" w:yAlign="inline"/>
              <w:spacing w:before="0" w:after="0"/>
              <w:rPr>
                <w:rFonts w:ascii="Arial Narrow" w:hAnsi="Arial Narrow"/>
                <w:sz w:val="20"/>
              </w:rPr>
            </w:pPr>
            <w:r>
              <w:rPr>
                <w:rFonts w:ascii="Arial Narrow" w:hAnsi="Arial Narrow"/>
                <w:sz w:val="20"/>
              </w:rPr>
              <w:t>Events</w:t>
            </w:r>
            <w:r w:rsidRPr="00AA72A8">
              <w:rPr>
                <w:rFonts w:ascii="Arial Narrow" w:hAnsi="Arial Narrow"/>
                <w:sz w:val="20"/>
              </w:rPr>
              <w:t>, n (%)</w:t>
            </w:r>
          </w:p>
        </w:tc>
        <w:tc>
          <w:tcPr>
            <w:tcW w:w="1680" w:type="dxa"/>
            <w:tcMar>
              <w:left w:w="40" w:type="dxa"/>
              <w:right w:w="40" w:type="dxa"/>
            </w:tcMar>
            <w:vAlign w:val="center"/>
          </w:tcPr>
          <w:p w14:paraId="476BE2CC" w14:textId="7777777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57 (82.6)</w:t>
            </w:r>
          </w:p>
        </w:tc>
        <w:tc>
          <w:tcPr>
            <w:tcW w:w="1876" w:type="dxa"/>
            <w:tcMar>
              <w:left w:w="40" w:type="dxa"/>
              <w:right w:w="40" w:type="dxa"/>
            </w:tcMar>
            <w:vAlign w:val="center"/>
          </w:tcPr>
          <w:p w14:paraId="10E8940A" w14:textId="7777777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152 (61.5)</w:t>
            </w:r>
          </w:p>
        </w:tc>
        <w:tc>
          <w:tcPr>
            <w:tcW w:w="1844" w:type="dxa"/>
            <w:shd w:val="clear" w:color="auto" w:fill="B8CCE4" w:themeFill="accent1" w:themeFillTint="66"/>
            <w:tcMar>
              <w:left w:w="40" w:type="dxa"/>
              <w:right w:w="40" w:type="dxa"/>
            </w:tcMar>
          </w:tcPr>
          <w:p w14:paraId="4583F4A3" w14:textId="77777777" w:rsidR="002D7804" w:rsidRPr="00E21827" w:rsidRDefault="002D7804" w:rsidP="00E2432E">
            <w:pPr>
              <w:pStyle w:val="Tabletext8pt"/>
              <w:keepNext/>
              <w:framePr w:hSpace="0" w:wrap="auto" w:vAnchor="margin" w:yAlign="inline"/>
              <w:spacing w:before="0" w:after="0"/>
              <w:jc w:val="center"/>
              <w:rPr>
                <w:rFonts w:ascii="Arial Narrow" w:hAnsi="Arial Narrow"/>
                <w:sz w:val="20"/>
              </w:rPr>
            </w:pPr>
            <w:r w:rsidRPr="00E21827">
              <w:rPr>
                <w:rFonts w:ascii="Arial Narrow" w:hAnsi="Arial Narrow"/>
                <w:sz w:val="20"/>
              </w:rPr>
              <w:t>58 (84.1)</w:t>
            </w:r>
          </w:p>
        </w:tc>
        <w:tc>
          <w:tcPr>
            <w:tcW w:w="1942" w:type="dxa"/>
            <w:shd w:val="clear" w:color="auto" w:fill="B8CCE4" w:themeFill="accent1" w:themeFillTint="66"/>
            <w:tcMar>
              <w:left w:w="40" w:type="dxa"/>
              <w:right w:w="40" w:type="dxa"/>
            </w:tcMar>
          </w:tcPr>
          <w:p w14:paraId="724CE31C" w14:textId="77777777" w:rsidR="002D7804" w:rsidRPr="00E21827" w:rsidRDefault="002D7804" w:rsidP="00E2432E">
            <w:pPr>
              <w:pStyle w:val="Tabletext8pt"/>
              <w:keepNext/>
              <w:framePr w:hSpace="0" w:wrap="auto" w:vAnchor="margin" w:yAlign="inline"/>
              <w:spacing w:before="0" w:after="0"/>
              <w:jc w:val="center"/>
              <w:rPr>
                <w:rFonts w:ascii="Arial Narrow" w:hAnsi="Arial Narrow"/>
                <w:sz w:val="20"/>
              </w:rPr>
            </w:pPr>
            <w:r w:rsidRPr="00E21827">
              <w:rPr>
                <w:rFonts w:ascii="Arial Narrow" w:hAnsi="Arial Narrow"/>
                <w:sz w:val="20"/>
              </w:rPr>
              <w:t>151 (61.1)</w:t>
            </w:r>
          </w:p>
        </w:tc>
      </w:tr>
      <w:tr w:rsidR="002D7804" w:rsidRPr="00AA72A8" w14:paraId="274B2DB6" w14:textId="77777777" w:rsidTr="00BC5A69">
        <w:trPr>
          <w:trHeight w:val="20"/>
        </w:trPr>
        <w:tc>
          <w:tcPr>
            <w:tcW w:w="1675" w:type="dxa"/>
            <w:tcMar>
              <w:left w:w="40" w:type="dxa"/>
              <w:right w:w="40" w:type="dxa"/>
            </w:tcMar>
          </w:tcPr>
          <w:p w14:paraId="5A0C9874" w14:textId="77777777" w:rsidR="002D7804" w:rsidRPr="00AA72A8" w:rsidRDefault="002D7804" w:rsidP="00BC5A69">
            <w:pPr>
              <w:pStyle w:val="Tabletext8pt"/>
              <w:keepNext/>
              <w:framePr w:hSpace="0" w:wrap="auto" w:vAnchor="margin" w:yAlign="inline"/>
              <w:spacing w:before="0" w:after="0"/>
              <w:rPr>
                <w:rFonts w:ascii="Arial Narrow" w:hAnsi="Arial Narrow"/>
                <w:sz w:val="20"/>
              </w:rPr>
            </w:pPr>
            <w:r w:rsidRPr="00AA72A8">
              <w:rPr>
                <w:rFonts w:ascii="Arial Narrow" w:hAnsi="Arial Narrow"/>
                <w:sz w:val="20"/>
              </w:rPr>
              <w:t>95% CI</w:t>
            </w:r>
            <w:r>
              <w:rPr>
                <w:rFonts w:ascii="Arial Narrow" w:hAnsi="Arial Narrow"/>
                <w:sz w:val="20"/>
              </w:rPr>
              <w:t xml:space="preserve"> </w:t>
            </w:r>
            <w:r w:rsidRPr="00AA72A8">
              <w:rPr>
                <w:rFonts w:ascii="Arial Narrow" w:hAnsi="Arial Narrow"/>
                <w:sz w:val="20"/>
                <w:vertAlign w:val="superscript"/>
              </w:rPr>
              <w:t>b</w:t>
            </w:r>
          </w:p>
        </w:tc>
        <w:tc>
          <w:tcPr>
            <w:tcW w:w="1680" w:type="dxa"/>
            <w:tcMar>
              <w:left w:w="40" w:type="dxa"/>
              <w:right w:w="40" w:type="dxa"/>
            </w:tcMar>
            <w:vAlign w:val="center"/>
          </w:tcPr>
          <w:p w14:paraId="30418D62" w14:textId="00FB9FE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71.6, 90.7</w:t>
            </w:r>
          </w:p>
        </w:tc>
        <w:tc>
          <w:tcPr>
            <w:tcW w:w="1876" w:type="dxa"/>
            <w:tcMar>
              <w:left w:w="40" w:type="dxa"/>
              <w:right w:w="40" w:type="dxa"/>
            </w:tcMar>
            <w:vAlign w:val="center"/>
          </w:tcPr>
          <w:p w14:paraId="5DD9AA03" w14:textId="2CCC524A"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55.2, 67.6</w:t>
            </w:r>
          </w:p>
        </w:tc>
        <w:tc>
          <w:tcPr>
            <w:tcW w:w="1844" w:type="dxa"/>
            <w:shd w:val="clear" w:color="auto" w:fill="B8CCE4" w:themeFill="accent1" w:themeFillTint="66"/>
            <w:tcMar>
              <w:left w:w="40" w:type="dxa"/>
              <w:right w:w="40" w:type="dxa"/>
            </w:tcMar>
          </w:tcPr>
          <w:p w14:paraId="025C24E3" w14:textId="2F100F51" w:rsidR="002D7804" w:rsidRPr="00E21827" w:rsidRDefault="002D7804" w:rsidP="00E2432E">
            <w:pPr>
              <w:pStyle w:val="Tabletext8pt"/>
              <w:keepNext/>
              <w:framePr w:hSpace="0" w:wrap="auto" w:vAnchor="margin" w:yAlign="inline"/>
              <w:spacing w:before="0" w:after="0"/>
              <w:jc w:val="center"/>
              <w:rPr>
                <w:rFonts w:ascii="Arial Narrow" w:hAnsi="Arial Narrow"/>
                <w:sz w:val="20"/>
              </w:rPr>
            </w:pPr>
            <w:r w:rsidRPr="00E21827">
              <w:rPr>
                <w:rFonts w:ascii="Arial Narrow" w:hAnsi="Arial Narrow"/>
                <w:sz w:val="20"/>
              </w:rPr>
              <w:t>73.3, 91.8</w:t>
            </w:r>
          </w:p>
        </w:tc>
        <w:tc>
          <w:tcPr>
            <w:tcW w:w="1942" w:type="dxa"/>
            <w:shd w:val="clear" w:color="auto" w:fill="B8CCE4" w:themeFill="accent1" w:themeFillTint="66"/>
            <w:tcMar>
              <w:left w:w="40" w:type="dxa"/>
              <w:right w:w="40" w:type="dxa"/>
            </w:tcMar>
          </w:tcPr>
          <w:p w14:paraId="23FFCC3E" w14:textId="27BB3A23" w:rsidR="002D7804" w:rsidRPr="00E21827" w:rsidRDefault="002D7804" w:rsidP="00E2432E">
            <w:pPr>
              <w:pStyle w:val="Tabletext8pt"/>
              <w:keepNext/>
              <w:framePr w:hSpace="0" w:wrap="auto" w:vAnchor="margin" w:yAlign="inline"/>
              <w:spacing w:before="0" w:after="0"/>
              <w:jc w:val="center"/>
              <w:rPr>
                <w:rFonts w:ascii="Arial Narrow" w:hAnsi="Arial Narrow"/>
                <w:sz w:val="20"/>
              </w:rPr>
            </w:pPr>
            <w:r w:rsidRPr="00E21827">
              <w:rPr>
                <w:rFonts w:ascii="Arial Narrow" w:hAnsi="Arial Narrow"/>
                <w:sz w:val="20"/>
              </w:rPr>
              <w:t>54.7, 67.2</w:t>
            </w:r>
          </w:p>
        </w:tc>
      </w:tr>
      <w:tr w:rsidR="002D7804" w:rsidRPr="00AA72A8" w14:paraId="55C7386A" w14:textId="77777777" w:rsidTr="00BC5A69">
        <w:trPr>
          <w:trHeight w:val="20"/>
        </w:trPr>
        <w:tc>
          <w:tcPr>
            <w:tcW w:w="0" w:type="auto"/>
            <w:gridSpan w:val="5"/>
            <w:tcMar>
              <w:left w:w="40" w:type="dxa"/>
              <w:right w:w="40" w:type="dxa"/>
            </w:tcMar>
          </w:tcPr>
          <w:p w14:paraId="0A2558AA" w14:textId="0D174DA1" w:rsidR="002D7804" w:rsidRPr="00E21827" w:rsidRDefault="002D7804" w:rsidP="00E2432E">
            <w:pPr>
              <w:pStyle w:val="Tabletext8pt"/>
              <w:keepNext/>
              <w:framePr w:hSpace="0" w:wrap="auto" w:vAnchor="margin" w:yAlign="inline"/>
              <w:spacing w:before="0" w:after="0"/>
              <w:rPr>
                <w:rFonts w:ascii="Arial Narrow" w:hAnsi="Arial Narrow"/>
                <w:sz w:val="20"/>
              </w:rPr>
            </w:pPr>
            <w:r w:rsidRPr="00AA72A8">
              <w:rPr>
                <w:rFonts w:ascii="Arial Narrow" w:hAnsi="Arial Narrow"/>
                <w:b/>
                <w:sz w:val="20"/>
              </w:rPr>
              <w:t>PFS</w:t>
            </w:r>
            <w:r>
              <w:rPr>
                <w:rFonts w:ascii="Arial Narrow" w:hAnsi="Arial Narrow"/>
                <w:b/>
                <w:sz w:val="20"/>
              </w:rPr>
              <w:t xml:space="preserve"> assessed by </w:t>
            </w:r>
            <w:r w:rsidR="005732B0">
              <w:rPr>
                <w:rFonts w:ascii="Arial Narrow" w:hAnsi="Arial Narrow"/>
                <w:b/>
                <w:sz w:val="20"/>
              </w:rPr>
              <w:t xml:space="preserve">IRC </w:t>
            </w:r>
            <w:r w:rsidR="005732B0">
              <w:rPr>
                <w:rFonts w:ascii="Arial Narrow" w:hAnsi="Arial Narrow"/>
                <w:b/>
                <w:sz w:val="20"/>
                <w:vertAlign w:val="superscript"/>
              </w:rPr>
              <w:t>a</w:t>
            </w:r>
          </w:p>
        </w:tc>
      </w:tr>
      <w:tr w:rsidR="002D7804" w:rsidRPr="00AA72A8" w14:paraId="177292A6" w14:textId="77777777" w:rsidTr="00BC5A69">
        <w:trPr>
          <w:trHeight w:val="20"/>
        </w:trPr>
        <w:tc>
          <w:tcPr>
            <w:tcW w:w="1675" w:type="dxa"/>
            <w:tcMar>
              <w:left w:w="40" w:type="dxa"/>
              <w:right w:w="40" w:type="dxa"/>
            </w:tcMar>
          </w:tcPr>
          <w:p w14:paraId="56CC1F5C" w14:textId="687D60E5" w:rsidR="002D7804" w:rsidRPr="00AA72A8" w:rsidRDefault="002D7804" w:rsidP="00BC5A69">
            <w:pPr>
              <w:pStyle w:val="Tabletext8pt"/>
              <w:keepNext/>
              <w:framePr w:hSpace="0" w:wrap="auto" w:vAnchor="margin" w:yAlign="inline"/>
              <w:spacing w:before="0" w:after="0"/>
              <w:rPr>
                <w:rFonts w:ascii="Arial Narrow" w:hAnsi="Arial Narrow"/>
                <w:sz w:val="20"/>
              </w:rPr>
            </w:pPr>
            <w:r>
              <w:rPr>
                <w:rFonts w:ascii="Arial Narrow" w:hAnsi="Arial Narrow"/>
                <w:sz w:val="20"/>
              </w:rPr>
              <w:t>M</w:t>
            </w:r>
            <w:r w:rsidRPr="00AA72A8">
              <w:rPr>
                <w:rFonts w:ascii="Arial Narrow" w:hAnsi="Arial Narrow"/>
                <w:sz w:val="20"/>
              </w:rPr>
              <w:t xml:space="preserve">edian </w:t>
            </w:r>
            <w:r>
              <w:rPr>
                <w:rFonts w:ascii="Arial Narrow" w:hAnsi="Arial Narrow"/>
                <w:sz w:val="20"/>
              </w:rPr>
              <w:t xml:space="preserve">PFS, </w:t>
            </w:r>
            <w:r w:rsidRPr="00AA72A8">
              <w:rPr>
                <w:rFonts w:ascii="Arial Narrow" w:hAnsi="Arial Narrow"/>
                <w:sz w:val="20"/>
              </w:rPr>
              <w:t>months</w:t>
            </w:r>
            <w:r>
              <w:rPr>
                <w:rFonts w:ascii="Arial Narrow" w:hAnsi="Arial Narrow"/>
                <w:sz w:val="20"/>
              </w:rPr>
              <w:t xml:space="preserve"> (</w:t>
            </w:r>
            <w:r w:rsidRPr="00AA72A8">
              <w:rPr>
                <w:rFonts w:ascii="Arial Narrow" w:hAnsi="Arial Narrow"/>
                <w:sz w:val="20"/>
              </w:rPr>
              <w:t>95% CI</w:t>
            </w:r>
            <w:r>
              <w:rPr>
                <w:rFonts w:ascii="Arial Narrow" w:hAnsi="Arial Narrow"/>
                <w:sz w:val="20"/>
              </w:rPr>
              <w:t>)</w:t>
            </w:r>
            <w:r w:rsidR="005732B0">
              <w:rPr>
                <w:rFonts w:ascii="Arial Narrow" w:hAnsi="Arial Narrow"/>
                <w:sz w:val="20"/>
              </w:rPr>
              <w:t xml:space="preserve"> </w:t>
            </w:r>
            <w:r w:rsidRPr="004916C1">
              <w:rPr>
                <w:rFonts w:ascii="Arial Narrow" w:hAnsi="Arial Narrow"/>
                <w:sz w:val="20"/>
                <w:vertAlign w:val="superscript"/>
              </w:rPr>
              <w:t>c</w:t>
            </w:r>
            <w:r>
              <w:rPr>
                <w:rFonts w:ascii="Arial Narrow" w:hAnsi="Arial Narrow"/>
                <w:sz w:val="20"/>
                <w:vertAlign w:val="superscript"/>
              </w:rPr>
              <w:t>, d</w:t>
            </w:r>
          </w:p>
        </w:tc>
        <w:tc>
          <w:tcPr>
            <w:tcW w:w="1680" w:type="dxa"/>
            <w:tcMar>
              <w:left w:w="40" w:type="dxa"/>
              <w:right w:w="40" w:type="dxa"/>
            </w:tcMar>
            <w:vAlign w:val="center"/>
          </w:tcPr>
          <w:p w14:paraId="6FDBF8FE" w14:textId="7777777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22.0</w:t>
            </w:r>
            <w:r>
              <w:rPr>
                <w:rFonts w:ascii="Arial Narrow" w:hAnsi="Arial Narrow"/>
                <w:sz w:val="20"/>
              </w:rPr>
              <w:t xml:space="preserve"> </w:t>
            </w:r>
            <w:r w:rsidRPr="00AA72A8">
              <w:rPr>
                <w:rFonts w:ascii="Arial Narrow" w:hAnsi="Arial Narrow"/>
                <w:sz w:val="20"/>
              </w:rPr>
              <w:t>(16.5, 24.9)</w:t>
            </w:r>
          </w:p>
        </w:tc>
        <w:tc>
          <w:tcPr>
            <w:tcW w:w="1876" w:type="dxa"/>
            <w:tcMar>
              <w:left w:w="40" w:type="dxa"/>
              <w:right w:w="40" w:type="dxa"/>
            </w:tcMar>
            <w:vAlign w:val="center"/>
          </w:tcPr>
          <w:p w14:paraId="64EC09AE" w14:textId="7777777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26.2</w:t>
            </w:r>
            <w:r>
              <w:rPr>
                <w:rFonts w:ascii="Arial Narrow" w:hAnsi="Arial Narrow"/>
                <w:sz w:val="20"/>
              </w:rPr>
              <w:t xml:space="preserve"> </w:t>
            </w:r>
            <w:r w:rsidRPr="00AA72A8">
              <w:rPr>
                <w:rFonts w:ascii="Arial Narrow" w:hAnsi="Arial Narrow"/>
                <w:sz w:val="20"/>
              </w:rPr>
              <w:t>(19.3, 35.7)</w:t>
            </w:r>
          </w:p>
        </w:tc>
        <w:tc>
          <w:tcPr>
            <w:tcW w:w="1844" w:type="dxa"/>
            <w:shd w:val="clear" w:color="auto" w:fill="B8CCE4" w:themeFill="accent1" w:themeFillTint="66"/>
            <w:tcMar>
              <w:left w:w="40" w:type="dxa"/>
              <w:right w:w="40" w:type="dxa"/>
            </w:tcMar>
            <w:vAlign w:val="center"/>
          </w:tcPr>
          <w:p w14:paraId="4E3C3725" w14:textId="77777777" w:rsidR="002D7804" w:rsidRPr="004B78D1" w:rsidRDefault="002D7804" w:rsidP="00E2432E">
            <w:pPr>
              <w:pStyle w:val="Default"/>
              <w:keepNext/>
              <w:jc w:val="center"/>
              <w:rPr>
                <w:rFonts w:ascii="Arial Narrow" w:eastAsia="MS Mincho" w:hAnsi="Arial Narrow"/>
                <w:color w:val="auto"/>
                <w:sz w:val="20"/>
                <w:szCs w:val="20"/>
              </w:rPr>
            </w:pPr>
            <w:r w:rsidRPr="004B78D1">
              <w:rPr>
                <w:rFonts w:ascii="Arial Narrow" w:eastAsia="MS Mincho" w:hAnsi="Arial Narrow"/>
                <w:color w:val="auto"/>
                <w:sz w:val="20"/>
                <w:szCs w:val="20"/>
              </w:rPr>
              <w:t>22.0 (13.8, NE)</w:t>
            </w:r>
          </w:p>
        </w:tc>
        <w:tc>
          <w:tcPr>
            <w:tcW w:w="1942" w:type="dxa"/>
            <w:shd w:val="clear" w:color="auto" w:fill="B8CCE4" w:themeFill="accent1" w:themeFillTint="66"/>
            <w:tcMar>
              <w:left w:w="40" w:type="dxa"/>
              <w:right w:w="40" w:type="dxa"/>
            </w:tcMar>
            <w:vAlign w:val="center"/>
          </w:tcPr>
          <w:p w14:paraId="771C6599" w14:textId="77777777" w:rsidR="002D7804" w:rsidRPr="004B78D1" w:rsidRDefault="002D7804" w:rsidP="00E2432E">
            <w:pPr>
              <w:pStyle w:val="Default"/>
              <w:keepNext/>
              <w:jc w:val="center"/>
              <w:rPr>
                <w:rFonts w:ascii="Arial Narrow" w:eastAsia="MS Mincho" w:hAnsi="Arial Narrow"/>
                <w:color w:val="auto"/>
                <w:sz w:val="20"/>
                <w:szCs w:val="20"/>
              </w:rPr>
            </w:pPr>
            <w:r w:rsidRPr="004B78D1">
              <w:rPr>
                <w:rFonts w:ascii="Arial Narrow" w:eastAsia="MS Mincho" w:hAnsi="Arial Narrow"/>
                <w:color w:val="auto"/>
                <w:sz w:val="20"/>
                <w:szCs w:val="20"/>
              </w:rPr>
              <w:t>24.9 (19.3, NE)</w:t>
            </w:r>
          </w:p>
        </w:tc>
      </w:tr>
      <w:tr w:rsidR="002D7804" w:rsidRPr="00AA72A8" w14:paraId="7A787B45" w14:textId="77777777" w:rsidTr="00BC5A69">
        <w:trPr>
          <w:trHeight w:val="20"/>
        </w:trPr>
        <w:tc>
          <w:tcPr>
            <w:tcW w:w="0" w:type="auto"/>
            <w:gridSpan w:val="5"/>
            <w:tcMar>
              <w:left w:w="40" w:type="dxa"/>
              <w:right w:w="40" w:type="dxa"/>
            </w:tcMar>
          </w:tcPr>
          <w:p w14:paraId="2170ABB8" w14:textId="542338BF" w:rsidR="002D7804" w:rsidRPr="004B78D1" w:rsidRDefault="002D7804" w:rsidP="00E2432E">
            <w:pPr>
              <w:pStyle w:val="Default"/>
              <w:keepNext/>
              <w:rPr>
                <w:rFonts w:ascii="Arial Narrow" w:eastAsia="MS Mincho" w:hAnsi="Arial Narrow"/>
                <w:color w:val="auto"/>
                <w:sz w:val="20"/>
                <w:szCs w:val="20"/>
              </w:rPr>
            </w:pPr>
            <w:r w:rsidRPr="00AA72A8">
              <w:rPr>
                <w:rFonts w:ascii="Arial Narrow" w:hAnsi="Arial Narrow"/>
                <w:b/>
                <w:sz w:val="20"/>
              </w:rPr>
              <w:t>OS</w:t>
            </w:r>
          </w:p>
        </w:tc>
      </w:tr>
      <w:tr w:rsidR="002D7804" w:rsidRPr="00AA72A8" w14:paraId="582EA214" w14:textId="77777777" w:rsidTr="00BC5A69">
        <w:trPr>
          <w:trHeight w:val="20"/>
        </w:trPr>
        <w:tc>
          <w:tcPr>
            <w:tcW w:w="1675" w:type="dxa"/>
            <w:tcMar>
              <w:left w:w="40" w:type="dxa"/>
              <w:right w:w="40" w:type="dxa"/>
            </w:tcMar>
          </w:tcPr>
          <w:p w14:paraId="7B1E0691" w14:textId="2CFB1B4B" w:rsidR="002D7804" w:rsidRPr="00AA72A8" w:rsidRDefault="002D7804" w:rsidP="00BC5A69">
            <w:pPr>
              <w:pStyle w:val="Tabletext8pt"/>
              <w:keepNext/>
              <w:framePr w:hSpace="0" w:wrap="auto" w:vAnchor="margin" w:yAlign="inline"/>
              <w:spacing w:before="0" w:after="0"/>
              <w:rPr>
                <w:rFonts w:ascii="Arial Narrow" w:hAnsi="Arial Narrow"/>
                <w:sz w:val="20"/>
              </w:rPr>
            </w:pPr>
            <w:r w:rsidRPr="00AA72A8">
              <w:rPr>
                <w:rFonts w:ascii="Arial Narrow" w:hAnsi="Arial Narrow"/>
                <w:sz w:val="20"/>
              </w:rPr>
              <w:t>Median</w:t>
            </w:r>
            <w:r>
              <w:rPr>
                <w:rFonts w:ascii="Arial Narrow" w:hAnsi="Arial Narrow"/>
                <w:sz w:val="20"/>
              </w:rPr>
              <w:t xml:space="preserve"> OS</w:t>
            </w:r>
            <w:r w:rsidRPr="00AA72A8">
              <w:rPr>
                <w:rFonts w:ascii="Arial Narrow" w:hAnsi="Arial Narrow"/>
                <w:sz w:val="20"/>
              </w:rPr>
              <w:t>, months</w:t>
            </w:r>
            <w:r>
              <w:rPr>
                <w:rFonts w:ascii="Arial Narrow" w:hAnsi="Arial Narrow"/>
                <w:sz w:val="20"/>
              </w:rPr>
              <w:t xml:space="preserve"> (</w:t>
            </w:r>
            <w:r w:rsidRPr="00AA72A8">
              <w:rPr>
                <w:rFonts w:ascii="Arial Narrow" w:hAnsi="Arial Narrow"/>
                <w:sz w:val="20"/>
              </w:rPr>
              <w:t>95% CI</w:t>
            </w:r>
            <w:r>
              <w:rPr>
                <w:rFonts w:ascii="Arial Narrow" w:hAnsi="Arial Narrow"/>
                <w:sz w:val="20"/>
              </w:rPr>
              <w:t>)</w:t>
            </w:r>
            <w:r w:rsidR="005732B0">
              <w:rPr>
                <w:rFonts w:ascii="Arial Narrow" w:hAnsi="Arial Narrow"/>
                <w:sz w:val="20"/>
              </w:rPr>
              <w:t xml:space="preserve"> </w:t>
            </w:r>
            <w:r w:rsidR="005732B0" w:rsidRPr="004916C1">
              <w:rPr>
                <w:rFonts w:ascii="Arial Narrow" w:hAnsi="Arial Narrow"/>
                <w:sz w:val="20"/>
                <w:vertAlign w:val="superscript"/>
              </w:rPr>
              <w:t>c</w:t>
            </w:r>
            <w:r w:rsidR="005732B0">
              <w:rPr>
                <w:rFonts w:ascii="Arial Narrow" w:hAnsi="Arial Narrow"/>
                <w:sz w:val="20"/>
                <w:vertAlign w:val="superscript"/>
              </w:rPr>
              <w:t>, d</w:t>
            </w:r>
          </w:p>
        </w:tc>
        <w:tc>
          <w:tcPr>
            <w:tcW w:w="1680" w:type="dxa"/>
            <w:tcMar>
              <w:left w:w="40" w:type="dxa"/>
              <w:right w:w="40" w:type="dxa"/>
            </w:tcMar>
            <w:vAlign w:val="center"/>
          </w:tcPr>
          <w:p w14:paraId="49EED64C" w14:textId="7777777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NE</w:t>
            </w:r>
            <w:r>
              <w:rPr>
                <w:rFonts w:ascii="Arial Narrow" w:hAnsi="Arial Narrow"/>
                <w:sz w:val="20"/>
              </w:rPr>
              <w:t xml:space="preserve"> </w:t>
            </w:r>
            <w:r w:rsidRPr="00AA72A8">
              <w:rPr>
                <w:rFonts w:ascii="Arial Narrow" w:hAnsi="Arial Narrow"/>
                <w:sz w:val="20"/>
              </w:rPr>
              <w:t>(37.8, NE)</w:t>
            </w:r>
          </w:p>
        </w:tc>
        <w:tc>
          <w:tcPr>
            <w:tcW w:w="1876" w:type="dxa"/>
            <w:tcMar>
              <w:left w:w="40" w:type="dxa"/>
              <w:right w:w="40" w:type="dxa"/>
            </w:tcMar>
            <w:vAlign w:val="center"/>
          </w:tcPr>
          <w:p w14:paraId="6A9FF18E" w14:textId="77777777" w:rsidR="002D7804" w:rsidRPr="00AA72A8" w:rsidRDefault="002D7804" w:rsidP="00E2432E">
            <w:pPr>
              <w:pStyle w:val="Tabletext8pt"/>
              <w:keepNext/>
              <w:framePr w:hSpace="0" w:wrap="auto" w:vAnchor="margin" w:yAlign="inline"/>
              <w:spacing w:before="0" w:after="0"/>
              <w:jc w:val="center"/>
              <w:rPr>
                <w:rFonts w:ascii="Arial Narrow" w:hAnsi="Arial Narrow"/>
                <w:sz w:val="20"/>
              </w:rPr>
            </w:pPr>
            <w:r w:rsidRPr="00AA72A8">
              <w:rPr>
                <w:rFonts w:ascii="Arial Narrow" w:hAnsi="Arial Narrow"/>
                <w:sz w:val="20"/>
              </w:rPr>
              <w:t>47.57</w:t>
            </w:r>
            <w:r>
              <w:rPr>
                <w:rFonts w:ascii="Arial Narrow" w:hAnsi="Arial Narrow"/>
                <w:sz w:val="20"/>
              </w:rPr>
              <w:t xml:space="preserve"> </w:t>
            </w:r>
            <w:r w:rsidRPr="00AA72A8">
              <w:rPr>
                <w:rFonts w:ascii="Arial Narrow" w:hAnsi="Arial Narrow"/>
                <w:sz w:val="20"/>
              </w:rPr>
              <w:t>(35.9, NE)</w:t>
            </w:r>
          </w:p>
        </w:tc>
        <w:tc>
          <w:tcPr>
            <w:tcW w:w="1844" w:type="dxa"/>
            <w:shd w:val="clear" w:color="auto" w:fill="B8CCE4" w:themeFill="accent1" w:themeFillTint="66"/>
            <w:tcMar>
              <w:left w:w="40" w:type="dxa"/>
              <w:right w:w="40" w:type="dxa"/>
            </w:tcMar>
            <w:vAlign w:val="center"/>
          </w:tcPr>
          <w:p w14:paraId="1502CD86" w14:textId="77777777" w:rsidR="002D7804" w:rsidRPr="004B78D1" w:rsidRDefault="002D7804" w:rsidP="00E2432E">
            <w:pPr>
              <w:pStyle w:val="Default"/>
              <w:keepNext/>
              <w:jc w:val="center"/>
              <w:rPr>
                <w:rFonts w:ascii="Arial Narrow" w:eastAsia="MS Mincho" w:hAnsi="Arial Narrow"/>
                <w:color w:val="auto"/>
                <w:sz w:val="20"/>
                <w:szCs w:val="20"/>
              </w:rPr>
            </w:pPr>
            <w:r w:rsidRPr="004B78D1">
              <w:rPr>
                <w:rFonts w:ascii="Arial Narrow" w:eastAsia="MS Mincho" w:hAnsi="Arial Narrow"/>
                <w:color w:val="auto"/>
                <w:sz w:val="20"/>
                <w:szCs w:val="20"/>
              </w:rPr>
              <w:t>NE (27.9, NE)</w:t>
            </w:r>
          </w:p>
        </w:tc>
        <w:tc>
          <w:tcPr>
            <w:tcW w:w="1942" w:type="dxa"/>
            <w:shd w:val="clear" w:color="auto" w:fill="B8CCE4" w:themeFill="accent1" w:themeFillTint="66"/>
            <w:tcMar>
              <w:left w:w="40" w:type="dxa"/>
              <w:right w:w="40" w:type="dxa"/>
            </w:tcMar>
            <w:vAlign w:val="center"/>
          </w:tcPr>
          <w:p w14:paraId="2793479A" w14:textId="77777777" w:rsidR="002D7804" w:rsidRPr="004B78D1" w:rsidRDefault="002D7804" w:rsidP="00E2432E">
            <w:pPr>
              <w:pStyle w:val="Default"/>
              <w:keepNext/>
              <w:jc w:val="center"/>
              <w:rPr>
                <w:rFonts w:ascii="Arial Narrow" w:eastAsia="MS Mincho" w:hAnsi="Arial Narrow"/>
                <w:color w:val="auto"/>
                <w:sz w:val="20"/>
                <w:szCs w:val="20"/>
              </w:rPr>
            </w:pPr>
            <w:r w:rsidRPr="004B78D1">
              <w:rPr>
                <w:rFonts w:ascii="Arial Narrow" w:eastAsia="MS Mincho" w:hAnsi="Arial Narrow"/>
                <w:color w:val="auto"/>
                <w:sz w:val="20"/>
                <w:szCs w:val="20"/>
              </w:rPr>
              <w:t>NE (33.5, NE)</w:t>
            </w:r>
          </w:p>
        </w:tc>
      </w:tr>
    </w:tbl>
    <w:p w14:paraId="100CCFE1" w14:textId="77777777" w:rsidR="002D7804" w:rsidRPr="00777CD3" w:rsidRDefault="002D7804" w:rsidP="00372A9A">
      <w:pPr>
        <w:pStyle w:val="TableFigNotes18"/>
        <w:keepNext/>
        <w:spacing w:before="0" w:after="120" w:line="240" w:lineRule="auto"/>
        <w:rPr>
          <w:rFonts w:ascii="Arial Narrow" w:hAnsi="Arial Narrow"/>
          <w:sz w:val="18"/>
          <w:szCs w:val="18"/>
        </w:rPr>
      </w:pPr>
      <w:r w:rsidRPr="00777CD3">
        <w:rPr>
          <w:rFonts w:ascii="Arial Narrow" w:hAnsi="Arial Narrow"/>
          <w:sz w:val="18"/>
          <w:szCs w:val="18"/>
        </w:rPr>
        <w:t>Source: Table 2-38, p88 of the resubmission</w:t>
      </w:r>
      <w:r>
        <w:rPr>
          <w:rFonts w:ascii="Arial Narrow" w:hAnsi="Arial Narrow"/>
          <w:sz w:val="18"/>
          <w:szCs w:val="18"/>
        </w:rPr>
        <w:t xml:space="preserve"> and Table 4, Table 5, and para. 6.16 selpercatinib, PSD, July 2023 PBAC meeting</w:t>
      </w:r>
      <w:r w:rsidRPr="00777CD3">
        <w:rPr>
          <w:rFonts w:ascii="Arial Narrow" w:hAnsi="Arial Narrow"/>
          <w:sz w:val="18"/>
          <w:szCs w:val="18"/>
        </w:rPr>
        <w:t xml:space="preserve">. </w:t>
      </w:r>
    </w:p>
    <w:p w14:paraId="568FB2D1" w14:textId="57E28E31" w:rsidR="002D7804" w:rsidRPr="00777CD3" w:rsidRDefault="002D7804" w:rsidP="00372A9A">
      <w:pPr>
        <w:pStyle w:val="TableFigNotes18"/>
        <w:keepNext/>
        <w:spacing w:before="0" w:after="120" w:line="240" w:lineRule="auto"/>
        <w:rPr>
          <w:rFonts w:ascii="Arial Narrow" w:hAnsi="Arial Narrow"/>
          <w:sz w:val="18"/>
          <w:szCs w:val="18"/>
        </w:rPr>
      </w:pPr>
      <w:r w:rsidRPr="00777CD3">
        <w:rPr>
          <w:rFonts w:ascii="Arial Narrow" w:hAnsi="Arial Narrow"/>
          <w:sz w:val="18"/>
          <w:szCs w:val="18"/>
        </w:rPr>
        <w:t xml:space="preserve">CI = confidence interval; </w:t>
      </w:r>
      <w:r w:rsidR="005732B0" w:rsidRPr="00777CD3">
        <w:rPr>
          <w:rFonts w:ascii="Arial Narrow" w:hAnsi="Arial Narrow"/>
          <w:sz w:val="18"/>
          <w:szCs w:val="18"/>
        </w:rPr>
        <w:t>IRC =</w:t>
      </w:r>
      <w:r w:rsidR="005732B0">
        <w:rPr>
          <w:rFonts w:ascii="Arial Narrow" w:hAnsi="Arial Narrow"/>
          <w:sz w:val="18"/>
          <w:szCs w:val="18"/>
        </w:rPr>
        <w:t xml:space="preserve"> </w:t>
      </w:r>
      <w:r w:rsidR="005732B0" w:rsidRPr="00777CD3">
        <w:rPr>
          <w:rFonts w:ascii="Arial Narrow" w:hAnsi="Arial Narrow"/>
          <w:sz w:val="18"/>
          <w:szCs w:val="18"/>
        </w:rPr>
        <w:t>independent review</w:t>
      </w:r>
      <w:r w:rsidR="005732B0">
        <w:rPr>
          <w:rFonts w:ascii="Arial Narrow" w:hAnsi="Arial Narrow"/>
          <w:sz w:val="18"/>
          <w:szCs w:val="18"/>
        </w:rPr>
        <w:t xml:space="preserve"> committee;</w:t>
      </w:r>
      <w:r w:rsidR="005732B0" w:rsidRPr="00777CD3">
        <w:rPr>
          <w:rFonts w:ascii="Arial Narrow" w:hAnsi="Arial Narrow"/>
          <w:sz w:val="18"/>
          <w:szCs w:val="18"/>
        </w:rPr>
        <w:t xml:space="preserve"> </w:t>
      </w:r>
      <w:r>
        <w:rPr>
          <w:rFonts w:ascii="Arial Narrow" w:hAnsi="Arial Narrow"/>
          <w:sz w:val="18"/>
          <w:szCs w:val="18"/>
        </w:rPr>
        <w:t>NE = not e</w:t>
      </w:r>
      <w:r w:rsidR="00C54412">
        <w:rPr>
          <w:rFonts w:ascii="Arial Narrow" w:hAnsi="Arial Narrow"/>
          <w:sz w:val="18"/>
          <w:szCs w:val="18"/>
        </w:rPr>
        <w:t>stimable</w:t>
      </w:r>
      <w:r>
        <w:rPr>
          <w:rFonts w:ascii="Arial Narrow" w:hAnsi="Arial Narrow"/>
          <w:sz w:val="18"/>
          <w:szCs w:val="18"/>
        </w:rPr>
        <w:t xml:space="preserve">; </w:t>
      </w:r>
      <w:r w:rsidRPr="00777CD3">
        <w:rPr>
          <w:rFonts w:ascii="Arial Narrow" w:hAnsi="Arial Narrow"/>
          <w:sz w:val="18"/>
          <w:szCs w:val="18"/>
        </w:rPr>
        <w:t>ORR = objective response rate; OS = overall survival; PFS = progression-free survival</w:t>
      </w:r>
      <w:r>
        <w:rPr>
          <w:rFonts w:ascii="Arial Narrow" w:hAnsi="Arial Narrow"/>
          <w:sz w:val="18"/>
          <w:szCs w:val="18"/>
        </w:rPr>
        <w:t>.</w:t>
      </w:r>
    </w:p>
    <w:p w14:paraId="61CBF216" w14:textId="5F63EF8D" w:rsidR="002D7804" w:rsidRPr="00777CD3" w:rsidRDefault="002D7804" w:rsidP="00372A9A">
      <w:pPr>
        <w:pStyle w:val="TableFigNotes18"/>
        <w:keepNext/>
        <w:spacing w:before="0" w:after="120" w:line="240" w:lineRule="auto"/>
        <w:rPr>
          <w:rFonts w:ascii="Arial Narrow" w:hAnsi="Arial Narrow"/>
          <w:sz w:val="18"/>
          <w:szCs w:val="18"/>
        </w:rPr>
      </w:pPr>
      <w:r w:rsidRPr="001437E3">
        <w:rPr>
          <w:rFonts w:ascii="Arial Narrow" w:hAnsi="Arial Narrow"/>
          <w:sz w:val="18"/>
          <w:szCs w:val="18"/>
          <w:vertAlign w:val="superscript"/>
        </w:rPr>
        <w:t>a</w:t>
      </w:r>
      <w:r w:rsidRPr="00777CD3">
        <w:rPr>
          <w:rFonts w:ascii="Arial Narrow" w:hAnsi="Arial Narrow"/>
          <w:sz w:val="18"/>
          <w:szCs w:val="18"/>
        </w:rPr>
        <w:t xml:space="preserve"> ORR </w:t>
      </w:r>
      <w:r>
        <w:rPr>
          <w:rFonts w:ascii="Arial Narrow" w:hAnsi="Arial Narrow"/>
          <w:sz w:val="18"/>
          <w:szCs w:val="18"/>
        </w:rPr>
        <w:t>was</w:t>
      </w:r>
      <w:r w:rsidRPr="00777CD3">
        <w:rPr>
          <w:rFonts w:ascii="Arial Narrow" w:hAnsi="Arial Narrow"/>
          <w:sz w:val="18"/>
          <w:szCs w:val="18"/>
        </w:rPr>
        <w:t xml:space="preserve"> defined as the proportion of </w:t>
      </w:r>
      <w:r w:rsidR="00364C6C">
        <w:rPr>
          <w:rFonts w:ascii="Arial Narrow" w:hAnsi="Arial Narrow"/>
          <w:sz w:val="18"/>
          <w:szCs w:val="18"/>
        </w:rPr>
        <w:t>patients</w:t>
      </w:r>
      <w:r w:rsidRPr="00777CD3">
        <w:rPr>
          <w:rFonts w:ascii="Arial Narrow" w:hAnsi="Arial Narrow"/>
          <w:sz w:val="18"/>
          <w:szCs w:val="18"/>
        </w:rPr>
        <w:t xml:space="preserve"> with best overall response of confirmed </w:t>
      </w:r>
      <w:r>
        <w:rPr>
          <w:rFonts w:ascii="Arial Narrow" w:hAnsi="Arial Narrow"/>
          <w:sz w:val="18"/>
          <w:szCs w:val="18"/>
        </w:rPr>
        <w:t>complete</w:t>
      </w:r>
      <w:r w:rsidRPr="00777CD3">
        <w:rPr>
          <w:rFonts w:ascii="Arial Narrow" w:hAnsi="Arial Narrow"/>
          <w:sz w:val="18"/>
          <w:szCs w:val="18"/>
        </w:rPr>
        <w:t xml:space="preserve"> or </w:t>
      </w:r>
      <w:r>
        <w:rPr>
          <w:rFonts w:ascii="Arial Narrow" w:hAnsi="Arial Narrow"/>
          <w:sz w:val="18"/>
          <w:szCs w:val="18"/>
        </w:rPr>
        <w:t>partial response</w:t>
      </w:r>
      <w:r w:rsidRPr="00777CD3">
        <w:rPr>
          <w:rFonts w:ascii="Arial Narrow" w:hAnsi="Arial Narrow"/>
          <w:sz w:val="18"/>
          <w:szCs w:val="18"/>
        </w:rPr>
        <w:t>. Response was confirmed by a repeat assessment ≥28 days</w:t>
      </w:r>
      <w:r>
        <w:rPr>
          <w:rFonts w:ascii="Arial Narrow" w:hAnsi="Arial Narrow"/>
          <w:sz w:val="18"/>
          <w:szCs w:val="18"/>
        </w:rPr>
        <w:t>.</w:t>
      </w:r>
    </w:p>
    <w:p w14:paraId="681320FD" w14:textId="77777777" w:rsidR="002D7804" w:rsidRPr="00777CD3" w:rsidRDefault="002D7804" w:rsidP="00372A9A">
      <w:pPr>
        <w:pStyle w:val="TableFigNotes18"/>
        <w:keepNext/>
        <w:spacing w:before="0" w:after="120" w:line="240" w:lineRule="auto"/>
        <w:rPr>
          <w:rFonts w:ascii="Arial Narrow" w:hAnsi="Arial Narrow"/>
          <w:sz w:val="18"/>
          <w:szCs w:val="18"/>
        </w:rPr>
      </w:pPr>
      <w:r w:rsidRPr="001437E3">
        <w:rPr>
          <w:rFonts w:ascii="Arial Narrow" w:hAnsi="Arial Narrow"/>
          <w:sz w:val="18"/>
          <w:szCs w:val="18"/>
          <w:vertAlign w:val="superscript"/>
        </w:rPr>
        <w:t>b</w:t>
      </w:r>
      <w:r w:rsidRPr="00777CD3">
        <w:rPr>
          <w:rFonts w:ascii="Arial Narrow" w:hAnsi="Arial Narrow"/>
          <w:sz w:val="18"/>
          <w:szCs w:val="18"/>
        </w:rPr>
        <w:t xml:space="preserve"> 95% CI was calculated using the Clopper-Pearson method.</w:t>
      </w:r>
    </w:p>
    <w:p w14:paraId="40E5726F" w14:textId="77777777" w:rsidR="002D7804" w:rsidRPr="00777CD3" w:rsidRDefault="002D7804" w:rsidP="00372A9A">
      <w:pPr>
        <w:pStyle w:val="TableFigNotes18"/>
        <w:keepNext/>
        <w:spacing w:before="0" w:after="120" w:line="240" w:lineRule="auto"/>
        <w:rPr>
          <w:rFonts w:ascii="Arial Narrow" w:hAnsi="Arial Narrow"/>
          <w:sz w:val="18"/>
          <w:szCs w:val="18"/>
        </w:rPr>
      </w:pPr>
      <w:r w:rsidRPr="001437E3">
        <w:rPr>
          <w:rFonts w:ascii="Arial Narrow" w:hAnsi="Arial Narrow"/>
          <w:sz w:val="18"/>
          <w:szCs w:val="18"/>
          <w:vertAlign w:val="superscript"/>
        </w:rPr>
        <w:t xml:space="preserve">c </w:t>
      </w:r>
      <w:r w:rsidRPr="00777CD3">
        <w:rPr>
          <w:rFonts w:ascii="Arial Narrow" w:hAnsi="Arial Narrow"/>
          <w:sz w:val="18"/>
          <w:szCs w:val="18"/>
        </w:rPr>
        <w:t>Estimate based on the Kaplan-Meier method</w:t>
      </w:r>
      <w:r>
        <w:rPr>
          <w:rFonts w:ascii="Arial Narrow" w:hAnsi="Arial Narrow"/>
          <w:sz w:val="18"/>
          <w:szCs w:val="18"/>
        </w:rPr>
        <w:t>.</w:t>
      </w:r>
    </w:p>
    <w:p w14:paraId="3D63F513" w14:textId="77777777" w:rsidR="002D7804" w:rsidRPr="00777CD3" w:rsidRDefault="002D7804" w:rsidP="00FC1A2E">
      <w:pPr>
        <w:pStyle w:val="TableFigNotes18"/>
        <w:spacing w:before="0" w:after="120" w:line="240" w:lineRule="auto"/>
        <w:rPr>
          <w:rFonts w:ascii="Arial Narrow" w:hAnsi="Arial Narrow"/>
          <w:sz w:val="18"/>
          <w:szCs w:val="18"/>
        </w:rPr>
      </w:pPr>
      <w:r w:rsidRPr="001437E3">
        <w:rPr>
          <w:rFonts w:ascii="Arial Narrow" w:hAnsi="Arial Narrow"/>
          <w:sz w:val="18"/>
          <w:szCs w:val="18"/>
          <w:vertAlign w:val="superscript"/>
        </w:rPr>
        <w:t>d</w:t>
      </w:r>
      <w:r w:rsidRPr="00777CD3">
        <w:rPr>
          <w:rFonts w:ascii="Arial Narrow" w:hAnsi="Arial Narrow"/>
          <w:sz w:val="18"/>
          <w:szCs w:val="18"/>
        </w:rPr>
        <w:t xml:space="preserve"> 95% CI was calculated using the Brookmeyer and Crowley method.</w:t>
      </w:r>
    </w:p>
    <w:p w14:paraId="3EBDB132" w14:textId="5A7CF991" w:rsidR="002D7804" w:rsidRDefault="002D7804" w:rsidP="002D7804">
      <w:pPr>
        <w:pStyle w:val="3-BodyText"/>
        <w:rPr>
          <w:lang w:eastAsia="en-US"/>
        </w:rPr>
      </w:pPr>
      <w:r>
        <w:rPr>
          <w:lang w:eastAsia="en-US"/>
        </w:rPr>
        <w:lastRenderedPageBreak/>
        <w:t>Objective response rate</w:t>
      </w:r>
      <w:r w:rsidRPr="002C4D4F">
        <w:rPr>
          <w:lang w:eastAsia="en-US"/>
        </w:rPr>
        <w:t xml:space="preserve"> by </w:t>
      </w:r>
      <w:r>
        <w:rPr>
          <w:lang w:eastAsia="en-US"/>
        </w:rPr>
        <w:t>independent review committee</w:t>
      </w:r>
      <w:r w:rsidRPr="002C4D4F">
        <w:rPr>
          <w:lang w:eastAsia="en-US"/>
        </w:rPr>
        <w:t xml:space="preserve"> assessment in treatment-naïve </w:t>
      </w:r>
      <w:r w:rsidR="00364C6C">
        <w:rPr>
          <w:snapToGrid/>
          <w:lang w:val="en-US"/>
        </w:rPr>
        <w:t>patients</w:t>
      </w:r>
      <w:r w:rsidRPr="002C4D4F">
        <w:rPr>
          <w:lang w:eastAsia="en-US"/>
        </w:rPr>
        <w:t xml:space="preserve"> treated with selpercatinib was 82.6% (95% CI: 71.6, 90.7)</w:t>
      </w:r>
      <w:r w:rsidR="00BD1D4A">
        <w:rPr>
          <w:lang w:eastAsia="en-US"/>
        </w:rPr>
        <w:t xml:space="preserve"> for the January 2023 data </w:t>
      </w:r>
      <w:r w:rsidR="008F6B61">
        <w:rPr>
          <w:lang w:eastAsia="en-US"/>
        </w:rPr>
        <w:t>cut</w:t>
      </w:r>
      <w:r w:rsidR="006D5EFF">
        <w:rPr>
          <w:lang w:eastAsia="en-US"/>
        </w:rPr>
        <w:t xml:space="preserve">, compared to </w:t>
      </w:r>
      <w:r w:rsidR="00DC37A0">
        <w:rPr>
          <w:lang w:eastAsia="en-US"/>
        </w:rPr>
        <w:t>84.1</w:t>
      </w:r>
      <w:r w:rsidR="00DC37A0" w:rsidRPr="002C4D4F">
        <w:rPr>
          <w:lang w:eastAsia="en-US"/>
        </w:rPr>
        <w:t xml:space="preserve">% (95% CI: </w:t>
      </w:r>
      <w:r w:rsidR="00DC37A0">
        <w:rPr>
          <w:lang w:eastAsia="en-US"/>
        </w:rPr>
        <w:t>73.3</w:t>
      </w:r>
      <w:r w:rsidR="00DC37A0" w:rsidRPr="002C4D4F">
        <w:rPr>
          <w:lang w:eastAsia="en-US"/>
        </w:rPr>
        <w:t xml:space="preserve">, </w:t>
      </w:r>
      <w:r w:rsidR="00DC37A0">
        <w:rPr>
          <w:lang w:eastAsia="en-US"/>
        </w:rPr>
        <w:t>91.8</w:t>
      </w:r>
      <w:r w:rsidR="00DC37A0" w:rsidRPr="002C4D4F">
        <w:rPr>
          <w:lang w:eastAsia="en-US"/>
        </w:rPr>
        <w:t>)</w:t>
      </w:r>
      <w:r w:rsidR="00D57C1F">
        <w:rPr>
          <w:lang w:eastAsia="en-US"/>
        </w:rPr>
        <w:t xml:space="preserve"> </w:t>
      </w:r>
      <w:r w:rsidR="00841022">
        <w:rPr>
          <w:lang w:eastAsia="en-US"/>
        </w:rPr>
        <w:t xml:space="preserve">for the June 2021 data cut. </w:t>
      </w:r>
    </w:p>
    <w:p w14:paraId="0E439619" w14:textId="77692D9C" w:rsidR="002D7804" w:rsidRDefault="002D7804" w:rsidP="002D7804">
      <w:pPr>
        <w:pStyle w:val="3-BodyText"/>
        <w:rPr>
          <w:lang w:eastAsia="en-US"/>
        </w:rPr>
      </w:pPr>
      <w:r w:rsidRPr="00600F44">
        <w:rPr>
          <w:lang w:eastAsia="en-US"/>
        </w:rPr>
        <w:t>PFS by</w:t>
      </w:r>
      <w:r w:rsidRPr="00600F44" w:rsidDel="00062839">
        <w:rPr>
          <w:lang w:eastAsia="en-US"/>
        </w:rPr>
        <w:t xml:space="preserve"> </w:t>
      </w:r>
      <w:r>
        <w:rPr>
          <w:lang w:eastAsia="en-US"/>
        </w:rPr>
        <w:t>independent review committee</w:t>
      </w:r>
      <w:r w:rsidRPr="00600F44">
        <w:rPr>
          <w:lang w:eastAsia="en-US"/>
        </w:rPr>
        <w:t xml:space="preserve"> assessment in treatment-naïve </w:t>
      </w:r>
      <w:r w:rsidR="00364C6C">
        <w:rPr>
          <w:snapToGrid/>
          <w:lang w:val="en-US"/>
        </w:rPr>
        <w:t>patients</w:t>
      </w:r>
      <w:r w:rsidRPr="00600F44">
        <w:rPr>
          <w:lang w:eastAsia="en-US"/>
        </w:rPr>
        <w:t xml:space="preserve"> treated with selpercatinib w</w:t>
      </w:r>
      <w:r>
        <w:rPr>
          <w:lang w:eastAsia="en-US"/>
        </w:rPr>
        <w:t xml:space="preserve">as </w:t>
      </w:r>
      <w:r w:rsidRPr="00600F44">
        <w:rPr>
          <w:lang w:eastAsia="en-US"/>
        </w:rPr>
        <w:t>22.0 months (95% CI: 16.5, 24.9)</w:t>
      </w:r>
      <w:r w:rsidR="000D7575">
        <w:rPr>
          <w:lang w:eastAsia="en-US"/>
        </w:rPr>
        <w:t xml:space="preserve"> for the January</w:t>
      </w:r>
      <w:r w:rsidR="00FC1A2E">
        <w:rPr>
          <w:lang w:eastAsia="en-US"/>
        </w:rPr>
        <w:t> </w:t>
      </w:r>
      <w:r w:rsidR="000D7575">
        <w:rPr>
          <w:lang w:eastAsia="en-US"/>
        </w:rPr>
        <w:t>2023 data cut</w:t>
      </w:r>
      <w:r w:rsidR="00A14642">
        <w:rPr>
          <w:lang w:eastAsia="en-US"/>
        </w:rPr>
        <w:t xml:space="preserve">. </w:t>
      </w:r>
      <w:r w:rsidR="003B0D88">
        <w:rPr>
          <w:lang w:eastAsia="en-US"/>
        </w:rPr>
        <w:t xml:space="preserve">This was </w:t>
      </w:r>
      <w:r w:rsidR="00195F39">
        <w:rPr>
          <w:lang w:eastAsia="en-US"/>
        </w:rPr>
        <w:t xml:space="preserve">consistent with the PFS </w:t>
      </w:r>
      <w:r w:rsidR="007177B3">
        <w:rPr>
          <w:lang w:eastAsia="en-US"/>
        </w:rPr>
        <w:t>for</w:t>
      </w:r>
      <w:r w:rsidR="00195F39">
        <w:rPr>
          <w:lang w:eastAsia="en-US"/>
        </w:rPr>
        <w:t xml:space="preserve"> the June 2021 data cut.</w:t>
      </w:r>
    </w:p>
    <w:p w14:paraId="51E1E2C5" w14:textId="54C98248" w:rsidR="002D7804" w:rsidRPr="00973C9F" w:rsidRDefault="002D7804" w:rsidP="002D7804">
      <w:pPr>
        <w:pStyle w:val="3-BodyText"/>
        <w:rPr>
          <w:lang w:eastAsia="en-US"/>
        </w:rPr>
      </w:pPr>
      <w:r>
        <w:rPr>
          <w:lang w:eastAsia="en-US"/>
        </w:rPr>
        <w:t>M</w:t>
      </w:r>
      <w:r w:rsidRPr="00600F44">
        <w:rPr>
          <w:lang w:eastAsia="en-US"/>
        </w:rPr>
        <w:t xml:space="preserve">edian OS </w:t>
      </w:r>
      <w:r>
        <w:rPr>
          <w:lang w:eastAsia="en-US"/>
        </w:rPr>
        <w:t>was not</w:t>
      </w:r>
      <w:r w:rsidRPr="00600F44">
        <w:rPr>
          <w:lang w:eastAsia="en-US"/>
        </w:rPr>
        <w:t xml:space="preserve"> reached for the treatment-naïve population</w:t>
      </w:r>
      <w:r w:rsidR="00FD4134">
        <w:rPr>
          <w:lang w:eastAsia="en-US"/>
        </w:rPr>
        <w:t xml:space="preserve"> at the January</w:t>
      </w:r>
      <w:r w:rsidR="00FC1A2E">
        <w:rPr>
          <w:lang w:eastAsia="en-US"/>
        </w:rPr>
        <w:t> </w:t>
      </w:r>
      <w:r w:rsidR="00FD4134">
        <w:rPr>
          <w:lang w:eastAsia="en-US"/>
        </w:rPr>
        <w:t>2023 data cut</w:t>
      </w:r>
      <w:r w:rsidRPr="00600F44">
        <w:rPr>
          <w:lang w:eastAsia="en-US"/>
        </w:rPr>
        <w:t>.</w:t>
      </w:r>
      <w:r>
        <w:rPr>
          <w:lang w:eastAsia="en-US"/>
        </w:rPr>
        <w:t xml:space="preserve"> Median OS was 47.6 months (95% CI: 35.9, NE) for </w:t>
      </w:r>
      <w:r w:rsidR="00364C6C">
        <w:rPr>
          <w:snapToGrid/>
          <w:lang w:val="en-US"/>
        </w:rPr>
        <w:t>patients</w:t>
      </w:r>
      <w:r w:rsidRPr="00062839">
        <w:rPr>
          <w:lang w:eastAsia="en-US"/>
        </w:rPr>
        <w:t xml:space="preserve"> previously treated with platinum-based chemotherapy.</w:t>
      </w:r>
    </w:p>
    <w:p w14:paraId="61C5876A" w14:textId="77777777" w:rsidR="002D7804" w:rsidRDefault="002D7804" w:rsidP="002D7804">
      <w:pPr>
        <w:pStyle w:val="3-BodyText"/>
        <w:keepNext/>
        <w:numPr>
          <w:ilvl w:val="1"/>
          <w:numId w:val="0"/>
        </w:numPr>
        <w:ind w:left="720" w:hanging="720"/>
        <w:rPr>
          <w:u w:val="single"/>
        </w:rPr>
      </w:pPr>
      <w:r w:rsidRPr="546BF81C">
        <w:rPr>
          <w:u w:val="single"/>
        </w:rPr>
        <w:t>Indirect comparisons</w:t>
      </w:r>
    </w:p>
    <w:p w14:paraId="0E8A0116" w14:textId="51452EDB" w:rsidR="002D7804" w:rsidRDefault="002D7804" w:rsidP="00A45CF4">
      <w:pPr>
        <w:pStyle w:val="3-BodyText"/>
      </w:pPr>
      <w:r w:rsidRPr="007A7229">
        <w:t xml:space="preserve">The </w:t>
      </w:r>
      <w:r w:rsidR="00957E82">
        <w:t>ITCs</w:t>
      </w:r>
      <w:r w:rsidRPr="007A7229">
        <w:t xml:space="preserve"> were unchanged from the July 2023 submission</w:t>
      </w:r>
      <w:r w:rsidR="00A45CF4">
        <w:t>; the updated data from the LIBRETTO 001 study were not incorporated in the comparisons</w:t>
      </w:r>
      <w:r w:rsidRPr="007A7229">
        <w:t>.</w:t>
      </w:r>
      <w:r w:rsidR="00A45CF4">
        <w:t xml:space="preserve"> </w:t>
      </w:r>
      <w:r w:rsidRPr="00436D10">
        <w:t>The PBAC previously considered the indirect comparisons were associated with a high degree of uncertainty with several transitivity, applicability, and reliability issues</w:t>
      </w:r>
      <w:r w:rsidR="00BC5A69">
        <w:t xml:space="preserve"> </w:t>
      </w:r>
      <w:r w:rsidRPr="00436D10">
        <w:t>(para</w:t>
      </w:r>
      <w:r w:rsidR="00957E82">
        <w:t>graph</w:t>
      </w:r>
      <w:r>
        <w:t xml:space="preserve"> </w:t>
      </w:r>
      <w:r w:rsidRPr="00436D10">
        <w:t>7.10, selpercatinib</w:t>
      </w:r>
      <w:r>
        <w:t>,</w:t>
      </w:r>
      <w:r w:rsidRPr="00436D10">
        <w:t xml:space="preserve"> PSD, July 2023 PBAC meeting).</w:t>
      </w:r>
      <w:r>
        <w:t xml:space="preserve"> </w:t>
      </w:r>
    </w:p>
    <w:p w14:paraId="5F58708C" w14:textId="47873A88" w:rsidR="002D7804" w:rsidRDefault="002D7804" w:rsidP="002D7804">
      <w:pPr>
        <w:pStyle w:val="3-BodyText"/>
      </w:pPr>
      <w:r>
        <w:fldChar w:fldCharType="begin" w:fldLock="1"/>
      </w:r>
      <w:r>
        <w:instrText xml:space="preserve"> REF _Ref163892001 \h </w:instrText>
      </w:r>
      <w:r>
        <w:fldChar w:fldCharType="separate"/>
      </w:r>
      <w:r w:rsidR="00F979CE">
        <w:t xml:space="preserve">Table </w:t>
      </w:r>
      <w:r w:rsidR="00F979CE">
        <w:rPr>
          <w:noProof/>
        </w:rPr>
        <w:t>7</w:t>
      </w:r>
      <w:r>
        <w:fldChar w:fldCharType="end"/>
      </w:r>
      <w:r>
        <w:t xml:space="preserve"> presents a comparison of the PFS from the indirect analysis to that of the LIBRETTO-431 trial. </w:t>
      </w:r>
      <w:r>
        <w:fldChar w:fldCharType="begin" w:fldLock="1"/>
      </w:r>
      <w:r>
        <w:instrText xml:space="preserve"> REF _Ref163892043 \h </w:instrText>
      </w:r>
      <w:r>
        <w:fldChar w:fldCharType="separate"/>
      </w:r>
      <w:r w:rsidR="00F979CE">
        <w:t xml:space="preserve">Figure </w:t>
      </w:r>
      <w:r w:rsidR="00F979CE">
        <w:rPr>
          <w:noProof/>
        </w:rPr>
        <w:t>4</w:t>
      </w:r>
      <w:r>
        <w:fldChar w:fldCharType="end"/>
      </w:r>
      <w:r>
        <w:t xml:space="preserve"> presents an o</w:t>
      </w:r>
      <w:r w:rsidRPr="00FD2076">
        <w:t>verlay of Kaplan-Meier curves of PFS</w:t>
      </w:r>
      <w:r>
        <w:t xml:space="preserve"> from the indirect analyses </w:t>
      </w:r>
      <w:r w:rsidRPr="00E21121">
        <w:t xml:space="preserve">of LIBRETTO-001 and KN-189/KN-021 (Cohort G) MAIC 2 model </w:t>
      </w:r>
      <w:r>
        <w:t xml:space="preserve">and the LIBRETTO-431 trial. </w:t>
      </w:r>
    </w:p>
    <w:p w14:paraId="5EE2969B" w14:textId="24795108" w:rsidR="002D7804" w:rsidRDefault="002D7804" w:rsidP="00141EDF">
      <w:pPr>
        <w:pStyle w:val="Caption"/>
        <w:pageBreakBefore/>
      </w:pPr>
      <w:bookmarkStart w:id="39" w:name="_Ref163892001"/>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7</w:t>
      </w:r>
      <w:r w:rsidR="00BA56FF">
        <w:rPr>
          <w:noProof/>
        </w:rPr>
        <w:fldChar w:fldCharType="end"/>
      </w:r>
      <w:bookmarkEnd w:id="39"/>
      <w:r>
        <w:t xml:space="preserve">: </w:t>
      </w:r>
      <w:r w:rsidRPr="00110D55">
        <w:rPr>
          <w:szCs w:val="20"/>
        </w:rPr>
        <w:t xml:space="preserve">Summary of PFS </w:t>
      </w:r>
      <w:r w:rsidR="00CD4E66">
        <w:rPr>
          <w:szCs w:val="20"/>
        </w:rPr>
        <w:t xml:space="preserve">reported in the indirect comparisons and in </w:t>
      </w:r>
      <w:r w:rsidRPr="00110D55">
        <w:rPr>
          <w:bCs w:val="0"/>
          <w:szCs w:val="20"/>
        </w:rPr>
        <w:t>LIBRETTO</w:t>
      </w:r>
      <w:r w:rsidRPr="00110D55">
        <w:rPr>
          <w:szCs w:val="20"/>
        </w:rPr>
        <w:t>-431</w:t>
      </w:r>
      <w:r>
        <w:rPr>
          <w:szCs w:val="20"/>
        </w:rP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Table 7: Summary of PFS reported in the indirect comparisons and in LIBRETTO-431 "/>
      </w:tblPr>
      <w:tblGrid>
        <w:gridCol w:w="3397"/>
        <w:gridCol w:w="2718"/>
        <w:gridCol w:w="2902"/>
      </w:tblGrid>
      <w:tr w:rsidR="002D7804" w:rsidRPr="00110D55" w14:paraId="000D8B90" w14:textId="77777777">
        <w:trPr>
          <w:trHeight w:val="126"/>
          <w:tblHeader/>
        </w:trPr>
        <w:tc>
          <w:tcPr>
            <w:tcW w:w="1884" w:type="pct"/>
            <w:vMerge w:val="restart"/>
            <w:vAlign w:val="center"/>
          </w:tcPr>
          <w:p w14:paraId="35B899CB" w14:textId="77777777" w:rsidR="002D7804" w:rsidRPr="00110D55" w:rsidRDefault="002D7804" w:rsidP="00FC1A2E">
            <w:pPr>
              <w:pStyle w:val="TableH28pt"/>
              <w:rPr>
                <w:rFonts w:ascii="Arial Narrow" w:hAnsi="Arial Narrow"/>
                <w:bCs/>
                <w:sz w:val="20"/>
              </w:rPr>
            </w:pPr>
            <w:r>
              <w:rPr>
                <w:rFonts w:ascii="Arial Narrow" w:hAnsi="Arial Narrow"/>
                <w:bCs/>
                <w:sz w:val="20"/>
              </w:rPr>
              <w:t>Indirect comparisons</w:t>
            </w:r>
            <w:r w:rsidRPr="00110D55">
              <w:rPr>
                <w:rFonts w:ascii="Arial Narrow" w:hAnsi="Arial Narrow"/>
                <w:bCs/>
                <w:sz w:val="20"/>
              </w:rPr>
              <w:t xml:space="preserve"> </w:t>
            </w:r>
            <w:r w:rsidRPr="00110D55">
              <w:rPr>
                <w:rFonts w:ascii="Arial Narrow" w:hAnsi="Arial Narrow"/>
                <w:sz w:val="20"/>
              </w:rPr>
              <w:t>LIBRETTO</w:t>
            </w:r>
            <w:r w:rsidRPr="00110D55">
              <w:rPr>
                <w:rFonts w:ascii="Arial Narrow" w:hAnsi="Arial Narrow"/>
                <w:bCs/>
                <w:sz w:val="20"/>
              </w:rPr>
              <w:t>-</w:t>
            </w:r>
            <w:r>
              <w:rPr>
                <w:rFonts w:ascii="Arial Narrow" w:hAnsi="Arial Narrow"/>
                <w:bCs/>
                <w:sz w:val="20"/>
              </w:rPr>
              <w:t>001</w:t>
            </w:r>
            <w:r w:rsidRPr="00110D55">
              <w:rPr>
                <w:rFonts w:ascii="Arial Narrow" w:hAnsi="Arial Narrow"/>
                <w:bCs/>
                <w:sz w:val="20"/>
              </w:rPr>
              <w:t xml:space="preserve"> versus KN-189/KN-021 (Cohort G)</w:t>
            </w:r>
          </w:p>
        </w:tc>
        <w:tc>
          <w:tcPr>
            <w:tcW w:w="3116" w:type="pct"/>
            <w:gridSpan w:val="2"/>
            <w:vAlign w:val="center"/>
          </w:tcPr>
          <w:p w14:paraId="05F0C04A" w14:textId="77777777" w:rsidR="002D7804" w:rsidRPr="00110D55" w:rsidRDefault="002D7804" w:rsidP="00FC1A2E">
            <w:pPr>
              <w:pStyle w:val="TableH28pt"/>
              <w:jc w:val="center"/>
              <w:rPr>
                <w:rFonts w:ascii="Arial Narrow" w:hAnsi="Arial Narrow"/>
                <w:bCs/>
                <w:sz w:val="20"/>
              </w:rPr>
            </w:pPr>
            <w:r w:rsidRPr="00110D55">
              <w:rPr>
                <w:rFonts w:ascii="Arial Narrow" w:hAnsi="Arial Narrow"/>
                <w:bCs/>
                <w:sz w:val="20"/>
              </w:rPr>
              <w:t>Median PFS, months (95% CI)</w:t>
            </w:r>
          </w:p>
        </w:tc>
      </w:tr>
      <w:tr w:rsidR="002D7804" w:rsidRPr="00110D55" w14:paraId="485940C5" w14:textId="77777777" w:rsidTr="00E5176B">
        <w:trPr>
          <w:trHeight w:val="792"/>
          <w:tblHeader/>
        </w:trPr>
        <w:tc>
          <w:tcPr>
            <w:tcW w:w="1884" w:type="pct"/>
            <w:vMerge/>
            <w:vAlign w:val="center"/>
          </w:tcPr>
          <w:p w14:paraId="22AFBB07" w14:textId="77777777" w:rsidR="002D7804" w:rsidRPr="00110D55" w:rsidRDefault="002D7804" w:rsidP="00FC1A2E">
            <w:pPr>
              <w:keepNext/>
              <w:keepLines/>
              <w:rPr>
                <w:rFonts w:ascii="Arial Narrow" w:hAnsi="Arial Narrow"/>
                <w:sz w:val="20"/>
                <w:szCs w:val="20"/>
              </w:rPr>
            </w:pPr>
          </w:p>
        </w:tc>
        <w:tc>
          <w:tcPr>
            <w:tcW w:w="1507" w:type="pct"/>
            <w:vAlign w:val="center"/>
          </w:tcPr>
          <w:p w14:paraId="4AA6B95C" w14:textId="77777777" w:rsidR="002D7804" w:rsidRPr="00110D55" w:rsidRDefault="002D7804" w:rsidP="00FC1A2E">
            <w:pPr>
              <w:pStyle w:val="TableH28pt"/>
              <w:jc w:val="center"/>
              <w:rPr>
                <w:rFonts w:ascii="Arial Narrow" w:hAnsi="Arial Narrow"/>
                <w:bCs/>
                <w:sz w:val="20"/>
              </w:rPr>
            </w:pPr>
            <w:r w:rsidRPr="00110D55">
              <w:rPr>
                <w:rFonts w:ascii="Arial Narrow" w:hAnsi="Arial Narrow"/>
                <w:sz w:val="20"/>
              </w:rPr>
              <w:t>LIBRETTO</w:t>
            </w:r>
            <w:r w:rsidRPr="00110D55">
              <w:rPr>
                <w:rFonts w:ascii="Arial Narrow" w:hAnsi="Arial Narrow"/>
                <w:bCs/>
                <w:sz w:val="20"/>
              </w:rPr>
              <w:t>-001</w:t>
            </w:r>
          </w:p>
          <w:p w14:paraId="7921E046" w14:textId="13F73A4E" w:rsidR="002D7804" w:rsidRDefault="002D7804" w:rsidP="00FC1A2E">
            <w:pPr>
              <w:pStyle w:val="TableH28pt"/>
              <w:jc w:val="center"/>
              <w:rPr>
                <w:rFonts w:ascii="Arial Narrow" w:hAnsi="Arial Narrow"/>
                <w:bCs/>
                <w:sz w:val="20"/>
              </w:rPr>
            </w:pPr>
            <w:r w:rsidRPr="00110D55">
              <w:rPr>
                <w:rFonts w:ascii="Arial Narrow" w:hAnsi="Arial Narrow"/>
                <w:bCs/>
                <w:sz w:val="20"/>
              </w:rPr>
              <w:t>Selpercatinib</w:t>
            </w:r>
            <w:r w:rsidR="004051F1">
              <w:rPr>
                <w:rFonts w:ascii="Arial Narrow" w:hAnsi="Arial Narrow"/>
                <w:bCs/>
                <w:sz w:val="20"/>
              </w:rPr>
              <w:t xml:space="preserve"> (N=69)</w:t>
            </w:r>
          </w:p>
          <w:p w14:paraId="23A5E62D" w14:textId="77777777" w:rsidR="002D7804" w:rsidRPr="00110D55" w:rsidRDefault="002D7804" w:rsidP="00FC1A2E">
            <w:pPr>
              <w:pStyle w:val="TableH28pt"/>
              <w:jc w:val="center"/>
              <w:rPr>
                <w:rFonts w:ascii="Arial Narrow" w:hAnsi="Arial Narrow"/>
                <w:bCs/>
                <w:sz w:val="20"/>
              </w:rPr>
            </w:pPr>
            <w:r>
              <w:rPr>
                <w:rFonts w:ascii="Arial Narrow" w:hAnsi="Arial Narrow"/>
                <w:bCs/>
                <w:sz w:val="20"/>
              </w:rPr>
              <w:t>(</w:t>
            </w:r>
            <w:r w:rsidRPr="008775CB">
              <w:rPr>
                <w:rFonts w:ascii="Arial Narrow" w:hAnsi="Arial Narrow"/>
                <w:bCs/>
                <w:sz w:val="20"/>
              </w:rPr>
              <w:t>15 June 2021</w:t>
            </w:r>
            <w:r>
              <w:rPr>
                <w:rFonts w:ascii="Arial Narrow" w:hAnsi="Arial Narrow"/>
                <w:bCs/>
                <w:sz w:val="20"/>
              </w:rPr>
              <w:t>)</w:t>
            </w:r>
          </w:p>
        </w:tc>
        <w:tc>
          <w:tcPr>
            <w:tcW w:w="1609" w:type="pct"/>
            <w:vAlign w:val="center"/>
          </w:tcPr>
          <w:p w14:paraId="2E7C12DB" w14:textId="40175EF3" w:rsidR="002D7804" w:rsidRPr="00110D55" w:rsidRDefault="002D7804" w:rsidP="00FC1A2E">
            <w:pPr>
              <w:pStyle w:val="TableH28pt"/>
              <w:jc w:val="center"/>
              <w:rPr>
                <w:rFonts w:ascii="Arial Narrow" w:hAnsi="Arial Narrow"/>
                <w:bCs/>
                <w:sz w:val="20"/>
              </w:rPr>
            </w:pPr>
            <w:r w:rsidRPr="00110D55">
              <w:rPr>
                <w:rFonts w:ascii="Arial Narrow" w:hAnsi="Arial Narrow"/>
                <w:bCs/>
                <w:sz w:val="20"/>
              </w:rPr>
              <w:t>KN-189/KN-021 (Cohort G)</w:t>
            </w:r>
            <w:r w:rsidR="001F47CC">
              <w:rPr>
                <w:rFonts w:ascii="Arial Narrow" w:hAnsi="Arial Narrow"/>
                <w:bCs/>
                <w:sz w:val="20"/>
              </w:rPr>
              <w:t xml:space="preserve"> (N</w:t>
            </w:r>
            <w:r w:rsidR="00BC7C81">
              <w:rPr>
                <w:rFonts w:ascii="Arial Narrow" w:hAnsi="Arial Narrow"/>
                <w:bCs/>
                <w:sz w:val="20"/>
              </w:rPr>
              <w:t>=</w:t>
            </w:r>
            <w:r w:rsidR="00B62591">
              <w:rPr>
                <w:rFonts w:ascii="Arial Narrow" w:hAnsi="Arial Narrow"/>
                <w:bCs/>
                <w:sz w:val="20"/>
              </w:rPr>
              <w:t>60)</w:t>
            </w:r>
          </w:p>
          <w:p w14:paraId="68EC3279" w14:textId="77777777" w:rsidR="002D7804" w:rsidRPr="00110D55" w:rsidRDefault="002D7804" w:rsidP="00FC1A2E">
            <w:pPr>
              <w:pStyle w:val="TableH28pt"/>
              <w:jc w:val="center"/>
              <w:rPr>
                <w:rFonts w:ascii="Arial Narrow" w:hAnsi="Arial Narrow"/>
                <w:bCs/>
                <w:sz w:val="20"/>
              </w:rPr>
            </w:pPr>
            <w:r w:rsidRPr="00110D55">
              <w:rPr>
                <w:rFonts w:ascii="Arial Narrow" w:hAnsi="Arial Narrow"/>
                <w:bCs/>
                <w:sz w:val="20"/>
              </w:rPr>
              <w:t>Pembrolizumab plus platinum-based chemotherapy (carboplatin or cisplatin) plus pemetrexed</w:t>
            </w:r>
          </w:p>
        </w:tc>
      </w:tr>
      <w:tr w:rsidR="002D7804" w:rsidRPr="00110D55" w14:paraId="21001B16" w14:textId="77777777" w:rsidTr="00E5176B">
        <w:trPr>
          <w:trHeight w:val="252"/>
        </w:trPr>
        <w:tc>
          <w:tcPr>
            <w:tcW w:w="1884" w:type="pct"/>
            <w:shd w:val="clear" w:color="auto" w:fill="B8CCE4" w:themeFill="accent1" w:themeFillTint="66"/>
          </w:tcPr>
          <w:p w14:paraId="2316A63A" w14:textId="77777777" w:rsidR="002D7804" w:rsidRPr="00110D55" w:rsidRDefault="002D7804" w:rsidP="00FC1A2E">
            <w:pPr>
              <w:pStyle w:val="Tabletext"/>
              <w:keepNext/>
              <w:keepLines/>
              <w:rPr>
                <w:szCs w:val="20"/>
              </w:rPr>
            </w:pPr>
            <w:r w:rsidRPr="00110D55">
              <w:rPr>
                <w:szCs w:val="20"/>
              </w:rPr>
              <w:t>NMA</w:t>
            </w:r>
          </w:p>
        </w:tc>
        <w:tc>
          <w:tcPr>
            <w:tcW w:w="1507" w:type="pct"/>
            <w:shd w:val="clear" w:color="auto" w:fill="B8CCE4" w:themeFill="accent1" w:themeFillTint="66"/>
            <w:vAlign w:val="center"/>
          </w:tcPr>
          <w:p w14:paraId="36F3BEAF" w14:textId="77777777" w:rsidR="002D7804" w:rsidRPr="00110D55" w:rsidRDefault="002D7804" w:rsidP="00FC1A2E">
            <w:pPr>
              <w:pStyle w:val="Tabletext"/>
              <w:keepNext/>
              <w:keepLines/>
              <w:jc w:val="center"/>
              <w:rPr>
                <w:szCs w:val="20"/>
              </w:rPr>
            </w:pPr>
            <w:r w:rsidRPr="00110D55">
              <w:rPr>
                <w:szCs w:val="20"/>
              </w:rPr>
              <w:t>NR</w:t>
            </w:r>
          </w:p>
        </w:tc>
        <w:tc>
          <w:tcPr>
            <w:tcW w:w="1609" w:type="pct"/>
            <w:shd w:val="clear" w:color="auto" w:fill="B8CCE4" w:themeFill="accent1" w:themeFillTint="66"/>
            <w:vAlign w:val="center"/>
          </w:tcPr>
          <w:p w14:paraId="3FE72195" w14:textId="77777777" w:rsidR="002D7804" w:rsidRPr="00110D55" w:rsidRDefault="002D7804" w:rsidP="00FC1A2E">
            <w:pPr>
              <w:pStyle w:val="Tabletext"/>
              <w:keepNext/>
              <w:keepLines/>
              <w:jc w:val="center"/>
              <w:rPr>
                <w:szCs w:val="20"/>
              </w:rPr>
            </w:pPr>
            <w:r w:rsidRPr="00110D55">
              <w:rPr>
                <w:szCs w:val="20"/>
              </w:rPr>
              <w:t>NR</w:t>
            </w:r>
          </w:p>
        </w:tc>
      </w:tr>
      <w:tr w:rsidR="002D7804" w:rsidRPr="00110D55" w14:paraId="6BF56774" w14:textId="77777777">
        <w:trPr>
          <w:trHeight w:val="252"/>
        </w:trPr>
        <w:tc>
          <w:tcPr>
            <w:tcW w:w="1884" w:type="pct"/>
            <w:shd w:val="clear" w:color="auto" w:fill="B8CCE4" w:themeFill="accent1" w:themeFillTint="66"/>
          </w:tcPr>
          <w:p w14:paraId="1C1BD92F" w14:textId="77777777" w:rsidR="002D7804" w:rsidRPr="00110D55" w:rsidRDefault="002D7804" w:rsidP="00FC1A2E">
            <w:pPr>
              <w:pStyle w:val="Tabletext"/>
              <w:keepNext/>
              <w:keepLines/>
              <w:ind w:left="174"/>
              <w:rPr>
                <w:szCs w:val="20"/>
              </w:rPr>
            </w:pPr>
            <w:r w:rsidRPr="00110D55">
              <w:rPr>
                <w:szCs w:val="20"/>
              </w:rPr>
              <w:t>Median HR (95% CI)</w:t>
            </w:r>
          </w:p>
        </w:tc>
        <w:tc>
          <w:tcPr>
            <w:tcW w:w="3116" w:type="pct"/>
            <w:gridSpan w:val="2"/>
            <w:shd w:val="clear" w:color="auto" w:fill="B8CCE4" w:themeFill="accent1" w:themeFillTint="66"/>
            <w:vAlign w:val="center"/>
          </w:tcPr>
          <w:p w14:paraId="7367B0C5" w14:textId="77777777" w:rsidR="002D7804" w:rsidRPr="00110D55" w:rsidRDefault="002D7804" w:rsidP="00FC1A2E">
            <w:pPr>
              <w:pStyle w:val="Tabletext"/>
              <w:keepNext/>
              <w:keepLines/>
              <w:jc w:val="center"/>
              <w:rPr>
                <w:szCs w:val="20"/>
              </w:rPr>
            </w:pPr>
            <w:r w:rsidRPr="00110D55">
              <w:rPr>
                <w:szCs w:val="20"/>
              </w:rPr>
              <w:t>0.391 (0.202, 0.759)</w:t>
            </w:r>
          </w:p>
        </w:tc>
      </w:tr>
      <w:tr w:rsidR="002D7804" w:rsidRPr="00110D55" w14:paraId="158171F2" w14:textId="77777777" w:rsidTr="00A45CF4">
        <w:trPr>
          <w:trHeight w:val="252"/>
        </w:trPr>
        <w:tc>
          <w:tcPr>
            <w:tcW w:w="1884" w:type="pct"/>
            <w:shd w:val="clear" w:color="auto" w:fill="B8CCE4" w:themeFill="accent1" w:themeFillTint="66"/>
          </w:tcPr>
          <w:p w14:paraId="408ED0F1" w14:textId="77777777" w:rsidR="002D7804" w:rsidRPr="00110D55" w:rsidRDefault="002D7804" w:rsidP="00FC1A2E">
            <w:pPr>
              <w:pStyle w:val="Tabletext"/>
              <w:keepNext/>
              <w:keepLines/>
              <w:rPr>
                <w:szCs w:val="20"/>
              </w:rPr>
            </w:pPr>
            <w:r w:rsidRPr="00110D55">
              <w:rPr>
                <w:szCs w:val="20"/>
              </w:rPr>
              <w:t>Bucher</w:t>
            </w:r>
          </w:p>
        </w:tc>
        <w:tc>
          <w:tcPr>
            <w:tcW w:w="1507" w:type="pct"/>
            <w:shd w:val="clear" w:color="auto" w:fill="B8CCE4" w:themeFill="accent1" w:themeFillTint="66"/>
            <w:vAlign w:val="center"/>
          </w:tcPr>
          <w:p w14:paraId="41F27482" w14:textId="77777777" w:rsidR="002D7804" w:rsidRPr="00110D55" w:rsidRDefault="002D7804" w:rsidP="00FC1A2E">
            <w:pPr>
              <w:pStyle w:val="Tabletext"/>
              <w:keepNext/>
              <w:keepLines/>
              <w:jc w:val="center"/>
              <w:rPr>
                <w:szCs w:val="20"/>
              </w:rPr>
            </w:pPr>
            <w:r w:rsidRPr="00110D55">
              <w:rPr>
                <w:szCs w:val="20"/>
              </w:rPr>
              <w:t>21.9 (13.8, NR)</w:t>
            </w:r>
          </w:p>
        </w:tc>
        <w:tc>
          <w:tcPr>
            <w:tcW w:w="1609" w:type="pct"/>
            <w:shd w:val="clear" w:color="auto" w:fill="B8CCE4" w:themeFill="accent1" w:themeFillTint="66"/>
            <w:vAlign w:val="center"/>
          </w:tcPr>
          <w:p w14:paraId="0D6C7998" w14:textId="77777777" w:rsidR="002D7804" w:rsidRPr="00110D55" w:rsidRDefault="002D7804" w:rsidP="00FC1A2E">
            <w:pPr>
              <w:pStyle w:val="Tabletext"/>
              <w:keepNext/>
              <w:keepLines/>
              <w:jc w:val="center"/>
              <w:rPr>
                <w:szCs w:val="20"/>
              </w:rPr>
            </w:pPr>
            <w:r w:rsidRPr="00110D55">
              <w:rPr>
                <w:szCs w:val="20"/>
              </w:rPr>
              <w:t>9.0 (8.2, 10.5)</w:t>
            </w:r>
          </w:p>
        </w:tc>
      </w:tr>
      <w:tr w:rsidR="002D7804" w:rsidRPr="00110D55" w14:paraId="2B9EE029" w14:textId="77777777">
        <w:trPr>
          <w:trHeight w:val="252"/>
        </w:trPr>
        <w:tc>
          <w:tcPr>
            <w:tcW w:w="1884" w:type="pct"/>
            <w:shd w:val="clear" w:color="auto" w:fill="B8CCE4" w:themeFill="accent1" w:themeFillTint="66"/>
          </w:tcPr>
          <w:p w14:paraId="21FD0D75" w14:textId="77777777" w:rsidR="002D7804" w:rsidRPr="00110D55" w:rsidRDefault="002D7804" w:rsidP="00FC1A2E">
            <w:pPr>
              <w:pStyle w:val="Tabletext"/>
              <w:keepNext/>
              <w:keepLines/>
              <w:ind w:left="174"/>
              <w:rPr>
                <w:szCs w:val="20"/>
              </w:rPr>
            </w:pPr>
            <w:r w:rsidRPr="00110D55">
              <w:rPr>
                <w:szCs w:val="20"/>
              </w:rPr>
              <w:t>HR (95% CI); p-value</w:t>
            </w:r>
          </w:p>
        </w:tc>
        <w:tc>
          <w:tcPr>
            <w:tcW w:w="3116" w:type="pct"/>
            <w:gridSpan w:val="2"/>
            <w:shd w:val="clear" w:color="auto" w:fill="B8CCE4" w:themeFill="accent1" w:themeFillTint="66"/>
            <w:vAlign w:val="center"/>
          </w:tcPr>
          <w:p w14:paraId="03FA125B" w14:textId="77777777" w:rsidR="002D7804" w:rsidRPr="00110D55" w:rsidRDefault="002D7804" w:rsidP="00FC1A2E">
            <w:pPr>
              <w:pStyle w:val="Tabletext"/>
              <w:keepNext/>
              <w:keepLines/>
              <w:jc w:val="center"/>
              <w:rPr>
                <w:szCs w:val="20"/>
              </w:rPr>
            </w:pPr>
            <w:r w:rsidRPr="00110D55">
              <w:rPr>
                <w:szCs w:val="20"/>
              </w:rPr>
              <w:t>0.40 (0.23, 0.71); 0.002</w:t>
            </w:r>
          </w:p>
        </w:tc>
      </w:tr>
      <w:tr w:rsidR="002D7804" w:rsidRPr="00110D55" w14:paraId="35DC88C7" w14:textId="77777777" w:rsidTr="00A45CF4">
        <w:trPr>
          <w:trHeight w:val="252"/>
        </w:trPr>
        <w:tc>
          <w:tcPr>
            <w:tcW w:w="1884" w:type="pct"/>
            <w:shd w:val="clear" w:color="auto" w:fill="B8CCE4" w:themeFill="accent1" w:themeFillTint="66"/>
          </w:tcPr>
          <w:p w14:paraId="090A5A17" w14:textId="77777777" w:rsidR="002D7804" w:rsidRPr="00110D55" w:rsidRDefault="002D7804" w:rsidP="00FC1A2E">
            <w:pPr>
              <w:pStyle w:val="Tabletext"/>
              <w:keepNext/>
              <w:keepLines/>
              <w:rPr>
                <w:szCs w:val="20"/>
              </w:rPr>
            </w:pPr>
            <w:r w:rsidRPr="00110D55">
              <w:rPr>
                <w:szCs w:val="20"/>
              </w:rPr>
              <w:t>Unadjusted (non-matching)</w:t>
            </w:r>
          </w:p>
        </w:tc>
        <w:tc>
          <w:tcPr>
            <w:tcW w:w="1507" w:type="pct"/>
            <w:shd w:val="clear" w:color="auto" w:fill="B8CCE4" w:themeFill="accent1" w:themeFillTint="66"/>
            <w:vAlign w:val="center"/>
          </w:tcPr>
          <w:p w14:paraId="6D2EEBFC" w14:textId="77777777" w:rsidR="002D7804" w:rsidRPr="00110D55" w:rsidRDefault="002D7804" w:rsidP="00FC1A2E">
            <w:pPr>
              <w:pStyle w:val="Tabletext"/>
              <w:keepNext/>
              <w:keepLines/>
              <w:jc w:val="center"/>
              <w:rPr>
                <w:szCs w:val="20"/>
              </w:rPr>
            </w:pPr>
            <w:r w:rsidRPr="00110D55">
              <w:rPr>
                <w:szCs w:val="20"/>
              </w:rPr>
              <w:t>21.9 (13.8, NR)</w:t>
            </w:r>
          </w:p>
        </w:tc>
        <w:tc>
          <w:tcPr>
            <w:tcW w:w="1609" w:type="pct"/>
            <w:shd w:val="clear" w:color="auto" w:fill="B8CCE4" w:themeFill="accent1" w:themeFillTint="66"/>
            <w:vAlign w:val="center"/>
          </w:tcPr>
          <w:p w14:paraId="3C201543" w14:textId="77777777" w:rsidR="002D7804" w:rsidRPr="00110D55" w:rsidRDefault="002D7804" w:rsidP="00FC1A2E">
            <w:pPr>
              <w:pStyle w:val="Tabletext"/>
              <w:keepNext/>
              <w:keepLines/>
              <w:jc w:val="center"/>
              <w:rPr>
                <w:szCs w:val="20"/>
              </w:rPr>
            </w:pPr>
            <w:r w:rsidRPr="00110D55">
              <w:rPr>
                <w:szCs w:val="20"/>
              </w:rPr>
              <w:t>9.0 (8.2, 10.5)</w:t>
            </w:r>
          </w:p>
        </w:tc>
      </w:tr>
      <w:tr w:rsidR="002D7804" w:rsidRPr="00110D55" w14:paraId="36C0CF3B" w14:textId="77777777">
        <w:trPr>
          <w:trHeight w:val="147"/>
        </w:trPr>
        <w:tc>
          <w:tcPr>
            <w:tcW w:w="1884" w:type="pct"/>
            <w:shd w:val="clear" w:color="auto" w:fill="B8CCE4" w:themeFill="accent1" w:themeFillTint="66"/>
          </w:tcPr>
          <w:p w14:paraId="6878012C" w14:textId="77777777" w:rsidR="002D7804" w:rsidRPr="00110D55" w:rsidRDefault="002D7804" w:rsidP="00FC1A2E">
            <w:pPr>
              <w:pStyle w:val="Tabletext"/>
              <w:keepNext/>
              <w:keepLines/>
              <w:ind w:left="174"/>
              <w:rPr>
                <w:szCs w:val="20"/>
              </w:rPr>
            </w:pPr>
            <w:r w:rsidRPr="00110D55">
              <w:rPr>
                <w:szCs w:val="20"/>
              </w:rPr>
              <w:t>HR (95% CI); p-value</w:t>
            </w:r>
          </w:p>
        </w:tc>
        <w:tc>
          <w:tcPr>
            <w:tcW w:w="3116" w:type="pct"/>
            <w:gridSpan w:val="2"/>
            <w:shd w:val="clear" w:color="auto" w:fill="B8CCE4" w:themeFill="accent1" w:themeFillTint="66"/>
            <w:vAlign w:val="center"/>
          </w:tcPr>
          <w:p w14:paraId="5ED1EEBE" w14:textId="77777777" w:rsidR="002D7804" w:rsidRPr="00110D55" w:rsidRDefault="002D7804" w:rsidP="00FC1A2E">
            <w:pPr>
              <w:pStyle w:val="Tabletext"/>
              <w:keepNext/>
              <w:keepLines/>
              <w:jc w:val="center"/>
              <w:rPr>
                <w:szCs w:val="20"/>
              </w:rPr>
            </w:pPr>
            <w:r w:rsidRPr="00110D55">
              <w:rPr>
                <w:szCs w:val="20"/>
              </w:rPr>
              <w:t>0.46 (0.32, 0.66); &lt;0.001</w:t>
            </w:r>
          </w:p>
        </w:tc>
      </w:tr>
      <w:tr w:rsidR="002D7804" w:rsidRPr="00110D55" w14:paraId="5A10B890" w14:textId="77777777" w:rsidTr="00A45CF4">
        <w:trPr>
          <w:trHeight w:val="252"/>
        </w:trPr>
        <w:tc>
          <w:tcPr>
            <w:tcW w:w="1884" w:type="pct"/>
            <w:shd w:val="clear" w:color="auto" w:fill="B8CCE4" w:themeFill="accent1" w:themeFillTint="66"/>
          </w:tcPr>
          <w:p w14:paraId="1DDAECF7" w14:textId="77777777" w:rsidR="002D7804" w:rsidRPr="00110D55" w:rsidRDefault="002D7804" w:rsidP="00FC1A2E">
            <w:pPr>
              <w:pStyle w:val="Tabletext"/>
              <w:keepNext/>
              <w:keepLines/>
              <w:rPr>
                <w:szCs w:val="20"/>
              </w:rPr>
            </w:pPr>
            <w:r w:rsidRPr="00110D55">
              <w:rPr>
                <w:szCs w:val="20"/>
              </w:rPr>
              <w:t>Adjusted Model 1</w:t>
            </w:r>
            <w:r w:rsidRPr="00110D55">
              <w:rPr>
                <w:szCs w:val="20"/>
                <w:vertAlign w:val="superscript"/>
              </w:rPr>
              <w:t>a</w:t>
            </w:r>
          </w:p>
        </w:tc>
        <w:tc>
          <w:tcPr>
            <w:tcW w:w="1507" w:type="pct"/>
            <w:shd w:val="clear" w:color="auto" w:fill="B8CCE4" w:themeFill="accent1" w:themeFillTint="66"/>
            <w:vAlign w:val="center"/>
          </w:tcPr>
          <w:p w14:paraId="72C19419" w14:textId="77777777" w:rsidR="002D7804" w:rsidRPr="00110D55" w:rsidRDefault="002D7804" w:rsidP="00FC1A2E">
            <w:pPr>
              <w:pStyle w:val="Tabletext"/>
              <w:keepNext/>
              <w:keepLines/>
              <w:jc w:val="center"/>
              <w:rPr>
                <w:szCs w:val="20"/>
              </w:rPr>
            </w:pPr>
            <w:r w:rsidRPr="00110D55">
              <w:rPr>
                <w:szCs w:val="20"/>
              </w:rPr>
              <w:t>21.9 (11.5, NR)</w:t>
            </w:r>
          </w:p>
        </w:tc>
        <w:tc>
          <w:tcPr>
            <w:tcW w:w="1609" w:type="pct"/>
            <w:shd w:val="clear" w:color="auto" w:fill="B8CCE4" w:themeFill="accent1" w:themeFillTint="66"/>
            <w:vAlign w:val="center"/>
          </w:tcPr>
          <w:p w14:paraId="075B7128" w14:textId="77777777" w:rsidR="002D7804" w:rsidRPr="00110D55" w:rsidRDefault="002D7804" w:rsidP="00FC1A2E">
            <w:pPr>
              <w:pStyle w:val="Tabletext"/>
              <w:keepNext/>
              <w:keepLines/>
              <w:jc w:val="center"/>
              <w:rPr>
                <w:szCs w:val="20"/>
              </w:rPr>
            </w:pPr>
            <w:r w:rsidRPr="00110D55">
              <w:rPr>
                <w:szCs w:val="20"/>
              </w:rPr>
              <w:t>9.0 (8.2, 10.5)</w:t>
            </w:r>
          </w:p>
        </w:tc>
      </w:tr>
      <w:tr w:rsidR="002D7804" w:rsidRPr="00110D55" w14:paraId="18BD9534" w14:textId="77777777">
        <w:trPr>
          <w:trHeight w:val="147"/>
        </w:trPr>
        <w:tc>
          <w:tcPr>
            <w:tcW w:w="1884" w:type="pct"/>
            <w:shd w:val="clear" w:color="auto" w:fill="B8CCE4" w:themeFill="accent1" w:themeFillTint="66"/>
          </w:tcPr>
          <w:p w14:paraId="4E854C85" w14:textId="77777777" w:rsidR="002D7804" w:rsidRPr="00110D55" w:rsidRDefault="002D7804" w:rsidP="00FC1A2E">
            <w:pPr>
              <w:pStyle w:val="Tabletext"/>
              <w:keepNext/>
              <w:keepLines/>
              <w:ind w:left="174"/>
              <w:rPr>
                <w:szCs w:val="20"/>
              </w:rPr>
            </w:pPr>
            <w:r w:rsidRPr="00110D55">
              <w:rPr>
                <w:szCs w:val="20"/>
              </w:rPr>
              <w:t>HR (95% CI); p-value</w:t>
            </w:r>
          </w:p>
        </w:tc>
        <w:tc>
          <w:tcPr>
            <w:tcW w:w="3116" w:type="pct"/>
            <w:gridSpan w:val="2"/>
            <w:shd w:val="clear" w:color="auto" w:fill="B8CCE4" w:themeFill="accent1" w:themeFillTint="66"/>
            <w:vAlign w:val="center"/>
          </w:tcPr>
          <w:p w14:paraId="6AD56CD8" w14:textId="77777777" w:rsidR="002D7804" w:rsidRPr="00110D55" w:rsidRDefault="002D7804" w:rsidP="00FC1A2E">
            <w:pPr>
              <w:pStyle w:val="Tabletext"/>
              <w:keepNext/>
              <w:keepLines/>
              <w:jc w:val="center"/>
              <w:rPr>
                <w:szCs w:val="20"/>
              </w:rPr>
            </w:pPr>
            <w:r w:rsidRPr="00110D55">
              <w:rPr>
                <w:szCs w:val="20"/>
              </w:rPr>
              <w:t>0.44 (0.29, 0.67); &lt;0.001</w:t>
            </w:r>
          </w:p>
        </w:tc>
      </w:tr>
      <w:tr w:rsidR="002D7804" w:rsidRPr="00110D55" w14:paraId="0A95FF98" w14:textId="77777777" w:rsidTr="00A45CF4">
        <w:trPr>
          <w:trHeight w:val="252"/>
        </w:trPr>
        <w:tc>
          <w:tcPr>
            <w:tcW w:w="1884" w:type="pct"/>
            <w:shd w:val="clear" w:color="auto" w:fill="B8CCE4" w:themeFill="accent1" w:themeFillTint="66"/>
          </w:tcPr>
          <w:p w14:paraId="3C11B3BF" w14:textId="77777777" w:rsidR="002D7804" w:rsidRPr="00110D55" w:rsidRDefault="002D7804" w:rsidP="00FC1A2E">
            <w:pPr>
              <w:pStyle w:val="Tabletext"/>
              <w:keepNext/>
              <w:keepLines/>
              <w:rPr>
                <w:b/>
                <w:bCs/>
                <w:szCs w:val="20"/>
              </w:rPr>
            </w:pPr>
            <w:r w:rsidRPr="00110D55">
              <w:rPr>
                <w:b/>
                <w:bCs/>
                <w:szCs w:val="20"/>
              </w:rPr>
              <w:t>Adjusted Model 2</w:t>
            </w:r>
            <w:r w:rsidRPr="00110D55">
              <w:rPr>
                <w:b/>
                <w:bCs/>
                <w:szCs w:val="20"/>
                <w:vertAlign w:val="superscript"/>
              </w:rPr>
              <w:t>b</w:t>
            </w:r>
          </w:p>
        </w:tc>
        <w:tc>
          <w:tcPr>
            <w:tcW w:w="1507" w:type="pct"/>
            <w:shd w:val="clear" w:color="auto" w:fill="B8CCE4" w:themeFill="accent1" w:themeFillTint="66"/>
            <w:vAlign w:val="center"/>
          </w:tcPr>
          <w:p w14:paraId="0E2987A6" w14:textId="77777777" w:rsidR="002D7804" w:rsidRPr="00110D55" w:rsidRDefault="002D7804" w:rsidP="00FC1A2E">
            <w:pPr>
              <w:pStyle w:val="Tabletext"/>
              <w:keepNext/>
              <w:keepLines/>
              <w:jc w:val="center"/>
              <w:rPr>
                <w:szCs w:val="20"/>
              </w:rPr>
            </w:pPr>
            <w:r w:rsidRPr="00110D55">
              <w:rPr>
                <w:szCs w:val="20"/>
              </w:rPr>
              <w:t>21.9 (NR, NR)</w:t>
            </w:r>
          </w:p>
        </w:tc>
        <w:tc>
          <w:tcPr>
            <w:tcW w:w="1609" w:type="pct"/>
            <w:shd w:val="clear" w:color="auto" w:fill="B8CCE4" w:themeFill="accent1" w:themeFillTint="66"/>
            <w:vAlign w:val="center"/>
          </w:tcPr>
          <w:p w14:paraId="6A4595F0" w14:textId="77777777" w:rsidR="002D7804" w:rsidRPr="00110D55" w:rsidRDefault="002D7804" w:rsidP="00FC1A2E">
            <w:pPr>
              <w:pStyle w:val="Tabletext"/>
              <w:keepNext/>
              <w:keepLines/>
              <w:jc w:val="center"/>
              <w:rPr>
                <w:szCs w:val="20"/>
              </w:rPr>
            </w:pPr>
            <w:r w:rsidRPr="00110D55">
              <w:rPr>
                <w:szCs w:val="20"/>
              </w:rPr>
              <w:t>9.0 (8.2, 10.5)</w:t>
            </w:r>
          </w:p>
        </w:tc>
      </w:tr>
      <w:tr w:rsidR="002D7804" w:rsidRPr="00110D55" w14:paraId="54EA2270" w14:textId="77777777">
        <w:trPr>
          <w:trHeight w:val="147"/>
        </w:trPr>
        <w:tc>
          <w:tcPr>
            <w:tcW w:w="1884" w:type="pct"/>
            <w:shd w:val="clear" w:color="auto" w:fill="B8CCE4" w:themeFill="accent1" w:themeFillTint="66"/>
          </w:tcPr>
          <w:p w14:paraId="377B10CF" w14:textId="77777777" w:rsidR="002D7804" w:rsidRPr="00110D55" w:rsidRDefault="002D7804" w:rsidP="00FC1A2E">
            <w:pPr>
              <w:pStyle w:val="Tabletext"/>
              <w:keepNext/>
              <w:keepLines/>
              <w:ind w:left="174"/>
              <w:rPr>
                <w:szCs w:val="20"/>
              </w:rPr>
            </w:pPr>
            <w:r w:rsidRPr="00110D55">
              <w:rPr>
                <w:szCs w:val="20"/>
              </w:rPr>
              <w:t>HR (95% CI); p-value</w:t>
            </w:r>
          </w:p>
        </w:tc>
        <w:tc>
          <w:tcPr>
            <w:tcW w:w="3116" w:type="pct"/>
            <w:gridSpan w:val="2"/>
            <w:shd w:val="clear" w:color="auto" w:fill="B8CCE4" w:themeFill="accent1" w:themeFillTint="66"/>
            <w:vAlign w:val="center"/>
          </w:tcPr>
          <w:p w14:paraId="07409D95" w14:textId="77777777" w:rsidR="002D7804" w:rsidRPr="00110D55" w:rsidRDefault="002D7804" w:rsidP="00FC1A2E">
            <w:pPr>
              <w:pStyle w:val="Tabletext"/>
              <w:keepNext/>
              <w:keepLines/>
              <w:jc w:val="center"/>
              <w:rPr>
                <w:szCs w:val="20"/>
              </w:rPr>
            </w:pPr>
            <w:r w:rsidRPr="00110D55">
              <w:rPr>
                <w:szCs w:val="20"/>
              </w:rPr>
              <w:t>0.48 (0.27, 0.84); 0.01</w:t>
            </w:r>
          </w:p>
        </w:tc>
      </w:tr>
      <w:tr w:rsidR="002D7804" w:rsidRPr="00110D55" w14:paraId="32827410" w14:textId="77777777" w:rsidTr="00A45CF4">
        <w:trPr>
          <w:trHeight w:val="147"/>
        </w:trPr>
        <w:tc>
          <w:tcPr>
            <w:tcW w:w="1884" w:type="pct"/>
          </w:tcPr>
          <w:p w14:paraId="3537FD34" w14:textId="77777777" w:rsidR="002D7804" w:rsidRPr="00110D55" w:rsidRDefault="002D7804" w:rsidP="00FC1A2E">
            <w:pPr>
              <w:pStyle w:val="Tabletext"/>
              <w:keepNext/>
              <w:keepLines/>
              <w:rPr>
                <w:b/>
                <w:bCs/>
                <w:szCs w:val="20"/>
              </w:rPr>
            </w:pPr>
            <w:r w:rsidRPr="00110D55">
              <w:rPr>
                <w:b/>
                <w:bCs/>
                <w:szCs w:val="20"/>
              </w:rPr>
              <w:t>Direct comparison presented in LIBRETTO-431</w:t>
            </w:r>
            <w:r>
              <w:rPr>
                <w:b/>
                <w:bCs/>
                <w:szCs w:val="20"/>
              </w:rPr>
              <w:t xml:space="preserve"> (ITT-pembrolizumab)</w:t>
            </w:r>
          </w:p>
        </w:tc>
        <w:tc>
          <w:tcPr>
            <w:tcW w:w="1507" w:type="pct"/>
            <w:vAlign w:val="center"/>
          </w:tcPr>
          <w:p w14:paraId="3FF9778D" w14:textId="6F0F1C53" w:rsidR="002D7804" w:rsidRPr="00062839" w:rsidRDefault="002D7804" w:rsidP="00FC1A2E">
            <w:pPr>
              <w:pStyle w:val="Tabletext"/>
              <w:keepNext/>
              <w:keepLines/>
              <w:jc w:val="center"/>
              <w:rPr>
                <w:b/>
                <w:szCs w:val="20"/>
              </w:rPr>
            </w:pPr>
            <w:r w:rsidRPr="00062839">
              <w:rPr>
                <w:b/>
                <w:szCs w:val="20"/>
              </w:rPr>
              <w:t>Selpercatinib</w:t>
            </w:r>
            <w:r w:rsidR="00B26A39">
              <w:rPr>
                <w:b/>
                <w:szCs w:val="20"/>
              </w:rPr>
              <w:t xml:space="preserve"> (N=</w:t>
            </w:r>
            <w:r w:rsidR="00311760">
              <w:rPr>
                <w:b/>
                <w:szCs w:val="20"/>
              </w:rPr>
              <w:t>129)</w:t>
            </w:r>
          </w:p>
        </w:tc>
        <w:tc>
          <w:tcPr>
            <w:tcW w:w="1609" w:type="pct"/>
            <w:vAlign w:val="center"/>
          </w:tcPr>
          <w:p w14:paraId="606C36E2" w14:textId="7768A576" w:rsidR="002D7804" w:rsidRPr="00062839" w:rsidRDefault="002D7804" w:rsidP="00FC1A2E">
            <w:pPr>
              <w:pStyle w:val="Tabletext"/>
              <w:keepNext/>
              <w:keepLines/>
              <w:jc w:val="center"/>
              <w:rPr>
                <w:b/>
                <w:szCs w:val="20"/>
              </w:rPr>
            </w:pPr>
            <w:r w:rsidRPr="00062839">
              <w:rPr>
                <w:b/>
                <w:szCs w:val="20"/>
              </w:rPr>
              <w:t>Pembrolizumab + PC</w:t>
            </w:r>
            <w:r w:rsidR="00311760">
              <w:rPr>
                <w:b/>
                <w:szCs w:val="20"/>
              </w:rPr>
              <w:t xml:space="preserve"> (N=83)</w:t>
            </w:r>
          </w:p>
        </w:tc>
      </w:tr>
      <w:tr w:rsidR="002D7804" w:rsidRPr="00110D55" w14:paraId="0482A1CB" w14:textId="77777777" w:rsidTr="00A45CF4">
        <w:trPr>
          <w:trHeight w:val="147"/>
        </w:trPr>
        <w:tc>
          <w:tcPr>
            <w:tcW w:w="1884" w:type="pct"/>
          </w:tcPr>
          <w:p w14:paraId="51AB5C3C" w14:textId="403C7726" w:rsidR="002D7804" w:rsidRPr="00110D55" w:rsidRDefault="002D7804" w:rsidP="00FC1A2E">
            <w:pPr>
              <w:pStyle w:val="Tabletext"/>
              <w:keepNext/>
              <w:keepLines/>
              <w:ind w:left="174"/>
              <w:rPr>
                <w:szCs w:val="20"/>
              </w:rPr>
            </w:pPr>
            <w:r w:rsidRPr="00110D55">
              <w:rPr>
                <w:szCs w:val="20"/>
              </w:rPr>
              <w:t>Stratified</w:t>
            </w:r>
            <w:r w:rsidR="00787A33">
              <w:rPr>
                <w:szCs w:val="20"/>
              </w:rPr>
              <w:t xml:space="preserve"> </w:t>
            </w:r>
            <w:r w:rsidRPr="00110D55">
              <w:rPr>
                <w:szCs w:val="20"/>
                <w:vertAlign w:val="superscript"/>
              </w:rPr>
              <w:t>c</w:t>
            </w:r>
          </w:p>
        </w:tc>
        <w:tc>
          <w:tcPr>
            <w:tcW w:w="1507" w:type="pct"/>
            <w:vAlign w:val="center"/>
          </w:tcPr>
          <w:p w14:paraId="35FE3C25" w14:textId="77777777" w:rsidR="002D7804" w:rsidRPr="00110D55" w:rsidRDefault="002D7804" w:rsidP="00FC1A2E">
            <w:pPr>
              <w:pStyle w:val="Tabletext"/>
              <w:keepNext/>
              <w:keepLines/>
              <w:jc w:val="center"/>
              <w:rPr>
                <w:szCs w:val="20"/>
              </w:rPr>
            </w:pPr>
            <w:r w:rsidRPr="00110D55">
              <w:rPr>
                <w:szCs w:val="20"/>
              </w:rPr>
              <w:t>24.84 (16.89, NE)</w:t>
            </w:r>
          </w:p>
        </w:tc>
        <w:tc>
          <w:tcPr>
            <w:tcW w:w="1609" w:type="pct"/>
            <w:vAlign w:val="center"/>
          </w:tcPr>
          <w:p w14:paraId="755622D1" w14:textId="77777777" w:rsidR="002D7804" w:rsidRPr="00110D55" w:rsidRDefault="002D7804" w:rsidP="00FC1A2E">
            <w:pPr>
              <w:pStyle w:val="Tabletext"/>
              <w:keepNext/>
              <w:keepLines/>
              <w:jc w:val="center"/>
              <w:rPr>
                <w:szCs w:val="20"/>
              </w:rPr>
            </w:pPr>
            <w:r w:rsidRPr="00110D55">
              <w:rPr>
                <w:szCs w:val="20"/>
              </w:rPr>
              <w:t>11.17 (8.77, 16.76)</w:t>
            </w:r>
          </w:p>
        </w:tc>
      </w:tr>
      <w:tr w:rsidR="002D7804" w:rsidRPr="00110D55" w14:paraId="158A8E28" w14:textId="77777777">
        <w:trPr>
          <w:trHeight w:val="147"/>
        </w:trPr>
        <w:tc>
          <w:tcPr>
            <w:tcW w:w="1884" w:type="pct"/>
          </w:tcPr>
          <w:p w14:paraId="22859196" w14:textId="77777777" w:rsidR="002D7804" w:rsidRPr="00110D55" w:rsidRDefault="002D7804" w:rsidP="00FC1A2E">
            <w:pPr>
              <w:pStyle w:val="Tabletext"/>
              <w:keepNext/>
              <w:keepLines/>
              <w:ind w:left="174"/>
              <w:rPr>
                <w:szCs w:val="20"/>
              </w:rPr>
            </w:pPr>
            <w:r w:rsidRPr="00110D55">
              <w:rPr>
                <w:szCs w:val="20"/>
              </w:rPr>
              <w:t>HR (95% CI); p-value</w:t>
            </w:r>
          </w:p>
        </w:tc>
        <w:tc>
          <w:tcPr>
            <w:tcW w:w="3116" w:type="pct"/>
            <w:gridSpan w:val="2"/>
            <w:vAlign w:val="center"/>
          </w:tcPr>
          <w:p w14:paraId="792EDABD" w14:textId="77777777" w:rsidR="002D7804" w:rsidRPr="00110D55" w:rsidRDefault="002D7804" w:rsidP="00FC1A2E">
            <w:pPr>
              <w:pStyle w:val="Tabletext"/>
              <w:keepNext/>
              <w:keepLines/>
              <w:jc w:val="center"/>
              <w:rPr>
                <w:szCs w:val="20"/>
              </w:rPr>
            </w:pPr>
            <w:r w:rsidRPr="00110D55">
              <w:rPr>
                <w:szCs w:val="20"/>
              </w:rPr>
              <w:t>0.465 (0.309, 0.699); 0.0002</w:t>
            </w:r>
          </w:p>
        </w:tc>
      </w:tr>
    </w:tbl>
    <w:p w14:paraId="0BF74D62" w14:textId="77777777" w:rsidR="002D7804" w:rsidRPr="00110D55" w:rsidRDefault="002D7804" w:rsidP="00FC1A2E">
      <w:pPr>
        <w:pStyle w:val="TableFigNotes18"/>
        <w:keepNext/>
        <w:keepLines/>
        <w:spacing w:before="0" w:after="120" w:line="240" w:lineRule="auto"/>
        <w:rPr>
          <w:rFonts w:ascii="Arial Narrow" w:hAnsi="Arial Narrow"/>
          <w:sz w:val="18"/>
          <w:szCs w:val="18"/>
        </w:rPr>
      </w:pPr>
      <w:r w:rsidRPr="00110D55">
        <w:rPr>
          <w:rFonts w:ascii="Arial Narrow" w:hAnsi="Arial Narrow"/>
          <w:sz w:val="18"/>
          <w:szCs w:val="18"/>
        </w:rPr>
        <w:t xml:space="preserve">Source: </w:t>
      </w:r>
      <w:r>
        <w:rPr>
          <w:rFonts w:ascii="Arial Narrow" w:hAnsi="Arial Narrow"/>
          <w:sz w:val="18"/>
          <w:szCs w:val="18"/>
        </w:rPr>
        <w:t xml:space="preserve">Table 2-33, p79 of the resubmission. </w:t>
      </w:r>
    </w:p>
    <w:p w14:paraId="29605962" w14:textId="67BA829C" w:rsidR="002D7804" w:rsidRDefault="002D7804" w:rsidP="00FC1A2E">
      <w:pPr>
        <w:pStyle w:val="TableFigNotes18"/>
        <w:keepNext/>
        <w:keepLines/>
        <w:spacing w:before="0" w:after="120" w:line="240" w:lineRule="auto"/>
        <w:rPr>
          <w:rFonts w:ascii="Arial Narrow" w:hAnsi="Arial Narrow"/>
          <w:sz w:val="18"/>
          <w:szCs w:val="18"/>
        </w:rPr>
      </w:pPr>
      <w:r w:rsidRPr="00110D55">
        <w:rPr>
          <w:rFonts w:ascii="Arial Narrow" w:hAnsi="Arial Narrow"/>
          <w:sz w:val="18"/>
          <w:szCs w:val="18"/>
        </w:rPr>
        <w:t>CI</w:t>
      </w:r>
      <w:r>
        <w:rPr>
          <w:rFonts w:ascii="Arial Narrow" w:hAnsi="Arial Narrow"/>
          <w:sz w:val="18"/>
          <w:szCs w:val="18"/>
        </w:rPr>
        <w:t xml:space="preserve"> =</w:t>
      </w:r>
      <w:r w:rsidRPr="00110D55">
        <w:rPr>
          <w:rFonts w:ascii="Arial Narrow" w:hAnsi="Arial Narrow"/>
          <w:sz w:val="18"/>
          <w:szCs w:val="18"/>
        </w:rPr>
        <w:t xml:space="preserve"> confidence interval; </w:t>
      </w:r>
      <w:r w:rsidR="00BC5A69">
        <w:rPr>
          <w:rFonts w:ascii="Arial Narrow" w:hAnsi="Arial Narrow"/>
          <w:sz w:val="18"/>
          <w:szCs w:val="18"/>
        </w:rPr>
        <w:t xml:space="preserve">ECOG = Eastern Cooperative Oncology Group; </w:t>
      </w:r>
      <w:r w:rsidRPr="00110D55">
        <w:rPr>
          <w:rFonts w:ascii="Arial Narrow" w:hAnsi="Arial Narrow"/>
          <w:sz w:val="18"/>
          <w:szCs w:val="18"/>
        </w:rPr>
        <w:t>HR</w:t>
      </w:r>
      <w:r>
        <w:rPr>
          <w:rFonts w:ascii="Arial Narrow" w:hAnsi="Arial Narrow"/>
          <w:sz w:val="18"/>
          <w:szCs w:val="18"/>
        </w:rPr>
        <w:t xml:space="preserve"> =</w:t>
      </w:r>
      <w:r w:rsidRPr="00110D55">
        <w:rPr>
          <w:rFonts w:ascii="Arial Narrow" w:hAnsi="Arial Narrow"/>
          <w:sz w:val="18"/>
          <w:szCs w:val="18"/>
        </w:rPr>
        <w:t xml:space="preserve"> hazard ratio; ITC</w:t>
      </w:r>
      <w:r>
        <w:rPr>
          <w:rFonts w:ascii="Arial Narrow" w:hAnsi="Arial Narrow"/>
          <w:sz w:val="18"/>
          <w:szCs w:val="18"/>
        </w:rPr>
        <w:t xml:space="preserve"> =</w:t>
      </w:r>
      <w:r w:rsidRPr="00110D55">
        <w:rPr>
          <w:rFonts w:ascii="Arial Narrow" w:hAnsi="Arial Narrow"/>
          <w:sz w:val="18"/>
          <w:szCs w:val="18"/>
        </w:rPr>
        <w:t xml:space="preserve"> indirect treatment comparison; </w:t>
      </w:r>
      <w:r w:rsidR="00BC5A69" w:rsidRPr="00FD0E5F">
        <w:rPr>
          <w:rFonts w:ascii="Arial Narrow" w:hAnsi="Arial Narrow"/>
          <w:sz w:val="18"/>
          <w:szCs w:val="18"/>
        </w:rPr>
        <w:t>IWRS</w:t>
      </w:r>
      <w:r w:rsidR="00BC5A69">
        <w:rPr>
          <w:rFonts w:ascii="Arial Narrow" w:hAnsi="Arial Narrow"/>
          <w:sz w:val="18"/>
          <w:szCs w:val="18"/>
        </w:rPr>
        <w:t xml:space="preserve"> =</w:t>
      </w:r>
      <w:r w:rsidR="00BC5A69" w:rsidRPr="00FD0E5F">
        <w:rPr>
          <w:rFonts w:ascii="Arial Narrow" w:hAnsi="Arial Narrow"/>
          <w:sz w:val="18"/>
          <w:szCs w:val="18"/>
        </w:rPr>
        <w:t xml:space="preserve"> interactive web response system; </w:t>
      </w:r>
      <w:r w:rsidRPr="00110D55">
        <w:rPr>
          <w:rFonts w:ascii="Arial Narrow" w:hAnsi="Arial Narrow"/>
          <w:sz w:val="18"/>
          <w:szCs w:val="18"/>
        </w:rPr>
        <w:t>MAIC</w:t>
      </w:r>
      <w:r>
        <w:rPr>
          <w:rFonts w:ascii="Arial Narrow" w:hAnsi="Arial Narrow"/>
          <w:sz w:val="18"/>
          <w:szCs w:val="18"/>
        </w:rPr>
        <w:t xml:space="preserve"> =</w:t>
      </w:r>
      <w:r w:rsidRPr="00110D55">
        <w:rPr>
          <w:rFonts w:ascii="Arial Narrow" w:hAnsi="Arial Narrow"/>
          <w:sz w:val="18"/>
          <w:szCs w:val="18"/>
        </w:rPr>
        <w:t xml:space="preserve"> matching-adjusted indirect comparison; </w:t>
      </w:r>
      <w:r w:rsidR="007B2765">
        <w:rPr>
          <w:rFonts w:ascii="Arial Narrow" w:hAnsi="Arial Narrow"/>
          <w:sz w:val="18"/>
          <w:szCs w:val="18"/>
        </w:rPr>
        <w:t xml:space="preserve">NMA = network meta-analysis; </w:t>
      </w:r>
      <w:r w:rsidRPr="00110D55">
        <w:rPr>
          <w:rFonts w:ascii="Arial Narrow" w:hAnsi="Arial Narrow"/>
          <w:sz w:val="18"/>
          <w:szCs w:val="18"/>
        </w:rPr>
        <w:t>NR</w:t>
      </w:r>
      <w:r>
        <w:rPr>
          <w:rFonts w:ascii="Arial Narrow" w:hAnsi="Arial Narrow"/>
          <w:sz w:val="18"/>
          <w:szCs w:val="18"/>
        </w:rPr>
        <w:t xml:space="preserve"> =</w:t>
      </w:r>
      <w:r w:rsidRPr="00110D55">
        <w:rPr>
          <w:rFonts w:ascii="Arial Narrow" w:hAnsi="Arial Narrow"/>
          <w:sz w:val="18"/>
          <w:szCs w:val="18"/>
        </w:rPr>
        <w:t xml:space="preserve"> not reported; PFS</w:t>
      </w:r>
      <w:r>
        <w:rPr>
          <w:rFonts w:ascii="Arial Narrow" w:hAnsi="Arial Narrow"/>
          <w:sz w:val="18"/>
          <w:szCs w:val="18"/>
        </w:rPr>
        <w:t xml:space="preserve"> =</w:t>
      </w:r>
      <w:r w:rsidRPr="00110D55">
        <w:rPr>
          <w:rFonts w:ascii="Arial Narrow" w:hAnsi="Arial Narrow"/>
          <w:sz w:val="18"/>
          <w:szCs w:val="18"/>
        </w:rPr>
        <w:t xml:space="preserve"> progression-free survival</w:t>
      </w:r>
      <w:r w:rsidR="00BC5A69">
        <w:rPr>
          <w:rFonts w:ascii="Arial Narrow" w:hAnsi="Arial Narrow"/>
          <w:sz w:val="18"/>
          <w:szCs w:val="18"/>
        </w:rPr>
        <w:t>; PS = performance score</w:t>
      </w:r>
    </w:p>
    <w:p w14:paraId="7051C197" w14:textId="77777777" w:rsidR="002D7804" w:rsidRPr="00110D55" w:rsidRDefault="002D7804" w:rsidP="00FC1A2E">
      <w:pPr>
        <w:pStyle w:val="TableFigNotes18"/>
        <w:keepNext/>
        <w:keepLines/>
        <w:spacing w:before="0" w:after="120" w:line="240" w:lineRule="auto"/>
        <w:rPr>
          <w:rFonts w:ascii="Arial Narrow" w:hAnsi="Arial Narrow"/>
          <w:sz w:val="18"/>
          <w:szCs w:val="18"/>
        </w:rPr>
      </w:pPr>
      <w:r w:rsidRPr="00110D55">
        <w:rPr>
          <w:rFonts w:ascii="Arial Narrow" w:hAnsi="Arial Narrow"/>
          <w:sz w:val="18"/>
          <w:szCs w:val="18"/>
          <w:vertAlign w:val="superscript"/>
        </w:rPr>
        <w:t>a</w:t>
      </w:r>
      <w:r w:rsidRPr="00110D55">
        <w:rPr>
          <w:rFonts w:ascii="Arial Narrow" w:hAnsi="Arial Narrow"/>
          <w:sz w:val="18"/>
          <w:szCs w:val="18"/>
        </w:rPr>
        <w:t xml:space="preserve"> MAIC Model 1 adjusted for age, sex, ECOG PS and presence of brain metastases</w:t>
      </w:r>
      <w:r>
        <w:rPr>
          <w:rFonts w:ascii="Arial Narrow" w:hAnsi="Arial Narrow"/>
          <w:sz w:val="18"/>
          <w:szCs w:val="18"/>
        </w:rPr>
        <w:t>.</w:t>
      </w:r>
    </w:p>
    <w:p w14:paraId="0B7CB884" w14:textId="77777777" w:rsidR="002D7804" w:rsidRPr="00110D55" w:rsidRDefault="002D7804" w:rsidP="00FC1A2E">
      <w:pPr>
        <w:pStyle w:val="TableFigNotes18"/>
        <w:keepNext/>
        <w:keepLines/>
        <w:spacing w:before="0" w:after="120" w:line="240" w:lineRule="auto"/>
        <w:rPr>
          <w:rFonts w:ascii="Arial Narrow" w:hAnsi="Arial Narrow"/>
          <w:sz w:val="18"/>
          <w:szCs w:val="18"/>
        </w:rPr>
      </w:pPr>
      <w:r w:rsidRPr="00110D55">
        <w:rPr>
          <w:rFonts w:ascii="Arial Narrow" w:hAnsi="Arial Narrow"/>
          <w:sz w:val="18"/>
          <w:szCs w:val="18"/>
          <w:vertAlign w:val="superscript"/>
        </w:rPr>
        <w:t>b</w:t>
      </w:r>
      <w:r w:rsidRPr="00110D55">
        <w:rPr>
          <w:rFonts w:ascii="Arial Narrow" w:hAnsi="Arial Narrow"/>
          <w:sz w:val="18"/>
          <w:szCs w:val="18"/>
        </w:rPr>
        <w:t xml:space="preserve"> MAIC Model 2 adjusted for age, sex, ECOG PS, presence of brain metastases and smoking status</w:t>
      </w:r>
      <w:r>
        <w:rPr>
          <w:rFonts w:ascii="Arial Narrow" w:hAnsi="Arial Narrow"/>
          <w:sz w:val="18"/>
          <w:szCs w:val="18"/>
        </w:rPr>
        <w:t>.</w:t>
      </w:r>
    </w:p>
    <w:p w14:paraId="4ABF60C4" w14:textId="77777777" w:rsidR="002D7804" w:rsidRPr="00110D55" w:rsidRDefault="002D7804" w:rsidP="00FC1A2E">
      <w:pPr>
        <w:pStyle w:val="TableFigNotes18"/>
        <w:keepNext/>
        <w:keepLines/>
        <w:spacing w:before="0" w:after="120" w:line="240" w:lineRule="auto"/>
        <w:rPr>
          <w:rFonts w:ascii="Arial Narrow" w:hAnsi="Arial Narrow"/>
          <w:sz w:val="18"/>
          <w:szCs w:val="18"/>
        </w:rPr>
      </w:pPr>
      <w:r w:rsidRPr="00110D55">
        <w:rPr>
          <w:rFonts w:ascii="Arial Narrow" w:hAnsi="Arial Narrow"/>
          <w:sz w:val="18"/>
          <w:szCs w:val="18"/>
          <w:vertAlign w:val="superscript"/>
        </w:rPr>
        <w:t>c</w:t>
      </w:r>
      <w:r w:rsidRPr="00110D55">
        <w:rPr>
          <w:rFonts w:ascii="Arial Narrow" w:hAnsi="Arial Narrow"/>
          <w:sz w:val="18"/>
          <w:szCs w:val="18"/>
        </w:rPr>
        <w:t xml:space="preserve"> Stratified by Geography (East Asian versus non-East Asian) – IWRS, Brain metastases (presence or absence/unknown) – IWRS</w:t>
      </w:r>
      <w:r>
        <w:rPr>
          <w:rFonts w:ascii="Arial Narrow" w:hAnsi="Arial Narrow"/>
          <w:sz w:val="18"/>
          <w:szCs w:val="18"/>
        </w:rPr>
        <w:t>.</w:t>
      </w:r>
    </w:p>
    <w:p w14:paraId="2AF01D9D" w14:textId="77777777" w:rsidR="002D7804" w:rsidRPr="009D3116" w:rsidRDefault="002D7804" w:rsidP="00FC1A2E">
      <w:pPr>
        <w:pStyle w:val="TableFigNotes18"/>
        <w:spacing w:before="0" w:after="120" w:line="240" w:lineRule="auto"/>
        <w:rPr>
          <w:rFonts w:ascii="Arial Narrow" w:hAnsi="Arial Narrow"/>
          <w:sz w:val="18"/>
          <w:szCs w:val="24"/>
        </w:rPr>
      </w:pPr>
      <w:r w:rsidRPr="009D3116">
        <w:rPr>
          <w:rFonts w:ascii="Arial Narrow" w:hAnsi="Arial Narrow"/>
          <w:sz w:val="18"/>
          <w:szCs w:val="22"/>
          <w:shd w:val="clear" w:color="auto" w:fill="B8CCE4" w:themeFill="accent1" w:themeFillTint="66"/>
        </w:rPr>
        <w:t>Blue shading</w:t>
      </w:r>
      <w:r w:rsidRPr="009D3116">
        <w:rPr>
          <w:rFonts w:ascii="Arial Narrow" w:hAnsi="Arial Narrow"/>
          <w:sz w:val="18"/>
          <w:szCs w:val="22"/>
        </w:rPr>
        <w:t xml:space="preserve"> indicates data previously considered by the PBAC.</w:t>
      </w:r>
    </w:p>
    <w:p w14:paraId="58ACE4C7" w14:textId="7ECF27C2" w:rsidR="002D7804" w:rsidRPr="00AC6698" w:rsidRDefault="002D7804" w:rsidP="00141EDF">
      <w:pPr>
        <w:pStyle w:val="Caption"/>
        <w:jc w:val="left"/>
      </w:pPr>
      <w:bookmarkStart w:id="40" w:name="_Ref163892043"/>
      <w:r>
        <w:lastRenderedPageBreak/>
        <w:t xml:space="preserve">Figure </w:t>
      </w:r>
      <w:r w:rsidR="00BA56FF">
        <w:fldChar w:fldCharType="begin" w:fldLock="1"/>
      </w:r>
      <w:r w:rsidR="00BA56FF">
        <w:instrText xml:space="preserve"> SEQ Figure \* ARABIC </w:instrText>
      </w:r>
      <w:r w:rsidR="00BA56FF">
        <w:fldChar w:fldCharType="separate"/>
      </w:r>
      <w:r w:rsidR="00F979CE">
        <w:rPr>
          <w:noProof/>
        </w:rPr>
        <w:t>4</w:t>
      </w:r>
      <w:r w:rsidR="00BA56FF">
        <w:rPr>
          <w:noProof/>
        </w:rPr>
        <w:fldChar w:fldCharType="end"/>
      </w:r>
      <w:bookmarkEnd w:id="40"/>
      <w:r>
        <w:t xml:space="preserve">: Overlay of </w:t>
      </w:r>
      <w:r w:rsidRPr="00155A3F">
        <w:t>Kaplan-Meier curve</w:t>
      </w:r>
      <w:r>
        <w:t>s</w:t>
      </w:r>
      <w:r w:rsidRPr="00155A3F">
        <w:t xml:space="preserve"> of PFS </w:t>
      </w:r>
      <w:r>
        <w:t>comparing selpercatinib to pembrolizumab plus platinum-based chemotherapy (carboplatin or cisplatin) plus pemetrexed in MAIC Model 2</w:t>
      </w:r>
      <w:r>
        <w:rPr>
          <w:vertAlign w:val="superscript"/>
        </w:rPr>
        <w:t>a</w:t>
      </w:r>
      <w:r>
        <w:t xml:space="preserve"> vs </w:t>
      </w:r>
      <w:r w:rsidRPr="00E914F9">
        <w:rPr>
          <w:bCs w:val="0"/>
        </w:rPr>
        <w:t>LIBRETTO</w:t>
      </w:r>
      <w:r>
        <w:t>-431</w:t>
      </w:r>
      <w:r w:rsidRPr="006A18BE">
        <w:rPr>
          <w:noProof/>
        </w:rPr>
        <w:drawing>
          <wp:inline distT="0" distB="0" distL="0" distR="0" wp14:anchorId="426EEE73" wp14:editId="03A64DF3">
            <wp:extent cx="5715000" cy="3814623"/>
            <wp:effectExtent l="0" t="0" r="0" b="0"/>
            <wp:docPr id="805832186" name="Picture 2" descr="Figure 4: Overlay of Kaplan-Meier curves of PFS comparing selpercatinib to pembrolizumab plus platinum-based chemotherapy (carboplatin or cisplatin) plus pemetrexed in MAIC Model 2a vs LIBRETTO-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32186" name="Picture 2" descr="Figure 4: Overlay of Kaplan-Meier curves of PFS comparing selpercatinib to pembrolizumab plus platinum-based chemotherapy (carboplatin or cisplatin) plus pemetrexed in MAIC Model 2a vs LIBRETTO-431"/>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717322" cy="3816173"/>
                    </a:xfrm>
                    <a:prstGeom prst="rect">
                      <a:avLst/>
                    </a:prstGeom>
                  </pic:spPr>
                </pic:pic>
              </a:graphicData>
            </a:graphic>
          </wp:inline>
        </w:drawing>
      </w:r>
    </w:p>
    <w:p w14:paraId="31AE6D2F" w14:textId="77777777" w:rsidR="002D7804" w:rsidRPr="00686616" w:rsidRDefault="002D7804" w:rsidP="00141EDF">
      <w:pPr>
        <w:pStyle w:val="TableFigNotes18"/>
        <w:keepNext/>
        <w:keepLines/>
        <w:spacing w:before="0" w:after="120" w:line="240" w:lineRule="auto"/>
        <w:rPr>
          <w:rFonts w:ascii="Arial Narrow" w:hAnsi="Arial Narrow"/>
          <w:sz w:val="18"/>
          <w:szCs w:val="18"/>
        </w:rPr>
      </w:pPr>
      <w:r w:rsidRPr="00686616">
        <w:rPr>
          <w:rFonts w:ascii="Arial Narrow" w:hAnsi="Arial Narrow"/>
          <w:sz w:val="18"/>
          <w:szCs w:val="18"/>
        </w:rPr>
        <w:t xml:space="preserve">Source: Figure 2-7, p80 of the resubmission. </w:t>
      </w:r>
    </w:p>
    <w:p w14:paraId="0B9F7F44" w14:textId="77777777" w:rsidR="002D7804" w:rsidRPr="00686616" w:rsidRDefault="002D7804" w:rsidP="00141EDF">
      <w:pPr>
        <w:pStyle w:val="TableFigNotes18"/>
        <w:keepNext/>
        <w:keepLines/>
        <w:spacing w:before="0" w:after="120" w:line="240" w:lineRule="auto"/>
        <w:rPr>
          <w:rFonts w:ascii="Arial Narrow" w:hAnsi="Arial Narrow"/>
          <w:sz w:val="18"/>
          <w:szCs w:val="18"/>
        </w:rPr>
      </w:pPr>
      <w:r w:rsidRPr="00686616">
        <w:rPr>
          <w:rFonts w:ascii="Arial Narrow" w:hAnsi="Arial Narrow"/>
          <w:sz w:val="18"/>
          <w:szCs w:val="18"/>
        </w:rPr>
        <w:t>BICR = blinded independent central review; CI = confidence interval; HR = hazard ratio; ITT = intent-to-treat; IWRS = interactive web response system; KM = Kaplan-Meier; PFS = progression-free survival; TRT A = selpercatinib; TRT B = carboplatin or cisplatin + pemetrexed + pembrolizumab</w:t>
      </w:r>
    </w:p>
    <w:p w14:paraId="00E2095B" w14:textId="3CFFC3E2" w:rsidR="002D7804" w:rsidRPr="00B44960" w:rsidRDefault="002D7804" w:rsidP="00141EDF">
      <w:pPr>
        <w:pStyle w:val="TableFigNotes18"/>
        <w:keepNext/>
        <w:keepLines/>
        <w:spacing w:before="0" w:after="120" w:line="240" w:lineRule="auto"/>
        <w:rPr>
          <w:rFonts w:ascii="Arial Narrow" w:hAnsi="Arial Narrow"/>
          <w:szCs w:val="14"/>
        </w:rPr>
      </w:pPr>
      <w:r w:rsidRPr="00B44960">
        <w:rPr>
          <w:rFonts w:ascii="Arial Narrow" w:hAnsi="Arial Narrow"/>
          <w:sz w:val="18"/>
          <w:szCs w:val="18"/>
          <w:vertAlign w:val="superscript"/>
        </w:rPr>
        <w:t>a</w:t>
      </w:r>
      <w:r w:rsidRPr="00B44960">
        <w:rPr>
          <w:rFonts w:ascii="Arial Narrow" w:hAnsi="Arial Narrow"/>
          <w:sz w:val="18"/>
          <w:szCs w:val="18"/>
        </w:rPr>
        <w:t xml:space="preserve"> </w:t>
      </w:r>
      <w:r w:rsidR="007C7FCF">
        <w:rPr>
          <w:rFonts w:ascii="Arial Narrow" w:hAnsi="Arial Narrow"/>
          <w:sz w:val="18"/>
          <w:szCs w:val="18"/>
        </w:rPr>
        <w:t>MAIC</w:t>
      </w:r>
      <w:r>
        <w:rPr>
          <w:rFonts w:ascii="Arial Narrow" w:hAnsi="Arial Narrow"/>
          <w:sz w:val="18"/>
          <w:szCs w:val="18"/>
        </w:rPr>
        <w:t xml:space="preserve"> Model 2 using PFS from the indirect analyses of </w:t>
      </w:r>
      <w:r w:rsidRPr="00B44960">
        <w:rPr>
          <w:rFonts w:ascii="Arial Narrow" w:hAnsi="Arial Narrow"/>
          <w:sz w:val="18"/>
          <w:szCs w:val="18"/>
        </w:rPr>
        <w:t>LIBRETTO-001 and KN-189/KN-021 (Cohort G)</w:t>
      </w:r>
      <w:r>
        <w:rPr>
          <w:rFonts w:ascii="Arial Narrow" w:hAnsi="Arial Narrow"/>
          <w:sz w:val="18"/>
          <w:szCs w:val="18"/>
        </w:rPr>
        <w:t>.</w:t>
      </w:r>
    </w:p>
    <w:p w14:paraId="7A8D9DA1" w14:textId="77777777" w:rsidR="002D7804" w:rsidRDefault="002D7804" w:rsidP="002D7804">
      <w:pPr>
        <w:pStyle w:val="TableFigNotes18"/>
        <w:spacing w:before="0" w:after="120" w:line="240" w:lineRule="auto"/>
        <w:rPr>
          <w:rFonts w:ascii="Arial Narrow" w:hAnsi="Arial Narrow"/>
          <w:sz w:val="18"/>
          <w:szCs w:val="18"/>
        </w:rPr>
      </w:pPr>
      <w:r w:rsidRPr="00686616">
        <w:rPr>
          <w:rFonts w:ascii="Arial Narrow" w:hAnsi="Arial Narrow"/>
          <w:sz w:val="18"/>
          <w:szCs w:val="18"/>
        </w:rPr>
        <w:t>Note: Solid red and yellow lines represent MAIC 2 modelled data while the broken red and blue lines are from LIBRETTO-431</w:t>
      </w:r>
      <w:r>
        <w:rPr>
          <w:rFonts w:ascii="Arial Narrow" w:hAnsi="Arial Narrow"/>
          <w:sz w:val="18"/>
          <w:szCs w:val="18"/>
        </w:rPr>
        <w:t xml:space="preserve"> (ITT-pembrolizumab population)</w:t>
      </w:r>
      <w:r w:rsidRPr="00686616">
        <w:rPr>
          <w:rFonts w:ascii="Arial Narrow" w:hAnsi="Arial Narrow"/>
          <w:sz w:val="18"/>
          <w:szCs w:val="18"/>
        </w:rPr>
        <w:t>.</w:t>
      </w:r>
    </w:p>
    <w:p w14:paraId="25E524D3" w14:textId="564B6E7D" w:rsidR="002D7804" w:rsidRPr="007A7229" w:rsidRDefault="002D7804" w:rsidP="002D7804">
      <w:pPr>
        <w:pStyle w:val="3-BodyText"/>
      </w:pPr>
      <w:r w:rsidRPr="007A7229">
        <w:rPr>
          <w:rFonts w:ascii="Calibri" w:eastAsia="Calibri" w:hAnsi="Calibri" w:cs="Calibri"/>
        </w:rPr>
        <w:t xml:space="preserve">The MAIC 2 model adjusted for sex, age, ECOG PS, presence of brain metastases and smoking status. While this model was the most conservative among all the presented </w:t>
      </w:r>
      <w:r w:rsidR="00957E82">
        <w:rPr>
          <w:rFonts w:ascii="Calibri" w:eastAsia="Calibri" w:hAnsi="Calibri" w:cs="Calibri"/>
        </w:rPr>
        <w:t>ITCs</w:t>
      </w:r>
      <w:r w:rsidRPr="007A7229">
        <w:rPr>
          <w:rFonts w:ascii="Calibri" w:eastAsia="Calibri" w:hAnsi="Calibri" w:cs="Calibri"/>
        </w:rPr>
        <w:t xml:space="preserve">, the sample size in the selpercatinib arm in the LIBRETTO-001 trial was reduced to 22 </w:t>
      </w:r>
      <w:r w:rsidR="00364C6C">
        <w:rPr>
          <w:snapToGrid/>
          <w:lang w:val="en-US"/>
        </w:rPr>
        <w:t>patients</w:t>
      </w:r>
      <w:r w:rsidRPr="007A7229">
        <w:rPr>
          <w:rFonts w:ascii="Calibri" w:eastAsia="Calibri" w:hAnsi="Calibri" w:cs="Calibri"/>
        </w:rPr>
        <w:t xml:space="preserve">, potentially reducing the statistical power of this model to predict PFS and OS. </w:t>
      </w:r>
    </w:p>
    <w:p w14:paraId="1EA9F37B" w14:textId="7A1ED52D" w:rsidR="00957E82" w:rsidRDefault="002D7804" w:rsidP="00957E82">
      <w:pPr>
        <w:pStyle w:val="3-BodyText"/>
      </w:pPr>
      <w:r w:rsidRPr="008722DF">
        <w:t xml:space="preserve">The resubmission claimed that the PFS results for the direct head-to-head comparison from </w:t>
      </w:r>
      <w:r>
        <w:t xml:space="preserve">the </w:t>
      </w:r>
      <w:r w:rsidRPr="008722DF">
        <w:t xml:space="preserve">LIBRETTO-431 </w:t>
      </w:r>
      <w:r>
        <w:t xml:space="preserve">trial </w:t>
      </w:r>
      <w:r w:rsidRPr="008722DF">
        <w:t xml:space="preserve">were consistent with the results of the </w:t>
      </w:r>
      <w:r w:rsidR="00957E82">
        <w:t>ITC</w:t>
      </w:r>
      <w:r w:rsidRPr="008722DF">
        <w:t xml:space="preserve"> of </w:t>
      </w:r>
      <w:r>
        <w:t xml:space="preserve">the </w:t>
      </w:r>
      <w:r w:rsidRPr="008722DF">
        <w:t xml:space="preserve">LIBRETTO-001 </w:t>
      </w:r>
      <w:r>
        <w:t xml:space="preserve">study </w:t>
      </w:r>
      <w:r w:rsidRPr="008722DF">
        <w:t xml:space="preserve">and </w:t>
      </w:r>
      <w:r>
        <w:t xml:space="preserve">the </w:t>
      </w:r>
      <w:r w:rsidRPr="008722DF">
        <w:t xml:space="preserve">KN-189/KN-021 (Cohort G) </w:t>
      </w:r>
      <w:r>
        <w:t xml:space="preserve">trial using the </w:t>
      </w:r>
      <w:r w:rsidRPr="008722DF">
        <w:t>MAIC 2 model presented in the July 2023 submission.</w:t>
      </w:r>
      <w:r>
        <w:t xml:space="preserve"> </w:t>
      </w:r>
      <w:r w:rsidRPr="00436D10">
        <w:t xml:space="preserve">The resubmission </w:t>
      </w:r>
      <w:r>
        <w:t>further argued</w:t>
      </w:r>
      <w:r w:rsidRPr="00436D10">
        <w:t xml:space="preserve"> that the comparability across results from LIBRETTO-431 and the indirect comparisons provided more certainty regarding the effectiveness of selpercatinib. </w:t>
      </w:r>
      <w:r w:rsidRPr="007A7229">
        <w:t>This is discussed further in para</w:t>
      </w:r>
      <w:r w:rsidR="00610B56" w:rsidRPr="007A7229">
        <w:t>graphs</w:t>
      </w:r>
      <w:r w:rsidR="000E6006" w:rsidRPr="007A7229">
        <w:t xml:space="preserve"> </w:t>
      </w:r>
      <w:r w:rsidR="000E6006" w:rsidRPr="007A7229">
        <w:fldChar w:fldCharType="begin" w:fldLock="1"/>
      </w:r>
      <w:r w:rsidR="000E6006" w:rsidRPr="007A7229">
        <w:instrText xml:space="preserve"> REF _Ref164687699 \r \h </w:instrText>
      </w:r>
      <w:r w:rsidR="00EB5EE2" w:rsidRPr="007A7229">
        <w:instrText xml:space="preserve"> \* MERGEFORMAT </w:instrText>
      </w:r>
      <w:r w:rsidR="000E6006" w:rsidRPr="007A7229">
        <w:fldChar w:fldCharType="separate"/>
      </w:r>
      <w:r w:rsidR="00F979CE">
        <w:t>6.65</w:t>
      </w:r>
      <w:r w:rsidR="000E6006" w:rsidRPr="007A7229">
        <w:fldChar w:fldCharType="end"/>
      </w:r>
      <w:r w:rsidR="000E6006" w:rsidRPr="007A7229">
        <w:t xml:space="preserve"> to</w:t>
      </w:r>
      <w:r w:rsidRPr="007A7229">
        <w:t xml:space="preserve"> </w:t>
      </w:r>
      <w:r w:rsidR="000E6006" w:rsidRPr="007A7229">
        <w:fldChar w:fldCharType="begin" w:fldLock="1"/>
      </w:r>
      <w:r w:rsidR="000E6006" w:rsidRPr="007A7229">
        <w:instrText xml:space="preserve"> REF _Ref164687646 \r \h </w:instrText>
      </w:r>
      <w:r w:rsidR="00EB5EE2" w:rsidRPr="007A7229">
        <w:instrText xml:space="preserve"> \* MERGEFORMAT </w:instrText>
      </w:r>
      <w:r w:rsidR="000E6006" w:rsidRPr="007A7229">
        <w:fldChar w:fldCharType="separate"/>
      </w:r>
      <w:r w:rsidR="00F979CE">
        <w:t>6.71</w:t>
      </w:r>
      <w:r w:rsidR="000E6006" w:rsidRPr="007A7229">
        <w:fldChar w:fldCharType="end"/>
      </w:r>
      <w:r w:rsidRPr="007A7229">
        <w:t>.</w:t>
      </w:r>
    </w:p>
    <w:p w14:paraId="5A9AE7B5" w14:textId="18D364DD" w:rsidR="002D7804" w:rsidRPr="00C9624D" w:rsidRDefault="002D7804" w:rsidP="002D7804">
      <w:pPr>
        <w:pStyle w:val="4-SubsectionHeading"/>
      </w:pPr>
      <w:bookmarkStart w:id="41" w:name="_Toc22897642"/>
      <w:bookmarkStart w:id="42" w:name="_Toc167269747"/>
      <w:r w:rsidRPr="00C9624D">
        <w:lastRenderedPageBreak/>
        <w:t>Comparative harms</w:t>
      </w:r>
      <w:bookmarkEnd w:id="41"/>
      <w:bookmarkEnd w:id="42"/>
    </w:p>
    <w:p w14:paraId="03B8020B" w14:textId="00BC46A8" w:rsidR="002D7804" w:rsidRDefault="002D7804" w:rsidP="002D7804">
      <w:pPr>
        <w:pStyle w:val="3-BodyText"/>
      </w:pPr>
      <w:r>
        <w:t xml:space="preserve">The Safety-Overall Population (N=256) was presented from the LIBRETTO-431 trial. The Safety-Overall Population included all randomised </w:t>
      </w:r>
      <w:r w:rsidR="00364C6C">
        <w:rPr>
          <w:snapToGrid/>
          <w:lang w:val="en-US"/>
        </w:rPr>
        <w:t>patients</w:t>
      </w:r>
      <w:r>
        <w:t xml:space="preserve"> who received at least one dose (including a partial dose) of study treatment. </w:t>
      </w:r>
    </w:p>
    <w:p w14:paraId="547BCF3F" w14:textId="1BF758B9" w:rsidR="002D7804" w:rsidRDefault="002D7804" w:rsidP="00141EDF">
      <w:pPr>
        <w:pStyle w:val="3-BodyText"/>
      </w:pPr>
      <w:r>
        <w:fldChar w:fldCharType="begin" w:fldLock="1"/>
      </w:r>
      <w:r>
        <w:instrText xml:space="preserve"> REF _Ref163892083 \h </w:instrText>
      </w:r>
      <w:r>
        <w:fldChar w:fldCharType="separate"/>
      </w:r>
      <w:r w:rsidR="00F979CE">
        <w:t xml:space="preserve">Table </w:t>
      </w:r>
      <w:r w:rsidR="00F979CE">
        <w:rPr>
          <w:noProof/>
        </w:rPr>
        <w:t>8</w:t>
      </w:r>
      <w:r>
        <w:fldChar w:fldCharType="end"/>
      </w:r>
      <w:r>
        <w:t xml:space="preserve"> summarises the key adverse events in the LIBRETTO-431 trial.</w:t>
      </w:r>
    </w:p>
    <w:p w14:paraId="2CCA9242" w14:textId="721EE809" w:rsidR="002D7804" w:rsidRDefault="002D7804" w:rsidP="002D7804">
      <w:pPr>
        <w:pStyle w:val="TableFigureHeading"/>
        <w:rPr>
          <w:rStyle w:val="CommentReference"/>
          <w:b/>
          <w:szCs w:val="24"/>
        </w:rPr>
      </w:pPr>
      <w:bookmarkStart w:id="43" w:name="_Ref163892083"/>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8</w:t>
      </w:r>
      <w:r w:rsidR="00BA56FF">
        <w:rPr>
          <w:noProof/>
        </w:rPr>
        <w:fldChar w:fldCharType="end"/>
      </w:r>
      <w:bookmarkEnd w:id="43"/>
      <w:r>
        <w:t xml:space="preserve">: </w:t>
      </w:r>
      <w:r w:rsidRPr="00D86231">
        <w:rPr>
          <w:rStyle w:val="CommentReference"/>
          <w:b/>
          <w:szCs w:val="24"/>
        </w:rPr>
        <w:t xml:space="preserve">Summary of key adverse events in </w:t>
      </w:r>
      <w:r>
        <w:rPr>
          <w:rStyle w:val="CommentReference"/>
          <w:b/>
          <w:szCs w:val="24"/>
        </w:rPr>
        <w:t>LIBRETTO-431 (Safety-Overall population)</w:t>
      </w:r>
    </w:p>
    <w:tbl>
      <w:tblPr>
        <w:tblStyle w:val="TableGrid"/>
        <w:tblW w:w="5000" w:type="pct"/>
        <w:tblLook w:val="04A0" w:firstRow="1" w:lastRow="0" w:firstColumn="1" w:lastColumn="0" w:noHBand="0" w:noVBand="1"/>
        <w:tblCaption w:val="Table 8: Summary of key adverse events in LIBRETTO-431 (Safety-Overall population)"/>
      </w:tblPr>
      <w:tblGrid>
        <w:gridCol w:w="5043"/>
        <w:gridCol w:w="1877"/>
        <w:gridCol w:w="2097"/>
      </w:tblGrid>
      <w:tr w:rsidR="002D7804" w:rsidRPr="00A53CCE" w14:paraId="1197D549" w14:textId="77777777">
        <w:trPr>
          <w:trHeight w:val="20"/>
        </w:trPr>
        <w:tc>
          <w:tcPr>
            <w:tcW w:w="2796" w:type="pct"/>
            <w:vAlign w:val="center"/>
          </w:tcPr>
          <w:p w14:paraId="7259B6CE" w14:textId="77777777" w:rsidR="002D7804" w:rsidRPr="00A53CCE" w:rsidRDefault="002D7804">
            <w:pPr>
              <w:pStyle w:val="Tabletext8pt"/>
              <w:keepNext/>
              <w:framePr w:hSpace="0" w:wrap="auto" w:vAnchor="margin" w:yAlign="inline"/>
              <w:spacing w:before="0" w:after="0"/>
              <w:rPr>
                <w:rFonts w:ascii="Arial Narrow" w:hAnsi="Arial Narrow"/>
                <w:sz w:val="20"/>
              </w:rPr>
            </w:pPr>
          </w:p>
        </w:tc>
        <w:tc>
          <w:tcPr>
            <w:tcW w:w="1041" w:type="pct"/>
            <w:vAlign w:val="center"/>
          </w:tcPr>
          <w:p w14:paraId="76C6EBF4" w14:textId="77777777" w:rsidR="002D7804" w:rsidRPr="00A53CCE" w:rsidRDefault="002D7804">
            <w:pPr>
              <w:pStyle w:val="In-tableHeading"/>
              <w:jc w:val="center"/>
              <w:rPr>
                <w:szCs w:val="20"/>
              </w:rPr>
            </w:pPr>
            <w:r w:rsidRPr="00A53CCE">
              <w:rPr>
                <w:szCs w:val="20"/>
              </w:rPr>
              <w:t>Selpercatinib</w:t>
            </w:r>
          </w:p>
          <w:p w14:paraId="4856D7DE" w14:textId="77777777" w:rsidR="002D7804" w:rsidRPr="00A53CCE" w:rsidRDefault="002D7804">
            <w:pPr>
              <w:pStyle w:val="Tabletext8ptCentered"/>
              <w:keepNext/>
              <w:framePr w:hSpace="0" w:wrap="auto" w:vAnchor="margin" w:yAlign="inline"/>
              <w:spacing w:before="0" w:after="0"/>
              <w:jc w:val="center"/>
              <w:rPr>
                <w:rFonts w:ascii="Arial Narrow" w:hAnsi="Arial Narrow"/>
                <w:b/>
                <w:sz w:val="20"/>
              </w:rPr>
            </w:pPr>
            <w:r w:rsidRPr="00A53CCE">
              <w:rPr>
                <w:rFonts w:ascii="Arial Narrow" w:hAnsi="Arial Narrow"/>
                <w:b/>
                <w:sz w:val="20"/>
              </w:rPr>
              <w:t xml:space="preserve">(N=158) </w:t>
            </w:r>
          </w:p>
          <w:p w14:paraId="46A42C9A" w14:textId="77777777" w:rsidR="002D7804" w:rsidRPr="00A53CCE" w:rsidRDefault="002D7804">
            <w:pPr>
              <w:pStyle w:val="Tabletext8ptCentered"/>
              <w:keepNext/>
              <w:framePr w:hSpace="0" w:wrap="auto" w:vAnchor="margin" w:yAlign="inline"/>
              <w:spacing w:before="0" w:after="0"/>
              <w:jc w:val="center"/>
              <w:rPr>
                <w:rFonts w:ascii="Arial Narrow" w:hAnsi="Arial Narrow"/>
                <w:b/>
                <w:sz w:val="20"/>
              </w:rPr>
            </w:pPr>
            <w:r w:rsidRPr="00A53CCE">
              <w:rPr>
                <w:rFonts w:ascii="Arial Narrow" w:hAnsi="Arial Narrow"/>
                <w:b/>
                <w:sz w:val="20"/>
              </w:rPr>
              <w:t>n with event/N (%)</w:t>
            </w:r>
          </w:p>
        </w:tc>
        <w:tc>
          <w:tcPr>
            <w:tcW w:w="1163" w:type="pct"/>
            <w:vAlign w:val="center"/>
          </w:tcPr>
          <w:p w14:paraId="234FD854" w14:textId="1B1694C9" w:rsidR="002D7804" w:rsidRPr="00A53CCE" w:rsidRDefault="002D7804">
            <w:pPr>
              <w:pStyle w:val="Tabletext8ptCentered"/>
              <w:keepNext/>
              <w:framePr w:hSpace="0" w:wrap="auto" w:vAnchor="margin" w:yAlign="inline"/>
              <w:spacing w:before="0" w:after="0"/>
              <w:jc w:val="center"/>
              <w:rPr>
                <w:rFonts w:ascii="Arial Narrow" w:eastAsiaTheme="majorEastAsia" w:hAnsi="Arial Narrow" w:cs="Times New Roman"/>
                <w:b/>
                <w:sz w:val="20"/>
                <w:lang w:val="en-US"/>
              </w:rPr>
            </w:pPr>
            <w:r w:rsidRPr="00A53CCE">
              <w:rPr>
                <w:rFonts w:ascii="Arial Narrow" w:eastAsiaTheme="majorEastAsia" w:hAnsi="Arial Narrow" w:cs="Times New Roman"/>
                <w:b/>
                <w:sz w:val="20"/>
                <w:lang w:val="en-US"/>
              </w:rPr>
              <w:t>Pembrolizumab ±</w:t>
            </w:r>
            <w:r w:rsidR="00F411E9">
              <w:rPr>
                <w:rFonts w:ascii="Arial Narrow" w:eastAsiaTheme="majorEastAsia" w:hAnsi="Arial Narrow" w:cs="Times New Roman"/>
                <w:b/>
                <w:sz w:val="20"/>
                <w:lang w:val="en-US"/>
              </w:rPr>
              <w:t xml:space="preserve"> </w:t>
            </w:r>
            <w:r w:rsidRPr="00A53CCE">
              <w:rPr>
                <w:rFonts w:ascii="Arial Narrow" w:eastAsiaTheme="majorEastAsia" w:hAnsi="Arial Narrow" w:cs="Times New Roman"/>
                <w:b/>
                <w:sz w:val="20"/>
                <w:lang w:val="en-US"/>
              </w:rPr>
              <w:t xml:space="preserve">PC </w:t>
            </w:r>
          </w:p>
          <w:p w14:paraId="492AD3D3" w14:textId="77777777" w:rsidR="002D7804" w:rsidRPr="00A53CCE" w:rsidRDefault="002D7804">
            <w:pPr>
              <w:pStyle w:val="Tabletext8ptCentered"/>
              <w:keepNext/>
              <w:framePr w:hSpace="0" w:wrap="auto" w:vAnchor="margin" w:yAlign="inline"/>
              <w:spacing w:before="0" w:after="0"/>
              <w:jc w:val="center"/>
              <w:rPr>
                <w:rFonts w:ascii="Arial Narrow" w:eastAsiaTheme="majorEastAsia" w:hAnsi="Arial Narrow"/>
                <w:b/>
                <w:sz w:val="20"/>
                <w:lang w:val="en-US"/>
              </w:rPr>
            </w:pPr>
            <w:r w:rsidRPr="00A53CCE">
              <w:rPr>
                <w:rFonts w:ascii="Arial Narrow" w:eastAsiaTheme="majorEastAsia" w:hAnsi="Arial Narrow"/>
                <w:b/>
                <w:sz w:val="20"/>
                <w:lang w:val="en-US"/>
              </w:rPr>
              <w:t>(N=98)</w:t>
            </w:r>
          </w:p>
          <w:p w14:paraId="0B0D202B" w14:textId="0CDC8E09" w:rsidR="002D7804" w:rsidRPr="00A53CCE" w:rsidRDefault="00F35A4D">
            <w:pPr>
              <w:pStyle w:val="Tabletext8ptCentered"/>
              <w:keepNext/>
              <w:framePr w:hSpace="0" w:wrap="auto" w:vAnchor="margin" w:yAlign="inline"/>
              <w:spacing w:before="0" w:after="0"/>
              <w:jc w:val="center"/>
              <w:rPr>
                <w:rFonts w:ascii="Arial Narrow" w:hAnsi="Arial Narrow"/>
                <w:b/>
                <w:sz w:val="20"/>
              </w:rPr>
            </w:pPr>
            <w:r>
              <w:rPr>
                <w:rFonts w:ascii="Arial Narrow" w:hAnsi="Arial Narrow"/>
                <w:b/>
                <w:sz w:val="20"/>
              </w:rPr>
              <w:t>n</w:t>
            </w:r>
            <w:r w:rsidR="002D7804" w:rsidRPr="00A53CCE">
              <w:rPr>
                <w:rFonts w:ascii="Arial Narrow" w:hAnsi="Arial Narrow"/>
                <w:b/>
                <w:sz w:val="20"/>
              </w:rPr>
              <w:t xml:space="preserve"> with event/N (%)</w:t>
            </w:r>
          </w:p>
        </w:tc>
      </w:tr>
      <w:tr w:rsidR="002D7804" w:rsidRPr="00A53CCE" w14:paraId="2CDEFED0" w14:textId="77777777">
        <w:trPr>
          <w:trHeight w:val="20"/>
        </w:trPr>
        <w:tc>
          <w:tcPr>
            <w:tcW w:w="2796" w:type="pct"/>
            <w:vAlign w:val="center"/>
          </w:tcPr>
          <w:p w14:paraId="08DE05D3"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sz w:val="20"/>
              </w:rPr>
              <w:t>Median time on treatment, months</w:t>
            </w:r>
          </w:p>
        </w:tc>
        <w:tc>
          <w:tcPr>
            <w:tcW w:w="1041" w:type="pct"/>
            <w:vAlign w:val="center"/>
          </w:tcPr>
          <w:p w14:paraId="48921AE3"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16.7</w:t>
            </w:r>
          </w:p>
        </w:tc>
        <w:tc>
          <w:tcPr>
            <w:tcW w:w="1163" w:type="pct"/>
            <w:vAlign w:val="center"/>
          </w:tcPr>
          <w:p w14:paraId="281E48E3"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9.8</w:t>
            </w:r>
          </w:p>
        </w:tc>
      </w:tr>
      <w:tr w:rsidR="002D7804" w:rsidRPr="00A53CCE" w14:paraId="27DDCC7C" w14:textId="77777777">
        <w:trPr>
          <w:trHeight w:val="20"/>
        </w:trPr>
        <w:tc>
          <w:tcPr>
            <w:tcW w:w="2796" w:type="pct"/>
            <w:vAlign w:val="center"/>
          </w:tcPr>
          <w:p w14:paraId="01E23CF2"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Any TEAE, n (%)</w:t>
            </w:r>
          </w:p>
        </w:tc>
        <w:tc>
          <w:tcPr>
            <w:tcW w:w="1041" w:type="pct"/>
            <w:vAlign w:val="center"/>
          </w:tcPr>
          <w:p w14:paraId="5F48B90C"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158 (100)</w:t>
            </w:r>
          </w:p>
        </w:tc>
        <w:tc>
          <w:tcPr>
            <w:tcW w:w="1163" w:type="pct"/>
            <w:vAlign w:val="center"/>
          </w:tcPr>
          <w:p w14:paraId="03EFF6D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97 (99.0)</w:t>
            </w:r>
          </w:p>
        </w:tc>
      </w:tr>
      <w:tr w:rsidR="002D7804" w:rsidRPr="00A53CCE" w14:paraId="655624FB" w14:textId="77777777">
        <w:trPr>
          <w:trHeight w:val="20"/>
        </w:trPr>
        <w:tc>
          <w:tcPr>
            <w:tcW w:w="2796" w:type="pct"/>
            <w:vAlign w:val="center"/>
          </w:tcPr>
          <w:p w14:paraId="02FA68DF"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sz w:val="20"/>
              </w:rPr>
              <w:t>Related to study treatment</w:t>
            </w:r>
            <w:r>
              <w:rPr>
                <w:rFonts w:ascii="Arial Narrow" w:hAnsi="Arial Narrow"/>
                <w:sz w:val="20"/>
              </w:rPr>
              <w:t xml:space="preserve"> </w:t>
            </w:r>
            <w:r w:rsidRPr="00A53CCE">
              <w:rPr>
                <w:rFonts w:ascii="Arial Narrow" w:hAnsi="Arial Narrow"/>
                <w:sz w:val="20"/>
                <w:vertAlign w:val="superscript"/>
              </w:rPr>
              <w:t>b</w:t>
            </w:r>
          </w:p>
        </w:tc>
        <w:tc>
          <w:tcPr>
            <w:tcW w:w="1041" w:type="pct"/>
            <w:vAlign w:val="center"/>
          </w:tcPr>
          <w:p w14:paraId="5B95F2D9"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149 (94.3)</w:t>
            </w:r>
          </w:p>
        </w:tc>
        <w:tc>
          <w:tcPr>
            <w:tcW w:w="1163" w:type="pct"/>
            <w:vAlign w:val="center"/>
          </w:tcPr>
          <w:p w14:paraId="229265BF"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92 (93.9)</w:t>
            </w:r>
          </w:p>
        </w:tc>
      </w:tr>
      <w:tr w:rsidR="002D7804" w:rsidRPr="00A53CCE" w14:paraId="0AEF3A60" w14:textId="77777777">
        <w:trPr>
          <w:trHeight w:val="20"/>
        </w:trPr>
        <w:tc>
          <w:tcPr>
            <w:tcW w:w="2796" w:type="pct"/>
            <w:vAlign w:val="center"/>
          </w:tcPr>
          <w:p w14:paraId="34D58DCC"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Grade ≥3 TEAE, n (%)</w:t>
            </w:r>
          </w:p>
        </w:tc>
        <w:tc>
          <w:tcPr>
            <w:tcW w:w="1041" w:type="pct"/>
            <w:vAlign w:val="center"/>
          </w:tcPr>
          <w:p w14:paraId="7FAD9210"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111 (70.3)</w:t>
            </w:r>
          </w:p>
        </w:tc>
        <w:tc>
          <w:tcPr>
            <w:tcW w:w="1163" w:type="pct"/>
            <w:vAlign w:val="center"/>
          </w:tcPr>
          <w:p w14:paraId="40C9708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56 (57.1)</w:t>
            </w:r>
          </w:p>
        </w:tc>
      </w:tr>
      <w:tr w:rsidR="002D7804" w:rsidRPr="00A53CCE" w14:paraId="74E11BCA" w14:textId="77777777">
        <w:trPr>
          <w:trHeight w:val="20"/>
        </w:trPr>
        <w:tc>
          <w:tcPr>
            <w:tcW w:w="2796" w:type="pct"/>
            <w:vAlign w:val="center"/>
          </w:tcPr>
          <w:p w14:paraId="169F18FE"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vertAlign w:val="superscript"/>
              </w:rPr>
            </w:pPr>
            <w:r w:rsidRPr="00A53CCE">
              <w:rPr>
                <w:rFonts w:ascii="Arial Narrow" w:hAnsi="Arial Narrow"/>
                <w:sz w:val="20"/>
              </w:rPr>
              <w:t>Related to study treatment</w:t>
            </w:r>
            <w:r>
              <w:rPr>
                <w:rFonts w:ascii="Arial Narrow" w:hAnsi="Arial Narrow"/>
                <w:sz w:val="20"/>
              </w:rPr>
              <w:t xml:space="preserve"> </w:t>
            </w:r>
            <w:r w:rsidRPr="00A53CCE">
              <w:rPr>
                <w:rFonts w:ascii="Arial Narrow" w:hAnsi="Arial Narrow"/>
                <w:sz w:val="20"/>
                <w:vertAlign w:val="superscript"/>
              </w:rPr>
              <w:t>a</w:t>
            </w:r>
          </w:p>
        </w:tc>
        <w:tc>
          <w:tcPr>
            <w:tcW w:w="1041" w:type="pct"/>
            <w:vAlign w:val="center"/>
          </w:tcPr>
          <w:p w14:paraId="708E90E0"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89 (56.3)</w:t>
            </w:r>
          </w:p>
        </w:tc>
        <w:tc>
          <w:tcPr>
            <w:tcW w:w="1163" w:type="pct"/>
            <w:vAlign w:val="center"/>
          </w:tcPr>
          <w:p w14:paraId="2858E1F4"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41 (41.8)</w:t>
            </w:r>
          </w:p>
        </w:tc>
      </w:tr>
      <w:tr w:rsidR="002D7804" w:rsidRPr="00A53CCE" w14:paraId="7D9ED4A7" w14:textId="77777777">
        <w:trPr>
          <w:trHeight w:val="20"/>
        </w:trPr>
        <w:tc>
          <w:tcPr>
            <w:tcW w:w="5000" w:type="pct"/>
            <w:gridSpan w:val="3"/>
            <w:vAlign w:val="center"/>
          </w:tcPr>
          <w:p w14:paraId="7AF3FF87" w14:textId="7931933A" w:rsidR="002D7804" w:rsidRPr="00A53CCE" w:rsidRDefault="002D7804">
            <w:pPr>
              <w:pStyle w:val="Tabletext8ptCentered"/>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 xml:space="preserve">Frequently occurring (≥5%) Grade ≥3 </w:t>
            </w:r>
            <w:r>
              <w:rPr>
                <w:rFonts w:ascii="Arial Narrow" w:hAnsi="Arial Narrow"/>
                <w:b/>
                <w:bCs/>
                <w:sz w:val="20"/>
              </w:rPr>
              <w:t>T</w:t>
            </w:r>
            <w:r w:rsidR="00BC5A69">
              <w:rPr>
                <w:rFonts w:ascii="Arial Narrow" w:hAnsi="Arial Narrow"/>
                <w:b/>
                <w:bCs/>
                <w:sz w:val="20"/>
              </w:rPr>
              <w:t>E</w:t>
            </w:r>
            <w:r>
              <w:rPr>
                <w:rFonts w:ascii="Arial Narrow" w:hAnsi="Arial Narrow"/>
                <w:b/>
                <w:bCs/>
                <w:sz w:val="20"/>
              </w:rPr>
              <w:t>AEs</w:t>
            </w:r>
          </w:p>
        </w:tc>
      </w:tr>
      <w:tr w:rsidR="002D7804" w:rsidRPr="00A53CCE" w14:paraId="0AFA23FF" w14:textId="77777777">
        <w:trPr>
          <w:trHeight w:val="20"/>
        </w:trPr>
        <w:tc>
          <w:tcPr>
            <w:tcW w:w="2796" w:type="pct"/>
            <w:vAlign w:val="center"/>
          </w:tcPr>
          <w:p w14:paraId="5150F930"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ALT increased</w:t>
            </w:r>
          </w:p>
        </w:tc>
        <w:tc>
          <w:tcPr>
            <w:tcW w:w="1041" w:type="pct"/>
            <w:vAlign w:val="center"/>
          </w:tcPr>
          <w:p w14:paraId="2A747D48"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35 (22.2)</w:t>
            </w:r>
          </w:p>
        </w:tc>
        <w:tc>
          <w:tcPr>
            <w:tcW w:w="1163" w:type="pct"/>
            <w:vAlign w:val="center"/>
          </w:tcPr>
          <w:p w14:paraId="51F6FAA3"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3 (3.1)</w:t>
            </w:r>
          </w:p>
        </w:tc>
      </w:tr>
      <w:tr w:rsidR="002D7804" w:rsidRPr="00A53CCE" w14:paraId="77123926" w14:textId="77777777">
        <w:trPr>
          <w:trHeight w:val="20"/>
        </w:trPr>
        <w:tc>
          <w:tcPr>
            <w:tcW w:w="2796" w:type="pct"/>
            <w:vAlign w:val="center"/>
          </w:tcPr>
          <w:p w14:paraId="3943ACE0"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Anaemia</w:t>
            </w:r>
          </w:p>
        </w:tc>
        <w:tc>
          <w:tcPr>
            <w:tcW w:w="1041" w:type="pct"/>
            <w:vAlign w:val="center"/>
          </w:tcPr>
          <w:p w14:paraId="744BF2E6"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 (1.3)</w:t>
            </w:r>
          </w:p>
        </w:tc>
        <w:tc>
          <w:tcPr>
            <w:tcW w:w="1163" w:type="pct"/>
            <w:vAlign w:val="center"/>
          </w:tcPr>
          <w:p w14:paraId="20B2667B"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10 (10.2)</w:t>
            </w:r>
          </w:p>
        </w:tc>
      </w:tr>
      <w:tr w:rsidR="002D7804" w:rsidRPr="00A53CCE" w14:paraId="111FE73C" w14:textId="77777777">
        <w:trPr>
          <w:trHeight w:val="20"/>
        </w:trPr>
        <w:tc>
          <w:tcPr>
            <w:tcW w:w="2796" w:type="pct"/>
            <w:vAlign w:val="center"/>
          </w:tcPr>
          <w:p w14:paraId="1127570D"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AST increased</w:t>
            </w:r>
          </w:p>
        </w:tc>
        <w:tc>
          <w:tcPr>
            <w:tcW w:w="1041" w:type="pct"/>
            <w:vAlign w:val="center"/>
          </w:tcPr>
          <w:p w14:paraId="2D434519"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20 (12.7)</w:t>
            </w:r>
          </w:p>
        </w:tc>
        <w:tc>
          <w:tcPr>
            <w:tcW w:w="1163" w:type="pct"/>
            <w:vAlign w:val="center"/>
          </w:tcPr>
          <w:p w14:paraId="08BE8C7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 (1.0)</w:t>
            </w:r>
          </w:p>
        </w:tc>
      </w:tr>
      <w:tr w:rsidR="002D7804" w:rsidRPr="00A53CCE" w14:paraId="4013DE42" w14:textId="77777777">
        <w:trPr>
          <w:trHeight w:val="20"/>
        </w:trPr>
        <w:tc>
          <w:tcPr>
            <w:tcW w:w="2796" w:type="pct"/>
            <w:vAlign w:val="center"/>
          </w:tcPr>
          <w:p w14:paraId="0FF6A425"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ECG QT prolonged</w:t>
            </w:r>
          </w:p>
        </w:tc>
        <w:tc>
          <w:tcPr>
            <w:tcW w:w="1041" w:type="pct"/>
            <w:vAlign w:val="center"/>
          </w:tcPr>
          <w:p w14:paraId="0403CD87"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14 (8.9)</w:t>
            </w:r>
          </w:p>
        </w:tc>
        <w:tc>
          <w:tcPr>
            <w:tcW w:w="1163" w:type="pct"/>
            <w:vAlign w:val="center"/>
          </w:tcPr>
          <w:p w14:paraId="20F05C5B"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w:t>
            </w:r>
          </w:p>
        </w:tc>
      </w:tr>
      <w:tr w:rsidR="002D7804" w:rsidRPr="00A53CCE" w14:paraId="65D28639" w14:textId="77777777">
        <w:trPr>
          <w:trHeight w:val="20"/>
        </w:trPr>
        <w:tc>
          <w:tcPr>
            <w:tcW w:w="2796" w:type="pct"/>
            <w:vAlign w:val="center"/>
          </w:tcPr>
          <w:p w14:paraId="55426397"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Fatigue</w:t>
            </w:r>
          </w:p>
        </w:tc>
        <w:tc>
          <w:tcPr>
            <w:tcW w:w="1041" w:type="pct"/>
            <w:vAlign w:val="center"/>
          </w:tcPr>
          <w:p w14:paraId="6EF37AFC"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5 (3.2)</w:t>
            </w:r>
          </w:p>
        </w:tc>
        <w:tc>
          <w:tcPr>
            <w:tcW w:w="1163" w:type="pct"/>
            <w:vAlign w:val="center"/>
          </w:tcPr>
          <w:p w14:paraId="0DC1FB4E"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5 (5.1)</w:t>
            </w:r>
          </w:p>
        </w:tc>
      </w:tr>
      <w:tr w:rsidR="002D7804" w:rsidRPr="00A53CCE" w14:paraId="62C28484" w14:textId="77777777">
        <w:trPr>
          <w:trHeight w:val="20"/>
        </w:trPr>
        <w:tc>
          <w:tcPr>
            <w:tcW w:w="2796" w:type="pct"/>
            <w:vAlign w:val="center"/>
          </w:tcPr>
          <w:p w14:paraId="58741CF6"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Hypertension</w:t>
            </w:r>
          </w:p>
        </w:tc>
        <w:tc>
          <w:tcPr>
            <w:tcW w:w="1041" w:type="pct"/>
            <w:vAlign w:val="center"/>
          </w:tcPr>
          <w:p w14:paraId="7987E48D"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32 (20.3)</w:t>
            </w:r>
          </w:p>
        </w:tc>
        <w:tc>
          <w:tcPr>
            <w:tcW w:w="1163" w:type="pct"/>
            <w:vAlign w:val="center"/>
          </w:tcPr>
          <w:p w14:paraId="6D57F798"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3 (3.1)</w:t>
            </w:r>
          </w:p>
        </w:tc>
      </w:tr>
      <w:tr w:rsidR="002D7804" w:rsidRPr="00A53CCE" w14:paraId="63FE1B7A" w14:textId="77777777">
        <w:trPr>
          <w:trHeight w:val="20"/>
        </w:trPr>
        <w:tc>
          <w:tcPr>
            <w:tcW w:w="2796" w:type="pct"/>
            <w:vAlign w:val="center"/>
          </w:tcPr>
          <w:p w14:paraId="5B62B75C"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Leukopenia</w:t>
            </w:r>
          </w:p>
        </w:tc>
        <w:tc>
          <w:tcPr>
            <w:tcW w:w="1041" w:type="pct"/>
            <w:vAlign w:val="center"/>
          </w:tcPr>
          <w:p w14:paraId="7521247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 (1.3)</w:t>
            </w:r>
          </w:p>
        </w:tc>
        <w:tc>
          <w:tcPr>
            <w:tcW w:w="1163" w:type="pct"/>
            <w:vAlign w:val="center"/>
          </w:tcPr>
          <w:p w14:paraId="13815748"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7 (7.1)</w:t>
            </w:r>
          </w:p>
        </w:tc>
      </w:tr>
      <w:tr w:rsidR="002D7804" w:rsidRPr="00A53CCE" w14:paraId="0FCF90FB" w14:textId="77777777">
        <w:trPr>
          <w:trHeight w:val="20"/>
        </w:trPr>
        <w:tc>
          <w:tcPr>
            <w:tcW w:w="2796" w:type="pct"/>
            <w:vAlign w:val="center"/>
          </w:tcPr>
          <w:p w14:paraId="26710B9C"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Neutropenia</w:t>
            </w:r>
          </w:p>
        </w:tc>
        <w:tc>
          <w:tcPr>
            <w:tcW w:w="1041" w:type="pct"/>
            <w:vAlign w:val="center"/>
          </w:tcPr>
          <w:p w14:paraId="59D735E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3 (1.9)</w:t>
            </w:r>
          </w:p>
        </w:tc>
        <w:tc>
          <w:tcPr>
            <w:tcW w:w="1163" w:type="pct"/>
            <w:vAlign w:val="center"/>
          </w:tcPr>
          <w:p w14:paraId="303C2E78"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27 (27.6)</w:t>
            </w:r>
          </w:p>
        </w:tc>
      </w:tr>
      <w:tr w:rsidR="002D7804" w:rsidRPr="00A53CCE" w14:paraId="01BD0EA1" w14:textId="77777777">
        <w:trPr>
          <w:trHeight w:val="20"/>
        </w:trPr>
        <w:tc>
          <w:tcPr>
            <w:tcW w:w="2796" w:type="pct"/>
            <w:vAlign w:val="center"/>
          </w:tcPr>
          <w:p w14:paraId="28F9A96D"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Thrombocytopenia</w:t>
            </w:r>
          </w:p>
        </w:tc>
        <w:tc>
          <w:tcPr>
            <w:tcW w:w="1041" w:type="pct"/>
            <w:vAlign w:val="center"/>
          </w:tcPr>
          <w:p w14:paraId="0CE595F0"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5 (3.2)</w:t>
            </w:r>
          </w:p>
        </w:tc>
        <w:tc>
          <w:tcPr>
            <w:tcW w:w="1163" w:type="pct"/>
            <w:vAlign w:val="center"/>
          </w:tcPr>
          <w:p w14:paraId="5EB5DBC5"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7 (7.1)</w:t>
            </w:r>
          </w:p>
        </w:tc>
      </w:tr>
      <w:tr w:rsidR="002D7804" w:rsidRPr="00A53CCE" w14:paraId="761B0291" w14:textId="77777777">
        <w:trPr>
          <w:trHeight w:val="20"/>
        </w:trPr>
        <w:tc>
          <w:tcPr>
            <w:tcW w:w="2796" w:type="pct"/>
            <w:vAlign w:val="center"/>
          </w:tcPr>
          <w:p w14:paraId="4CE6E5D8"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Any SAE, n (%)</w:t>
            </w:r>
          </w:p>
        </w:tc>
        <w:tc>
          <w:tcPr>
            <w:tcW w:w="1041" w:type="pct"/>
            <w:vAlign w:val="center"/>
          </w:tcPr>
          <w:p w14:paraId="510C6184"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55 (34.8)</w:t>
            </w:r>
          </w:p>
        </w:tc>
        <w:tc>
          <w:tcPr>
            <w:tcW w:w="1163" w:type="pct"/>
            <w:vAlign w:val="center"/>
          </w:tcPr>
          <w:p w14:paraId="6305F1D2"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23 (23.5)</w:t>
            </w:r>
          </w:p>
        </w:tc>
      </w:tr>
      <w:tr w:rsidR="002D7804" w:rsidRPr="00A53CCE" w14:paraId="161F1711" w14:textId="77777777">
        <w:trPr>
          <w:trHeight w:val="20"/>
        </w:trPr>
        <w:tc>
          <w:tcPr>
            <w:tcW w:w="2796" w:type="pct"/>
            <w:vAlign w:val="center"/>
          </w:tcPr>
          <w:p w14:paraId="053E697E"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Related to study treatment</w:t>
            </w:r>
            <w:r>
              <w:rPr>
                <w:rFonts w:ascii="Arial Narrow" w:hAnsi="Arial Narrow"/>
                <w:sz w:val="20"/>
              </w:rPr>
              <w:t xml:space="preserve"> </w:t>
            </w:r>
            <w:r w:rsidRPr="00A53CCE">
              <w:rPr>
                <w:rFonts w:ascii="Arial Narrow" w:hAnsi="Arial Narrow"/>
                <w:sz w:val="20"/>
                <w:vertAlign w:val="superscript"/>
              </w:rPr>
              <w:t>a</w:t>
            </w:r>
          </w:p>
        </w:tc>
        <w:tc>
          <w:tcPr>
            <w:tcW w:w="1041" w:type="pct"/>
            <w:vAlign w:val="center"/>
          </w:tcPr>
          <w:p w14:paraId="4661C124"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30 (19.0)</w:t>
            </w:r>
          </w:p>
        </w:tc>
        <w:tc>
          <w:tcPr>
            <w:tcW w:w="1163" w:type="pct"/>
            <w:vAlign w:val="center"/>
          </w:tcPr>
          <w:p w14:paraId="2F3B6F06"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14 (14.3)</w:t>
            </w:r>
          </w:p>
        </w:tc>
      </w:tr>
      <w:tr w:rsidR="002D7804" w:rsidRPr="00A53CCE" w14:paraId="31DA82E6" w14:textId="77777777">
        <w:trPr>
          <w:trHeight w:val="20"/>
        </w:trPr>
        <w:tc>
          <w:tcPr>
            <w:tcW w:w="5000" w:type="pct"/>
            <w:gridSpan w:val="3"/>
            <w:vAlign w:val="center"/>
          </w:tcPr>
          <w:p w14:paraId="41C4B181" w14:textId="77777777" w:rsidR="002D7804" w:rsidRPr="00A53CCE" w:rsidRDefault="002D7804">
            <w:pPr>
              <w:pStyle w:val="Tabletext8ptCentered"/>
              <w:keepNext/>
              <w:framePr w:hSpace="0" w:wrap="auto" w:vAnchor="margin" w:yAlign="inline"/>
              <w:spacing w:before="0" w:after="100" w:afterAutospacing="1"/>
              <w:rPr>
                <w:rFonts w:ascii="Arial Narrow" w:hAnsi="Arial Narrow"/>
                <w:sz w:val="20"/>
              </w:rPr>
            </w:pPr>
            <w:r w:rsidRPr="00A53CCE">
              <w:rPr>
                <w:rFonts w:ascii="Arial Narrow" w:hAnsi="Arial Narrow"/>
                <w:b/>
                <w:bCs/>
                <w:sz w:val="20"/>
              </w:rPr>
              <w:t>Frequently occurring SAEs, n (%)</w:t>
            </w:r>
          </w:p>
        </w:tc>
      </w:tr>
      <w:tr w:rsidR="002D7804" w:rsidRPr="00A53CCE" w14:paraId="68497C13" w14:textId="77777777">
        <w:trPr>
          <w:trHeight w:val="20"/>
        </w:trPr>
        <w:tc>
          <w:tcPr>
            <w:tcW w:w="2796" w:type="pct"/>
            <w:vAlign w:val="center"/>
          </w:tcPr>
          <w:p w14:paraId="26DC6DA6"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 xml:space="preserve">Pleural effusion </w:t>
            </w:r>
          </w:p>
        </w:tc>
        <w:tc>
          <w:tcPr>
            <w:tcW w:w="1041" w:type="pct"/>
            <w:vAlign w:val="center"/>
          </w:tcPr>
          <w:p w14:paraId="716746B4"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7 (4.4)</w:t>
            </w:r>
          </w:p>
        </w:tc>
        <w:tc>
          <w:tcPr>
            <w:tcW w:w="1163" w:type="pct"/>
            <w:vAlign w:val="center"/>
          </w:tcPr>
          <w:p w14:paraId="22105995"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 (0)</w:t>
            </w:r>
          </w:p>
        </w:tc>
      </w:tr>
      <w:tr w:rsidR="002D7804" w:rsidRPr="00A53CCE" w14:paraId="113C9D39" w14:textId="77777777">
        <w:trPr>
          <w:trHeight w:val="20"/>
        </w:trPr>
        <w:tc>
          <w:tcPr>
            <w:tcW w:w="2796" w:type="pct"/>
            <w:vAlign w:val="center"/>
          </w:tcPr>
          <w:p w14:paraId="6629C1A9"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Abnormal hepatic function</w:t>
            </w:r>
          </w:p>
        </w:tc>
        <w:tc>
          <w:tcPr>
            <w:tcW w:w="1041" w:type="pct"/>
            <w:vAlign w:val="center"/>
          </w:tcPr>
          <w:p w14:paraId="6AF76BA6"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4 (2.5)</w:t>
            </w:r>
          </w:p>
        </w:tc>
        <w:tc>
          <w:tcPr>
            <w:tcW w:w="1163" w:type="pct"/>
            <w:vAlign w:val="center"/>
          </w:tcPr>
          <w:p w14:paraId="30E9B7C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 (0)</w:t>
            </w:r>
          </w:p>
        </w:tc>
      </w:tr>
      <w:tr w:rsidR="002D7804" w:rsidRPr="00A53CCE" w14:paraId="599CCCFE" w14:textId="77777777">
        <w:trPr>
          <w:trHeight w:val="20"/>
        </w:trPr>
        <w:tc>
          <w:tcPr>
            <w:tcW w:w="2796" w:type="pct"/>
            <w:vAlign w:val="center"/>
          </w:tcPr>
          <w:p w14:paraId="5D684934" w14:textId="77777777" w:rsidR="002D7804" w:rsidRDefault="002D7804">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Pneumonia</w:t>
            </w:r>
          </w:p>
        </w:tc>
        <w:tc>
          <w:tcPr>
            <w:tcW w:w="1041" w:type="pct"/>
            <w:vAlign w:val="center"/>
          </w:tcPr>
          <w:p w14:paraId="04CD4442" w14:textId="77777777" w:rsidR="002D7804"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3 (1.9)</w:t>
            </w:r>
          </w:p>
        </w:tc>
        <w:tc>
          <w:tcPr>
            <w:tcW w:w="1163" w:type="pct"/>
            <w:vAlign w:val="center"/>
          </w:tcPr>
          <w:p w14:paraId="51C04ED3" w14:textId="77777777" w:rsidR="002D7804"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2D7804" w:rsidRPr="00A53CCE" w14:paraId="3A9FA20E" w14:textId="77777777">
        <w:trPr>
          <w:trHeight w:val="20"/>
        </w:trPr>
        <w:tc>
          <w:tcPr>
            <w:tcW w:w="2796" w:type="pct"/>
            <w:vAlign w:val="center"/>
          </w:tcPr>
          <w:p w14:paraId="6F710C07"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Anaemia</w:t>
            </w:r>
          </w:p>
        </w:tc>
        <w:tc>
          <w:tcPr>
            <w:tcW w:w="1041" w:type="pct"/>
            <w:vAlign w:val="center"/>
          </w:tcPr>
          <w:p w14:paraId="5EE76DFD"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0</w:t>
            </w:r>
          </w:p>
        </w:tc>
        <w:tc>
          <w:tcPr>
            <w:tcW w:w="1163" w:type="pct"/>
            <w:vAlign w:val="center"/>
          </w:tcPr>
          <w:p w14:paraId="6F737014"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2D7804" w:rsidRPr="00A53CCE" w14:paraId="04D5409F" w14:textId="77777777">
        <w:trPr>
          <w:trHeight w:val="20"/>
        </w:trPr>
        <w:tc>
          <w:tcPr>
            <w:tcW w:w="2796" w:type="pct"/>
            <w:vAlign w:val="center"/>
          </w:tcPr>
          <w:p w14:paraId="1918D76B"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Intestinal obstruction</w:t>
            </w:r>
          </w:p>
        </w:tc>
        <w:tc>
          <w:tcPr>
            <w:tcW w:w="1041" w:type="pct"/>
            <w:vAlign w:val="center"/>
          </w:tcPr>
          <w:p w14:paraId="690CDFA9"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1 (0.6)</w:t>
            </w:r>
          </w:p>
        </w:tc>
        <w:tc>
          <w:tcPr>
            <w:tcW w:w="1163" w:type="pct"/>
            <w:vAlign w:val="center"/>
          </w:tcPr>
          <w:p w14:paraId="2DED54A6"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2D7804" w:rsidRPr="00A53CCE" w14:paraId="0848B116" w14:textId="77777777">
        <w:trPr>
          <w:trHeight w:val="20"/>
        </w:trPr>
        <w:tc>
          <w:tcPr>
            <w:tcW w:w="2796" w:type="pct"/>
            <w:vAlign w:val="center"/>
          </w:tcPr>
          <w:p w14:paraId="041CBED9" w14:textId="77777777" w:rsidR="002D7804" w:rsidRDefault="002D7804">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Neutropenia</w:t>
            </w:r>
          </w:p>
        </w:tc>
        <w:tc>
          <w:tcPr>
            <w:tcW w:w="1041" w:type="pct"/>
            <w:vAlign w:val="center"/>
          </w:tcPr>
          <w:p w14:paraId="5DD24F51"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0</w:t>
            </w:r>
          </w:p>
        </w:tc>
        <w:tc>
          <w:tcPr>
            <w:tcW w:w="1163" w:type="pct"/>
            <w:vAlign w:val="center"/>
          </w:tcPr>
          <w:p w14:paraId="6839B103"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E33700" w:rsidRPr="00A53CCE" w14:paraId="29432E0B" w14:textId="77777777">
        <w:trPr>
          <w:trHeight w:val="20"/>
        </w:trPr>
        <w:tc>
          <w:tcPr>
            <w:tcW w:w="2796" w:type="pct"/>
            <w:vAlign w:val="center"/>
          </w:tcPr>
          <w:p w14:paraId="13D789B3" w14:textId="33CDC786" w:rsidR="00E33700" w:rsidRDefault="00E33700" w:rsidP="00E33700">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Decreased platelet count</w:t>
            </w:r>
          </w:p>
        </w:tc>
        <w:tc>
          <w:tcPr>
            <w:tcW w:w="1041" w:type="pct"/>
            <w:vAlign w:val="center"/>
          </w:tcPr>
          <w:p w14:paraId="4ECA594A" w14:textId="3050DE03"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1 (0.6)</w:t>
            </w:r>
          </w:p>
        </w:tc>
        <w:tc>
          <w:tcPr>
            <w:tcW w:w="1163" w:type="pct"/>
            <w:vAlign w:val="center"/>
          </w:tcPr>
          <w:p w14:paraId="43D04DBD" w14:textId="4B34C850"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E33700" w:rsidRPr="00A53CCE" w14:paraId="65FB8937" w14:textId="77777777">
        <w:trPr>
          <w:trHeight w:val="20"/>
        </w:trPr>
        <w:tc>
          <w:tcPr>
            <w:tcW w:w="2796" w:type="pct"/>
            <w:vAlign w:val="center"/>
          </w:tcPr>
          <w:p w14:paraId="1D36E6ED" w14:textId="0258727C" w:rsidR="00E33700" w:rsidRDefault="00E33700" w:rsidP="00E33700">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Pneumonia</w:t>
            </w:r>
          </w:p>
        </w:tc>
        <w:tc>
          <w:tcPr>
            <w:tcW w:w="1041" w:type="pct"/>
            <w:vAlign w:val="center"/>
          </w:tcPr>
          <w:p w14:paraId="5E45CBCA" w14:textId="2C0E8907"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3 (1.9)</w:t>
            </w:r>
          </w:p>
        </w:tc>
        <w:tc>
          <w:tcPr>
            <w:tcW w:w="1163" w:type="pct"/>
            <w:vAlign w:val="center"/>
          </w:tcPr>
          <w:p w14:paraId="36A7FF57" w14:textId="644C0576"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E33700" w:rsidRPr="00A53CCE" w14:paraId="345774D6" w14:textId="77777777">
        <w:trPr>
          <w:trHeight w:val="20"/>
        </w:trPr>
        <w:tc>
          <w:tcPr>
            <w:tcW w:w="2796" w:type="pct"/>
            <w:vAlign w:val="center"/>
          </w:tcPr>
          <w:p w14:paraId="39B72AFC" w14:textId="58D988DD" w:rsidR="00E33700" w:rsidRDefault="00E33700" w:rsidP="00E33700">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Pyrexia</w:t>
            </w:r>
          </w:p>
        </w:tc>
        <w:tc>
          <w:tcPr>
            <w:tcW w:w="1041" w:type="pct"/>
            <w:vAlign w:val="center"/>
          </w:tcPr>
          <w:p w14:paraId="42F8DB1D" w14:textId="4A5D90FE"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(1.3)</w:t>
            </w:r>
          </w:p>
        </w:tc>
        <w:tc>
          <w:tcPr>
            <w:tcW w:w="1163" w:type="pct"/>
            <w:vAlign w:val="center"/>
          </w:tcPr>
          <w:p w14:paraId="5FFAD202" w14:textId="7C3A119F"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E33700" w:rsidRPr="00A53CCE" w14:paraId="18BBA292" w14:textId="77777777">
        <w:trPr>
          <w:trHeight w:val="20"/>
        </w:trPr>
        <w:tc>
          <w:tcPr>
            <w:tcW w:w="2796" w:type="pct"/>
            <w:vAlign w:val="center"/>
          </w:tcPr>
          <w:p w14:paraId="1D9E40AB" w14:textId="46FB056A" w:rsidR="00E33700" w:rsidRDefault="00E33700" w:rsidP="00E33700">
            <w:pPr>
              <w:pStyle w:val="Tabletext8pt"/>
              <w:keepNext/>
              <w:framePr w:hSpace="0" w:wrap="auto" w:vAnchor="margin" w:yAlign="inline"/>
              <w:spacing w:before="0" w:after="100" w:afterAutospacing="1"/>
              <w:ind w:left="164"/>
              <w:rPr>
                <w:rFonts w:ascii="Arial Narrow" w:hAnsi="Arial Narrow"/>
                <w:sz w:val="20"/>
              </w:rPr>
            </w:pPr>
            <w:r>
              <w:rPr>
                <w:rFonts w:ascii="Arial Narrow" w:hAnsi="Arial Narrow"/>
                <w:sz w:val="20"/>
              </w:rPr>
              <w:t>Spinal cord compression</w:t>
            </w:r>
          </w:p>
        </w:tc>
        <w:tc>
          <w:tcPr>
            <w:tcW w:w="1041" w:type="pct"/>
            <w:vAlign w:val="center"/>
          </w:tcPr>
          <w:p w14:paraId="5B23B4CA" w14:textId="42F57277"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0</w:t>
            </w:r>
          </w:p>
        </w:tc>
        <w:tc>
          <w:tcPr>
            <w:tcW w:w="1163" w:type="pct"/>
            <w:vAlign w:val="center"/>
          </w:tcPr>
          <w:p w14:paraId="03DB8CF7" w14:textId="6092BE1E" w:rsidR="00E33700" w:rsidRDefault="00E33700">
            <w:pPr>
              <w:pStyle w:val="Tabletext8ptCentered"/>
              <w:keepNext/>
              <w:framePr w:hSpace="0" w:wrap="auto" w:vAnchor="margin" w:yAlign="inline"/>
              <w:spacing w:before="0" w:after="100" w:afterAutospacing="1"/>
              <w:jc w:val="center"/>
              <w:rPr>
                <w:rFonts w:ascii="Arial Narrow" w:hAnsi="Arial Narrow"/>
                <w:sz w:val="20"/>
              </w:rPr>
            </w:pPr>
            <w:r>
              <w:rPr>
                <w:rFonts w:ascii="Arial Narrow" w:hAnsi="Arial Narrow"/>
                <w:sz w:val="20"/>
              </w:rPr>
              <w:t>2 (2.0)</w:t>
            </w:r>
          </w:p>
        </w:tc>
      </w:tr>
      <w:tr w:rsidR="002D7804" w:rsidRPr="00A53CCE" w14:paraId="1E6CB106" w14:textId="77777777">
        <w:trPr>
          <w:trHeight w:val="20"/>
        </w:trPr>
        <w:tc>
          <w:tcPr>
            <w:tcW w:w="2796" w:type="pct"/>
            <w:vAlign w:val="center"/>
          </w:tcPr>
          <w:p w14:paraId="67BE492B"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AE leading to permanent treatment discontinuation</w:t>
            </w:r>
          </w:p>
        </w:tc>
        <w:tc>
          <w:tcPr>
            <w:tcW w:w="1041" w:type="pct"/>
            <w:vAlign w:val="center"/>
          </w:tcPr>
          <w:p w14:paraId="0A09EEF6"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16 (10.1)</w:t>
            </w:r>
          </w:p>
        </w:tc>
        <w:tc>
          <w:tcPr>
            <w:tcW w:w="1163" w:type="pct"/>
            <w:vAlign w:val="center"/>
          </w:tcPr>
          <w:p w14:paraId="3A20FBE7"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 (2.0)</w:t>
            </w:r>
          </w:p>
        </w:tc>
      </w:tr>
      <w:tr w:rsidR="002D7804" w:rsidRPr="00A53CCE" w14:paraId="2373C2A3" w14:textId="77777777">
        <w:trPr>
          <w:trHeight w:val="20"/>
        </w:trPr>
        <w:tc>
          <w:tcPr>
            <w:tcW w:w="2796" w:type="pct"/>
            <w:vAlign w:val="center"/>
          </w:tcPr>
          <w:p w14:paraId="4AD0006E"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Related to study treatment</w:t>
            </w:r>
            <w:r>
              <w:rPr>
                <w:rFonts w:ascii="Arial Narrow" w:hAnsi="Arial Narrow"/>
                <w:sz w:val="20"/>
              </w:rPr>
              <w:t xml:space="preserve"> </w:t>
            </w:r>
            <w:r w:rsidRPr="00A53CCE">
              <w:rPr>
                <w:rFonts w:ascii="Arial Narrow" w:hAnsi="Arial Narrow"/>
                <w:sz w:val="20"/>
                <w:vertAlign w:val="superscript"/>
              </w:rPr>
              <w:t>a</w:t>
            </w:r>
          </w:p>
        </w:tc>
        <w:tc>
          <w:tcPr>
            <w:tcW w:w="1041" w:type="pct"/>
            <w:vAlign w:val="center"/>
          </w:tcPr>
          <w:p w14:paraId="28AD6037"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11 (7.0)</w:t>
            </w:r>
          </w:p>
        </w:tc>
        <w:tc>
          <w:tcPr>
            <w:tcW w:w="1163" w:type="pct"/>
            <w:vAlign w:val="center"/>
          </w:tcPr>
          <w:p w14:paraId="1E50F92C"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 (2.0)</w:t>
            </w:r>
          </w:p>
        </w:tc>
      </w:tr>
      <w:tr w:rsidR="002D7804" w:rsidRPr="00A53CCE" w14:paraId="3E3C4EBC" w14:textId="77777777">
        <w:trPr>
          <w:trHeight w:val="20"/>
        </w:trPr>
        <w:tc>
          <w:tcPr>
            <w:tcW w:w="2796" w:type="pct"/>
            <w:vAlign w:val="center"/>
          </w:tcPr>
          <w:p w14:paraId="2AFE9CCA"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SAE leading to permanent treatment discontinuation</w:t>
            </w:r>
            <w:r>
              <w:rPr>
                <w:rFonts w:ascii="Arial Narrow" w:hAnsi="Arial Narrow"/>
                <w:b/>
                <w:bCs/>
                <w:sz w:val="20"/>
              </w:rPr>
              <w:t xml:space="preserve"> </w:t>
            </w:r>
            <w:r w:rsidRPr="00A53CCE">
              <w:rPr>
                <w:rFonts w:ascii="Arial Narrow" w:hAnsi="Arial Narrow"/>
                <w:b/>
                <w:bCs/>
                <w:sz w:val="20"/>
                <w:vertAlign w:val="superscript"/>
              </w:rPr>
              <w:t>c</w:t>
            </w:r>
          </w:p>
        </w:tc>
        <w:tc>
          <w:tcPr>
            <w:tcW w:w="1041" w:type="pct"/>
            <w:vAlign w:val="center"/>
          </w:tcPr>
          <w:p w14:paraId="04D1C65B"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8 (5.1)</w:t>
            </w:r>
          </w:p>
        </w:tc>
        <w:tc>
          <w:tcPr>
            <w:tcW w:w="1163" w:type="pct"/>
            <w:vAlign w:val="center"/>
          </w:tcPr>
          <w:p w14:paraId="7EB343C8"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 (1.0)</w:t>
            </w:r>
          </w:p>
        </w:tc>
      </w:tr>
      <w:tr w:rsidR="002D7804" w:rsidRPr="00A53CCE" w14:paraId="59C666C5" w14:textId="77777777">
        <w:trPr>
          <w:trHeight w:val="20"/>
        </w:trPr>
        <w:tc>
          <w:tcPr>
            <w:tcW w:w="2796" w:type="pct"/>
            <w:vAlign w:val="center"/>
          </w:tcPr>
          <w:p w14:paraId="2AA55E89"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rPr>
            </w:pPr>
            <w:r w:rsidRPr="00A53CCE">
              <w:rPr>
                <w:rFonts w:ascii="Arial Narrow" w:hAnsi="Arial Narrow"/>
                <w:sz w:val="20"/>
              </w:rPr>
              <w:t>Related to study treatment</w:t>
            </w:r>
            <w:r>
              <w:rPr>
                <w:rFonts w:ascii="Arial Narrow" w:hAnsi="Arial Narrow"/>
                <w:sz w:val="20"/>
              </w:rPr>
              <w:t xml:space="preserve"> </w:t>
            </w:r>
            <w:r w:rsidRPr="00A53CCE">
              <w:rPr>
                <w:rFonts w:ascii="Arial Narrow" w:hAnsi="Arial Narrow"/>
                <w:sz w:val="20"/>
                <w:vertAlign w:val="superscript"/>
              </w:rPr>
              <w:t>a</w:t>
            </w:r>
          </w:p>
        </w:tc>
        <w:tc>
          <w:tcPr>
            <w:tcW w:w="1041" w:type="pct"/>
            <w:vAlign w:val="center"/>
          </w:tcPr>
          <w:p w14:paraId="25287840"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4 (2.5)</w:t>
            </w:r>
          </w:p>
        </w:tc>
        <w:tc>
          <w:tcPr>
            <w:tcW w:w="1163" w:type="pct"/>
            <w:vAlign w:val="center"/>
          </w:tcPr>
          <w:p w14:paraId="1C99F7DC"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 (1.0)</w:t>
            </w:r>
          </w:p>
        </w:tc>
      </w:tr>
      <w:tr w:rsidR="002D7804" w:rsidRPr="00A53CCE" w14:paraId="6F6526D0" w14:textId="77777777">
        <w:trPr>
          <w:trHeight w:val="20"/>
        </w:trPr>
        <w:tc>
          <w:tcPr>
            <w:tcW w:w="2796" w:type="pct"/>
            <w:vAlign w:val="center"/>
          </w:tcPr>
          <w:p w14:paraId="2B618815" w14:textId="0FB85D76"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Fatal A</w:t>
            </w:r>
            <w:r w:rsidR="008D1073">
              <w:rPr>
                <w:rFonts w:ascii="Arial Narrow" w:hAnsi="Arial Narrow"/>
                <w:b/>
                <w:bCs/>
                <w:sz w:val="20"/>
              </w:rPr>
              <w:t>E</w:t>
            </w:r>
            <w:r w:rsidRPr="00A53CCE">
              <w:rPr>
                <w:rFonts w:ascii="Arial Narrow" w:hAnsi="Arial Narrow"/>
                <w:b/>
                <w:bCs/>
                <w:sz w:val="20"/>
              </w:rPr>
              <w:t>s</w:t>
            </w:r>
            <w:r>
              <w:rPr>
                <w:rFonts w:ascii="Arial Narrow" w:hAnsi="Arial Narrow"/>
                <w:b/>
                <w:bCs/>
                <w:sz w:val="20"/>
              </w:rPr>
              <w:t xml:space="preserve"> </w:t>
            </w:r>
            <w:r w:rsidRPr="00A53CCE">
              <w:rPr>
                <w:rFonts w:ascii="Arial Narrow" w:hAnsi="Arial Narrow"/>
                <w:b/>
                <w:bCs/>
                <w:sz w:val="20"/>
                <w:vertAlign w:val="superscript"/>
              </w:rPr>
              <w:t>b</w:t>
            </w:r>
          </w:p>
        </w:tc>
        <w:tc>
          <w:tcPr>
            <w:tcW w:w="1041" w:type="pct"/>
            <w:vAlign w:val="center"/>
          </w:tcPr>
          <w:p w14:paraId="57AE5269"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7 (4.4)</w:t>
            </w:r>
          </w:p>
        </w:tc>
        <w:tc>
          <w:tcPr>
            <w:tcW w:w="1163" w:type="pct"/>
            <w:vAlign w:val="center"/>
          </w:tcPr>
          <w:p w14:paraId="559C7C9B"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w:t>
            </w:r>
          </w:p>
        </w:tc>
      </w:tr>
      <w:tr w:rsidR="002D7804" w:rsidRPr="00A53CCE" w14:paraId="25C42174" w14:textId="77777777">
        <w:trPr>
          <w:trHeight w:val="20"/>
        </w:trPr>
        <w:tc>
          <w:tcPr>
            <w:tcW w:w="2796" w:type="pct"/>
            <w:vAlign w:val="center"/>
          </w:tcPr>
          <w:p w14:paraId="168EF7F8" w14:textId="77777777" w:rsidR="002D7804" w:rsidRPr="00393DFD" w:rsidRDefault="002D7804">
            <w:pPr>
              <w:pStyle w:val="Tabletext8pt"/>
              <w:keepNext/>
              <w:framePr w:hSpace="0" w:wrap="auto" w:vAnchor="margin" w:yAlign="inline"/>
              <w:spacing w:before="0" w:after="100" w:afterAutospacing="1"/>
              <w:rPr>
                <w:rFonts w:ascii="Arial Narrow" w:hAnsi="Arial Narrow"/>
                <w:b/>
                <w:sz w:val="20"/>
              </w:rPr>
            </w:pPr>
            <w:r w:rsidRPr="00393DFD">
              <w:rPr>
                <w:rFonts w:ascii="Arial Narrow" w:hAnsi="Arial Narrow"/>
                <w:b/>
                <w:sz w:val="20"/>
              </w:rPr>
              <w:t>Fatal AE on-study treatment</w:t>
            </w:r>
          </w:p>
        </w:tc>
        <w:tc>
          <w:tcPr>
            <w:tcW w:w="1041" w:type="pct"/>
            <w:vAlign w:val="center"/>
          </w:tcPr>
          <w:p w14:paraId="05CBA90F"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6 (3.8)</w:t>
            </w:r>
          </w:p>
        </w:tc>
        <w:tc>
          <w:tcPr>
            <w:tcW w:w="1163" w:type="pct"/>
            <w:vAlign w:val="center"/>
          </w:tcPr>
          <w:p w14:paraId="71214E42"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w:t>
            </w:r>
          </w:p>
        </w:tc>
      </w:tr>
      <w:tr w:rsidR="002D7804" w:rsidRPr="00A53CCE" w14:paraId="0DA700B1" w14:textId="77777777">
        <w:trPr>
          <w:trHeight w:val="20"/>
        </w:trPr>
        <w:tc>
          <w:tcPr>
            <w:tcW w:w="2796" w:type="pct"/>
            <w:vAlign w:val="center"/>
          </w:tcPr>
          <w:p w14:paraId="70443322" w14:textId="77777777" w:rsidR="002D7804" w:rsidRPr="00A53CCE" w:rsidRDefault="002D7804">
            <w:pPr>
              <w:pStyle w:val="Tabletext8pt"/>
              <w:keepNext/>
              <w:framePr w:hSpace="0" w:wrap="auto" w:vAnchor="margin" w:yAlign="inline"/>
              <w:spacing w:before="0" w:after="100" w:afterAutospacing="1"/>
              <w:ind w:left="164"/>
              <w:rPr>
                <w:rFonts w:ascii="Arial Narrow" w:hAnsi="Arial Narrow"/>
                <w:sz w:val="20"/>
                <w:vertAlign w:val="superscript"/>
              </w:rPr>
            </w:pPr>
            <w:r w:rsidRPr="00A53CCE">
              <w:rPr>
                <w:rFonts w:ascii="Arial Narrow" w:hAnsi="Arial Narrow"/>
                <w:sz w:val="20"/>
              </w:rPr>
              <w:t>Related to study treatment</w:t>
            </w:r>
            <w:r>
              <w:rPr>
                <w:rFonts w:ascii="Arial Narrow" w:hAnsi="Arial Narrow"/>
                <w:sz w:val="20"/>
              </w:rPr>
              <w:t xml:space="preserve"> </w:t>
            </w:r>
            <w:r w:rsidRPr="00A53CCE">
              <w:rPr>
                <w:rFonts w:ascii="Arial Narrow" w:hAnsi="Arial Narrow"/>
                <w:sz w:val="20"/>
                <w:vertAlign w:val="superscript"/>
              </w:rPr>
              <w:t>c</w:t>
            </w:r>
          </w:p>
        </w:tc>
        <w:tc>
          <w:tcPr>
            <w:tcW w:w="1041" w:type="pct"/>
            <w:vAlign w:val="center"/>
          </w:tcPr>
          <w:p w14:paraId="036A90F2"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2 (1.3)</w:t>
            </w:r>
          </w:p>
        </w:tc>
        <w:tc>
          <w:tcPr>
            <w:tcW w:w="1163" w:type="pct"/>
            <w:vAlign w:val="center"/>
          </w:tcPr>
          <w:p w14:paraId="2A47557A"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w:t>
            </w:r>
          </w:p>
        </w:tc>
      </w:tr>
      <w:tr w:rsidR="002D7804" w:rsidRPr="00A53CCE" w14:paraId="6ED79EFE" w14:textId="77777777">
        <w:trPr>
          <w:trHeight w:val="20"/>
        </w:trPr>
        <w:tc>
          <w:tcPr>
            <w:tcW w:w="2796" w:type="pct"/>
            <w:vAlign w:val="center"/>
          </w:tcPr>
          <w:p w14:paraId="5AD231D5" w14:textId="77777777" w:rsidR="002D7804" w:rsidRPr="00A53CCE" w:rsidRDefault="002D7804">
            <w:pPr>
              <w:pStyle w:val="Tabletext8pt"/>
              <w:keepNext/>
              <w:framePr w:hSpace="0" w:wrap="auto" w:vAnchor="margin" w:yAlign="inline"/>
              <w:spacing w:before="0" w:after="100" w:afterAutospacing="1"/>
              <w:rPr>
                <w:rFonts w:ascii="Arial Narrow" w:hAnsi="Arial Narrow"/>
                <w:b/>
                <w:bCs/>
                <w:sz w:val="20"/>
              </w:rPr>
            </w:pPr>
            <w:r w:rsidRPr="00A53CCE">
              <w:rPr>
                <w:rFonts w:ascii="Arial Narrow" w:hAnsi="Arial Narrow"/>
                <w:b/>
                <w:bCs/>
                <w:sz w:val="20"/>
              </w:rPr>
              <w:t>Fatal AE within 30 days of last dose</w:t>
            </w:r>
          </w:p>
        </w:tc>
        <w:tc>
          <w:tcPr>
            <w:tcW w:w="1041" w:type="pct"/>
            <w:vAlign w:val="center"/>
          </w:tcPr>
          <w:p w14:paraId="4CCEA6AC"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1 (0.6)</w:t>
            </w:r>
          </w:p>
        </w:tc>
        <w:tc>
          <w:tcPr>
            <w:tcW w:w="1163" w:type="pct"/>
            <w:vAlign w:val="center"/>
          </w:tcPr>
          <w:p w14:paraId="2EDCFCB6" w14:textId="77777777" w:rsidR="002D7804" w:rsidRPr="00A53CCE" w:rsidRDefault="002D7804">
            <w:pPr>
              <w:pStyle w:val="Tabletext8ptCentered"/>
              <w:keepNext/>
              <w:framePr w:hSpace="0" w:wrap="auto" w:vAnchor="margin" w:yAlign="inline"/>
              <w:spacing w:before="0" w:after="100" w:afterAutospacing="1"/>
              <w:jc w:val="center"/>
              <w:rPr>
                <w:rFonts w:ascii="Arial Narrow" w:hAnsi="Arial Narrow"/>
                <w:sz w:val="20"/>
              </w:rPr>
            </w:pPr>
            <w:r w:rsidRPr="00A53CCE">
              <w:rPr>
                <w:rFonts w:ascii="Arial Narrow" w:hAnsi="Arial Narrow"/>
                <w:sz w:val="20"/>
              </w:rPr>
              <w:t>0</w:t>
            </w:r>
          </w:p>
        </w:tc>
      </w:tr>
    </w:tbl>
    <w:p w14:paraId="60FB5E0C" w14:textId="77777777" w:rsidR="002D7804" w:rsidRPr="005F4E80" w:rsidRDefault="002D7804" w:rsidP="002D7804">
      <w:pPr>
        <w:keepNext/>
        <w:rPr>
          <w:rFonts w:ascii="Arial Narrow" w:hAnsi="Arial Narrow"/>
          <w:sz w:val="18"/>
          <w:szCs w:val="18"/>
        </w:rPr>
      </w:pPr>
      <w:r w:rsidRPr="005F4E80">
        <w:rPr>
          <w:rFonts w:ascii="Arial Narrow" w:hAnsi="Arial Narrow"/>
          <w:sz w:val="18"/>
          <w:szCs w:val="18"/>
        </w:rPr>
        <w:t>Source: Tables 2-29</w:t>
      </w:r>
      <w:r>
        <w:rPr>
          <w:rFonts w:ascii="Arial Narrow" w:hAnsi="Arial Narrow"/>
          <w:sz w:val="18"/>
          <w:szCs w:val="18"/>
        </w:rPr>
        <w:t xml:space="preserve"> to </w:t>
      </w:r>
      <w:r w:rsidRPr="005F4E80">
        <w:rPr>
          <w:rFonts w:ascii="Arial Narrow" w:hAnsi="Arial Narrow"/>
          <w:sz w:val="18"/>
          <w:szCs w:val="18"/>
        </w:rPr>
        <w:t>2-31</w:t>
      </w:r>
      <w:r>
        <w:rPr>
          <w:rFonts w:ascii="Arial Narrow" w:hAnsi="Arial Narrow"/>
          <w:sz w:val="18"/>
          <w:szCs w:val="18"/>
        </w:rPr>
        <w:t>, pp75-77</w:t>
      </w:r>
      <w:r w:rsidRPr="005F4E80">
        <w:rPr>
          <w:rFonts w:ascii="Arial Narrow" w:hAnsi="Arial Narrow"/>
          <w:sz w:val="18"/>
          <w:szCs w:val="18"/>
        </w:rPr>
        <w:t xml:space="preserve"> </w:t>
      </w:r>
      <w:r>
        <w:rPr>
          <w:rFonts w:ascii="Arial Narrow" w:hAnsi="Arial Narrow"/>
          <w:sz w:val="18"/>
          <w:szCs w:val="18"/>
        </w:rPr>
        <w:t>of</w:t>
      </w:r>
      <w:r w:rsidRPr="005F4E80">
        <w:rPr>
          <w:rFonts w:ascii="Arial Narrow" w:hAnsi="Arial Narrow"/>
          <w:sz w:val="18"/>
          <w:szCs w:val="18"/>
        </w:rPr>
        <w:t xml:space="preserve"> the resubmission</w:t>
      </w:r>
      <w:r>
        <w:rPr>
          <w:rFonts w:ascii="Arial Narrow" w:hAnsi="Arial Narrow"/>
          <w:sz w:val="18"/>
          <w:szCs w:val="18"/>
        </w:rPr>
        <w:t xml:space="preserve"> and Table </w:t>
      </w:r>
      <w:r w:rsidRPr="003F15FB">
        <w:rPr>
          <w:rFonts w:ascii="Arial Narrow" w:hAnsi="Arial Narrow"/>
          <w:sz w:val="18"/>
          <w:szCs w:val="18"/>
        </w:rPr>
        <w:t>JZJC.8.158</w:t>
      </w:r>
      <w:r>
        <w:rPr>
          <w:rFonts w:ascii="Arial Narrow" w:hAnsi="Arial Narrow"/>
          <w:sz w:val="18"/>
          <w:szCs w:val="18"/>
        </w:rPr>
        <w:t>, p1075 of the LIBRETTO-431 CSR.</w:t>
      </w:r>
    </w:p>
    <w:p w14:paraId="2653E23B" w14:textId="1A3055E7" w:rsidR="002D7804" w:rsidRDefault="002D7804" w:rsidP="002D7804">
      <w:pPr>
        <w:keepNext/>
        <w:rPr>
          <w:rFonts w:ascii="Arial Narrow" w:hAnsi="Arial Narrow"/>
          <w:sz w:val="18"/>
          <w:szCs w:val="18"/>
          <w:lang w:eastAsia="en-US"/>
        </w:rPr>
      </w:pPr>
      <w:r w:rsidRPr="00BC2B7F">
        <w:rPr>
          <w:rFonts w:ascii="Arial Narrow" w:hAnsi="Arial Narrow"/>
          <w:sz w:val="18"/>
          <w:szCs w:val="18"/>
          <w:lang w:eastAsia="en-US"/>
        </w:rPr>
        <w:t>AE</w:t>
      </w:r>
      <w:r>
        <w:rPr>
          <w:rFonts w:ascii="Arial Narrow" w:hAnsi="Arial Narrow"/>
          <w:sz w:val="18"/>
          <w:szCs w:val="18"/>
          <w:lang w:eastAsia="en-US"/>
        </w:rPr>
        <w:t xml:space="preserve"> =</w:t>
      </w:r>
      <w:r w:rsidRPr="00BC2B7F">
        <w:rPr>
          <w:rFonts w:ascii="Arial Narrow" w:hAnsi="Arial Narrow"/>
          <w:sz w:val="18"/>
          <w:szCs w:val="18"/>
          <w:lang w:eastAsia="en-US"/>
        </w:rPr>
        <w:t xml:space="preserve"> adverse event</w:t>
      </w:r>
      <w:r>
        <w:rPr>
          <w:rFonts w:ascii="Arial Narrow" w:hAnsi="Arial Narrow"/>
          <w:sz w:val="18"/>
          <w:szCs w:val="18"/>
          <w:lang w:eastAsia="en-US"/>
        </w:rPr>
        <w:t>;</w:t>
      </w:r>
      <w:r w:rsidRPr="00BC2B7F">
        <w:rPr>
          <w:rFonts w:ascii="Arial Narrow" w:hAnsi="Arial Narrow"/>
          <w:sz w:val="18"/>
          <w:szCs w:val="18"/>
          <w:lang w:eastAsia="en-US"/>
        </w:rPr>
        <w:t xml:space="preserve"> ALT</w:t>
      </w:r>
      <w:r>
        <w:rPr>
          <w:rFonts w:ascii="Arial Narrow" w:hAnsi="Arial Narrow"/>
          <w:sz w:val="18"/>
          <w:szCs w:val="18"/>
          <w:lang w:eastAsia="en-US"/>
        </w:rPr>
        <w:t xml:space="preserve"> =</w:t>
      </w:r>
      <w:r w:rsidRPr="00BC2B7F">
        <w:rPr>
          <w:rFonts w:ascii="Arial Narrow" w:hAnsi="Arial Narrow"/>
          <w:sz w:val="18"/>
          <w:szCs w:val="18"/>
          <w:lang w:eastAsia="en-US"/>
        </w:rPr>
        <w:t xml:space="preserve"> alanine aminotransferase; AST</w:t>
      </w:r>
      <w:r>
        <w:rPr>
          <w:rFonts w:ascii="Arial Narrow" w:hAnsi="Arial Narrow"/>
          <w:sz w:val="18"/>
          <w:szCs w:val="18"/>
          <w:lang w:eastAsia="en-US"/>
        </w:rPr>
        <w:t xml:space="preserve"> =</w:t>
      </w:r>
      <w:r w:rsidRPr="00BC2B7F">
        <w:rPr>
          <w:rFonts w:ascii="Arial Narrow" w:hAnsi="Arial Narrow"/>
          <w:sz w:val="18"/>
          <w:szCs w:val="18"/>
          <w:lang w:eastAsia="en-US"/>
        </w:rPr>
        <w:t xml:space="preserve"> aspartate aminotransferase; </w:t>
      </w:r>
      <w:r>
        <w:rPr>
          <w:rFonts w:ascii="Arial Narrow" w:hAnsi="Arial Narrow"/>
          <w:sz w:val="18"/>
          <w:szCs w:val="18"/>
          <w:lang w:eastAsia="en-US"/>
        </w:rPr>
        <w:t xml:space="preserve">ECG = electrocardiogram; PC = platinum-based chemotherapy; </w:t>
      </w:r>
      <w:r w:rsidRPr="00BC2B7F">
        <w:rPr>
          <w:rFonts w:ascii="Arial Narrow" w:hAnsi="Arial Narrow"/>
          <w:sz w:val="18"/>
          <w:szCs w:val="18"/>
          <w:lang w:eastAsia="en-US"/>
        </w:rPr>
        <w:t>SAE</w:t>
      </w:r>
      <w:r>
        <w:rPr>
          <w:rFonts w:ascii="Arial Narrow" w:hAnsi="Arial Narrow"/>
          <w:sz w:val="18"/>
          <w:szCs w:val="18"/>
          <w:lang w:eastAsia="en-US"/>
        </w:rPr>
        <w:t xml:space="preserve"> =</w:t>
      </w:r>
      <w:r w:rsidRPr="00BC2B7F">
        <w:rPr>
          <w:rFonts w:ascii="Arial Narrow" w:hAnsi="Arial Narrow"/>
          <w:sz w:val="18"/>
          <w:szCs w:val="18"/>
          <w:lang w:eastAsia="en-US"/>
        </w:rPr>
        <w:t xml:space="preserve"> serious adverse events; TEAE</w:t>
      </w:r>
      <w:r>
        <w:rPr>
          <w:rFonts w:ascii="Arial Narrow" w:hAnsi="Arial Narrow"/>
          <w:sz w:val="18"/>
          <w:szCs w:val="18"/>
          <w:lang w:eastAsia="en-US"/>
        </w:rPr>
        <w:t xml:space="preserve"> =</w:t>
      </w:r>
      <w:r w:rsidRPr="00BC2B7F">
        <w:rPr>
          <w:rFonts w:ascii="Arial Narrow" w:hAnsi="Arial Narrow"/>
          <w:sz w:val="18"/>
          <w:szCs w:val="18"/>
          <w:lang w:eastAsia="en-US"/>
        </w:rPr>
        <w:t xml:space="preserve"> treatment-emergent adverse event</w:t>
      </w:r>
    </w:p>
    <w:p w14:paraId="7B1AAC2D" w14:textId="77777777" w:rsidR="002D7804" w:rsidRPr="00BF3061" w:rsidRDefault="002D7804" w:rsidP="002D7804">
      <w:pPr>
        <w:keepNext/>
        <w:rPr>
          <w:rFonts w:ascii="Arial Narrow" w:hAnsi="Arial Narrow"/>
          <w:sz w:val="18"/>
          <w:szCs w:val="18"/>
          <w:vertAlign w:val="superscript"/>
        </w:rPr>
      </w:pPr>
      <w:r w:rsidRPr="00BF3061">
        <w:rPr>
          <w:rFonts w:ascii="Arial Narrow" w:hAnsi="Arial Narrow"/>
          <w:sz w:val="18"/>
          <w:szCs w:val="18"/>
          <w:vertAlign w:val="superscript"/>
        </w:rPr>
        <w:t xml:space="preserve">a </w:t>
      </w:r>
      <w:r w:rsidRPr="00BF3061">
        <w:rPr>
          <w:rFonts w:ascii="Arial Narrow" w:hAnsi="Arial Narrow"/>
          <w:sz w:val="18"/>
          <w:szCs w:val="18"/>
        </w:rPr>
        <w:t>Included events that were considered related to study treatment as judged by the Investigator</w:t>
      </w:r>
      <w:r>
        <w:rPr>
          <w:rFonts w:ascii="Arial Narrow" w:hAnsi="Arial Narrow"/>
          <w:sz w:val="18"/>
          <w:szCs w:val="18"/>
        </w:rPr>
        <w:t>.</w:t>
      </w:r>
    </w:p>
    <w:p w14:paraId="494C23C6" w14:textId="77777777" w:rsidR="002D7804" w:rsidRPr="00BF3061" w:rsidRDefault="002D7804" w:rsidP="002D7804">
      <w:pPr>
        <w:keepNext/>
        <w:rPr>
          <w:rFonts w:ascii="Arial Narrow" w:hAnsi="Arial Narrow"/>
          <w:sz w:val="18"/>
          <w:szCs w:val="18"/>
          <w:vertAlign w:val="superscript"/>
        </w:rPr>
      </w:pPr>
      <w:r w:rsidRPr="00BF3061">
        <w:rPr>
          <w:rFonts w:ascii="Arial Narrow" w:hAnsi="Arial Narrow"/>
          <w:sz w:val="18"/>
          <w:szCs w:val="18"/>
          <w:vertAlign w:val="superscript"/>
        </w:rPr>
        <w:t xml:space="preserve">b </w:t>
      </w:r>
      <w:r w:rsidRPr="00BF3061">
        <w:rPr>
          <w:rFonts w:ascii="Arial Narrow" w:hAnsi="Arial Narrow"/>
          <w:sz w:val="18"/>
          <w:szCs w:val="18"/>
          <w:lang w:eastAsia="en-US"/>
        </w:rPr>
        <w:t xml:space="preserve">Deaths on therapy and within 30 days of last dose date </w:t>
      </w:r>
      <w:r>
        <w:rPr>
          <w:rFonts w:ascii="Arial Narrow" w:hAnsi="Arial Narrow"/>
          <w:sz w:val="18"/>
          <w:szCs w:val="18"/>
          <w:lang w:eastAsia="en-US"/>
        </w:rPr>
        <w:t>were</w:t>
      </w:r>
      <w:r w:rsidRPr="00BF3061">
        <w:rPr>
          <w:rFonts w:ascii="Arial Narrow" w:hAnsi="Arial Narrow"/>
          <w:sz w:val="18"/>
          <w:szCs w:val="18"/>
          <w:lang w:eastAsia="en-US"/>
        </w:rPr>
        <w:t xml:space="preserve"> included. Deaths </w:t>
      </w:r>
      <w:r>
        <w:rPr>
          <w:rFonts w:ascii="Arial Narrow" w:hAnsi="Arial Narrow"/>
          <w:sz w:val="18"/>
          <w:szCs w:val="18"/>
          <w:lang w:eastAsia="en-US"/>
        </w:rPr>
        <w:t>were</w:t>
      </w:r>
      <w:r w:rsidRPr="00BF3061">
        <w:rPr>
          <w:rFonts w:ascii="Arial Narrow" w:hAnsi="Arial Narrow"/>
          <w:sz w:val="18"/>
          <w:szCs w:val="18"/>
          <w:lang w:eastAsia="en-US"/>
        </w:rPr>
        <w:t xml:space="preserve"> also included as SAEs and discontinuations due to adverse events</w:t>
      </w:r>
      <w:r>
        <w:rPr>
          <w:rFonts w:ascii="Arial Narrow" w:hAnsi="Arial Narrow"/>
          <w:sz w:val="18"/>
          <w:szCs w:val="18"/>
          <w:lang w:eastAsia="en-US"/>
        </w:rPr>
        <w:t>.</w:t>
      </w:r>
    </w:p>
    <w:p w14:paraId="2680BFB1" w14:textId="4FF3BB67" w:rsidR="002D7804" w:rsidRDefault="002D7804" w:rsidP="00FC1A2E">
      <w:pPr>
        <w:widowControl w:val="0"/>
        <w:spacing w:after="120"/>
        <w:rPr>
          <w:rFonts w:ascii="Arial Narrow" w:hAnsi="Arial Narrow"/>
          <w:sz w:val="18"/>
          <w:szCs w:val="18"/>
          <w:lang w:eastAsia="en-US"/>
        </w:rPr>
      </w:pPr>
      <w:r w:rsidRPr="00BF3061">
        <w:rPr>
          <w:rFonts w:ascii="Arial Narrow" w:hAnsi="Arial Narrow"/>
          <w:sz w:val="18"/>
          <w:szCs w:val="18"/>
          <w:vertAlign w:val="superscript"/>
        </w:rPr>
        <w:t xml:space="preserve">c </w:t>
      </w:r>
      <w:r w:rsidRPr="00BF3061">
        <w:rPr>
          <w:rFonts w:ascii="Arial Narrow" w:hAnsi="Arial Narrow"/>
          <w:sz w:val="18"/>
          <w:szCs w:val="18"/>
          <w:lang w:eastAsia="en-US"/>
        </w:rPr>
        <w:t>Sudden death and malnutrition</w:t>
      </w:r>
      <w:r>
        <w:rPr>
          <w:rFonts w:ascii="Arial Narrow" w:hAnsi="Arial Narrow"/>
          <w:sz w:val="18"/>
          <w:szCs w:val="18"/>
          <w:lang w:eastAsia="en-US"/>
        </w:rPr>
        <w:t>.</w:t>
      </w:r>
    </w:p>
    <w:p w14:paraId="3446B49B" w14:textId="5888F9FA" w:rsidR="002D7804" w:rsidRDefault="002D7804" w:rsidP="002D7804">
      <w:pPr>
        <w:pStyle w:val="3-BodyText"/>
        <w:widowControl w:val="0"/>
      </w:pPr>
      <w:r>
        <w:t>The frequency of A</w:t>
      </w:r>
      <w:r w:rsidR="00E5176B">
        <w:t>Es</w:t>
      </w:r>
      <w:r>
        <w:t xml:space="preserve">, including events with fatal outcomes, was higher in the selpercatinib arm than in the pembrolizumab ± PC arm. </w:t>
      </w:r>
      <w:r w:rsidR="00364C6C">
        <w:t xml:space="preserve">The pre-PBAC response noted that patients in the selpercatinib arm were exposed to treatment for substantially longer that those in the pembrolizumab </w:t>
      </w:r>
      <w:r w:rsidR="00364C6C">
        <w:rPr>
          <w:rFonts w:cstheme="minorHAnsi"/>
        </w:rPr>
        <w:t>±</w:t>
      </w:r>
      <w:r w:rsidR="00364C6C">
        <w:t xml:space="preserve"> PC arm (</w:t>
      </w:r>
      <w:r w:rsidR="0041684F">
        <w:t xml:space="preserve">median time on treatment </w:t>
      </w:r>
      <w:r w:rsidR="00364C6C">
        <w:t>16.7</w:t>
      </w:r>
      <w:r w:rsidR="00141EDF">
        <w:t> </w:t>
      </w:r>
      <w:r w:rsidR="00364C6C">
        <w:t>months vs 9.8 months</w:t>
      </w:r>
      <w:r w:rsidR="00AD0583">
        <w:t xml:space="preserve"> respectively</w:t>
      </w:r>
      <w:r w:rsidR="00364C6C">
        <w:t xml:space="preserve">). </w:t>
      </w:r>
    </w:p>
    <w:p w14:paraId="178B66D8" w14:textId="74ACF824" w:rsidR="002D7804" w:rsidRDefault="002D7804" w:rsidP="002D7804">
      <w:pPr>
        <w:pStyle w:val="3-BodyText"/>
      </w:pPr>
      <w:r>
        <w:lastRenderedPageBreak/>
        <w:t xml:space="preserve">A greater proportion of </w:t>
      </w:r>
      <w:r w:rsidR="00364C6C">
        <w:rPr>
          <w:snapToGrid/>
          <w:lang w:val="en-US"/>
        </w:rPr>
        <w:t>patients</w:t>
      </w:r>
      <w:r>
        <w:t xml:space="preserve"> in the selpercatinib arm </w:t>
      </w:r>
      <w:r w:rsidR="005017A1">
        <w:t>(n=11</w:t>
      </w:r>
      <w:r w:rsidR="009B11BC">
        <w:t>1</w:t>
      </w:r>
      <w:r w:rsidR="005017A1">
        <w:t xml:space="preserve">) </w:t>
      </w:r>
      <w:r>
        <w:t xml:space="preserve">experienced Grade ≥3 treatment-emergent adverse events (TEAEs) versus the pembrolizumab ± PC arm (n=56) (70.3% versus 57.1%, respectively). </w:t>
      </w:r>
    </w:p>
    <w:p w14:paraId="59F51959" w14:textId="7AA2815F" w:rsidR="002D7804" w:rsidRPr="00442A70" w:rsidRDefault="002D7804" w:rsidP="002D7804">
      <w:pPr>
        <w:pStyle w:val="3-BodyText"/>
      </w:pPr>
      <w:r w:rsidRPr="00442A70">
        <w:t>The most reported (≥5%) Grade ≥3 A</w:t>
      </w:r>
      <w:r w:rsidR="000577BE">
        <w:t>E</w:t>
      </w:r>
      <w:r w:rsidRPr="00442A70">
        <w:t xml:space="preserve">s in the selpercatinib </w:t>
      </w:r>
      <w:r>
        <w:t>arm</w:t>
      </w:r>
      <w:r w:rsidRPr="00442A70">
        <w:t xml:space="preserve"> were increased </w:t>
      </w:r>
      <w:r w:rsidRPr="00B42207">
        <w:t>alanine aminotransferase</w:t>
      </w:r>
      <w:r w:rsidRPr="00442A70">
        <w:t xml:space="preserve"> (22.2%), hypertension (20.3%), increased </w:t>
      </w:r>
      <w:r w:rsidRPr="008D6BB4">
        <w:t>aspartate aminotransferase</w:t>
      </w:r>
      <w:r w:rsidRPr="00442A70">
        <w:t xml:space="preserve"> (12.7%) and electrocardiogram QT prolonged (8.9%). </w:t>
      </w:r>
    </w:p>
    <w:p w14:paraId="2ADA63F8" w14:textId="29C608BF" w:rsidR="002D7804" w:rsidRPr="00442A70" w:rsidRDefault="002D7804" w:rsidP="002D7804">
      <w:pPr>
        <w:pStyle w:val="3-BodyText"/>
      </w:pPr>
      <w:r w:rsidRPr="00442A70">
        <w:t xml:space="preserve">A greater proportion of </w:t>
      </w:r>
      <w:r w:rsidR="00364C6C">
        <w:rPr>
          <w:snapToGrid/>
          <w:lang w:val="en-US"/>
        </w:rPr>
        <w:t>patients</w:t>
      </w:r>
      <w:r w:rsidR="00364C6C" w:rsidRPr="00442A70" w:rsidDel="00364C6C">
        <w:t xml:space="preserve"> </w:t>
      </w:r>
      <w:r w:rsidRPr="00442A70">
        <w:t xml:space="preserve">experienced </w:t>
      </w:r>
      <w:r>
        <w:t>serious adverse events (</w:t>
      </w:r>
      <w:r w:rsidRPr="00442A70">
        <w:t>SAEs</w:t>
      </w:r>
      <w:r>
        <w:t>)</w:t>
      </w:r>
      <w:r w:rsidRPr="00442A70">
        <w:t xml:space="preserve"> in the selpercatinib arm (34.8%) compared to the pembrolizumab ± PC arm (23.5%).</w:t>
      </w:r>
      <w:r>
        <w:t xml:space="preserve"> </w:t>
      </w:r>
      <w:r w:rsidR="00364C6C">
        <w:t>The pre-PBAC response stated that when the incidence rate of SAEs was adjusted to per 100 patient years at risk, the rates were more comparable: 31.3</w:t>
      </w:r>
      <w:r w:rsidR="00E11EDB">
        <w:t>%</w:t>
      </w:r>
      <w:r w:rsidR="00364C6C">
        <w:t xml:space="preserve"> (95% CI: 23.6, 4.8) for the selpercatinib arm and 26.7</w:t>
      </w:r>
      <w:r w:rsidR="00E11EDB">
        <w:t>%</w:t>
      </w:r>
      <w:r w:rsidR="00364C6C">
        <w:t xml:space="preserve"> (95% CI: 16.9, 40.0) for the pembrolizumab </w:t>
      </w:r>
      <w:r w:rsidR="00364C6C">
        <w:rPr>
          <w:rFonts w:cstheme="minorHAnsi"/>
        </w:rPr>
        <w:t>±</w:t>
      </w:r>
      <w:r w:rsidR="00364C6C">
        <w:t xml:space="preserve"> PC arm. </w:t>
      </w:r>
      <w:r w:rsidRPr="00442A70">
        <w:t>The most commonly reported SAEs in the selpercatinib arm were pleural effusion (4.4%) and</w:t>
      </w:r>
      <w:r w:rsidR="00610B56">
        <w:t xml:space="preserve"> abnormal</w:t>
      </w:r>
      <w:r w:rsidRPr="00442A70">
        <w:t xml:space="preserve"> hepatic function (2.5%).</w:t>
      </w:r>
      <w:r w:rsidR="00364C6C">
        <w:t xml:space="preserve"> </w:t>
      </w:r>
    </w:p>
    <w:p w14:paraId="1739E582" w14:textId="5EC794E7" w:rsidR="002D7804" w:rsidRPr="00861BF1" w:rsidRDefault="002D7804" w:rsidP="002D7804">
      <w:pPr>
        <w:pStyle w:val="3-BodyText"/>
      </w:pPr>
      <w:r>
        <w:t>Seven</w:t>
      </w:r>
      <w:r w:rsidRPr="00442A70">
        <w:t xml:space="preserve"> </w:t>
      </w:r>
      <w:r w:rsidR="00364C6C">
        <w:rPr>
          <w:snapToGrid/>
          <w:lang w:val="en-US"/>
        </w:rPr>
        <w:t>patients</w:t>
      </w:r>
      <w:r w:rsidRPr="00442A70">
        <w:t xml:space="preserve"> (4.4%) in the selpercatinib arm experienced fatal A</w:t>
      </w:r>
      <w:r w:rsidR="000577BE">
        <w:t>E</w:t>
      </w:r>
      <w:r w:rsidRPr="00442A70">
        <w:t>s. Most deaths (6</w:t>
      </w:r>
      <w:r w:rsidR="00141EDF">
        <w:t> </w:t>
      </w:r>
      <w:r w:rsidRPr="00442A70">
        <w:t>deaths, 3.8%) occurred while receiving treatment and 2 deaths (1.3%) were assessed to be related to selpercatinib (sudden death and malnutrition). No fatal A</w:t>
      </w:r>
      <w:r w:rsidR="000577BE">
        <w:t>E</w:t>
      </w:r>
      <w:r w:rsidRPr="00442A70">
        <w:t>s were reported in the pembrolizumab arm.</w:t>
      </w:r>
      <w:r w:rsidR="005F7861">
        <w:t xml:space="preserve"> </w:t>
      </w:r>
    </w:p>
    <w:p w14:paraId="2326597C" w14:textId="52C30794" w:rsidR="002D7804" w:rsidRDefault="002D7804" w:rsidP="002D7804">
      <w:pPr>
        <w:pStyle w:val="3-BodyText"/>
      </w:pPr>
      <w:r w:rsidRPr="00E716B9">
        <w:t xml:space="preserve">The TGA </w:t>
      </w:r>
      <w:r>
        <w:t>Product Information</w:t>
      </w:r>
      <w:r w:rsidRPr="00E716B9">
        <w:t xml:space="preserve"> states that fatal haemorrhagic events occurred in patients treated with selpercatinib. The TGA advises permanently discontinu</w:t>
      </w:r>
      <w:r>
        <w:t>ing</w:t>
      </w:r>
      <w:r w:rsidRPr="00E716B9">
        <w:t xml:space="preserve"> selpercatinib in patients with severe or life-threatening haemorrhage (the TGA </w:t>
      </w:r>
      <w:r>
        <w:t>Product Information</w:t>
      </w:r>
      <w:r w:rsidRPr="00E716B9">
        <w:t>).</w:t>
      </w:r>
      <w:r>
        <w:t xml:space="preserve"> In the LIBRETTO-431 trial, there were no </w:t>
      </w:r>
      <w:r w:rsidR="00ED78F8">
        <w:t>Grade ≥</w:t>
      </w:r>
      <w:r w:rsidR="00141EDF">
        <w:t> </w:t>
      </w:r>
      <w:r w:rsidR="00ED78F8">
        <w:t xml:space="preserve">3 </w:t>
      </w:r>
      <w:r>
        <w:t xml:space="preserve">TEAE haemorrhagic events in the selpercatinib arm and </w:t>
      </w:r>
      <w:r w:rsidR="00ED78F8">
        <w:t>2 (</w:t>
      </w:r>
      <w:r>
        <w:t>2</w:t>
      </w:r>
      <w:r w:rsidR="00ED78F8">
        <w:t>.0</w:t>
      </w:r>
      <w:r>
        <w:t>%</w:t>
      </w:r>
      <w:r w:rsidR="00ED78F8">
        <w:t>)</w:t>
      </w:r>
      <w:r>
        <w:t xml:space="preserve"> in the pembrolizumab ± PC arm</w:t>
      </w:r>
      <w:r w:rsidR="00ED78F8">
        <w:t xml:space="preserve"> (Table JZJC.8.152, p1</w:t>
      </w:r>
      <w:r w:rsidR="00994B9A">
        <w:t>028</w:t>
      </w:r>
      <w:r w:rsidR="00ED78F8">
        <w:t xml:space="preserve"> of </w:t>
      </w:r>
      <w:r w:rsidR="00ED78F8" w:rsidRPr="00ED78F8">
        <w:t>the LIBRETTO-431 CSR</w:t>
      </w:r>
      <w:r w:rsidR="00ED78F8">
        <w:t>)</w:t>
      </w:r>
      <w:r>
        <w:t>.</w:t>
      </w:r>
    </w:p>
    <w:p w14:paraId="1143B8CD" w14:textId="77777777" w:rsidR="002D7804" w:rsidRPr="00C9624D" w:rsidRDefault="002D7804" w:rsidP="002D7804">
      <w:pPr>
        <w:pStyle w:val="4-SubsectionHeading"/>
      </w:pPr>
      <w:bookmarkStart w:id="44" w:name="_Toc22897643"/>
      <w:bookmarkStart w:id="45" w:name="_Toc167269748"/>
      <w:r w:rsidRPr="00C9624D">
        <w:t>Benefits/harms</w:t>
      </w:r>
      <w:bookmarkEnd w:id="44"/>
      <w:bookmarkEnd w:id="45"/>
    </w:p>
    <w:p w14:paraId="6E154046" w14:textId="07671C44" w:rsidR="002D7804" w:rsidRPr="00387D8E" w:rsidRDefault="002D7804" w:rsidP="002D7804">
      <w:pPr>
        <w:pStyle w:val="3-BodyText"/>
      </w:pPr>
      <w:r w:rsidRPr="00387D8E">
        <w:t xml:space="preserve">A summary of the comparative benefits and harms for </w:t>
      </w:r>
      <w:r>
        <w:t>selpercatinib</w:t>
      </w:r>
      <w:r w:rsidRPr="00387D8E">
        <w:t xml:space="preserve"> versus </w:t>
      </w:r>
      <w:r>
        <w:t xml:space="preserve">pembrolizumab </w:t>
      </w:r>
      <w:r w:rsidRPr="4018BE61">
        <w:rPr>
          <w:rFonts w:cstheme="minorBidi"/>
        </w:rPr>
        <w:t>±</w:t>
      </w:r>
      <w:r>
        <w:t xml:space="preserve"> PC</w:t>
      </w:r>
      <w:r w:rsidRPr="00387D8E">
        <w:t xml:space="preserve"> is presented in </w:t>
      </w:r>
      <w:r w:rsidR="00115812">
        <w:fldChar w:fldCharType="begin" w:fldLock="1"/>
      </w:r>
      <w:r w:rsidR="00115812">
        <w:instrText xml:space="preserve"> REF _Ref166243969 \h </w:instrText>
      </w:r>
      <w:r w:rsidR="00115812">
        <w:fldChar w:fldCharType="separate"/>
      </w:r>
      <w:r w:rsidR="00F979CE">
        <w:t xml:space="preserve">Table </w:t>
      </w:r>
      <w:r w:rsidR="00F979CE">
        <w:rPr>
          <w:noProof/>
        </w:rPr>
        <w:t>9</w:t>
      </w:r>
      <w:r w:rsidR="00115812">
        <w:fldChar w:fldCharType="end"/>
      </w:r>
      <w:r w:rsidRPr="00387D8E">
        <w:t>.</w:t>
      </w:r>
    </w:p>
    <w:p w14:paraId="124FB2C6" w14:textId="08AB3E86" w:rsidR="00D82DB9" w:rsidRPr="00D2155B" w:rsidRDefault="00D82DB9" w:rsidP="00D82DB9">
      <w:pPr>
        <w:pStyle w:val="Caption"/>
        <w:rPr>
          <w:rStyle w:val="CommentReference"/>
          <w:b/>
          <w:szCs w:val="24"/>
        </w:rPr>
      </w:pPr>
      <w:bookmarkStart w:id="46" w:name="_Ref166243969"/>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9</w:t>
      </w:r>
      <w:r w:rsidR="00BA56FF">
        <w:rPr>
          <w:noProof/>
        </w:rPr>
        <w:fldChar w:fldCharType="end"/>
      </w:r>
      <w:bookmarkEnd w:id="46"/>
      <w:r>
        <w:t xml:space="preserve">: </w:t>
      </w:r>
      <w:r w:rsidRPr="00D2155B">
        <w:rPr>
          <w:rStyle w:val="CommentReference"/>
          <w:b/>
          <w:szCs w:val="24"/>
        </w:rPr>
        <w:t xml:space="preserve">Summary of comparative benefits and harms for </w:t>
      </w:r>
      <w:r>
        <w:rPr>
          <w:rStyle w:val="CommentReference"/>
          <w:b/>
          <w:szCs w:val="24"/>
        </w:rPr>
        <w:t>selpercatinib</w:t>
      </w:r>
      <w:r w:rsidRPr="00D2155B">
        <w:rPr>
          <w:rStyle w:val="CommentReference"/>
          <w:b/>
          <w:szCs w:val="24"/>
        </w:rPr>
        <w:t xml:space="preserve"> and </w:t>
      </w:r>
      <w:r>
        <w:rPr>
          <w:rStyle w:val="CommentReference"/>
          <w:b/>
          <w:szCs w:val="24"/>
        </w:rPr>
        <w:t>pembrolizumab</w:t>
      </w:r>
      <w:r w:rsidR="00D1249F">
        <w:rPr>
          <w:rStyle w:val="CommentReference"/>
          <w:b/>
          <w:szCs w:val="24"/>
        </w:rPr>
        <w:t xml:space="preserve"> + </w:t>
      </w:r>
      <w:r>
        <w:rPr>
          <w:rStyle w:val="CommentReference"/>
          <w:b/>
          <w:szCs w:val="24"/>
        </w:rPr>
        <w:t>PC</w:t>
      </w:r>
    </w:p>
    <w:tbl>
      <w:tblPr>
        <w:tblW w:w="5000" w:type="pct"/>
        <w:tblLayout w:type="fixed"/>
        <w:tblCellMar>
          <w:left w:w="28" w:type="dxa"/>
          <w:right w:w="28" w:type="dxa"/>
        </w:tblCellMar>
        <w:tblLook w:val="04A0" w:firstRow="1" w:lastRow="0" w:firstColumn="1" w:lastColumn="0" w:noHBand="0" w:noVBand="1"/>
      </w:tblPr>
      <w:tblGrid>
        <w:gridCol w:w="9017"/>
      </w:tblGrid>
      <w:tr w:rsidR="00515ABE" w:rsidRPr="00E2771E" w14:paraId="4B608C61" w14:textId="77777777">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68A1BFE" w14:textId="77777777" w:rsidR="00515ABE" w:rsidRPr="00E2771E" w:rsidRDefault="00515ABE">
            <w:pPr>
              <w:pStyle w:val="In-tableHeading"/>
            </w:pPr>
            <w:r w:rsidRPr="00E2771E">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9: Summary of comparative benefits and harms for selpercatinib and pembrolizumab + PC"/>
      </w:tblPr>
      <w:tblGrid>
        <w:gridCol w:w="3354"/>
        <w:gridCol w:w="1558"/>
        <w:gridCol w:w="1562"/>
        <w:gridCol w:w="1318"/>
        <w:gridCol w:w="1225"/>
      </w:tblGrid>
      <w:tr w:rsidR="00515ABE" w:rsidRPr="00712C73" w14:paraId="70DE5CEA" w14:textId="77777777" w:rsidTr="00922865">
        <w:trPr>
          <w:trHeight w:val="20"/>
        </w:trPr>
        <w:tc>
          <w:tcPr>
            <w:tcW w:w="5000" w:type="pct"/>
            <w:gridSpan w:val="5"/>
            <w:shd w:val="clear" w:color="auto" w:fill="auto"/>
          </w:tcPr>
          <w:p w14:paraId="51F64C6A" w14:textId="77777777" w:rsidR="00515ABE" w:rsidRPr="00330DAA" w:rsidRDefault="00515ABE">
            <w:pPr>
              <w:pStyle w:val="In-tableHeading"/>
            </w:pPr>
            <w:r w:rsidRPr="00330DAA">
              <w:t xml:space="preserve">Progression free survival </w:t>
            </w:r>
            <w:r>
              <w:t xml:space="preserve">assessed by BICR for the ITT-pembrolizumab population in the LIBRETTO-431 trial </w:t>
            </w:r>
            <w:r w:rsidRPr="00330DAA">
              <w:t xml:space="preserve">(median duration of follow up </w:t>
            </w:r>
            <w:r>
              <w:t>19.38</w:t>
            </w:r>
            <w:r w:rsidRPr="00330DAA">
              <w:t xml:space="preserve"> months)</w:t>
            </w:r>
          </w:p>
        </w:tc>
      </w:tr>
      <w:tr w:rsidR="00515ABE" w:rsidRPr="00511320" w14:paraId="062199BB" w14:textId="77777777" w:rsidTr="00922865">
        <w:trPr>
          <w:trHeight w:val="20"/>
        </w:trPr>
        <w:tc>
          <w:tcPr>
            <w:tcW w:w="1860" w:type="pct"/>
            <w:tcBorders>
              <w:bottom w:val="single" w:sz="4" w:space="0" w:color="auto"/>
            </w:tcBorders>
            <w:shd w:val="clear" w:color="auto" w:fill="auto"/>
          </w:tcPr>
          <w:p w14:paraId="1D9F781E" w14:textId="77777777" w:rsidR="00515ABE" w:rsidRPr="00330DAA" w:rsidRDefault="00515ABE" w:rsidP="00BC5A69">
            <w:pPr>
              <w:pStyle w:val="In-tableHeading"/>
            </w:pPr>
            <w:r w:rsidRPr="00330DAA">
              <w:t>Event</w:t>
            </w:r>
          </w:p>
        </w:tc>
        <w:tc>
          <w:tcPr>
            <w:tcW w:w="864" w:type="pct"/>
            <w:tcBorders>
              <w:bottom w:val="single" w:sz="4" w:space="0" w:color="auto"/>
            </w:tcBorders>
            <w:shd w:val="clear" w:color="auto" w:fill="auto"/>
          </w:tcPr>
          <w:p w14:paraId="09CFDB29" w14:textId="77777777" w:rsidR="00515ABE" w:rsidRPr="00330DAA" w:rsidRDefault="00515ABE">
            <w:pPr>
              <w:pStyle w:val="In-tableHeading"/>
              <w:jc w:val="center"/>
            </w:pPr>
            <w:r>
              <w:t>Selpercatinib (N=129)</w:t>
            </w:r>
          </w:p>
        </w:tc>
        <w:tc>
          <w:tcPr>
            <w:tcW w:w="866" w:type="pct"/>
            <w:tcBorders>
              <w:bottom w:val="single" w:sz="4" w:space="0" w:color="auto"/>
            </w:tcBorders>
            <w:shd w:val="clear" w:color="auto" w:fill="auto"/>
          </w:tcPr>
          <w:p w14:paraId="06177995" w14:textId="38025280" w:rsidR="00515ABE" w:rsidRPr="00330DAA" w:rsidRDefault="00515ABE">
            <w:pPr>
              <w:pStyle w:val="In-tableHeading"/>
              <w:jc w:val="center"/>
            </w:pPr>
            <w:r>
              <w:t>Pembro + PC (N=8</w:t>
            </w:r>
            <w:r w:rsidR="00F24E37">
              <w:t>3</w:t>
            </w:r>
            <w:r>
              <w:t>)</w:t>
            </w:r>
          </w:p>
        </w:tc>
        <w:tc>
          <w:tcPr>
            <w:tcW w:w="731" w:type="pct"/>
            <w:tcBorders>
              <w:bottom w:val="single" w:sz="4" w:space="0" w:color="auto"/>
            </w:tcBorders>
            <w:shd w:val="clear" w:color="auto" w:fill="auto"/>
          </w:tcPr>
          <w:p w14:paraId="4D9FF9C2" w14:textId="60302925" w:rsidR="00515ABE" w:rsidRPr="00330DAA" w:rsidRDefault="00515ABE">
            <w:pPr>
              <w:pStyle w:val="In-tableHeading"/>
              <w:jc w:val="center"/>
              <w:rPr>
                <w:rFonts w:asciiTheme="minorHAnsi" w:hAnsiTheme="minorHAnsi"/>
              </w:rPr>
            </w:pPr>
            <w:r w:rsidRPr="00330DAA">
              <w:t xml:space="preserve">Absolute </w:t>
            </w:r>
            <w:r w:rsidR="00957E82">
              <w:t>d</w:t>
            </w:r>
            <w:r w:rsidRPr="00330DAA">
              <w:t>ifference</w:t>
            </w:r>
          </w:p>
        </w:tc>
        <w:tc>
          <w:tcPr>
            <w:tcW w:w="678" w:type="pct"/>
            <w:tcBorders>
              <w:bottom w:val="single" w:sz="4" w:space="0" w:color="auto"/>
            </w:tcBorders>
            <w:shd w:val="clear" w:color="auto" w:fill="auto"/>
          </w:tcPr>
          <w:p w14:paraId="2C6F5B43" w14:textId="77777777" w:rsidR="00515ABE" w:rsidRDefault="00515ABE">
            <w:pPr>
              <w:pStyle w:val="In-tableHeading"/>
              <w:jc w:val="center"/>
            </w:pPr>
            <w:r w:rsidRPr="00511320">
              <w:t>HR (95% CI)</w:t>
            </w:r>
          </w:p>
          <w:p w14:paraId="0D3D5CE6" w14:textId="5421F470" w:rsidR="00515ABE" w:rsidRPr="00511320" w:rsidRDefault="00F213CB">
            <w:pPr>
              <w:pStyle w:val="In-tableHeading"/>
              <w:jc w:val="center"/>
            </w:pPr>
            <w:r w:rsidRPr="00801948">
              <w:rPr>
                <w:szCs w:val="20"/>
              </w:rPr>
              <w:t>P value</w:t>
            </w:r>
          </w:p>
        </w:tc>
      </w:tr>
      <w:tr w:rsidR="00515ABE" w:rsidRPr="00C67006" w14:paraId="0771D12E" w14:textId="77777777" w:rsidTr="00922865">
        <w:trPr>
          <w:trHeight w:val="95"/>
        </w:trPr>
        <w:tc>
          <w:tcPr>
            <w:tcW w:w="1860" w:type="pct"/>
            <w:tcBorders>
              <w:bottom w:val="single" w:sz="4" w:space="0" w:color="auto"/>
              <w:right w:val="single" w:sz="4" w:space="0" w:color="auto"/>
            </w:tcBorders>
            <w:shd w:val="clear" w:color="auto" w:fill="auto"/>
          </w:tcPr>
          <w:p w14:paraId="52135AEC" w14:textId="77777777" w:rsidR="00515ABE" w:rsidRPr="00330DAA" w:rsidRDefault="00515ABE">
            <w:pPr>
              <w:pStyle w:val="TableText0"/>
              <w:keepLines/>
              <w:widowControl w:val="0"/>
            </w:pPr>
            <w:r w:rsidRPr="00330DAA">
              <w:t>Progressed, n (%)</w:t>
            </w:r>
          </w:p>
        </w:tc>
        <w:tc>
          <w:tcPr>
            <w:tcW w:w="864" w:type="pct"/>
            <w:tcBorders>
              <w:left w:val="single" w:sz="4" w:space="0" w:color="auto"/>
              <w:bottom w:val="single" w:sz="4" w:space="0" w:color="auto"/>
              <w:right w:val="single" w:sz="4" w:space="0" w:color="auto"/>
            </w:tcBorders>
            <w:shd w:val="clear" w:color="auto" w:fill="auto"/>
            <w:vAlign w:val="center"/>
          </w:tcPr>
          <w:p w14:paraId="4B93EE38" w14:textId="77777777" w:rsidR="00515ABE" w:rsidRPr="00330DAA" w:rsidRDefault="00515ABE">
            <w:pPr>
              <w:pStyle w:val="TableText0"/>
              <w:keepLines/>
              <w:widowControl w:val="0"/>
              <w:jc w:val="center"/>
            </w:pPr>
            <w:r>
              <w:t>49/129 (38%)</w:t>
            </w:r>
          </w:p>
        </w:tc>
        <w:tc>
          <w:tcPr>
            <w:tcW w:w="866" w:type="pct"/>
            <w:tcBorders>
              <w:left w:val="single" w:sz="4" w:space="0" w:color="auto"/>
              <w:bottom w:val="single" w:sz="4" w:space="0" w:color="auto"/>
              <w:right w:val="single" w:sz="4" w:space="0" w:color="auto"/>
            </w:tcBorders>
            <w:shd w:val="clear" w:color="auto" w:fill="auto"/>
            <w:vAlign w:val="center"/>
          </w:tcPr>
          <w:p w14:paraId="0526B60F" w14:textId="77777777" w:rsidR="00515ABE" w:rsidRPr="00330DAA" w:rsidRDefault="00515ABE">
            <w:pPr>
              <w:pStyle w:val="TableText0"/>
              <w:keepLines/>
              <w:widowControl w:val="0"/>
              <w:jc w:val="center"/>
            </w:pPr>
            <w:r>
              <w:t>49/83 (59%)</w:t>
            </w:r>
          </w:p>
        </w:tc>
        <w:tc>
          <w:tcPr>
            <w:tcW w:w="731" w:type="pct"/>
            <w:tcBorders>
              <w:left w:val="single" w:sz="4" w:space="0" w:color="auto"/>
              <w:bottom w:val="single" w:sz="4" w:space="0" w:color="auto"/>
              <w:right w:val="single" w:sz="4" w:space="0" w:color="auto"/>
            </w:tcBorders>
            <w:shd w:val="clear" w:color="auto" w:fill="auto"/>
          </w:tcPr>
          <w:p w14:paraId="39231D83" w14:textId="64E11927" w:rsidR="00515ABE" w:rsidRPr="007D5043" w:rsidRDefault="00957E82" w:rsidP="00922865">
            <w:pPr>
              <w:pStyle w:val="TableText0"/>
              <w:keepLines/>
              <w:widowControl w:val="0"/>
              <w:jc w:val="center"/>
              <w:rPr>
                <w:szCs w:val="20"/>
              </w:rPr>
            </w:pPr>
            <w:r>
              <w:rPr>
                <w:szCs w:val="20"/>
              </w:rPr>
              <w:t>-</w:t>
            </w:r>
          </w:p>
        </w:tc>
        <w:tc>
          <w:tcPr>
            <w:tcW w:w="678" w:type="pct"/>
            <w:vMerge w:val="restart"/>
            <w:tcBorders>
              <w:left w:val="single" w:sz="4" w:space="0" w:color="auto"/>
            </w:tcBorders>
            <w:shd w:val="clear" w:color="auto" w:fill="auto"/>
          </w:tcPr>
          <w:p w14:paraId="1330100C" w14:textId="74863279" w:rsidR="00515ABE" w:rsidRPr="00901232" w:rsidRDefault="00515ABE">
            <w:pPr>
              <w:pStyle w:val="TableText0"/>
              <w:jc w:val="center"/>
              <w:rPr>
                <w:b/>
                <w:szCs w:val="20"/>
                <w:vertAlign w:val="superscript"/>
              </w:rPr>
            </w:pPr>
            <w:r w:rsidRPr="007E1A40">
              <w:rPr>
                <w:b/>
                <w:bCs w:val="0"/>
                <w:szCs w:val="20"/>
              </w:rPr>
              <w:t>0.4</w:t>
            </w:r>
            <w:r>
              <w:rPr>
                <w:b/>
                <w:bCs w:val="0"/>
                <w:szCs w:val="20"/>
              </w:rPr>
              <w:t>65</w:t>
            </w:r>
            <w:r w:rsidR="006F2671">
              <w:rPr>
                <w:b/>
                <w:bCs w:val="0"/>
                <w:szCs w:val="20"/>
              </w:rPr>
              <w:t xml:space="preserve"> </w:t>
            </w:r>
            <w:r w:rsidR="006F2671">
              <w:rPr>
                <w:b/>
                <w:bCs w:val="0"/>
                <w:szCs w:val="20"/>
                <w:vertAlign w:val="superscript"/>
              </w:rPr>
              <w:t>a</w:t>
            </w:r>
          </w:p>
          <w:p w14:paraId="35E44D97" w14:textId="2D293A93" w:rsidR="00515ABE" w:rsidRPr="00901232" w:rsidRDefault="00515ABE">
            <w:pPr>
              <w:pStyle w:val="TableText0"/>
              <w:keepLines/>
              <w:widowControl w:val="0"/>
              <w:jc w:val="center"/>
              <w:rPr>
                <w:szCs w:val="20"/>
                <w:vertAlign w:val="superscript"/>
              </w:rPr>
            </w:pPr>
            <w:r w:rsidRPr="007E1A40">
              <w:rPr>
                <w:szCs w:val="20"/>
              </w:rPr>
              <w:t>(0.3</w:t>
            </w:r>
            <w:r>
              <w:rPr>
                <w:szCs w:val="20"/>
              </w:rPr>
              <w:t>09</w:t>
            </w:r>
            <w:r w:rsidRPr="007E1A40">
              <w:rPr>
                <w:szCs w:val="20"/>
              </w:rPr>
              <w:t>, 0.</w:t>
            </w:r>
            <w:r>
              <w:rPr>
                <w:szCs w:val="20"/>
              </w:rPr>
              <w:t>699)</w:t>
            </w:r>
            <w:r w:rsidR="006F2671">
              <w:rPr>
                <w:szCs w:val="20"/>
              </w:rPr>
              <w:t xml:space="preserve"> </w:t>
            </w:r>
            <w:r w:rsidR="006F2671">
              <w:rPr>
                <w:szCs w:val="20"/>
                <w:vertAlign w:val="superscript"/>
              </w:rPr>
              <w:t>b</w:t>
            </w:r>
          </w:p>
          <w:p w14:paraId="12815A4C" w14:textId="77777777" w:rsidR="00515ABE" w:rsidRPr="00C67006" w:rsidRDefault="00515ABE">
            <w:pPr>
              <w:pStyle w:val="TableText0"/>
              <w:keepLines/>
              <w:widowControl w:val="0"/>
              <w:jc w:val="center"/>
            </w:pPr>
            <w:r w:rsidRPr="00C67006">
              <w:rPr>
                <w:szCs w:val="20"/>
              </w:rPr>
              <w:t>P</w:t>
            </w:r>
            <w:r>
              <w:rPr>
                <w:szCs w:val="20"/>
              </w:rPr>
              <w:t>=0.0002</w:t>
            </w:r>
            <w:r w:rsidRPr="00AA45DC">
              <w:rPr>
                <w:vertAlign w:val="superscript"/>
              </w:rPr>
              <w:t xml:space="preserve"> c</w:t>
            </w:r>
          </w:p>
        </w:tc>
      </w:tr>
      <w:tr w:rsidR="00515ABE" w:rsidRPr="00C67006" w14:paraId="781BBD6C" w14:textId="77777777" w:rsidTr="00922865">
        <w:trPr>
          <w:trHeight w:val="20"/>
        </w:trPr>
        <w:tc>
          <w:tcPr>
            <w:tcW w:w="1860" w:type="pct"/>
            <w:tcBorders>
              <w:bottom w:val="single" w:sz="4" w:space="0" w:color="auto"/>
              <w:right w:val="single" w:sz="4" w:space="0" w:color="auto"/>
            </w:tcBorders>
            <w:shd w:val="clear" w:color="auto" w:fill="auto"/>
            <w:vAlign w:val="center"/>
          </w:tcPr>
          <w:p w14:paraId="347294B3" w14:textId="77777777" w:rsidR="00515ABE" w:rsidRPr="00330DAA" w:rsidRDefault="00515ABE">
            <w:pPr>
              <w:pStyle w:val="TableText0"/>
              <w:keepLines/>
              <w:widowControl w:val="0"/>
            </w:pPr>
            <w:r w:rsidRPr="007E1A40">
              <w:rPr>
                <w:szCs w:val="20"/>
              </w:rPr>
              <w:t>Median PFS, months (95% CI)</w:t>
            </w:r>
          </w:p>
        </w:tc>
        <w:tc>
          <w:tcPr>
            <w:tcW w:w="864" w:type="pct"/>
            <w:tcBorders>
              <w:left w:val="single" w:sz="4" w:space="0" w:color="auto"/>
              <w:bottom w:val="single" w:sz="4" w:space="0" w:color="auto"/>
              <w:right w:val="single" w:sz="4" w:space="0" w:color="auto"/>
            </w:tcBorders>
            <w:shd w:val="clear" w:color="auto" w:fill="auto"/>
            <w:vAlign w:val="center"/>
          </w:tcPr>
          <w:p w14:paraId="09D32EEF" w14:textId="4F1CB2B1" w:rsidR="00515ABE" w:rsidRPr="00330DAA" w:rsidRDefault="00515ABE">
            <w:pPr>
              <w:pStyle w:val="TableText0"/>
              <w:keepLines/>
              <w:widowControl w:val="0"/>
              <w:jc w:val="center"/>
              <w:rPr>
                <w:rFonts w:cs="Times New Roman"/>
                <w:szCs w:val="20"/>
              </w:rPr>
            </w:pPr>
            <w:r w:rsidRPr="007E1A40">
              <w:rPr>
                <w:szCs w:val="20"/>
              </w:rPr>
              <w:t>24.84</w:t>
            </w:r>
            <w:r w:rsidR="00957E82">
              <w:rPr>
                <w:szCs w:val="20"/>
              </w:rPr>
              <w:t xml:space="preserve"> </w:t>
            </w:r>
            <w:r w:rsidRPr="007E1A40">
              <w:rPr>
                <w:szCs w:val="20"/>
              </w:rPr>
              <w:t>(</w:t>
            </w:r>
            <w:r>
              <w:rPr>
                <w:szCs w:val="20"/>
              </w:rPr>
              <w:t>16.89</w:t>
            </w:r>
            <w:r w:rsidRPr="007E1A40">
              <w:rPr>
                <w:szCs w:val="20"/>
              </w:rPr>
              <w:t>, NE)</w:t>
            </w:r>
          </w:p>
        </w:tc>
        <w:tc>
          <w:tcPr>
            <w:tcW w:w="866" w:type="pct"/>
            <w:tcBorders>
              <w:left w:val="single" w:sz="4" w:space="0" w:color="auto"/>
              <w:bottom w:val="single" w:sz="4" w:space="0" w:color="auto"/>
              <w:right w:val="single" w:sz="4" w:space="0" w:color="auto"/>
            </w:tcBorders>
            <w:shd w:val="clear" w:color="auto" w:fill="auto"/>
            <w:vAlign w:val="center"/>
          </w:tcPr>
          <w:p w14:paraId="1F778045" w14:textId="46860245" w:rsidR="00515ABE" w:rsidRPr="00330DAA" w:rsidRDefault="00515ABE">
            <w:pPr>
              <w:pStyle w:val="TableText0"/>
              <w:keepLines/>
              <w:widowControl w:val="0"/>
              <w:jc w:val="center"/>
              <w:rPr>
                <w:rFonts w:cs="Times New Roman"/>
                <w:szCs w:val="20"/>
              </w:rPr>
            </w:pPr>
            <w:r w:rsidRPr="007E1A40">
              <w:rPr>
                <w:szCs w:val="20"/>
              </w:rPr>
              <w:t>11.17</w:t>
            </w:r>
            <w:r w:rsidR="00957E82">
              <w:rPr>
                <w:szCs w:val="20"/>
              </w:rPr>
              <w:t xml:space="preserve"> </w:t>
            </w:r>
            <w:r w:rsidRPr="007E1A40">
              <w:rPr>
                <w:szCs w:val="20"/>
              </w:rPr>
              <w:t>(8.77, 16.76</w:t>
            </w:r>
            <w:r>
              <w:rPr>
                <w:szCs w:val="20"/>
              </w:rPr>
              <w:t>)</w:t>
            </w:r>
          </w:p>
        </w:tc>
        <w:tc>
          <w:tcPr>
            <w:tcW w:w="731" w:type="pct"/>
            <w:tcBorders>
              <w:left w:val="single" w:sz="4" w:space="0" w:color="auto"/>
              <w:bottom w:val="single" w:sz="4" w:space="0" w:color="auto"/>
              <w:right w:val="single" w:sz="4" w:space="0" w:color="auto"/>
            </w:tcBorders>
            <w:shd w:val="clear" w:color="auto" w:fill="auto"/>
            <w:vAlign w:val="center"/>
          </w:tcPr>
          <w:p w14:paraId="46809C13" w14:textId="77777777" w:rsidR="00515ABE" w:rsidRPr="00330DAA" w:rsidRDefault="00515ABE">
            <w:pPr>
              <w:pStyle w:val="TableText0"/>
              <w:keepLines/>
              <w:widowControl w:val="0"/>
              <w:jc w:val="center"/>
            </w:pPr>
            <w:r w:rsidRPr="007E1A40">
              <w:rPr>
                <w:szCs w:val="20"/>
              </w:rPr>
              <w:t>13.67</w:t>
            </w:r>
          </w:p>
        </w:tc>
        <w:tc>
          <w:tcPr>
            <w:tcW w:w="678" w:type="pct"/>
            <w:vMerge/>
          </w:tcPr>
          <w:p w14:paraId="4EF069E8" w14:textId="77777777" w:rsidR="00515ABE" w:rsidRPr="00C67006" w:rsidRDefault="00515ABE">
            <w:pPr>
              <w:pStyle w:val="TableText0"/>
              <w:keepLines/>
              <w:widowControl w:val="0"/>
              <w:jc w:val="center"/>
              <w:rPr>
                <w:szCs w:val="20"/>
              </w:rPr>
            </w:pPr>
          </w:p>
        </w:tc>
      </w:tr>
      <w:tr w:rsidR="00515ABE" w:rsidRPr="00C67006" w14:paraId="0B45E947" w14:textId="77777777" w:rsidTr="00922865">
        <w:trPr>
          <w:trHeight w:val="20"/>
        </w:trPr>
        <w:tc>
          <w:tcPr>
            <w:tcW w:w="1860" w:type="pct"/>
            <w:tcBorders>
              <w:top w:val="single" w:sz="4" w:space="0" w:color="auto"/>
              <w:bottom w:val="single" w:sz="4" w:space="0" w:color="auto"/>
              <w:right w:val="single" w:sz="4" w:space="0" w:color="auto"/>
            </w:tcBorders>
            <w:shd w:val="clear" w:color="auto" w:fill="auto"/>
          </w:tcPr>
          <w:p w14:paraId="5B3ED7C3" w14:textId="79108E45" w:rsidR="00515ABE" w:rsidRPr="00330DAA" w:rsidRDefault="00515ABE">
            <w:pPr>
              <w:pStyle w:val="TableText0"/>
              <w:keepLines/>
              <w:widowControl w:val="0"/>
            </w:pPr>
            <w:r w:rsidRPr="007E1A40">
              <w:rPr>
                <w:szCs w:val="20"/>
              </w:rPr>
              <w:t>% not progressed at 6 months (95% CI)</w:t>
            </w:r>
            <w:r w:rsidRPr="00AA45DC">
              <w:rPr>
                <w:vertAlign w:val="superscript"/>
              </w:rPr>
              <w:t xml:space="preserve">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4E833AD" w14:textId="77777777" w:rsidR="00515ABE" w:rsidRPr="00330DAA" w:rsidRDefault="00515ABE">
            <w:pPr>
              <w:pStyle w:val="TableText0"/>
              <w:keepLines/>
              <w:widowControl w:val="0"/>
              <w:jc w:val="center"/>
            </w:pPr>
            <w:r w:rsidRPr="007E1A40">
              <w:rPr>
                <w:szCs w:val="20"/>
              </w:rPr>
              <w:t>87.</w:t>
            </w:r>
            <w:r>
              <w:rPr>
                <w:szCs w:val="20"/>
              </w:rPr>
              <w:t>2</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2B13338A" w14:textId="77777777" w:rsidR="00515ABE" w:rsidRPr="00330DAA" w:rsidRDefault="00515ABE">
            <w:pPr>
              <w:pStyle w:val="TableText0"/>
              <w:keepLines/>
              <w:widowControl w:val="0"/>
              <w:jc w:val="center"/>
              <w:rPr>
                <w:szCs w:val="20"/>
              </w:rPr>
            </w:pPr>
            <w:r>
              <w:rPr>
                <w:szCs w:val="20"/>
                <w:lang w:val="en-US"/>
              </w:rPr>
              <w:t>72.1</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1AACF7BF" w14:textId="77777777" w:rsidR="00515ABE" w:rsidRPr="00330DAA" w:rsidRDefault="00515ABE">
            <w:pPr>
              <w:pStyle w:val="TableText0"/>
              <w:keepLines/>
              <w:widowControl w:val="0"/>
              <w:jc w:val="center"/>
            </w:pPr>
            <w:r>
              <w:rPr>
                <w:rFonts w:cs="Courier"/>
                <w:color w:val="000000"/>
                <w:szCs w:val="20"/>
              </w:rPr>
              <w:t>15.1</w:t>
            </w:r>
            <w:r w:rsidRPr="00090F0D">
              <w:rPr>
                <w:rFonts w:cs="Courier"/>
                <w:color w:val="000000"/>
                <w:szCs w:val="20"/>
              </w:rPr>
              <w:t xml:space="preserve"> (</w:t>
            </w:r>
            <w:r>
              <w:rPr>
                <w:rFonts w:cs="Courier"/>
                <w:color w:val="000000"/>
                <w:szCs w:val="20"/>
              </w:rPr>
              <w:t>3</w:t>
            </w:r>
            <w:r w:rsidRPr="00001AF8">
              <w:rPr>
                <w:rFonts w:cs="Courier"/>
                <w:color w:val="000000"/>
                <w:szCs w:val="20"/>
              </w:rPr>
              <w:t>.6, 2</w:t>
            </w:r>
            <w:r>
              <w:rPr>
                <w:rFonts w:cs="Courier"/>
                <w:color w:val="000000"/>
                <w:szCs w:val="20"/>
              </w:rPr>
              <w:t>6.6)</w:t>
            </w:r>
          </w:p>
        </w:tc>
        <w:tc>
          <w:tcPr>
            <w:tcW w:w="678" w:type="pct"/>
            <w:vMerge/>
          </w:tcPr>
          <w:p w14:paraId="78A92037" w14:textId="77777777" w:rsidR="00515ABE" w:rsidRPr="00C67006" w:rsidRDefault="00515ABE">
            <w:pPr>
              <w:pStyle w:val="TableText0"/>
              <w:keepLines/>
              <w:widowControl w:val="0"/>
              <w:jc w:val="center"/>
            </w:pPr>
          </w:p>
        </w:tc>
      </w:tr>
      <w:tr w:rsidR="00515ABE" w:rsidRPr="00C67006" w14:paraId="5CFC449A" w14:textId="77777777" w:rsidTr="00922865">
        <w:trPr>
          <w:trHeight w:val="20"/>
        </w:trPr>
        <w:tc>
          <w:tcPr>
            <w:tcW w:w="1860" w:type="pct"/>
            <w:tcBorders>
              <w:top w:val="single" w:sz="4" w:space="0" w:color="auto"/>
              <w:bottom w:val="single" w:sz="4" w:space="0" w:color="auto"/>
              <w:right w:val="single" w:sz="4" w:space="0" w:color="auto"/>
            </w:tcBorders>
            <w:shd w:val="clear" w:color="auto" w:fill="auto"/>
          </w:tcPr>
          <w:p w14:paraId="1412EFAF" w14:textId="52A461D7" w:rsidR="00515ABE" w:rsidRPr="007E1A40" w:rsidRDefault="00515ABE">
            <w:pPr>
              <w:pStyle w:val="TableText0"/>
              <w:keepLines/>
              <w:widowControl w:val="0"/>
              <w:rPr>
                <w:szCs w:val="20"/>
              </w:rPr>
            </w:pPr>
            <w:r w:rsidRPr="00330DAA">
              <w:t xml:space="preserve">% not progressed at </w:t>
            </w:r>
            <w:r>
              <w:t>24</w:t>
            </w:r>
            <w:r w:rsidRPr="00330DAA">
              <w:t xml:space="preserve"> months (95% CI)</w:t>
            </w:r>
            <w:r>
              <w:t xml:space="preserve">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3581CA77" w14:textId="77777777" w:rsidR="00515ABE" w:rsidRPr="007E1A40" w:rsidRDefault="00515ABE">
            <w:pPr>
              <w:pStyle w:val="TableText0"/>
              <w:keepLines/>
              <w:widowControl w:val="0"/>
              <w:jc w:val="center"/>
              <w:rPr>
                <w:szCs w:val="20"/>
              </w:rPr>
            </w:pPr>
            <w:r>
              <w:rPr>
                <w:szCs w:val="20"/>
              </w:rPr>
              <w:t>54.2</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4F41126B" w14:textId="77777777" w:rsidR="00515ABE" w:rsidRDefault="00515ABE">
            <w:pPr>
              <w:pStyle w:val="TableText0"/>
              <w:keepLines/>
              <w:widowControl w:val="0"/>
              <w:jc w:val="center"/>
              <w:rPr>
                <w:szCs w:val="20"/>
                <w:lang w:val="en-US"/>
              </w:rPr>
            </w:pPr>
            <w:r>
              <w:rPr>
                <w:szCs w:val="20"/>
                <w:lang w:val="en-US"/>
              </w:rPr>
              <w:t>31.6</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0E6C6EE3" w14:textId="77777777" w:rsidR="00515ABE" w:rsidRPr="00090F0D" w:rsidRDefault="00515ABE">
            <w:pPr>
              <w:pStyle w:val="TableText0"/>
              <w:keepLines/>
              <w:widowControl w:val="0"/>
              <w:jc w:val="center"/>
              <w:rPr>
                <w:rFonts w:cs="Courier"/>
                <w:color w:val="000000"/>
                <w:szCs w:val="20"/>
              </w:rPr>
            </w:pPr>
            <w:r>
              <w:rPr>
                <w:rFonts w:cs="Courier"/>
                <w:color w:val="000000"/>
                <w:szCs w:val="20"/>
              </w:rPr>
              <w:t>22.6</w:t>
            </w:r>
            <w:r w:rsidRPr="00A248C1">
              <w:rPr>
                <w:rFonts w:cs="Courier"/>
                <w:color w:val="000000"/>
                <w:szCs w:val="20"/>
              </w:rPr>
              <w:t xml:space="preserve"> (</w:t>
            </w:r>
            <w:r>
              <w:rPr>
                <w:rFonts w:cs="Courier"/>
                <w:color w:val="000000"/>
                <w:szCs w:val="20"/>
              </w:rPr>
              <w:t>6.9</w:t>
            </w:r>
            <w:r w:rsidRPr="00A248C1">
              <w:rPr>
                <w:rFonts w:cs="Courier"/>
                <w:color w:val="000000"/>
                <w:szCs w:val="20"/>
              </w:rPr>
              <w:t xml:space="preserve">, </w:t>
            </w:r>
            <w:r>
              <w:rPr>
                <w:rFonts w:cs="Courier"/>
                <w:color w:val="000000"/>
                <w:szCs w:val="20"/>
              </w:rPr>
              <w:t>38.4</w:t>
            </w:r>
            <w:r w:rsidRPr="00A248C1">
              <w:rPr>
                <w:rFonts w:cs="Courier"/>
                <w:color w:val="000000"/>
                <w:szCs w:val="20"/>
              </w:rPr>
              <w:t>)</w:t>
            </w:r>
          </w:p>
        </w:tc>
        <w:tc>
          <w:tcPr>
            <w:tcW w:w="678" w:type="pct"/>
            <w:vMerge/>
          </w:tcPr>
          <w:p w14:paraId="70E6B009" w14:textId="77777777" w:rsidR="00515ABE" w:rsidRPr="00C67006" w:rsidRDefault="00515ABE">
            <w:pPr>
              <w:pStyle w:val="TableText0"/>
              <w:keepLines/>
              <w:widowControl w:val="0"/>
              <w:jc w:val="center"/>
            </w:pPr>
          </w:p>
        </w:tc>
      </w:tr>
      <w:tr w:rsidR="00515ABE" w:rsidRPr="00511320" w14:paraId="248D4C57" w14:textId="77777777" w:rsidTr="00922865">
        <w:trPr>
          <w:trHeight w:val="20"/>
        </w:trPr>
        <w:tc>
          <w:tcPr>
            <w:tcW w:w="1860" w:type="pct"/>
            <w:tcBorders>
              <w:top w:val="single" w:sz="4" w:space="0" w:color="auto"/>
              <w:bottom w:val="single" w:sz="4" w:space="0" w:color="auto"/>
              <w:right w:val="single" w:sz="4" w:space="0" w:color="auto"/>
            </w:tcBorders>
            <w:shd w:val="clear" w:color="auto" w:fill="auto"/>
          </w:tcPr>
          <w:p w14:paraId="54E0A12F" w14:textId="794DAEF5" w:rsidR="00515ABE" w:rsidRPr="00330DAA" w:rsidRDefault="00515ABE">
            <w:pPr>
              <w:pStyle w:val="TableText0"/>
              <w:keepLines/>
              <w:widowControl w:val="0"/>
            </w:pPr>
            <w:r w:rsidRPr="00330DAA">
              <w:t xml:space="preserve">% not progressed at </w:t>
            </w:r>
            <w:r>
              <w:t>30</w:t>
            </w:r>
            <w:r w:rsidRPr="00330DAA">
              <w:t xml:space="preserve"> months (95% CI)</w:t>
            </w:r>
            <w:r>
              <w:t xml:space="preserve">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48946EBA" w14:textId="77777777" w:rsidR="00515ABE" w:rsidRPr="00330DAA" w:rsidRDefault="00515ABE">
            <w:pPr>
              <w:pStyle w:val="TableText0"/>
              <w:keepLines/>
              <w:widowControl w:val="0"/>
              <w:jc w:val="center"/>
              <w:rPr>
                <w:szCs w:val="20"/>
              </w:rPr>
            </w:pPr>
            <w:r>
              <w:rPr>
                <w:szCs w:val="20"/>
              </w:rPr>
              <w:t>49.7</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0168A992" w14:textId="77777777" w:rsidR="00515ABE" w:rsidRPr="00330DAA" w:rsidRDefault="00515ABE">
            <w:pPr>
              <w:pStyle w:val="TableText0"/>
              <w:keepLines/>
              <w:widowControl w:val="0"/>
              <w:jc w:val="center"/>
              <w:rPr>
                <w:szCs w:val="20"/>
              </w:rPr>
            </w:pPr>
            <w:r>
              <w:rPr>
                <w:szCs w:val="20"/>
                <w:lang w:val="en-US"/>
              </w:rPr>
              <w:t>NE</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273DEAE8" w14:textId="77777777" w:rsidR="00515ABE" w:rsidRPr="00330DAA" w:rsidRDefault="00515ABE">
            <w:pPr>
              <w:pStyle w:val="TableText0"/>
              <w:keepLines/>
              <w:widowControl w:val="0"/>
              <w:jc w:val="center"/>
              <w:rPr>
                <w:rFonts w:cs="Times New Roman"/>
                <w:szCs w:val="20"/>
              </w:rPr>
            </w:pPr>
            <w:r>
              <w:rPr>
                <w:rFonts w:cs="Courier"/>
                <w:color w:val="000000"/>
                <w:szCs w:val="20"/>
              </w:rPr>
              <w:t>NE</w:t>
            </w:r>
          </w:p>
        </w:tc>
        <w:tc>
          <w:tcPr>
            <w:tcW w:w="678" w:type="pct"/>
            <w:vMerge/>
          </w:tcPr>
          <w:p w14:paraId="0D6987D9" w14:textId="77777777" w:rsidR="00515ABE" w:rsidRPr="00511320" w:rsidRDefault="00515ABE">
            <w:pPr>
              <w:pStyle w:val="TableText0"/>
              <w:keepLines/>
              <w:widowControl w:val="0"/>
              <w:jc w:val="center"/>
            </w:pPr>
          </w:p>
        </w:tc>
      </w:tr>
      <w:tr w:rsidR="00515ABE" w:rsidRPr="00511320" w14:paraId="7E8590B9" w14:textId="77777777" w:rsidTr="00922865">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BB65FC9" w14:textId="77777777" w:rsidR="00515ABE" w:rsidRPr="00330DAA" w:rsidRDefault="00515ABE">
            <w:pPr>
              <w:pStyle w:val="In-tableHeading"/>
            </w:pPr>
            <w:r w:rsidRPr="00330DAA">
              <w:t>Overall survival</w:t>
            </w:r>
            <w:r>
              <w:t xml:space="preserve"> for the ITT-pembrolizumab population in the LIBRETTO-431 trial </w:t>
            </w:r>
            <w:r w:rsidRPr="00330DAA">
              <w:t xml:space="preserve">(median duration of follow up </w:t>
            </w:r>
            <w:r w:rsidRPr="001810E1">
              <w:t xml:space="preserve">21.65 </w:t>
            </w:r>
            <w:r w:rsidRPr="00330DAA">
              <w:t>months)</w:t>
            </w:r>
          </w:p>
        </w:tc>
      </w:tr>
      <w:tr w:rsidR="00515ABE" w:rsidRPr="00511320" w14:paraId="65ACF279" w14:textId="77777777" w:rsidTr="00922865">
        <w:trPr>
          <w:trHeight w:val="20"/>
        </w:trPr>
        <w:tc>
          <w:tcPr>
            <w:tcW w:w="1860" w:type="pct"/>
            <w:tcBorders>
              <w:top w:val="single" w:sz="4" w:space="0" w:color="auto"/>
              <w:left w:val="single" w:sz="4" w:space="0" w:color="auto"/>
              <w:bottom w:val="single" w:sz="4" w:space="0" w:color="auto"/>
              <w:right w:val="single" w:sz="4" w:space="0" w:color="auto"/>
            </w:tcBorders>
            <w:shd w:val="clear" w:color="auto" w:fill="auto"/>
          </w:tcPr>
          <w:p w14:paraId="650E0489" w14:textId="77777777" w:rsidR="00515ABE" w:rsidRPr="00330DAA" w:rsidRDefault="00515ABE">
            <w:pPr>
              <w:pStyle w:val="TableText0"/>
              <w:keepLines/>
              <w:widowControl w:val="0"/>
            </w:pPr>
            <w:r w:rsidRPr="00330DAA">
              <w:t xml:space="preserve">Deaths, n/N (%)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5D0FB5F" w14:textId="77777777" w:rsidR="00515ABE" w:rsidRPr="00330DAA" w:rsidRDefault="00515ABE">
            <w:pPr>
              <w:pStyle w:val="TableText0"/>
              <w:keepLines/>
              <w:widowControl w:val="0"/>
              <w:jc w:val="center"/>
            </w:pPr>
            <w:r>
              <w:rPr>
                <w:szCs w:val="20"/>
              </w:rPr>
              <w:t>25</w:t>
            </w:r>
            <w:r w:rsidRPr="007E1A40">
              <w:rPr>
                <w:szCs w:val="20"/>
              </w:rPr>
              <w:t>/1</w:t>
            </w:r>
            <w:r>
              <w:rPr>
                <w:szCs w:val="20"/>
              </w:rPr>
              <w:t>29</w:t>
            </w:r>
            <w:r w:rsidRPr="007E1A40">
              <w:rPr>
                <w:szCs w:val="20"/>
              </w:rPr>
              <w:t xml:space="preserve"> (</w:t>
            </w:r>
            <w:r>
              <w:rPr>
                <w:szCs w:val="20"/>
              </w:rPr>
              <w:t>19.4%</w:t>
            </w:r>
            <w:r w:rsidRPr="007E1A40">
              <w:rPr>
                <w:szCs w:val="20"/>
              </w:rPr>
              <w:t>)</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1D48522A" w14:textId="77777777" w:rsidR="00515ABE" w:rsidRPr="00330DAA" w:rsidRDefault="00515ABE">
            <w:pPr>
              <w:pStyle w:val="TableText0"/>
              <w:keepLines/>
              <w:widowControl w:val="0"/>
              <w:jc w:val="center"/>
            </w:pPr>
            <w:r w:rsidRPr="007E1A40">
              <w:rPr>
                <w:szCs w:val="20"/>
              </w:rPr>
              <w:t>1</w:t>
            </w:r>
            <w:r>
              <w:rPr>
                <w:szCs w:val="20"/>
              </w:rPr>
              <w:t>5</w:t>
            </w:r>
            <w:r w:rsidRPr="007E1A40">
              <w:rPr>
                <w:szCs w:val="20"/>
              </w:rPr>
              <w:t>/</w:t>
            </w:r>
            <w:r>
              <w:rPr>
                <w:szCs w:val="20"/>
              </w:rPr>
              <w:t>83</w:t>
            </w:r>
            <w:r w:rsidRPr="007E1A40">
              <w:rPr>
                <w:szCs w:val="20"/>
              </w:rPr>
              <w:t xml:space="preserve"> (1</w:t>
            </w:r>
            <w:r>
              <w:rPr>
                <w:szCs w:val="20"/>
              </w:rPr>
              <w:t>8.1%</w:t>
            </w:r>
            <w:r w:rsidRPr="007E1A40">
              <w:rPr>
                <w:szCs w:val="20"/>
              </w:rPr>
              <w:t>)</w:t>
            </w:r>
          </w:p>
        </w:tc>
        <w:tc>
          <w:tcPr>
            <w:tcW w:w="731" w:type="pct"/>
            <w:tcBorders>
              <w:top w:val="single" w:sz="4" w:space="0" w:color="auto"/>
              <w:left w:val="single" w:sz="4" w:space="0" w:color="auto"/>
              <w:bottom w:val="single" w:sz="4" w:space="0" w:color="auto"/>
              <w:right w:val="single" w:sz="4" w:space="0" w:color="auto"/>
            </w:tcBorders>
            <w:shd w:val="clear" w:color="auto" w:fill="auto"/>
          </w:tcPr>
          <w:p w14:paraId="7A84E940" w14:textId="25F07BDC" w:rsidR="00515ABE" w:rsidRPr="00330DAA" w:rsidRDefault="00957E82">
            <w:pPr>
              <w:pStyle w:val="TableText0"/>
              <w:keepLines/>
              <w:widowControl w:val="0"/>
              <w:jc w:val="center"/>
            </w:pPr>
            <w:r>
              <w:t>-</w:t>
            </w:r>
          </w:p>
        </w:tc>
        <w:tc>
          <w:tcPr>
            <w:tcW w:w="678" w:type="pct"/>
            <w:vMerge w:val="restart"/>
            <w:tcBorders>
              <w:top w:val="single" w:sz="4" w:space="0" w:color="auto"/>
              <w:left w:val="single" w:sz="4" w:space="0" w:color="auto"/>
              <w:right w:val="single" w:sz="4" w:space="0" w:color="auto"/>
            </w:tcBorders>
            <w:shd w:val="clear" w:color="auto" w:fill="auto"/>
          </w:tcPr>
          <w:p w14:paraId="57F52DD7" w14:textId="4F3FB08A" w:rsidR="00515ABE" w:rsidRPr="00901232" w:rsidRDefault="00515ABE">
            <w:pPr>
              <w:pStyle w:val="TableText0"/>
              <w:keepLines/>
              <w:widowControl w:val="0"/>
              <w:jc w:val="center"/>
              <w:rPr>
                <w:vertAlign w:val="superscript"/>
              </w:rPr>
            </w:pPr>
            <w:r w:rsidRPr="000C3F6E">
              <w:t>0.961</w:t>
            </w:r>
            <w:r w:rsidR="00994B9A">
              <w:t xml:space="preserve"> </w:t>
            </w:r>
            <w:r w:rsidR="006F2671">
              <w:rPr>
                <w:vertAlign w:val="superscript"/>
              </w:rPr>
              <w:t>a</w:t>
            </w:r>
          </w:p>
          <w:p w14:paraId="73EC7907" w14:textId="4CBFFED4" w:rsidR="00515ABE" w:rsidRPr="00901232" w:rsidRDefault="00515ABE">
            <w:pPr>
              <w:pStyle w:val="TableText0"/>
              <w:keepLines/>
              <w:widowControl w:val="0"/>
              <w:jc w:val="center"/>
              <w:rPr>
                <w:vertAlign w:val="superscript"/>
              </w:rPr>
            </w:pPr>
            <w:r w:rsidRPr="000C3F6E">
              <w:t>(0.503, 1.835)</w:t>
            </w:r>
            <w:r w:rsidR="006F2671">
              <w:t xml:space="preserve"> </w:t>
            </w:r>
            <w:r w:rsidR="006F2671">
              <w:rPr>
                <w:vertAlign w:val="superscript"/>
              </w:rPr>
              <w:t>b</w:t>
            </w:r>
          </w:p>
          <w:p w14:paraId="51EBFF46" w14:textId="77777777" w:rsidR="00515ABE" w:rsidRPr="00511320" w:rsidRDefault="00515ABE">
            <w:pPr>
              <w:pStyle w:val="TableText0"/>
              <w:keepLines/>
              <w:widowControl w:val="0"/>
              <w:jc w:val="center"/>
            </w:pPr>
            <w:r>
              <w:t>P=0.9033</w:t>
            </w:r>
            <w:r w:rsidRPr="00AA45DC">
              <w:rPr>
                <w:vertAlign w:val="superscript"/>
              </w:rPr>
              <w:t xml:space="preserve"> c</w:t>
            </w:r>
          </w:p>
        </w:tc>
      </w:tr>
      <w:tr w:rsidR="00515ABE" w:rsidRPr="00C67006" w14:paraId="267A7912" w14:textId="77777777" w:rsidTr="00922865">
        <w:trPr>
          <w:trHeight w:val="20"/>
        </w:trPr>
        <w:tc>
          <w:tcPr>
            <w:tcW w:w="1860" w:type="pct"/>
            <w:tcBorders>
              <w:top w:val="single" w:sz="4" w:space="0" w:color="auto"/>
              <w:left w:val="single" w:sz="4" w:space="0" w:color="auto"/>
              <w:bottom w:val="single" w:sz="4" w:space="0" w:color="auto"/>
              <w:right w:val="single" w:sz="4" w:space="0" w:color="auto"/>
            </w:tcBorders>
            <w:shd w:val="clear" w:color="auto" w:fill="auto"/>
          </w:tcPr>
          <w:p w14:paraId="36DF0830" w14:textId="77777777" w:rsidR="00515ABE" w:rsidRPr="00330DAA" w:rsidRDefault="00515ABE">
            <w:pPr>
              <w:pStyle w:val="TableText0"/>
              <w:keepLines/>
              <w:widowControl w:val="0"/>
            </w:pPr>
            <w:r>
              <w:t xml:space="preserve">Median OS, </w:t>
            </w:r>
            <w:r w:rsidRPr="00330DAA">
              <w:t>months</w:t>
            </w:r>
            <w:r>
              <w:t xml:space="preserve"> (95% CI)</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2549F96C" w14:textId="77777777" w:rsidR="00515ABE" w:rsidRPr="00330DAA" w:rsidRDefault="00515ABE">
            <w:pPr>
              <w:pStyle w:val="TableText0"/>
              <w:keepLines/>
              <w:widowControl w:val="0"/>
              <w:jc w:val="center"/>
              <w:rPr>
                <w:rFonts w:cs="Times New Roman"/>
                <w:szCs w:val="20"/>
              </w:rPr>
            </w:pPr>
            <w:r>
              <w:rPr>
                <w:szCs w:val="20"/>
              </w:rPr>
              <w:t>NE</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21F271DD" w14:textId="77777777" w:rsidR="00515ABE" w:rsidRPr="00330DAA" w:rsidRDefault="00515ABE">
            <w:pPr>
              <w:pStyle w:val="TableText0"/>
              <w:keepLines/>
              <w:widowControl w:val="0"/>
              <w:jc w:val="center"/>
              <w:rPr>
                <w:rFonts w:cs="Times New Roman"/>
                <w:szCs w:val="20"/>
              </w:rPr>
            </w:pPr>
            <w:r>
              <w:rPr>
                <w:szCs w:val="20"/>
              </w:rPr>
              <w:t>NE</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D06E5A7" w14:textId="77777777" w:rsidR="00515ABE" w:rsidRPr="00330DAA" w:rsidRDefault="00515ABE">
            <w:pPr>
              <w:pStyle w:val="TableText0"/>
              <w:keepLines/>
              <w:widowControl w:val="0"/>
              <w:jc w:val="center"/>
            </w:pPr>
            <w:r>
              <w:t>NE</w:t>
            </w:r>
          </w:p>
        </w:tc>
        <w:tc>
          <w:tcPr>
            <w:tcW w:w="678" w:type="pct"/>
            <w:vMerge/>
          </w:tcPr>
          <w:p w14:paraId="3CA5249D" w14:textId="77777777" w:rsidR="00515ABE" w:rsidRPr="00C67006" w:rsidRDefault="00515ABE">
            <w:pPr>
              <w:pStyle w:val="TableText0"/>
              <w:keepLines/>
              <w:widowControl w:val="0"/>
              <w:jc w:val="center"/>
              <w:rPr>
                <w:szCs w:val="20"/>
              </w:rPr>
            </w:pPr>
          </w:p>
        </w:tc>
      </w:tr>
      <w:tr w:rsidR="00515ABE" w:rsidRPr="00511320" w14:paraId="11A87AC6" w14:textId="77777777" w:rsidTr="00922865">
        <w:trPr>
          <w:trHeight w:val="20"/>
        </w:trPr>
        <w:tc>
          <w:tcPr>
            <w:tcW w:w="1860" w:type="pct"/>
            <w:tcBorders>
              <w:top w:val="single" w:sz="4" w:space="0" w:color="auto"/>
              <w:left w:val="single" w:sz="4" w:space="0" w:color="auto"/>
              <w:bottom w:val="single" w:sz="4" w:space="0" w:color="auto"/>
              <w:right w:val="single" w:sz="4" w:space="0" w:color="auto"/>
            </w:tcBorders>
            <w:shd w:val="clear" w:color="auto" w:fill="auto"/>
          </w:tcPr>
          <w:p w14:paraId="43837FCE" w14:textId="69EC1762" w:rsidR="00515ABE" w:rsidRPr="00330DAA" w:rsidRDefault="00515ABE">
            <w:pPr>
              <w:pStyle w:val="TableText0"/>
              <w:keepLines/>
              <w:widowControl w:val="0"/>
            </w:pPr>
            <w:r w:rsidRPr="00330DAA">
              <w:t xml:space="preserve">% Alive at </w:t>
            </w:r>
            <w:r>
              <w:t xml:space="preserve">6 </w:t>
            </w:r>
            <w:r w:rsidRPr="00330DAA">
              <w:t>months (95% CI)</w:t>
            </w:r>
            <w:r w:rsidRPr="00AA45DC">
              <w:rPr>
                <w:vertAlign w:val="superscript"/>
              </w:rPr>
              <w:t xml:space="preserve"> </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6CADAA1" w14:textId="77777777" w:rsidR="00515ABE" w:rsidRPr="00330DAA" w:rsidRDefault="00515ABE">
            <w:pPr>
              <w:pStyle w:val="TableText0"/>
              <w:keepLines/>
              <w:widowControl w:val="0"/>
              <w:jc w:val="center"/>
            </w:pPr>
            <w:r w:rsidRPr="000300B6">
              <w:rPr>
                <w:szCs w:val="20"/>
              </w:rPr>
              <w:t>9</w:t>
            </w:r>
            <w:r>
              <w:rPr>
                <w:szCs w:val="20"/>
              </w:rPr>
              <w:t>5.3</w:t>
            </w:r>
            <w:r w:rsidRPr="000300B6">
              <w:rPr>
                <w:szCs w:val="20"/>
              </w:rPr>
              <w:t xml:space="preserve"> (</w:t>
            </w:r>
            <w:r>
              <w:rPr>
                <w:szCs w:val="20"/>
              </w:rPr>
              <w:t>89.9</w:t>
            </w:r>
            <w:r w:rsidRPr="000300B6">
              <w:rPr>
                <w:szCs w:val="20"/>
              </w:rPr>
              <w:t>, 97.</w:t>
            </w:r>
            <w:r>
              <w:rPr>
                <w:szCs w:val="20"/>
              </w:rPr>
              <w:t>9</w:t>
            </w:r>
            <w:r w:rsidRPr="000300B6">
              <w:rPr>
                <w:szCs w:val="20"/>
              </w:rPr>
              <w:t>)</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F320F54" w14:textId="77777777" w:rsidR="00515ABE" w:rsidRPr="00330DAA" w:rsidRDefault="00515ABE">
            <w:pPr>
              <w:pStyle w:val="TableText0"/>
              <w:keepLines/>
              <w:widowControl w:val="0"/>
              <w:jc w:val="center"/>
              <w:rPr>
                <w:szCs w:val="20"/>
              </w:rPr>
            </w:pPr>
            <w:r w:rsidRPr="006F4D4B">
              <w:rPr>
                <w:szCs w:val="20"/>
              </w:rPr>
              <w:t>9</w:t>
            </w:r>
            <w:r>
              <w:rPr>
                <w:szCs w:val="20"/>
              </w:rPr>
              <w:t>5.1</w:t>
            </w:r>
            <w:r w:rsidRPr="006F4D4B">
              <w:rPr>
                <w:szCs w:val="20"/>
              </w:rPr>
              <w:t xml:space="preserve"> (8</w:t>
            </w:r>
            <w:r>
              <w:rPr>
                <w:szCs w:val="20"/>
              </w:rPr>
              <w:t>7.4</w:t>
            </w:r>
            <w:r w:rsidRPr="006F4D4B">
              <w:rPr>
                <w:szCs w:val="20"/>
              </w:rPr>
              <w:t>, 98.</w:t>
            </w:r>
            <w:r>
              <w:rPr>
                <w:szCs w:val="20"/>
              </w:rPr>
              <w:t>1</w:t>
            </w:r>
            <w:r w:rsidRPr="006F4D4B">
              <w:rPr>
                <w:szCs w:val="20"/>
              </w:rPr>
              <w:t>)</w:t>
            </w:r>
          </w:p>
        </w:tc>
        <w:tc>
          <w:tcPr>
            <w:tcW w:w="731" w:type="pct"/>
            <w:tcBorders>
              <w:top w:val="single" w:sz="4" w:space="0" w:color="auto"/>
              <w:left w:val="single" w:sz="4" w:space="0" w:color="auto"/>
              <w:bottom w:val="single" w:sz="4" w:space="0" w:color="auto"/>
              <w:right w:val="single" w:sz="4" w:space="0" w:color="auto"/>
            </w:tcBorders>
            <w:shd w:val="clear" w:color="auto" w:fill="auto"/>
          </w:tcPr>
          <w:p w14:paraId="4E82F63C" w14:textId="77777777" w:rsidR="00515ABE" w:rsidRPr="00330DAA" w:rsidRDefault="00515ABE">
            <w:pPr>
              <w:pStyle w:val="TableText0"/>
              <w:keepLines/>
              <w:widowControl w:val="0"/>
              <w:jc w:val="center"/>
            </w:pPr>
            <w:r>
              <w:t>0.3</w:t>
            </w:r>
            <w:r w:rsidRPr="006F4D4B">
              <w:t xml:space="preserve"> (-</w:t>
            </w:r>
            <w:r>
              <w:t>5.7</w:t>
            </w:r>
            <w:r w:rsidRPr="006F4D4B">
              <w:t xml:space="preserve">, </w:t>
            </w:r>
            <w:r>
              <w:t>6.2</w:t>
            </w:r>
            <w:r w:rsidRPr="006F4D4B">
              <w:t>)</w:t>
            </w:r>
          </w:p>
        </w:tc>
        <w:tc>
          <w:tcPr>
            <w:tcW w:w="678" w:type="pct"/>
            <w:vMerge/>
          </w:tcPr>
          <w:p w14:paraId="112D4B25" w14:textId="77777777" w:rsidR="00515ABE" w:rsidRPr="00511320" w:rsidRDefault="00515ABE">
            <w:pPr>
              <w:pStyle w:val="TableText0"/>
              <w:keepLines/>
              <w:widowControl w:val="0"/>
              <w:jc w:val="center"/>
            </w:pPr>
          </w:p>
        </w:tc>
      </w:tr>
      <w:tr w:rsidR="00515ABE" w:rsidRPr="00511320" w14:paraId="4945BDB5" w14:textId="77777777" w:rsidTr="00922865">
        <w:trPr>
          <w:trHeight w:val="20"/>
        </w:trPr>
        <w:tc>
          <w:tcPr>
            <w:tcW w:w="1860" w:type="pct"/>
            <w:tcBorders>
              <w:top w:val="single" w:sz="4" w:space="0" w:color="auto"/>
              <w:left w:val="single" w:sz="4" w:space="0" w:color="auto"/>
              <w:bottom w:val="single" w:sz="4" w:space="0" w:color="auto"/>
              <w:right w:val="single" w:sz="4" w:space="0" w:color="auto"/>
            </w:tcBorders>
            <w:shd w:val="clear" w:color="auto" w:fill="auto"/>
          </w:tcPr>
          <w:p w14:paraId="077AB77A" w14:textId="3B2AB362" w:rsidR="00515ABE" w:rsidRPr="00330DAA" w:rsidRDefault="00515ABE">
            <w:pPr>
              <w:pStyle w:val="TableText0"/>
              <w:keepLines/>
              <w:widowControl w:val="0"/>
            </w:pPr>
            <w:r w:rsidRPr="00330DAA">
              <w:t xml:space="preserve">% Alive at </w:t>
            </w:r>
            <w:r>
              <w:t xml:space="preserve">24 </w:t>
            </w:r>
            <w:r w:rsidRPr="00330DAA">
              <w:t>months (95% CI)</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09DD89FB" w14:textId="77777777" w:rsidR="00515ABE" w:rsidRPr="000300B6" w:rsidRDefault="00515ABE">
            <w:pPr>
              <w:pStyle w:val="TableText0"/>
              <w:keepLines/>
              <w:widowControl w:val="0"/>
              <w:jc w:val="center"/>
              <w:rPr>
                <w:szCs w:val="20"/>
              </w:rPr>
            </w:pPr>
            <w:r w:rsidRPr="0022182D">
              <w:rPr>
                <w:szCs w:val="20"/>
              </w:rPr>
              <w:t>75.2 (65.0, 82.8)</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130320AD" w14:textId="77777777" w:rsidR="00515ABE" w:rsidRPr="006F4D4B" w:rsidRDefault="00515ABE">
            <w:pPr>
              <w:pStyle w:val="TableText0"/>
              <w:keepLines/>
              <w:widowControl w:val="0"/>
              <w:jc w:val="center"/>
              <w:rPr>
                <w:szCs w:val="20"/>
              </w:rPr>
            </w:pPr>
            <w:r w:rsidRPr="00FD1C35">
              <w:rPr>
                <w:szCs w:val="20"/>
              </w:rPr>
              <w:t>79.0 (67.3, 86.9)</w:t>
            </w:r>
          </w:p>
        </w:tc>
        <w:tc>
          <w:tcPr>
            <w:tcW w:w="731" w:type="pct"/>
            <w:tcBorders>
              <w:top w:val="single" w:sz="4" w:space="0" w:color="auto"/>
              <w:left w:val="single" w:sz="4" w:space="0" w:color="auto"/>
              <w:bottom w:val="single" w:sz="4" w:space="0" w:color="auto"/>
              <w:right w:val="single" w:sz="4" w:space="0" w:color="auto"/>
            </w:tcBorders>
            <w:shd w:val="clear" w:color="auto" w:fill="auto"/>
          </w:tcPr>
          <w:p w14:paraId="7A09530D" w14:textId="77777777" w:rsidR="00515ABE" w:rsidRDefault="00515ABE">
            <w:pPr>
              <w:pStyle w:val="TableText0"/>
              <w:keepLines/>
              <w:widowControl w:val="0"/>
              <w:jc w:val="center"/>
            </w:pPr>
            <w:r w:rsidRPr="00FC576A">
              <w:t>-3.8 (-16.9, 9.3)</w:t>
            </w:r>
          </w:p>
        </w:tc>
        <w:tc>
          <w:tcPr>
            <w:tcW w:w="678" w:type="pct"/>
            <w:vMerge/>
          </w:tcPr>
          <w:p w14:paraId="52C4217E" w14:textId="77777777" w:rsidR="00515ABE" w:rsidRPr="00511320" w:rsidRDefault="00515ABE">
            <w:pPr>
              <w:pStyle w:val="TableText0"/>
              <w:keepLines/>
              <w:widowControl w:val="0"/>
              <w:jc w:val="center"/>
            </w:pPr>
          </w:p>
        </w:tc>
      </w:tr>
      <w:tr w:rsidR="00515ABE" w:rsidRPr="00511320" w14:paraId="30B5AA15" w14:textId="77777777" w:rsidTr="00922865">
        <w:trPr>
          <w:trHeight w:val="20"/>
        </w:trPr>
        <w:tc>
          <w:tcPr>
            <w:tcW w:w="1860" w:type="pct"/>
            <w:tcBorders>
              <w:top w:val="single" w:sz="4" w:space="0" w:color="auto"/>
              <w:left w:val="single" w:sz="4" w:space="0" w:color="auto"/>
              <w:bottom w:val="single" w:sz="4" w:space="0" w:color="auto"/>
              <w:right w:val="single" w:sz="4" w:space="0" w:color="auto"/>
            </w:tcBorders>
            <w:shd w:val="clear" w:color="auto" w:fill="auto"/>
          </w:tcPr>
          <w:p w14:paraId="138BA7EA" w14:textId="0B8A196D" w:rsidR="00515ABE" w:rsidRPr="00330DAA" w:rsidRDefault="00515ABE">
            <w:pPr>
              <w:pStyle w:val="TableText0"/>
              <w:keepLines/>
              <w:widowControl w:val="0"/>
            </w:pPr>
            <w:r w:rsidRPr="007E1A40">
              <w:rPr>
                <w:szCs w:val="20"/>
              </w:rPr>
              <w:t xml:space="preserve">% </w:t>
            </w:r>
            <w:r w:rsidR="00FB4933">
              <w:rPr>
                <w:szCs w:val="20"/>
              </w:rPr>
              <w:t>A</w:t>
            </w:r>
            <w:r w:rsidRPr="007E1A40">
              <w:rPr>
                <w:szCs w:val="20"/>
              </w:rPr>
              <w:t>live at 30 months (95% CI)</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FB589B5" w14:textId="77777777" w:rsidR="00515ABE" w:rsidRPr="00330DAA" w:rsidRDefault="00515ABE">
            <w:pPr>
              <w:pStyle w:val="TableText0"/>
              <w:keepLines/>
              <w:widowControl w:val="0"/>
              <w:jc w:val="center"/>
              <w:rPr>
                <w:szCs w:val="20"/>
              </w:rPr>
            </w:pPr>
            <w:r w:rsidRPr="007E1A40">
              <w:rPr>
                <w:rFonts w:cs="Courier"/>
                <w:color w:val="000000"/>
                <w:szCs w:val="20"/>
              </w:rPr>
              <w:t>7</w:t>
            </w:r>
            <w:r>
              <w:rPr>
                <w:rFonts w:cs="Courier"/>
                <w:color w:val="000000"/>
                <w:szCs w:val="20"/>
              </w:rPr>
              <w:t>5.2</w:t>
            </w:r>
            <w:r w:rsidRPr="007E1A40">
              <w:rPr>
                <w:rFonts w:cs="Courier"/>
                <w:color w:val="000000"/>
                <w:szCs w:val="20"/>
              </w:rPr>
              <w:t xml:space="preserve"> (6</w:t>
            </w:r>
            <w:r>
              <w:rPr>
                <w:rFonts w:cs="Courier"/>
                <w:color w:val="000000"/>
                <w:szCs w:val="20"/>
              </w:rPr>
              <w:t>5.0</w:t>
            </w:r>
            <w:r w:rsidRPr="007E1A40">
              <w:rPr>
                <w:rFonts w:cs="Courier"/>
                <w:color w:val="000000"/>
                <w:szCs w:val="20"/>
              </w:rPr>
              <w:t>, 8</w:t>
            </w:r>
            <w:r>
              <w:rPr>
                <w:rFonts w:cs="Courier"/>
                <w:color w:val="000000"/>
                <w:szCs w:val="20"/>
              </w:rPr>
              <w:t>2.8</w:t>
            </w:r>
            <w:r w:rsidRPr="007E1A40">
              <w:rPr>
                <w:rFonts w:cs="Courier"/>
                <w:color w:val="000000"/>
                <w:szCs w:val="20"/>
              </w:rPr>
              <w:t>)</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2270CC75" w14:textId="77777777" w:rsidR="00515ABE" w:rsidRPr="00330DAA" w:rsidRDefault="00515ABE">
            <w:pPr>
              <w:pStyle w:val="TableText0"/>
              <w:keepLines/>
              <w:widowControl w:val="0"/>
              <w:jc w:val="center"/>
              <w:rPr>
                <w:szCs w:val="20"/>
              </w:rPr>
            </w:pPr>
            <w:r w:rsidRPr="007E1A40">
              <w:rPr>
                <w:rFonts w:cs="Courier"/>
                <w:color w:val="000000"/>
                <w:szCs w:val="20"/>
              </w:rPr>
              <w:t>7</w:t>
            </w:r>
            <w:r>
              <w:rPr>
                <w:rFonts w:cs="Courier"/>
                <w:color w:val="000000"/>
                <w:szCs w:val="20"/>
              </w:rPr>
              <w:t xml:space="preserve">9.0 </w:t>
            </w:r>
            <w:r w:rsidRPr="007E1A40">
              <w:rPr>
                <w:rFonts w:cs="Courier"/>
                <w:color w:val="000000"/>
                <w:szCs w:val="20"/>
              </w:rPr>
              <w:t>(6</w:t>
            </w:r>
            <w:r>
              <w:rPr>
                <w:rFonts w:cs="Courier"/>
                <w:color w:val="000000"/>
                <w:szCs w:val="20"/>
              </w:rPr>
              <w:t>7.3</w:t>
            </w:r>
            <w:r w:rsidRPr="007E1A40">
              <w:rPr>
                <w:rFonts w:cs="Courier"/>
                <w:color w:val="000000"/>
                <w:szCs w:val="20"/>
              </w:rPr>
              <w:t>, 8</w:t>
            </w:r>
            <w:r>
              <w:rPr>
                <w:rFonts w:cs="Courier"/>
                <w:color w:val="000000"/>
                <w:szCs w:val="20"/>
              </w:rPr>
              <w:t>6.9</w:t>
            </w:r>
            <w:r w:rsidRPr="007E1A40">
              <w:rPr>
                <w:rFonts w:cs="Courier"/>
                <w:color w:val="000000"/>
                <w:szCs w:val="20"/>
              </w:rPr>
              <w:t>)</w:t>
            </w:r>
          </w:p>
        </w:tc>
        <w:tc>
          <w:tcPr>
            <w:tcW w:w="731" w:type="pct"/>
            <w:tcBorders>
              <w:top w:val="single" w:sz="4" w:space="0" w:color="auto"/>
              <w:left w:val="single" w:sz="4" w:space="0" w:color="auto"/>
              <w:bottom w:val="single" w:sz="4" w:space="0" w:color="auto"/>
              <w:right w:val="single" w:sz="4" w:space="0" w:color="auto"/>
            </w:tcBorders>
            <w:shd w:val="clear" w:color="auto" w:fill="auto"/>
          </w:tcPr>
          <w:p w14:paraId="5C6066F7" w14:textId="77777777" w:rsidR="00515ABE" w:rsidRPr="00330DAA" w:rsidRDefault="00515ABE">
            <w:pPr>
              <w:pStyle w:val="TableText0"/>
              <w:keepLines/>
              <w:widowControl w:val="0"/>
              <w:jc w:val="center"/>
            </w:pPr>
            <w:r w:rsidRPr="007E1A40">
              <w:rPr>
                <w:rFonts w:cs="Courier"/>
                <w:color w:val="000000"/>
                <w:szCs w:val="20"/>
              </w:rPr>
              <w:t>-</w:t>
            </w:r>
            <w:r>
              <w:rPr>
                <w:rFonts w:cs="Courier"/>
                <w:color w:val="000000"/>
                <w:szCs w:val="20"/>
              </w:rPr>
              <w:t>3.8</w:t>
            </w:r>
            <w:r w:rsidRPr="007E1A40">
              <w:rPr>
                <w:rFonts w:cs="Courier"/>
                <w:color w:val="000000"/>
                <w:szCs w:val="20"/>
              </w:rPr>
              <w:t xml:space="preserve"> (-1</w:t>
            </w:r>
            <w:r>
              <w:rPr>
                <w:rFonts w:cs="Courier"/>
                <w:color w:val="000000"/>
                <w:szCs w:val="20"/>
              </w:rPr>
              <w:t>6</w:t>
            </w:r>
            <w:r w:rsidRPr="007E1A40">
              <w:rPr>
                <w:rFonts w:cs="Courier"/>
                <w:color w:val="000000"/>
                <w:szCs w:val="20"/>
              </w:rPr>
              <w:t xml:space="preserve">.9, </w:t>
            </w:r>
            <w:r>
              <w:rPr>
                <w:rFonts w:cs="Courier"/>
                <w:color w:val="000000"/>
                <w:szCs w:val="20"/>
              </w:rPr>
              <w:t>9.3</w:t>
            </w:r>
            <w:r w:rsidRPr="007E1A40">
              <w:rPr>
                <w:rFonts w:cs="Courier"/>
                <w:color w:val="000000"/>
                <w:szCs w:val="20"/>
              </w:rPr>
              <w:t>)</w:t>
            </w:r>
          </w:p>
        </w:tc>
        <w:tc>
          <w:tcPr>
            <w:tcW w:w="678" w:type="pct"/>
            <w:vMerge/>
          </w:tcPr>
          <w:p w14:paraId="795AEFFD" w14:textId="77777777" w:rsidR="00515ABE" w:rsidRPr="00511320" w:rsidRDefault="00515ABE">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2756"/>
        <w:gridCol w:w="1199"/>
        <w:gridCol w:w="1199"/>
        <w:gridCol w:w="720"/>
        <w:gridCol w:w="1205"/>
        <w:gridCol w:w="1197"/>
        <w:gridCol w:w="741"/>
      </w:tblGrid>
      <w:tr w:rsidR="00515ABE" w:rsidRPr="00E2771E" w14:paraId="00ED414A" w14:textId="7777777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44AB421" w14:textId="77777777" w:rsidR="00515ABE" w:rsidRPr="00E2771E" w:rsidRDefault="00515ABE">
            <w:pPr>
              <w:pStyle w:val="In-tableHeading"/>
            </w:pPr>
            <w:r w:rsidRPr="00E2771E">
              <w:t xml:space="preserve">Harms </w:t>
            </w:r>
            <w:r>
              <w:t>(Safety population)</w:t>
            </w:r>
          </w:p>
        </w:tc>
      </w:tr>
      <w:tr w:rsidR="00515ABE" w:rsidRPr="00E2771E" w14:paraId="2BA20320" w14:textId="77777777" w:rsidTr="00BC5A69">
        <w:trPr>
          <w:trHeight w:val="70"/>
        </w:trPr>
        <w:tc>
          <w:tcPr>
            <w:tcW w:w="1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EE6B8E" w14:textId="77777777" w:rsidR="00515ABE" w:rsidRPr="00E2771E" w:rsidRDefault="00515ABE">
            <w:pPr>
              <w:pStyle w:val="In-tableHeading"/>
            </w:pPr>
          </w:p>
        </w:tc>
        <w:tc>
          <w:tcPr>
            <w:tcW w:w="665" w:type="pct"/>
            <w:vMerge w:val="restart"/>
            <w:tcBorders>
              <w:top w:val="single" w:sz="4" w:space="0" w:color="auto"/>
              <w:left w:val="single" w:sz="4" w:space="0" w:color="auto"/>
              <w:bottom w:val="single" w:sz="4" w:space="0" w:color="auto"/>
              <w:right w:val="single" w:sz="4" w:space="0" w:color="auto"/>
            </w:tcBorders>
            <w:vAlign w:val="center"/>
          </w:tcPr>
          <w:p w14:paraId="5DA0FEDA" w14:textId="77777777" w:rsidR="00515ABE" w:rsidRDefault="00515ABE">
            <w:pPr>
              <w:pStyle w:val="In-tableHeading"/>
              <w:jc w:val="center"/>
            </w:pPr>
            <w:r>
              <w:t>Selpercatinib</w:t>
            </w:r>
          </w:p>
          <w:p w14:paraId="045DD57E" w14:textId="140E4C80" w:rsidR="00515ABE" w:rsidRPr="00E2771E" w:rsidRDefault="00BC5A69">
            <w:pPr>
              <w:pStyle w:val="In-tableHeading"/>
              <w:jc w:val="center"/>
            </w:pPr>
            <w:r>
              <w:t>(</w:t>
            </w:r>
            <w:r w:rsidR="00515ABE">
              <w:t>N=158</w:t>
            </w:r>
            <w:r>
              <w:t>)</w:t>
            </w:r>
          </w:p>
        </w:tc>
        <w:tc>
          <w:tcPr>
            <w:tcW w:w="665" w:type="pct"/>
            <w:vMerge w:val="restart"/>
            <w:tcBorders>
              <w:top w:val="single" w:sz="4" w:space="0" w:color="auto"/>
              <w:left w:val="single" w:sz="4" w:space="0" w:color="auto"/>
              <w:bottom w:val="single" w:sz="4" w:space="0" w:color="auto"/>
              <w:right w:val="single" w:sz="4" w:space="0" w:color="auto"/>
            </w:tcBorders>
            <w:vAlign w:val="center"/>
          </w:tcPr>
          <w:p w14:paraId="4275BFA0" w14:textId="7873B575" w:rsidR="00515ABE" w:rsidRPr="00E2771E" w:rsidRDefault="00515ABE" w:rsidP="00BC5A69">
            <w:pPr>
              <w:pStyle w:val="Caption"/>
              <w:jc w:val="center"/>
            </w:pPr>
            <w:r>
              <w:rPr>
                <w:rStyle w:val="CommentReference"/>
                <w:b/>
                <w:szCs w:val="24"/>
              </w:rPr>
              <w:t>Pembro ± PC</w:t>
            </w:r>
            <w:r w:rsidR="00BC5A69">
              <w:rPr>
                <w:rStyle w:val="CommentReference"/>
                <w:b/>
                <w:szCs w:val="24"/>
              </w:rPr>
              <w:t xml:space="preserve"> </w:t>
            </w:r>
            <w:r w:rsidR="00BC5A69">
              <w:t>(</w:t>
            </w:r>
            <w:r>
              <w:t>N=98</w:t>
            </w:r>
            <w:r w:rsidR="00BC5A69">
              <w:t>)</w:t>
            </w:r>
          </w:p>
        </w:tc>
        <w:tc>
          <w:tcPr>
            <w:tcW w:w="399" w:type="pct"/>
            <w:vMerge w:val="restart"/>
            <w:tcBorders>
              <w:top w:val="single" w:sz="4" w:space="0" w:color="auto"/>
              <w:left w:val="single" w:sz="4" w:space="0" w:color="auto"/>
              <w:bottom w:val="single" w:sz="4" w:space="0" w:color="auto"/>
              <w:right w:val="single" w:sz="4" w:space="0" w:color="auto"/>
            </w:tcBorders>
            <w:vAlign w:val="center"/>
          </w:tcPr>
          <w:p w14:paraId="3A452402" w14:textId="77777777" w:rsidR="00515ABE" w:rsidRPr="00E2771E" w:rsidRDefault="00515ABE">
            <w:pPr>
              <w:pStyle w:val="In-tableHeading"/>
              <w:jc w:val="center"/>
            </w:pPr>
            <w:r w:rsidRPr="00E2771E">
              <w:t>RR</w:t>
            </w:r>
          </w:p>
        </w:tc>
        <w:tc>
          <w:tcPr>
            <w:tcW w:w="1332" w:type="pct"/>
            <w:gridSpan w:val="2"/>
            <w:tcBorders>
              <w:top w:val="single" w:sz="4" w:space="0" w:color="auto"/>
              <w:left w:val="single" w:sz="4" w:space="0" w:color="auto"/>
              <w:bottom w:val="single" w:sz="4" w:space="0" w:color="auto"/>
              <w:right w:val="single" w:sz="4" w:space="0" w:color="auto"/>
            </w:tcBorders>
            <w:vAlign w:val="center"/>
          </w:tcPr>
          <w:p w14:paraId="09833420" w14:textId="0DA3B748" w:rsidR="00515ABE" w:rsidRPr="00E2771E" w:rsidRDefault="00515ABE">
            <w:pPr>
              <w:pStyle w:val="In-tableHeading"/>
              <w:jc w:val="center"/>
            </w:pPr>
            <w:r w:rsidRPr="00E2771E">
              <w:t>Event rate/100 patients</w:t>
            </w:r>
          </w:p>
        </w:tc>
        <w:tc>
          <w:tcPr>
            <w:tcW w:w="411" w:type="pct"/>
            <w:vMerge w:val="restart"/>
            <w:tcBorders>
              <w:top w:val="single" w:sz="4" w:space="0" w:color="auto"/>
              <w:left w:val="single" w:sz="4" w:space="0" w:color="auto"/>
              <w:bottom w:val="single" w:sz="4" w:space="0" w:color="auto"/>
              <w:right w:val="single" w:sz="4" w:space="0" w:color="auto"/>
            </w:tcBorders>
            <w:vAlign w:val="center"/>
          </w:tcPr>
          <w:p w14:paraId="09736979" w14:textId="77777777" w:rsidR="00515ABE" w:rsidRPr="00E2771E" w:rsidRDefault="00515ABE">
            <w:pPr>
              <w:pStyle w:val="In-tableHeading"/>
              <w:jc w:val="center"/>
            </w:pPr>
            <w:r w:rsidRPr="00E2771E">
              <w:t>RD</w:t>
            </w:r>
          </w:p>
        </w:tc>
      </w:tr>
      <w:tr w:rsidR="00515ABE" w:rsidRPr="00E2771E" w14:paraId="33ADC755" w14:textId="77777777" w:rsidTr="00BC5A69">
        <w:trPr>
          <w:trHeight w:val="110"/>
        </w:trPr>
        <w:tc>
          <w:tcPr>
            <w:tcW w:w="1528" w:type="pct"/>
            <w:vMerge/>
            <w:tcBorders>
              <w:left w:val="single" w:sz="4" w:space="0" w:color="auto"/>
              <w:bottom w:val="single" w:sz="4" w:space="0" w:color="auto"/>
              <w:right w:val="single" w:sz="4" w:space="0" w:color="auto"/>
            </w:tcBorders>
            <w:vAlign w:val="center"/>
          </w:tcPr>
          <w:p w14:paraId="015EB700" w14:textId="77777777" w:rsidR="00515ABE" w:rsidRPr="00E2771E" w:rsidRDefault="00515ABE">
            <w:pPr>
              <w:pStyle w:val="In-tableHeading"/>
            </w:pPr>
          </w:p>
        </w:tc>
        <w:tc>
          <w:tcPr>
            <w:tcW w:w="665" w:type="pct"/>
            <w:vMerge/>
            <w:tcBorders>
              <w:left w:val="single" w:sz="4" w:space="0" w:color="auto"/>
              <w:bottom w:val="single" w:sz="4" w:space="0" w:color="auto"/>
              <w:right w:val="single" w:sz="4" w:space="0" w:color="auto"/>
            </w:tcBorders>
            <w:vAlign w:val="center"/>
          </w:tcPr>
          <w:p w14:paraId="299F1C58" w14:textId="77777777" w:rsidR="00515ABE" w:rsidRPr="00E2771E" w:rsidRDefault="00515ABE">
            <w:pPr>
              <w:pStyle w:val="In-tableHeading"/>
            </w:pPr>
          </w:p>
        </w:tc>
        <w:tc>
          <w:tcPr>
            <w:tcW w:w="665" w:type="pct"/>
            <w:vMerge/>
            <w:tcBorders>
              <w:left w:val="single" w:sz="4" w:space="0" w:color="auto"/>
              <w:bottom w:val="single" w:sz="4" w:space="0" w:color="auto"/>
              <w:right w:val="single" w:sz="4" w:space="0" w:color="auto"/>
            </w:tcBorders>
            <w:vAlign w:val="center"/>
          </w:tcPr>
          <w:p w14:paraId="580F2F4A" w14:textId="77777777" w:rsidR="00515ABE" w:rsidRPr="00E2771E" w:rsidRDefault="00515ABE">
            <w:pPr>
              <w:pStyle w:val="In-tableHeading"/>
            </w:pPr>
          </w:p>
        </w:tc>
        <w:tc>
          <w:tcPr>
            <w:tcW w:w="399" w:type="pct"/>
            <w:vMerge/>
            <w:tcBorders>
              <w:top w:val="single" w:sz="4" w:space="0" w:color="auto"/>
              <w:left w:val="single" w:sz="4" w:space="0" w:color="auto"/>
            </w:tcBorders>
            <w:vAlign w:val="center"/>
          </w:tcPr>
          <w:p w14:paraId="59960E9F" w14:textId="77777777" w:rsidR="00515ABE" w:rsidRPr="00E2771E" w:rsidRDefault="00515ABE">
            <w:pPr>
              <w:pStyle w:val="In-tableHeading"/>
            </w:pPr>
          </w:p>
        </w:tc>
        <w:tc>
          <w:tcPr>
            <w:tcW w:w="668" w:type="pct"/>
            <w:tcBorders>
              <w:top w:val="single" w:sz="4" w:space="0" w:color="auto"/>
              <w:left w:val="single" w:sz="4" w:space="0" w:color="auto"/>
              <w:bottom w:val="single" w:sz="4" w:space="0" w:color="auto"/>
              <w:right w:val="single" w:sz="4" w:space="0" w:color="auto"/>
            </w:tcBorders>
            <w:vAlign w:val="center"/>
          </w:tcPr>
          <w:p w14:paraId="7E6AAD27" w14:textId="670E7A55" w:rsidR="00515ABE" w:rsidRPr="00E2771E" w:rsidRDefault="00515ABE" w:rsidP="00BC5A69">
            <w:pPr>
              <w:pStyle w:val="In-tableHeading"/>
              <w:jc w:val="center"/>
            </w:pPr>
            <w:r>
              <w:t>Selpercatinib</w:t>
            </w:r>
          </w:p>
        </w:tc>
        <w:tc>
          <w:tcPr>
            <w:tcW w:w="664" w:type="pct"/>
            <w:tcBorders>
              <w:top w:val="single" w:sz="4" w:space="0" w:color="auto"/>
              <w:left w:val="single" w:sz="4" w:space="0" w:color="auto"/>
              <w:bottom w:val="single" w:sz="4" w:space="0" w:color="auto"/>
              <w:right w:val="single" w:sz="4" w:space="0" w:color="auto"/>
            </w:tcBorders>
            <w:vAlign w:val="center"/>
          </w:tcPr>
          <w:p w14:paraId="510037F8" w14:textId="176BDC11" w:rsidR="00515ABE" w:rsidRPr="00BC5A69" w:rsidRDefault="00515ABE" w:rsidP="00BC5A69">
            <w:pPr>
              <w:pStyle w:val="Caption"/>
              <w:jc w:val="center"/>
              <w:rPr>
                <w:szCs w:val="24"/>
              </w:rPr>
            </w:pPr>
            <w:r>
              <w:rPr>
                <w:rStyle w:val="CommentReference"/>
                <w:b/>
                <w:szCs w:val="24"/>
              </w:rPr>
              <w:t>Pembro ± PC</w:t>
            </w:r>
          </w:p>
        </w:tc>
        <w:tc>
          <w:tcPr>
            <w:tcW w:w="411" w:type="pct"/>
            <w:vMerge/>
            <w:tcBorders>
              <w:top w:val="single" w:sz="4" w:space="0" w:color="auto"/>
              <w:bottom w:val="single" w:sz="4" w:space="0" w:color="auto"/>
              <w:right w:val="single" w:sz="4" w:space="0" w:color="auto"/>
            </w:tcBorders>
            <w:vAlign w:val="center"/>
          </w:tcPr>
          <w:p w14:paraId="106FFF9C" w14:textId="77777777" w:rsidR="00515ABE" w:rsidRPr="00E2771E" w:rsidRDefault="00515ABE">
            <w:pPr>
              <w:pStyle w:val="In-tableHeading"/>
            </w:pPr>
          </w:p>
        </w:tc>
      </w:tr>
      <w:tr w:rsidR="00515ABE" w:rsidRPr="00E2771E" w14:paraId="556DC786" w14:textId="77777777" w:rsidTr="00BC5A69">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14:paraId="2CC4E28B" w14:textId="77777777" w:rsidR="00515ABE" w:rsidRPr="00AC660F" w:rsidRDefault="00515ABE">
            <w:pPr>
              <w:pStyle w:val="TableText0"/>
              <w:rPr>
                <w:bCs w:val="0"/>
                <w:szCs w:val="20"/>
              </w:rPr>
            </w:pPr>
            <w:r w:rsidRPr="00AC660F">
              <w:rPr>
                <w:bCs w:val="0"/>
              </w:rPr>
              <w:t>Grade ≥3 TEAE related to study treatment</w:t>
            </w:r>
          </w:p>
        </w:tc>
        <w:tc>
          <w:tcPr>
            <w:tcW w:w="665" w:type="pct"/>
            <w:tcBorders>
              <w:top w:val="single" w:sz="4" w:space="0" w:color="auto"/>
              <w:left w:val="single" w:sz="4" w:space="0" w:color="auto"/>
              <w:bottom w:val="single" w:sz="4" w:space="0" w:color="auto"/>
              <w:right w:val="single" w:sz="4" w:space="0" w:color="auto"/>
            </w:tcBorders>
            <w:vAlign w:val="center"/>
          </w:tcPr>
          <w:p w14:paraId="1833C019" w14:textId="77777777" w:rsidR="00515ABE" w:rsidRPr="00A53CCE" w:rsidRDefault="00515ABE">
            <w:pPr>
              <w:pStyle w:val="TableText0"/>
              <w:jc w:val="center"/>
            </w:pPr>
            <w:r w:rsidRPr="00A53CCE">
              <w:t>89</w:t>
            </w:r>
            <w:r>
              <w:t>/158</w:t>
            </w:r>
          </w:p>
        </w:tc>
        <w:tc>
          <w:tcPr>
            <w:tcW w:w="665" w:type="pct"/>
            <w:tcBorders>
              <w:top w:val="single" w:sz="4" w:space="0" w:color="auto"/>
              <w:left w:val="single" w:sz="4" w:space="0" w:color="auto"/>
              <w:bottom w:val="single" w:sz="4" w:space="0" w:color="auto"/>
              <w:right w:val="single" w:sz="4" w:space="0" w:color="auto"/>
            </w:tcBorders>
            <w:vAlign w:val="center"/>
          </w:tcPr>
          <w:p w14:paraId="145D2B25" w14:textId="77777777" w:rsidR="00515ABE" w:rsidRPr="00A53CCE" w:rsidRDefault="00515ABE">
            <w:pPr>
              <w:pStyle w:val="TableText0"/>
              <w:jc w:val="center"/>
            </w:pPr>
            <w:r w:rsidRPr="00A53CCE">
              <w:t>41</w:t>
            </w:r>
            <w:r>
              <w:t xml:space="preserve">/98 </w:t>
            </w:r>
          </w:p>
        </w:tc>
        <w:tc>
          <w:tcPr>
            <w:tcW w:w="399" w:type="pct"/>
            <w:tcBorders>
              <w:top w:val="single" w:sz="4" w:space="0" w:color="auto"/>
              <w:left w:val="single" w:sz="4" w:space="0" w:color="auto"/>
              <w:bottom w:val="single" w:sz="4" w:space="0" w:color="auto"/>
              <w:right w:val="single" w:sz="4" w:space="0" w:color="auto"/>
            </w:tcBorders>
            <w:vAlign w:val="center"/>
          </w:tcPr>
          <w:p w14:paraId="554CD66C" w14:textId="77777777" w:rsidR="00515ABE" w:rsidRDefault="00515ABE">
            <w:pPr>
              <w:pStyle w:val="TableText0"/>
              <w:jc w:val="center"/>
            </w:pPr>
            <w:r w:rsidRPr="00C60343">
              <w:t>1.3</w:t>
            </w:r>
          </w:p>
        </w:tc>
        <w:tc>
          <w:tcPr>
            <w:tcW w:w="668" w:type="pct"/>
            <w:tcBorders>
              <w:top w:val="single" w:sz="4" w:space="0" w:color="auto"/>
              <w:left w:val="single" w:sz="4" w:space="0" w:color="auto"/>
              <w:bottom w:val="single" w:sz="4" w:space="0" w:color="auto"/>
              <w:right w:val="single" w:sz="4" w:space="0" w:color="auto"/>
            </w:tcBorders>
            <w:vAlign w:val="center"/>
          </w:tcPr>
          <w:p w14:paraId="7FCADEF9" w14:textId="77777777" w:rsidR="00515ABE" w:rsidRPr="00E2771E" w:rsidRDefault="00515ABE">
            <w:pPr>
              <w:pStyle w:val="TableText0"/>
              <w:jc w:val="center"/>
            </w:pPr>
            <w:r>
              <w:t>56.3</w:t>
            </w:r>
          </w:p>
        </w:tc>
        <w:tc>
          <w:tcPr>
            <w:tcW w:w="664" w:type="pct"/>
            <w:tcBorders>
              <w:top w:val="single" w:sz="4" w:space="0" w:color="auto"/>
              <w:left w:val="single" w:sz="4" w:space="0" w:color="auto"/>
              <w:bottom w:val="single" w:sz="4" w:space="0" w:color="auto"/>
              <w:right w:val="single" w:sz="4" w:space="0" w:color="auto"/>
            </w:tcBorders>
            <w:vAlign w:val="center"/>
          </w:tcPr>
          <w:p w14:paraId="24D8EC52" w14:textId="77777777" w:rsidR="00515ABE" w:rsidRPr="00E2771E" w:rsidRDefault="00515ABE">
            <w:pPr>
              <w:pStyle w:val="TableText0"/>
              <w:jc w:val="center"/>
            </w:pPr>
            <w:r>
              <w:t>41.8</w:t>
            </w:r>
          </w:p>
        </w:tc>
        <w:tc>
          <w:tcPr>
            <w:tcW w:w="411" w:type="pct"/>
            <w:tcBorders>
              <w:top w:val="single" w:sz="4" w:space="0" w:color="auto"/>
              <w:left w:val="single" w:sz="4" w:space="0" w:color="auto"/>
              <w:bottom w:val="single" w:sz="4" w:space="0" w:color="auto"/>
              <w:right w:val="single" w:sz="4" w:space="0" w:color="auto"/>
            </w:tcBorders>
            <w:vAlign w:val="center"/>
          </w:tcPr>
          <w:p w14:paraId="30EED4FD" w14:textId="77777777" w:rsidR="00515ABE" w:rsidRPr="00E2771E" w:rsidRDefault="00515ABE">
            <w:pPr>
              <w:pStyle w:val="TableText0"/>
              <w:jc w:val="center"/>
            </w:pPr>
            <w:r w:rsidRPr="007357AE">
              <w:t>14.5</w:t>
            </w:r>
          </w:p>
        </w:tc>
      </w:tr>
      <w:tr w:rsidR="00515ABE" w:rsidRPr="00E2771E" w14:paraId="48B60FF7" w14:textId="77777777" w:rsidTr="00BC5A69">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14:paraId="6F8C42CF" w14:textId="2D231BD9" w:rsidR="00515ABE" w:rsidRPr="00E2771E" w:rsidRDefault="00515ABE">
            <w:pPr>
              <w:pStyle w:val="TableText0"/>
            </w:pPr>
            <w:r w:rsidRPr="00AC660F">
              <w:rPr>
                <w:bCs w:val="0"/>
              </w:rPr>
              <w:t>Grade ≥3 T</w:t>
            </w:r>
            <w:r w:rsidR="00E11EDB">
              <w:rPr>
                <w:bCs w:val="0"/>
              </w:rPr>
              <w:t>E</w:t>
            </w:r>
            <w:r w:rsidRPr="00AC660F">
              <w:rPr>
                <w:bCs w:val="0"/>
              </w:rPr>
              <w:t>AEs,</w:t>
            </w:r>
            <w:r w:rsidRPr="00A53CCE">
              <w:rPr>
                <w:szCs w:val="20"/>
              </w:rPr>
              <w:t xml:space="preserve"> ALT increased</w:t>
            </w:r>
          </w:p>
        </w:tc>
        <w:tc>
          <w:tcPr>
            <w:tcW w:w="665" w:type="pct"/>
            <w:tcBorders>
              <w:top w:val="single" w:sz="4" w:space="0" w:color="auto"/>
              <w:left w:val="single" w:sz="4" w:space="0" w:color="auto"/>
              <w:bottom w:val="single" w:sz="4" w:space="0" w:color="auto"/>
              <w:right w:val="single" w:sz="4" w:space="0" w:color="auto"/>
            </w:tcBorders>
            <w:vAlign w:val="center"/>
          </w:tcPr>
          <w:p w14:paraId="72EBE4F3" w14:textId="77777777" w:rsidR="00515ABE" w:rsidRPr="00E2771E" w:rsidRDefault="00515ABE">
            <w:pPr>
              <w:pStyle w:val="TableText0"/>
              <w:jc w:val="center"/>
            </w:pPr>
            <w:r>
              <w:t>35/158</w:t>
            </w:r>
          </w:p>
        </w:tc>
        <w:tc>
          <w:tcPr>
            <w:tcW w:w="665" w:type="pct"/>
            <w:tcBorders>
              <w:top w:val="single" w:sz="4" w:space="0" w:color="auto"/>
              <w:left w:val="single" w:sz="4" w:space="0" w:color="auto"/>
              <w:bottom w:val="single" w:sz="4" w:space="0" w:color="auto"/>
              <w:right w:val="single" w:sz="4" w:space="0" w:color="auto"/>
            </w:tcBorders>
            <w:vAlign w:val="center"/>
          </w:tcPr>
          <w:p w14:paraId="5EBB31E4" w14:textId="77777777" w:rsidR="00515ABE" w:rsidRPr="00E2771E" w:rsidRDefault="00515ABE">
            <w:pPr>
              <w:pStyle w:val="TableText0"/>
              <w:jc w:val="center"/>
            </w:pPr>
            <w:r>
              <w:t>3/98</w:t>
            </w:r>
          </w:p>
        </w:tc>
        <w:tc>
          <w:tcPr>
            <w:tcW w:w="399" w:type="pct"/>
            <w:tcBorders>
              <w:top w:val="single" w:sz="4" w:space="0" w:color="auto"/>
              <w:left w:val="single" w:sz="4" w:space="0" w:color="auto"/>
              <w:bottom w:val="single" w:sz="4" w:space="0" w:color="auto"/>
              <w:right w:val="single" w:sz="4" w:space="0" w:color="auto"/>
            </w:tcBorders>
            <w:vAlign w:val="center"/>
          </w:tcPr>
          <w:p w14:paraId="4E75DC28" w14:textId="77777777" w:rsidR="00515ABE" w:rsidRPr="00E2771E" w:rsidRDefault="00515ABE">
            <w:pPr>
              <w:pStyle w:val="TableText0"/>
              <w:jc w:val="center"/>
            </w:pPr>
            <w:r>
              <w:t>7.2</w:t>
            </w:r>
          </w:p>
        </w:tc>
        <w:tc>
          <w:tcPr>
            <w:tcW w:w="668" w:type="pct"/>
            <w:tcBorders>
              <w:top w:val="single" w:sz="4" w:space="0" w:color="auto"/>
              <w:left w:val="single" w:sz="4" w:space="0" w:color="auto"/>
              <w:bottom w:val="single" w:sz="4" w:space="0" w:color="auto"/>
              <w:right w:val="single" w:sz="4" w:space="0" w:color="auto"/>
            </w:tcBorders>
            <w:vAlign w:val="center"/>
          </w:tcPr>
          <w:p w14:paraId="1A8BCCB1" w14:textId="77777777" w:rsidR="00515ABE" w:rsidRPr="00E2771E" w:rsidRDefault="00515ABE">
            <w:pPr>
              <w:pStyle w:val="TableText0"/>
              <w:jc w:val="center"/>
            </w:pPr>
            <w:r>
              <w:t>22.2</w:t>
            </w:r>
          </w:p>
        </w:tc>
        <w:tc>
          <w:tcPr>
            <w:tcW w:w="664" w:type="pct"/>
            <w:tcBorders>
              <w:top w:val="single" w:sz="4" w:space="0" w:color="auto"/>
              <w:left w:val="single" w:sz="4" w:space="0" w:color="auto"/>
              <w:bottom w:val="single" w:sz="4" w:space="0" w:color="auto"/>
              <w:right w:val="single" w:sz="4" w:space="0" w:color="auto"/>
            </w:tcBorders>
            <w:vAlign w:val="center"/>
          </w:tcPr>
          <w:p w14:paraId="003853D5" w14:textId="77777777" w:rsidR="00515ABE" w:rsidRPr="00E2771E" w:rsidRDefault="00515ABE">
            <w:pPr>
              <w:pStyle w:val="TableText0"/>
              <w:jc w:val="center"/>
            </w:pPr>
            <w:r>
              <w:t>3.1</w:t>
            </w:r>
          </w:p>
        </w:tc>
        <w:tc>
          <w:tcPr>
            <w:tcW w:w="411" w:type="pct"/>
            <w:tcBorders>
              <w:top w:val="single" w:sz="4" w:space="0" w:color="auto"/>
              <w:left w:val="single" w:sz="4" w:space="0" w:color="auto"/>
              <w:bottom w:val="single" w:sz="4" w:space="0" w:color="auto"/>
              <w:right w:val="single" w:sz="4" w:space="0" w:color="auto"/>
            </w:tcBorders>
            <w:vAlign w:val="center"/>
          </w:tcPr>
          <w:p w14:paraId="0BF4C855" w14:textId="77777777" w:rsidR="00515ABE" w:rsidRPr="00E2771E" w:rsidRDefault="00515ABE">
            <w:pPr>
              <w:pStyle w:val="TableText0"/>
              <w:jc w:val="center"/>
            </w:pPr>
            <w:r w:rsidRPr="007C03B6">
              <w:t>19.1</w:t>
            </w:r>
          </w:p>
        </w:tc>
      </w:tr>
      <w:tr w:rsidR="00515ABE" w:rsidRPr="00E2771E" w14:paraId="055347DD" w14:textId="77777777" w:rsidTr="00BC5A69">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14:paraId="0B8F4998" w14:textId="073E33E4" w:rsidR="00515ABE" w:rsidRPr="00E2771E" w:rsidRDefault="00515ABE">
            <w:pPr>
              <w:pStyle w:val="TableText0"/>
            </w:pPr>
            <w:r w:rsidRPr="00AC660F">
              <w:rPr>
                <w:bCs w:val="0"/>
              </w:rPr>
              <w:t>Grade ≥3 T</w:t>
            </w:r>
            <w:r w:rsidR="00E11EDB">
              <w:rPr>
                <w:bCs w:val="0"/>
              </w:rPr>
              <w:t>E</w:t>
            </w:r>
            <w:r w:rsidRPr="00AC660F">
              <w:rPr>
                <w:bCs w:val="0"/>
              </w:rPr>
              <w:t>AEs,</w:t>
            </w:r>
            <w:r w:rsidRPr="00A53CCE">
              <w:rPr>
                <w:szCs w:val="20"/>
              </w:rPr>
              <w:t xml:space="preserve"> AST increased</w:t>
            </w:r>
          </w:p>
        </w:tc>
        <w:tc>
          <w:tcPr>
            <w:tcW w:w="665" w:type="pct"/>
            <w:tcBorders>
              <w:top w:val="single" w:sz="4" w:space="0" w:color="auto"/>
              <w:left w:val="single" w:sz="4" w:space="0" w:color="auto"/>
              <w:bottom w:val="single" w:sz="4" w:space="0" w:color="auto"/>
              <w:right w:val="single" w:sz="4" w:space="0" w:color="auto"/>
            </w:tcBorders>
            <w:vAlign w:val="center"/>
          </w:tcPr>
          <w:p w14:paraId="130712BB" w14:textId="77777777" w:rsidR="00515ABE" w:rsidRPr="00E2771E" w:rsidRDefault="00515ABE">
            <w:pPr>
              <w:pStyle w:val="TableText0"/>
              <w:jc w:val="center"/>
            </w:pPr>
            <w:r>
              <w:t>20/158</w:t>
            </w:r>
          </w:p>
        </w:tc>
        <w:tc>
          <w:tcPr>
            <w:tcW w:w="665" w:type="pct"/>
            <w:tcBorders>
              <w:top w:val="single" w:sz="4" w:space="0" w:color="auto"/>
              <w:left w:val="single" w:sz="4" w:space="0" w:color="auto"/>
              <w:bottom w:val="single" w:sz="4" w:space="0" w:color="auto"/>
              <w:right w:val="single" w:sz="4" w:space="0" w:color="auto"/>
            </w:tcBorders>
            <w:vAlign w:val="center"/>
          </w:tcPr>
          <w:p w14:paraId="1166407E" w14:textId="77777777" w:rsidR="00515ABE" w:rsidRPr="00E2771E" w:rsidRDefault="00515ABE">
            <w:pPr>
              <w:pStyle w:val="TableText0"/>
              <w:jc w:val="center"/>
            </w:pPr>
            <w:r>
              <w:t>1/98</w:t>
            </w:r>
          </w:p>
        </w:tc>
        <w:tc>
          <w:tcPr>
            <w:tcW w:w="399" w:type="pct"/>
            <w:tcBorders>
              <w:top w:val="single" w:sz="4" w:space="0" w:color="auto"/>
              <w:left w:val="single" w:sz="4" w:space="0" w:color="auto"/>
              <w:bottom w:val="single" w:sz="4" w:space="0" w:color="auto"/>
              <w:right w:val="single" w:sz="4" w:space="0" w:color="auto"/>
            </w:tcBorders>
            <w:vAlign w:val="center"/>
          </w:tcPr>
          <w:p w14:paraId="1AC4C9DD" w14:textId="77777777" w:rsidR="00515ABE" w:rsidRPr="00E2771E" w:rsidRDefault="00515ABE">
            <w:pPr>
              <w:pStyle w:val="TableText0"/>
              <w:jc w:val="center"/>
            </w:pPr>
            <w:r>
              <w:t>12.4</w:t>
            </w:r>
          </w:p>
        </w:tc>
        <w:tc>
          <w:tcPr>
            <w:tcW w:w="668" w:type="pct"/>
            <w:tcBorders>
              <w:top w:val="single" w:sz="4" w:space="0" w:color="auto"/>
              <w:left w:val="single" w:sz="4" w:space="0" w:color="auto"/>
              <w:bottom w:val="single" w:sz="4" w:space="0" w:color="auto"/>
              <w:right w:val="single" w:sz="4" w:space="0" w:color="auto"/>
            </w:tcBorders>
            <w:vAlign w:val="center"/>
          </w:tcPr>
          <w:p w14:paraId="0A80DD95" w14:textId="77777777" w:rsidR="00515ABE" w:rsidRPr="00E2771E" w:rsidRDefault="00515ABE">
            <w:pPr>
              <w:pStyle w:val="TableText0"/>
              <w:jc w:val="center"/>
            </w:pPr>
            <w:r>
              <w:t>12.7</w:t>
            </w:r>
          </w:p>
        </w:tc>
        <w:tc>
          <w:tcPr>
            <w:tcW w:w="664" w:type="pct"/>
            <w:tcBorders>
              <w:top w:val="single" w:sz="4" w:space="0" w:color="auto"/>
              <w:left w:val="single" w:sz="4" w:space="0" w:color="auto"/>
              <w:bottom w:val="single" w:sz="4" w:space="0" w:color="auto"/>
              <w:right w:val="single" w:sz="4" w:space="0" w:color="auto"/>
            </w:tcBorders>
            <w:vAlign w:val="center"/>
          </w:tcPr>
          <w:p w14:paraId="0CC15CBF" w14:textId="77777777" w:rsidR="00515ABE" w:rsidRPr="00E2771E" w:rsidRDefault="00515ABE">
            <w:pPr>
              <w:pStyle w:val="TableText0"/>
              <w:jc w:val="center"/>
            </w:pPr>
            <w:r>
              <w:t>1.0</w:t>
            </w:r>
          </w:p>
        </w:tc>
        <w:tc>
          <w:tcPr>
            <w:tcW w:w="411" w:type="pct"/>
            <w:tcBorders>
              <w:top w:val="single" w:sz="4" w:space="0" w:color="auto"/>
              <w:left w:val="single" w:sz="4" w:space="0" w:color="auto"/>
              <w:bottom w:val="single" w:sz="4" w:space="0" w:color="auto"/>
              <w:right w:val="single" w:sz="4" w:space="0" w:color="auto"/>
            </w:tcBorders>
            <w:vAlign w:val="center"/>
          </w:tcPr>
          <w:p w14:paraId="710FC707" w14:textId="77777777" w:rsidR="00515ABE" w:rsidRPr="00E2771E" w:rsidRDefault="00515ABE">
            <w:pPr>
              <w:pStyle w:val="TableText0"/>
              <w:jc w:val="center"/>
            </w:pPr>
            <w:r w:rsidRPr="007C03B6">
              <w:t>11.7</w:t>
            </w:r>
          </w:p>
        </w:tc>
      </w:tr>
      <w:tr w:rsidR="00515ABE" w:rsidRPr="00E2771E" w14:paraId="60A752D9" w14:textId="77777777" w:rsidTr="00BC5A69">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14:paraId="66F8A78C" w14:textId="65577AAA" w:rsidR="00515ABE" w:rsidRPr="00A53CCE" w:rsidRDefault="00515ABE">
            <w:pPr>
              <w:pStyle w:val="TableText0"/>
              <w:rPr>
                <w:szCs w:val="20"/>
              </w:rPr>
            </w:pPr>
            <w:r w:rsidRPr="00AC660F">
              <w:rPr>
                <w:bCs w:val="0"/>
              </w:rPr>
              <w:t>Grade ≥3 T</w:t>
            </w:r>
            <w:r w:rsidR="00E11EDB">
              <w:rPr>
                <w:bCs w:val="0"/>
              </w:rPr>
              <w:t>E</w:t>
            </w:r>
            <w:r w:rsidRPr="00AC660F">
              <w:rPr>
                <w:bCs w:val="0"/>
              </w:rPr>
              <w:t>AEs,</w:t>
            </w:r>
            <w:r>
              <w:rPr>
                <w:bCs w:val="0"/>
              </w:rPr>
              <w:t xml:space="preserve"> Hypertension</w:t>
            </w:r>
          </w:p>
        </w:tc>
        <w:tc>
          <w:tcPr>
            <w:tcW w:w="665" w:type="pct"/>
            <w:tcBorders>
              <w:top w:val="single" w:sz="4" w:space="0" w:color="auto"/>
              <w:left w:val="single" w:sz="4" w:space="0" w:color="auto"/>
              <w:bottom w:val="single" w:sz="4" w:space="0" w:color="auto"/>
              <w:right w:val="single" w:sz="4" w:space="0" w:color="auto"/>
            </w:tcBorders>
            <w:vAlign w:val="center"/>
          </w:tcPr>
          <w:p w14:paraId="6C40A3E3" w14:textId="77777777" w:rsidR="00515ABE" w:rsidRPr="00A53CCE" w:rsidRDefault="00515ABE">
            <w:pPr>
              <w:pStyle w:val="TableText0"/>
              <w:jc w:val="center"/>
            </w:pPr>
            <w:r w:rsidRPr="00A53CCE">
              <w:t>32</w:t>
            </w:r>
            <w:r>
              <w:t>/158</w:t>
            </w:r>
          </w:p>
        </w:tc>
        <w:tc>
          <w:tcPr>
            <w:tcW w:w="665" w:type="pct"/>
            <w:tcBorders>
              <w:top w:val="single" w:sz="4" w:space="0" w:color="auto"/>
              <w:left w:val="single" w:sz="4" w:space="0" w:color="auto"/>
              <w:bottom w:val="single" w:sz="4" w:space="0" w:color="auto"/>
              <w:right w:val="single" w:sz="4" w:space="0" w:color="auto"/>
            </w:tcBorders>
            <w:vAlign w:val="center"/>
          </w:tcPr>
          <w:p w14:paraId="06DC293D" w14:textId="77777777" w:rsidR="00515ABE" w:rsidRPr="00A53CCE" w:rsidRDefault="00515ABE">
            <w:pPr>
              <w:pStyle w:val="TableText0"/>
              <w:jc w:val="center"/>
            </w:pPr>
            <w:r w:rsidRPr="00A53CCE">
              <w:t>3</w:t>
            </w:r>
            <w:r>
              <w:t>/98</w:t>
            </w:r>
          </w:p>
        </w:tc>
        <w:tc>
          <w:tcPr>
            <w:tcW w:w="399" w:type="pct"/>
            <w:tcBorders>
              <w:top w:val="single" w:sz="4" w:space="0" w:color="auto"/>
              <w:left w:val="single" w:sz="4" w:space="0" w:color="auto"/>
              <w:bottom w:val="single" w:sz="4" w:space="0" w:color="auto"/>
              <w:right w:val="single" w:sz="4" w:space="0" w:color="auto"/>
            </w:tcBorders>
            <w:vAlign w:val="center"/>
          </w:tcPr>
          <w:p w14:paraId="4726C0AF" w14:textId="77777777" w:rsidR="00515ABE" w:rsidRDefault="00515ABE">
            <w:pPr>
              <w:pStyle w:val="TableText0"/>
              <w:jc w:val="center"/>
            </w:pPr>
            <w:r>
              <w:t>6.6</w:t>
            </w:r>
          </w:p>
        </w:tc>
        <w:tc>
          <w:tcPr>
            <w:tcW w:w="668" w:type="pct"/>
            <w:tcBorders>
              <w:top w:val="single" w:sz="4" w:space="0" w:color="auto"/>
              <w:left w:val="single" w:sz="4" w:space="0" w:color="auto"/>
              <w:bottom w:val="single" w:sz="4" w:space="0" w:color="auto"/>
              <w:right w:val="single" w:sz="4" w:space="0" w:color="auto"/>
            </w:tcBorders>
            <w:vAlign w:val="center"/>
          </w:tcPr>
          <w:p w14:paraId="34BAC3E7" w14:textId="77777777" w:rsidR="00515ABE" w:rsidRPr="00E2771E" w:rsidRDefault="00515ABE">
            <w:pPr>
              <w:pStyle w:val="TableText0"/>
              <w:jc w:val="center"/>
            </w:pPr>
            <w:r w:rsidRPr="00A53CCE">
              <w:t>20.3</w:t>
            </w:r>
          </w:p>
        </w:tc>
        <w:tc>
          <w:tcPr>
            <w:tcW w:w="664" w:type="pct"/>
            <w:tcBorders>
              <w:top w:val="single" w:sz="4" w:space="0" w:color="auto"/>
              <w:left w:val="single" w:sz="4" w:space="0" w:color="auto"/>
              <w:bottom w:val="single" w:sz="4" w:space="0" w:color="auto"/>
              <w:right w:val="single" w:sz="4" w:space="0" w:color="auto"/>
            </w:tcBorders>
            <w:vAlign w:val="center"/>
          </w:tcPr>
          <w:p w14:paraId="7BFA55F2" w14:textId="77777777" w:rsidR="00515ABE" w:rsidRPr="00E2771E" w:rsidRDefault="00515ABE">
            <w:pPr>
              <w:pStyle w:val="TableText0"/>
              <w:jc w:val="center"/>
            </w:pPr>
            <w:r w:rsidRPr="00A53CCE">
              <w:t>3.1</w:t>
            </w:r>
          </w:p>
        </w:tc>
        <w:tc>
          <w:tcPr>
            <w:tcW w:w="411" w:type="pct"/>
            <w:tcBorders>
              <w:top w:val="single" w:sz="4" w:space="0" w:color="auto"/>
              <w:left w:val="single" w:sz="4" w:space="0" w:color="auto"/>
              <w:bottom w:val="single" w:sz="4" w:space="0" w:color="auto"/>
              <w:right w:val="single" w:sz="4" w:space="0" w:color="auto"/>
            </w:tcBorders>
            <w:vAlign w:val="center"/>
          </w:tcPr>
          <w:p w14:paraId="4DC02DBC" w14:textId="77777777" w:rsidR="00515ABE" w:rsidRPr="00E2771E" w:rsidRDefault="00515ABE">
            <w:pPr>
              <w:pStyle w:val="TableText0"/>
              <w:jc w:val="center"/>
            </w:pPr>
            <w:r w:rsidRPr="007C03B6">
              <w:t>17.2</w:t>
            </w:r>
          </w:p>
        </w:tc>
      </w:tr>
      <w:tr w:rsidR="00515ABE" w:rsidRPr="00E2771E" w14:paraId="278CFA8A" w14:textId="77777777" w:rsidTr="00BC5A69">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14:paraId="0E222899" w14:textId="2550370B" w:rsidR="00515ABE" w:rsidRPr="00AC660F" w:rsidRDefault="00515ABE">
            <w:pPr>
              <w:pStyle w:val="TableText0"/>
              <w:rPr>
                <w:bCs w:val="0"/>
              </w:rPr>
            </w:pPr>
            <w:r w:rsidRPr="00AC660F">
              <w:rPr>
                <w:bCs w:val="0"/>
              </w:rPr>
              <w:t>Grade ≥3 T</w:t>
            </w:r>
            <w:r w:rsidR="00E11EDB">
              <w:rPr>
                <w:bCs w:val="0"/>
              </w:rPr>
              <w:t>E</w:t>
            </w:r>
            <w:r w:rsidRPr="00AC660F">
              <w:rPr>
                <w:bCs w:val="0"/>
              </w:rPr>
              <w:t>AEs,</w:t>
            </w:r>
            <w:r>
              <w:rPr>
                <w:bCs w:val="0"/>
              </w:rPr>
              <w:t xml:space="preserve"> </w:t>
            </w:r>
            <w:r w:rsidRPr="00A53CCE">
              <w:t>ECG QT prolonged</w:t>
            </w:r>
          </w:p>
        </w:tc>
        <w:tc>
          <w:tcPr>
            <w:tcW w:w="665" w:type="pct"/>
            <w:tcBorders>
              <w:top w:val="single" w:sz="4" w:space="0" w:color="auto"/>
              <w:left w:val="single" w:sz="4" w:space="0" w:color="auto"/>
              <w:bottom w:val="single" w:sz="4" w:space="0" w:color="auto"/>
              <w:right w:val="single" w:sz="4" w:space="0" w:color="auto"/>
            </w:tcBorders>
            <w:vAlign w:val="center"/>
          </w:tcPr>
          <w:p w14:paraId="4F7C4049" w14:textId="77777777" w:rsidR="00515ABE" w:rsidRPr="00A53CCE" w:rsidRDefault="00515ABE">
            <w:pPr>
              <w:pStyle w:val="TableText0"/>
              <w:jc w:val="center"/>
            </w:pPr>
            <w:r w:rsidRPr="00A53CCE">
              <w:t>14</w:t>
            </w:r>
            <w:r>
              <w:t>/158</w:t>
            </w:r>
          </w:p>
        </w:tc>
        <w:tc>
          <w:tcPr>
            <w:tcW w:w="665" w:type="pct"/>
            <w:tcBorders>
              <w:top w:val="single" w:sz="4" w:space="0" w:color="auto"/>
              <w:left w:val="single" w:sz="4" w:space="0" w:color="auto"/>
              <w:bottom w:val="single" w:sz="4" w:space="0" w:color="auto"/>
              <w:right w:val="single" w:sz="4" w:space="0" w:color="auto"/>
            </w:tcBorders>
            <w:vAlign w:val="center"/>
          </w:tcPr>
          <w:p w14:paraId="6CBB0E07" w14:textId="77777777" w:rsidR="00515ABE" w:rsidRPr="00A53CCE" w:rsidRDefault="00515ABE">
            <w:pPr>
              <w:pStyle w:val="TableText0"/>
              <w:jc w:val="center"/>
            </w:pPr>
            <w:r w:rsidRPr="00A53CCE">
              <w:t>0</w:t>
            </w:r>
            <w:r>
              <w:t>/98</w:t>
            </w:r>
          </w:p>
        </w:tc>
        <w:tc>
          <w:tcPr>
            <w:tcW w:w="399" w:type="pct"/>
            <w:tcBorders>
              <w:top w:val="single" w:sz="4" w:space="0" w:color="auto"/>
              <w:left w:val="single" w:sz="4" w:space="0" w:color="auto"/>
              <w:bottom w:val="single" w:sz="4" w:space="0" w:color="auto"/>
              <w:right w:val="single" w:sz="4" w:space="0" w:color="auto"/>
            </w:tcBorders>
            <w:vAlign w:val="center"/>
          </w:tcPr>
          <w:p w14:paraId="5F1616C1" w14:textId="77777777" w:rsidR="00515ABE" w:rsidRDefault="00515ABE">
            <w:pPr>
              <w:pStyle w:val="TableText0"/>
              <w:jc w:val="center"/>
            </w:pPr>
            <w:r>
              <w:t>NE</w:t>
            </w:r>
          </w:p>
        </w:tc>
        <w:tc>
          <w:tcPr>
            <w:tcW w:w="668" w:type="pct"/>
            <w:tcBorders>
              <w:top w:val="single" w:sz="4" w:space="0" w:color="auto"/>
              <w:left w:val="single" w:sz="4" w:space="0" w:color="auto"/>
              <w:bottom w:val="single" w:sz="4" w:space="0" w:color="auto"/>
              <w:right w:val="single" w:sz="4" w:space="0" w:color="auto"/>
            </w:tcBorders>
            <w:vAlign w:val="center"/>
          </w:tcPr>
          <w:p w14:paraId="6D73DFD3" w14:textId="77777777" w:rsidR="00515ABE" w:rsidRPr="00E2771E" w:rsidRDefault="00515ABE">
            <w:pPr>
              <w:pStyle w:val="TableText0"/>
              <w:jc w:val="center"/>
            </w:pPr>
            <w:r>
              <w:t>8.9</w:t>
            </w:r>
          </w:p>
        </w:tc>
        <w:tc>
          <w:tcPr>
            <w:tcW w:w="664" w:type="pct"/>
            <w:tcBorders>
              <w:top w:val="single" w:sz="4" w:space="0" w:color="auto"/>
              <w:left w:val="single" w:sz="4" w:space="0" w:color="auto"/>
              <w:bottom w:val="single" w:sz="4" w:space="0" w:color="auto"/>
              <w:right w:val="single" w:sz="4" w:space="0" w:color="auto"/>
            </w:tcBorders>
            <w:vAlign w:val="center"/>
          </w:tcPr>
          <w:p w14:paraId="115E8935" w14:textId="77777777" w:rsidR="00515ABE" w:rsidRPr="00E2771E" w:rsidRDefault="00515ABE">
            <w:pPr>
              <w:pStyle w:val="TableText0"/>
              <w:jc w:val="center"/>
            </w:pPr>
            <w:r>
              <w:t>0</w:t>
            </w:r>
          </w:p>
        </w:tc>
        <w:tc>
          <w:tcPr>
            <w:tcW w:w="411" w:type="pct"/>
            <w:tcBorders>
              <w:top w:val="single" w:sz="4" w:space="0" w:color="auto"/>
              <w:left w:val="single" w:sz="4" w:space="0" w:color="auto"/>
              <w:bottom w:val="single" w:sz="4" w:space="0" w:color="auto"/>
              <w:right w:val="single" w:sz="4" w:space="0" w:color="auto"/>
            </w:tcBorders>
            <w:vAlign w:val="center"/>
          </w:tcPr>
          <w:p w14:paraId="72C26AED" w14:textId="77777777" w:rsidR="00515ABE" w:rsidRPr="00E2771E" w:rsidRDefault="00515ABE">
            <w:pPr>
              <w:pStyle w:val="TableText0"/>
              <w:jc w:val="center"/>
            </w:pPr>
            <w:r>
              <w:t>8.9</w:t>
            </w:r>
          </w:p>
        </w:tc>
      </w:tr>
    </w:tbl>
    <w:p w14:paraId="66743E19" w14:textId="77777777" w:rsidR="00D82DB9" w:rsidRPr="002E7E12" w:rsidRDefault="00D82DB9" w:rsidP="00D82DB9">
      <w:pPr>
        <w:pStyle w:val="TableFigNotes18"/>
        <w:keepNext/>
        <w:spacing w:before="0" w:after="120" w:line="240" w:lineRule="auto"/>
        <w:rPr>
          <w:rFonts w:ascii="Arial Narrow" w:hAnsi="Arial Narrow"/>
          <w:sz w:val="18"/>
          <w:szCs w:val="18"/>
        </w:rPr>
      </w:pPr>
      <w:r w:rsidRPr="002E7E12">
        <w:rPr>
          <w:rFonts w:ascii="Arial Narrow" w:hAnsi="Arial Narrow"/>
          <w:sz w:val="18"/>
          <w:szCs w:val="18"/>
        </w:rPr>
        <w:t>Source: Table</w:t>
      </w:r>
      <w:r>
        <w:rPr>
          <w:rFonts w:ascii="Arial Narrow" w:hAnsi="Arial Narrow"/>
          <w:sz w:val="18"/>
          <w:szCs w:val="18"/>
        </w:rPr>
        <w:t>s</w:t>
      </w:r>
      <w:r w:rsidRPr="002E7E12">
        <w:rPr>
          <w:rFonts w:ascii="Arial Narrow" w:hAnsi="Arial Narrow"/>
          <w:sz w:val="18"/>
          <w:szCs w:val="18"/>
        </w:rPr>
        <w:t xml:space="preserve"> </w:t>
      </w:r>
      <w:r w:rsidRPr="00132937">
        <w:rPr>
          <w:rFonts w:ascii="Arial Narrow" w:hAnsi="Arial Narrow"/>
          <w:sz w:val="18"/>
          <w:szCs w:val="18"/>
        </w:rPr>
        <w:t>JZJC.5.</w:t>
      </w:r>
      <w:r w:rsidR="00134FE0">
        <w:rPr>
          <w:rFonts w:ascii="Arial Narrow" w:hAnsi="Arial Narrow"/>
          <w:sz w:val="18"/>
          <w:szCs w:val="18"/>
        </w:rPr>
        <w:t>1</w:t>
      </w:r>
      <w:r>
        <w:rPr>
          <w:rFonts w:ascii="Arial Narrow" w:hAnsi="Arial Narrow"/>
          <w:sz w:val="18"/>
          <w:szCs w:val="18"/>
        </w:rPr>
        <w:t xml:space="preserve"> and </w:t>
      </w:r>
      <w:r w:rsidRPr="00132937">
        <w:rPr>
          <w:rFonts w:ascii="Arial Narrow" w:hAnsi="Arial Narrow"/>
          <w:sz w:val="18"/>
          <w:szCs w:val="18"/>
        </w:rPr>
        <w:t>14.2.1.1.</w:t>
      </w:r>
      <w:r w:rsidR="0045578E">
        <w:rPr>
          <w:rFonts w:ascii="Arial Narrow" w:hAnsi="Arial Narrow"/>
          <w:sz w:val="18"/>
          <w:szCs w:val="18"/>
        </w:rPr>
        <w:t>1</w:t>
      </w:r>
      <w:r w:rsidRPr="002E7E12">
        <w:rPr>
          <w:rFonts w:ascii="Arial Narrow" w:hAnsi="Arial Narrow"/>
          <w:sz w:val="18"/>
          <w:szCs w:val="18"/>
        </w:rPr>
        <w:t xml:space="preserve">, </w:t>
      </w:r>
      <w:r w:rsidR="0045578E">
        <w:rPr>
          <w:rFonts w:ascii="Arial Narrow" w:hAnsi="Arial Narrow"/>
          <w:sz w:val="18"/>
          <w:szCs w:val="18"/>
        </w:rPr>
        <w:t>pp98-99</w:t>
      </w:r>
      <w:r>
        <w:rPr>
          <w:rFonts w:ascii="Arial Narrow" w:hAnsi="Arial Narrow"/>
          <w:sz w:val="18"/>
          <w:szCs w:val="18"/>
        </w:rPr>
        <w:t xml:space="preserve">; </w:t>
      </w:r>
      <w:r w:rsidRPr="009F0C88">
        <w:rPr>
          <w:rFonts w:ascii="Arial Narrow" w:hAnsi="Arial Narrow"/>
          <w:sz w:val="18"/>
          <w:szCs w:val="18"/>
          <w:lang w:val="en-US"/>
        </w:rPr>
        <w:t>Table JZJC.5.3., p</w:t>
      </w:r>
      <w:r w:rsidR="00DB2182">
        <w:rPr>
          <w:rFonts w:ascii="Arial Narrow" w:hAnsi="Arial Narrow"/>
          <w:sz w:val="18"/>
          <w:szCs w:val="18"/>
          <w:lang w:val="en-US"/>
        </w:rPr>
        <w:t>p</w:t>
      </w:r>
      <w:r w:rsidRPr="009F0C88">
        <w:rPr>
          <w:rFonts w:ascii="Arial Narrow" w:hAnsi="Arial Narrow"/>
          <w:sz w:val="18"/>
          <w:szCs w:val="18"/>
          <w:lang w:val="en-US"/>
        </w:rPr>
        <w:t>106</w:t>
      </w:r>
      <w:r w:rsidR="00DB2182">
        <w:rPr>
          <w:rFonts w:ascii="Arial Narrow" w:hAnsi="Arial Narrow"/>
          <w:sz w:val="18"/>
          <w:szCs w:val="18"/>
          <w:lang w:val="en-US"/>
        </w:rPr>
        <w:t>-107</w:t>
      </w:r>
      <w:r w:rsidR="00E73CB2">
        <w:rPr>
          <w:rFonts w:ascii="Arial Narrow" w:hAnsi="Arial Narrow"/>
          <w:sz w:val="18"/>
          <w:szCs w:val="18"/>
          <w:lang w:val="en-US"/>
        </w:rPr>
        <w:t xml:space="preserve"> </w:t>
      </w:r>
      <w:r w:rsidRPr="002E7E12">
        <w:rPr>
          <w:rFonts w:ascii="Arial Narrow" w:hAnsi="Arial Narrow"/>
          <w:sz w:val="18"/>
          <w:szCs w:val="18"/>
        </w:rPr>
        <w:t xml:space="preserve">of the </w:t>
      </w:r>
      <w:r>
        <w:rPr>
          <w:rFonts w:ascii="Arial Narrow" w:hAnsi="Arial Narrow"/>
          <w:sz w:val="18"/>
          <w:szCs w:val="18"/>
        </w:rPr>
        <w:t>LIBRETTO-431 CSR</w:t>
      </w:r>
      <w:r w:rsidRPr="002E7E12">
        <w:rPr>
          <w:rFonts w:ascii="Arial Narrow" w:hAnsi="Arial Narrow"/>
          <w:sz w:val="18"/>
          <w:szCs w:val="18"/>
        </w:rPr>
        <w:t>.</w:t>
      </w:r>
    </w:p>
    <w:p w14:paraId="147F273E" w14:textId="7A44899B" w:rsidR="00D82DB9" w:rsidRDefault="00957E82" w:rsidP="00D82DB9">
      <w:pPr>
        <w:pStyle w:val="TableFigNotes18"/>
        <w:spacing w:before="0" w:after="120" w:line="240" w:lineRule="auto"/>
        <w:rPr>
          <w:rFonts w:ascii="Arial Narrow" w:hAnsi="Arial Narrow"/>
          <w:sz w:val="18"/>
          <w:szCs w:val="18"/>
        </w:rPr>
      </w:pPr>
      <w:r>
        <w:rPr>
          <w:rFonts w:ascii="Arial Narrow" w:hAnsi="Arial Narrow"/>
          <w:sz w:val="18"/>
          <w:szCs w:val="18"/>
        </w:rPr>
        <w:t xml:space="preserve">AE = adverse event; </w:t>
      </w:r>
      <w:r w:rsidR="00BC5A69" w:rsidRPr="00BC2B7F">
        <w:rPr>
          <w:rFonts w:ascii="Arial Narrow" w:hAnsi="Arial Narrow"/>
          <w:sz w:val="18"/>
          <w:szCs w:val="18"/>
        </w:rPr>
        <w:t>ALT</w:t>
      </w:r>
      <w:r w:rsidR="00BC5A69">
        <w:rPr>
          <w:rFonts w:ascii="Arial Narrow" w:hAnsi="Arial Narrow"/>
          <w:sz w:val="18"/>
          <w:szCs w:val="18"/>
        </w:rPr>
        <w:t xml:space="preserve"> =</w:t>
      </w:r>
      <w:r w:rsidR="00BC5A69" w:rsidRPr="00BC2B7F">
        <w:rPr>
          <w:rFonts w:ascii="Arial Narrow" w:hAnsi="Arial Narrow"/>
          <w:sz w:val="18"/>
          <w:szCs w:val="18"/>
        </w:rPr>
        <w:t xml:space="preserve"> alanine aminotransferase; AST</w:t>
      </w:r>
      <w:r w:rsidR="00BC5A69">
        <w:rPr>
          <w:rFonts w:ascii="Arial Narrow" w:hAnsi="Arial Narrow"/>
          <w:sz w:val="18"/>
          <w:szCs w:val="18"/>
        </w:rPr>
        <w:t xml:space="preserve"> =</w:t>
      </w:r>
      <w:r w:rsidR="00BC5A69" w:rsidRPr="00BC2B7F">
        <w:rPr>
          <w:rFonts w:ascii="Arial Narrow" w:hAnsi="Arial Narrow"/>
          <w:sz w:val="18"/>
          <w:szCs w:val="18"/>
        </w:rPr>
        <w:t xml:space="preserve"> aspartate aminotransferase; </w:t>
      </w:r>
      <w:r w:rsidR="00D82DB9" w:rsidRPr="002E7E12">
        <w:rPr>
          <w:rFonts w:ascii="Arial Narrow" w:hAnsi="Arial Narrow"/>
          <w:sz w:val="18"/>
          <w:szCs w:val="18"/>
        </w:rPr>
        <w:t>CI</w:t>
      </w:r>
      <w:r w:rsidR="00D82DB9">
        <w:rPr>
          <w:rFonts w:ascii="Arial Narrow" w:hAnsi="Arial Narrow"/>
          <w:sz w:val="18"/>
          <w:szCs w:val="18"/>
        </w:rPr>
        <w:t xml:space="preserve"> = </w:t>
      </w:r>
      <w:r w:rsidR="00D82DB9" w:rsidRPr="002E7E12">
        <w:rPr>
          <w:rFonts w:ascii="Arial Narrow" w:hAnsi="Arial Narrow"/>
          <w:sz w:val="18"/>
          <w:szCs w:val="18"/>
        </w:rPr>
        <w:t xml:space="preserve">confidence interval; </w:t>
      </w:r>
      <w:r w:rsidR="00BC5A69">
        <w:rPr>
          <w:rFonts w:ascii="Arial Narrow" w:hAnsi="Arial Narrow"/>
          <w:sz w:val="18"/>
          <w:szCs w:val="18"/>
        </w:rPr>
        <w:t xml:space="preserve">ECG = electrocardiogram; </w:t>
      </w:r>
      <w:r w:rsidR="00D82DB9" w:rsidRPr="002E7E12">
        <w:rPr>
          <w:rFonts w:ascii="Arial Narrow" w:hAnsi="Arial Narrow"/>
          <w:sz w:val="18"/>
          <w:szCs w:val="18"/>
        </w:rPr>
        <w:t>HR</w:t>
      </w:r>
      <w:r w:rsidR="00D82DB9">
        <w:rPr>
          <w:rFonts w:ascii="Arial Narrow" w:hAnsi="Arial Narrow"/>
          <w:sz w:val="18"/>
          <w:szCs w:val="18"/>
        </w:rPr>
        <w:t xml:space="preserve"> = </w:t>
      </w:r>
      <w:r w:rsidR="00D82DB9" w:rsidRPr="002E7E12">
        <w:rPr>
          <w:rFonts w:ascii="Arial Narrow" w:hAnsi="Arial Narrow"/>
          <w:sz w:val="18"/>
          <w:szCs w:val="18"/>
        </w:rPr>
        <w:t>hazard ratio;</w:t>
      </w:r>
      <w:r w:rsidR="00D82DB9">
        <w:rPr>
          <w:rFonts w:ascii="Arial Narrow" w:hAnsi="Arial Narrow"/>
          <w:sz w:val="18"/>
          <w:szCs w:val="18"/>
        </w:rPr>
        <w:t xml:space="preserve"> ITT = intention to treat; IWRS =</w:t>
      </w:r>
      <w:r w:rsidR="00D82DB9" w:rsidRPr="009570E9">
        <w:t xml:space="preserve"> </w:t>
      </w:r>
      <w:r w:rsidR="00D82DB9" w:rsidRPr="009570E9">
        <w:rPr>
          <w:rFonts w:ascii="Arial Narrow" w:hAnsi="Arial Narrow"/>
          <w:sz w:val="18"/>
          <w:szCs w:val="18"/>
        </w:rPr>
        <w:t>interactive web response system</w:t>
      </w:r>
      <w:r w:rsidR="00D82DB9">
        <w:rPr>
          <w:rFonts w:ascii="Arial Narrow" w:hAnsi="Arial Narrow"/>
          <w:sz w:val="18"/>
          <w:szCs w:val="18"/>
        </w:rPr>
        <w:t>;</w:t>
      </w:r>
      <w:r w:rsidR="00D82DB9" w:rsidRPr="002E7E12">
        <w:rPr>
          <w:rFonts w:ascii="Arial Narrow" w:hAnsi="Arial Narrow"/>
          <w:sz w:val="18"/>
          <w:szCs w:val="18"/>
        </w:rPr>
        <w:t xml:space="preserve"> NE</w:t>
      </w:r>
      <w:r w:rsidR="00D82DB9">
        <w:rPr>
          <w:rFonts w:ascii="Arial Narrow" w:hAnsi="Arial Narrow"/>
          <w:sz w:val="18"/>
          <w:szCs w:val="18"/>
        </w:rPr>
        <w:t xml:space="preserve"> = </w:t>
      </w:r>
      <w:r w:rsidR="00D82DB9" w:rsidRPr="002E7E12">
        <w:rPr>
          <w:rFonts w:ascii="Arial Narrow" w:hAnsi="Arial Narrow"/>
          <w:sz w:val="18"/>
          <w:szCs w:val="18"/>
        </w:rPr>
        <w:t xml:space="preserve">not estimable; </w:t>
      </w:r>
      <w:r w:rsidR="00D82DB9">
        <w:rPr>
          <w:rFonts w:ascii="Arial Narrow" w:hAnsi="Arial Narrow"/>
          <w:sz w:val="18"/>
          <w:szCs w:val="18"/>
        </w:rPr>
        <w:t xml:space="preserve">PC = platinum-based chemotherapy; </w:t>
      </w:r>
      <w:r w:rsidR="00BC5A69">
        <w:rPr>
          <w:rFonts w:ascii="Arial Narrow" w:hAnsi="Arial Narrow"/>
          <w:sz w:val="18"/>
          <w:szCs w:val="18"/>
        </w:rPr>
        <w:t xml:space="preserve">Pembro = pembrolizumab; </w:t>
      </w:r>
      <w:r w:rsidR="00D82DB9" w:rsidRPr="002E7E12">
        <w:rPr>
          <w:rFonts w:ascii="Arial Narrow" w:hAnsi="Arial Narrow"/>
          <w:sz w:val="18"/>
          <w:szCs w:val="18"/>
        </w:rPr>
        <w:t>PFS</w:t>
      </w:r>
      <w:r w:rsidR="00D82DB9">
        <w:rPr>
          <w:rFonts w:ascii="Arial Narrow" w:hAnsi="Arial Narrow"/>
          <w:sz w:val="18"/>
          <w:szCs w:val="18"/>
        </w:rPr>
        <w:t xml:space="preserve"> = </w:t>
      </w:r>
      <w:r w:rsidR="00D82DB9" w:rsidRPr="002E7E12">
        <w:rPr>
          <w:rFonts w:ascii="Arial Narrow" w:hAnsi="Arial Narrow"/>
          <w:sz w:val="18"/>
          <w:szCs w:val="18"/>
        </w:rPr>
        <w:t>progression-free survival</w:t>
      </w:r>
      <w:r w:rsidR="00D82DB9">
        <w:rPr>
          <w:rFonts w:ascii="Arial Narrow" w:hAnsi="Arial Narrow"/>
          <w:sz w:val="18"/>
          <w:szCs w:val="18"/>
        </w:rPr>
        <w:t xml:space="preserve">; </w:t>
      </w:r>
      <w:r w:rsidR="00D82DB9" w:rsidRPr="007E223B">
        <w:rPr>
          <w:rFonts w:ascii="Arial Narrow" w:hAnsi="Arial Narrow"/>
          <w:sz w:val="18"/>
          <w:szCs w:val="18"/>
        </w:rPr>
        <w:t>RD = risk difference; RR = risk ratio</w:t>
      </w:r>
      <w:r w:rsidR="00E11EDB">
        <w:rPr>
          <w:rFonts w:ascii="Arial Narrow" w:hAnsi="Arial Narrow"/>
          <w:sz w:val="18"/>
          <w:szCs w:val="18"/>
        </w:rPr>
        <w:t>; TEAE = treatment-emergent adverse event</w:t>
      </w:r>
      <w:r w:rsidR="00D82DB9">
        <w:rPr>
          <w:rFonts w:ascii="Arial Narrow" w:hAnsi="Arial Narrow"/>
          <w:sz w:val="18"/>
          <w:szCs w:val="18"/>
        </w:rPr>
        <w:t>.</w:t>
      </w:r>
    </w:p>
    <w:p w14:paraId="6D11270C" w14:textId="77777777" w:rsidR="00D82DB9" w:rsidRPr="002E7E12" w:rsidRDefault="00D82DB9" w:rsidP="00D82DB9">
      <w:pPr>
        <w:pStyle w:val="TableFigNotes18"/>
        <w:keepNext/>
        <w:spacing w:before="0" w:after="120" w:line="240" w:lineRule="auto"/>
        <w:rPr>
          <w:rFonts w:ascii="Arial Narrow" w:hAnsi="Arial Narrow"/>
          <w:sz w:val="18"/>
          <w:szCs w:val="18"/>
        </w:rPr>
      </w:pPr>
      <w:r w:rsidRPr="002E7E12">
        <w:rPr>
          <w:rFonts w:ascii="Arial Narrow" w:hAnsi="Arial Narrow"/>
          <w:sz w:val="18"/>
          <w:szCs w:val="18"/>
          <w:vertAlign w:val="superscript"/>
        </w:rPr>
        <w:t>a</w:t>
      </w:r>
      <w:r w:rsidRPr="002E7E12">
        <w:rPr>
          <w:rFonts w:ascii="Arial Narrow" w:hAnsi="Arial Narrow"/>
          <w:sz w:val="18"/>
          <w:szCs w:val="18"/>
        </w:rPr>
        <w:t xml:space="preserve"> Stratified by Geography (East Asian versus non-East Asian) – IWRS, Brain metastases (presence or absence/unknown) – IWRS</w:t>
      </w:r>
    </w:p>
    <w:p w14:paraId="4613FA09" w14:textId="183D7325" w:rsidR="00D82DB9" w:rsidRPr="002E7E12" w:rsidRDefault="00D82DB9" w:rsidP="00D82DB9">
      <w:pPr>
        <w:pStyle w:val="TableFigNotes18"/>
        <w:keepNext/>
        <w:spacing w:before="0" w:after="120" w:line="240" w:lineRule="auto"/>
        <w:rPr>
          <w:rFonts w:ascii="Arial Narrow" w:hAnsi="Arial Narrow"/>
          <w:sz w:val="18"/>
          <w:szCs w:val="18"/>
        </w:rPr>
      </w:pPr>
      <w:r w:rsidRPr="002E7E12">
        <w:rPr>
          <w:rFonts w:ascii="Arial Narrow" w:hAnsi="Arial Narrow"/>
          <w:sz w:val="18"/>
          <w:szCs w:val="18"/>
          <w:vertAlign w:val="superscript"/>
        </w:rPr>
        <w:t>b</w:t>
      </w:r>
      <w:r w:rsidRPr="002E7E12">
        <w:rPr>
          <w:rFonts w:ascii="Arial Narrow" w:hAnsi="Arial Narrow"/>
          <w:sz w:val="18"/>
          <w:szCs w:val="18"/>
        </w:rPr>
        <w:t xml:space="preserve"> 95% C</w:t>
      </w:r>
      <w:r w:rsidR="00BC5A69">
        <w:rPr>
          <w:rFonts w:ascii="Arial Narrow" w:hAnsi="Arial Narrow"/>
          <w:sz w:val="18"/>
          <w:szCs w:val="18"/>
        </w:rPr>
        <w:t>I</w:t>
      </w:r>
      <w:r w:rsidRPr="002E7E12">
        <w:rPr>
          <w:rFonts w:ascii="Arial Narrow" w:hAnsi="Arial Narrow"/>
          <w:sz w:val="18"/>
          <w:szCs w:val="18"/>
        </w:rPr>
        <w:t xml:space="preserve">s and 2-sided p-values for the </w:t>
      </w:r>
      <w:r w:rsidR="00BC5A69">
        <w:rPr>
          <w:rFonts w:ascii="Arial Narrow" w:hAnsi="Arial Narrow"/>
          <w:sz w:val="18"/>
          <w:szCs w:val="18"/>
        </w:rPr>
        <w:t>d</w:t>
      </w:r>
      <w:r w:rsidRPr="002E7E12">
        <w:rPr>
          <w:rFonts w:ascii="Arial Narrow" w:hAnsi="Arial Narrow"/>
          <w:sz w:val="18"/>
          <w:szCs w:val="18"/>
        </w:rPr>
        <w:t>ifference between rates were calculated based on normal approximation</w:t>
      </w:r>
      <w:r>
        <w:rPr>
          <w:rFonts w:ascii="Arial Narrow" w:hAnsi="Arial Narrow"/>
          <w:sz w:val="18"/>
          <w:szCs w:val="18"/>
        </w:rPr>
        <w:t>.</w:t>
      </w:r>
    </w:p>
    <w:p w14:paraId="076BFCB8" w14:textId="77777777" w:rsidR="003D0DD8" w:rsidRDefault="00D82DB9" w:rsidP="00567670">
      <w:pPr>
        <w:pStyle w:val="TableFigNotes18"/>
        <w:keepNext/>
        <w:spacing w:before="0" w:after="120" w:line="240" w:lineRule="auto"/>
        <w:rPr>
          <w:rFonts w:ascii="Arial Narrow" w:hAnsi="Arial Narrow"/>
          <w:sz w:val="18"/>
          <w:szCs w:val="18"/>
        </w:rPr>
      </w:pPr>
      <w:r w:rsidRPr="002E7E12">
        <w:rPr>
          <w:rFonts w:ascii="Arial Narrow" w:hAnsi="Arial Narrow"/>
          <w:sz w:val="18"/>
          <w:szCs w:val="18"/>
          <w:vertAlign w:val="superscript"/>
        </w:rPr>
        <w:t>c</w:t>
      </w:r>
      <w:r w:rsidRPr="002E7E12">
        <w:rPr>
          <w:rFonts w:ascii="Arial Narrow" w:hAnsi="Arial Narrow"/>
          <w:sz w:val="18"/>
          <w:szCs w:val="18"/>
        </w:rPr>
        <w:t xml:space="preserve"> p-values </w:t>
      </w:r>
      <w:r>
        <w:rPr>
          <w:rFonts w:ascii="Arial Narrow" w:hAnsi="Arial Narrow"/>
          <w:sz w:val="18"/>
          <w:szCs w:val="18"/>
        </w:rPr>
        <w:t>were</w:t>
      </w:r>
      <w:r w:rsidRPr="002E7E12">
        <w:rPr>
          <w:rFonts w:ascii="Arial Narrow" w:hAnsi="Arial Narrow"/>
          <w:sz w:val="18"/>
          <w:szCs w:val="18"/>
        </w:rPr>
        <w:t xml:space="preserve"> computed based on comparator carboplatin or cisplatin + pemetrexed + pembrolizumab</w:t>
      </w:r>
      <w:r>
        <w:rPr>
          <w:rFonts w:ascii="Arial Narrow" w:hAnsi="Arial Narrow"/>
          <w:sz w:val="18"/>
          <w:szCs w:val="18"/>
        </w:rPr>
        <w:t>.</w:t>
      </w:r>
    </w:p>
    <w:p w14:paraId="6CE41E7C" w14:textId="5816C2E5" w:rsidR="00515ABE" w:rsidRPr="00E2432E" w:rsidRDefault="00D82DB9" w:rsidP="00141EDF">
      <w:pPr>
        <w:pStyle w:val="TableFigNotes18"/>
        <w:spacing w:before="0" w:after="120" w:line="240" w:lineRule="auto"/>
        <w:contextualSpacing w:val="0"/>
      </w:pPr>
      <w:r w:rsidRPr="0092488E">
        <w:rPr>
          <w:rFonts w:ascii="Arial Narrow" w:hAnsi="Arial Narrow"/>
          <w:sz w:val="18"/>
          <w:szCs w:val="18"/>
        </w:rPr>
        <w:t>ITT-population included the ITT-pembrolizumab population and those that did not receive pembrolizumab as decided by the study investigator intention to treat (no more than 20%)</w:t>
      </w:r>
    </w:p>
    <w:p w14:paraId="45680A64" w14:textId="77777777" w:rsidR="002D7804" w:rsidRDefault="002D7804" w:rsidP="002D7804">
      <w:pPr>
        <w:pStyle w:val="3-BodyText"/>
      </w:pPr>
      <w:r w:rsidRPr="00952FB4">
        <w:t xml:space="preserve">On the basis of the direct evidence from the </w:t>
      </w:r>
      <w:r>
        <w:t>LIBRETTO-431</w:t>
      </w:r>
      <w:r w:rsidRPr="00952FB4">
        <w:t xml:space="preserve"> trial presented </w:t>
      </w:r>
      <w:r>
        <w:t xml:space="preserve">by </w:t>
      </w:r>
      <w:r w:rsidRPr="00952FB4">
        <w:t>the</w:t>
      </w:r>
      <w:r>
        <w:t xml:space="preserve"> resubmission</w:t>
      </w:r>
      <w:r w:rsidRPr="00952FB4">
        <w:t xml:space="preserve">, </w:t>
      </w:r>
      <w:r>
        <w:t xml:space="preserve">for every 100 patients treated with selpercatinib in comparison with pembrolizumab </w:t>
      </w:r>
      <w:r w:rsidRPr="341DFE45">
        <w:rPr>
          <w:rFonts w:cstheme="minorBidi"/>
        </w:rPr>
        <w:t>±</w:t>
      </w:r>
      <w:r>
        <w:t xml:space="preserve"> PC:</w:t>
      </w:r>
    </w:p>
    <w:p w14:paraId="43636942" w14:textId="27D1D262" w:rsidR="002D7804" w:rsidRDefault="002D7804" w:rsidP="00861BF1">
      <w:pPr>
        <w:pStyle w:val="3-BodyText"/>
        <w:numPr>
          <w:ilvl w:val="0"/>
          <w:numId w:val="12"/>
        </w:numPr>
        <w:ind w:left="1080"/>
      </w:pPr>
      <w:r>
        <w:t xml:space="preserve">Approximately </w:t>
      </w:r>
      <w:r w:rsidR="00710B4C">
        <w:t>2</w:t>
      </w:r>
      <w:r w:rsidR="00A91828">
        <w:t>3</w:t>
      </w:r>
      <w:r w:rsidR="00710B4C">
        <w:t xml:space="preserve"> </w:t>
      </w:r>
      <w:r>
        <w:t xml:space="preserve">patients will remain progression free after </w:t>
      </w:r>
      <w:r w:rsidR="00710B4C">
        <w:t xml:space="preserve">24 </w:t>
      </w:r>
      <w:r>
        <w:t xml:space="preserve">months. </w:t>
      </w:r>
    </w:p>
    <w:p w14:paraId="57C9D507" w14:textId="20F619FB" w:rsidR="002D7804" w:rsidRDefault="002D7804" w:rsidP="00861BF1">
      <w:pPr>
        <w:pStyle w:val="3-BodyText"/>
        <w:numPr>
          <w:ilvl w:val="0"/>
          <w:numId w:val="12"/>
        </w:numPr>
        <w:ind w:left="1080"/>
      </w:pPr>
      <w:r>
        <w:t xml:space="preserve">Approximately 15 additional </w:t>
      </w:r>
      <w:r w:rsidR="007B2765">
        <w:t>patients will experience a</w:t>
      </w:r>
      <w:r w:rsidR="002A6946">
        <w:t xml:space="preserve">n adverse </w:t>
      </w:r>
      <w:r w:rsidR="00036ED4">
        <w:t>ev</w:t>
      </w:r>
      <w:r w:rsidR="002A6946">
        <w:t>ent from the treatment</w:t>
      </w:r>
      <w:r>
        <w:t>.</w:t>
      </w:r>
    </w:p>
    <w:p w14:paraId="74FE5564" w14:textId="5C675D9F" w:rsidR="002D7804" w:rsidRDefault="002D7804" w:rsidP="00861BF1">
      <w:pPr>
        <w:pStyle w:val="3-BodyText"/>
        <w:numPr>
          <w:ilvl w:val="0"/>
          <w:numId w:val="12"/>
        </w:numPr>
        <w:ind w:left="1080"/>
      </w:pPr>
      <w:r>
        <w:t xml:space="preserve">Approximately 19 additional </w:t>
      </w:r>
      <w:r w:rsidR="007B2765">
        <w:t xml:space="preserve">patients will experience </w:t>
      </w:r>
      <w:r>
        <w:t xml:space="preserve">Grade </w:t>
      </w:r>
      <w:r>
        <w:rPr>
          <w:rFonts w:cstheme="minorHAnsi"/>
        </w:rPr>
        <w:t>≥</w:t>
      </w:r>
      <w:r>
        <w:t xml:space="preserve"> 3 </w:t>
      </w:r>
      <w:r w:rsidR="007B2765">
        <w:t xml:space="preserve">increases in </w:t>
      </w:r>
      <w:r w:rsidRPr="00B42207">
        <w:t>alanine aminotransferase</w:t>
      </w:r>
      <w:r w:rsidR="001C4DC7">
        <w:t xml:space="preserve"> (</w:t>
      </w:r>
      <w:r w:rsidR="00DB73EC">
        <w:t>an enzyme elevated</w:t>
      </w:r>
      <w:r w:rsidR="0087558B">
        <w:t xml:space="preserve"> in the blo</w:t>
      </w:r>
      <w:r w:rsidR="006A0680">
        <w:t>o</w:t>
      </w:r>
      <w:r w:rsidR="0087558B">
        <w:t>d</w:t>
      </w:r>
      <w:r w:rsidR="005B61F1">
        <w:t xml:space="preserve"> </w:t>
      </w:r>
      <w:r w:rsidR="00F37C84">
        <w:t>caused by</w:t>
      </w:r>
      <w:r w:rsidR="005B61F1">
        <w:t xml:space="preserve"> liver damage)</w:t>
      </w:r>
      <w:r>
        <w:t>.</w:t>
      </w:r>
    </w:p>
    <w:p w14:paraId="5C1ED417" w14:textId="1BBD62E3" w:rsidR="002D7804" w:rsidRDefault="002D7804" w:rsidP="00861BF1">
      <w:pPr>
        <w:pStyle w:val="3-BodyText"/>
        <w:numPr>
          <w:ilvl w:val="0"/>
          <w:numId w:val="12"/>
        </w:numPr>
        <w:ind w:left="1080"/>
      </w:pPr>
      <w:r>
        <w:t xml:space="preserve">Approximately 12 additional </w:t>
      </w:r>
      <w:r w:rsidR="00957E82">
        <w:t xml:space="preserve">patients will experience a </w:t>
      </w:r>
      <w:r>
        <w:t xml:space="preserve">Grade </w:t>
      </w:r>
      <w:r>
        <w:rPr>
          <w:rFonts w:cstheme="minorHAnsi"/>
        </w:rPr>
        <w:t>≥</w:t>
      </w:r>
      <w:r>
        <w:t xml:space="preserve"> 3 </w:t>
      </w:r>
      <w:r w:rsidR="00957E82">
        <w:t xml:space="preserve">increase in </w:t>
      </w:r>
      <w:r w:rsidRPr="008D6BB4">
        <w:t>aspartate aminotransferase</w:t>
      </w:r>
      <w:r>
        <w:t xml:space="preserve"> </w:t>
      </w:r>
      <w:r w:rsidR="00E232EF">
        <w:t xml:space="preserve">(an enzyme elevated in the blood </w:t>
      </w:r>
      <w:r w:rsidR="00F37C84">
        <w:t xml:space="preserve">caused </w:t>
      </w:r>
      <w:r w:rsidR="00674BEB">
        <w:t>by</w:t>
      </w:r>
      <w:r w:rsidR="00E232EF">
        <w:t xml:space="preserve"> liver damage)</w:t>
      </w:r>
      <w:r>
        <w:t>.</w:t>
      </w:r>
    </w:p>
    <w:p w14:paraId="25BB4C73" w14:textId="03B2B06C" w:rsidR="002D7804" w:rsidRDefault="002D7804" w:rsidP="00861BF1">
      <w:pPr>
        <w:pStyle w:val="3-BodyText"/>
        <w:numPr>
          <w:ilvl w:val="0"/>
          <w:numId w:val="12"/>
        </w:numPr>
        <w:ind w:left="1080"/>
      </w:pPr>
      <w:r>
        <w:lastRenderedPageBreak/>
        <w:t xml:space="preserve">Approximately 17 additional </w:t>
      </w:r>
      <w:r w:rsidR="00957E82">
        <w:t xml:space="preserve">patients will experience </w:t>
      </w:r>
      <w:r>
        <w:t xml:space="preserve">Grade </w:t>
      </w:r>
      <w:r>
        <w:rPr>
          <w:rFonts w:cstheme="minorHAnsi"/>
        </w:rPr>
        <w:t>≥</w:t>
      </w:r>
      <w:r>
        <w:t xml:space="preserve"> 3 hypertension </w:t>
      </w:r>
      <w:r w:rsidR="00022602">
        <w:t>(high blood pressure)</w:t>
      </w:r>
      <w:r>
        <w:t>.</w:t>
      </w:r>
    </w:p>
    <w:p w14:paraId="1D70A64E" w14:textId="7626944A" w:rsidR="002D7804" w:rsidRDefault="002D7804" w:rsidP="00861BF1">
      <w:pPr>
        <w:pStyle w:val="3-BodyText"/>
        <w:numPr>
          <w:ilvl w:val="0"/>
          <w:numId w:val="12"/>
        </w:numPr>
        <w:ind w:left="1080"/>
      </w:pPr>
      <w:r>
        <w:t xml:space="preserve">Approximately 9 additional </w:t>
      </w:r>
      <w:r w:rsidR="00957E82">
        <w:t xml:space="preserve">patients will experience </w:t>
      </w:r>
      <w:r>
        <w:t xml:space="preserve">Grade </w:t>
      </w:r>
      <w:r w:rsidRPr="00AC660F">
        <w:rPr>
          <w:rFonts w:cstheme="minorHAnsi"/>
        </w:rPr>
        <w:t>≥</w:t>
      </w:r>
      <w:r>
        <w:t xml:space="preserve"> 3 </w:t>
      </w:r>
      <w:r w:rsidR="00022602">
        <w:t xml:space="preserve">prolonged </w:t>
      </w:r>
      <w:r>
        <w:t xml:space="preserve">electrocardiogram QT </w:t>
      </w:r>
      <w:r w:rsidR="00036ED4">
        <w:t>(</w:t>
      </w:r>
      <w:r w:rsidR="00886E00">
        <w:t xml:space="preserve">indicating </w:t>
      </w:r>
      <w:r w:rsidR="00AD518A">
        <w:t xml:space="preserve">an </w:t>
      </w:r>
      <w:r w:rsidR="00036ED4">
        <w:t>irregular hea</w:t>
      </w:r>
      <w:r w:rsidR="001E1F3E">
        <w:t>rt</w:t>
      </w:r>
      <w:r w:rsidR="00036ED4">
        <w:t xml:space="preserve"> rhythm)</w:t>
      </w:r>
      <w:r>
        <w:t>.</w:t>
      </w:r>
    </w:p>
    <w:p w14:paraId="05A8BF9A" w14:textId="77777777" w:rsidR="002D7804" w:rsidRPr="00C9624D" w:rsidRDefault="002D7804" w:rsidP="002D7804">
      <w:pPr>
        <w:pStyle w:val="4-SubsectionHeading"/>
      </w:pPr>
      <w:bookmarkStart w:id="47" w:name="_Toc22897644"/>
      <w:bookmarkStart w:id="48" w:name="_Toc167269749"/>
      <w:r w:rsidRPr="00C9624D">
        <w:t>Clinical claim</w:t>
      </w:r>
      <w:bookmarkEnd w:id="47"/>
      <w:bookmarkEnd w:id="48"/>
    </w:p>
    <w:p w14:paraId="64932567" w14:textId="2ACFABE7" w:rsidR="00881740" w:rsidRDefault="002D7804" w:rsidP="00881740">
      <w:pPr>
        <w:pStyle w:val="3-BodyText"/>
        <w:rPr>
          <w:rFonts w:eastAsia="Calibri"/>
        </w:rPr>
      </w:pPr>
      <w:r w:rsidRPr="005555D0">
        <w:rPr>
          <w:rFonts w:eastAsia="Calibri"/>
        </w:rPr>
        <w:t xml:space="preserve">The </w:t>
      </w:r>
      <w:r w:rsidR="001C663C">
        <w:rPr>
          <w:rFonts w:eastAsia="Calibri"/>
        </w:rPr>
        <w:t>re</w:t>
      </w:r>
      <w:r w:rsidRPr="005555D0">
        <w:rPr>
          <w:rFonts w:eastAsia="Calibri"/>
        </w:rPr>
        <w:t xml:space="preserve">submission described selpercatinib as superior in terms of effectiveness compared with </w:t>
      </w:r>
      <w:r w:rsidR="006F610B" w:rsidRPr="005555D0">
        <w:rPr>
          <w:rFonts w:eastAsia="Calibri"/>
        </w:rPr>
        <w:t xml:space="preserve">pembrolizumab </w:t>
      </w:r>
      <w:r w:rsidR="00814B4C">
        <w:rPr>
          <w:rFonts w:eastAsia="Calibri"/>
        </w:rPr>
        <w:t xml:space="preserve">+ PC </w:t>
      </w:r>
      <w:r w:rsidR="006F610B" w:rsidRPr="005555D0">
        <w:rPr>
          <w:rFonts w:eastAsia="Calibri"/>
        </w:rPr>
        <w:t xml:space="preserve">in patients with advanced </w:t>
      </w:r>
      <w:r w:rsidR="006F610B" w:rsidRPr="00A9296C">
        <w:rPr>
          <w:rFonts w:eastAsia="Calibri"/>
          <w:i/>
        </w:rPr>
        <w:t>RET</w:t>
      </w:r>
      <w:r w:rsidR="006F610B" w:rsidRPr="005555D0">
        <w:rPr>
          <w:rFonts w:eastAsia="Calibri"/>
        </w:rPr>
        <w:t xml:space="preserve"> fusion-positive NSCLC</w:t>
      </w:r>
      <w:r w:rsidR="00713241">
        <w:rPr>
          <w:rFonts w:eastAsia="Calibri"/>
        </w:rPr>
        <w:t xml:space="preserve"> based on the new head</w:t>
      </w:r>
      <w:r w:rsidR="001510F5">
        <w:rPr>
          <w:rFonts w:eastAsia="Calibri"/>
        </w:rPr>
        <w:t>-</w:t>
      </w:r>
      <w:r w:rsidR="00713241">
        <w:rPr>
          <w:rFonts w:eastAsia="Calibri"/>
        </w:rPr>
        <w:t>to</w:t>
      </w:r>
      <w:r w:rsidR="001510F5">
        <w:rPr>
          <w:rFonts w:eastAsia="Calibri"/>
        </w:rPr>
        <w:t>-</w:t>
      </w:r>
      <w:r w:rsidR="00713241">
        <w:rPr>
          <w:rFonts w:eastAsia="Calibri"/>
        </w:rPr>
        <w:t>head LIBRETTO-431 trial data</w:t>
      </w:r>
      <w:r w:rsidRPr="005555D0">
        <w:rPr>
          <w:rFonts w:eastAsia="Calibri"/>
        </w:rPr>
        <w:t xml:space="preserve">. </w:t>
      </w:r>
      <w:r w:rsidR="00957E82">
        <w:rPr>
          <w:rFonts w:eastAsia="Calibri"/>
        </w:rPr>
        <w:t>In July 2023, the PBAC could not support the claim of superior efficacy as the ITCs presented were associated with a high degree of uncertainty (paragraph 7.1, selpercatinib PSD, July 2023 PBAC meeting).</w:t>
      </w:r>
    </w:p>
    <w:p w14:paraId="3F7C6AB2" w14:textId="22422B56" w:rsidR="00307C20" w:rsidRPr="007A7229" w:rsidRDefault="00957E82" w:rsidP="00FB1F18">
      <w:pPr>
        <w:pStyle w:val="3-BodyText"/>
        <w:rPr>
          <w:rFonts w:eastAsia="Calibri"/>
        </w:rPr>
      </w:pPr>
      <w:r>
        <w:rPr>
          <w:rFonts w:eastAsia="Calibri"/>
        </w:rPr>
        <w:t>Patients from the LIBRETTO-431 trial</w:t>
      </w:r>
      <w:r w:rsidRPr="00E2432E">
        <w:rPr>
          <w:rFonts w:eastAsia="Calibri"/>
        </w:rPr>
        <w:t xml:space="preserve"> </w:t>
      </w:r>
      <w:r w:rsidR="009B15EA" w:rsidRPr="00E2432E">
        <w:rPr>
          <w:rFonts w:eastAsia="Calibri"/>
        </w:rPr>
        <w:t xml:space="preserve">treated with selpercatinib demonstrated a statistically significant (p&lt;0.05) improvement in PFS when compared to </w:t>
      </w:r>
      <w:r w:rsidR="00364C6C">
        <w:rPr>
          <w:snapToGrid/>
          <w:lang w:val="en-US"/>
        </w:rPr>
        <w:t>patients</w:t>
      </w:r>
      <w:r w:rsidR="009B15EA" w:rsidRPr="00E2432E">
        <w:rPr>
          <w:rFonts w:eastAsia="Calibri"/>
        </w:rPr>
        <w:t xml:space="preserve"> in the pembrolizumab + PC arm in the ITT-pembrolizumab population and ITT</w:t>
      </w:r>
      <w:r w:rsidR="00200D23">
        <w:rPr>
          <w:rFonts w:eastAsia="Calibri"/>
        </w:rPr>
        <w:t>-</w:t>
      </w:r>
      <w:r w:rsidR="009B15EA" w:rsidRPr="00E2432E">
        <w:rPr>
          <w:rFonts w:eastAsia="Calibri"/>
        </w:rPr>
        <w:t>population (incremental PFS</w:t>
      </w:r>
      <w:r>
        <w:rPr>
          <w:rFonts w:eastAsia="Calibri"/>
        </w:rPr>
        <w:t xml:space="preserve"> </w:t>
      </w:r>
      <w:r w:rsidR="009B15EA" w:rsidRPr="00E2432E">
        <w:rPr>
          <w:rFonts w:eastAsia="Calibri"/>
        </w:rPr>
        <w:t>=</w:t>
      </w:r>
      <w:r>
        <w:rPr>
          <w:rFonts w:eastAsia="Calibri"/>
        </w:rPr>
        <w:t xml:space="preserve"> </w:t>
      </w:r>
      <w:r w:rsidR="009B15EA" w:rsidRPr="00E2432E">
        <w:rPr>
          <w:rFonts w:eastAsia="Calibri"/>
        </w:rPr>
        <w:t>13.67 months</w:t>
      </w:r>
      <w:r w:rsidR="009B15EA" w:rsidRPr="007A7229">
        <w:rPr>
          <w:rFonts w:eastAsia="Calibri"/>
        </w:rPr>
        <w:t>).</w:t>
      </w:r>
    </w:p>
    <w:p w14:paraId="4F5AD511" w14:textId="3DAED41F" w:rsidR="002D7804" w:rsidRPr="00861BF1" w:rsidRDefault="00073935" w:rsidP="00085EF6">
      <w:pPr>
        <w:pStyle w:val="3-BodyText"/>
        <w:rPr>
          <w:rFonts w:eastAsia="Calibri"/>
        </w:rPr>
      </w:pPr>
      <w:r w:rsidRPr="007A7229">
        <w:rPr>
          <w:rFonts w:eastAsia="Calibri"/>
        </w:rPr>
        <w:t>However</w:t>
      </w:r>
      <w:r w:rsidR="00764CD8" w:rsidRPr="007A7229">
        <w:rPr>
          <w:rFonts w:eastAsia="Calibri"/>
        </w:rPr>
        <w:t>,</w:t>
      </w:r>
      <w:r w:rsidRPr="007A7229">
        <w:rPr>
          <w:rFonts w:eastAsia="Calibri"/>
        </w:rPr>
        <w:t xml:space="preserve"> </w:t>
      </w:r>
      <w:r w:rsidRPr="007A7229">
        <w:t>OS gained was not statistically significant in either analysis population</w:t>
      </w:r>
      <w:r w:rsidR="00736006" w:rsidRPr="007A7229">
        <w:t>.</w:t>
      </w:r>
      <w:r w:rsidRPr="007A7229">
        <w:rPr>
          <w:rFonts w:eastAsia="Calibri"/>
        </w:rPr>
        <w:t xml:space="preserve"> </w:t>
      </w:r>
      <w:r w:rsidR="00957E82">
        <w:rPr>
          <w:rFonts w:eastAsia="Calibri"/>
        </w:rPr>
        <w:t xml:space="preserve">OS in the control arm was confounded as </w:t>
      </w:r>
      <w:r w:rsidR="002D7804" w:rsidRPr="007A7229">
        <w:rPr>
          <w:rFonts w:eastAsia="Calibri"/>
        </w:rPr>
        <w:t xml:space="preserve">75% of </w:t>
      </w:r>
      <w:r w:rsidR="00957E82">
        <w:rPr>
          <w:rFonts w:eastAsia="Calibri"/>
        </w:rPr>
        <w:t>patients</w:t>
      </w:r>
      <w:r w:rsidR="00957E82" w:rsidRPr="007A7229">
        <w:rPr>
          <w:rFonts w:eastAsia="Calibri"/>
        </w:rPr>
        <w:t xml:space="preserve"> </w:t>
      </w:r>
      <w:r w:rsidR="002D7804" w:rsidRPr="007A7229">
        <w:rPr>
          <w:rFonts w:eastAsia="Calibri"/>
        </w:rPr>
        <w:t xml:space="preserve">in the ITT-pembrolizumab population </w:t>
      </w:r>
      <w:r w:rsidR="00CD3A0C">
        <w:rPr>
          <w:rFonts w:eastAsia="Calibri"/>
        </w:rPr>
        <w:t xml:space="preserve">who discontinued treatment </w:t>
      </w:r>
      <w:r w:rsidR="002D7804" w:rsidRPr="007A7229">
        <w:rPr>
          <w:rFonts w:eastAsia="Calibri"/>
        </w:rPr>
        <w:t xml:space="preserve">crossed over to </w:t>
      </w:r>
      <w:r w:rsidR="00957E82">
        <w:rPr>
          <w:rFonts w:eastAsia="Calibri"/>
        </w:rPr>
        <w:t xml:space="preserve">receive </w:t>
      </w:r>
      <w:r w:rsidR="002D7804" w:rsidRPr="007A7229">
        <w:rPr>
          <w:rFonts w:eastAsia="Calibri"/>
        </w:rPr>
        <w:t xml:space="preserve">selpercatinib treatment </w:t>
      </w:r>
      <w:r w:rsidR="00CD3A0C">
        <w:t xml:space="preserve">or a commercially available selective </w:t>
      </w:r>
      <w:r w:rsidR="00CD3A0C" w:rsidRPr="00F9565D">
        <w:rPr>
          <w:i/>
          <w:iCs/>
        </w:rPr>
        <w:t>RET</w:t>
      </w:r>
      <w:r w:rsidR="00CD3A0C">
        <w:t xml:space="preserve"> inhibitor</w:t>
      </w:r>
      <w:r w:rsidR="00CD3A0C" w:rsidRPr="007A7229">
        <w:rPr>
          <w:rFonts w:eastAsia="Calibri"/>
        </w:rPr>
        <w:t xml:space="preserve"> </w:t>
      </w:r>
      <w:r w:rsidR="002D7804" w:rsidRPr="007A7229">
        <w:rPr>
          <w:rFonts w:eastAsia="Calibri"/>
        </w:rPr>
        <w:t>after disease progression</w:t>
      </w:r>
      <w:r w:rsidR="00957E82">
        <w:rPr>
          <w:rFonts w:eastAsia="Calibri"/>
        </w:rPr>
        <w:t>. This resulted in</w:t>
      </w:r>
      <w:r w:rsidR="002D7804" w:rsidRPr="007A7229">
        <w:rPr>
          <w:rFonts w:eastAsia="Calibri"/>
        </w:rPr>
        <w:t xml:space="preserve"> the comparative treatment effect of selpercatinib </w:t>
      </w:r>
      <w:r w:rsidR="00957E82">
        <w:rPr>
          <w:rFonts w:eastAsia="Calibri"/>
        </w:rPr>
        <w:t>being</w:t>
      </w:r>
      <w:r w:rsidR="00957E82" w:rsidRPr="007A7229">
        <w:rPr>
          <w:rFonts w:eastAsia="Calibri"/>
        </w:rPr>
        <w:t xml:space="preserve"> </w:t>
      </w:r>
      <w:r w:rsidR="002D7804" w:rsidRPr="007A7229">
        <w:rPr>
          <w:rFonts w:eastAsia="Calibri"/>
        </w:rPr>
        <w:t xml:space="preserve">underestimated. </w:t>
      </w:r>
    </w:p>
    <w:p w14:paraId="4FE111E2" w14:textId="51B46E32" w:rsidR="00957E82" w:rsidRDefault="00957E82" w:rsidP="00FB1F18">
      <w:pPr>
        <w:pStyle w:val="3-BodyText"/>
        <w:rPr>
          <w:rFonts w:eastAsia="Calibri"/>
        </w:rPr>
      </w:pPr>
      <w:r w:rsidRPr="00861BF1">
        <w:rPr>
          <w:rFonts w:eastAsia="Calibri"/>
        </w:rPr>
        <w:t xml:space="preserve">Overall, the </w:t>
      </w:r>
      <w:r w:rsidR="00AD0583">
        <w:rPr>
          <w:rFonts w:eastAsia="Calibri"/>
        </w:rPr>
        <w:t xml:space="preserve">PBAC agreed with </w:t>
      </w:r>
      <w:r w:rsidRPr="00861BF1">
        <w:rPr>
          <w:rFonts w:eastAsia="Calibri"/>
        </w:rPr>
        <w:t xml:space="preserve">ESC </w:t>
      </w:r>
      <w:r w:rsidR="00AD0583">
        <w:rPr>
          <w:rFonts w:eastAsia="Calibri"/>
        </w:rPr>
        <w:t xml:space="preserve">in </w:t>
      </w:r>
      <w:r w:rsidRPr="00861BF1">
        <w:rPr>
          <w:rFonts w:eastAsia="Calibri"/>
        </w:rPr>
        <w:t>consider</w:t>
      </w:r>
      <w:r w:rsidR="00AD0583">
        <w:rPr>
          <w:rFonts w:eastAsia="Calibri"/>
        </w:rPr>
        <w:t>ing</w:t>
      </w:r>
      <w:r w:rsidRPr="00861BF1">
        <w:rPr>
          <w:rFonts w:eastAsia="Calibri"/>
        </w:rPr>
        <w:t xml:space="preserve"> that in terms of PFS, the claim of superior efficacy was supported</w:t>
      </w:r>
      <w:r w:rsidR="00E51BB5">
        <w:rPr>
          <w:rFonts w:eastAsia="Calibri"/>
        </w:rPr>
        <w:t xml:space="preserve"> and</w:t>
      </w:r>
      <w:r w:rsidRPr="00861BF1">
        <w:rPr>
          <w:rFonts w:eastAsia="Calibri"/>
        </w:rPr>
        <w:t xml:space="preserve"> in terms of OS, the claim of superior efficacy was uncertain due to the high rate of crossover in the LIBRETTO-431 trial.</w:t>
      </w:r>
    </w:p>
    <w:p w14:paraId="166257E5" w14:textId="67D887EE" w:rsidR="002D2450" w:rsidRPr="00BC5A69" w:rsidRDefault="002D7804" w:rsidP="00957E82">
      <w:pPr>
        <w:pStyle w:val="3-BodyText"/>
        <w:rPr>
          <w:rFonts w:eastAsia="Calibri"/>
        </w:rPr>
      </w:pPr>
      <w:r w:rsidRPr="005555D0">
        <w:rPr>
          <w:rFonts w:eastAsia="Calibri"/>
        </w:rPr>
        <w:t>The resubmission described selpercatinib as having a different</w:t>
      </w:r>
      <w:r w:rsidR="001D3BE3">
        <w:rPr>
          <w:rFonts w:eastAsia="Calibri"/>
        </w:rPr>
        <w:t>,</w:t>
      </w:r>
      <w:r w:rsidRPr="005555D0">
        <w:rPr>
          <w:rFonts w:eastAsia="Calibri"/>
        </w:rPr>
        <w:t xml:space="preserve"> but clinically manageable</w:t>
      </w:r>
      <w:r w:rsidR="001D3BE3">
        <w:rPr>
          <w:rFonts w:eastAsia="Calibri"/>
        </w:rPr>
        <w:t>,</w:t>
      </w:r>
      <w:r w:rsidRPr="005555D0">
        <w:rPr>
          <w:rFonts w:eastAsia="Calibri"/>
        </w:rPr>
        <w:t xml:space="preserve"> safety profile compared </w:t>
      </w:r>
      <w:r w:rsidR="006F610B">
        <w:rPr>
          <w:rFonts w:eastAsia="Calibri"/>
        </w:rPr>
        <w:t>with</w:t>
      </w:r>
      <w:r w:rsidRPr="005555D0">
        <w:rPr>
          <w:rFonts w:eastAsia="Calibri"/>
        </w:rPr>
        <w:t xml:space="preserve"> </w:t>
      </w:r>
      <w:r w:rsidR="006F610B">
        <w:rPr>
          <w:rFonts w:eastAsia="Calibri"/>
        </w:rPr>
        <w:t xml:space="preserve">pembrolizumab </w:t>
      </w:r>
      <w:r w:rsidR="00814B4C">
        <w:rPr>
          <w:rFonts w:eastAsia="Calibri"/>
        </w:rPr>
        <w:t>+ PC</w:t>
      </w:r>
      <w:r w:rsidRPr="005555D0">
        <w:rPr>
          <w:rFonts w:eastAsia="Calibri"/>
        </w:rPr>
        <w:t xml:space="preserve"> in patients with advanced </w:t>
      </w:r>
      <w:r w:rsidRPr="00A9296C">
        <w:rPr>
          <w:rFonts w:eastAsia="Calibri"/>
          <w:i/>
        </w:rPr>
        <w:t>RET</w:t>
      </w:r>
      <w:r w:rsidRPr="005555D0">
        <w:rPr>
          <w:rFonts w:eastAsia="Calibri"/>
        </w:rPr>
        <w:t xml:space="preserve"> fusion-positive NSCLC.</w:t>
      </w:r>
      <w:r w:rsidR="00957E82">
        <w:rPr>
          <w:rFonts w:eastAsia="Calibri"/>
        </w:rPr>
        <w:t xml:space="preserve"> </w:t>
      </w:r>
      <w:r w:rsidR="002D2450" w:rsidRPr="00957E82">
        <w:rPr>
          <w:rFonts w:eastAsia="Calibri"/>
        </w:rPr>
        <w:t xml:space="preserve">The PBAC previously considered the claim that selpercatinib has a different, but manageable, safety profile compared to </w:t>
      </w:r>
      <w:r w:rsidR="002D2450" w:rsidRPr="00BC5A69">
        <w:rPr>
          <w:rFonts w:eastAsia="Calibri"/>
        </w:rPr>
        <w:t>pembrolizumab + PC was reasonable (para</w:t>
      </w:r>
      <w:r w:rsidR="00957E82" w:rsidRPr="00BC5A69">
        <w:rPr>
          <w:rFonts w:eastAsia="Calibri"/>
        </w:rPr>
        <w:t>graph</w:t>
      </w:r>
      <w:r w:rsidR="002D2450" w:rsidRPr="00BC5A69">
        <w:rPr>
          <w:rFonts w:eastAsia="Calibri"/>
        </w:rPr>
        <w:t xml:space="preserve"> 6.67, selpercatinib, PSD, July</w:t>
      </w:r>
      <w:r w:rsidR="00141EDF">
        <w:rPr>
          <w:rFonts w:eastAsia="Calibri"/>
        </w:rPr>
        <w:t> </w:t>
      </w:r>
      <w:r w:rsidR="002D2450" w:rsidRPr="00BC5A69">
        <w:rPr>
          <w:rFonts w:eastAsia="Calibri"/>
        </w:rPr>
        <w:t xml:space="preserve">2023 PBAC meeting). </w:t>
      </w:r>
    </w:p>
    <w:p w14:paraId="6AACD9F8" w14:textId="331C4117" w:rsidR="002D7804" w:rsidRPr="00BC5A69" w:rsidRDefault="006F610B" w:rsidP="005113B4">
      <w:pPr>
        <w:pStyle w:val="3-BodyText"/>
        <w:rPr>
          <w:rFonts w:eastAsia="Calibri"/>
        </w:rPr>
      </w:pPr>
      <w:r w:rsidRPr="00BC5A69">
        <w:rPr>
          <w:rFonts w:eastAsia="Calibri"/>
        </w:rPr>
        <w:t xml:space="preserve">Overall, </w:t>
      </w:r>
      <w:r w:rsidR="00957E82" w:rsidRPr="00BC5A69">
        <w:rPr>
          <w:rFonts w:eastAsia="Calibri"/>
        </w:rPr>
        <w:t xml:space="preserve">the ESC considered that </w:t>
      </w:r>
      <w:r w:rsidRPr="00BC5A69">
        <w:rPr>
          <w:rFonts w:eastAsia="Calibri"/>
        </w:rPr>
        <w:t>selpercatinib had a</w:t>
      </w:r>
      <w:r w:rsidR="00957E82" w:rsidRPr="00BC5A69">
        <w:rPr>
          <w:rFonts w:eastAsia="Calibri"/>
        </w:rPr>
        <w:t>n inferior</w:t>
      </w:r>
      <w:r w:rsidRPr="00BC5A69">
        <w:rPr>
          <w:rFonts w:eastAsia="Calibri"/>
        </w:rPr>
        <w:t xml:space="preserve"> safety profile compared to pembrolizumab </w:t>
      </w:r>
      <w:r w:rsidRPr="00BC5A69">
        <w:rPr>
          <w:rFonts w:cstheme="minorBidi"/>
        </w:rPr>
        <w:t>±</w:t>
      </w:r>
      <w:r w:rsidRPr="00BC5A69">
        <w:t xml:space="preserve"> PC, as evidenced by the higher rate of TEAEs</w:t>
      </w:r>
      <w:r w:rsidR="00957E82" w:rsidRPr="00BC5A69">
        <w:t>,</w:t>
      </w:r>
      <w:r w:rsidRPr="00BC5A69">
        <w:t xml:space="preserve"> SAEs</w:t>
      </w:r>
      <w:r w:rsidR="00957E82" w:rsidRPr="00BC5A69">
        <w:t xml:space="preserve"> and fatal A</w:t>
      </w:r>
      <w:r w:rsidR="00E5176B" w:rsidRPr="00BC5A69">
        <w:t>E</w:t>
      </w:r>
      <w:r w:rsidR="00957E82" w:rsidRPr="00BC5A69">
        <w:t>s</w:t>
      </w:r>
      <w:r w:rsidRPr="00BC5A69">
        <w:t>.</w:t>
      </w:r>
      <w:r w:rsidRPr="00BC5A69">
        <w:rPr>
          <w:rFonts w:eastAsia="Calibri"/>
        </w:rPr>
        <w:t xml:space="preserve"> </w:t>
      </w:r>
    </w:p>
    <w:p w14:paraId="3A22DDF6" w14:textId="1AFB615D" w:rsidR="00861BF1" w:rsidRPr="00BC5A69" w:rsidRDefault="00861BF1" w:rsidP="00861BF1">
      <w:pPr>
        <w:widowControl w:val="0"/>
        <w:numPr>
          <w:ilvl w:val="1"/>
          <w:numId w:val="1"/>
        </w:numPr>
        <w:spacing w:after="120"/>
        <w:rPr>
          <w:rFonts w:asciiTheme="minorHAnsi" w:hAnsiTheme="minorHAnsi"/>
          <w:iCs/>
          <w:snapToGrid w:val="0"/>
          <w:szCs w:val="20"/>
        </w:rPr>
      </w:pPr>
      <w:bookmarkStart w:id="49" w:name="_Hlk76376200"/>
      <w:r w:rsidRPr="00BC5A69">
        <w:rPr>
          <w:rFonts w:asciiTheme="minorHAnsi" w:hAnsiTheme="minorHAnsi"/>
          <w:iCs/>
          <w:snapToGrid w:val="0"/>
          <w:szCs w:val="20"/>
        </w:rPr>
        <w:t xml:space="preserve">The PBAC considered that the claim </w:t>
      </w:r>
      <w:r w:rsidR="00AD0583" w:rsidRPr="00BC5A69">
        <w:rPr>
          <w:rFonts w:asciiTheme="minorHAnsi" w:hAnsiTheme="minorHAnsi"/>
          <w:iCs/>
          <w:snapToGrid w:val="0"/>
          <w:szCs w:val="20"/>
        </w:rPr>
        <w:t xml:space="preserve">that selpercatinib has a different, but clinically manageable, safety profile </w:t>
      </w:r>
      <w:r w:rsidRPr="00BC5A69">
        <w:rPr>
          <w:rFonts w:asciiTheme="minorHAnsi" w:hAnsiTheme="minorHAnsi"/>
          <w:iCs/>
          <w:snapToGrid w:val="0"/>
          <w:szCs w:val="20"/>
        </w:rPr>
        <w:t>was reasonable.</w:t>
      </w:r>
      <w:bookmarkEnd w:id="49"/>
    </w:p>
    <w:p w14:paraId="0432F569" w14:textId="77777777" w:rsidR="002D7804" w:rsidRDefault="002D7804" w:rsidP="002D7804">
      <w:pPr>
        <w:pStyle w:val="4-SubsectionHeading"/>
      </w:pPr>
      <w:bookmarkStart w:id="50" w:name="_Toc22897645"/>
      <w:bookmarkStart w:id="51" w:name="_Toc167269750"/>
      <w:r w:rsidRPr="00C9624D">
        <w:t>Economic analysis</w:t>
      </w:r>
      <w:bookmarkEnd w:id="50"/>
      <w:bookmarkEnd w:id="51"/>
      <w:r w:rsidRPr="00C9624D">
        <w:t xml:space="preserve"> </w:t>
      </w:r>
    </w:p>
    <w:p w14:paraId="31FD695A" w14:textId="77777777" w:rsidR="002D7804" w:rsidRPr="008573A0" w:rsidRDefault="002D7804" w:rsidP="002D7804">
      <w:pPr>
        <w:pStyle w:val="3-BodyText"/>
        <w:rPr>
          <w:lang w:val="en-US"/>
        </w:rPr>
      </w:pPr>
      <w:r>
        <w:t xml:space="preserve">The resubmission presented a stepped economic evaluation of selpercatinib compared with pembrolizumab + PC as first-line therapy for the treatment of </w:t>
      </w:r>
      <w:r w:rsidRPr="3A854663">
        <w:rPr>
          <w:i/>
        </w:rPr>
        <w:t>RET</w:t>
      </w:r>
      <w:r>
        <w:t xml:space="preserve"> fusion-positive, locally advanced or metastatic NSCLC based on an indirect comparison </w:t>
      </w:r>
      <w:r>
        <w:lastRenderedPageBreak/>
        <w:t xml:space="preserve">of the treatment-naïve cohort of the LIBRETTO-001 study (June 2021 data cut) and the pembrolizumab trials KN-189 and KN-021 (Cohort G). The base case economic analysis was based on the primary indirect comparison using the MAIC 2 model approach. </w:t>
      </w:r>
    </w:p>
    <w:p w14:paraId="61BF81FA" w14:textId="399DB0C9" w:rsidR="002D7804" w:rsidRPr="007A7229" w:rsidRDefault="002D7804" w:rsidP="002D7804">
      <w:pPr>
        <w:pStyle w:val="3-BodyText"/>
      </w:pPr>
      <w:r w:rsidRPr="008573A0">
        <w:t>The type of economic evaluation presented was a cost-effectiveness analysis and a cost-utility analysis.</w:t>
      </w:r>
      <w:r w:rsidRPr="00F53B49">
        <w:t xml:space="preserve"> </w:t>
      </w:r>
      <w:r w:rsidRPr="00E2432E">
        <w:t>The resubmission presented a partitioned survival model</w:t>
      </w:r>
      <w:r w:rsidRPr="007A7229">
        <w:t xml:space="preserve">, which was the same basic model structure as the July 2023 submission. </w:t>
      </w:r>
    </w:p>
    <w:p w14:paraId="0AEA3D53" w14:textId="711F6B93" w:rsidR="002D7804" w:rsidRDefault="002D7804" w:rsidP="002D7804">
      <w:pPr>
        <w:pStyle w:val="3-BodyText"/>
      </w:pPr>
      <w:r>
        <w:t xml:space="preserve">The key differences from the July 2023 submission </w:t>
      </w:r>
      <w:r w:rsidR="00F72A5F">
        <w:t xml:space="preserve">base case </w:t>
      </w:r>
      <w:r>
        <w:t>were:</w:t>
      </w:r>
    </w:p>
    <w:p w14:paraId="573F4309" w14:textId="198839FC" w:rsidR="002D7804" w:rsidRDefault="40353001" w:rsidP="002D7804">
      <w:pPr>
        <w:pStyle w:val="ListParagraph"/>
        <w:ind w:left="1134"/>
      </w:pPr>
      <w:r>
        <w:t>T</w:t>
      </w:r>
      <w:r w:rsidR="002D7804">
        <w:t xml:space="preserve">he </w:t>
      </w:r>
      <w:r w:rsidR="717E3758">
        <w:t xml:space="preserve">source of </w:t>
      </w:r>
      <w:r w:rsidR="002D7804">
        <w:t xml:space="preserve">the treatment effect </w:t>
      </w:r>
      <w:r w:rsidR="61E62D11">
        <w:t xml:space="preserve">changed </w:t>
      </w:r>
      <w:r w:rsidR="002D7804">
        <w:t xml:space="preserve">from the </w:t>
      </w:r>
      <w:r w:rsidR="00866CA8">
        <w:t>network meta</w:t>
      </w:r>
      <w:r w:rsidR="00E32299">
        <w:t>-</w:t>
      </w:r>
      <w:r w:rsidR="00866CA8">
        <w:t>analysis</w:t>
      </w:r>
      <w:r w:rsidR="2503C76C">
        <w:t xml:space="preserve"> to the </w:t>
      </w:r>
      <w:r w:rsidR="002D7804">
        <w:t xml:space="preserve">MAIC 2 </w:t>
      </w:r>
      <w:r w:rsidR="009A14D9">
        <w:t>model</w:t>
      </w:r>
      <w:r w:rsidR="002D7804">
        <w:t>.</w:t>
      </w:r>
      <w:r w:rsidR="00567670" w:rsidRPr="00567670">
        <w:t xml:space="preserve"> </w:t>
      </w:r>
    </w:p>
    <w:p w14:paraId="30FB9EB7" w14:textId="5276E61F" w:rsidR="002D7804" w:rsidRDefault="4D1948AE" w:rsidP="002D7804">
      <w:pPr>
        <w:pStyle w:val="ListParagraph"/>
        <w:ind w:left="1134"/>
      </w:pPr>
      <w:r>
        <w:t xml:space="preserve">The time horizon </w:t>
      </w:r>
      <w:r w:rsidR="00200D23">
        <w:t>was reduced</w:t>
      </w:r>
      <w:r>
        <w:t xml:space="preserve"> from 20 years to </w:t>
      </w:r>
      <w:r w:rsidR="002D7804">
        <w:t>10</w:t>
      </w:r>
      <w:r w:rsidR="002C77C1">
        <w:t xml:space="preserve"> </w:t>
      </w:r>
      <w:r w:rsidR="002D7804">
        <w:t>year</w:t>
      </w:r>
      <w:r w:rsidR="3FF15730">
        <w:t>s</w:t>
      </w:r>
      <w:r w:rsidR="002D7804">
        <w:t>.</w:t>
      </w:r>
      <w:r w:rsidR="0058610A" w:rsidDel="0058610A">
        <w:t xml:space="preserve"> </w:t>
      </w:r>
    </w:p>
    <w:p w14:paraId="6D97B18C" w14:textId="43113A8C" w:rsidR="00E14C9A" w:rsidRDefault="60D5962A" w:rsidP="00E14C9A">
      <w:pPr>
        <w:pStyle w:val="ListParagraph"/>
        <w:ind w:left="1134"/>
      </w:pPr>
      <w:r w:rsidRPr="00E2432E">
        <w:rPr>
          <w:i/>
        </w:rPr>
        <w:t xml:space="preserve">RET </w:t>
      </w:r>
      <w:r>
        <w:t xml:space="preserve">fusion testing was </w:t>
      </w:r>
      <w:r w:rsidR="001C2A10">
        <w:t xml:space="preserve">excluded. </w:t>
      </w:r>
    </w:p>
    <w:p w14:paraId="2E1B7BD9" w14:textId="67614071" w:rsidR="00E14C9A" w:rsidRDefault="004209D0" w:rsidP="00E14C9A">
      <w:pPr>
        <w:pStyle w:val="ListParagraph"/>
        <w:ind w:left="1134"/>
      </w:pPr>
      <w:r>
        <w:t>No dose reduction</w:t>
      </w:r>
      <w:r w:rsidR="00F556A1">
        <w:t xml:space="preserve">s for pembrolizumab were applied. </w:t>
      </w:r>
    </w:p>
    <w:p w14:paraId="2446C087" w14:textId="15B1036E" w:rsidR="002D7804" w:rsidRPr="00D73940" w:rsidRDefault="114D53E1" w:rsidP="006E2A31">
      <w:pPr>
        <w:pStyle w:val="ListParagraph"/>
        <w:ind w:left="1134"/>
      </w:pPr>
      <w:r>
        <w:t xml:space="preserve">The </w:t>
      </w:r>
      <w:r w:rsidR="002D7804">
        <w:t xml:space="preserve">TTD for later-line pembrolizumab therapy </w:t>
      </w:r>
      <w:r w:rsidR="4682DAFE">
        <w:t xml:space="preserve">was doubled </w:t>
      </w:r>
      <w:r w:rsidR="002D7804">
        <w:t xml:space="preserve">from 5.65 treatment cycles </w:t>
      </w:r>
      <w:r w:rsidR="00174802">
        <w:t>in the July 2023 submission</w:t>
      </w:r>
      <w:r w:rsidR="002D7804">
        <w:t xml:space="preserve"> to 11.31 cycles</w:t>
      </w:r>
      <w:r w:rsidR="00174802">
        <w:t xml:space="preserve"> in the resubmission</w:t>
      </w:r>
      <w:r w:rsidR="002D7804">
        <w:t>.</w:t>
      </w:r>
      <w:r w:rsidR="0006152B">
        <w:t xml:space="preserve"> </w:t>
      </w:r>
    </w:p>
    <w:p w14:paraId="2A9B33C2" w14:textId="12E675C8" w:rsidR="0058610A" w:rsidRPr="0058610A" w:rsidRDefault="0273FF84" w:rsidP="0058610A">
      <w:pPr>
        <w:pStyle w:val="ListParagraph"/>
        <w:ind w:left="1134"/>
      </w:pPr>
      <w:r>
        <w:t>T</w:t>
      </w:r>
      <w:r w:rsidR="002D7804">
        <w:t xml:space="preserve">he drug acquisition costs for pembrolizumab, pemetrexed, carboplatin and docetaxel </w:t>
      </w:r>
      <w:r w:rsidR="166DF0F1">
        <w:t xml:space="preserve">were recalculated </w:t>
      </w:r>
      <w:r w:rsidR="002D7804">
        <w:t xml:space="preserve">according to the </w:t>
      </w:r>
      <w:r w:rsidR="002D7804" w:rsidRPr="00164228">
        <w:t>Efficient Funding of Chemotherapy</w:t>
      </w:r>
      <w:r w:rsidR="002D7804">
        <w:t xml:space="preserve"> </w:t>
      </w:r>
      <w:r w:rsidR="00CD7F29">
        <w:t xml:space="preserve">(EFC) </w:t>
      </w:r>
      <w:r w:rsidR="002D7804">
        <w:t>Program.</w:t>
      </w:r>
      <w:r w:rsidR="00EF742A" w:rsidRPr="00EF742A">
        <w:t xml:space="preserve"> </w:t>
      </w:r>
    </w:p>
    <w:p w14:paraId="7BC714ED" w14:textId="6323F1D3" w:rsidR="0058610A" w:rsidRDefault="0058610A" w:rsidP="002D7804">
      <w:pPr>
        <w:pStyle w:val="3-BodyText"/>
      </w:pPr>
      <w:r>
        <w:t xml:space="preserve">The key differences outlined above </w:t>
      </w:r>
      <w:r w:rsidR="00BC5A69">
        <w:t>we</w:t>
      </w:r>
      <w:r>
        <w:t>re consistent with the respecified base case model provided in the July 2023 pre-PBAC response (paragraph 6.88, selper</w:t>
      </w:r>
      <w:r w:rsidR="00BC5A69">
        <w:t>ca</w:t>
      </w:r>
      <w:r>
        <w:t xml:space="preserve">tinib PSD, July 2023 PBAC meeting). </w:t>
      </w:r>
      <w:r w:rsidRPr="0058610A">
        <w:t xml:space="preserve">The </w:t>
      </w:r>
      <w:r>
        <w:t>PBAC previously noted the</w:t>
      </w:r>
      <w:r w:rsidRPr="0058610A">
        <w:t xml:space="preserve"> respecified base case </w:t>
      </w:r>
      <w:r>
        <w:t xml:space="preserve">provided in the pre-PBAC response </w:t>
      </w:r>
      <w:r w:rsidRPr="0058610A">
        <w:t xml:space="preserve">differed from that provided during the evaluation in three ways: application of the selpercatinib treatment effect derived from the MAIC Model 2; use of a 10 year rather than a 7.5 year time horizon; and incorporation of a </w:t>
      </w:r>
      <w:r w:rsidR="006E7F49" w:rsidRPr="0086135B">
        <w:rPr>
          <w:color w:val="000000"/>
          <w:w w:val="15"/>
          <w:shd w:val="solid" w:color="000000" w:fill="000000"/>
          <w:fitText w:val="-20" w:id="-892610303"/>
          <w14:textFill>
            <w14:solidFill>
              <w14:srgbClr w14:val="000000">
                <w14:alpha w14:val="100000"/>
              </w14:srgbClr>
            </w14:solidFill>
          </w14:textFill>
        </w:rPr>
        <w:t xml:space="preserve">|  </w:t>
      </w:r>
      <w:r w:rsidR="006E7F49" w:rsidRPr="0086135B">
        <w:rPr>
          <w:color w:val="000000"/>
          <w:spacing w:val="-69"/>
          <w:w w:val="15"/>
          <w:shd w:val="solid" w:color="000000" w:fill="000000"/>
          <w:fitText w:val="-20" w:id="-892610303"/>
          <w14:textFill>
            <w14:solidFill>
              <w14:srgbClr w14:val="000000">
                <w14:alpha w14:val="100000"/>
              </w14:srgbClr>
            </w14:solidFill>
          </w14:textFill>
        </w:rPr>
        <w:t>|</w:t>
      </w:r>
      <w:r w:rsidRPr="0058610A">
        <w:t xml:space="preserve">% price reduction for selpercatinib (paragraph </w:t>
      </w:r>
      <w:r>
        <w:t xml:space="preserve">7.12, </w:t>
      </w:r>
      <w:r w:rsidR="00CD700B">
        <w:t>selpercatinib</w:t>
      </w:r>
      <w:r>
        <w:t xml:space="preserve"> PSD, July</w:t>
      </w:r>
      <w:r w:rsidR="00141EDF">
        <w:t> </w:t>
      </w:r>
      <w:r>
        <w:t>2023 PBAC meeting</w:t>
      </w:r>
      <w:r w:rsidRPr="0058610A">
        <w:t>).</w:t>
      </w:r>
    </w:p>
    <w:p w14:paraId="46647D49" w14:textId="56DF84DE" w:rsidR="00E2650E" w:rsidRDefault="04B40278" w:rsidP="00E2650E">
      <w:pPr>
        <w:pStyle w:val="3-BodyText"/>
        <w:widowControl w:val="0"/>
      </w:pPr>
      <w:r>
        <w:t>Further details regarding t</w:t>
      </w:r>
      <w:r w:rsidR="002D7804">
        <w:t xml:space="preserve">he key components of the economic evaluation used in the resubmission, along with the key differences </w:t>
      </w:r>
      <w:r w:rsidR="00CD7F29">
        <w:t>with</w:t>
      </w:r>
      <w:r w:rsidR="002D7804">
        <w:t xml:space="preserve"> the July 2023 submission </w:t>
      </w:r>
      <w:r w:rsidR="008D7DD6">
        <w:t>and the pre-PBAC response</w:t>
      </w:r>
      <w:r w:rsidR="002D7804">
        <w:t xml:space="preserve"> are described in </w:t>
      </w:r>
      <w:r w:rsidR="00895676">
        <w:fldChar w:fldCharType="begin" w:fldLock="1"/>
      </w:r>
      <w:r w:rsidR="00895676">
        <w:instrText xml:space="preserve"> REF _Ref164113393 \h  \* MERGEFORMAT </w:instrText>
      </w:r>
      <w:r w:rsidR="00895676">
        <w:fldChar w:fldCharType="separate"/>
      </w:r>
      <w:r w:rsidR="00895676">
        <w:t xml:space="preserve">Table </w:t>
      </w:r>
      <w:r w:rsidR="00895676">
        <w:rPr>
          <w:noProof/>
        </w:rPr>
        <w:t>10</w:t>
      </w:r>
      <w:r w:rsidR="00895676">
        <w:fldChar w:fldCharType="end"/>
      </w:r>
      <w:r w:rsidR="002D7804">
        <w:t>.</w:t>
      </w:r>
    </w:p>
    <w:p w14:paraId="3EAF63B3" w14:textId="1C7E4625" w:rsidR="00E2650E" w:rsidRDefault="00E2650E" w:rsidP="00141EDF">
      <w:pPr>
        <w:pStyle w:val="Caption"/>
        <w:widowControl w:val="0"/>
      </w:pPr>
      <w:r>
        <w:t xml:space="preserve">Table </w:t>
      </w:r>
      <w:r w:rsidR="00BA56FF">
        <w:fldChar w:fldCharType="begin" w:fldLock="1"/>
      </w:r>
      <w:r w:rsidR="00BA56FF">
        <w:instrText xml:space="preserve"> SEQ Table \* ARABIC </w:instrText>
      </w:r>
      <w:r w:rsidR="00BA56FF">
        <w:fldChar w:fldCharType="separate"/>
      </w:r>
      <w:r w:rsidR="00F979CE">
        <w:rPr>
          <w:noProof/>
        </w:rPr>
        <w:t>10</w:t>
      </w:r>
      <w:r w:rsidR="00BA56FF">
        <w:rPr>
          <w:noProof/>
        </w:rPr>
        <w:fldChar w:fldCharType="end"/>
      </w:r>
      <w:r>
        <w:t xml:space="preserve">: </w:t>
      </w:r>
      <w:r w:rsidRPr="00641FB3">
        <w:rPr>
          <w:rStyle w:val="CommentReference"/>
          <w:b/>
          <w:szCs w:val="24"/>
        </w:rPr>
        <w:t xml:space="preserve">Summary of model structure, key inputs and </w:t>
      </w:r>
      <w:r>
        <w:rPr>
          <w:rStyle w:val="CommentReference"/>
          <w:b/>
          <w:szCs w:val="24"/>
        </w:rPr>
        <w:t>differences between the July 2023 submission, the pre-PBAC response and the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Table 10: Summary of model structure, key inputs and differences between the July 2023 submission, the pre-PBAC response and the current resubmission"/>
      </w:tblPr>
      <w:tblGrid>
        <w:gridCol w:w="1417"/>
        <w:gridCol w:w="2534"/>
        <w:gridCol w:w="2534"/>
        <w:gridCol w:w="2532"/>
      </w:tblGrid>
      <w:tr w:rsidR="00E2650E" w:rsidRPr="00E05630" w14:paraId="32180B40" w14:textId="77777777" w:rsidTr="00BC5A69">
        <w:trPr>
          <w:trHeight w:val="194"/>
          <w:tblHeader/>
        </w:trPr>
        <w:tc>
          <w:tcPr>
            <w:tcW w:w="786" w:type="pct"/>
            <w:vAlign w:val="center"/>
          </w:tcPr>
          <w:p w14:paraId="6990982D" w14:textId="77777777" w:rsidR="00E2650E" w:rsidRPr="00E05630" w:rsidRDefault="00E2650E" w:rsidP="00141EDF">
            <w:pPr>
              <w:pStyle w:val="In-tableHeading"/>
              <w:widowControl w:val="0"/>
            </w:pPr>
            <w:r w:rsidRPr="00E05630">
              <w:t>Component</w:t>
            </w:r>
          </w:p>
        </w:tc>
        <w:tc>
          <w:tcPr>
            <w:tcW w:w="1405" w:type="pct"/>
            <w:vAlign w:val="center"/>
          </w:tcPr>
          <w:p w14:paraId="6B2AE17E" w14:textId="77777777" w:rsidR="00E2650E" w:rsidRPr="00E05630" w:rsidRDefault="00E2650E" w:rsidP="00141EDF">
            <w:pPr>
              <w:pStyle w:val="In-tableHeading"/>
              <w:widowControl w:val="0"/>
              <w:jc w:val="center"/>
            </w:pPr>
            <w:r>
              <w:t xml:space="preserve">July 2023 </w:t>
            </w:r>
            <w:r>
              <w:br/>
              <w:t>submission</w:t>
            </w:r>
          </w:p>
        </w:tc>
        <w:tc>
          <w:tcPr>
            <w:tcW w:w="1405" w:type="pct"/>
            <w:vAlign w:val="center"/>
          </w:tcPr>
          <w:p w14:paraId="6719953C" w14:textId="77777777" w:rsidR="00E2650E" w:rsidRDefault="00E2650E" w:rsidP="00141EDF">
            <w:pPr>
              <w:pStyle w:val="In-tableHeading"/>
              <w:widowControl w:val="0"/>
              <w:jc w:val="center"/>
            </w:pPr>
            <w:r>
              <w:t xml:space="preserve">July 2023 </w:t>
            </w:r>
            <w:r>
              <w:br/>
              <w:t>pre-PBAC response</w:t>
            </w:r>
          </w:p>
        </w:tc>
        <w:tc>
          <w:tcPr>
            <w:tcW w:w="1405" w:type="pct"/>
            <w:vAlign w:val="center"/>
          </w:tcPr>
          <w:p w14:paraId="5B7EFF61" w14:textId="2AC37593" w:rsidR="00E2650E" w:rsidRPr="00E05630" w:rsidRDefault="00E2650E" w:rsidP="00141EDF">
            <w:pPr>
              <w:pStyle w:val="In-tableHeading"/>
              <w:widowControl w:val="0"/>
              <w:jc w:val="center"/>
            </w:pPr>
            <w:r>
              <w:t xml:space="preserve">July 2024 </w:t>
            </w:r>
            <w:r w:rsidR="00BC5A69">
              <w:br/>
            </w:r>
            <w:r>
              <w:t>resubmission</w:t>
            </w:r>
          </w:p>
        </w:tc>
      </w:tr>
      <w:tr w:rsidR="00E2650E" w:rsidRPr="004E2ADC" w14:paraId="056BC145" w14:textId="77777777" w:rsidTr="00BC5A69">
        <w:trPr>
          <w:trHeight w:val="86"/>
        </w:trPr>
        <w:tc>
          <w:tcPr>
            <w:tcW w:w="786" w:type="pct"/>
            <w:tcBorders>
              <w:top w:val="single" w:sz="4" w:space="0" w:color="auto"/>
              <w:left w:val="single" w:sz="4" w:space="0" w:color="auto"/>
              <w:bottom w:val="single" w:sz="4" w:space="0" w:color="auto"/>
              <w:right w:val="single" w:sz="4" w:space="0" w:color="auto"/>
            </w:tcBorders>
          </w:tcPr>
          <w:p w14:paraId="590274BD" w14:textId="77777777" w:rsidR="00E2650E" w:rsidRPr="00E96438" w:rsidRDefault="00E2650E" w:rsidP="00141EDF">
            <w:pPr>
              <w:pStyle w:val="TableText0"/>
              <w:widowControl w:val="0"/>
            </w:pPr>
            <w:r w:rsidRPr="00E96438">
              <w:t>Time horizon</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45670D" w14:textId="379F4C35" w:rsidR="00E2650E" w:rsidRPr="007B1AB8" w:rsidRDefault="00E2650E" w:rsidP="00141EDF">
            <w:pPr>
              <w:pStyle w:val="TableText0"/>
              <w:widowControl w:val="0"/>
            </w:pPr>
            <w:r>
              <w:t>20 years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78F493E" w14:textId="77777777" w:rsidR="00E2650E" w:rsidRDefault="00E2650E" w:rsidP="00141EDF">
            <w:pPr>
              <w:pStyle w:val="TableText0"/>
              <w:widowControl w:val="0"/>
            </w:pPr>
            <w:r>
              <w:t>1</w:t>
            </w:r>
            <w:r w:rsidRPr="007B1AB8">
              <w:t>0 years</w:t>
            </w:r>
          </w:p>
        </w:tc>
        <w:tc>
          <w:tcPr>
            <w:tcW w:w="1405" w:type="pct"/>
            <w:tcBorders>
              <w:top w:val="single" w:sz="4" w:space="0" w:color="auto"/>
              <w:left w:val="single" w:sz="4" w:space="0" w:color="auto"/>
              <w:bottom w:val="single" w:sz="4" w:space="0" w:color="auto"/>
              <w:right w:val="single" w:sz="4" w:space="0" w:color="auto"/>
            </w:tcBorders>
          </w:tcPr>
          <w:p w14:paraId="3EA61B22" w14:textId="1D07E786" w:rsidR="00E2650E" w:rsidRPr="007A7229" w:rsidRDefault="00E2650E" w:rsidP="00141EDF">
            <w:pPr>
              <w:pStyle w:val="TableText0"/>
              <w:widowControl w:val="0"/>
            </w:pPr>
            <w:r>
              <w:t>10 years</w:t>
            </w:r>
          </w:p>
        </w:tc>
      </w:tr>
      <w:tr w:rsidR="00E2650E" w14:paraId="25DA7630" w14:textId="77777777" w:rsidTr="00E2650E">
        <w:trPr>
          <w:trHeight w:val="300"/>
        </w:trPr>
        <w:tc>
          <w:tcPr>
            <w:tcW w:w="786" w:type="pct"/>
            <w:tcBorders>
              <w:top w:val="single" w:sz="4" w:space="0" w:color="auto"/>
              <w:left w:val="single" w:sz="4" w:space="0" w:color="auto"/>
              <w:bottom w:val="single" w:sz="4" w:space="0" w:color="auto"/>
              <w:right w:val="single" w:sz="4" w:space="0" w:color="auto"/>
            </w:tcBorders>
          </w:tcPr>
          <w:p w14:paraId="11E22659" w14:textId="77777777" w:rsidR="00E2650E" w:rsidRPr="007D18C9" w:rsidRDefault="00E2650E" w:rsidP="00141EDF">
            <w:pPr>
              <w:pStyle w:val="TableText0"/>
              <w:widowControl w:val="0"/>
            </w:pPr>
            <w:r>
              <w:t>Methods to generate results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E5D33D" w14:textId="77777777" w:rsidR="00E2650E" w:rsidRPr="00426CA0" w:rsidDel="007D18C9" w:rsidRDefault="00E2650E" w:rsidP="00141EDF">
            <w:pPr>
              <w:pStyle w:val="TableText0"/>
              <w:widowControl w:val="0"/>
            </w:pPr>
            <w:r>
              <w:t>Partitioned survival model</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E599C3" w14:textId="77777777" w:rsidR="00E2650E" w:rsidRDefault="00E2650E" w:rsidP="00141EDF">
            <w:pPr>
              <w:pStyle w:val="TableText0"/>
              <w:widowControl w:val="0"/>
            </w:pPr>
            <w:r>
              <w:t>Unchanged</w:t>
            </w:r>
          </w:p>
        </w:tc>
        <w:tc>
          <w:tcPr>
            <w:tcW w:w="1405" w:type="pct"/>
            <w:tcBorders>
              <w:top w:val="single" w:sz="4" w:space="0" w:color="auto"/>
              <w:left w:val="single" w:sz="4" w:space="0" w:color="auto"/>
              <w:bottom w:val="single" w:sz="4" w:space="0" w:color="auto"/>
              <w:right w:val="single" w:sz="4" w:space="0" w:color="auto"/>
            </w:tcBorders>
          </w:tcPr>
          <w:p w14:paraId="0CB20E47" w14:textId="73FEDBB8" w:rsidR="00E2650E" w:rsidRPr="007A7229" w:rsidRDefault="00E2650E" w:rsidP="00141EDF">
            <w:pPr>
              <w:pStyle w:val="TableText0"/>
              <w:widowControl w:val="0"/>
            </w:pPr>
            <w:r>
              <w:t>Unchanged</w:t>
            </w:r>
          </w:p>
        </w:tc>
      </w:tr>
      <w:tr w:rsidR="00E2650E" w14:paraId="3CB48041" w14:textId="77777777" w:rsidTr="00BC5A69">
        <w:trPr>
          <w:trHeight w:val="86"/>
        </w:trPr>
        <w:tc>
          <w:tcPr>
            <w:tcW w:w="786" w:type="pct"/>
            <w:tcBorders>
              <w:top w:val="single" w:sz="4" w:space="0" w:color="auto"/>
              <w:left w:val="single" w:sz="4" w:space="0" w:color="auto"/>
              <w:bottom w:val="single" w:sz="4" w:space="0" w:color="auto"/>
              <w:right w:val="single" w:sz="4" w:space="0" w:color="auto"/>
            </w:tcBorders>
          </w:tcPr>
          <w:p w14:paraId="48F4D259" w14:textId="77777777" w:rsidR="00E2650E" w:rsidRDefault="00E2650E" w:rsidP="003648A0">
            <w:pPr>
              <w:pStyle w:val="TableText0"/>
              <w:keepNext w:val="0"/>
              <w:widowControl w:val="0"/>
            </w:pPr>
            <w:r>
              <w:t>Health states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368209" w14:textId="77777777" w:rsidR="00E2650E" w:rsidRDefault="00E2650E" w:rsidP="003648A0">
            <w:pPr>
              <w:pStyle w:val="TableText0"/>
              <w:keepNext w:val="0"/>
              <w:widowControl w:val="0"/>
            </w:pPr>
            <w:r>
              <w:t>3 health states: PFS, PD and death</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278E15" w14:textId="77777777" w:rsidR="00E2650E" w:rsidRPr="00073B6B" w:rsidRDefault="00E2650E" w:rsidP="003648A0">
            <w:pPr>
              <w:pStyle w:val="TableText0"/>
              <w:keepNext w:val="0"/>
              <w:widowControl w:val="0"/>
            </w:pPr>
            <w:r w:rsidRPr="00073B6B">
              <w:t>Unchanged</w:t>
            </w:r>
          </w:p>
        </w:tc>
        <w:tc>
          <w:tcPr>
            <w:tcW w:w="1405" w:type="pct"/>
            <w:tcBorders>
              <w:top w:val="single" w:sz="4" w:space="0" w:color="auto"/>
              <w:left w:val="single" w:sz="4" w:space="0" w:color="auto"/>
              <w:bottom w:val="single" w:sz="4" w:space="0" w:color="auto"/>
              <w:right w:val="single" w:sz="4" w:space="0" w:color="auto"/>
            </w:tcBorders>
          </w:tcPr>
          <w:p w14:paraId="5249BDBF" w14:textId="77777777" w:rsidR="00E2650E" w:rsidRDefault="00E2650E" w:rsidP="003648A0">
            <w:pPr>
              <w:pStyle w:val="TableText0"/>
              <w:keepNext w:val="0"/>
              <w:widowControl w:val="0"/>
            </w:pPr>
            <w:r w:rsidRPr="00073B6B">
              <w:t>Unchanged</w:t>
            </w:r>
          </w:p>
          <w:p w14:paraId="4243C39F" w14:textId="31F441A4" w:rsidR="00E2650E" w:rsidRPr="007A7229" w:rsidRDefault="00E2650E" w:rsidP="003648A0">
            <w:pPr>
              <w:pStyle w:val="TableText0"/>
              <w:keepNext w:val="0"/>
              <w:widowControl w:val="0"/>
            </w:pPr>
          </w:p>
        </w:tc>
      </w:tr>
      <w:tr w:rsidR="00E2650E" w14:paraId="01771CDF" w14:textId="77777777" w:rsidTr="00E2650E">
        <w:trPr>
          <w:trHeight w:val="300"/>
        </w:trPr>
        <w:tc>
          <w:tcPr>
            <w:tcW w:w="786" w:type="pct"/>
            <w:tcBorders>
              <w:top w:val="single" w:sz="4" w:space="0" w:color="auto"/>
              <w:left w:val="single" w:sz="4" w:space="0" w:color="auto"/>
              <w:bottom w:val="single" w:sz="4" w:space="0" w:color="auto"/>
              <w:right w:val="single" w:sz="4" w:space="0" w:color="auto"/>
            </w:tcBorders>
          </w:tcPr>
          <w:p w14:paraId="73A9211D" w14:textId="77777777" w:rsidR="00E2650E" w:rsidRPr="003345F8" w:rsidRDefault="00E2650E" w:rsidP="003648A0">
            <w:pPr>
              <w:pStyle w:val="TableText0"/>
              <w:keepNext w:val="0"/>
              <w:widowControl w:val="0"/>
            </w:pPr>
            <w:r>
              <w:t>Allocation to health states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685E21" w14:textId="77777777" w:rsidR="00E2650E" w:rsidRDefault="00E2650E" w:rsidP="003648A0">
            <w:pPr>
              <w:pStyle w:val="Tabletext"/>
              <w:widowControl w:val="0"/>
            </w:pPr>
            <w:r w:rsidRPr="00B80C2A">
              <w:t xml:space="preserve">Health state allocation over time in the selpercatinib arm was </w:t>
            </w:r>
            <w:r>
              <w:t>derived from the KM curves of</w:t>
            </w:r>
            <w:r w:rsidRPr="00B80C2A">
              <w:t xml:space="preserve"> PFS and OS from treatment-</w:t>
            </w:r>
            <w:r w:rsidRPr="00B80C2A">
              <w:lastRenderedPageBreak/>
              <w:t xml:space="preserve">naïve </w:t>
            </w:r>
            <w:r>
              <w:t>cohort</w:t>
            </w:r>
            <w:r w:rsidRPr="00B80C2A">
              <w:t xml:space="preserve"> of the LIBRETTO-001 </w:t>
            </w:r>
            <w:r>
              <w:t xml:space="preserve">study (June 2021 data cut) until </w:t>
            </w:r>
            <w:r w:rsidRPr="00B80C2A">
              <w:t>median follow-up (21.9 months for PFS and 25.2 months for OS)</w:t>
            </w:r>
            <w:r>
              <w:t>, after which PFS and OS were extrapolated using parametric functions</w:t>
            </w:r>
            <w:r w:rsidRPr="00B80C2A">
              <w:t>.</w:t>
            </w:r>
            <w:r>
              <w:t xml:space="preserve"> </w:t>
            </w:r>
          </w:p>
          <w:p w14:paraId="50EFF6EC" w14:textId="77777777" w:rsidR="00E2650E" w:rsidRDefault="00E2650E" w:rsidP="003648A0">
            <w:pPr>
              <w:pStyle w:val="Tabletext"/>
              <w:widowControl w:val="0"/>
            </w:pPr>
          </w:p>
          <w:p w14:paraId="20E09AE5" w14:textId="171E69C8" w:rsidR="00E2650E" w:rsidRDefault="00E2650E" w:rsidP="003648A0">
            <w:pPr>
              <w:pStyle w:val="Tabletext"/>
              <w:widowControl w:val="0"/>
            </w:pPr>
            <w:r w:rsidRPr="00B80C2A">
              <w:t xml:space="preserve">Health state allocation over time in the pembrolizumab </w:t>
            </w:r>
            <w:r>
              <w:t>+ PC</w:t>
            </w:r>
            <w:r w:rsidRPr="00B80C2A">
              <w:t xml:space="preserve"> arm was determined by </w:t>
            </w:r>
            <w:r>
              <w:t>applying HRs</w:t>
            </w:r>
            <w:r w:rsidRPr="00B80C2A">
              <w:t xml:space="preserve"> generated from </w:t>
            </w:r>
            <w:r>
              <w:t>the NMA</w:t>
            </w:r>
            <w:r w:rsidRPr="00B80C2A">
              <w:t xml:space="preserve"> to the selpercatinib</w:t>
            </w:r>
            <w:r>
              <w:t xml:space="preserve"> arm (HR for OS= 0.931 (95% CI</w:t>
            </w:r>
            <w:r w:rsidR="00BC5A69">
              <w:t>:</w:t>
            </w:r>
            <w:r>
              <w:t xml:space="preserve"> </w:t>
            </w:r>
            <w:r w:rsidRPr="005958DD">
              <w:t>0.202,</w:t>
            </w:r>
            <w:r>
              <w:t xml:space="preserve"> </w:t>
            </w:r>
            <w:r w:rsidRPr="005958DD">
              <w:t>0.759)</w:t>
            </w:r>
            <w:r>
              <w:t xml:space="preserve">; HR for PFS= </w:t>
            </w:r>
            <w:r w:rsidRPr="005958DD">
              <w:t>0.337 (</w:t>
            </w:r>
            <w:r>
              <w:t>95% CI</w:t>
            </w:r>
            <w:r w:rsidR="00BC5A69">
              <w:t>:</w:t>
            </w:r>
            <w:r>
              <w:t xml:space="preserve"> </w:t>
            </w:r>
            <w:r w:rsidRPr="005958DD">
              <w:t>0.166,</w:t>
            </w:r>
            <w:r>
              <w:t xml:space="preserve"> </w:t>
            </w:r>
            <w:r w:rsidRPr="005958DD">
              <w:t>0.687)</w:t>
            </w:r>
            <w:r>
              <w:t xml:space="preserve">). </w:t>
            </w:r>
            <w:r w:rsidRPr="007D18C9">
              <w:t>The NMA involved generating a</w:t>
            </w:r>
            <w:r w:rsidRPr="000C3CBC">
              <w:t xml:space="preserve"> synthetic pseudo-control PC arm by matching (using PSM) the PC arm of KN-189 to the IPD in the LIBRETTO-001 </w:t>
            </w:r>
            <w:r>
              <w:t>study</w:t>
            </w:r>
            <w:r w:rsidRPr="000C3CBC">
              <w:t>.</w:t>
            </w:r>
          </w:p>
          <w:p w14:paraId="63A310E4" w14:textId="77777777" w:rsidR="00E2650E" w:rsidRDefault="00E2650E" w:rsidP="003648A0">
            <w:pPr>
              <w:pStyle w:val="Tabletext"/>
              <w:widowControl w:val="0"/>
            </w:pPr>
          </w:p>
          <w:p w14:paraId="01CBE288" w14:textId="77777777" w:rsidR="00E2650E" w:rsidRPr="005E19DA" w:rsidRDefault="00E2650E" w:rsidP="003648A0">
            <w:pPr>
              <w:pStyle w:val="TableText0"/>
              <w:keepNext w:val="0"/>
              <w:widowControl w:val="0"/>
            </w:pPr>
            <w:r>
              <w:t>PFS was extrapolated using a Gompertz parametric function in both treatment arms. OS was extrapolated using a Spline Knot 1 parametric function in both arms.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BE3DDF" w14:textId="77777777" w:rsidR="00E2650E" w:rsidRDefault="00E2650E" w:rsidP="003648A0">
            <w:pPr>
              <w:pStyle w:val="Tabletext"/>
              <w:widowControl w:val="0"/>
            </w:pPr>
            <w:r w:rsidRPr="00B80C2A">
              <w:lastRenderedPageBreak/>
              <w:t>Health state allocation over time in the selpercatinib arm</w:t>
            </w:r>
            <w:r>
              <w:t>: unchanged</w:t>
            </w:r>
          </w:p>
          <w:p w14:paraId="6E584BE8" w14:textId="77777777" w:rsidR="00E2650E" w:rsidRDefault="00E2650E" w:rsidP="003648A0">
            <w:pPr>
              <w:pStyle w:val="Tabletext"/>
              <w:widowControl w:val="0"/>
            </w:pPr>
          </w:p>
          <w:p w14:paraId="4C650772" w14:textId="77777777" w:rsidR="00E2650E" w:rsidRDefault="00E2650E" w:rsidP="003648A0">
            <w:pPr>
              <w:pStyle w:val="Tabletext"/>
              <w:widowControl w:val="0"/>
            </w:pPr>
            <w:r w:rsidRPr="00B80C2A">
              <w:lastRenderedPageBreak/>
              <w:t xml:space="preserve">Health state allocation over time in the pembrolizumab </w:t>
            </w:r>
            <w:r>
              <w:t>+ PC</w:t>
            </w:r>
            <w:r w:rsidRPr="00B80C2A">
              <w:t xml:space="preserve"> arm was </w:t>
            </w:r>
            <w:r>
              <w:t>based on applying the HRs</w:t>
            </w:r>
            <w:r w:rsidRPr="00B80C2A">
              <w:t xml:space="preserve"> generated from </w:t>
            </w:r>
            <w:r>
              <w:t xml:space="preserve">the MAIC 2 model to the selpercatinib arm (HR for OS = </w:t>
            </w:r>
            <w:r w:rsidRPr="005958DD">
              <w:t>0.43 (</w:t>
            </w:r>
            <w:r>
              <w:t xml:space="preserve">95% CI: </w:t>
            </w:r>
            <w:r w:rsidRPr="005958DD">
              <w:t>0.21, 0.89)</w:t>
            </w:r>
            <w:r>
              <w:t xml:space="preserve">; HR for PFS = </w:t>
            </w:r>
            <w:r w:rsidRPr="005958DD">
              <w:t>0.48 (</w:t>
            </w:r>
            <w:r>
              <w:t xml:space="preserve">95% CI: </w:t>
            </w:r>
            <w:r w:rsidRPr="005958DD">
              <w:t>0.27, 0.84</w:t>
            </w:r>
            <w:r>
              <w:t>)).</w:t>
            </w:r>
          </w:p>
          <w:p w14:paraId="5ADB7B00" w14:textId="77777777" w:rsidR="00E2650E" w:rsidRDefault="00E2650E" w:rsidP="003648A0">
            <w:pPr>
              <w:pStyle w:val="Tabletext"/>
              <w:widowControl w:val="0"/>
            </w:pPr>
          </w:p>
          <w:p w14:paraId="310A9FFE" w14:textId="77777777" w:rsidR="00E2650E" w:rsidRPr="00B80C2A" w:rsidRDefault="00E2650E" w:rsidP="003648A0">
            <w:pPr>
              <w:pStyle w:val="Tabletext"/>
              <w:widowControl w:val="0"/>
            </w:pPr>
            <w:r>
              <w:t>Extrapolation functions: Unchanged</w:t>
            </w:r>
          </w:p>
          <w:p w14:paraId="7FA8A9D0" w14:textId="77777777" w:rsidR="00E2650E" w:rsidRPr="00B80C2A" w:rsidRDefault="00E2650E" w:rsidP="003648A0">
            <w:pPr>
              <w:pStyle w:val="Tabletext"/>
              <w:widowControl w:val="0"/>
            </w:pPr>
          </w:p>
        </w:tc>
        <w:tc>
          <w:tcPr>
            <w:tcW w:w="1405" w:type="pct"/>
            <w:tcBorders>
              <w:top w:val="single" w:sz="4" w:space="0" w:color="auto"/>
              <w:left w:val="single" w:sz="4" w:space="0" w:color="auto"/>
              <w:bottom w:val="single" w:sz="4" w:space="0" w:color="auto"/>
              <w:right w:val="single" w:sz="4" w:space="0" w:color="auto"/>
            </w:tcBorders>
          </w:tcPr>
          <w:p w14:paraId="3AFC1F2F" w14:textId="77777777" w:rsidR="00E2650E" w:rsidRDefault="00E2650E" w:rsidP="003648A0">
            <w:pPr>
              <w:pStyle w:val="Tabletext"/>
              <w:widowControl w:val="0"/>
            </w:pPr>
            <w:r>
              <w:lastRenderedPageBreak/>
              <w:t>Unchanged from July 2023 pre-PBAC response</w:t>
            </w:r>
          </w:p>
          <w:p w14:paraId="3DCD20FB" w14:textId="77777777" w:rsidR="00E2650E" w:rsidRPr="007A7229" w:rsidRDefault="00E2650E" w:rsidP="00E2650E">
            <w:pPr>
              <w:pStyle w:val="TableText0"/>
              <w:keepNext w:val="0"/>
              <w:widowControl w:val="0"/>
            </w:pPr>
          </w:p>
        </w:tc>
      </w:tr>
      <w:tr w:rsidR="00E2650E" w:rsidRPr="004E2ADC" w14:paraId="41DF501D" w14:textId="77777777" w:rsidTr="00E2650E">
        <w:trPr>
          <w:trHeight w:val="300"/>
        </w:trPr>
        <w:tc>
          <w:tcPr>
            <w:tcW w:w="786" w:type="pct"/>
            <w:tcBorders>
              <w:top w:val="single" w:sz="4" w:space="0" w:color="auto"/>
              <w:left w:val="single" w:sz="4" w:space="0" w:color="auto"/>
              <w:bottom w:val="single" w:sz="4" w:space="0" w:color="auto"/>
              <w:right w:val="single" w:sz="4" w:space="0" w:color="auto"/>
            </w:tcBorders>
          </w:tcPr>
          <w:p w14:paraId="519B48C3" w14:textId="77777777" w:rsidR="00E2650E" w:rsidRPr="005958DD" w:rsidRDefault="00E2650E" w:rsidP="003648A0">
            <w:pPr>
              <w:pStyle w:val="TableText0"/>
              <w:keepNext w:val="0"/>
              <w:widowControl w:val="0"/>
            </w:pPr>
            <w:r w:rsidRPr="005958DD">
              <w:t>TTD for later-line pembrolizumab</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43520F" w14:textId="77777777" w:rsidR="00E2650E" w:rsidRDefault="00E2650E" w:rsidP="003648A0">
            <w:pPr>
              <w:pStyle w:val="TableText0"/>
              <w:keepNext w:val="0"/>
              <w:widowControl w:val="0"/>
            </w:pPr>
            <w:r>
              <w:t>July 2023 submission:</w:t>
            </w:r>
          </w:p>
          <w:p w14:paraId="374AEF98" w14:textId="2C002CB7" w:rsidR="00E2650E" w:rsidRPr="00B80C2A" w:rsidRDefault="00E2650E" w:rsidP="003648A0">
            <w:pPr>
              <w:pStyle w:val="Tabletext"/>
              <w:widowControl w:val="0"/>
            </w:pPr>
            <w:r>
              <w:t>5.65 x 3-weekly treatment cycles (i.e. 16.95 weeks)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D65988" w14:textId="77777777" w:rsidR="00E2650E" w:rsidRDefault="00E2650E" w:rsidP="003648A0">
            <w:pPr>
              <w:pStyle w:val="Tabletext"/>
              <w:widowControl w:val="0"/>
            </w:pPr>
            <w:r>
              <w:t>11.31 x 3-weekly cycles (i.e. 33.93 weeks)</w:t>
            </w:r>
          </w:p>
        </w:tc>
        <w:tc>
          <w:tcPr>
            <w:tcW w:w="1405" w:type="pct"/>
            <w:tcBorders>
              <w:top w:val="single" w:sz="4" w:space="0" w:color="auto"/>
              <w:left w:val="single" w:sz="4" w:space="0" w:color="auto"/>
              <w:bottom w:val="single" w:sz="4" w:space="0" w:color="auto"/>
              <w:right w:val="single" w:sz="4" w:space="0" w:color="auto"/>
            </w:tcBorders>
          </w:tcPr>
          <w:p w14:paraId="06B7525C" w14:textId="0BC8A869" w:rsidR="00E2650E" w:rsidRPr="007A7229" w:rsidRDefault="00E2650E" w:rsidP="003648A0">
            <w:pPr>
              <w:pStyle w:val="TableText0"/>
              <w:keepNext w:val="0"/>
              <w:widowControl w:val="0"/>
            </w:pPr>
            <w:r>
              <w:t>Unchanged from July 2023 pre-PBAC response</w:t>
            </w:r>
          </w:p>
        </w:tc>
      </w:tr>
      <w:tr w:rsidR="00E2650E" w:rsidRPr="004E2ADC" w14:paraId="01AA0DD2" w14:textId="77777777" w:rsidTr="00E2650E">
        <w:trPr>
          <w:trHeight w:val="300"/>
        </w:trPr>
        <w:tc>
          <w:tcPr>
            <w:tcW w:w="786" w:type="pct"/>
            <w:tcBorders>
              <w:top w:val="single" w:sz="4" w:space="0" w:color="auto"/>
              <w:left w:val="single" w:sz="4" w:space="0" w:color="auto"/>
              <w:bottom w:val="single" w:sz="4" w:space="0" w:color="auto"/>
              <w:right w:val="single" w:sz="4" w:space="0" w:color="auto"/>
            </w:tcBorders>
          </w:tcPr>
          <w:p w14:paraId="2F114752" w14:textId="77777777" w:rsidR="00E2650E" w:rsidRPr="003C518E" w:rsidRDefault="00E2650E" w:rsidP="003648A0">
            <w:pPr>
              <w:pStyle w:val="TableText0"/>
              <w:keepNext w:val="0"/>
              <w:widowControl w:val="0"/>
            </w:pPr>
            <w:r>
              <w:t>Utilities</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E9E603" w14:textId="77777777" w:rsidR="00E2650E" w:rsidRDefault="00E2650E" w:rsidP="003648A0">
            <w:pPr>
              <w:pStyle w:val="Tabletext"/>
              <w:widowControl w:val="0"/>
            </w:pPr>
            <w:r>
              <w:t>PFS = 0.776</w:t>
            </w:r>
          </w:p>
          <w:p w14:paraId="5C29D708" w14:textId="77777777" w:rsidR="00E2650E" w:rsidRDefault="00E2650E" w:rsidP="003648A0">
            <w:pPr>
              <w:pStyle w:val="Tabletext"/>
              <w:widowControl w:val="0"/>
            </w:pPr>
            <w:r>
              <w:t>PD = 0.714</w:t>
            </w:r>
          </w:p>
        </w:tc>
        <w:tc>
          <w:tcPr>
            <w:tcW w:w="14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2B34DB" w14:textId="77777777" w:rsidR="00E2650E" w:rsidRDefault="00E2650E" w:rsidP="003648A0">
            <w:pPr>
              <w:pStyle w:val="Tabletext"/>
              <w:widowControl w:val="0"/>
            </w:pPr>
            <w:r>
              <w:t>Unchanged</w:t>
            </w:r>
          </w:p>
        </w:tc>
        <w:tc>
          <w:tcPr>
            <w:tcW w:w="1405" w:type="pct"/>
            <w:tcBorders>
              <w:top w:val="single" w:sz="4" w:space="0" w:color="auto"/>
              <w:left w:val="single" w:sz="4" w:space="0" w:color="auto"/>
              <w:bottom w:val="single" w:sz="4" w:space="0" w:color="auto"/>
              <w:right w:val="single" w:sz="4" w:space="0" w:color="auto"/>
            </w:tcBorders>
          </w:tcPr>
          <w:p w14:paraId="44B227B4" w14:textId="245E92B6" w:rsidR="00E2650E" w:rsidRPr="007A7229" w:rsidRDefault="00E2650E" w:rsidP="003648A0">
            <w:pPr>
              <w:pStyle w:val="TableText0"/>
              <w:keepNext w:val="0"/>
              <w:widowControl w:val="0"/>
            </w:pPr>
            <w:r>
              <w:t>Unchanged</w:t>
            </w:r>
          </w:p>
        </w:tc>
      </w:tr>
    </w:tbl>
    <w:p w14:paraId="73E0D434" w14:textId="1F068D96" w:rsidR="00E2650E" w:rsidRDefault="00E2650E" w:rsidP="00E2650E">
      <w:pPr>
        <w:pStyle w:val="FooterTableFigure"/>
        <w:widowControl w:val="0"/>
      </w:pPr>
      <w:r>
        <w:t>Source: Table 3-2, and Sections 3.2-3.6 of the resubmission.</w:t>
      </w:r>
    </w:p>
    <w:p w14:paraId="1339C176" w14:textId="4F9362BB" w:rsidR="00E2650E" w:rsidRDefault="00BC5A69" w:rsidP="00E2650E">
      <w:pPr>
        <w:pStyle w:val="FooterTableFigure"/>
        <w:widowControl w:val="0"/>
      </w:pPr>
      <w:r>
        <w:t xml:space="preserve">CI: confidence interval; HR = hazard ratio; </w:t>
      </w:r>
      <w:r w:rsidR="00E2650E" w:rsidRPr="007579FC">
        <w:t>IPD</w:t>
      </w:r>
      <w:r w:rsidR="00E2650E">
        <w:t xml:space="preserve"> =</w:t>
      </w:r>
      <w:r w:rsidR="00E2650E" w:rsidRPr="007579FC">
        <w:t xml:space="preserve"> individual patient data; </w:t>
      </w:r>
      <w:r>
        <w:t xml:space="preserve">KM = Kaplan- Meier; </w:t>
      </w:r>
      <w:r w:rsidRPr="007579FC">
        <w:t>L</w:t>
      </w:r>
      <w:r>
        <w:t>y</w:t>
      </w:r>
      <w:r w:rsidRPr="007579FC">
        <w:t>s</w:t>
      </w:r>
      <w:r>
        <w:t xml:space="preserve"> = </w:t>
      </w:r>
      <w:r w:rsidRPr="007579FC">
        <w:t xml:space="preserve">life years; </w:t>
      </w:r>
      <w:r w:rsidR="00E2650E">
        <w:t xml:space="preserve">MAIC = </w:t>
      </w:r>
      <w:r>
        <w:t>m</w:t>
      </w:r>
      <w:r w:rsidR="00E2650E">
        <w:t xml:space="preserve">atching adjusted indirect comparison; </w:t>
      </w:r>
      <w:r w:rsidR="00E2650E" w:rsidRPr="007579FC">
        <w:t>NMA</w:t>
      </w:r>
      <w:r w:rsidR="00E2650E">
        <w:t xml:space="preserve"> =</w:t>
      </w:r>
      <w:r w:rsidR="00E2650E" w:rsidRPr="007579FC">
        <w:t xml:space="preserve"> network meta-analysis; OS</w:t>
      </w:r>
      <w:r w:rsidR="00E2650E">
        <w:t xml:space="preserve"> =</w:t>
      </w:r>
      <w:r w:rsidR="00E2650E" w:rsidRPr="007579FC">
        <w:t xml:space="preserve"> overall survival; </w:t>
      </w:r>
      <w:r w:rsidR="00E2650E">
        <w:t xml:space="preserve">PC = platinum-based doublet chemotherapy; </w:t>
      </w:r>
      <w:r w:rsidR="00E2650E" w:rsidRPr="007579FC">
        <w:t>PD</w:t>
      </w:r>
      <w:r w:rsidR="00E2650E">
        <w:t xml:space="preserve"> =</w:t>
      </w:r>
      <w:r w:rsidR="00E2650E" w:rsidRPr="007579FC">
        <w:t xml:space="preserve"> progressed disease; PFS</w:t>
      </w:r>
      <w:r w:rsidR="00E2650E">
        <w:t xml:space="preserve"> =</w:t>
      </w:r>
      <w:r w:rsidR="00E2650E" w:rsidRPr="007579FC">
        <w:t xml:space="preserve"> progression-free survival; PSM</w:t>
      </w:r>
      <w:r w:rsidR="00E2650E">
        <w:t xml:space="preserve"> =</w:t>
      </w:r>
      <w:r w:rsidR="00E2650E" w:rsidRPr="007579FC">
        <w:t xml:space="preserve"> propensity score matching; </w:t>
      </w:r>
      <w:r w:rsidR="00E2650E">
        <w:t>TTD = time to treatment discontinuation</w:t>
      </w:r>
    </w:p>
    <w:p w14:paraId="29BF808B" w14:textId="77777777" w:rsidR="00E2650E" w:rsidRPr="00436DA8" w:rsidRDefault="00E2650E" w:rsidP="00E2650E">
      <w:pPr>
        <w:pStyle w:val="FooterTableFigure"/>
        <w:rPr>
          <w:rStyle w:val="CommentReference"/>
          <w:b w:val="0"/>
          <w:bCs/>
          <w:snapToGrid/>
          <w:szCs w:val="24"/>
        </w:rPr>
      </w:pPr>
      <w:r w:rsidRPr="00017171">
        <w:rPr>
          <w:szCs w:val="18"/>
          <w:shd w:val="clear" w:color="auto" w:fill="C6D9F1" w:themeFill="text2" w:themeFillTint="33"/>
        </w:rPr>
        <w:t>Blue shading</w:t>
      </w:r>
      <w:r w:rsidRPr="00017171">
        <w:rPr>
          <w:szCs w:val="18"/>
        </w:rPr>
        <w:t xml:space="preserve"> indicates data previously considered by the PBAC.</w:t>
      </w:r>
    </w:p>
    <w:p w14:paraId="139B150E" w14:textId="0675FE86" w:rsidR="002D7804" w:rsidRPr="00861BF1" w:rsidRDefault="002D7804" w:rsidP="002D7804">
      <w:pPr>
        <w:pStyle w:val="3-BodyText"/>
        <w:widowControl w:val="0"/>
      </w:pPr>
      <w:bookmarkStart w:id="52" w:name="_Ref165900616"/>
      <w:bookmarkStart w:id="53" w:name="_Ref172708597"/>
      <w:r w:rsidRPr="00E4201C">
        <w:t xml:space="preserve">The time horizon in the model (10 years) was long compared to the duration of follow-up in the LIBRETTO-001 study June 2021 data cut (median 2.1 years) and the duration of follow-up in the LIBRETTO-431 trial (median 1.8 years). </w:t>
      </w:r>
      <w:r w:rsidRPr="00B75199">
        <w:t xml:space="preserve">The PBAC previously accepted a 7.5-year time horizon for </w:t>
      </w:r>
      <w:r w:rsidR="00A33844" w:rsidRPr="00B75199">
        <w:t>pembrolizumab</w:t>
      </w:r>
      <w:r w:rsidR="00D512CA" w:rsidRPr="00B75199">
        <w:t xml:space="preserve"> </w:t>
      </w:r>
      <w:r w:rsidR="00A628E0" w:rsidRPr="00B75199">
        <w:t>chemotherapy</w:t>
      </w:r>
      <w:r w:rsidR="00D512CA" w:rsidRPr="00B75199">
        <w:t xml:space="preserve"> as</w:t>
      </w:r>
      <w:r w:rsidRPr="00B75199">
        <w:t xml:space="preserve"> first-line </w:t>
      </w:r>
      <w:r w:rsidR="00A628E0" w:rsidRPr="00B75199">
        <w:t xml:space="preserve">therapy for </w:t>
      </w:r>
      <w:r w:rsidRPr="00B75199">
        <w:t>advanced NSCLC (para</w:t>
      </w:r>
      <w:r w:rsidR="00DC31BF">
        <w:t>graph</w:t>
      </w:r>
      <w:r w:rsidRPr="00B75199">
        <w:t xml:space="preserve"> 6.70. selpercatinib, PSD, July 2023 PBAC meeting).</w:t>
      </w:r>
      <w:r w:rsidRPr="00D15F43">
        <w:t xml:space="preserve"> </w:t>
      </w:r>
      <w:r w:rsidRPr="00B75199">
        <w:t>The ICER increased from $</w:t>
      </w:r>
      <w:r w:rsidR="001C1970" w:rsidRPr="001C1970">
        <w:t>75,000 to &lt; $95,000</w:t>
      </w:r>
      <w:r w:rsidR="007062C0">
        <w:t xml:space="preserve"> </w:t>
      </w:r>
      <w:r w:rsidR="00A94B57">
        <w:t xml:space="preserve">per </w:t>
      </w:r>
      <w:r w:rsidRPr="00B75199">
        <w:t>quality-adjusted life year (QALY) gained to $</w:t>
      </w:r>
      <w:r w:rsidR="001C1970" w:rsidRPr="001C1970">
        <w:t>75,000 to &lt; $95,000</w:t>
      </w:r>
      <w:r w:rsidR="007062C0">
        <w:t xml:space="preserve"> </w:t>
      </w:r>
      <w:r w:rsidR="00A94B57">
        <w:t xml:space="preserve">per </w:t>
      </w:r>
      <w:r w:rsidRPr="00B75199">
        <w:t>QALY gained</w:t>
      </w:r>
      <w:r w:rsidR="00A94B57">
        <w:t xml:space="preserve"> when a </w:t>
      </w:r>
      <w:r w:rsidRPr="00B75199">
        <w:t>time horizon of 7.5 years</w:t>
      </w:r>
      <w:r w:rsidR="00A94B57">
        <w:t xml:space="preserve"> was applied</w:t>
      </w:r>
      <w:r w:rsidRPr="00B75199">
        <w:t>.</w:t>
      </w:r>
      <w:bookmarkEnd w:id="52"/>
      <w:r w:rsidR="000C7F24">
        <w:t xml:space="preserve"> </w:t>
      </w:r>
      <w:r w:rsidR="000C7F24" w:rsidRPr="00861BF1">
        <w:t>The ESC considered that a 7.5</w:t>
      </w:r>
      <w:r w:rsidR="007069C4">
        <w:t>-</w:t>
      </w:r>
      <w:r w:rsidR="000C7F24" w:rsidRPr="00861BF1">
        <w:t xml:space="preserve">year time horizon </w:t>
      </w:r>
      <w:r w:rsidR="00D82E62" w:rsidRPr="00861BF1">
        <w:t>was reasonable.</w:t>
      </w:r>
      <w:r w:rsidR="00364C6C">
        <w:t xml:space="preserve"> The pre-PBAC response reiterated that a 10</w:t>
      </w:r>
      <w:r w:rsidR="007069C4">
        <w:t>-</w:t>
      </w:r>
      <w:r w:rsidR="00364C6C">
        <w:t xml:space="preserve">year time horizon was reasonable, stating that given the superiority in PFS demonstrated by selpercatinib a greater OS could be inferred. In addition, the pre-PBAC response noted that the January 2023 data cut from LIBRETTO-001 reported 52.3% of patients were alive 5 years after receiving their </w:t>
      </w:r>
      <w:r w:rsidR="00364C6C">
        <w:lastRenderedPageBreak/>
        <w:t>first dose of selpercatinib in the first-line setting.</w:t>
      </w:r>
      <w:bookmarkEnd w:id="53"/>
      <w:r w:rsidR="00FB4933">
        <w:t xml:space="preserve"> </w:t>
      </w:r>
      <w:r w:rsidR="00C12212">
        <w:rPr>
          <w:lang w:val="en-GB"/>
        </w:rPr>
        <w:t>The PBAC recalled it had accepted a 10</w:t>
      </w:r>
      <w:r w:rsidR="001D2BDD">
        <w:rPr>
          <w:lang w:val="en-GB"/>
        </w:rPr>
        <w:t>-</w:t>
      </w:r>
      <w:r w:rsidR="00C12212">
        <w:rPr>
          <w:lang w:val="en-GB"/>
        </w:rPr>
        <w:t>year time horizon for larotrectinib (paragraph 7.12, larotrectinib PSD, March 2024 PBAC meeting).</w:t>
      </w:r>
    </w:p>
    <w:p w14:paraId="3F83858A" w14:textId="2B0937FD" w:rsidR="002D7804" w:rsidRPr="007A7229" w:rsidRDefault="002D7804" w:rsidP="002D7804">
      <w:pPr>
        <w:pStyle w:val="3-BodyText"/>
        <w:rPr>
          <w:iCs/>
        </w:rPr>
      </w:pPr>
      <w:bookmarkStart w:id="54" w:name="_Ref165966665"/>
      <w:r w:rsidRPr="00B75199">
        <w:t xml:space="preserve">Health state allocation over time in the selpercatinib arm was derived from the Kaplan-Meier curves of PFS and OS from treatment-naïve </w:t>
      </w:r>
      <w:r w:rsidR="00364C6C">
        <w:rPr>
          <w:snapToGrid/>
          <w:lang w:val="en-US"/>
        </w:rPr>
        <w:t>patients</w:t>
      </w:r>
      <w:r w:rsidRPr="00B75199">
        <w:t xml:space="preserve"> from the LIBRETTO-001 study (June 2021 data cut) until median follow-up (21.9 months for PFS and 25.2</w:t>
      </w:r>
      <w:r w:rsidR="00141EDF">
        <w:t> </w:t>
      </w:r>
      <w:r w:rsidRPr="00B75199">
        <w:t xml:space="preserve">months for OS), after which PFS and OS were extrapolated using parametric functions. </w:t>
      </w:r>
      <w:r w:rsidRPr="00D15F43">
        <w:t>This was unchanged compared to the July 2023 submission</w:t>
      </w:r>
      <w:r w:rsidR="00EB5EE2" w:rsidRPr="00D15F43">
        <w:t>.</w:t>
      </w:r>
      <w:r w:rsidRPr="00D15F43">
        <w:t xml:space="preserve"> </w:t>
      </w:r>
      <w:r w:rsidRPr="00B75199">
        <w:t xml:space="preserve">Allocation of </w:t>
      </w:r>
      <w:r w:rsidR="00364C6C">
        <w:rPr>
          <w:snapToGrid/>
          <w:lang w:val="en-US"/>
        </w:rPr>
        <w:t>patients</w:t>
      </w:r>
      <w:r w:rsidRPr="00B75199">
        <w:t xml:space="preserve"> to health states (and thus efficacy) in the pembrolizumab + PC arm was based on PFS and OS calculated by applying the PFS and OS </w:t>
      </w:r>
      <w:r w:rsidR="00561D35">
        <w:t>hazard ratio</w:t>
      </w:r>
      <w:r w:rsidR="00561D35" w:rsidRPr="00B75199">
        <w:t xml:space="preserve">s </w:t>
      </w:r>
      <w:r w:rsidRPr="00B75199">
        <w:t>from the MAIC</w:t>
      </w:r>
      <w:r w:rsidR="00141EDF">
        <w:t> </w:t>
      </w:r>
      <w:r w:rsidRPr="00B75199">
        <w:t>2 model to the selpercatinib arm in the LIBRETTO-001 study</w:t>
      </w:r>
      <w:r w:rsidRPr="006451F3">
        <w:t xml:space="preserve">. </w:t>
      </w:r>
      <w:r w:rsidR="005B3AA1" w:rsidRPr="00B75199">
        <w:t xml:space="preserve">Sensitivity analysis could not be conducted using the 95% </w:t>
      </w:r>
      <w:r w:rsidR="00742E0C">
        <w:t xml:space="preserve">confidence intervals </w:t>
      </w:r>
      <w:r w:rsidR="005B3AA1" w:rsidRPr="00B75199">
        <w:t>of</w:t>
      </w:r>
      <w:r w:rsidR="00742E0C">
        <w:t xml:space="preserve"> the hazard ratios</w:t>
      </w:r>
      <w:r w:rsidR="005B3AA1" w:rsidRPr="00B75199">
        <w:t xml:space="preserve"> for PFS and OS</w:t>
      </w:r>
      <w:r w:rsidR="005B3AA1" w:rsidRPr="007A7229">
        <w:rPr>
          <w:iCs/>
        </w:rPr>
        <w:t>.</w:t>
      </w:r>
      <w:bookmarkEnd w:id="54"/>
    </w:p>
    <w:p w14:paraId="7E5BCCB2" w14:textId="6B245475" w:rsidR="006076F1" w:rsidRPr="007A7229" w:rsidRDefault="002D6417" w:rsidP="006076F1">
      <w:pPr>
        <w:pStyle w:val="3-BodyText"/>
      </w:pPr>
      <w:r>
        <w:t xml:space="preserve">In July 2023, the </w:t>
      </w:r>
      <w:r w:rsidR="006076F1">
        <w:t xml:space="preserve">PBAC </w:t>
      </w:r>
      <w:r w:rsidR="007D3D85">
        <w:t>considered</w:t>
      </w:r>
      <w:r w:rsidR="006076F1">
        <w:t xml:space="preserve"> the re-specified base case </w:t>
      </w:r>
      <w:r>
        <w:t>using the MAIC 2 model provided in the pre-PBAC response; however</w:t>
      </w:r>
      <w:r w:rsidR="006076F1">
        <w:t xml:space="preserve">, considered the fundamental uncertainty associated with the </w:t>
      </w:r>
      <w:r>
        <w:t>ITC</w:t>
      </w:r>
      <w:r w:rsidR="006076F1">
        <w:t xml:space="preserve"> between poorly transitive studies that formed the basis of the model could not be resolved by re-specification. As such, the PBAC considered the ICER remained highly uncertain (para</w:t>
      </w:r>
      <w:r>
        <w:t>graph</w:t>
      </w:r>
      <w:r w:rsidR="006076F1">
        <w:t xml:space="preserve"> 7.12, selpercatinib, PSD, July 2023 PBAC Meeting). </w:t>
      </w:r>
      <w:r w:rsidR="006F588D">
        <w:t>T</w:t>
      </w:r>
      <w:r w:rsidR="006076F1" w:rsidRPr="007A7229">
        <w:t xml:space="preserve">he approach used in the current resubmission was the same as </w:t>
      </w:r>
      <w:r w:rsidR="00206AB7" w:rsidRPr="007A7229">
        <w:t xml:space="preserve">that used in </w:t>
      </w:r>
      <w:r w:rsidR="006076F1" w:rsidRPr="007A7229">
        <w:t>the July 2023 pre-PBAC response.</w:t>
      </w:r>
    </w:p>
    <w:p w14:paraId="1EC2E757" w14:textId="7B4ADC45" w:rsidR="002D7804" w:rsidRPr="002E1335" w:rsidRDefault="002D7804" w:rsidP="00BF4B09">
      <w:pPr>
        <w:pStyle w:val="3-BodyText"/>
        <w:rPr>
          <w:iCs/>
        </w:rPr>
      </w:pPr>
      <w:bookmarkStart w:id="55" w:name="_Ref165902035"/>
      <w:r w:rsidRPr="007A7229">
        <w:rPr>
          <w:iCs/>
        </w:rPr>
        <w:t>The resubmission did not use the data from the LIBRETTO-431 trial to populate the economic model</w:t>
      </w:r>
      <w:r w:rsidR="006F588D">
        <w:rPr>
          <w:iCs/>
        </w:rPr>
        <w:t>. Instead, the resubmission</w:t>
      </w:r>
      <w:r w:rsidR="00DF72BB" w:rsidRPr="007A7229">
        <w:rPr>
          <w:iCs/>
        </w:rPr>
        <w:t xml:space="preserve"> claim</w:t>
      </w:r>
      <w:r w:rsidR="006F588D">
        <w:rPr>
          <w:iCs/>
        </w:rPr>
        <w:t>ed</w:t>
      </w:r>
      <w:r w:rsidR="001E1F82" w:rsidRPr="007A7229">
        <w:rPr>
          <w:iCs/>
        </w:rPr>
        <w:t xml:space="preserve"> </w:t>
      </w:r>
      <w:r w:rsidR="00151D0F" w:rsidRPr="007A7229">
        <w:rPr>
          <w:iCs/>
        </w:rPr>
        <w:t>comparability of PFS estimates</w:t>
      </w:r>
      <w:r w:rsidR="001E1F82" w:rsidRPr="007A7229">
        <w:rPr>
          <w:iCs/>
        </w:rPr>
        <w:t xml:space="preserve"> </w:t>
      </w:r>
      <w:r w:rsidR="00D31C39" w:rsidRPr="007A7229">
        <w:rPr>
          <w:iCs/>
        </w:rPr>
        <w:t xml:space="preserve">between </w:t>
      </w:r>
      <w:r w:rsidR="001E1F82" w:rsidRPr="007A7229">
        <w:rPr>
          <w:iCs/>
        </w:rPr>
        <w:t xml:space="preserve">the </w:t>
      </w:r>
      <w:r w:rsidR="00BE633A" w:rsidRPr="007A7229">
        <w:rPr>
          <w:iCs/>
        </w:rPr>
        <w:t xml:space="preserve">trial </w:t>
      </w:r>
      <w:r w:rsidR="001B7DAE">
        <w:rPr>
          <w:iCs/>
        </w:rPr>
        <w:t xml:space="preserve">(HR = </w:t>
      </w:r>
      <w:r w:rsidR="007C3514">
        <w:rPr>
          <w:iCs/>
        </w:rPr>
        <w:t xml:space="preserve">0.47; 95% CI: 0.31, 0.70) </w:t>
      </w:r>
      <w:r w:rsidR="00BE633A" w:rsidRPr="007A7229">
        <w:rPr>
          <w:iCs/>
        </w:rPr>
        <w:t>and</w:t>
      </w:r>
      <w:r w:rsidR="00D31C39" w:rsidRPr="007A7229">
        <w:rPr>
          <w:iCs/>
        </w:rPr>
        <w:t xml:space="preserve"> </w:t>
      </w:r>
      <w:r w:rsidR="001E1F82" w:rsidRPr="007A7229">
        <w:rPr>
          <w:iCs/>
        </w:rPr>
        <w:t xml:space="preserve">the </w:t>
      </w:r>
      <w:r w:rsidR="001B7DAE">
        <w:rPr>
          <w:iCs/>
        </w:rPr>
        <w:t>ITC</w:t>
      </w:r>
      <w:r w:rsidR="001E1F82" w:rsidRPr="007A7229">
        <w:rPr>
          <w:iCs/>
        </w:rPr>
        <w:t xml:space="preserve"> using the MAIC 2 model</w:t>
      </w:r>
      <w:r w:rsidR="001B7DAE">
        <w:rPr>
          <w:iCs/>
        </w:rPr>
        <w:t xml:space="preserve"> (HR = 0.48, 95% CI: 0.27, 0.84)</w:t>
      </w:r>
      <w:r w:rsidR="00E06443" w:rsidRPr="007A7229">
        <w:rPr>
          <w:iCs/>
        </w:rPr>
        <w:t xml:space="preserve">. </w:t>
      </w:r>
      <w:bookmarkEnd w:id="55"/>
      <w:r w:rsidRPr="006451F3">
        <w:rPr>
          <w:iCs/>
        </w:rPr>
        <w:t xml:space="preserve">The MAIC 2 model adjusted for sex, age, ECOG PS, presence of brain metastases and smoking status. While this model was the most conservative among all the presented </w:t>
      </w:r>
      <w:r w:rsidR="00137A4B" w:rsidRPr="006451F3">
        <w:rPr>
          <w:iCs/>
        </w:rPr>
        <w:t>ITC</w:t>
      </w:r>
      <w:r w:rsidR="0061416C">
        <w:rPr>
          <w:iCs/>
        </w:rPr>
        <w:t xml:space="preserve"> (see </w:t>
      </w:r>
      <w:r w:rsidR="0061416C">
        <w:rPr>
          <w:iCs/>
        </w:rPr>
        <w:fldChar w:fldCharType="begin" w:fldLock="1"/>
      </w:r>
      <w:r w:rsidR="0061416C">
        <w:rPr>
          <w:iCs/>
        </w:rPr>
        <w:instrText xml:space="preserve"> REF _Ref163892001 \h </w:instrText>
      </w:r>
      <w:r w:rsidR="0061416C">
        <w:rPr>
          <w:iCs/>
        </w:rPr>
      </w:r>
      <w:r w:rsidR="0061416C">
        <w:rPr>
          <w:iCs/>
        </w:rPr>
        <w:fldChar w:fldCharType="separate"/>
      </w:r>
      <w:r w:rsidR="00F979CE">
        <w:t xml:space="preserve">Table </w:t>
      </w:r>
      <w:r w:rsidR="00F979CE">
        <w:rPr>
          <w:noProof/>
        </w:rPr>
        <w:t>7</w:t>
      </w:r>
      <w:r w:rsidR="0061416C">
        <w:rPr>
          <w:iCs/>
        </w:rPr>
        <w:fldChar w:fldCharType="end"/>
      </w:r>
      <w:r w:rsidR="0061416C">
        <w:rPr>
          <w:iCs/>
        </w:rPr>
        <w:t>)</w:t>
      </w:r>
      <w:r w:rsidRPr="006451F3">
        <w:rPr>
          <w:iCs/>
        </w:rPr>
        <w:t xml:space="preserve">, the </w:t>
      </w:r>
      <w:r w:rsidR="002E1335">
        <w:rPr>
          <w:iCs/>
        </w:rPr>
        <w:t xml:space="preserve">evaluation noted the </w:t>
      </w:r>
      <w:r w:rsidRPr="006451F3">
        <w:rPr>
          <w:iCs/>
        </w:rPr>
        <w:t>sample size in the selpercatinib arm in the LIBRETTO-001 study was reduced to 22</w:t>
      </w:r>
      <w:r w:rsidR="00141EDF">
        <w:rPr>
          <w:iCs/>
        </w:rPr>
        <w:t> </w:t>
      </w:r>
      <w:r w:rsidR="00364C6C">
        <w:rPr>
          <w:snapToGrid/>
          <w:lang w:val="en-US"/>
        </w:rPr>
        <w:t>patients</w:t>
      </w:r>
      <w:r w:rsidRPr="006451F3">
        <w:rPr>
          <w:iCs/>
        </w:rPr>
        <w:t>, potentially reducing the statistical power of this model to predict PFS and OS.</w:t>
      </w:r>
      <w:r w:rsidR="002E1335">
        <w:rPr>
          <w:iCs/>
        </w:rPr>
        <w:t xml:space="preserve"> </w:t>
      </w:r>
    </w:p>
    <w:p w14:paraId="68DE6FCA" w14:textId="52E67A5C" w:rsidR="00B75199" w:rsidRPr="00861BF1" w:rsidRDefault="00B75199" w:rsidP="002D7804">
      <w:pPr>
        <w:pStyle w:val="3-BodyText"/>
        <w:widowControl w:val="0"/>
      </w:pPr>
      <w:bookmarkStart w:id="56" w:name="_Ref165902040"/>
      <w:r w:rsidRPr="00861BF1">
        <w:t>The PSCR stated that due to the immaturity and the high rate of crossover in the LIBRETTO-431 trial the data would not meaningfully inform the economic model. The PSCR stated that given the maturity of the data in LIBRETTO-001 and the very high consistency of results between LIBRETTO-431 and the ITCs the current model was reliable to inform the cost effectiveness of selpercatinib compared with pembrolizumab + PC.</w:t>
      </w:r>
      <w:r w:rsidR="00C10E72" w:rsidRPr="00861BF1">
        <w:t xml:space="preserve"> </w:t>
      </w:r>
      <w:r w:rsidR="004C4EF2" w:rsidRPr="00861BF1">
        <w:t>The ESC considered that using the results of the LIBRETTO-431 trial would have been more suitable than the MAIC 2 model given that it was conducted in the target population</w:t>
      </w:r>
      <w:r w:rsidR="0061416C">
        <w:t xml:space="preserve"> (i.e., </w:t>
      </w:r>
      <w:r w:rsidR="0061416C" w:rsidRPr="00BC5A69">
        <w:rPr>
          <w:i/>
          <w:iCs/>
        </w:rPr>
        <w:t>RET</w:t>
      </w:r>
      <w:r w:rsidR="0061416C">
        <w:t>-fusion positive)</w:t>
      </w:r>
      <w:r w:rsidR="009D5059">
        <w:t xml:space="preserve"> and</w:t>
      </w:r>
      <w:r w:rsidR="004C4EF2" w:rsidRPr="00861BF1">
        <w:t xml:space="preserve"> observed and unobserved differences in the patient characteristics were addressed using randomisation</w:t>
      </w:r>
      <w:r w:rsidR="009D5059">
        <w:t>.</w:t>
      </w:r>
      <w:r w:rsidR="004C4EF2" w:rsidRPr="00861BF1">
        <w:t xml:space="preserve"> </w:t>
      </w:r>
    </w:p>
    <w:p w14:paraId="3631C574" w14:textId="6EF0F4A9" w:rsidR="002D7804" w:rsidRPr="00861BF1" w:rsidRDefault="002D7804" w:rsidP="002D7804">
      <w:pPr>
        <w:pStyle w:val="3-BodyText"/>
        <w:widowControl w:val="0"/>
      </w:pPr>
      <w:r w:rsidRPr="007A7229">
        <w:t xml:space="preserve">The resubmission did not </w:t>
      </w:r>
      <w:r w:rsidR="00EB5EE2" w:rsidRPr="007A7229">
        <w:t xml:space="preserve">update the model to </w:t>
      </w:r>
      <w:r w:rsidRPr="007A7229">
        <w:t xml:space="preserve">use the most recent data cut of the LIBRETTO-001 study (January 2023), which had a longer median follow-up </w:t>
      </w:r>
      <w:r w:rsidRPr="007A7229">
        <w:lastRenderedPageBreak/>
        <w:t>(38.9</w:t>
      </w:r>
      <w:r w:rsidR="00141EDF">
        <w:t> </w:t>
      </w:r>
      <w:r w:rsidRPr="007A7229">
        <w:t xml:space="preserve">months for PFS and 41.9 months for OS) </w:t>
      </w:r>
      <w:bookmarkStart w:id="57" w:name="_Hlk164106205"/>
      <w:r w:rsidRPr="007A7229">
        <w:t xml:space="preserve">than the </w:t>
      </w:r>
      <w:r w:rsidR="00F72A5F" w:rsidRPr="007A7229">
        <w:t>June 2021 data cut</w:t>
      </w:r>
      <w:r w:rsidRPr="007A7229">
        <w:t xml:space="preserve"> (21.9</w:t>
      </w:r>
      <w:r w:rsidR="00141EDF">
        <w:t> </w:t>
      </w:r>
      <w:r w:rsidRPr="007A7229">
        <w:t>months for PFS and 25.2 months for OS).</w:t>
      </w:r>
      <w:bookmarkEnd w:id="57"/>
      <w:r w:rsidRPr="007A7229">
        <w:t xml:space="preserve"> The resubmission claimed that the modelled OS in the selpercatinib arm based on the LIBRETTO-001 June 2021 data cut, was consistent with the observed OS from the LIBRETTO-001 January 2023 data cut. </w:t>
      </w:r>
      <w:r w:rsidR="006E1F9F" w:rsidRPr="00861BF1">
        <w:t>Additionally, the PSCR stated that the modelled OS for the selpercatinib arm tracked below the more mature LIBRETTO-001 data (from the January 2023 data) and the modelled pembrolizumab + PC arm tracked above that in KN-189, suggesting that the modelled scenario presented in the resubmission was conservative. The ESC considered that</w:t>
      </w:r>
      <w:r w:rsidR="00265700" w:rsidRPr="00861BF1">
        <w:t xml:space="preserve"> incorporation of</w:t>
      </w:r>
      <w:r w:rsidRPr="00861BF1">
        <w:t xml:space="preserve"> the more mature data from the LIBRETTO-001 study would </w:t>
      </w:r>
      <w:r w:rsidR="00265700" w:rsidRPr="00861BF1">
        <w:t xml:space="preserve">allow its impact on </w:t>
      </w:r>
      <w:r w:rsidRPr="00861BF1">
        <w:t>survival extrapolations</w:t>
      </w:r>
      <w:r w:rsidR="00265700" w:rsidRPr="00861BF1">
        <w:t xml:space="preserve"> to be appropriately </w:t>
      </w:r>
      <w:r w:rsidR="00DB060E" w:rsidRPr="00861BF1">
        <w:t>assessed</w:t>
      </w:r>
      <w:r w:rsidRPr="00861BF1">
        <w:t>.</w:t>
      </w:r>
      <w:bookmarkEnd w:id="56"/>
      <w:r w:rsidR="00B75199" w:rsidRPr="00861BF1">
        <w:t xml:space="preserve"> </w:t>
      </w:r>
      <w:r w:rsidR="00364C6C">
        <w:t>The pre-PBAC response</w:t>
      </w:r>
      <w:r w:rsidR="0058610A">
        <w:t xml:space="preserve"> provided an economic model based on the MAIC 2 model using updated LIBRETTO-001 data. The PBAC noted the ICER was lower than that provided in the resubmission base case; however, this model and the updated MAIC 2 analysis had not been evaluated.</w:t>
      </w:r>
    </w:p>
    <w:p w14:paraId="2E70CC9B" w14:textId="53A7942A" w:rsidR="002D7804" w:rsidRPr="007A7229" w:rsidRDefault="002D7804" w:rsidP="002D7804">
      <w:pPr>
        <w:pStyle w:val="3-BodyText"/>
      </w:pPr>
      <w:bookmarkStart w:id="58" w:name="_Ref165900486"/>
      <w:bookmarkStart w:id="59" w:name="_Ref172789930"/>
      <w:r w:rsidRPr="007A7229">
        <w:t xml:space="preserve">The resubmission extrapolated PFS using the Gompertz function and OS using the spline knot 1 function. Statistically (based on the AIC and BIC) these parametric functions </w:t>
      </w:r>
      <w:r w:rsidR="004C4EF2">
        <w:t>had</w:t>
      </w:r>
      <w:r w:rsidR="004C4EF2" w:rsidRPr="007A7229">
        <w:t xml:space="preserve"> </w:t>
      </w:r>
      <w:r w:rsidRPr="007A7229">
        <w:t>the poorest fit to the data.</w:t>
      </w:r>
      <w:bookmarkEnd w:id="58"/>
      <w:r w:rsidR="008B4F92" w:rsidRPr="007A7229">
        <w:t xml:space="preserve"> </w:t>
      </w:r>
      <w:r w:rsidR="00D22C6C" w:rsidRPr="007A7229">
        <w:t xml:space="preserve">The resubmission claimed that the </w:t>
      </w:r>
      <w:r w:rsidR="00830778" w:rsidRPr="007A7229">
        <w:t xml:space="preserve">survival estimates from the selected </w:t>
      </w:r>
      <w:r w:rsidR="00F53ABF" w:rsidRPr="007A7229">
        <w:t>parametric</w:t>
      </w:r>
      <w:r w:rsidR="00D22C6C" w:rsidRPr="007A7229">
        <w:t xml:space="preserve"> function</w:t>
      </w:r>
      <w:r w:rsidR="00F53ABF" w:rsidRPr="007A7229">
        <w:t>s</w:t>
      </w:r>
      <w:r w:rsidR="00D22C6C" w:rsidRPr="007A7229">
        <w:t xml:space="preserve"> aligned well with those provided for selpercatinib by the clinical experts. </w:t>
      </w:r>
      <w:r w:rsidR="00364C6C" w:rsidRPr="007A7229">
        <w:t xml:space="preserve">The validity of the estimates from clinicians </w:t>
      </w:r>
      <w:r w:rsidR="007069C4">
        <w:t>could not</w:t>
      </w:r>
      <w:r w:rsidR="00364C6C" w:rsidRPr="007A7229">
        <w:t xml:space="preserve"> be assessed</w:t>
      </w:r>
      <w:r w:rsidR="00364C6C">
        <w:t xml:space="preserve"> as t</w:t>
      </w:r>
      <w:r w:rsidR="00FE4320" w:rsidRPr="007A7229">
        <w:t>he resubmission did not supply information on how these clinicians were selected</w:t>
      </w:r>
      <w:r w:rsidR="004C4EF2">
        <w:t xml:space="preserve">, nor </w:t>
      </w:r>
      <w:r w:rsidR="00FE4320" w:rsidRPr="007A7229">
        <w:t xml:space="preserve">provide PFS </w:t>
      </w:r>
      <w:r w:rsidR="00830778" w:rsidRPr="007A7229">
        <w:t xml:space="preserve">or OS </w:t>
      </w:r>
      <w:r w:rsidR="00FE4320" w:rsidRPr="007A7229">
        <w:t>estimates from individual clinicians or the basis of their estimates.</w:t>
      </w:r>
      <w:bookmarkEnd w:id="59"/>
      <w:r w:rsidR="00FE4320" w:rsidRPr="007A7229">
        <w:t xml:space="preserve"> </w:t>
      </w:r>
    </w:p>
    <w:p w14:paraId="274E0AFC" w14:textId="7348E6FB" w:rsidR="00D91F4E" w:rsidRPr="00861BF1" w:rsidRDefault="00264384" w:rsidP="00264384">
      <w:pPr>
        <w:pStyle w:val="3-BodyText"/>
        <w:widowControl w:val="0"/>
      </w:pPr>
      <w:r w:rsidRPr="00861BF1">
        <w:t>T</w:t>
      </w:r>
      <w:r w:rsidR="00D91F4E" w:rsidRPr="00861BF1">
        <w:t>he ICER was not sensitive to chang</w:t>
      </w:r>
      <w:r w:rsidR="00276665" w:rsidRPr="00861BF1">
        <w:t>ing</w:t>
      </w:r>
      <w:r w:rsidR="00D91F4E" w:rsidRPr="00861BF1">
        <w:t xml:space="preserve"> the extrapolation function </w:t>
      </w:r>
      <w:r w:rsidR="00276665" w:rsidRPr="00861BF1">
        <w:t xml:space="preserve">applied </w:t>
      </w:r>
      <w:r w:rsidR="00D91F4E" w:rsidRPr="00861BF1">
        <w:t>for PFS (ICER with Gompertz function = $</w:t>
      </w:r>
      <w:r w:rsidR="00330362" w:rsidRPr="00330362">
        <w:t>75,000 to &lt; $95,000</w:t>
      </w:r>
      <w:r w:rsidR="00276665" w:rsidRPr="00861BF1">
        <w:t xml:space="preserve">per </w:t>
      </w:r>
      <w:r w:rsidR="00D91F4E" w:rsidRPr="00861BF1">
        <w:t>QALY gained v</w:t>
      </w:r>
      <w:r w:rsidR="00276665" w:rsidRPr="00861BF1">
        <w:t>ersu</w:t>
      </w:r>
      <w:r w:rsidR="00D91F4E" w:rsidRPr="00861BF1">
        <w:t>s ICER</w:t>
      </w:r>
      <w:r w:rsidR="00FA0D7D" w:rsidRPr="00861BF1">
        <w:t>s for</w:t>
      </w:r>
      <w:r w:rsidR="00D91F4E" w:rsidRPr="00861BF1">
        <w:t xml:space="preserve"> other functions: $</w:t>
      </w:r>
      <w:r w:rsidR="00D21D49" w:rsidRPr="00D21D49">
        <w:t xml:space="preserve">55,000 to &lt; $75,000 </w:t>
      </w:r>
      <w:r w:rsidR="00276665" w:rsidRPr="00861BF1">
        <w:t xml:space="preserve">per </w:t>
      </w:r>
      <w:r w:rsidR="00D91F4E" w:rsidRPr="00861BF1">
        <w:t>QALY gained to $</w:t>
      </w:r>
      <w:r w:rsidR="00D5770C" w:rsidRPr="00D5770C">
        <w:t>75,000 to &lt; $95,000</w:t>
      </w:r>
      <w:r w:rsidR="00196C0C">
        <w:t xml:space="preserve"> </w:t>
      </w:r>
      <w:r w:rsidR="00276665" w:rsidRPr="00861BF1">
        <w:t xml:space="preserve">per </w:t>
      </w:r>
      <w:r w:rsidR="00D91F4E" w:rsidRPr="00861BF1">
        <w:t xml:space="preserve">QALY gained). For OS, </w:t>
      </w:r>
      <w:r w:rsidR="006E1AE9" w:rsidRPr="00861BF1">
        <w:t xml:space="preserve">although </w:t>
      </w:r>
      <w:r w:rsidR="0012003D" w:rsidRPr="00861BF1">
        <w:t>t</w:t>
      </w:r>
      <w:r w:rsidR="00D91F4E" w:rsidRPr="00861BF1">
        <w:t>he lognormal and loglogistic functions</w:t>
      </w:r>
      <w:r w:rsidR="00A272ED" w:rsidRPr="00861BF1">
        <w:t xml:space="preserve"> had better statistical</w:t>
      </w:r>
      <w:r w:rsidR="00D91F4E" w:rsidRPr="00861BF1">
        <w:t xml:space="preserve"> fit </w:t>
      </w:r>
      <w:r w:rsidR="00B45F0B" w:rsidRPr="00861BF1">
        <w:t xml:space="preserve">than the </w:t>
      </w:r>
      <w:r w:rsidR="00115DA9" w:rsidRPr="00861BF1">
        <w:t>spline knot 1</w:t>
      </w:r>
      <w:r w:rsidR="00F10A8A" w:rsidRPr="00861BF1">
        <w:t>,</w:t>
      </w:r>
      <w:r w:rsidR="00D91F4E" w:rsidRPr="00861BF1">
        <w:t xml:space="preserve"> </w:t>
      </w:r>
      <w:r w:rsidR="006E1AE9" w:rsidRPr="00861BF1">
        <w:t xml:space="preserve">they </w:t>
      </w:r>
      <w:r w:rsidR="00D91F4E" w:rsidRPr="00861BF1">
        <w:t xml:space="preserve">resulted in more patients alive at </w:t>
      </w:r>
      <w:r w:rsidR="002F5030" w:rsidRPr="00861BF1">
        <w:t xml:space="preserve">10 </w:t>
      </w:r>
      <w:r w:rsidR="00D91F4E" w:rsidRPr="00861BF1">
        <w:t>years (</w:t>
      </w:r>
      <w:r w:rsidR="002F5030" w:rsidRPr="00861BF1">
        <w:t>22.7</w:t>
      </w:r>
      <w:r w:rsidR="00D91F4E" w:rsidRPr="00861BF1">
        <w:t xml:space="preserve">% and </w:t>
      </w:r>
      <w:r w:rsidR="002F5030" w:rsidRPr="00861BF1">
        <w:t>19.1</w:t>
      </w:r>
      <w:r w:rsidR="00D91F4E" w:rsidRPr="00861BF1">
        <w:t>%</w:t>
      </w:r>
      <w:r w:rsidR="00F10A8A" w:rsidRPr="00861BF1">
        <w:t xml:space="preserve"> versus </w:t>
      </w:r>
      <w:r w:rsidR="002F5030" w:rsidRPr="00861BF1">
        <w:t>15.7</w:t>
      </w:r>
      <w:r w:rsidR="00414E30" w:rsidRPr="00861BF1">
        <w:t>%</w:t>
      </w:r>
      <w:r w:rsidR="00D91F4E" w:rsidRPr="00861BF1">
        <w:t xml:space="preserve">, respectively). </w:t>
      </w:r>
      <w:r w:rsidRPr="00861BF1">
        <w:t xml:space="preserve">The PSCR argued that all the parametric functions had similar statistical fit and that the spline-knot 1 function was chosen as it supported the proportional hazards assumption and predicted consistently higher OS in the pembrolizumab + PC arm compared with KN-189. </w:t>
      </w:r>
      <w:r w:rsidR="00D91F4E" w:rsidRPr="00861BF1">
        <w:t xml:space="preserve">The </w:t>
      </w:r>
      <w:r w:rsidRPr="00861BF1">
        <w:t xml:space="preserve">ESC considered the </w:t>
      </w:r>
      <w:r w:rsidR="00D91F4E" w:rsidRPr="00861BF1">
        <w:t>gamma function may be</w:t>
      </w:r>
      <w:r w:rsidRPr="00861BF1">
        <w:t xml:space="preserve"> more appropriate </w:t>
      </w:r>
      <w:r w:rsidR="00265700" w:rsidRPr="00861BF1">
        <w:t xml:space="preserve">noting the function had </w:t>
      </w:r>
      <w:r w:rsidR="00D82E62" w:rsidRPr="00861BF1">
        <w:t xml:space="preserve">better AIC and BIC statistics and </w:t>
      </w:r>
      <w:r w:rsidR="00265700" w:rsidRPr="00861BF1">
        <w:t xml:space="preserve">reported </w:t>
      </w:r>
      <w:r w:rsidR="002F5030" w:rsidRPr="00861BF1">
        <w:t>10.0</w:t>
      </w:r>
      <w:r w:rsidR="00D91F4E" w:rsidRPr="00861BF1">
        <w:t xml:space="preserve">% </w:t>
      </w:r>
      <w:r w:rsidR="004D10CD" w:rsidRPr="00861BF1">
        <w:t xml:space="preserve">of patients </w:t>
      </w:r>
      <w:r w:rsidR="00D91F4E" w:rsidRPr="00861BF1">
        <w:t xml:space="preserve">alive at </w:t>
      </w:r>
      <w:r w:rsidR="002F5030" w:rsidRPr="00861BF1">
        <w:t xml:space="preserve">10 </w:t>
      </w:r>
      <w:r w:rsidR="00D91F4E" w:rsidRPr="00861BF1">
        <w:t>years</w:t>
      </w:r>
      <w:r w:rsidR="00265700" w:rsidRPr="00861BF1">
        <w:t xml:space="preserve">. The ESC noted that use of the gamma function </w:t>
      </w:r>
      <w:r w:rsidR="00A13777" w:rsidRPr="00861BF1">
        <w:t>result</w:t>
      </w:r>
      <w:r w:rsidR="00265700" w:rsidRPr="00861BF1">
        <w:t>ed</w:t>
      </w:r>
      <w:r w:rsidR="00A13777" w:rsidRPr="00861BF1">
        <w:t xml:space="preserve"> </w:t>
      </w:r>
      <w:r w:rsidR="00D91F4E" w:rsidRPr="00861BF1">
        <w:t>in an ICER of $</w:t>
      </w:r>
      <w:r w:rsidR="00D5770C" w:rsidRPr="00D5770C">
        <w:t>75,000 to &lt; $95,000</w:t>
      </w:r>
      <w:r w:rsidR="00196C0C">
        <w:t xml:space="preserve"> </w:t>
      </w:r>
      <w:r w:rsidR="00A13777" w:rsidRPr="00861BF1">
        <w:t xml:space="preserve">per </w:t>
      </w:r>
      <w:r w:rsidR="00D91F4E" w:rsidRPr="00861BF1">
        <w:t>QALY gained.</w:t>
      </w:r>
    </w:p>
    <w:p w14:paraId="38662B81" w14:textId="1FCF4531" w:rsidR="002D7804" w:rsidRDefault="002D7804" w:rsidP="002D7804">
      <w:pPr>
        <w:pStyle w:val="3-BodyText"/>
      </w:pPr>
      <w:r w:rsidRPr="00A4338A">
        <w:t xml:space="preserve">The PFS and OS generated by the selpercatinib and pembrolizumab + PC arms over </w:t>
      </w:r>
      <w:r w:rsidR="002F5030">
        <w:t>40</w:t>
      </w:r>
      <w:r w:rsidR="00141EDF">
        <w:t> </w:t>
      </w:r>
      <w:r w:rsidR="002F5030">
        <w:t>months</w:t>
      </w:r>
      <w:r w:rsidRPr="00A4338A">
        <w:t xml:space="preserve"> </w:t>
      </w:r>
      <w:r>
        <w:t xml:space="preserve">compared to the LIBRETTO-431 trial </w:t>
      </w:r>
      <w:r w:rsidRPr="00A4338A">
        <w:t xml:space="preserve">are presented in </w:t>
      </w:r>
      <w:r>
        <w:fldChar w:fldCharType="begin" w:fldLock="1"/>
      </w:r>
      <w:r>
        <w:instrText xml:space="preserve"> REF _Ref164110367 \h </w:instrText>
      </w:r>
      <w:r>
        <w:fldChar w:fldCharType="separate"/>
      </w:r>
      <w:r w:rsidR="00F979CE">
        <w:t xml:space="preserve">Figure </w:t>
      </w:r>
      <w:r w:rsidR="00F979CE">
        <w:rPr>
          <w:noProof/>
        </w:rPr>
        <w:t>5</w:t>
      </w:r>
      <w:r>
        <w:fldChar w:fldCharType="end"/>
      </w:r>
      <w:r>
        <w:t xml:space="preserve"> and </w:t>
      </w:r>
      <w:r>
        <w:fldChar w:fldCharType="begin" w:fldLock="1"/>
      </w:r>
      <w:r>
        <w:instrText xml:space="preserve"> REF _Ref164110428 \h </w:instrText>
      </w:r>
      <w:r>
        <w:fldChar w:fldCharType="separate"/>
      </w:r>
      <w:r w:rsidR="00F979CE">
        <w:t xml:space="preserve">Figure </w:t>
      </w:r>
      <w:r w:rsidR="00F979CE">
        <w:rPr>
          <w:noProof/>
        </w:rPr>
        <w:t>6</w:t>
      </w:r>
      <w:r>
        <w:fldChar w:fldCharType="end"/>
      </w:r>
      <w:r w:rsidRPr="00A4338A">
        <w:t>, respectively.</w:t>
      </w:r>
      <w:bookmarkStart w:id="60" w:name="_Ref132208324"/>
    </w:p>
    <w:p w14:paraId="429FBB7F" w14:textId="3D6489DB" w:rsidR="002D7804" w:rsidRDefault="002D7804" w:rsidP="002D7804">
      <w:pPr>
        <w:pStyle w:val="Caption"/>
      </w:pPr>
      <w:bookmarkStart w:id="61" w:name="_Ref164110367"/>
      <w:bookmarkEnd w:id="60"/>
      <w:r>
        <w:lastRenderedPageBreak/>
        <w:t xml:space="preserve">Figure </w:t>
      </w:r>
      <w:r w:rsidR="00BA56FF">
        <w:fldChar w:fldCharType="begin" w:fldLock="1"/>
      </w:r>
      <w:r w:rsidR="00BA56FF">
        <w:instrText xml:space="preserve"> SEQ Figure \* ARABIC </w:instrText>
      </w:r>
      <w:r w:rsidR="00BA56FF">
        <w:fldChar w:fldCharType="separate"/>
      </w:r>
      <w:r w:rsidR="00F979CE">
        <w:rPr>
          <w:noProof/>
        </w:rPr>
        <w:t>5</w:t>
      </w:r>
      <w:r w:rsidR="00BA56FF">
        <w:rPr>
          <w:noProof/>
        </w:rPr>
        <w:fldChar w:fldCharType="end"/>
      </w:r>
      <w:bookmarkEnd w:id="61"/>
      <w:r>
        <w:t xml:space="preserve">: </w:t>
      </w:r>
      <w:r w:rsidRPr="00056B76">
        <w:t>Overlay of modelled PFS (MAIC 2 model) with the LIBRETTO-431 trial</w:t>
      </w:r>
    </w:p>
    <w:p w14:paraId="04E8C37E" w14:textId="74661174" w:rsidR="002D7804" w:rsidRDefault="00A73984" w:rsidP="002D7804">
      <w:pPr>
        <w:keepNext/>
        <w:widowControl w:val="0"/>
      </w:pPr>
      <w:r w:rsidRPr="00D37991">
        <w:rPr>
          <w:noProof/>
        </w:rPr>
        <w:drawing>
          <wp:anchor distT="0" distB="0" distL="114300" distR="114300" simplePos="0" relativeHeight="251658240" behindDoc="0" locked="0" layoutInCell="1" allowOverlap="1" wp14:anchorId="19B1B275" wp14:editId="7D3A61F8">
            <wp:simplePos x="0" y="0"/>
            <wp:positionH relativeFrom="column">
              <wp:posOffset>314325</wp:posOffset>
            </wp:positionH>
            <wp:positionV relativeFrom="paragraph">
              <wp:posOffset>2200910</wp:posOffset>
            </wp:positionV>
            <wp:extent cx="4714240" cy="551815"/>
            <wp:effectExtent l="0" t="0" r="0" b="0"/>
            <wp:wrapTopAndBottom/>
            <wp:docPr id="1181205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24904"/>
                    <a:stretch/>
                  </pic:blipFill>
                  <pic:spPr bwMode="auto">
                    <a:xfrm>
                      <a:off x="0" y="0"/>
                      <a:ext cx="4714240" cy="551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7804" w:rsidRPr="006A18BE">
        <w:rPr>
          <w:noProof/>
        </w:rPr>
        <w:drawing>
          <wp:inline distT="0" distB="0" distL="0" distR="0" wp14:anchorId="0D527154" wp14:editId="1C43B841">
            <wp:extent cx="5642411" cy="2171158"/>
            <wp:effectExtent l="0" t="0" r="0" b="635"/>
            <wp:docPr id="919388275" name="Picture 919388275" descr="Figure 5: Overlay of modelled PFS (MAIC 2 model) with the LIBRETTO-431 trial">
              <a:extLst xmlns:a="http://schemas.openxmlformats.org/drawingml/2006/main">
                <a:ext uri="{FF2B5EF4-FFF2-40B4-BE49-F238E27FC236}">
                  <a16:creationId xmlns:a16="http://schemas.microsoft.com/office/drawing/2014/main" id="{3C090EDF-BA7F-C130-438D-CC7E1570EF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88275" name="Picture 919388275" descr="Figure 5: Overlay of modelled PFS (MAIC 2 model) with the LIBRETTO-431 trial">
                      <a:extLst>
                        <a:ext uri="{FF2B5EF4-FFF2-40B4-BE49-F238E27FC236}">
                          <a16:creationId xmlns:a16="http://schemas.microsoft.com/office/drawing/2014/main" id="{3C090EDF-BA7F-C130-438D-CC7E1570EFFF}"/>
                        </a:ext>
                      </a:extLst>
                    </pic:cNvPr>
                    <pic:cNvPicPr>
                      <a:picLocks noChangeAspect="1"/>
                    </pic:cNvPicPr>
                  </pic:nvPicPr>
                  <pic:blipFill rotWithShape="1">
                    <a:blip r:embed="rId14"/>
                    <a:srcRect r="919" b="26691"/>
                    <a:stretch/>
                  </pic:blipFill>
                  <pic:spPr bwMode="auto">
                    <a:xfrm>
                      <a:off x="0" y="0"/>
                      <a:ext cx="5651765" cy="2174757"/>
                    </a:xfrm>
                    <a:prstGeom prst="rect">
                      <a:avLst/>
                    </a:prstGeom>
                    <a:ln>
                      <a:noFill/>
                    </a:ln>
                    <a:extLst>
                      <a:ext uri="{53640926-AAD7-44D8-BBD7-CCE9431645EC}">
                        <a14:shadowObscured xmlns:a14="http://schemas.microsoft.com/office/drawing/2010/main"/>
                      </a:ext>
                    </a:extLst>
                  </pic:spPr>
                </pic:pic>
              </a:graphicData>
            </a:graphic>
          </wp:inline>
        </w:drawing>
      </w:r>
    </w:p>
    <w:p w14:paraId="6CEA50EE" w14:textId="0AB87439" w:rsidR="00BB78B2" w:rsidRDefault="00A73984" w:rsidP="002D7804">
      <w:pPr>
        <w:pStyle w:val="TableFigureFooter"/>
      </w:pPr>
      <w:r w:rsidRPr="000051F9">
        <w:rPr>
          <w:noProof/>
        </w:rPr>
        <w:drawing>
          <wp:inline distT="0" distB="0" distL="0" distR="0" wp14:anchorId="3E309FA3" wp14:editId="3D7C7264">
            <wp:extent cx="5610225" cy="325593"/>
            <wp:effectExtent l="0" t="0" r="0" b="0"/>
            <wp:docPr id="2107735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r="19922" b="32526"/>
                    <a:stretch/>
                  </pic:blipFill>
                  <pic:spPr bwMode="auto">
                    <a:xfrm>
                      <a:off x="0" y="0"/>
                      <a:ext cx="5953651" cy="345524"/>
                    </a:xfrm>
                    <a:prstGeom prst="rect">
                      <a:avLst/>
                    </a:prstGeom>
                    <a:noFill/>
                    <a:ln>
                      <a:noFill/>
                    </a:ln>
                    <a:extLst>
                      <a:ext uri="{53640926-AAD7-44D8-BBD7-CCE9431645EC}">
                        <a14:shadowObscured xmlns:a14="http://schemas.microsoft.com/office/drawing/2010/main"/>
                      </a:ext>
                    </a:extLst>
                  </pic:spPr>
                </pic:pic>
              </a:graphicData>
            </a:graphic>
          </wp:inline>
        </w:drawing>
      </w:r>
    </w:p>
    <w:p w14:paraId="70A06FC5" w14:textId="77777777" w:rsidR="002D7804" w:rsidRDefault="002D7804" w:rsidP="002D7804">
      <w:pPr>
        <w:pStyle w:val="TableFigureFooter"/>
      </w:pPr>
      <w:r>
        <w:t>Source: Figure 3-12, p138 of the resubmission.</w:t>
      </w:r>
    </w:p>
    <w:p w14:paraId="55ECBED8" w14:textId="46A44FF6" w:rsidR="002D7804" w:rsidRDefault="002D7804" w:rsidP="002D7804">
      <w:pPr>
        <w:pStyle w:val="TableFigureFooter"/>
      </w:pPr>
      <w:r w:rsidRPr="006A18BE">
        <w:t>KM</w:t>
      </w:r>
      <w:r>
        <w:t xml:space="preserve"> =</w:t>
      </w:r>
      <w:r w:rsidRPr="006A18BE">
        <w:t xml:space="preserve"> Kaplan-Meier; MAIC</w:t>
      </w:r>
      <w:r>
        <w:t xml:space="preserve"> = </w:t>
      </w:r>
      <w:r w:rsidRPr="006A18BE">
        <w:t>match</w:t>
      </w:r>
      <w:r>
        <w:t>ing</w:t>
      </w:r>
      <w:r w:rsidRPr="006A18BE">
        <w:t xml:space="preserve">-adjusted indirect comparison; </w:t>
      </w:r>
      <w:r w:rsidR="00812879">
        <w:t>PC = platinum-based doublet chemotherapy</w:t>
      </w:r>
      <w:r w:rsidRPr="006A18BE">
        <w:t>; PFS</w:t>
      </w:r>
      <w:r>
        <w:t xml:space="preserve"> =</w:t>
      </w:r>
      <w:r w:rsidRPr="006A18BE">
        <w:t xml:space="preserve"> progression-free survival; TTD</w:t>
      </w:r>
      <w:r>
        <w:t xml:space="preserve"> =</w:t>
      </w:r>
      <w:r w:rsidRPr="006A18BE">
        <w:t xml:space="preserve"> time to treatment discontinuation</w:t>
      </w:r>
      <w:r>
        <w:t>.</w:t>
      </w:r>
    </w:p>
    <w:p w14:paraId="76623C0F" w14:textId="77777777" w:rsidR="002D7804" w:rsidRDefault="002D7804" w:rsidP="002D7804">
      <w:pPr>
        <w:pStyle w:val="TableFigureFooter"/>
      </w:pPr>
      <w:r w:rsidRPr="00E2432E">
        <w:rPr>
          <w:b/>
          <w:color w:val="FF0000"/>
        </w:rPr>
        <w:t>Thick red line</w:t>
      </w:r>
      <w:r w:rsidRPr="00E2432E">
        <w:rPr>
          <w:color w:val="FF0000"/>
        </w:rPr>
        <w:t xml:space="preserve"> </w:t>
      </w:r>
      <w:r>
        <w:t>denoted the trial-based KM curve of the selpercatinib arm from the LIBRETTO-001 study (June 2021 data cut).</w:t>
      </w:r>
    </w:p>
    <w:p w14:paraId="31A6F241" w14:textId="77777777" w:rsidR="002D7804" w:rsidRDefault="002D7804" w:rsidP="002D7804">
      <w:pPr>
        <w:pStyle w:val="TableFigureFooter"/>
      </w:pPr>
      <w:r w:rsidRPr="00E2432E">
        <w:rPr>
          <w:color w:val="FA6F44"/>
          <w14:textFill>
            <w14:solidFill>
              <w14:srgbClr w14:val="FA6F44">
                <w14:lumMod w14:val="75000"/>
              </w14:srgbClr>
            </w14:solidFill>
          </w14:textFill>
        </w:rPr>
        <w:t>Thin orange line</w:t>
      </w:r>
      <w:r w:rsidRPr="00E2432E">
        <w:rPr>
          <w:color w:val="E36C0A" w:themeColor="accent6" w:themeShade="BF"/>
        </w:rPr>
        <w:t xml:space="preserve"> </w:t>
      </w:r>
      <w:r>
        <w:t>denoted the</w:t>
      </w:r>
      <w:r w:rsidRPr="006D7CBA">
        <w:t xml:space="preserve"> </w:t>
      </w:r>
      <w:r>
        <w:t>trial-based KM curve of the selpercatinib arm</w:t>
      </w:r>
      <w:r w:rsidRPr="00C35357">
        <w:t xml:space="preserve"> </w:t>
      </w:r>
      <w:r>
        <w:t>from the LIBRETTO-431 trial.</w:t>
      </w:r>
    </w:p>
    <w:p w14:paraId="6CA8632E" w14:textId="77777777" w:rsidR="002D7804" w:rsidRDefault="002D7804" w:rsidP="002D7804">
      <w:pPr>
        <w:pStyle w:val="TableFigureFooter"/>
      </w:pPr>
      <w:r w:rsidRPr="00E2432E">
        <w:rPr>
          <w:b/>
          <w:color w:val="E36C0A" w:themeColor="accent6" w:themeShade="BF"/>
        </w:rPr>
        <w:t>Thick orange line</w:t>
      </w:r>
      <w:r w:rsidRPr="00E2432E">
        <w:rPr>
          <w:color w:val="E36C0A" w:themeColor="accent6" w:themeShade="BF"/>
        </w:rPr>
        <w:t xml:space="preserve"> </w:t>
      </w:r>
      <w:r>
        <w:t>denoted the modelled selpercatinib PFS curve based on the MAIC 2 model.</w:t>
      </w:r>
    </w:p>
    <w:p w14:paraId="12F1C510" w14:textId="77777777" w:rsidR="002D7804" w:rsidRDefault="002D7804" w:rsidP="002D7804">
      <w:pPr>
        <w:pStyle w:val="TableFigureFooter"/>
      </w:pPr>
      <w:r w:rsidRPr="001471E1">
        <w:rPr>
          <w:b/>
          <w:bCs/>
          <w:color w:val="FFC000"/>
        </w:rPr>
        <w:t>Thick yellow line</w:t>
      </w:r>
      <w:r w:rsidRPr="00E2432E">
        <w:rPr>
          <w:color w:val="FFC000"/>
        </w:rPr>
        <w:t xml:space="preserve"> </w:t>
      </w:r>
      <w:r>
        <w:t>denoted the</w:t>
      </w:r>
      <w:r w:rsidRPr="00C35357">
        <w:t xml:space="preserve"> </w:t>
      </w:r>
      <w:r>
        <w:t>modelled pembrolizumab + PC PFS curve based on the MAIC 2 model.</w:t>
      </w:r>
    </w:p>
    <w:p w14:paraId="08CD90B1" w14:textId="4AB7290F" w:rsidR="002D7804" w:rsidRDefault="002D7804" w:rsidP="002D7804">
      <w:pPr>
        <w:pStyle w:val="TableFigureFooter"/>
      </w:pPr>
      <w:r w:rsidRPr="00E2432E">
        <w:rPr>
          <w:color w:val="2852C8"/>
        </w:rPr>
        <w:t>Thin blue line</w:t>
      </w:r>
      <w:r w:rsidRPr="00E2432E">
        <w:rPr>
          <w:color w:val="00B0F0"/>
        </w:rPr>
        <w:t xml:space="preserve"> </w:t>
      </w:r>
      <w:r>
        <w:t>denoted</w:t>
      </w:r>
      <w:r w:rsidRPr="00C35357">
        <w:t xml:space="preserve"> </w:t>
      </w:r>
      <w:r>
        <w:t>the</w:t>
      </w:r>
      <w:r w:rsidRPr="00C35357">
        <w:t xml:space="preserve"> </w:t>
      </w:r>
      <w:r>
        <w:t>trial-based KM curve of the pembrolizumab + PC arm from the LIBRETTO-431 trial.</w:t>
      </w:r>
    </w:p>
    <w:p w14:paraId="131ABABC" w14:textId="2A630943" w:rsidR="00487DEF" w:rsidRDefault="002D7804" w:rsidP="002D7804">
      <w:pPr>
        <w:pStyle w:val="3-BodyText"/>
        <w:widowControl w:val="0"/>
      </w:pPr>
      <w:bookmarkStart w:id="62" w:name="_Ref164687699"/>
      <w:r>
        <w:t xml:space="preserve">The resubmission claimed that the modelled </w:t>
      </w:r>
      <w:r w:rsidR="00C56125">
        <w:t xml:space="preserve">selpercatinib </w:t>
      </w:r>
      <w:r>
        <w:t xml:space="preserve">PFS curve </w:t>
      </w:r>
      <w:r w:rsidR="00A52A9F">
        <w:t xml:space="preserve">using </w:t>
      </w:r>
      <w:r>
        <w:t xml:space="preserve">the MAIC 2 model (thick orange line) aligned with the trial-based </w:t>
      </w:r>
      <w:r w:rsidR="00DC5357">
        <w:t xml:space="preserve">selpercatinib </w:t>
      </w:r>
      <w:r>
        <w:t xml:space="preserve">Kaplan-Meier curve from the LIBRETTO-431 trial (thin orange line). </w:t>
      </w:r>
      <w:r w:rsidRPr="007A7229">
        <w:t xml:space="preserve">This was reasonable for the Kaplan-Meier curve prior to 22 months (median follow-up at June 2021 data cut). Beyond 22 months, the LIBRETTO-431 trial Kaplan-Meier curve was consistently higher than that of the MAIC 2 model. </w:t>
      </w:r>
      <w:r w:rsidR="00B20EB7" w:rsidRPr="007A7229">
        <w:t>This difference may be inconsequential given the small number of patients remaining progression-free at 22 months.</w:t>
      </w:r>
      <w:r>
        <w:t xml:space="preserve"> </w:t>
      </w:r>
    </w:p>
    <w:p w14:paraId="6A7C0799" w14:textId="44F48B5A" w:rsidR="002D7804" w:rsidRPr="007A7229" w:rsidRDefault="002D7804" w:rsidP="00BC5A69">
      <w:pPr>
        <w:pStyle w:val="3-BodyText"/>
      </w:pPr>
      <w:r>
        <w:t xml:space="preserve">The resubmission claimed that the modelled </w:t>
      </w:r>
      <w:r w:rsidR="00B235B4">
        <w:t xml:space="preserve">pembrolizumab + PC </w:t>
      </w:r>
      <w:r>
        <w:t xml:space="preserve">PFS curve </w:t>
      </w:r>
      <w:r w:rsidR="00B235B4">
        <w:t>using</w:t>
      </w:r>
      <w:r>
        <w:t xml:space="preserve"> the MAIC 2 model (thick yellow line) aligned with the trial-based</w:t>
      </w:r>
      <w:r w:rsidR="00DC5357">
        <w:t xml:space="preserve"> pembrolizumab + PC</w:t>
      </w:r>
      <w:r>
        <w:t xml:space="preserve"> Kaplan-Meier curve from the LIBRETTO-431 trial (thin blue line).</w:t>
      </w:r>
      <w:bookmarkEnd w:id="62"/>
      <w:r w:rsidR="0058610A">
        <w:t xml:space="preserve"> </w:t>
      </w:r>
      <w:r w:rsidRPr="007A7229">
        <w:t xml:space="preserve">The modelled median PFS for pembrolizumab + PC was higher in the MAIC 2 model (12.43 months) compared to the LIBRETTO-431 trial (11.17 months), and the </w:t>
      </w:r>
      <w:r w:rsidR="0058610A">
        <w:t xml:space="preserve">modelled </w:t>
      </w:r>
      <w:r w:rsidRPr="007A7229">
        <w:t xml:space="preserve">incremental gain in median PFS was lower </w:t>
      </w:r>
      <w:r w:rsidR="0058610A">
        <w:t xml:space="preserve">than in the LIBRETTO-431 trial </w:t>
      </w:r>
      <w:r w:rsidRPr="007A7229">
        <w:t>(12.19 months v</w:t>
      </w:r>
      <w:r w:rsidR="00C27864">
        <w:t>ersu</w:t>
      </w:r>
      <w:r w:rsidRPr="007A7229">
        <w:t>s 13.67 months, respectively).</w:t>
      </w:r>
    </w:p>
    <w:p w14:paraId="2DC538CD" w14:textId="59D1D775" w:rsidR="002D7804" w:rsidRDefault="002D7804" w:rsidP="002D7804">
      <w:pPr>
        <w:pStyle w:val="Caption"/>
      </w:pPr>
      <w:bookmarkStart w:id="63" w:name="_Ref164110428"/>
      <w:r>
        <w:lastRenderedPageBreak/>
        <w:t xml:space="preserve">Figure </w:t>
      </w:r>
      <w:r w:rsidR="00BA56FF">
        <w:fldChar w:fldCharType="begin" w:fldLock="1"/>
      </w:r>
      <w:r w:rsidR="00BA56FF">
        <w:instrText xml:space="preserve"> SEQ Figure \* ARABIC </w:instrText>
      </w:r>
      <w:r w:rsidR="00BA56FF">
        <w:fldChar w:fldCharType="separate"/>
      </w:r>
      <w:r w:rsidR="00F979CE">
        <w:rPr>
          <w:noProof/>
        </w:rPr>
        <w:t>6</w:t>
      </w:r>
      <w:r w:rsidR="00BA56FF">
        <w:rPr>
          <w:noProof/>
        </w:rPr>
        <w:fldChar w:fldCharType="end"/>
      </w:r>
      <w:bookmarkEnd w:id="63"/>
      <w:r>
        <w:t xml:space="preserve">: </w:t>
      </w:r>
      <w:r w:rsidRPr="009856D6">
        <w:t>Overlay of modelled OS (MAIC 2 model) with the LIBRETTO-431 trial</w:t>
      </w:r>
    </w:p>
    <w:p w14:paraId="0220E85E" w14:textId="63BD9FD7" w:rsidR="002D7804" w:rsidRDefault="002D7804" w:rsidP="002D7804">
      <w:pPr>
        <w:pStyle w:val="TableFigureFooter"/>
      </w:pPr>
      <w:r>
        <w:rPr>
          <w:noProof/>
        </w:rPr>
        <w:drawing>
          <wp:inline distT="0" distB="0" distL="0" distR="0" wp14:anchorId="54497800" wp14:editId="561A462A">
            <wp:extent cx="5677444" cy="1668455"/>
            <wp:effectExtent l="0" t="0" r="0" b="8255"/>
            <wp:docPr id="1642379072" name="Picture 3" descr="Figure 6: Overlay of modelled OS (MAIC 2 model) with the LIBRETTO-431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79072" name="Picture 3" descr="Figure 6: Overlay of modelled OS (MAIC 2 model) with the LIBRETTO-431 trial"/>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06623" cy="1677030"/>
                    </a:xfrm>
                    <a:prstGeom prst="rect">
                      <a:avLst/>
                    </a:prstGeom>
                    <a:noFill/>
                    <a:ln>
                      <a:noFill/>
                    </a:ln>
                    <a:extLst>
                      <a:ext uri="{53640926-AAD7-44D8-BBD7-CCE9431645EC}">
                        <a14:shadowObscured xmlns:a14="http://schemas.microsoft.com/office/drawing/2010/main"/>
                      </a:ext>
                    </a:extLst>
                  </pic:spPr>
                </pic:pic>
              </a:graphicData>
            </a:graphic>
          </wp:inline>
        </w:drawing>
      </w:r>
    </w:p>
    <w:p w14:paraId="13F7A3AD" w14:textId="30660BBF" w:rsidR="006B46AC" w:rsidRDefault="006B46AC" w:rsidP="002D7804">
      <w:pPr>
        <w:pStyle w:val="TableFigureFooter"/>
      </w:pPr>
      <w:r w:rsidRPr="00BD24F2">
        <w:rPr>
          <w:noProof/>
        </w:rPr>
        <w:drawing>
          <wp:inline distT="0" distB="0" distL="0" distR="0" wp14:anchorId="55DD78D3" wp14:editId="6C34FEFF">
            <wp:extent cx="5148375" cy="594792"/>
            <wp:effectExtent l="0" t="0" r="0" b="0"/>
            <wp:docPr id="15955155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5400" b="26974"/>
                    <a:stretch/>
                  </pic:blipFill>
                  <pic:spPr bwMode="auto">
                    <a:xfrm>
                      <a:off x="0" y="0"/>
                      <a:ext cx="5277847" cy="609750"/>
                    </a:xfrm>
                    <a:prstGeom prst="rect">
                      <a:avLst/>
                    </a:prstGeom>
                    <a:noFill/>
                    <a:ln>
                      <a:noFill/>
                    </a:ln>
                    <a:extLst>
                      <a:ext uri="{53640926-AAD7-44D8-BBD7-CCE9431645EC}">
                        <a14:shadowObscured xmlns:a14="http://schemas.microsoft.com/office/drawing/2010/main"/>
                      </a:ext>
                    </a:extLst>
                  </pic:spPr>
                </pic:pic>
              </a:graphicData>
            </a:graphic>
          </wp:inline>
        </w:drawing>
      </w:r>
    </w:p>
    <w:p w14:paraId="69632C20" w14:textId="7CA9F5E9" w:rsidR="006B46AC" w:rsidRDefault="008E0744" w:rsidP="002D7804">
      <w:pPr>
        <w:pStyle w:val="TableFigureFooter"/>
      </w:pPr>
      <w:r w:rsidRPr="00862101">
        <w:rPr>
          <w:noProof/>
        </w:rPr>
        <w:drawing>
          <wp:inline distT="0" distB="0" distL="0" distR="0" wp14:anchorId="6987D3E5" wp14:editId="2854EEB2">
            <wp:extent cx="5732145" cy="302806"/>
            <wp:effectExtent l="0" t="0" r="0" b="2540"/>
            <wp:docPr id="21398007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1787" b="36162"/>
                    <a:stretch/>
                  </pic:blipFill>
                  <pic:spPr bwMode="auto">
                    <a:xfrm>
                      <a:off x="0" y="0"/>
                      <a:ext cx="5732145" cy="302806"/>
                    </a:xfrm>
                    <a:prstGeom prst="rect">
                      <a:avLst/>
                    </a:prstGeom>
                    <a:noFill/>
                    <a:ln>
                      <a:noFill/>
                    </a:ln>
                    <a:extLst>
                      <a:ext uri="{53640926-AAD7-44D8-BBD7-CCE9431645EC}">
                        <a14:shadowObscured xmlns:a14="http://schemas.microsoft.com/office/drawing/2010/main"/>
                      </a:ext>
                    </a:extLst>
                  </pic:spPr>
                </pic:pic>
              </a:graphicData>
            </a:graphic>
          </wp:inline>
        </w:drawing>
      </w:r>
    </w:p>
    <w:p w14:paraId="437F1419" w14:textId="77777777" w:rsidR="002D7804" w:rsidRDefault="002D7804" w:rsidP="002D7804">
      <w:pPr>
        <w:pStyle w:val="TableFigureFooter"/>
      </w:pPr>
      <w:r>
        <w:t>Source: Figure 3-13, p139 of the resubmission.</w:t>
      </w:r>
    </w:p>
    <w:p w14:paraId="7D32D487" w14:textId="7AF5A7EA" w:rsidR="002D7804" w:rsidRDefault="002D7804" w:rsidP="002D7804">
      <w:pPr>
        <w:pStyle w:val="TableFigureFooter"/>
      </w:pPr>
      <w:r w:rsidRPr="006A18BE">
        <w:t>KM</w:t>
      </w:r>
      <w:r>
        <w:t xml:space="preserve"> =</w:t>
      </w:r>
      <w:r w:rsidRPr="006A18BE">
        <w:t xml:space="preserve"> Kaplan-Meier; MAIC</w:t>
      </w:r>
      <w:r>
        <w:t xml:space="preserve"> = matching</w:t>
      </w:r>
      <w:r w:rsidRPr="006A18BE">
        <w:t xml:space="preserve">-adjusted indirect comparison; </w:t>
      </w:r>
      <w:r w:rsidR="00BC5A69">
        <w:t>O</w:t>
      </w:r>
      <w:r w:rsidR="00BC5A69" w:rsidRPr="006A18BE">
        <w:t>S</w:t>
      </w:r>
      <w:r w:rsidR="00BC5A69">
        <w:t xml:space="preserve"> =</w:t>
      </w:r>
      <w:r w:rsidR="00BC5A69" w:rsidRPr="006A18BE">
        <w:t xml:space="preserve"> </w:t>
      </w:r>
      <w:r w:rsidR="00BC5A69">
        <w:t>overall</w:t>
      </w:r>
      <w:r w:rsidR="00BC5A69" w:rsidRPr="006A18BE">
        <w:t xml:space="preserve"> survival</w:t>
      </w:r>
      <w:r w:rsidR="00BC5A69">
        <w:t>;</w:t>
      </w:r>
      <w:r w:rsidR="00BC5A69" w:rsidRPr="006A18BE">
        <w:t xml:space="preserve"> </w:t>
      </w:r>
      <w:r w:rsidRPr="006A18BE">
        <w:t>pembro+pem+plat</w:t>
      </w:r>
      <w:r>
        <w:t xml:space="preserve"> = </w:t>
      </w:r>
      <w:r w:rsidRPr="006A18BE">
        <w:t xml:space="preserve">pembrolizumab plus pemetrexed plus </w:t>
      </w:r>
      <w:r>
        <w:t>platinum-based doublet chemotherapy</w:t>
      </w:r>
    </w:p>
    <w:p w14:paraId="221040E5" w14:textId="77777777" w:rsidR="002D7804" w:rsidRDefault="002D7804" w:rsidP="002D7804">
      <w:pPr>
        <w:pStyle w:val="TableFigureFooter"/>
      </w:pPr>
      <w:r w:rsidRPr="00E2432E">
        <w:rPr>
          <w:b/>
          <w:color w:val="FF0000"/>
        </w:rPr>
        <w:t>Thick red line</w:t>
      </w:r>
      <w:r w:rsidRPr="00E2432E">
        <w:rPr>
          <w:color w:val="FF0000"/>
        </w:rPr>
        <w:t xml:space="preserve"> </w:t>
      </w:r>
      <w:r>
        <w:t>denoted the trial-based KM curve of the selpercatinib arm from the LIBRETTO-001 study (June 2021 data cut).</w:t>
      </w:r>
    </w:p>
    <w:p w14:paraId="649662C9" w14:textId="77777777" w:rsidR="002D7804" w:rsidRDefault="002D7804" w:rsidP="002D7804">
      <w:pPr>
        <w:pStyle w:val="TableFigureFooter"/>
      </w:pPr>
      <w:r w:rsidRPr="00E2432E">
        <w:rPr>
          <w:color w:val="FA6F44"/>
        </w:rPr>
        <w:t xml:space="preserve">Thin orange line </w:t>
      </w:r>
      <w:r>
        <w:t>denoted the</w:t>
      </w:r>
      <w:r w:rsidRPr="006D7CBA">
        <w:t xml:space="preserve"> </w:t>
      </w:r>
      <w:r>
        <w:t>trial-based KM curve of the selpercatinib arm</w:t>
      </w:r>
      <w:r w:rsidRPr="00C35357">
        <w:t xml:space="preserve"> </w:t>
      </w:r>
      <w:r>
        <w:t>from the LIBRETTO-431 trial.</w:t>
      </w:r>
    </w:p>
    <w:p w14:paraId="7858B1CD" w14:textId="77777777" w:rsidR="002D7804" w:rsidRDefault="002D7804" w:rsidP="002D7804">
      <w:pPr>
        <w:pStyle w:val="TableFigureFooter"/>
      </w:pPr>
      <w:r w:rsidRPr="00E2432E">
        <w:rPr>
          <w:b/>
          <w:color w:val="E36C0A" w:themeColor="accent6" w:themeShade="BF"/>
        </w:rPr>
        <w:t>Thick orange line</w:t>
      </w:r>
      <w:r w:rsidRPr="00E2432E">
        <w:rPr>
          <w:color w:val="E36C0A" w:themeColor="accent6" w:themeShade="BF"/>
        </w:rPr>
        <w:t xml:space="preserve"> </w:t>
      </w:r>
      <w:r>
        <w:t>denoted the modelled selpercatinib OS curve based on the MAIC 2 model.</w:t>
      </w:r>
    </w:p>
    <w:p w14:paraId="7DA9FE2E" w14:textId="77777777" w:rsidR="002D7804" w:rsidRDefault="002D7804" w:rsidP="002D7804">
      <w:pPr>
        <w:pStyle w:val="TableFigureFooter"/>
      </w:pPr>
      <w:r w:rsidRPr="001471E1">
        <w:rPr>
          <w:b/>
          <w:bCs/>
          <w:color w:val="FFC000"/>
        </w:rPr>
        <w:t>Thick yellow line</w:t>
      </w:r>
      <w:r w:rsidRPr="00E2432E">
        <w:rPr>
          <w:color w:val="FFC000"/>
        </w:rPr>
        <w:t xml:space="preserve"> </w:t>
      </w:r>
      <w:r>
        <w:t>denoted the</w:t>
      </w:r>
      <w:r w:rsidRPr="00C35357">
        <w:t xml:space="preserve"> </w:t>
      </w:r>
      <w:r>
        <w:t>modelled pembrolizumab + PC OS curve based on the MAIC 2 model.</w:t>
      </w:r>
    </w:p>
    <w:p w14:paraId="7D891C86" w14:textId="77777777" w:rsidR="002D7804" w:rsidRDefault="002D7804" w:rsidP="002D7804">
      <w:pPr>
        <w:pStyle w:val="TableFigureFooter"/>
      </w:pPr>
      <w:r w:rsidRPr="00E2432E">
        <w:rPr>
          <w:color w:val="2852C8"/>
        </w:rPr>
        <w:t xml:space="preserve">Thin blue line </w:t>
      </w:r>
      <w:r>
        <w:t>denoted</w:t>
      </w:r>
      <w:r w:rsidRPr="00C35357">
        <w:t xml:space="preserve"> </w:t>
      </w:r>
      <w:r>
        <w:t>the</w:t>
      </w:r>
      <w:r w:rsidRPr="00C35357">
        <w:t xml:space="preserve"> </w:t>
      </w:r>
      <w:r>
        <w:t>trial-based KM curve of the pembrolizumab + PC arm from the LIBRETTO-431 trial.</w:t>
      </w:r>
    </w:p>
    <w:p w14:paraId="44EC5EAD" w14:textId="1D493C5D" w:rsidR="00487DEF" w:rsidRPr="00F13699" w:rsidRDefault="002D7804" w:rsidP="002D7804">
      <w:pPr>
        <w:pStyle w:val="3-BodyText"/>
        <w:widowControl w:val="0"/>
      </w:pPr>
      <w:r>
        <w:t xml:space="preserve">The resubmission claimed that the modelled </w:t>
      </w:r>
      <w:r w:rsidR="00F37D3F">
        <w:t xml:space="preserve">selpercatinib </w:t>
      </w:r>
      <w:r>
        <w:t xml:space="preserve">OS curve </w:t>
      </w:r>
      <w:r w:rsidR="001A620D">
        <w:t xml:space="preserve">using </w:t>
      </w:r>
      <w:r>
        <w:t xml:space="preserve">the MAIC 2 model (thick orange line) aligned with the trial-based </w:t>
      </w:r>
      <w:r w:rsidR="00DC5357">
        <w:t xml:space="preserve">selpercatinib </w:t>
      </w:r>
      <w:r>
        <w:t xml:space="preserve">Kaplan-Meier curve from the LIBRETTO-431 trial (thin orange line). </w:t>
      </w:r>
      <w:r w:rsidRPr="007A7229">
        <w:t xml:space="preserve">The trial-based Kaplan-Meier curve from the LIBRETTO-431 trial was consistently higher </w:t>
      </w:r>
      <w:r w:rsidR="00F13699">
        <w:t xml:space="preserve">than </w:t>
      </w:r>
      <w:r w:rsidRPr="007A7229">
        <w:t xml:space="preserve">the modelled </w:t>
      </w:r>
      <w:r w:rsidR="000F16C3">
        <w:t xml:space="preserve">selpercatinib </w:t>
      </w:r>
      <w:r w:rsidRPr="007A7229">
        <w:t xml:space="preserve">OS </w:t>
      </w:r>
      <w:r w:rsidR="000F16C3">
        <w:t>curve</w:t>
      </w:r>
      <w:r w:rsidRPr="000052DB">
        <w:rPr>
          <w:i/>
          <w:iCs/>
        </w:rPr>
        <w:t>.</w:t>
      </w:r>
      <w:r>
        <w:rPr>
          <w:i/>
          <w:iCs/>
        </w:rPr>
        <w:t xml:space="preserve"> </w:t>
      </w:r>
    </w:p>
    <w:p w14:paraId="10183D97" w14:textId="4FF54776" w:rsidR="002D7804" w:rsidRPr="007A7229" w:rsidRDefault="002D7804" w:rsidP="002D7804">
      <w:pPr>
        <w:pStyle w:val="3-BodyText"/>
        <w:widowControl w:val="0"/>
      </w:pPr>
      <w:r w:rsidRPr="007A7229">
        <w:t xml:space="preserve">The trial-based Kaplan-Meier curve from the LIBRETTO-431 trial was consistently higher than the modelled </w:t>
      </w:r>
      <w:r w:rsidR="008B2E27" w:rsidRPr="007A7229">
        <w:t xml:space="preserve">pembrolizumab + PC </w:t>
      </w:r>
      <w:r w:rsidRPr="007A7229">
        <w:t xml:space="preserve">OS </w:t>
      </w:r>
      <w:r w:rsidR="008B2E27">
        <w:t xml:space="preserve">curve. This </w:t>
      </w:r>
      <w:r w:rsidRPr="007A7229">
        <w:t xml:space="preserve">can be explained by the high level of cross-over of </w:t>
      </w:r>
      <w:r w:rsidR="00364C6C">
        <w:rPr>
          <w:snapToGrid/>
          <w:lang w:val="en-US"/>
        </w:rPr>
        <w:t>patients</w:t>
      </w:r>
      <w:r w:rsidRPr="007A7229">
        <w:t xml:space="preserve"> from the pembrolizumab + PC arm to the selpercatinib arm in the LIBRETTO-431 trial.</w:t>
      </w:r>
      <w:r w:rsidR="00854383" w:rsidRPr="007A7229">
        <w:t xml:space="preserve"> Overall, the OS</w:t>
      </w:r>
      <w:r w:rsidR="00320C95" w:rsidRPr="007A7229">
        <w:t xml:space="preserve"> estimates remain uncertain.</w:t>
      </w:r>
    </w:p>
    <w:p w14:paraId="45A2F7D2" w14:textId="5778E4F1" w:rsidR="00D20497" w:rsidRPr="007A7229" w:rsidRDefault="00D20497" w:rsidP="00D20497">
      <w:pPr>
        <w:pStyle w:val="3-BodyText"/>
        <w:widowControl w:val="0"/>
      </w:pPr>
      <w:bookmarkStart w:id="64" w:name="_Ref173245670"/>
      <w:bookmarkStart w:id="65" w:name="_Ref165983272"/>
      <w:r w:rsidRPr="007A7229">
        <w:t xml:space="preserve">The resubmission did not provide </w:t>
      </w:r>
      <w:r w:rsidR="00220C5A" w:rsidRPr="007A7229">
        <w:t xml:space="preserve">TTD </w:t>
      </w:r>
      <w:r w:rsidR="00E20F82">
        <w:t>data</w:t>
      </w:r>
      <w:r w:rsidR="007E1FF2">
        <w:t xml:space="preserve"> </w:t>
      </w:r>
      <w:r w:rsidRPr="007A7229">
        <w:t>for selpercatinib from the LIBRETTO-431 trial</w:t>
      </w:r>
      <w:r w:rsidR="0033776F">
        <w:t xml:space="preserve"> or from the later data cut of the LIBRETTO-001 study</w:t>
      </w:r>
      <w:r w:rsidRPr="007A7229">
        <w:t xml:space="preserve">. </w:t>
      </w:r>
      <w:r w:rsidR="00FB5B3B" w:rsidRPr="007A7229">
        <w:t>T</w:t>
      </w:r>
      <w:r w:rsidRPr="007A7229">
        <w:t xml:space="preserve">he TTD </w:t>
      </w:r>
      <w:r w:rsidR="00E20F82">
        <w:t>for</w:t>
      </w:r>
      <w:r w:rsidR="00E20F82" w:rsidRPr="007A7229">
        <w:t xml:space="preserve"> </w:t>
      </w:r>
      <w:r w:rsidRPr="007A7229">
        <w:t xml:space="preserve">selpercatinib </w:t>
      </w:r>
      <w:r w:rsidR="00E20F82">
        <w:t>applied</w:t>
      </w:r>
      <w:r w:rsidR="00E20F82" w:rsidRPr="007A7229">
        <w:t xml:space="preserve"> </w:t>
      </w:r>
      <w:r w:rsidR="00FB5B3B" w:rsidRPr="007A7229">
        <w:t xml:space="preserve">in the economic model remained the same as the July 2023 submission and </w:t>
      </w:r>
      <w:r w:rsidRPr="007A7229">
        <w:t>was based on the LIBRETTO-001 study (June 2021 data cut).</w:t>
      </w:r>
      <w:bookmarkEnd w:id="64"/>
    </w:p>
    <w:p w14:paraId="05CF0CCC" w14:textId="69B843DA" w:rsidR="00D2399C" w:rsidRPr="007A7229" w:rsidRDefault="00D2399C" w:rsidP="002D7804">
      <w:pPr>
        <w:pStyle w:val="3-BodyText"/>
        <w:widowControl w:val="0"/>
      </w:pPr>
      <w:r w:rsidRPr="001471E1">
        <w:t>The resubmission doubled the TTD for later-line pembrolizumab therapy</w:t>
      </w:r>
      <w:r w:rsidR="00FB5B3B" w:rsidRPr="001471E1">
        <w:t xml:space="preserve">, </w:t>
      </w:r>
      <w:r w:rsidR="00A07A88">
        <w:t xml:space="preserve">from </w:t>
      </w:r>
      <w:r w:rsidR="00D8109E">
        <w:t xml:space="preserve">5.65 treatment cycles to 11.31 cycles. This aligned with the </w:t>
      </w:r>
      <w:r w:rsidRPr="001471E1">
        <w:t>re-specifi</w:t>
      </w:r>
      <w:r w:rsidR="00FB5B3B" w:rsidRPr="001471E1">
        <w:t>ed</w:t>
      </w:r>
      <w:r w:rsidRPr="001471E1">
        <w:t xml:space="preserve"> base case </w:t>
      </w:r>
      <w:r w:rsidR="00FB5B3B" w:rsidRPr="001471E1">
        <w:t xml:space="preserve">proposed </w:t>
      </w:r>
      <w:r w:rsidR="00C72D51">
        <w:t>during</w:t>
      </w:r>
      <w:r w:rsidR="00FB5B3B" w:rsidRPr="001471E1">
        <w:t xml:space="preserve"> the </w:t>
      </w:r>
      <w:r w:rsidR="00C72D51">
        <w:t xml:space="preserve">evaluation of the </w:t>
      </w:r>
      <w:r w:rsidR="00FB5B3B" w:rsidRPr="001471E1">
        <w:t xml:space="preserve">July 2023 </w:t>
      </w:r>
      <w:r w:rsidR="00C72D51">
        <w:t>submission</w:t>
      </w:r>
      <w:r w:rsidR="00FB5B3B" w:rsidRPr="001471E1">
        <w:t xml:space="preserve"> </w:t>
      </w:r>
      <w:r w:rsidRPr="001471E1">
        <w:t>(para</w:t>
      </w:r>
      <w:r w:rsidR="00A07A88">
        <w:t>graph</w:t>
      </w:r>
      <w:r w:rsidRPr="001471E1">
        <w:t xml:space="preserve"> 6.82, selpercatinib, PSD, July 2023 PBAC meeting).</w:t>
      </w:r>
      <w:r w:rsidRPr="00D2399C">
        <w:rPr>
          <w:i/>
          <w:iCs/>
        </w:rPr>
        <w:t xml:space="preserve"> </w:t>
      </w:r>
      <w:bookmarkEnd w:id="65"/>
    </w:p>
    <w:p w14:paraId="0CFF758B" w14:textId="4BFE1827" w:rsidR="002D7804" w:rsidRPr="007A7229" w:rsidRDefault="002D7804" w:rsidP="002D7804">
      <w:pPr>
        <w:pStyle w:val="3-BodyText"/>
      </w:pPr>
      <w:bookmarkStart w:id="66" w:name="_Ref164687646"/>
      <w:r w:rsidRPr="007A7229">
        <w:t xml:space="preserve">Overall, the </w:t>
      </w:r>
      <w:r w:rsidR="004D10CD" w:rsidRPr="00861BF1">
        <w:t xml:space="preserve">evaluation noted the </w:t>
      </w:r>
      <w:r w:rsidRPr="00861BF1">
        <w:t>survival</w:t>
      </w:r>
      <w:r w:rsidRPr="007A7229">
        <w:t xml:space="preserve"> outcomes </w:t>
      </w:r>
      <w:r w:rsidR="0058610A">
        <w:t xml:space="preserve">(PFS and OS) </w:t>
      </w:r>
      <w:r w:rsidRPr="007A7229">
        <w:t xml:space="preserve">in the selpercatinib arm of the MAIC 2 model aligned with the LIBRETTO-001 study (June 2021 and January 2023 data cut) and the LIBRETTO-431 trial. Alignment with the LIBRETTO-001 study </w:t>
      </w:r>
      <w:r w:rsidRPr="007A7229">
        <w:lastRenderedPageBreak/>
        <w:t>was anticipated given that the selpercatinib population in the MAIC 2 model was derived from the LIBRETTO-001 study. The alignment with the LIBRETTO-431 trial provides some external validity for the modelled PFS and OS results</w:t>
      </w:r>
      <w:r w:rsidR="006319EB" w:rsidRPr="007A7229">
        <w:t xml:space="preserve"> for the selpercatinib population</w:t>
      </w:r>
      <w:r w:rsidRPr="007A7229">
        <w:t xml:space="preserve">. </w:t>
      </w:r>
      <w:r w:rsidR="004D10CD">
        <w:t>In contra</w:t>
      </w:r>
      <w:r w:rsidR="00DB060E">
        <w:t>s</w:t>
      </w:r>
      <w:r w:rsidR="004D10CD">
        <w:t xml:space="preserve">t, </w:t>
      </w:r>
      <w:r w:rsidRPr="007A7229">
        <w:t xml:space="preserve">the survival outcomes in the pembrolizumab + PC arm remain uncertain. The MAIC 2 model was estimated using the KN-189 trial in which the </w:t>
      </w:r>
      <w:r w:rsidRPr="00F13699">
        <w:rPr>
          <w:i/>
          <w:iCs/>
        </w:rPr>
        <w:t xml:space="preserve">RET </w:t>
      </w:r>
      <w:r w:rsidRPr="007A7229">
        <w:t xml:space="preserve">fusion status was unknown. Comparing </w:t>
      </w:r>
      <w:r w:rsidR="00BC5A69">
        <w:t xml:space="preserve">OS </w:t>
      </w:r>
      <w:r w:rsidRPr="007A7229">
        <w:t>outcomes for the pembrolizumab + PC arm with the LIBRETTO-431 trial was not possible due to crossover in the LIBRETTO-431 trial.</w:t>
      </w:r>
      <w:bookmarkEnd w:id="66"/>
    </w:p>
    <w:p w14:paraId="3F4D0500" w14:textId="3F4E9C70" w:rsidR="002D7804" w:rsidRDefault="002D7804" w:rsidP="002D7804">
      <w:pPr>
        <w:pStyle w:val="3-BodyText"/>
      </w:pPr>
      <w:r w:rsidRPr="00770AC5">
        <w:t xml:space="preserve">The </w:t>
      </w:r>
      <w:r>
        <w:t xml:space="preserve">key drivers of the model are outlined in </w:t>
      </w:r>
      <w:r>
        <w:fldChar w:fldCharType="begin" w:fldLock="1"/>
      </w:r>
      <w:r>
        <w:instrText xml:space="preserve"> REF _Ref164120513 \h </w:instrText>
      </w:r>
      <w:r>
        <w:fldChar w:fldCharType="separate"/>
      </w:r>
      <w:r w:rsidR="00F979CE">
        <w:t xml:space="preserve">Table </w:t>
      </w:r>
      <w:r w:rsidR="00F979CE">
        <w:rPr>
          <w:noProof/>
        </w:rPr>
        <w:t>11</w:t>
      </w:r>
      <w:r>
        <w:fldChar w:fldCharType="end"/>
      </w:r>
      <w:r>
        <w:t>.</w:t>
      </w:r>
    </w:p>
    <w:p w14:paraId="08C5B0FD" w14:textId="5A96112B" w:rsidR="002D7804" w:rsidRDefault="002D7804" w:rsidP="002D7804">
      <w:pPr>
        <w:pStyle w:val="Caption"/>
      </w:pPr>
      <w:bookmarkStart w:id="67" w:name="_Ref164120513"/>
      <w:r>
        <w:t xml:space="preserve">Table </w:t>
      </w:r>
      <w:r w:rsidR="00BA56FF">
        <w:fldChar w:fldCharType="begin" w:fldLock="1"/>
      </w:r>
      <w:r w:rsidR="00BA56FF">
        <w:instrText xml:space="preserve"> SEQ Table \* ARABIC </w:instrText>
      </w:r>
      <w:r w:rsidR="00BA56FF">
        <w:fldChar w:fldCharType="separate"/>
      </w:r>
      <w:r w:rsidR="00F979CE">
        <w:rPr>
          <w:noProof/>
        </w:rPr>
        <w:t>11</w:t>
      </w:r>
      <w:r w:rsidR="00BA56FF">
        <w:rPr>
          <w:noProof/>
        </w:rPr>
        <w:fldChar w:fldCharType="end"/>
      </w:r>
      <w:bookmarkEnd w:id="67"/>
      <w:r>
        <w:t>: Key drivers of the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economic model"/>
      </w:tblPr>
      <w:tblGrid>
        <w:gridCol w:w="1271"/>
        <w:gridCol w:w="5102"/>
        <w:gridCol w:w="2644"/>
      </w:tblGrid>
      <w:tr w:rsidR="00C60BC0" w:rsidRPr="003D1DE4" w14:paraId="0BB47061" w14:textId="77777777" w:rsidTr="00F91CD4">
        <w:trPr>
          <w:tblHeader/>
        </w:trPr>
        <w:tc>
          <w:tcPr>
            <w:tcW w:w="705" w:type="pct"/>
            <w:shd w:val="clear" w:color="auto" w:fill="auto"/>
            <w:vAlign w:val="center"/>
          </w:tcPr>
          <w:p w14:paraId="2323812D" w14:textId="77777777" w:rsidR="002D7804" w:rsidRPr="00271554" w:rsidRDefault="002D7804">
            <w:pPr>
              <w:pStyle w:val="In-tableHeading"/>
              <w:jc w:val="center"/>
              <w:rPr>
                <w:lang w:val="en-AU"/>
              </w:rPr>
            </w:pPr>
            <w:r w:rsidRPr="00271554">
              <w:rPr>
                <w:lang w:val="en-AU"/>
              </w:rPr>
              <w:t>Description</w:t>
            </w:r>
          </w:p>
        </w:tc>
        <w:tc>
          <w:tcPr>
            <w:tcW w:w="2829" w:type="pct"/>
            <w:shd w:val="clear" w:color="auto" w:fill="auto"/>
            <w:vAlign w:val="center"/>
          </w:tcPr>
          <w:p w14:paraId="241F55B8" w14:textId="77777777" w:rsidR="002D7804" w:rsidRPr="00271554" w:rsidRDefault="002D7804">
            <w:pPr>
              <w:pStyle w:val="In-tableHeading"/>
              <w:jc w:val="center"/>
              <w:rPr>
                <w:lang w:val="en-AU"/>
              </w:rPr>
            </w:pPr>
            <w:r w:rsidRPr="00271554">
              <w:rPr>
                <w:lang w:val="en-AU"/>
              </w:rPr>
              <w:t>Method/Value</w:t>
            </w:r>
          </w:p>
        </w:tc>
        <w:tc>
          <w:tcPr>
            <w:tcW w:w="1466" w:type="pct"/>
            <w:shd w:val="clear" w:color="auto" w:fill="auto"/>
            <w:vAlign w:val="center"/>
          </w:tcPr>
          <w:p w14:paraId="61283A6D" w14:textId="77777777" w:rsidR="002D7804" w:rsidRPr="00271554" w:rsidRDefault="002D7804">
            <w:pPr>
              <w:pStyle w:val="In-tableHeading"/>
              <w:jc w:val="center"/>
              <w:rPr>
                <w:lang w:val="en-AU"/>
              </w:rPr>
            </w:pPr>
            <w:r w:rsidRPr="00271554">
              <w:rPr>
                <w:lang w:val="en-AU"/>
              </w:rPr>
              <w:t>Impact</w:t>
            </w:r>
          </w:p>
          <w:p w14:paraId="5F56457B" w14:textId="1B719F01" w:rsidR="002D7804" w:rsidRPr="00271554" w:rsidRDefault="002D7804">
            <w:pPr>
              <w:pStyle w:val="In-tableHeading"/>
              <w:jc w:val="center"/>
              <w:rPr>
                <w:lang w:val="en-AU"/>
              </w:rPr>
            </w:pPr>
            <w:r w:rsidRPr="00271554">
              <w:rPr>
                <w:rFonts w:cs="Arial"/>
                <w:szCs w:val="20"/>
                <w:lang w:val="en-AU"/>
              </w:rPr>
              <w:t>Base case: $</w:t>
            </w:r>
            <w:r w:rsidR="00DA3714" w:rsidRPr="00DA3714">
              <w:rPr>
                <w:rFonts w:cs="Arial" w:hint="eastAsia"/>
                <w:color w:val="000000"/>
                <w:w w:val="15"/>
                <w:szCs w:val="20"/>
                <w:shd w:val="solid" w:color="000000" w:fill="000000"/>
                <w:fitText w:val="60" w:id="-893663479"/>
                <w:lang w:val="en-AU"/>
                <w14:textFill>
                  <w14:solidFill>
                    <w14:srgbClr w14:val="000000">
                      <w14:alpha w14:val="100000"/>
                    </w14:srgbClr>
                  </w14:solidFill>
                </w14:textFill>
              </w:rPr>
              <w:t xml:space="preserve">　</w:t>
            </w:r>
            <w:r w:rsidR="00DA3714" w:rsidRPr="00DA3714">
              <w:rPr>
                <w:rFonts w:cs="Arial"/>
                <w:color w:val="000000"/>
                <w:w w:val="15"/>
                <w:szCs w:val="20"/>
                <w:shd w:val="solid" w:color="000000" w:fill="000000"/>
                <w:fitText w:val="60" w:id="-893663479"/>
                <w:lang w:val="en-AU"/>
                <w14:textFill>
                  <w14:solidFill>
                    <w14:srgbClr w14:val="000000">
                      <w14:alpha w14:val="100000"/>
                    </w14:srgbClr>
                  </w14:solidFill>
                </w14:textFill>
              </w:rPr>
              <w:t>|</w:t>
            </w:r>
            <w:r w:rsidR="00DA3714" w:rsidRPr="00DA3714">
              <w:rPr>
                <w:rFonts w:cs="Arial" w:hint="eastAsia"/>
                <w:color w:val="000000"/>
                <w:spacing w:val="-6"/>
                <w:w w:val="15"/>
                <w:szCs w:val="20"/>
                <w:shd w:val="solid" w:color="000000" w:fill="000000"/>
                <w:fitText w:val="60" w:id="-893663479"/>
                <w:lang w:val="en-AU"/>
                <w14:textFill>
                  <w14:solidFill>
                    <w14:srgbClr w14:val="000000">
                      <w14:alpha w14:val="100000"/>
                    </w14:srgbClr>
                  </w14:solidFill>
                </w14:textFill>
              </w:rPr>
              <w:t xml:space="preserve">　</w:t>
            </w:r>
            <w:r w:rsidR="000F159A" w:rsidRPr="00D26D6C">
              <w:rPr>
                <w:rFonts w:cs="Arial"/>
                <w:szCs w:val="20"/>
                <w:vertAlign w:val="superscript"/>
                <w:lang w:val="en-AU"/>
              </w:rPr>
              <w:t>1</w:t>
            </w:r>
            <w:r w:rsidRPr="00271554">
              <w:rPr>
                <w:rFonts w:cs="Arial"/>
                <w:szCs w:val="20"/>
                <w:lang w:val="en-AU"/>
              </w:rPr>
              <w:t>/QALY gained</w:t>
            </w:r>
          </w:p>
        </w:tc>
      </w:tr>
      <w:tr w:rsidR="00E96DE7" w:rsidRPr="00E2771E" w14:paraId="45FDD478" w14:textId="77777777" w:rsidTr="00F91CD4">
        <w:tc>
          <w:tcPr>
            <w:tcW w:w="705" w:type="pct"/>
            <w:shd w:val="clear" w:color="auto" w:fill="auto"/>
          </w:tcPr>
          <w:p w14:paraId="2447F3E9" w14:textId="77777777" w:rsidR="00E96DE7" w:rsidRPr="00271554" w:rsidRDefault="00E96DE7" w:rsidP="00E96DE7">
            <w:pPr>
              <w:pStyle w:val="TableText0"/>
            </w:pPr>
            <w:r w:rsidRPr="00271554">
              <w:t>Extrapolation parametric function for OS</w:t>
            </w:r>
          </w:p>
        </w:tc>
        <w:tc>
          <w:tcPr>
            <w:tcW w:w="2829" w:type="pct"/>
            <w:shd w:val="clear" w:color="auto" w:fill="auto"/>
          </w:tcPr>
          <w:p w14:paraId="7764EDBC" w14:textId="282000D6" w:rsidR="00E96DE7" w:rsidRPr="007A7229" w:rsidRDefault="00E96DE7" w:rsidP="00E96DE7">
            <w:pPr>
              <w:pStyle w:val="TableText0"/>
            </w:pPr>
            <w:r w:rsidRPr="007A7229">
              <w:t>Spline knot 1. Statistically (based on the AIC and BIC), the spline knot 1 function did not have a good fit to the data</w:t>
            </w:r>
            <w:r w:rsidR="008E0744" w:rsidRPr="007A7229">
              <w:t xml:space="preserve"> (AIC ranked </w:t>
            </w:r>
            <w:r w:rsidR="0047504E" w:rsidRPr="007A7229">
              <w:t>10</w:t>
            </w:r>
            <w:r w:rsidR="0047504E" w:rsidRPr="007A7229">
              <w:rPr>
                <w:vertAlign w:val="superscript"/>
              </w:rPr>
              <w:t>th</w:t>
            </w:r>
            <w:r w:rsidR="008E0744" w:rsidRPr="007A7229">
              <w:t xml:space="preserve">, BIC ranked </w:t>
            </w:r>
            <w:r w:rsidR="0047504E" w:rsidRPr="007A7229">
              <w:t>11</w:t>
            </w:r>
            <w:r w:rsidR="0047504E" w:rsidRPr="007A7229">
              <w:rPr>
                <w:vertAlign w:val="superscript"/>
              </w:rPr>
              <w:t>th</w:t>
            </w:r>
            <w:r w:rsidR="008E0744" w:rsidRPr="007A7229">
              <w:t xml:space="preserve">and </w:t>
            </w:r>
            <w:r w:rsidR="009F566B" w:rsidRPr="007A7229">
              <w:t>1.97</w:t>
            </w:r>
            <w:r w:rsidR="008E0744" w:rsidRPr="007A7229">
              <w:t>% alive at 20 years)</w:t>
            </w:r>
            <w:r w:rsidRPr="007A7229">
              <w:t xml:space="preserve">. The gamma function may have been a better alternative function </w:t>
            </w:r>
            <w:r w:rsidR="00192588" w:rsidRPr="007A7229">
              <w:t>statistically and in terms of clinical plausibility</w:t>
            </w:r>
            <w:r w:rsidRPr="007A7229">
              <w:t xml:space="preserve"> (AIC ranked 5</w:t>
            </w:r>
            <w:r w:rsidRPr="001465A5">
              <w:rPr>
                <w:vertAlign w:val="superscript"/>
              </w:rPr>
              <w:t>th</w:t>
            </w:r>
            <w:r w:rsidRPr="007A7229">
              <w:t>, BIC ranked 4</w:t>
            </w:r>
            <w:r w:rsidRPr="001465A5">
              <w:rPr>
                <w:vertAlign w:val="superscript"/>
              </w:rPr>
              <w:t>th</w:t>
            </w:r>
            <w:r w:rsidRPr="007A7229">
              <w:t xml:space="preserve"> and 0.63% alive at 20 years).</w:t>
            </w:r>
          </w:p>
        </w:tc>
        <w:tc>
          <w:tcPr>
            <w:tcW w:w="1466" w:type="pct"/>
            <w:shd w:val="clear" w:color="auto" w:fill="auto"/>
          </w:tcPr>
          <w:p w14:paraId="27F6E6B7" w14:textId="0E11BBE0" w:rsidR="00E96DE7" w:rsidRPr="007A7229" w:rsidRDefault="00E96DE7" w:rsidP="00F91CD4">
            <w:pPr>
              <w:pStyle w:val="TableText0"/>
            </w:pPr>
            <w:r w:rsidRPr="007A7229">
              <w:t>Moderate, likely favoured selpercatinib.</w:t>
            </w:r>
            <w:r w:rsidR="00F91CD4" w:rsidRPr="007A7229">
              <w:t xml:space="preserve"> </w:t>
            </w:r>
            <w:r w:rsidRPr="007A7229">
              <w:t xml:space="preserve">The ICER with </w:t>
            </w:r>
            <w:r w:rsidR="00F70DF5" w:rsidRPr="007A7229">
              <w:t>a</w:t>
            </w:r>
            <w:r w:rsidRPr="007A7229">
              <w:t xml:space="preserve"> gamma function was $</w:t>
            </w:r>
            <w:r w:rsidR="00DA3714" w:rsidRPr="00DA3714">
              <w:rPr>
                <w:color w:val="000000"/>
                <w:spacing w:val="53"/>
                <w:shd w:val="solid" w:color="000000" w:fill="000000"/>
                <w:fitText w:val="330" w:id="-893663478"/>
                <w14:textFill>
                  <w14:solidFill>
                    <w14:srgbClr w14:val="000000">
                      <w14:alpha w14:val="100000"/>
                    </w14:srgbClr>
                  </w14:solidFill>
                </w14:textFill>
              </w:rPr>
              <w:t>|||</w:t>
            </w:r>
            <w:r w:rsidR="00DA3714" w:rsidRPr="00DA3714">
              <w:rPr>
                <w:color w:val="000000"/>
                <w:spacing w:val="1"/>
                <w:shd w:val="solid" w:color="000000" w:fill="000000"/>
                <w:fitText w:val="330" w:id="-893663478"/>
                <w14:textFill>
                  <w14:solidFill>
                    <w14:srgbClr w14:val="000000">
                      <w14:alpha w14:val="100000"/>
                    </w14:srgbClr>
                  </w14:solidFill>
                </w14:textFill>
              </w:rPr>
              <w:t>|</w:t>
            </w:r>
            <w:r w:rsidR="00B72177" w:rsidRPr="00B71856">
              <w:rPr>
                <w:rFonts w:cs="Arial"/>
                <w:szCs w:val="20"/>
                <w:vertAlign w:val="superscript"/>
              </w:rPr>
              <w:t>1</w:t>
            </w:r>
            <w:r w:rsidRPr="007A7229">
              <w:t>/QALY gained.</w:t>
            </w:r>
          </w:p>
        </w:tc>
      </w:tr>
      <w:tr w:rsidR="00E96DE7" w:rsidRPr="00E2771E" w14:paraId="43CE42BB" w14:textId="77777777" w:rsidTr="00F91CD4">
        <w:tc>
          <w:tcPr>
            <w:tcW w:w="705" w:type="pct"/>
            <w:shd w:val="clear" w:color="auto" w:fill="auto"/>
          </w:tcPr>
          <w:p w14:paraId="35CCDF34" w14:textId="77777777" w:rsidR="00E96DE7" w:rsidRPr="00271554" w:rsidRDefault="00E96DE7" w:rsidP="00E96DE7">
            <w:pPr>
              <w:pStyle w:val="TableText0"/>
            </w:pPr>
            <w:r w:rsidRPr="00271554">
              <w:t>Time horizon</w:t>
            </w:r>
          </w:p>
        </w:tc>
        <w:tc>
          <w:tcPr>
            <w:tcW w:w="2829" w:type="pct"/>
            <w:shd w:val="clear" w:color="auto" w:fill="auto"/>
          </w:tcPr>
          <w:p w14:paraId="0F9B9F0B" w14:textId="0E5980E2" w:rsidR="00E96DE7" w:rsidRPr="007A7229" w:rsidRDefault="00E96DE7" w:rsidP="00E96DE7">
            <w:pPr>
              <w:pStyle w:val="TableText0"/>
            </w:pPr>
            <w:r w:rsidRPr="007A7229">
              <w:t xml:space="preserve">10 years. The PBAC previously accepted a 7.5-year time horizon for </w:t>
            </w:r>
            <w:r w:rsidR="005D3554" w:rsidRPr="007A7229">
              <w:t xml:space="preserve">pembrolizumab as </w:t>
            </w:r>
            <w:r w:rsidRPr="007A7229">
              <w:t xml:space="preserve">first-line </w:t>
            </w:r>
            <w:r w:rsidR="005D3554" w:rsidRPr="007A7229">
              <w:t xml:space="preserve">chemotherapy for </w:t>
            </w:r>
            <w:r w:rsidRPr="007A7229">
              <w:t xml:space="preserve">advanced NSCLC (para 6.70. selpercatinib, PSD, July 2023 PBAC meeting). </w:t>
            </w:r>
          </w:p>
        </w:tc>
        <w:tc>
          <w:tcPr>
            <w:tcW w:w="1466" w:type="pct"/>
            <w:shd w:val="clear" w:color="auto" w:fill="auto"/>
          </w:tcPr>
          <w:p w14:paraId="6031119B" w14:textId="77777777" w:rsidR="00E96DE7" w:rsidRPr="007A7229" w:rsidRDefault="00E96DE7" w:rsidP="00E96DE7">
            <w:pPr>
              <w:pStyle w:val="TableText0"/>
            </w:pPr>
            <w:r w:rsidRPr="007A7229">
              <w:t>Moderate, favoured selpercatinib.</w:t>
            </w:r>
          </w:p>
          <w:p w14:paraId="557D5261" w14:textId="57803888" w:rsidR="00E96DE7" w:rsidRPr="007A7229" w:rsidRDefault="00E96DE7" w:rsidP="00E96DE7">
            <w:pPr>
              <w:pStyle w:val="TableText0"/>
            </w:pPr>
            <w:r w:rsidRPr="007A7229">
              <w:t>The ICER with a 7.5-year time horizon was $</w:t>
            </w:r>
            <w:r w:rsidR="00DA3714" w:rsidRPr="00DA3714">
              <w:rPr>
                <w:color w:val="000000"/>
                <w:spacing w:val="53"/>
                <w:shd w:val="solid" w:color="000000" w:fill="000000"/>
                <w:fitText w:val="330" w:id="-893663477"/>
                <w14:textFill>
                  <w14:solidFill>
                    <w14:srgbClr w14:val="000000">
                      <w14:alpha w14:val="100000"/>
                    </w14:srgbClr>
                  </w14:solidFill>
                </w14:textFill>
              </w:rPr>
              <w:t>|||</w:t>
            </w:r>
            <w:r w:rsidR="00DA3714" w:rsidRPr="00DA3714">
              <w:rPr>
                <w:color w:val="000000"/>
                <w:spacing w:val="1"/>
                <w:shd w:val="solid" w:color="000000" w:fill="000000"/>
                <w:fitText w:val="330" w:id="-893663477"/>
                <w14:textFill>
                  <w14:solidFill>
                    <w14:srgbClr w14:val="000000">
                      <w14:alpha w14:val="100000"/>
                    </w14:srgbClr>
                  </w14:solidFill>
                </w14:textFill>
              </w:rPr>
              <w:t>|</w:t>
            </w:r>
            <w:r w:rsidR="00B72177" w:rsidRPr="00B71856">
              <w:rPr>
                <w:rFonts w:cs="Arial"/>
                <w:szCs w:val="20"/>
                <w:vertAlign w:val="superscript"/>
              </w:rPr>
              <w:t>1</w:t>
            </w:r>
            <w:r w:rsidRPr="007A7229">
              <w:t xml:space="preserve">/QALY gained. </w:t>
            </w:r>
          </w:p>
        </w:tc>
      </w:tr>
      <w:tr w:rsidR="00E96DE7" w:rsidRPr="00E2771E" w14:paraId="541EC6ED" w14:textId="77777777" w:rsidTr="00F91CD4">
        <w:tc>
          <w:tcPr>
            <w:tcW w:w="705" w:type="pct"/>
            <w:shd w:val="clear" w:color="auto" w:fill="auto"/>
          </w:tcPr>
          <w:p w14:paraId="1D669BEA" w14:textId="77777777" w:rsidR="00E96DE7" w:rsidRDefault="00E96DE7" w:rsidP="00E96DE7">
            <w:pPr>
              <w:pStyle w:val="TableText0"/>
            </w:pPr>
            <w:r>
              <w:t>KM data source</w:t>
            </w:r>
          </w:p>
        </w:tc>
        <w:tc>
          <w:tcPr>
            <w:tcW w:w="2829" w:type="pct"/>
            <w:shd w:val="clear" w:color="auto" w:fill="auto"/>
          </w:tcPr>
          <w:p w14:paraId="047822C6" w14:textId="77777777" w:rsidR="00E96DE7" w:rsidRPr="007A7229" w:rsidRDefault="00E96DE7" w:rsidP="00E96DE7">
            <w:pPr>
              <w:pStyle w:val="TableText0"/>
            </w:pPr>
            <w:r w:rsidRPr="007A7229">
              <w:t>LIBRETTO-001 study June 2021 data cut. The PBAC had anticipated that the results of the LIBRETTO-431 trial may address much of the uncertainty associated with the indirect comparison used to inform estimates of comparative effectiveness in this submission (para. 7.14, selpercatinib, PSD, July 2023 PBAC meeting).</w:t>
            </w:r>
          </w:p>
        </w:tc>
        <w:tc>
          <w:tcPr>
            <w:tcW w:w="1466" w:type="pct"/>
            <w:shd w:val="clear" w:color="auto" w:fill="auto"/>
          </w:tcPr>
          <w:p w14:paraId="0FDAB357" w14:textId="77777777" w:rsidR="00E96DE7" w:rsidRPr="007A7229" w:rsidRDefault="00E96DE7" w:rsidP="00E96DE7">
            <w:pPr>
              <w:pStyle w:val="TableText0"/>
            </w:pPr>
            <w:r w:rsidRPr="007A7229">
              <w:t>Data from the LIBRETTO-431 might affect the ICER, but the magnitude cannot be predicted using the data provided.</w:t>
            </w:r>
          </w:p>
        </w:tc>
      </w:tr>
    </w:tbl>
    <w:p w14:paraId="3BC26663" w14:textId="77777777" w:rsidR="002D7804" w:rsidRDefault="002D7804" w:rsidP="002D7804">
      <w:pPr>
        <w:pStyle w:val="TableFigureFooter"/>
      </w:pPr>
      <w:r w:rsidRPr="008375CF">
        <w:t>Source: Compiled during the evaluation.</w:t>
      </w:r>
    </w:p>
    <w:p w14:paraId="1A9A5FB8" w14:textId="22AFAD1C" w:rsidR="002D7804" w:rsidRDefault="002D7804" w:rsidP="002D7804">
      <w:pPr>
        <w:pStyle w:val="TableFigureFooter"/>
      </w:pPr>
      <w:r>
        <w:t xml:space="preserve">AIC = </w:t>
      </w:r>
      <w:r w:rsidRPr="00776B7D">
        <w:t>Akaike information criterion</w:t>
      </w:r>
      <w:r>
        <w:t xml:space="preserve">; BIC = </w:t>
      </w:r>
      <w:r w:rsidRPr="00BD3BB4">
        <w:t>Bayesian information criterion</w:t>
      </w:r>
      <w:r>
        <w:t xml:space="preserve">; ICER = incremental cost-effectiveness ratio; KM = Kaplan Meier; NSCLC = </w:t>
      </w:r>
      <w:r w:rsidRPr="007579FC">
        <w:t xml:space="preserve">non-small cell lung cancer; </w:t>
      </w:r>
      <w:r>
        <w:t xml:space="preserve">OS = </w:t>
      </w:r>
      <w:r w:rsidR="00BC5A69">
        <w:t>o</w:t>
      </w:r>
      <w:r>
        <w:t xml:space="preserve">verall survival; QALY = quality adjusted life years. </w:t>
      </w:r>
    </w:p>
    <w:p w14:paraId="40496DE2" w14:textId="77777777" w:rsidR="000F159A" w:rsidRPr="000F159A" w:rsidRDefault="000F159A" w:rsidP="000F159A">
      <w:pPr>
        <w:pStyle w:val="TableFigureFooter"/>
        <w:rPr>
          <w:i/>
          <w:iCs/>
        </w:rPr>
      </w:pPr>
      <w:r w:rsidRPr="000F159A">
        <w:rPr>
          <w:i/>
          <w:iCs/>
        </w:rPr>
        <w:t xml:space="preserve">The redacted values correspond to the following ranges: </w:t>
      </w:r>
    </w:p>
    <w:p w14:paraId="6ACC723B" w14:textId="647C2FB9" w:rsidR="000F159A" w:rsidRPr="000F159A" w:rsidRDefault="00551F63" w:rsidP="000F159A">
      <w:pPr>
        <w:pStyle w:val="TableFigureFooter"/>
        <w:rPr>
          <w:i/>
          <w:iCs/>
        </w:rPr>
      </w:pPr>
      <w:r>
        <w:rPr>
          <w:i/>
          <w:iCs/>
        </w:rPr>
        <w:t>1</w:t>
      </w:r>
      <w:r w:rsidR="000F159A" w:rsidRPr="000F159A">
        <w:rPr>
          <w:i/>
          <w:iCs/>
        </w:rPr>
        <w:t xml:space="preserve"> $75,000 to &lt; $95,000</w:t>
      </w:r>
    </w:p>
    <w:p w14:paraId="2F56CEDE" w14:textId="5F698250" w:rsidR="002D7804" w:rsidRPr="007A7229" w:rsidRDefault="002D7804" w:rsidP="002D7804">
      <w:pPr>
        <w:pStyle w:val="3-BodyText"/>
      </w:pPr>
      <w:r>
        <w:fldChar w:fldCharType="begin" w:fldLock="1"/>
      </w:r>
      <w:r>
        <w:instrText xml:space="preserve"> REF _Ref164195114 \h </w:instrText>
      </w:r>
      <w:r>
        <w:fldChar w:fldCharType="separate"/>
      </w:r>
      <w:r w:rsidR="00F979CE" w:rsidRPr="00490AF7">
        <w:t xml:space="preserve">Table </w:t>
      </w:r>
      <w:r w:rsidR="00F979CE">
        <w:rPr>
          <w:noProof/>
        </w:rPr>
        <w:t>12</w:t>
      </w:r>
      <w:r>
        <w:fldChar w:fldCharType="end"/>
      </w:r>
      <w:r>
        <w:t xml:space="preserve"> presents the results of the economic evaluation</w:t>
      </w:r>
      <w:r w:rsidR="0061416C">
        <w:t xml:space="preserve"> (using the assumed effective price of pembrolizumab)</w:t>
      </w:r>
      <w:r>
        <w:t>.</w:t>
      </w:r>
      <w:r w:rsidR="00EA5819">
        <w:t xml:space="preserve"> </w:t>
      </w:r>
    </w:p>
    <w:p w14:paraId="304AD6E4" w14:textId="0FBAFCF2" w:rsidR="002D7804" w:rsidRPr="00490AF7" w:rsidRDefault="002D7804" w:rsidP="002D7804">
      <w:pPr>
        <w:pStyle w:val="Caption"/>
        <w:rPr>
          <w:b w:val="0"/>
        </w:rPr>
      </w:pPr>
      <w:bookmarkStart w:id="68" w:name="_Ref164195114"/>
      <w:r w:rsidRPr="00490AF7">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12</w:t>
      </w:r>
      <w:r w:rsidR="00BA56FF">
        <w:rPr>
          <w:noProof/>
        </w:rPr>
        <w:fldChar w:fldCharType="end"/>
      </w:r>
      <w:bookmarkEnd w:id="68"/>
      <w:r w:rsidRPr="00490AF7">
        <w:t>: Results of the stepped economic evaluation</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12: Results of the stepped economic evaluation"/>
      </w:tblPr>
      <w:tblGrid>
        <w:gridCol w:w="2265"/>
        <w:gridCol w:w="1417"/>
        <w:gridCol w:w="1275"/>
        <w:gridCol w:w="1371"/>
        <w:gridCol w:w="1331"/>
        <w:gridCol w:w="1358"/>
      </w:tblGrid>
      <w:tr w:rsidR="002D7804" w:rsidRPr="00013463" w14:paraId="63D91509" w14:textId="77777777">
        <w:trPr>
          <w:cnfStyle w:val="100000000000" w:firstRow="1" w:lastRow="0" w:firstColumn="0" w:lastColumn="0" w:oddVBand="0" w:evenVBand="0" w:oddHBand="0" w:evenHBand="0" w:firstRowFirstColumn="0" w:firstRowLastColumn="0" w:lastRowFirstColumn="0" w:lastRowLastColumn="0"/>
        </w:trPr>
        <w:tc>
          <w:tcPr>
            <w:tcW w:w="1256" w:type="pct"/>
          </w:tcPr>
          <w:p w14:paraId="4222C42A" w14:textId="77777777" w:rsidR="002D7804" w:rsidRPr="00013463" w:rsidRDefault="002D7804">
            <w:pPr>
              <w:pStyle w:val="Tabletext"/>
              <w:keepNext/>
            </w:pPr>
          </w:p>
        </w:tc>
        <w:tc>
          <w:tcPr>
            <w:tcW w:w="786" w:type="pct"/>
            <w:vAlign w:val="center"/>
            <w:hideMark/>
          </w:tcPr>
          <w:p w14:paraId="4ACC6935" w14:textId="77777777" w:rsidR="002D7804" w:rsidRPr="00013463" w:rsidRDefault="002D7804">
            <w:pPr>
              <w:pStyle w:val="Tabletext"/>
              <w:keepNext/>
              <w:jc w:val="center"/>
            </w:pPr>
            <w:r w:rsidRPr="00013463">
              <w:t>Cost</w:t>
            </w:r>
          </w:p>
        </w:tc>
        <w:tc>
          <w:tcPr>
            <w:tcW w:w="707" w:type="pct"/>
            <w:vAlign w:val="center"/>
            <w:hideMark/>
          </w:tcPr>
          <w:p w14:paraId="1EECE9F3" w14:textId="77777777" w:rsidR="002D7804" w:rsidRPr="00013463" w:rsidRDefault="002D7804">
            <w:pPr>
              <w:pStyle w:val="Tabletext"/>
              <w:keepNext/>
              <w:jc w:val="center"/>
            </w:pPr>
            <w:r w:rsidRPr="00013463">
              <w:t>Incremental cost</w:t>
            </w:r>
          </w:p>
        </w:tc>
        <w:tc>
          <w:tcPr>
            <w:tcW w:w="760" w:type="pct"/>
            <w:vAlign w:val="center"/>
            <w:hideMark/>
          </w:tcPr>
          <w:p w14:paraId="01D7E500" w14:textId="77777777" w:rsidR="002D7804" w:rsidRPr="00013463" w:rsidRDefault="002D7804">
            <w:pPr>
              <w:pStyle w:val="Tabletext"/>
              <w:keepNext/>
              <w:jc w:val="center"/>
            </w:pPr>
            <w:r w:rsidRPr="00013463">
              <w:t>Effectiveness</w:t>
            </w:r>
          </w:p>
        </w:tc>
        <w:tc>
          <w:tcPr>
            <w:tcW w:w="738" w:type="pct"/>
            <w:vAlign w:val="center"/>
            <w:hideMark/>
          </w:tcPr>
          <w:p w14:paraId="5278DCAF" w14:textId="77777777" w:rsidR="002D7804" w:rsidRPr="00013463" w:rsidRDefault="002D7804">
            <w:pPr>
              <w:pStyle w:val="Tabletext"/>
              <w:keepNext/>
              <w:jc w:val="center"/>
            </w:pPr>
            <w:r w:rsidRPr="00013463">
              <w:t>Incremental effectiveness</w:t>
            </w:r>
          </w:p>
        </w:tc>
        <w:tc>
          <w:tcPr>
            <w:tcW w:w="753" w:type="pct"/>
            <w:vAlign w:val="center"/>
            <w:hideMark/>
          </w:tcPr>
          <w:p w14:paraId="01B6FB73" w14:textId="77777777" w:rsidR="002D7804" w:rsidRPr="00013463" w:rsidRDefault="002D7804">
            <w:pPr>
              <w:pStyle w:val="Tabletext"/>
              <w:keepNext/>
              <w:jc w:val="center"/>
            </w:pPr>
            <w:r w:rsidRPr="00013463">
              <w:t>ICER</w:t>
            </w:r>
          </w:p>
        </w:tc>
      </w:tr>
      <w:tr w:rsidR="002D7804" w:rsidRPr="00013463" w14:paraId="624D815C"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hideMark/>
          </w:tcPr>
          <w:p w14:paraId="1A08E532" w14:textId="77777777" w:rsidR="002D7804" w:rsidRPr="00547DA6" w:rsidRDefault="002D7804">
            <w:pPr>
              <w:pStyle w:val="Tabletext"/>
              <w:keepNext/>
              <w:rPr>
                <w:b/>
                <w:bCs/>
              </w:rPr>
            </w:pPr>
            <w:r w:rsidRPr="00547DA6">
              <w:rPr>
                <w:b/>
                <w:bCs/>
              </w:rPr>
              <w:t>Step 0 (cost per LY – Trial based analysis)</w:t>
            </w:r>
          </w:p>
        </w:tc>
      </w:tr>
      <w:tr w:rsidR="00EB5EE2" w:rsidRPr="00013463" w14:paraId="071B3D3A" w14:textId="77777777">
        <w:tc>
          <w:tcPr>
            <w:tcW w:w="1256" w:type="pct"/>
          </w:tcPr>
          <w:p w14:paraId="52688A3A" w14:textId="77777777" w:rsidR="00EB5EE2" w:rsidRPr="00013463" w:rsidRDefault="00EB5EE2">
            <w:pPr>
              <w:pStyle w:val="Tabletext"/>
              <w:keepNext/>
            </w:pPr>
            <w:r w:rsidRPr="00013463">
              <w:t>Selpercatinib</w:t>
            </w:r>
          </w:p>
        </w:tc>
        <w:tc>
          <w:tcPr>
            <w:tcW w:w="786" w:type="pct"/>
            <w:vAlign w:val="center"/>
          </w:tcPr>
          <w:p w14:paraId="0F8BAAD1" w14:textId="3E71D1DD" w:rsidR="00EB5EE2" w:rsidRPr="00013463" w:rsidRDefault="00EB5EE2">
            <w:pPr>
              <w:pStyle w:val="Tabletext"/>
              <w:keepNext/>
              <w:jc w:val="center"/>
            </w:pPr>
            <w:r w:rsidRPr="00013463">
              <w:t>$</w:t>
            </w:r>
            <w:r w:rsidR="00DA3714" w:rsidRPr="00DA3714">
              <w:rPr>
                <w:color w:val="000000"/>
                <w:shd w:val="solid" w:color="000000" w:fill="000000"/>
                <w14:textFill>
                  <w14:solidFill>
                    <w14:srgbClr w14:val="000000">
                      <w14:alpha w14:val="100000"/>
                    </w14:srgbClr>
                  </w14:solidFill>
                </w14:textFill>
              </w:rPr>
              <w:t>|</w:t>
            </w:r>
          </w:p>
        </w:tc>
        <w:tc>
          <w:tcPr>
            <w:tcW w:w="707" w:type="pct"/>
            <w:vMerge w:val="restart"/>
            <w:vAlign w:val="center"/>
          </w:tcPr>
          <w:p w14:paraId="7C24BBEF" w14:textId="2823C72F" w:rsidR="00EB5EE2" w:rsidRPr="00013463" w:rsidRDefault="00EB5EE2">
            <w:pPr>
              <w:pStyle w:val="Tabletext"/>
              <w:keepNext/>
              <w:jc w:val="center"/>
            </w:pPr>
            <w:r w:rsidRPr="00013463">
              <w:t>$</w:t>
            </w:r>
            <w:r w:rsidR="00DA3714" w:rsidRPr="00DA3714">
              <w:rPr>
                <w:rFonts w:hint="eastAsia"/>
                <w:color w:val="000000"/>
                <w:w w:val="15"/>
                <w:shd w:val="solid" w:color="000000" w:fill="000000"/>
                <w:fitText w:val="60" w:id="-893663476"/>
                <w14:textFill>
                  <w14:solidFill>
                    <w14:srgbClr w14:val="000000">
                      <w14:alpha w14:val="100000"/>
                    </w14:srgbClr>
                  </w14:solidFill>
                </w14:textFill>
              </w:rPr>
              <w:t xml:space="preserve">　</w:t>
            </w:r>
            <w:r w:rsidR="00DA3714" w:rsidRPr="00DA3714">
              <w:rPr>
                <w:color w:val="000000"/>
                <w:w w:val="15"/>
                <w:shd w:val="solid" w:color="000000" w:fill="000000"/>
                <w:fitText w:val="60" w:id="-893663476"/>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76"/>
                <w14:textFill>
                  <w14:solidFill>
                    <w14:srgbClr w14:val="000000">
                      <w14:alpha w14:val="100000"/>
                    </w14:srgbClr>
                  </w14:solidFill>
                </w14:textFill>
              </w:rPr>
              <w:t xml:space="preserve">　</w:t>
            </w:r>
          </w:p>
        </w:tc>
        <w:tc>
          <w:tcPr>
            <w:tcW w:w="760" w:type="pct"/>
            <w:vAlign w:val="center"/>
          </w:tcPr>
          <w:p w14:paraId="284ABFE1" w14:textId="77777777" w:rsidR="00EB5EE2" w:rsidRPr="00013463" w:rsidRDefault="00EB5EE2">
            <w:pPr>
              <w:pStyle w:val="Tabletext"/>
              <w:keepNext/>
              <w:jc w:val="center"/>
            </w:pPr>
            <w:r w:rsidRPr="00013463">
              <w:t>3.438</w:t>
            </w:r>
          </w:p>
        </w:tc>
        <w:tc>
          <w:tcPr>
            <w:tcW w:w="738" w:type="pct"/>
            <w:vMerge w:val="restart"/>
            <w:vAlign w:val="center"/>
          </w:tcPr>
          <w:p w14:paraId="56AFDE8C" w14:textId="77777777" w:rsidR="00EB5EE2" w:rsidRPr="00013463" w:rsidRDefault="00EB5EE2">
            <w:pPr>
              <w:pStyle w:val="Tabletext"/>
              <w:keepNext/>
              <w:jc w:val="center"/>
            </w:pPr>
            <w:r w:rsidRPr="00013463">
              <w:t>1.081</w:t>
            </w:r>
          </w:p>
        </w:tc>
        <w:tc>
          <w:tcPr>
            <w:tcW w:w="753" w:type="pct"/>
            <w:vMerge w:val="restart"/>
            <w:vAlign w:val="center"/>
          </w:tcPr>
          <w:p w14:paraId="33F98976" w14:textId="3C00427E" w:rsidR="00EB5EE2" w:rsidRPr="00013463" w:rsidRDefault="00EB5EE2">
            <w:pPr>
              <w:pStyle w:val="Tabletext"/>
              <w:keepNext/>
              <w:jc w:val="center"/>
            </w:pPr>
            <w:r w:rsidRPr="00013463">
              <w:t>$</w:t>
            </w:r>
            <w:r w:rsidR="00DA3714" w:rsidRPr="00DA3714">
              <w:rPr>
                <w:color w:val="000000"/>
                <w:spacing w:val="94"/>
                <w:shd w:val="solid" w:color="000000" w:fill="000000"/>
                <w:fitText w:val="180" w:id="-893663475"/>
                <w14:textFill>
                  <w14:solidFill>
                    <w14:srgbClr w14:val="000000">
                      <w14:alpha w14:val="100000"/>
                    </w14:srgbClr>
                  </w14:solidFill>
                </w14:textFill>
              </w:rPr>
              <w:t>|</w:t>
            </w:r>
            <w:r w:rsidR="00DA3714" w:rsidRPr="00DA3714">
              <w:rPr>
                <w:color w:val="000000"/>
                <w:spacing w:val="1"/>
                <w:shd w:val="solid" w:color="000000" w:fill="000000"/>
                <w:fitText w:val="180" w:id="-893663475"/>
                <w14:textFill>
                  <w14:solidFill>
                    <w14:srgbClr w14:val="000000">
                      <w14:alpha w14:val="100000"/>
                    </w14:srgbClr>
                  </w14:solidFill>
                </w14:textFill>
              </w:rPr>
              <w:t>|</w:t>
            </w:r>
            <w:r w:rsidR="00DB3145" w:rsidRPr="00D26D6C">
              <w:rPr>
                <w:vertAlign w:val="superscript"/>
              </w:rPr>
              <w:t>1</w:t>
            </w:r>
            <w:r w:rsidRPr="00013463">
              <w:t>/LY</w:t>
            </w:r>
          </w:p>
        </w:tc>
      </w:tr>
      <w:tr w:rsidR="00EB5EE2" w:rsidRPr="00013463" w14:paraId="33E79963" w14:textId="77777777">
        <w:trPr>
          <w:cnfStyle w:val="000000100000" w:firstRow="0" w:lastRow="0" w:firstColumn="0" w:lastColumn="0" w:oddVBand="0" w:evenVBand="0" w:oddHBand="1" w:evenHBand="0" w:firstRowFirstColumn="0" w:firstRowLastColumn="0" w:lastRowFirstColumn="0" w:lastRowLastColumn="0"/>
        </w:trPr>
        <w:tc>
          <w:tcPr>
            <w:tcW w:w="1256" w:type="pct"/>
          </w:tcPr>
          <w:p w14:paraId="3B0886E1" w14:textId="77777777" w:rsidR="00EB5EE2" w:rsidRPr="00013463" w:rsidRDefault="00EB5EE2">
            <w:pPr>
              <w:pStyle w:val="Tabletext"/>
              <w:keepNext/>
            </w:pPr>
            <w:r w:rsidRPr="00013463">
              <w:t xml:space="preserve">Pembrolizumab </w:t>
            </w:r>
            <w:r>
              <w:t>+ PC</w:t>
            </w:r>
          </w:p>
        </w:tc>
        <w:tc>
          <w:tcPr>
            <w:tcW w:w="786" w:type="pct"/>
            <w:vAlign w:val="center"/>
          </w:tcPr>
          <w:p w14:paraId="512B310A" w14:textId="77777777" w:rsidR="00EB5EE2" w:rsidRPr="00013463" w:rsidRDefault="00EB5EE2">
            <w:pPr>
              <w:pStyle w:val="Tabletext"/>
              <w:keepNext/>
              <w:jc w:val="center"/>
            </w:pPr>
            <w:r w:rsidRPr="009E5203">
              <w:t>$163,453</w:t>
            </w:r>
          </w:p>
        </w:tc>
        <w:tc>
          <w:tcPr>
            <w:tcW w:w="707" w:type="pct"/>
            <w:vMerge/>
            <w:vAlign w:val="center"/>
          </w:tcPr>
          <w:p w14:paraId="01053B88" w14:textId="77777777" w:rsidR="00EB5EE2" w:rsidRPr="00013463" w:rsidRDefault="00EB5EE2">
            <w:pPr>
              <w:pStyle w:val="Tabletext"/>
              <w:keepNext/>
              <w:jc w:val="center"/>
            </w:pPr>
          </w:p>
        </w:tc>
        <w:tc>
          <w:tcPr>
            <w:tcW w:w="760" w:type="pct"/>
            <w:vAlign w:val="center"/>
          </w:tcPr>
          <w:p w14:paraId="40C97D4A" w14:textId="77777777" w:rsidR="00EB5EE2" w:rsidRPr="00013463" w:rsidRDefault="00EB5EE2">
            <w:pPr>
              <w:pStyle w:val="Tabletext"/>
              <w:keepNext/>
              <w:jc w:val="center"/>
            </w:pPr>
            <w:r w:rsidRPr="00013463">
              <w:t>2.358</w:t>
            </w:r>
          </w:p>
        </w:tc>
        <w:tc>
          <w:tcPr>
            <w:tcW w:w="738" w:type="pct"/>
            <w:vMerge/>
            <w:vAlign w:val="center"/>
          </w:tcPr>
          <w:p w14:paraId="0CD85229" w14:textId="77777777" w:rsidR="00EB5EE2" w:rsidRPr="00013463" w:rsidRDefault="00EB5EE2">
            <w:pPr>
              <w:pStyle w:val="Tabletext"/>
              <w:keepNext/>
              <w:jc w:val="center"/>
            </w:pPr>
          </w:p>
        </w:tc>
        <w:tc>
          <w:tcPr>
            <w:tcW w:w="753" w:type="pct"/>
            <w:vMerge/>
            <w:vAlign w:val="center"/>
          </w:tcPr>
          <w:p w14:paraId="61D49867" w14:textId="77777777" w:rsidR="00EB5EE2" w:rsidRPr="00013463" w:rsidRDefault="00EB5EE2">
            <w:pPr>
              <w:pStyle w:val="Tabletext"/>
              <w:keepNext/>
              <w:jc w:val="center"/>
            </w:pPr>
          </w:p>
        </w:tc>
      </w:tr>
      <w:tr w:rsidR="002D7804" w:rsidRPr="00013463" w14:paraId="6FD5F47C" w14:textId="77777777">
        <w:tc>
          <w:tcPr>
            <w:tcW w:w="5000" w:type="pct"/>
            <w:gridSpan w:val="6"/>
            <w:hideMark/>
          </w:tcPr>
          <w:p w14:paraId="56F42901" w14:textId="77777777" w:rsidR="002D7804" w:rsidRPr="00547DA6" w:rsidRDefault="002D7804">
            <w:pPr>
              <w:pStyle w:val="Tabletext"/>
              <w:keepNext/>
              <w:rPr>
                <w:b/>
                <w:bCs/>
              </w:rPr>
            </w:pPr>
            <w:r w:rsidRPr="00547DA6">
              <w:rPr>
                <w:b/>
                <w:bCs/>
              </w:rPr>
              <w:t xml:space="preserve">Step 1 (cost per LY – </w:t>
            </w:r>
            <w:r w:rsidRPr="002F5030">
              <w:rPr>
                <w:b/>
                <w:bCs/>
              </w:rPr>
              <w:t>MAIC 2 model</w:t>
            </w:r>
            <w:r w:rsidRPr="002F5030">
              <w:rPr>
                <w:b/>
                <w:bCs/>
                <w:vertAlign w:val="superscript"/>
              </w:rPr>
              <w:t>a</w:t>
            </w:r>
            <w:r w:rsidRPr="00547DA6">
              <w:rPr>
                <w:b/>
                <w:bCs/>
                <w:vertAlign w:val="superscript"/>
              </w:rPr>
              <w:t xml:space="preserve"> </w:t>
            </w:r>
            <w:r w:rsidRPr="00547DA6">
              <w:rPr>
                <w:b/>
                <w:bCs/>
              </w:rPr>
              <w:t>over 10</w:t>
            </w:r>
            <w:r>
              <w:rPr>
                <w:b/>
                <w:bCs/>
              </w:rPr>
              <w:t>-</w:t>
            </w:r>
            <w:r w:rsidRPr="00547DA6">
              <w:rPr>
                <w:b/>
                <w:bCs/>
              </w:rPr>
              <w:t>year time horizon)</w:t>
            </w:r>
          </w:p>
        </w:tc>
      </w:tr>
      <w:tr w:rsidR="00EB5EE2" w:rsidRPr="00013463" w14:paraId="616E805E" w14:textId="77777777">
        <w:trPr>
          <w:cnfStyle w:val="000000100000" w:firstRow="0" w:lastRow="0" w:firstColumn="0" w:lastColumn="0" w:oddVBand="0" w:evenVBand="0" w:oddHBand="1" w:evenHBand="0" w:firstRowFirstColumn="0" w:firstRowLastColumn="0" w:lastRowFirstColumn="0" w:lastRowLastColumn="0"/>
        </w:trPr>
        <w:tc>
          <w:tcPr>
            <w:tcW w:w="1256" w:type="pct"/>
          </w:tcPr>
          <w:p w14:paraId="7E11332D" w14:textId="77777777" w:rsidR="00EB5EE2" w:rsidRPr="00013463" w:rsidRDefault="00EB5EE2">
            <w:pPr>
              <w:pStyle w:val="Tabletext"/>
              <w:keepNext/>
            </w:pPr>
            <w:r w:rsidRPr="00013463">
              <w:t>Selpercatinib</w:t>
            </w:r>
          </w:p>
        </w:tc>
        <w:tc>
          <w:tcPr>
            <w:tcW w:w="786" w:type="pct"/>
            <w:vAlign w:val="center"/>
          </w:tcPr>
          <w:p w14:paraId="74E5488B" w14:textId="5F432EEB" w:rsidR="00EB5EE2" w:rsidRPr="00013463" w:rsidRDefault="00EB5EE2">
            <w:pPr>
              <w:pStyle w:val="Tabletext"/>
              <w:keepNext/>
              <w:jc w:val="center"/>
            </w:pPr>
            <w:r w:rsidRPr="00013463">
              <w:t>$</w:t>
            </w:r>
            <w:r w:rsidR="00DA3714" w:rsidRPr="00DA3714">
              <w:rPr>
                <w:color w:val="000000"/>
                <w:shd w:val="solid" w:color="000000" w:fill="000000"/>
                <w14:textFill>
                  <w14:solidFill>
                    <w14:srgbClr w14:val="000000">
                      <w14:alpha w14:val="100000"/>
                    </w14:srgbClr>
                  </w14:solidFill>
                </w14:textFill>
              </w:rPr>
              <w:t>|</w:t>
            </w:r>
          </w:p>
        </w:tc>
        <w:tc>
          <w:tcPr>
            <w:tcW w:w="707" w:type="pct"/>
            <w:vMerge w:val="restart"/>
            <w:vAlign w:val="center"/>
          </w:tcPr>
          <w:p w14:paraId="1B1CFECD" w14:textId="4775E4FF" w:rsidR="00EB5EE2" w:rsidRPr="00013463" w:rsidRDefault="00EB5EE2">
            <w:pPr>
              <w:pStyle w:val="Tabletext"/>
              <w:keepNext/>
              <w:jc w:val="center"/>
            </w:pPr>
            <w:r w:rsidRPr="00013463">
              <w:t>$</w:t>
            </w:r>
            <w:r w:rsidR="00DA3714" w:rsidRPr="00DA3714">
              <w:rPr>
                <w:rFonts w:hint="eastAsia"/>
                <w:color w:val="000000"/>
                <w:w w:val="15"/>
                <w:shd w:val="solid" w:color="000000" w:fill="000000"/>
                <w:fitText w:val="60" w:id="-893663474"/>
                <w14:textFill>
                  <w14:solidFill>
                    <w14:srgbClr w14:val="000000">
                      <w14:alpha w14:val="100000"/>
                    </w14:srgbClr>
                  </w14:solidFill>
                </w14:textFill>
              </w:rPr>
              <w:t xml:space="preserve">　</w:t>
            </w:r>
            <w:r w:rsidR="00DA3714" w:rsidRPr="00DA3714">
              <w:rPr>
                <w:color w:val="000000"/>
                <w:w w:val="15"/>
                <w:shd w:val="solid" w:color="000000" w:fill="000000"/>
                <w:fitText w:val="60" w:id="-893663474"/>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74"/>
                <w14:textFill>
                  <w14:solidFill>
                    <w14:srgbClr w14:val="000000">
                      <w14:alpha w14:val="100000"/>
                    </w14:srgbClr>
                  </w14:solidFill>
                </w14:textFill>
              </w:rPr>
              <w:t xml:space="preserve">　</w:t>
            </w:r>
          </w:p>
        </w:tc>
        <w:tc>
          <w:tcPr>
            <w:tcW w:w="760" w:type="pct"/>
            <w:vAlign w:val="center"/>
          </w:tcPr>
          <w:p w14:paraId="4267AD27" w14:textId="77777777" w:rsidR="00EB5EE2" w:rsidRPr="00013463" w:rsidRDefault="00EB5EE2">
            <w:pPr>
              <w:pStyle w:val="Tabletext"/>
              <w:keepNext/>
              <w:jc w:val="center"/>
            </w:pPr>
            <w:r w:rsidRPr="00013463">
              <w:t>4.771</w:t>
            </w:r>
          </w:p>
        </w:tc>
        <w:tc>
          <w:tcPr>
            <w:tcW w:w="738" w:type="pct"/>
            <w:vMerge w:val="restart"/>
            <w:vAlign w:val="center"/>
          </w:tcPr>
          <w:p w14:paraId="1E6A913A" w14:textId="77777777" w:rsidR="00EB5EE2" w:rsidRPr="00013463" w:rsidRDefault="00EB5EE2">
            <w:pPr>
              <w:pStyle w:val="Tabletext"/>
              <w:keepNext/>
              <w:jc w:val="center"/>
            </w:pPr>
            <w:r w:rsidRPr="00013463">
              <w:t>2.151</w:t>
            </w:r>
          </w:p>
        </w:tc>
        <w:tc>
          <w:tcPr>
            <w:tcW w:w="753" w:type="pct"/>
            <w:vMerge w:val="restart"/>
            <w:vAlign w:val="center"/>
          </w:tcPr>
          <w:p w14:paraId="795232A9" w14:textId="5076296F" w:rsidR="00EB5EE2" w:rsidRPr="00013463" w:rsidRDefault="00EB5EE2">
            <w:pPr>
              <w:pStyle w:val="Tabletext"/>
              <w:keepNext/>
              <w:jc w:val="center"/>
            </w:pPr>
            <w:r w:rsidRPr="00013463">
              <w:t>$</w:t>
            </w:r>
            <w:bookmarkStart w:id="69" w:name="_Hlk177481755"/>
            <w:r w:rsidR="00DA3714" w:rsidRPr="00DA3714">
              <w:rPr>
                <w:color w:val="000000"/>
                <w:spacing w:val="94"/>
                <w:shd w:val="solid" w:color="000000" w:fill="000000"/>
                <w:fitText w:val="180" w:id="-893663473"/>
                <w14:textFill>
                  <w14:solidFill>
                    <w14:srgbClr w14:val="000000">
                      <w14:alpha w14:val="100000"/>
                    </w14:srgbClr>
                  </w14:solidFill>
                </w14:textFill>
              </w:rPr>
              <w:t>|</w:t>
            </w:r>
            <w:r w:rsidR="00DA3714" w:rsidRPr="00DA3714">
              <w:rPr>
                <w:color w:val="000000"/>
                <w:spacing w:val="1"/>
                <w:shd w:val="solid" w:color="000000" w:fill="000000"/>
                <w:fitText w:val="180" w:id="-893663473"/>
                <w14:textFill>
                  <w14:solidFill>
                    <w14:srgbClr w14:val="000000">
                      <w14:alpha w14:val="100000"/>
                    </w14:srgbClr>
                  </w14:solidFill>
                </w14:textFill>
              </w:rPr>
              <w:t>|</w:t>
            </w:r>
            <w:r w:rsidR="00C23D40" w:rsidRPr="00D26D6C">
              <w:rPr>
                <w:vertAlign w:val="superscript"/>
              </w:rPr>
              <w:t>2</w:t>
            </w:r>
            <w:bookmarkEnd w:id="69"/>
            <w:r w:rsidRPr="00013463">
              <w:t>/LY</w:t>
            </w:r>
          </w:p>
        </w:tc>
      </w:tr>
      <w:tr w:rsidR="00EB5EE2" w:rsidRPr="00013463" w14:paraId="17898FFC" w14:textId="77777777">
        <w:tc>
          <w:tcPr>
            <w:tcW w:w="1256" w:type="pct"/>
          </w:tcPr>
          <w:p w14:paraId="673F8377" w14:textId="77777777" w:rsidR="00EB5EE2" w:rsidRPr="00013463" w:rsidRDefault="00EB5EE2">
            <w:pPr>
              <w:pStyle w:val="Tabletext"/>
              <w:keepNext/>
            </w:pPr>
            <w:r w:rsidRPr="00013463">
              <w:t xml:space="preserve">Pembrolizumab </w:t>
            </w:r>
            <w:r>
              <w:t>+ PC</w:t>
            </w:r>
          </w:p>
        </w:tc>
        <w:tc>
          <w:tcPr>
            <w:tcW w:w="786" w:type="pct"/>
            <w:vAlign w:val="center"/>
          </w:tcPr>
          <w:p w14:paraId="0AA36CF6" w14:textId="77777777" w:rsidR="00EB5EE2" w:rsidRPr="00013463" w:rsidRDefault="00EB5EE2">
            <w:pPr>
              <w:pStyle w:val="Tabletext"/>
              <w:keepNext/>
              <w:jc w:val="center"/>
            </w:pPr>
            <w:r w:rsidRPr="00013463">
              <w:t>$</w:t>
            </w:r>
            <w:r w:rsidRPr="00DA0FB0">
              <w:t>168,692</w:t>
            </w:r>
          </w:p>
        </w:tc>
        <w:tc>
          <w:tcPr>
            <w:tcW w:w="707" w:type="pct"/>
            <w:vMerge/>
            <w:vAlign w:val="center"/>
          </w:tcPr>
          <w:p w14:paraId="3A97CF17" w14:textId="77777777" w:rsidR="00EB5EE2" w:rsidRPr="00013463" w:rsidRDefault="00EB5EE2">
            <w:pPr>
              <w:pStyle w:val="Tabletext"/>
              <w:keepNext/>
              <w:jc w:val="center"/>
            </w:pPr>
          </w:p>
        </w:tc>
        <w:tc>
          <w:tcPr>
            <w:tcW w:w="760" w:type="pct"/>
            <w:vAlign w:val="center"/>
          </w:tcPr>
          <w:p w14:paraId="6CF08842" w14:textId="77777777" w:rsidR="00EB5EE2" w:rsidRPr="00013463" w:rsidRDefault="00EB5EE2">
            <w:pPr>
              <w:pStyle w:val="Tabletext"/>
              <w:keepNext/>
              <w:jc w:val="center"/>
            </w:pPr>
            <w:r w:rsidRPr="00013463">
              <w:t>2.620</w:t>
            </w:r>
          </w:p>
        </w:tc>
        <w:tc>
          <w:tcPr>
            <w:tcW w:w="738" w:type="pct"/>
            <w:vMerge/>
            <w:vAlign w:val="center"/>
          </w:tcPr>
          <w:p w14:paraId="62A84330" w14:textId="77777777" w:rsidR="00EB5EE2" w:rsidRPr="00013463" w:rsidRDefault="00EB5EE2">
            <w:pPr>
              <w:pStyle w:val="Tabletext"/>
              <w:keepNext/>
              <w:jc w:val="center"/>
            </w:pPr>
          </w:p>
        </w:tc>
        <w:tc>
          <w:tcPr>
            <w:tcW w:w="753" w:type="pct"/>
            <w:vMerge/>
            <w:vAlign w:val="center"/>
          </w:tcPr>
          <w:p w14:paraId="6C2661F9" w14:textId="77777777" w:rsidR="00EB5EE2" w:rsidRPr="00013463" w:rsidRDefault="00EB5EE2">
            <w:pPr>
              <w:pStyle w:val="Tabletext"/>
              <w:keepNext/>
              <w:jc w:val="center"/>
            </w:pPr>
          </w:p>
        </w:tc>
      </w:tr>
      <w:tr w:rsidR="002D7804" w:rsidRPr="00013463" w14:paraId="370E1DEB"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hideMark/>
          </w:tcPr>
          <w:p w14:paraId="13657A36" w14:textId="77777777" w:rsidR="002D7804" w:rsidRPr="00547DA6" w:rsidRDefault="002D7804">
            <w:pPr>
              <w:pStyle w:val="Tabletext"/>
              <w:keepNext/>
              <w:rPr>
                <w:b/>
                <w:bCs/>
              </w:rPr>
            </w:pPr>
            <w:r w:rsidRPr="00547DA6">
              <w:rPr>
                <w:b/>
                <w:bCs/>
              </w:rPr>
              <w:t>Step 2 (cost per LY – 5% discounting)</w:t>
            </w:r>
          </w:p>
        </w:tc>
      </w:tr>
      <w:tr w:rsidR="00EB5EE2" w:rsidRPr="00013463" w14:paraId="56C24666" w14:textId="77777777">
        <w:tc>
          <w:tcPr>
            <w:tcW w:w="1256" w:type="pct"/>
          </w:tcPr>
          <w:p w14:paraId="339E91F8" w14:textId="77777777" w:rsidR="00EB5EE2" w:rsidRPr="00013463" w:rsidRDefault="00EB5EE2">
            <w:pPr>
              <w:pStyle w:val="Tabletext"/>
              <w:keepNext/>
            </w:pPr>
            <w:r w:rsidRPr="00013463">
              <w:t>Selpercatinib</w:t>
            </w:r>
          </w:p>
        </w:tc>
        <w:tc>
          <w:tcPr>
            <w:tcW w:w="786" w:type="pct"/>
            <w:vAlign w:val="center"/>
          </w:tcPr>
          <w:p w14:paraId="6552A983" w14:textId="7FF5DD99" w:rsidR="00EB5EE2" w:rsidRPr="00013463" w:rsidRDefault="00EB5EE2">
            <w:pPr>
              <w:pStyle w:val="Tabletext"/>
              <w:keepNext/>
              <w:jc w:val="center"/>
            </w:pPr>
            <w:r w:rsidRPr="00013463">
              <w:t>$</w:t>
            </w:r>
            <w:r w:rsidR="00DA3714" w:rsidRPr="00DA3714">
              <w:rPr>
                <w:color w:val="000000"/>
                <w:shd w:val="solid" w:color="000000" w:fill="000000"/>
                <w14:textFill>
                  <w14:solidFill>
                    <w14:srgbClr w14:val="000000">
                      <w14:alpha w14:val="100000"/>
                    </w14:srgbClr>
                  </w14:solidFill>
                </w14:textFill>
              </w:rPr>
              <w:t>|</w:t>
            </w:r>
          </w:p>
        </w:tc>
        <w:tc>
          <w:tcPr>
            <w:tcW w:w="707" w:type="pct"/>
            <w:vMerge w:val="restart"/>
            <w:vAlign w:val="center"/>
          </w:tcPr>
          <w:p w14:paraId="2F3DFF4D" w14:textId="139FDA4F" w:rsidR="00EB5EE2" w:rsidRPr="00013463" w:rsidRDefault="00EB5EE2">
            <w:pPr>
              <w:pStyle w:val="Tabletext"/>
              <w:keepNext/>
              <w:jc w:val="center"/>
            </w:pPr>
            <w:r w:rsidRPr="00013463">
              <w:t>$</w:t>
            </w:r>
            <w:r w:rsidR="00DA3714" w:rsidRPr="00DA3714">
              <w:rPr>
                <w:rFonts w:hint="eastAsia"/>
                <w:color w:val="000000"/>
                <w:w w:val="15"/>
                <w:shd w:val="solid" w:color="000000" w:fill="000000"/>
                <w:fitText w:val="60" w:id="-893663472"/>
                <w14:textFill>
                  <w14:solidFill>
                    <w14:srgbClr w14:val="000000">
                      <w14:alpha w14:val="100000"/>
                    </w14:srgbClr>
                  </w14:solidFill>
                </w14:textFill>
              </w:rPr>
              <w:t xml:space="preserve">　</w:t>
            </w:r>
            <w:r w:rsidR="00DA3714" w:rsidRPr="00DA3714">
              <w:rPr>
                <w:color w:val="000000"/>
                <w:w w:val="15"/>
                <w:shd w:val="solid" w:color="000000" w:fill="000000"/>
                <w:fitText w:val="60" w:id="-893663472"/>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72"/>
                <w14:textFill>
                  <w14:solidFill>
                    <w14:srgbClr w14:val="000000">
                      <w14:alpha w14:val="100000"/>
                    </w14:srgbClr>
                  </w14:solidFill>
                </w14:textFill>
              </w:rPr>
              <w:t xml:space="preserve">　</w:t>
            </w:r>
          </w:p>
        </w:tc>
        <w:tc>
          <w:tcPr>
            <w:tcW w:w="760" w:type="pct"/>
            <w:vAlign w:val="center"/>
          </w:tcPr>
          <w:p w14:paraId="7877F859" w14:textId="77777777" w:rsidR="00EB5EE2" w:rsidRPr="00013463" w:rsidRDefault="00EB5EE2">
            <w:pPr>
              <w:pStyle w:val="Tabletext"/>
              <w:keepNext/>
              <w:jc w:val="center"/>
            </w:pPr>
            <w:r w:rsidRPr="00013463">
              <w:t>4.057</w:t>
            </w:r>
          </w:p>
        </w:tc>
        <w:tc>
          <w:tcPr>
            <w:tcW w:w="738" w:type="pct"/>
            <w:vMerge w:val="restart"/>
            <w:vAlign w:val="center"/>
          </w:tcPr>
          <w:p w14:paraId="2D7F6432" w14:textId="77777777" w:rsidR="00EB5EE2" w:rsidRPr="00013463" w:rsidRDefault="00EB5EE2">
            <w:pPr>
              <w:pStyle w:val="Tabletext"/>
              <w:keepNext/>
              <w:jc w:val="center"/>
            </w:pPr>
            <w:r w:rsidRPr="00013463">
              <w:t>1.687</w:t>
            </w:r>
          </w:p>
        </w:tc>
        <w:tc>
          <w:tcPr>
            <w:tcW w:w="753" w:type="pct"/>
            <w:vMerge w:val="restart"/>
            <w:vAlign w:val="center"/>
          </w:tcPr>
          <w:p w14:paraId="0B33A15E" w14:textId="1504D380" w:rsidR="00EB5EE2" w:rsidRPr="00013463" w:rsidRDefault="00EB5EE2">
            <w:pPr>
              <w:pStyle w:val="Tabletext"/>
              <w:keepNext/>
              <w:jc w:val="center"/>
            </w:pPr>
            <w:r w:rsidRPr="00013463">
              <w:t>$</w:t>
            </w:r>
            <w:r w:rsidR="00DA3714" w:rsidRPr="00DA3714">
              <w:rPr>
                <w:color w:val="000000"/>
                <w:spacing w:val="94"/>
                <w:shd w:val="solid" w:color="000000" w:fill="000000"/>
                <w:fitText w:val="180" w:id="-893663488"/>
                <w14:textFill>
                  <w14:solidFill>
                    <w14:srgbClr w14:val="000000">
                      <w14:alpha w14:val="100000"/>
                    </w14:srgbClr>
                  </w14:solidFill>
                </w14:textFill>
              </w:rPr>
              <w:t>|</w:t>
            </w:r>
            <w:r w:rsidR="00DA3714" w:rsidRPr="00DA3714">
              <w:rPr>
                <w:color w:val="000000"/>
                <w:spacing w:val="1"/>
                <w:shd w:val="solid" w:color="000000" w:fill="000000"/>
                <w:fitText w:val="180" w:id="-893663488"/>
                <w14:textFill>
                  <w14:solidFill>
                    <w14:srgbClr w14:val="000000">
                      <w14:alpha w14:val="100000"/>
                    </w14:srgbClr>
                  </w14:solidFill>
                </w14:textFill>
              </w:rPr>
              <w:t>|</w:t>
            </w:r>
            <w:r w:rsidR="00C23D40" w:rsidRPr="00B71856">
              <w:rPr>
                <w:vertAlign w:val="superscript"/>
              </w:rPr>
              <w:t>2</w:t>
            </w:r>
            <w:r w:rsidRPr="00013463">
              <w:t>/LY</w:t>
            </w:r>
          </w:p>
        </w:tc>
      </w:tr>
      <w:tr w:rsidR="00EB5EE2" w:rsidRPr="00013463" w14:paraId="644AD46E" w14:textId="77777777">
        <w:trPr>
          <w:cnfStyle w:val="000000100000" w:firstRow="0" w:lastRow="0" w:firstColumn="0" w:lastColumn="0" w:oddVBand="0" w:evenVBand="0" w:oddHBand="1" w:evenHBand="0" w:firstRowFirstColumn="0" w:firstRowLastColumn="0" w:lastRowFirstColumn="0" w:lastRowLastColumn="0"/>
        </w:trPr>
        <w:tc>
          <w:tcPr>
            <w:tcW w:w="1256" w:type="pct"/>
          </w:tcPr>
          <w:p w14:paraId="76139A2F" w14:textId="77777777" w:rsidR="00EB5EE2" w:rsidRPr="00013463" w:rsidRDefault="00EB5EE2">
            <w:pPr>
              <w:pStyle w:val="Tabletext"/>
              <w:keepNext/>
            </w:pPr>
            <w:r w:rsidRPr="00013463">
              <w:t xml:space="preserve">Pembrolizumab </w:t>
            </w:r>
            <w:r>
              <w:t>+ PC</w:t>
            </w:r>
          </w:p>
        </w:tc>
        <w:tc>
          <w:tcPr>
            <w:tcW w:w="786" w:type="pct"/>
            <w:vAlign w:val="center"/>
          </w:tcPr>
          <w:p w14:paraId="690EE2D3" w14:textId="77777777" w:rsidR="00EB5EE2" w:rsidRPr="00013463" w:rsidRDefault="00EB5EE2">
            <w:pPr>
              <w:pStyle w:val="Tabletext"/>
              <w:keepNext/>
              <w:jc w:val="center"/>
            </w:pPr>
            <w:r w:rsidRPr="00013463">
              <w:t>$</w:t>
            </w:r>
            <w:r w:rsidRPr="00DA0FB0">
              <w:t>159,603</w:t>
            </w:r>
          </w:p>
        </w:tc>
        <w:tc>
          <w:tcPr>
            <w:tcW w:w="707" w:type="pct"/>
            <w:vMerge/>
            <w:vAlign w:val="center"/>
          </w:tcPr>
          <w:p w14:paraId="7B20AC43" w14:textId="77777777" w:rsidR="00EB5EE2" w:rsidRPr="00013463" w:rsidRDefault="00EB5EE2">
            <w:pPr>
              <w:pStyle w:val="Tabletext"/>
              <w:keepNext/>
              <w:jc w:val="center"/>
            </w:pPr>
          </w:p>
        </w:tc>
        <w:tc>
          <w:tcPr>
            <w:tcW w:w="760" w:type="pct"/>
            <w:vAlign w:val="center"/>
          </w:tcPr>
          <w:p w14:paraId="2F7D90F5" w14:textId="77777777" w:rsidR="00EB5EE2" w:rsidRPr="00013463" w:rsidRDefault="00EB5EE2">
            <w:pPr>
              <w:pStyle w:val="Tabletext"/>
              <w:keepNext/>
              <w:jc w:val="center"/>
            </w:pPr>
            <w:r w:rsidRPr="00013463">
              <w:t>2.370</w:t>
            </w:r>
          </w:p>
        </w:tc>
        <w:tc>
          <w:tcPr>
            <w:tcW w:w="738" w:type="pct"/>
            <w:vMerge/>
            <w:vAlign w:val="center"/>
          </w:tcPr>
          <w:p w14:paraId="7F2EE257" w14:textId="77777777" w:rsidR="00EB5EE2" w:rsidRPr="00013463" w:rsidRDefault="00EB5EE2">
            <w:pPr>
              <w:pStyle w:val="Tabletext"/>
              <w:keepNext/>
              <w:jc w:val="center"/>
            </w:pPr>
          </w:p>
        </w:tc>
        <w:tc>
          <w:tcPr>
            <w:tcW w:w="753" w:type="pct"/>
            <w:vMerge/>
            <w:vAlign w:val="center"/>
          </w:tcPr>
          <w:p w14:paraId="44AE0D8E" w14:textId="77777777" w:rsidR="00EB5EE2" w:rsidRPr="00013463" w:rsidRDefault="00EB5EE2">
            <w:pPr>
              <w:pStyle w:val="Tabletext"/>
              <w:keepNext/>
              <w:jc w:val="center"/>
            </w:pPr>
          </w:p>
        </w:tc>
      </w:tr>
      <w:tr w:rsidR="002D7804" w:rsidRPr="00013463" w14:paraId="7A2E6E33" w14:textId="77777777">
        <w:tc>
          <w:tcPr>
            <w:tcW w:w="5000" w:type="pct"/>
            <w:gridSpan w:val="6"/>
            <w:hideMark/>
          </w:tcPr>
          <w:p w14:paraId="25C4639E" w14:textId="77777777" w:rsidR="002D7804" w:rsidRPr="00547DA6" w:rsidRDefault="002D7804">
            <w:pPr>
              <w:pStyle w:val="Tabletext"/>
              <w:keepNext/>
              <w:rPr>
                <w:b/>
                <w:bCs/>
              </w:rPr>
            </w:pPr>
            <w:r w:rsidRPr="00547DA6">
              <w:rPr>
                <w:b/>
                <w:bCs/>
              </w:rPr>
              <w:t>Step 3 (cost per QALY)</w:t>
            </w:r>
          </w:p>
        </w:tc>
      </w:tr>
      <w:tr w:rsidR="00EB5EE2" w:rsidRPr="00013463" w14:paraId="5D1ACDDD" w14:textId="77777777">
        <w:trPr>
          <w:cnfStyle w:val="000000100000" w:firstRow="0" w:lastRow="0" w:firstColumn="0" w:lastColumn="0" w:oddVBand="0" w:evenVBand="0" w:oddHBand="1" w:evenHBand="0" w:firstRowFirstColumn="0" w:firstRowLastColumn="0" w:lastRowFirstColumn="0" w:lastRowLastColumn="0"/>
        </w:trPr>
        <w:tc>
          <w:tcPr>
            <w:tcW w:w="1256" w:type="pct"/>
          </w:tcPr>
          <w:p w14:paraId="62469782" w14:textId="77777777" w:rsidR="00EB5EE2" w:rsidRPr="00013463" w:rsidRDefault="00EB5EE2">
            <w:pPr>
              <w:pStyle w:val="Tabletext"/>
              <w:keepNext/>
            </w:pPr>
            <w:r w:rsidRPr="00013463">
              <w:t>Selpercatinib</w:t>
            </w:r>
          </w:p>
        </w:tc>
        <w:tc>
          <w:tcPr>
            <w:tcW w:w="786" w:type="pct"/>
            <w:vAlign w:val="center"/>
          </w:tcPr>
          <w:p w14:paraId="492F2F2B" w14:textId="0DDCCE5B" w:rsidR="00EB5EE2" w:rsidRPr="00013463" w:rsidRDefault="00EB5EE2">
            <w:pPr>
              <w:pStyle w:val="Tabletext"/>
              <w:keepNext/>
              <w:jc w:val="center"/>
            </w:pPr>
            <w:r w:rsidRPr="00013463">
              <w:t>$</w:t>
            </w:r>
            <w:r w:rsidR="00DA3714" w:rsidRPr="00DA3714">
              <w:rPr>
                <w:color w:val="000000"/>
                <w:shd w:val="solid" w:color="000000" w:fill="000000"/>
                <w14:textFill>
                  <w14:solidFill>
                    <w14:srgbClr w14:val="000000">
                      <w14:alpha w14:val="100000"/>
                    </w14:srgbClr>
                  </w14:solidFill>
                </w14:textFill>
              </w:rPr>
              <w:t>|</w:t>
            </w:r>
          </w:p>
        </w:tc>
        <w:tc>
          <w:tcPr>
            <w:tcW w:w="707" w:type="pct"/>
            <w:vMerge w:val="restart"/>
            <w:vAlign w:val="center"/>
          </w:tcPr>
          <w:p w14:paraId="32314F67" w14:textId="7B442036" w:rsidR="00EB5EE2" w:rsidRPr="00013463" w:rsidRDefault="00EB5EE2">
            <w:pPr>
              <w:pStyle w:val="Tabletext"/>
              <w:keepNext/>
              <w:jc w:val="center"/>
            </w:pPr>
            <w:r w:rsidRPr="00013463">
              <w:t>$</w:t>
            </w:r>
            <w:r w:rsidR="00DA3714" w:rsidRPr="00DA3714">
              <w:rPr>
                <w:rFonts w:hint="eastAsia"/>
                <w:color w:val="000000"/>
                <w:w w:val="15"/>
                <w:shd w:val="solid" w:color="000000" w:fill="000000"/>
                <w:fitText w:val="60" w:id="-893663487"/>
                <w14:textFill>
                  <w14:solidFill>
                    <w14:srgbClr w14:val="000000">
                      <w14:alpha w14:val="100000"/>
                    </w14:srgbClr>
                  </w14:solidFill>
                </w14:textFill>
              </w:rPr>
              <w:t xml:space="preserve">　</w:t>
            </w:r>
            <w:r w:rsidR="00DA3714" w:rsidRPr="00DA3714">
              <w:rPr>
                <w:color w:val="000000"/>
                <w:w w:val="15"/>
                <w:shd w:val="solid" w:color="000000" w:fill="000000"/>
                <w:fitText w:val="60" w:id="-893663487"/>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87"/>
                <w14:textFill>
                  <w14:solidFill>
                    <w14:srgbClr w14:val="000000">
                      <w14:alpha w14:val="100000"/>
                    </w14:srgbClr>
                  </w14:solidFill>
                </w14:textFill>
              </w:rPr>
              <w:t xml:space="preserve">　</w:t>
            </w:r>
          </w:p>
        </w:tc>
        <w:tc>
          <w:tcPr>
            <w:tcW w:w="760" w:type="pct"/>
            <w:vAlign w:val="center"/>
          </w:tcPr>
          <w:p w14:paraId="28BFE089" w14:textId="77777777" w:rsidR="00EB5EE2" w:rsidRPr="00013463" w:rsidRDefault="00EB5EE2">
            <w:pPr>
              <w:pStyle w:val="Tabletext"/>
              <w:keepNext/>
              <w:jc w:val="center"/>
            </w:pPr>
            <w:r w:rsidRPr="00013463">
              <w:t>3.043</w:t>
            </w:r>
          </w:p>
        </w:tc>
        <w:tc>
          <w:tcPr>
            <w:tcW w:w="738" w:type="pct"/>
            <w:vMerge w:val="restart"/>
            <w:vAlign w:val="center"/>
          </w:tcPr>
          <w:p w14:paraId="6415B17F" w14:textId="77777777" w:rsidR="00EB5EE2" w:rsidRPr="00013463" w:rsidRDefault="00EB5EE2">
            <w:pPr>
              <w:pStyle w:val="Tabletext"/>
              <w:keepNext/>
              <w:jc w:val="center"/>
            </w:pPr>
            <w:r w:rsidRPr="00013463">
              <w:t>1.270</w:t>
            </w:r>
          </w:p>
        </w:tc>
        <w:tc>
          <w:tcPr>
            <w:tcW w:w="753" w:type="pct"/>
            <w:vMerge w:val="restart"/>
            <w:vAlign w:val="center"/>
          </w:tcPr>
          <w:p w14:paraId="2F474B26" w14:textId="38D02E2C" w:rsidR="00EB5EE2" w:rsidRPr="00E2432E" w:rsidRDefault="00EB5EE2">
            <w:pPr>
              <w:pStyle w:val="Tabletext"/>
              <w:keepNext/>
              <w:jc w:val="center"/>
              <w:rPr>
                <w:b/>
                <w:bCs/>
              </w:rPr>
            </w:pPr>
            <w:r w:rsidRPr="00E2432E">
              <w:rPr>
                <w:b/>
                <w:bCs/>
              </w:rPr>
              <w:t>$</w:t>
            </w:r>
            <w:r w:rsidR="00DA3714" w:rsidRPr="00DA3714">
              <w:rPr>
                <w:b/>
                <w:bCs/>
                <w:color w:val="000000"/>
                <w:spacing w:val="48"/>
                <w:shd w:val="solid" w:color="000000" w:fill="000000"/>
                <w:fitText w:val="330" w:id="-893663486"/>
                <w14:textFill>
                  <w14:solidFill>
                    <w14:srgbClr w14:val="000000">
                      <w14:alpha w14:val="100000"/>
                    </w14:srgbClr>
                  </w14:solidFill>
                </w14:textFill>
              </w:rPr>
              <w:t>|||</w:t>
            </w:r>
            <w:r w:rsidR="00DA3714" w:rsidRPr="00DA3714">
              <w:rPr>
                <w:b/>
                <w:bCs/>
                <w:color w:val="000000"/>
                <w:spacing w:val="3"/>
                <w:shd w:val="solid" w:color="000000" w:fill="000000"/>
                <w:fitText w:val="330" w:id="-893663486"/>
                <w14:textFill>
                  <w14:solidFill>
                    <w14:srgbClr w14:val="000000">
                      <w14:alpha w14:val="100000"/>
                    </w14:srgbClr>
                  </w14:solidFill>
                </w14:textFill>
              </w:rPr>
              <w:t>|</w:t>
            </w:r>
            <w:r w:rsidR="00DB3145" w:rsidRPr="00B71856">
              <w:rPr>
                <w:vertAlign w:val="superscript"/>
              </w:rPr>
              <w:t>1</w:t>
            </w:r>
            <w:r w:rsidRPr="00E2432E">
              <w:rPr>
                <w:b/>
                <w:bCs/>
              </w:rPr>
              <w:t>/QALY</w:t>
            </w:r>
          </w:p>
        </w:tc>
      </w:tr>
      <w:tr w:rsidR="00EB5EE2" w:rsidRPr="00013463" w14:paraId="1CCDC3A3" w14:textId="77777777">
        <w:tc>
          <w:tcPr>
            <w:tcW w:w="1256" w:type="pct"/>
          </w:tcPr>
          <w:p w14:paraId="6858880D" w14:textId="77777777" w:rsidR="00EB5EE2" w:rsidRPr="00013463" w:rsidRDefault="00EB5EE2">
            <w:pPr>
              <w:pStyle w:val="Tabletext"/>
              <w:keepNext/>
            </w:pPr>
            <w:r w:rsidRPr="00013463">
              <w:t xml:space="preserve">Pembrolizumab </w:t>
            </w:r>
            <w:r>
              <w:t>+ PC</w:t>
            </w:r>
          </w:p>
        </w:tc>
        <w:tc>
          <w:tcPr>
            <w:tcW w:w="786" w:type="pct"/>
            <w:vAlign w:val="center"/>
          </w:tcPr>
          <w:p w14:paraId="276842BA" w14:textId="77777777" w:rsidR="00EB5EE2" w:rsidRPr="00013463" w:rsidRDefault="00EB5EE2">
            <w:pPr>
              <w:pStyle w:val="Tabletext"/>
              <w:keepNext/>
              <w:jc w:val="center"/>
            </w:pPr>
            <w:r w:rsidRPr="00013463">
              <w:t>$</w:t>
            </w:r>
            <w:r w:rsidRPr="00DA0FB0">
              <w:t>159,603</w:t>
            </w:r>
          </w:p>
        </w:tc>
        <w:tc>
          <w:tcPr>
            <w:tcW w:w="707" w:type="pct"/>
            <w:vMerge/>
            <w:vAlign w:val="center"/>
          </w:tcPr>
          <w:p w14:paraId="65D4918A" w14:textId="77777777" w:rsidR="00EB5EE2" w:rsidRPr="00013463" w:rsidRDefault="00EB5EE2">
            <w:pPr>
              <w:pStyle w:val="Tabletext"/>
              <w:keepNext/>
              <w:jc w:val="center"/>
            </w:pPr>
          </w:p>
        </w:tc>
        <w:tc>
          <w:tcPr>
            <w:tcW w:w="760" w:type="pct"/>
            <w:vAlign w:val="center"/>
          </w:tcPr>
          <w:p w14:paraId="26E04F46" w14:textId="77777777" w:rsidR="00EB5EE2" w:rsidRPr="00013463" w:rsidRDefault="00EB5EE2">
            <w:pPr>
              <w:pStyle w:val="Tabletext"/>
              <w:keepNext/>
              <w:jc w:val="center"/>
            </w:pPr>
            <w:r w:rsidRPr="00013463">
              <w:t>1.773</w:t>
            </w:r>
          </w:p>
        </w:tc>
        <w:tc>
          <w:tcPr>
            <w:tcW w:w="738" w:type="pct"/>
            <w:vMerge/>
            <w:vAlign w:val="center"/>
          </w:tcPr>
          <w:p w14:paraId="064DF8BD" w14:textId="77777777" w:rsidR="00EB5EE2" w:rsidRPr="00013463" w:rsidRDefault="00EB5EE2">
            <w:pPr>
              <w:pStyle w:val="Tabletext"/>
              <w:keepNext/>
              <w:jc w:val="center"/>
            </w:pPr>
          </w:p>
        </w:tc>
        <w:tc>
          <w:tcPr>
            <w:tcW w:w="753" w:type="pct"/>
            <w:vMerge/>
            <w:vAlign w:val="center"/>
          </w:tcPr>
          <w:p w14:paraId="784C28FF" w14:textId="77777777" w:rsidR="00EB5EE2" w:rsidRPr="00013463" w:rsidRDefault="00EB5EE2">
            <w:pPr>
              <w:pStyle w:val="Tabletext"/>
              <w:keepNext/>
              <w:jc w:val="center"/>
            </w:pPr>
          </w:p>
        </w:tc>
      </w:tr>
      <w:tr w:rsidR="002D7804" w:rsidRPr="00013463" w14:paraId="004A778F"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shd w:val="clear" w:color="auto" w:fill="B8CCE4" w:themeFill="accent1" w:themeFillTint="66"/>
          </w:tcPr>
          <w:p w14:paraId="1CD70794" w14:textId="77777777" w:rsidR="002D7804" w:rsidRPr="00F13699" w:rsidRDefault="002D7804">
            <w:pPr>
              <w:pStyle w:val="Tabletext"/>
              <w:keepNext/>
              <w:rPr>
                <w:b/>
                <w:bCs/>
              </w:rPr>
            </w:pPr>
            <w:r w:rsidRPr="00F13699">
              <w:rPr>
                <w:b/>
                <w:bCs/>
              </w:rPr>
              <w:t>July 2023 submission</w:t>
            </w:r>
          </w:p>
        </w:tc>
      </w:tr>
      <w:tr w:rsidR="00EB5EE2" w:rsidRPr="00013463" w14:paraId="2352B6BB" w14:textId="77777777" w:rsidTr="00EB5EE2">
        <w:tc>
          <w:tcPr>
            <w:tcW w:w="5000" w:type="pct"/>
            <w:gridSpan w:val="6"/>
            <w:shd w:val="clear" w:color="auto" w:fill="B8CCE4" w:themeFill="accent1" w:themeFillTint="66"/>
          </w:tcPr>
          <w:p w14:paraId="61B9788D" w14:textId="419F1BFD" w:rsidR="00EB5EE2" w:rsidRPr="00F13699" w:rsidRDefault="00EB5EE2" w:rsidP="00E2432E">
            <w:pPr>
              <w:pStyle w:val="Tabletext"/>
              <w:keepNext/>
            </w:pPr>
            <w:r w:rsidRPr="00F13699">
              <w:rPr>
                <w:b/>
                <w:bCs/>
              </w:rPr>
              <w:t>Step 3 (cost per QALY)</w:t>
            </w:r>
          </w:p>
        </w:tc>
      </w:tr>
      <w:tr w:rsidR="00EB5EE2" w:rsidRPr="00013463" w14:paraId="7E202488" w14:textId="77777777">
        <w:trPr>
          <w:cnfStyle w:val="000000100000" w:firstRow="0" w:lastRow="0" w:firstColumn="0" w:lastColumn="0" w:oddVBand="0" w:evenVBand="0" w:oddHBand="1" w:evenHBand="0" w:firstRowFirstColumn="0" w:firstRowLastColumn="0" w:lastRowFirstColumn="0" w:lastRowLastColumn="0"/>
        </w:trPr>
        <w:tc>
          <w:tcPr>
            <w:tcW w:w="1256" w:type="pct"/>
            <w:shd w:val="clear" w:color="auto" w:fill="B8CCE4" w:themeFill="accent1" w:themeFillTint="66"/>
          </w:tcPr>
          <w:p w14:paraId="3738F7EE" w14:textId="77777777" w:rsidR="00EB5EE2" w:rsidRPr="00F13699" w:rsidRDefault="00EB5EE2">
            <w:pPr>
              <w:pStyle w:val="Tabletext"/>
              <w:keepNext/>
            </w:pPr>
            <w:r w:rsidRPr="00F13699">
              <w:t>Selpercatinib</w:t>
            </w:r>
          </w:p>
        </w:tc>
        <w:tc>
          <w:tcPr>
            <w:tcW w:w="786" w:type="pct"/>
            <w:shd w:val="clear" w:color="auto" w:fill="B8CCE4" w:themeFill="accent1" w:themeFillTint="66"/>
            <w:vAlign w:val="center"/>
          </w:tcPr>
          <w:p w14:paraId="1F8C30B1" w14:textId="3C6BB455" w:rsidR="00EB5EE2" w:rsidRPr="00F13699" w:rsidRDefault="00EB5EE2">
            <w:pPr>
              <w:pStyle w:val="Tabletext"/>
              <w:keepNext/>
              <w:jc w:val="center"/>
            </w:pPr>
            <w:r w:rsidRPr="00F13699">
              <w:t>$</w:t>
            </w:r>
            <w:r w:rsidR="00DA3714" w:rsidRPr="00DA3714">
              <w:rPr>
                <w:color w:val="000000"/>
                <w:shd w:val="solid" w:color="000000" w:fill="000000"/>
                <w14:textFill>
                  <w14:solidFill>
                    <w14:srgbClr w14:val="000000">
                      <w14:alpha w14:val="100000"/>
                    </w14:srgbClr>
                  </w14:solidFill>
                </w14:textFill>
              </w:rPr>
              <w:t>|</w:t>
            </w:r>
          </w:p>
        </w:tc>
        <w:tc>
          <w:tcPr>
            <w:tcW w:w="707" w:type="pct"/>
            <w:vMerge w:val="restart"/>
            <w:shd w:val="clear" w:color="auto" w:fill="B8CCE4" w:themeFill="accent1" w:themeFillTint="66"/>
            <w:vAlign w:val="center"/>
          </w:tcPr>
          <w:p w14:paraId="6034B7DD" w14:textId="34A82DA7" w:rsidR="00EB5EE2" w:rsidRPr="00F13699" w:rsidRDefault="00EB5EE2">
            <w:pPr>
              <w:pStyle w:val="Tabletext"/>
              <w:keepNext/>
              <w:jc w:val="center"/>
            </w:pPr>
            <w:r w:rsidRPr="00F13699">
              <w:t>$</w:t>
            </w:r>
            <w:r w:rsidR="00DA3714" w:rsidRPr="00DA3714">
              <w:rPr>
                <w:rFonts w:hint="eastAsia"/>
                <w:color w:val="000000"/>
                <w:w w:val="15"/>
                <w:shd w:val="solid" w:color="000000" w:fill="000000"/>
                <w:fitText w:val="60" w:id="-893663485"/>
                <w14:textFill>
                  <w14:solidFill>
                    <w14:srgbClr w14:val="000000">
                      <w14:alpha w14:val="100000"/>
                    </w14:srgbClr>
                  </w14:solidFill>
                </w14:textFill>
              </w:rPr>
              <w:t xml:space="preserve">　</w:t>
            </w:r>
            <w:r w:rsidR="00DA3714" w:rsidRPr="00DA3714">
              <w:rPr>
                <w:color w:val="000000"/>
                <w:w w:val="15"/>
                <w:shd w:val="solid" w:color="000000" w:fill="000000"/>
                <w:fitText w:val="60" w:id="-893663485"/>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85"/>
                <w14:textFill>
                  <w14:solidFill>
                    <w14:srgbClr w14:val="000000">
                      <w14:alpha w14:val="100000"/>
                    </w14:srgbClr>
                  </w14:solidFill>
                </w14:textFill>
              </w:rPr>
              <w:t xml:space="preserve">　</w:t>
            </w:r>
          </w:p>
        </w:tc>
        <w:tc>
          <w:tcPr>
            <w:tcW w:w="760" w:type="pct"/>
            <w:shd w:val="clear" w:color="auto" w:fill="B8CCE4" w:themeFill="accent1" w:themeFillTint="66"/>
            <w:vAlign w:val="center"/>
          </w:tcPr>
          <w:p w14:paraId="617E70A6" w14:textId="77777777" w:rsidR="00EB5EE2" w:rsidRPr="00F13699" w:rsidRDefault="00EB5EE2">
            <w:pPr>
              <w:pStyle w:val="Tabletext"/>
              <w:keepNext/>
              <w:jc w:val="center"/>
            </w:pPr>
            <w:r w:rsidRPr="00F13699">
              <w:t>3.289</w:t>
            </w:r>
          </w:p>
        </w:tc>
        <w:tc>
          <w:tcPr>
            <w:tcW w:w="738" w:type="pct"/>
            <w:vMerge w:val="restart"/>
            <w:shd w:val="clear" w:color="auto" w:fill="B8CCE4" w:themeFill="accent1" w:themeFillTint="66"/>
            <w:vAlign w:val="center"/>
          </w:tcPr>
          <w:p w14:paraId="4AB48890" w14:textId="77777777" w:rsidR="00EB5EE2" w:rsidRPr="00F13699" w:rsidRDefault="00EB5EE2">
            <w:pPr>
              <w:pStyle w:val="Tabletext"/>
              <w:keepNext/>
              <w:jc w:val="center"/>
            </w:pPr>
            <w:r w:rsidRPr="00F13699">
              <w:t>1.852</w:t>
            </w:r>
          </w:p>
        </w:tc>
        <w:tc>
          <w:tcPr>
            <w:tcW w:w="753" w:type="pct"/>
            <w:vMerge w:val="restart"/>
            <w:shd w:val="clear" w:color="auto" w:fill="B8CCE4" w:themeFill="accent1" w:themeFillTint="66"/>
            <w:vAlign w:val="center"/>
          </w:tcPr>
          <w:p w14:paraId="0AE7EA9C" w14:textId="01A47CCA" w:rsidR="00EB5EE2" w:rsidRPr="00F13699" w:rsidRDefault="00EB5EE2">
            <w:pPr>
              <w:pStyle w:val="Tabletext"/>
              <w:keepNext/>
              <w:jc w:val="center"/>
            </w:pPr>
            <w:r w:rsidRPr="00F13699">
              <w:t>$</w:t>
            </w:r>
            <w:r w:rsidR="00DA3714" w:rsidRPr="00DA3714">
              <w:rPr>
                <w:color w:val="000000"/>
                <w:spacing w:val="214"/>
                <w:shd w:val="solid" w:color="000000" w:fill="000000"/>
                <w:fitText w:val="300" w:id="-893663484"/>
                <w14:textFill>
                  <w14:solidFill>
                    <w14:srgbClr w14:val="000000">
                      <w14:alpha w14:val="100000"/>
                    </w14:srgbClr>
                  </w14:solidFill>
                </w14:textFill>
              </w:rPr>
              <w:t>|</w:t>
            </w:r>
            <w:r w:rsidR="00DA3714" w:rsidRPr="00DA3714">
              <w:rPr>
                <w:color w:val="000000"/>
                <w:spacing w:val="1"/>
                <w:shd w:val="solid" w:color="000000" w:fill="000000"/>
                <w:fitText w:val="300" w:id="-893663484"/>
                <w14:textFill>
                  <w14:solidFill>
                    <w14:srgbClr w14:val="000000">
                      <w14:alpha w14:val="100000"/>
                    </w14:srgbClr>
                  </w14:solidFill>
                </w14:textFill>
              </w:rPr>
              <w:t>|</w:t>
            </w:r>
            <w:r w:rsidR="00C23D40" w:rsidRPr="00B71856">
              <w:rPr>
                <w:vertAlign w:val="superscript"/>
              </w:rPr>
              <w:t>2</w:t>
            </w:r>
            <w:r w:rsidRPr="00F13699">
              <w:t>/QALY</w:t>
            </w:r>
          </w:p>
        </w:tc>
      </w:tr>
      <w:tr w:rsidR="00EB5EE2" w:rsidRPr="00013463" w14:paraId="1EF5EF93" w14:textId="77777777">
        <w:tc>
          <w:tcPr>
            <w:tcW w:w="1256" w:type="pct"/>
            <w:shd w:val="clear" w:color="auto" w:fill="B8CCE4" w:themeFill="accent1" w:themeFillTint="66"/>
          </w:tcPr>
          <w:p w14:paraId="322668A6" w14:textId="77777777" w:rsidR="00EB5EE2" w:rsidRPr="00F13699" w:rsidRDefault="00EB5EE2">
            <w:pPr>
              <w:pStyle w:val="Tabletext"/>
              <w:keepNext/>
            </w:pPr>
            <w:r w:rsidRPr="00F13699">
              <w:t>Pembrolizumab + PC</w:t>
            </w:r>
          </w:p>
        </w:tc>
        <w:tc>
          <w:tcPr>
            <w:tcW w:w="786" w:type="pct"/>
            <w:shd w:val="clear" w:color="auto" w:fill="B8CCE4" w:themeFill="accent1" w:themeFillTint="66"/>
            <w:vAlign w:val="center"/>
          </w:tcPr>
          <w:p w14:paraId="068969DF" w14:textId="77777777" w:rsidR="00EB5EE2" w:rsidRPr="00F13699" w:rsidRDefault="00EB5EE2">
            <w:pPr>
              <w:pStyle w:val="Tabletext"/>
              <w:keepNext/>
              <w:jc w:val="center"/>
            </w:pPr>
            <w:r w:rsidRPr="00F13699">
              <w:t>$</w:t>
            </w:r>
            <w:r w:rsidRPr="00DA0FB0">
              <w:t>169,401</w:t>
            </w:r>
          </w:p>
        </w:tc>
        <w:tc>
          <w:tcPr>
            <w:tcW w:w="707" w:type="pct"/>
            <w:vMerge/>
            <w:shd w:val="clear" w:color="auto" w:fill="B8CCE4" w:themeFill="accent1" w:themeFillTint="66"/>
            <w:vAlign w:val="center"/>
          </w:tcPr>
          <w:p w14:paraId="60AF4103" w14:textId="77777777" w:rsidR="00EB5EE2" w:rsidRPr="00F13699" w:rsidRDefault="00EB5EE2">
            <w:pPr>
              <w:pStyle w:val="Tabletext"/>
              <w:keepNext/>
              <w:jc w:val="center"/>
            </w:pPr>
          </w:p>
        </w:tc>
        <w:tc>
          <w:tcPr>
            <w:tcW w:w="760" w:type="pct"/>
            <w:shd w:val="clear" w:color="auto" w:fill="B8CCE4" w:themeFill="accent1" w:themeFillTint="66"/>
            <w:vAlign w:val="center"/>
          </w:tcPr>
          <w:p w14:paraId="3E5E085A" w14:textId="77777777" w:rsidR="00EB5EE2" w:rsidRPr="00F13699" w:rsidRDefault="00EB5EE2">
            <w:pPr>
              <w:pStyle w:val="Tabletext"/>
              <w:keepNext/>
              <w:jc w:val="center"/>
            </w:pPr>
            <w:r w:rsidRPr="00F13699">
              <w:t>1.437</w:t>
            </w:r>
          </w:p>
        </w:tc>
        <w:tc>
          <w:tcPr>
            <w:tcW w:w="738" w:type="pct"/>
            <w:vMerge/>
            <w:shd w:val="clear" w:color="auto" w:fill="B8CCE4" w:themeFill="accent1" w:themeFillTint="66"/>
            <w:vAlign w:val="center"/>
          </w:tcPr>
          <w:p w14:paraId="38732CA1" w14:textId="77777777" w:rsidR="00EB5EE2" w:rsidRPr="00F13699" w:rsidRDefault="00EB5EE2">
            <w:pPr>
              <w:pStyle w:val="Tabletext"/>
              <w:keepNext/>
              <w:jc w:val="center"/>
            </w:pPr>
          </w:p>
        </w:tc>
        <w:tc>
          <w:tcPr>
            <w:tcW w:w="753" w:type="pct"/>
            <w:vMerge/>
            <w:shd w:val="clear" w:color="auto" w:fill="B8CCE4" w:themeFill="accent1" w:themeFillTint="66"/>
            <w:vAlign w:val="center"/>
          </w:tcPr>
          <w:p w14:paraId="3583DE5A" w14:textId="77777777" w:rsidR="00EB5EE2" w:rsidRPr="00F13699" w:rsidRDefault="00EB5EE2">
            <w:pPr>
              <w:pStyle w:val="Tabletext"/>
              <w:keepNext/>
              <w:jc w:val="center"/>
            </w:pPr>
          </w:p>
        </w:tc>
      </w:tr>
      <w:tr w:rsidR="002D7804" w:rsidRPr="00013463" w14:paraId="520A6A5B"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shd w:val="clear" w:color="auto" w:fill="B8CCE4" w:themeFill="accent1" w:themeFillTint="66"/>
          </w:tcPr>
          <w:p w14:paraId="5BF49BD0" w14:textId="77777777" w:rsidR="002D7804" w:rsidRPr="00F13699" w:rsidRDefault="002D7804">
            <w:pPr>
              <w:pStyle w:val="Tabletext"/>
              <w:keepNext/>
            </w:pPr>
            <w:r w:rsidRPr="00F13699">
              <w:rPr>
                <w:b/>
                <w:bCs/>
              </w:rPr>
              <w:t>July 2023 pre-PBAC response</w:t>
            </w:r>
          </w:p>
        </w:tc>
      </w:tr>
      <w:tr w:rsidR="00EB5EE2" w:rsidRPr="00013463" w14:paraId="6D877C0F" w14:textId="77777777" w:rsidTr="00EB5EE2">
        <w:tc>
          <w:tcPr>
            <w:tcW w:w="5000" w:type="pct"/>
            <w:gridSpan w:val="6"/>
            <w:shd w:val="clear" w:color="auto" w:fill="B8CCE4" w:themeFill="accent1" w:themeFillTint="66"/>
          </w:tcPr>
          <w:p w14:paraId="664483F7" w14:textId="1DB8C7AF" w:rsidR="00EB5EE2" w:rsidRPr="00F13699" w:rsidRDefault="00EB5EE2" w:rsidP="00E2432E">
            <w:pPr>
              <w:pStyle w:val="Tabletext"/>
              <w:keepNext/>
            </w:pPr>
            <w:r w:rsidRPr="00F13699">
              <w:rPr>
                <w:b/>
                <w:bCs/>
              </w:rPr>
              <w:t>Step 3 (cost per QALY)</w:t>
            </w:r>
          </w:p>
        </w:tc>
      </w:tr>
      <w:tr w:rsidR="00EB5EE2" w:rsidRPr="00013463" w14:paraId="28E8280B" w14:textId="77777777" w:rsidTr="00BC5A69">
        <w:trPr>
          <w:cnfStyle w:val="000000100000" w:firstRow="0" w:lastRow="0" w:firstColumn="0" w:lastColumn="0" w:oddVBand="0" w:evenVBand="0" w:oddHBand="1" w:evenHBand="0" w:firstRowFirstColumn="0" w:firstRowLastColumn="0" w:lastRowFirstColumn="0" w:lastRowLastColumn="0"/>
        </w:trPr>
        <w:tc>
          <w:tcPr>
            <w:tcW w:w="0" w:type="pct"/>
            <w:shd w:val="clear" w:color="auto" w:fill="B8CCE4" w:themeFill="accent1" w:themeFillTint="66"/>
          </w:tcPr>
          <w:p w14:paraId="01AF49C8" w14:textId="77777777" w:rsidR="00EB5EE2" w:rsidRPr="00F13699" w:rsidRDefault="00EB5EE2">
            <w:pPr>
              <w:pStyle w:val="Tabletext"/>
              <w:keepNext/>
              <w:rPr>
                <w:b/>
                <w:bCs/>
              </w:rPr>
            </w:pPr>
            <w:r w:rsidRPr="00F13699">
              <w:t>Selpercatinib</w:t>
            </w:r>
          </w:p>
        </w:tc>
        <w:tc>
          <w:tcPr>
            <w:tcW w:w="0" w:type="pct"/>
            <w:shd w:val="clear" w:color="auto" w:fill="B8CCE4" w:themeFill="accent1" w:themeFillTint="66"/>
            <w:vAlign w:val="center"/>
          </w:tcPr>
          <w:p w14:paraId="3CAE3AB9" w14:textId="77777777" w:rsidR="00EB5EE2" w:rsidRPr="00F13699" w:rsidRDefault="00EB5EE2">
            <w:pPr>
              <w:pStyle w:val="Tabletext"/>
              <w:keepNext/>
              <w:jc w:val="center"/>
            </w:pPr>
            <w:r w:rsidRPr="00F13699">
              <w:t>NR</w:t>
            </w:r>
          </w:p>
        </w:tc>
        <w:tc>
          <w:tcPr>
            <w:tcW w:w="0" w:type="pct"/>
            <w:vMerge w:val="restart"/>
            <w:shd w:val="clear" w:color="auto" w:fill="B8CCE4" w:themeFill="accent1" w:themeFillTint="66"/>
            <w:vAlign w:val="center"/>
          </w:tcPr>
          <w:p w14:paraId="030FA67A" w14:textId="77777777" w:rsidR="00EB5EE2" w:rsidRPr="00F13699" w:rsidRDefault="00EB5EE2">
            <w:pPr>
              <w:pStyle w:val="Tabletext"/>
              <w:keepNext/>
              <w:jc w:val="center"/>
            </w:pPr>
            <w:r w:rsidRPr="00F13699">
              <w:t>NR</w:t>
            </w:r>
          </w:p>
        </w:tc>
        <w:tc>
          <w:tcPr>
            <w:tcW w:w="0" w:type="pct"/>
            <w:shd w:val="clear" w:color="auto" w:fill="B8CCE4" w:themeFill="accent1" w:themeFillTint="66"/>
          </w:tcPr>
          <w:p w14:paraId="0A724395" w14:textId="77777777" w:rsidR="00EB5EE2" w:rsidRPr="00F13699" w:rsidRDefault="00EB5EE2">
            <w:pPr>
              <w:pStyle w:val="Tabletext"/>
              <w:keepNext/>
              <w:jc w:val="center"/>
            </w:pPr>
            <w:r w:rsidRPr="00F13699">
              <w:t>NR</w:t>
            </w:r>
          </w:p>
        </w:tc>
        <w:tc>
          <w:tcPr>
            <w:tcW w:w="0" w:type="pct"/>
            <w:vMerge w:val="restart"/>
            <w:shd w:val="clear" w:color="auto" w:fill="B8CCE4" w:themeFill="accent1" w:themeFillTint="66"/>
            <w:vAlign w:val="center"/>
          </w:tcPr>
          <w:p w14:paraId="5C975384" w14:textId="77777777" w:rsidR="00EB5EE2" w:rsidRPr="00F13699" w:rsidRDefault="00EB5EE2">
            <w:pPr>
              <w:pStyle w:val="Tabletext"/>
              <w:keepNext/>
              <w:jc w:val="center"/>
            </w:pPr>
            <w:r w:rsidRPr="00F13699">
              <w:t>NR</w:t>
            </w:r>
          </w:p>
        </w:tc>
        <w:tc>
          <w:tcPr>
            <w:tcW w:w="0" w:type="pct"/>
            <w:vMerge w:val="restart"/>
            <w:shd w:val="clear" w:color="auto" w:fill="B8CCE4" w:themeFill="accent1" w:themeFillTint="66"/>
            <w:vAlign w:val="center"/>
          </w:tcPr>
          <w:p w14:paraId="346BDC1E" w14:textId="24724B72" w:rsidR="00EB5EE2" w:rsidRPr="00F13699" w:rsidRDefault="00EB5EE2">
            <w:pPr>
              <w:pStyle w:val="Tabletext"/>
              <w:keepNext/>
              <w:jc w:val="center"/>
            </w:pPr>
            <w:r w:rsidRPr="00F13699">
              <w:t>$</w:t>
            </w:r>
            <w:r w:rsidR="00DA3714" w:rsidRPr="00DA3714">
              <w:rPr>
                <w:color w:val="000000"/>
                <w:spacing w:val="214"/>
                <w:shd w:val="solid" w:color="000000" w:fill="000000"/>
                <w:fitText w:val="300" w:id="-893663483"/>
                <w14:textFill>
                  <w14:solidFill>
                    <w14:srgbClr w14:val="000000">
                      <w14:alpha w14:val="100000"/>
                    </w14:srgbClr>
                  </w14:solidFill>
                </w14:textFill>
              </w:rPr>
              <w:t>|</w:t>
            </w:r>
            <w:r w:rsidR="00DA3714" w:rsidRPr="00DA3714">
              <w:rPr>
                <w:color w:val="000000"/>
                <w:spacing w:val="1"/>
                <w:shd w:val="solid" w:color="000000" w:fill="000000"/>
                <w:fitText w:val="300" w:id="-893663483"/>
                <w14:textFill>
                  <w14:solidFill>
                    <w14:srgbClr w14:val="000000">
                      <w14:alpha w14:val="100000"/>
                    </w14:srgbClr>
                  </w14:solidFill>
                </w14:textFill>
              </w:rPr>
              <w:t>|</w:t>
            </w:r>
            <w:r w:rsidR="00C23D40" w:rsidRPr="00B71856">
              <w:rPr>
                <w:vertAlign w:val="superscript"/>
              </w:rPr>
              <w:t>2</w:t>
            </w:r>
            <w:r w:rsidRPr="00F13699">
              <w:t>/QALY</w:t>
            </w:r>
          </w:p>
        </w:tc>
      </w:tr>
      <w:tr w:rsidR="00EB5EE2" w:rsidRPr="007069C4" w14:paraId="49CE6D4D" w14:textId="77777777">
        <w:tc>
          <w:tcPr>
            <w:tcW w:w="1256" w:type="pct"/>
            <w:shd w:val="clear" w:color="auto" w:fill="B8CCE4" w:themeFill="accent1" w:themeFillTint="66"/>
          </w:tcPr>
          <w:p w14:paraId="6D54E9DD" w14:textId="77777777" w:rsidR="00EB5EE2" w:rsidRPr="00BC5A69" w:rsidRDefault="00EB5EE2">
            <w:pPr>
              <w:pStyle w:val="Tabletext"/>
              <w:keepNext/>
            </w:pPr>
            <w:r w:rsidRPr="00BC5A69">
              <w:t>Pembrolizumab + PC</w:t>
            </w:r>
          </w:p>
        </w:tc>
        <w:tc>
          <w:tcPr>
            <w:tcW w:w="786" w:type="pct"/>
            <w:shd w:val="clear" w:color="auto" w:fill="B8CCE4" w:themeFill="accent1" w:themeFillTint="66"/>
            <w:vAlign w:val="center"/>
          </w:tcPr>
          <w:p w14:paraId="6D9CA224" w14:textId="77777777" w:rsidR="00EB5EE2" w:rsidRPr="00BC5A69" w:rsidRDefault="00EB5EE2">
            <w:pPr>
              <w:pStyle w:val="Tabletext"/>
              <w:keepNext/>
              <w:jc w:val="center"/>
            </w:pPr>
            <w:r w:rsidRPr="00BC5A69">
              <w:t>NR</w:t>
            </w:r>
          </w:p>
        </w:tc>
        <w:tc>
          <w:tcPr>
            <w:tcW w:w="707" w:type="pct"/>
            <w:vMerge/>
            <w:shd w:val="clear" w:color="auto" w:fill="B8CCE4" w:themeFill="accent1" w:themeFillTint="66"/>
            <w:vAlign w:val="center"/>
          </w:tcPr>
          <w:p w14:paraId="2D053DC9" w14:textId="77777777" w:rsidR="00EB5EE2" w:rsidRPr="00BC5A69" w:rsidRDefault="00EB5EE2">
            <w:pPr>
              <w:pStyle w:val="Tabletext"/>
              <w:keepNext/>
              <w:jc w:val="center"/>
            </w:pPr>
          </w:p>
        </w:tc>
        <w:tc>
          <w:tcPr>
            <w:tcW w:w="760" w:type="pct"/>
            <w:shd w:val="clear" w:color="auto" w:fill="B8CCE4" w:themeFill="accent1" w:themeFillTint="66"/>
            <w:vAlign w:val="center"/>
          </w:tcPr>
          <w:p w14:paraId="3D20017D" w14:textId="77777777" w:rsidR="00EB5EE2" w:rsidRPr="00BC5A69" w:rsidRDefault="00EB5EE2">
            <w:pPr>
              <w:pStyle w:val="Tabletext"/>
              <w:keepNext/>
              <w:jc w:val="center"/>
            </w:pPr>
            <w:r w:rsidRPr="00BC5A69">
              <w:t>NR</w:t>
            </w:r>
          </w:p>
        </w:tc>
        <w:tc>
          <w:tcPr>
            <w:tcW w:w="738" w:type="pct"/>
            <w:vMerge/>
            <w:shd w:val="clear" w:color="auto" w:fill="B8CCE4" w:themeFill="accent1" w:themeFillTint="66"/>
            <w:vAlign w:val="center"/>
          </w:tcPr>
          <w:p w14:paraId="0FE5FE77" w14:textId="77777777" w:rsidR="00EB5EE2" w:rsidRPr="00BC5A69" w:rsidRDefault="00EB5EE2">
            <w:pPr>
              <w:pStyle w:val="Tabletext"/>
              <w:keepNext/>
              <w:jc w:val="center"/>
            </w:pPr>
          </w:p>
        </w:tc>
        <w:tc>
          <w:tcPr>
            <w:tcW w:w="753" w:type="pct"/>
            <w:vMerge/>
            <w:shd w:val="clear" w:color="auto" w:fill="B8CCE4" w:themeFill="accent1" w:themeFillTint="66"/>
            <w:vAlign w:val="center"/>
          </w:tcPr>
          <w:p w14:paraId="055FDDD8" w14:textId="77777777" w:rsidR="00EB5EE2" w:rsidRPr="00BC5A69" w:rsidRDefault="00EB5EE2">
            <w:pPr>
              <w:pStyle w:val="Tabletext"/>
              <w:keepNext/>
              <w:jc w:val="center"/>
            </w:pPr>
          </w:p>
        </w:tc>
      </w:tr>
    </w:tbl>
    <w:p w14:paraId="0F4407E8" w14:textId="3803B935" w:rsidR="002D7804" w:rsidRDefault="002D7804" w:rsidP="002D7804">
      <w:pPr>
        <w:pStyle w:val="FooterTableFigure"/>
      </w:pPr>
      <w:r>
        <w:t xml:space="preserve">Source: Table 3-34 of the resubmission, and Table 21 and para.6.88, selpercatinib, PBAC </w:t>
      </w:r>
      <w:r w:rsidR="00053838">
        <w:t>PSD</w:t>
      </w:r>
      <w:r>
        <w:t>, July 2023 PBAC meeting.</w:t>
      </w:r>
    </w:p>
    <w:p w14:paraId="3FEFF618" w14:textId="77777777" w:rsidR="002D7804" w:rsidRDefault="002D7804" w:rsidP="002D7804">
      <w:pPr>
        <w:pStyle w:val="FooterTableFigure"/>
      </w:pPr>
      <w:r w:rsidRPr="00013463">
        <w:t>ICER</w:t>
      </w:r>
      <w:r>
        <w:t xml:space="preserve"> =</w:t>
      </w:r>
      <w:r w:rsidRPr="00013463">
        <w:t xml:space="preserve"> incremental effectiveness ratio; LY</w:t>
      </w:r>
      <w:r>
        <w:t xml:space="preserve"> =</w:t>
      </w:r>
      <w:r w:rsidRPr="00013463">
        <w:t xml:space="preserve"> life year; </w:t>
      </w:r>
      <w:r>
        <w:t xml:space="preserve">MAIC= matching adjusted indirect comparison; NR = not reported; PC = pemetrexed + carboplatin; </w:t>
      </w:r>
      <w:r w:rsidRPr="00013463">
        <w:t>QALY</w:t>
      </w:r>
      <w:r>
        <w:t xml:space="preserve"> =</w:t>
      </w:r>
      <w:r w:rsidRPr="00013463">
        <w:t xml:space="preserve"> quality-adjusted life year</w:t>
      </w:r>
      <w:r>
        <w:t xml:space="preserve">. </w:t>
      </w:r>
    </w:p>
    <w:p w14:paraId="73C0D400" w14:textId="77777777" w:rsidR="002D7804" w:rsidRDefault="002D7804" w:rsidP="002D7804">
      <w:pPr>
        <w:pStyle w:val="FooterTableFigure"/>
      </w:pPr>
      <w:r w:rsidRPr="008E4EE5">
        <w:rPr>
          <w:vertAlign w:val="superscript"/>
        </w:rPr>
        <w:t>a</w:t>
      </w:r>
      <w:r>
        <w:rPr>
          <w:vertAlign w:val="superscript"/>
        </w:rPr>
        <w:t xml:space="preserve"> </w:t>
      </w:r>
      <w:r w:rsidRPr="008E4EE5">
        <w:t>Transcription error in the resubmission specified using the network meta-analysis results in the table.</w:t>
      </w:r>
    </w:p>
    <w:p w14:paraId="479209AC" w14:textId="77777777" w:rsidR="002D7804" w:rsidRDefault="002D7804" w:rsidP="002D7804">
      <w:pPr>
        <w:pStyle w:val="FooterTableFigure"/>
        <w:rPr>
          <w:szCs w:val="18"/>
        </w:rPr>
      </w:pPr>
      <w:r w:rsidRPr="00017171">
        <w:rPr>
          <w:szCs w:val="18"/>
          <w:shd w:val="clear" w:color="auto" w:fill="C6D9F1" w:themeFill="text2" w:themeFillTint="33"/>
        </w:rPr>
        <w:t>Blue shading</w:t>
      </w:r>
      <w:r w:rsidRPr="00017171">
        <w:rPr>
          <w:szCs w:val="18"/>
        </w:rPr>
        <w:t xml:space="preserve"> indicates data previously considered by the PBAC.</w:t>
      </w:r>
    </w:p>
    <w:p w14:paraId="64D8F2FA" w14:textId="77777777" w:rsidR="00DB3145" w:rsidRDefault="00DB3145" w:rsidP="00DB3145">
      <w:pPr>
        <w:pStyle w:val="FooterTableFigure"/>
      </w:pPr>
      <w:r>
        <w:t xml:space="preserve">The redacted values correspond to the following ranges: </w:t>
      </w:r>
    </w:p>
    <w:p w14:paraId="71EE40A7" w14:textId="77777777" w:rsidR="00DB3145" w:rsidRDefault="00DB3145" w:rsidP="00DB3145">
      <w:pPr>
        <w:pStyle w:val="FooterTableFigure"/>
      </w:pPr>
      <w:r>
        <w:t>1 $75,000 to &lt; $95,000</w:t>
      </w:r>
    </w:p>
    <w:p w14:paraId="7A457EF2" w14:textId="4281485A" w:rsidR="00DB3145" w:rsidRDefault="00C23D40" w:rsidP="00DB3145">
      <w:pPr>
        <w:pStyle w:val="FooterTableFigure"/>
      </w:pPr>
      <w:r>
        <w:t>2</w:t>
      </w:r>
      <w:r w:rsidR="00DB3145">
        <w:t xml:space="preserve"> $55,000 to &lt; $75,000</w:t>
      </w:r>
    </w:p>
    <w:p w14:paraId="4889E71F" w14:textId="4902A5E7" w:rsidR="002D7804" w:rsidRDefault="00302C7A" w:rsidP="00740398">
      <w:pPr>
        <w:pStyle w:val="3-BodyText"/>
      </w:pPr>
      <w:r w:rsidRPr="00811B00">
        <w:t xml:space="preserve">Over </w:t>
      </w:r>
      <w:r>
        <w:t xml:space="preserve">a 10-year </w:t>
      </w:r>
      <w:r w:rsidRPr="00811B00">
        <w:t xml:space="preserve">model horizon, the resubmission reported that </w:t>
      </w:r>
      <w:r>
        <w:t>selpercatinib</w:t>
      </w:r>
      <w:r w:rsidRPr="00811B00">
        <w:t xml:space="preserve"> was associated with incremental costs of $</w:t>
      </w:r>
      <w:r w:rsidR="00DA3714" w:rsidRPr="0086135B">
        <w:rPr>
          <w:color w:val="000000"/>
          <w:w w:val="15"/>
          <w:shd w:val="solid" w:color="000000" w:fill="000000"/>
          <w:fitText w:val="-20" w:id="-893663482"/>
          <w14:textFill>
            <w14:solidFill>
              <w14:srgbClr w14:val="000000">
                <w14:alpha w14:val="100000"/>
              </w14:srgbClr>
            </w14:solidFill>
          </w14:textFill>
        </w:rPr>
        <w:t xml:space="preserve">|  </w:t>
      </w:r>
      <w:r w:rsidR="00DA3714" w:rsidRPr="0086135B">
        <w:rPr>
          <w:color w:val="000000"/>
          <w:spacing w:val="-69"/>
          <w:w w:val="15"/>
          <w:shd w:val="solid" w:color="000000" w:fill="000000"/>
          <w:fitText w:val="-20" w:id="-893663482"/>
          <w14:textFill>
            <w14:solidFill>
              <w14:srgbClr w14:val="000000">
                <w14:alpha w14:val="100000"/>
              </w14:srgbClr>
            </w14:solidFill>
          </w14:textFill>
        </w:rPr>
        <w:t>|</w:t>
      </w:r>
      <w:r w:rsidRPr="00811B00">
        <w:t xml:space="preserve"> per patient, </w:t>
      </w:r>
      <w:r>
        <w:t>1.687 life years gained and 1.270</w:t>
      </w:r>
      <w:r w:rsidRPr="00811B00">
        <w:t xml:space="preserve"> </w:t>
      </w:r>
      <w:r w:rsidRPr="00F7062A">
        <w:t>QALYs</w:t>
      </w:r>
      <w:r>
        <w:t xml:space="preserve"> gained (discounted)</w:t>
      </w:r>
      <w:r w:rsidRPr="00F7062A">
        <w:t>.</w:t>
      </w:r>
      <w:r w:rsidR="00740398">
        <w:t xml:space="preserve"> </w:t>
      </w:r>
      <w:r w:rsidR="002D7804">
        <w:t>The ICER estimated in the resubmission’s base case was $</w:t>
      </w:r>
      <w:r w:rsidR="009A1813" w:rsidRPr="009A1813">
        <w:t>75,000 to &lt; $95,000</w:t>
      </w:r>
      <w:r w:rsidR="00196C0C">
        <w:t xml:space="preserve"> </w:t>
      </w:r>
      <w:r w:rsidR="00001D5F">
        <w:t xml:space="preserve">per </w:t>
      </w:r>
      <w:r w:rsidR="002D7804">
        <w:t>QALY gained</w:t>
      </w:r>
      <w:r w:rsidR="0061416C">
        <w:t>.</w:t>
      </w:r>
      <w:r w:rsidR="002D7804">
        <w:t xml:space="preserve"> </w:t>
      </w:r>
      <w:r w:rsidR="00DD7C55">
        <w:t xml:space="preserve">The PBAC noted the ICER using the effective price of pembrolizumab. </w:t>
      </w:r>
    </w:p>
    <w:p w14:paraId="727CB4D8" w14:textId="3B25DC7E" w:rsidR="000E2CBC" w:rsidRPr="007A7229" w:rsidRDefault="000E2CBC" w:rsidP="000E2CBC">
      <w:pPr>
        <w:pStyle w:val="3-BodyText"/>
      </w:pPr>
      <w:r w:rsidRPr="007A7229">
        <w:fldChar w:fldCharType="begin" w:fldLock="1"/>
      </w:r>
      <w:r w:rsidRPr="007A7229">
        <w:instrText xml:space="preserve"> REF _Ref166770086 \h  \* MERGEFORMAT </w:instrText>
      </w:r>
      <w:r w:rsidRPr="007A7229">
        <w:fldChar w:fldCharType="separate"/>
      </w:r>
      <w:r w:rsidR="00F979CE">
        <w:t xml:space="preserve">Table </w:t>
      </w:r>
      <w:r w:rsidR="00F979CE">
        <w:rPr>
          <w:noProof/>
        </w:rPr>
        <w:t>13</w:t>
      </w:r>
      <w:r w:rsidRPr="007A7229">
        <w:fldChar w:fldCharType="end"/>
      </w:r>
      <w:r w:rsidRPr="007A7229">
        <w:t xml:space="preserve"> presents a step</w:t>
      </w:r>
      <w:r w:rsidR="00BC5A69">
        <w:t xml:space="preserve"> </w:t>
      </w:r>
      <w:r w:rsidRPr="007A7229">
        <w:t>wise analysis of the changes to the July 2023 submission, and the July 2023 pre-PBAC response, that resulted in the ICER presented in the resubmission. The ICER was higher in the resubmission compared with the July 2023 pre-PBAC response because of decreased unit cost of pembrolizumab and increased per-cycle costs of pembrolizumab.</w:t>
      </w:r>
    </w:p>
    <w:p w14:paraId="3532A526" w14:textId="13458C55" w:rsidR="000E2CBC" w:rsidRDefault="000E2CBC" w:rsidP="000E2CBC">
      <w:pPr>
        <w:pStyle w:val="Caption"/>
      </w:pPr>
      <w:bookmarkStart w:id="70" w:name="_Ref166770086"/>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13</w:t>
      </w:r>
      <w:r w:rsidR="00BA56FF">
        <w:rPr>
          <w:noProof/>
        </w:rPr>
        <w:fldChar w:fldCharType="end"/>
      </w:r>
      <w:bookmarkEnd w:id="70"/>
      <w:r>
        <w:t>: Step-wise analysis of the changes to the July 2023 submission, and the pre-PBAC response</w:t>
      </w:r>
      <w:r w:rsidDel="00E03C2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3: Step-wise analysis of the changes to the July 2023 submission, and the pre-PBAC response "/>
      </w:tblPr>
      <w:tblGrid>
        <w:gridCol w:w="6355"/>
        <w:gridCol w:w="1320"/>
        <w:gridCol w:w="1342"/>
      </w:tblGrid>
      <w:tr w:rsidR="000E2CBC" w:rsidRPr="009D7DC5" w14:paraId="7A793C56" w14:textId="77777777" w:rsidTr="001D2BDD">
        <w:trPr>
          <w:trHeight w:val="758"/>
        </w:trPr>
        <w:tc>
          <w:tcPr>
            <w:tcW w:w="6355" w:type="dxa"/>
            <w:shd w:val="clear" w:color="auto" w:fill="auto"/>
            <w:noWrap/>
            <w:vAlign w:val="center"/>
            <w:hideMark/>
          </w:tcPr>
          <w:p w14:paraId="72F6852F" w14:textId="77777777" w:rsidR="000E2CBC" w:rsidRPr="00EA5394" w:rsidRDefault="000E2CBC" w:rsidP="00EA5394">
            <w:pPr>
              <w:pStyle w:val="Tabletext"/>
              <w:keepNext/>
              <w:keepLines/>
              <w:jc w:val="center"/>
              <w:rPr>
                <w:b/>
                <w:bCs/>
              </w:rPr>
            </w:pPr>
            <w:r w:rsidRPr="00EA5394">
              <w:rPr>
                <w:b/>
                <w:bCs/>
              </w:rPr>
              <w:t>Change in inputs from the July 2023 submission to the pre-PBAC response and resubmission (incremental inputs)</w:t>
            </w:r>
          </w:p>
        </w:tc>
        <w:tc>
          <w:tcPr>
            <w:tcW w:w="1320" w:type="dxa"/>
            <w:shd w:val="clear" w:color="auto" w:fill="auto"/>
            <w:noWrap/>
            <w:vAlign w:val="center"/>
            <w:hideMark/>
          </w:tcPr>
          <w:p w14:paraId="766048DE" w14:textId="77777777" w:rsidR="000E2CBC" w:rsidRPr="00EA5394" w:rsidRDefault="000E2CBC" w:rsidP="00EA5394">
            <w:pPr>
              <w:pStyle w:val="Tabletext"/>
              <w:keepNext/>
              <w:keepLines/>
              <w:jc w:val="center"/>
              <w:rPr>
                <w:b/>
                <w:bCs/>
              </w:rPr>
            </w:pPr>
            <w:r w:rsidRPr="00EA5394">
              <w:rPr>
                <w:b/>
                <w:bCs/>
              </w:rPr>
              <w:t>ICER</w:t>
            </w:r>
          </w:p>
          <w:p w14:paraId="66D862F5" w14:textId="77777777" w:rsidR="000E2CBC" w:rsidRPr="00EA5394" w:rsidRDefault="000E2CBC" w:rsidP="00EA5394">
            <w:pPr>
              <w:pStyle w:val="Tabletext"/>
              <w:keepNext/>
              <w:keepLines/>
              <w:jc w:val="center"/>
              <w:rPr>
                <w:b/>
                <w:bCs/>
              </w:rPr>
            </w:pPr>
            <w:r w:rsidRPr="00EA5394">
              <w:rPr>
                <w:b/>
                <w:bCs/>
              </w:rPr>
              <w:t>(cost per QALY gained)</w:t>
            </w:r>
          </w:p>
        </w:tc>
        <w:tc>
          <w:tcPr>
            <w:tcW w:w="1342" w:type="dxa"/>
            <w:vAlign w:val="center"/>
          </w:tcPr>
          <w:p w14:paraId="16594A04" w14:textId="77777777" w:rsidR="000E2CBC" w:rsidRPr="00EA5394" w:rsidRDefault="000E2CBC" w:rsidP="00EA5394">
            <w:pPr>
              <w:pStyle w:val="Tabletext"/>
              <w:keepNext/>
              <w:keepLines/>
              <w:jc w:val="center"/>
              <w:rPr>
                <w:b/>
                <w:bCs/>
              </w:rPr>
            </w:pPr>
            <w:r w:rsidRPr="00EA5394">
              <w:rPr>
                <w:b/>
                <w:bCs/>
              </w:rPr>
              <w:t>% change vs ICER in previous step</w:t>
            </w:r>
          </w:p>
        </w:tc>
      </w:tr>
      <w:tr w:rsidR="000E2CBC" w:rsidRPr="009D7DC5" w14:paraId="14A261F2" w14:textId="77777777" w:rsidTr="001D2BDD">
        <w:trPr>
          <w:trHeight w:val="64"/>
        </w:trPr>
        <w:tc>
          <w:tcPr>
            <w:tcW w:w="6355" w:type="dxa"/>
            <w:shd w:val="clear" w:color="auto" w:fill="auto"/>
            <w:noWrap/>
            <w:vAlign w:val="bottom"/>
            <w:hideMark/>
          </w:tcPr>
          <w:p w14:paraId="180CBAFC" w14:textId="77777777" w:rsidR="000E2CBC" w:rsidRPr="00EA5394" w:rsidRDefault="000E2CBC" w:rsidP="00EA5394">
            <w:pPr>
              <w:pStyle w:val="Tabletext"/>
              <w:keepNext/>
              <w:keepLines/>
              <w:rPr>
                <w:b/>
                <w:bCs/>
              </w:rPr>
            </w:pPr>
            <w:r w:rsidRPr="00EA5394">
              <w:rPr>
                <w:b/>
                <w:bCs/>
              </w:rPr>
              <w:t>Base case in July 2023 submission</w:t>
            </w:r>
          </w:p>
        </w:tc>
        <w:tc>
          <w:tcPr>
            <w:tcW w:w="1320" w:type="dxa"/>
            <w:shd w:val="clear" w:color="auto" w:fill="auto"/>
            <w:noWrap/>
            <w:vAlign w:val="center"/>
            <w:hideMark/>
          </w:tcPr>
          <w:p w14:paraId="3B6E263F" w14:textId="3FDE447D" w:rsidR="000E2CBC" w:rsidRPr="00D26D6C" w:rsidRDefault="00DA3714" w:rsidP="00EA5394">
            <w:pPr>
              <w:pStyle w:val="Tabletext"/>
              <w:keepNext/>
              <w:keepLines/>
              <w:jc w:val="center"/>
              <w:rPr>
                <w:b/>
                <w:bCs/>
                <w:highlight w:val="lightGray"/>
              </w:rPr>
            </w:pPr>
            <w:r w:rsidRPr="00DA3714">
              <w:rPr>
                <w:rFonts w:hint="eastAsia"/>
                <w:b/>
                <w:bCs/>
                <w:color w:val="000000"/>
                <w:w w:val="16"/>
                <w:shd w:val="solid" w:color="000000" w:fill="000000"/>
                <w:fitText w:val="75" w:id="-893663481"/>
                <w14:textFill>
                  <w14:solidFill>
                    <w14:srgbClr w14:val="000000">
                      <w14:alpha w14:val="100000"/>
                    </w14:srgbClr>
                  </w14:solidFill>
                </w14:textFill>
              </w:rPr>
              <w:t xml:space="preserve">　</w:t>
            </w:r>
            <w:r w:rsidRPr="00DA3714">
              <w:rPr>
                <w:b/>
                <w:bCs/>
                <w:color w:val="000000"/>
                <w:w w:val="16"/>
                <w:shd w:val="solid" w:color="000000" w:fill="000000"/>
                <w:fitText w:val="75" w:id="-893663481"/>
                <w14:textFill>
                  <w14:solidFill>
                    <w14:srgbClr w14:val="000000">
                      <w14:alpha w14:val="100000"/>
                    </w14:srgbClr>
                  </w14:solidFill>
                </w14:textFill>
              </w:rPr>
              <w:t>|</w:t>
            </w:r>
            <w:r w:rsidRPr="00DA3714">
              <w:rPr>
                <w:rFonts w:hint="eastAsia"/>
                <w:b/>
                <w:bCs/>
                <w:color w:val="000000"/>
                <w:spacing w:val="5"/>
                <w:w w:val="16"/>
                <w:shd w:val="solid" w:color="000000" w:fill="000000"/>
                <w:fitText w:val="75" w:id="-893663481"/>
                <w14:textFill>
                  <w14:solidFill>
                    <w14:srgbClr w14:val="000000">
                      <w14:alpha w14:val="100000"/>
                    </w14:srgbClr>
                  </w14:solidFill>
                </w14:textFill>
              </w:rPr>
              <w:t xml:space="preserve">　</w:t>
            </w:r>
            <w:r w:rsidR="003A74BD" w:rsidRPr="00D26D6C">
              <w:rPr>
                <w:b/>
                <w:bCs/>
                <w:vertAlign w:val="superscript"/>
              </w:rPr>
              <w:t>1</w:t>
            </w:r>
          </w:p>
        </w:tc>
        <w:tc>
          <w:tcPr>
            <w:tcW w:w="1342" w:type="dxa"/>
            <w:vAlign w:val="center"/>
          </w:tcPr>
          <w:p w14:paraId="0BBE0A6B" w14:textId="77777777" w:rsidR="000E2CBC" w:rsidRPr="00EA5394" w:rsidRDefault="000E2CBC" w:rsidP="00EA5394">
            <w:pPr>
              <w:pStyle w:val="Tabletext"/>
              <w:keepNext/>
              <w:keepLines/>
              <w:jc w:val="center"/>
              <w:rPr>
                <w:b/>
                <w:bCs/>
              </w:rPr>
            </w:pPr>
          </w:p>
        </w:tc>
      </w:tr>
      <w:tr w:rsidR="000E2CBC" w:rsidRPr="009D7DC5" w14:paraId="5AA18612" w14:textId="77777777" w:rsidTr="001D2BDD">
        <w:trPr>
          <w:trHeight w:val="64"/>
        </w:trPr>
        <w:tc>
          <w:tcPr>
            <w:tcW w:w="6355" w:type="dxa"/>
            <w:shd w:val="clear" w:color="auto" w:fill="auto"/>
            <w:noWrap/>
            <w:vAlign w:val="bottom"/>
            <w:hideMark/>
          </w:tcPr>
          <w:p w14:paraId="349447CC" w14:textId="77777777" w:rsidR="000E2CBC" w:rsidRPr="00EA5394" w:rsidRDefault="000E2CBC" w:rsidP="00EA5394">
            <w:pPr>
              <w:pStyle w:val="Tabletext"/>
              <w:keepNext/>
              <w:keepLines/>
            </w:pPr>
            <w:r w:rsidRPr="00EA5394">
              <w:t>Source of the treatment effect changed from the NMA to the MAIC 2 model</w:t>
            </w:r>
          </w:p>
        </w:tc>
        <w:tc>
          <w:tcPr>
            <w:tcW w:w="1320" w:type="dxa"/>
            <w:shd w:val="clear" w:color="auto" w:fill="auto"/>
            <w:noWrap/>
            <w:vAlign w:val="center"/>
            <w:hideMark/>
          </w:tcPr>
          <w:p w14:paraId="37933081" w14:textId="037CA18A"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w w:val="15"/>
                <w:shd w:val="solid" w:color="000000" w:fill="000000"/>
                <w:fitText w:val="15" w:id="-893663480"/>
                <w14:textFill>
                  <w14:solidFill>
                    <w14:srgbClr w14:val="000000">
                      <w14:alpha w14:val="100000"/>
                    </w14:srgbClr>
                  </w14:solidFill>
                </w14:textFill>
              </w:rPr>
              <w:t>|</w:t>
            </w:r>
            <w:r w:rsidRPr="0086135B">
              <w:rPr>
                <w:rFonts w:hint="eastAsia"/>
                <w:color w:val="000000"/>
                <w:spacing w:val="-50"/>
                <w:w w:val="15"/>
                <w:shd w:val="solid" w:color="000000" w:fill="000000"/>
                <w:fitText w:val="15" w:id="-893663480"/>
                <w14:textFill>
                  <w14:solidFill>
                    <w14:srgbClr w14:val="000000">
                      <w14:alpha w14:val="100000"/>
                    </w14:srgbClr>
                  </w14:solidFill>
                </w14:textFill>
              </w:rPr>
              <w:t xml:space="preserve">　</w:t>
            </w:r>
            <w:r w:rsidR="00835F86">
              <w:rPr>
                <w:b/>
                <w:bCs/>
                <w:vertAlign w:val="superscript"/>
              </w:rPr>
              <w:t>2</w:t>
            </w:r>
          </w:p>
        </w:tc>
        <w:tc>
          <w:tcPr>
            <w:tcW w:w="1342" w:type="dxa"/>
            <w:vAlign w:val="center"/>
          </w:tcPr>
          <w:p w14:paraId="24B8A513" w14:textId="0BF09ECE"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0D1F5433" w14:textId="77777777" w:rsidTr="001D2BDD">
        <w:trPr>
          <w:trHeight w:val="64"/>
        </w:trPr>
        <w:tc>
          <w:tcPr>
            <w:tcW w:w="6355" w:type="dxa"/>
            <w:shd w:val="clear" w:color="auto" w:fill="auto"/>
            <w:noWrap/>
            <w:vAlign w:val="bottom"/>
            <w:hideMark/>
          </w:tcPr>
          <w:p w14:paraId="01A134EA" w14:textId="77777777" w:rsidR="000E2CBC" w:rsidRPr="00EA5394" w:rsidRDefault="000E2CBC" w:rsidP="00EA5394">
            <w:pPr>
              <w:pStyle w:val="Tabletext"/>
              <w:keepNext/>
              <w:keepLines/>
            </w:pPr>
            <w:r w:rsidRPr="00EA5394">
              <w:t>Time horizon decreased from 20 to 10 years</w:t>
            </w:r>
          </w:p>
        </w:tc>
        <w:tc>
          <w:tcPr>
            <w:tcW w:w="1320" w:type="dxa"/>
            <w:shd w:val="clear" w:color="auto" w:fill="auto"/>
            <w:noWrap/>
            <w:vAlign w:val="center"/>
            <w:hideMark/>
          </w:tcPr>
          <w:p w14:paraId="2077965A" w14:textId="0D0A1FFB"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9"/>
                <w14:textFill>
                  <w14:solidFill>
                    <w14:srgbClr w14:val="000000">
                      <w14:alpha w14:val="100000"/>
                    </w14:srgbClr>
                  </w14:solidFill>
                </w14:textFill>
              </w:rPr>
              <w:t xml:space="preserve">　</w:t>
            </w:r>
            <w:r w:rsidRPr="0086135B">
              <w:rPr>
                <w:color w:val="000000"/>
                <w:w w:val="15"/>
                <w:shd w:val="solid" w:color="000000" w:fill="000000"/>
                <w:fitText w:val="15" w:id="-893663479"/>
                <w14:textFill>
                  <w14:solidFill>
                    <w14:srgbClr w14:val="000000">
                      <w14:alpha w14:val="100000"/>
                    </w14:srgbClr>
                  </w14:solidFill>
                </w14:textFill>
              </w:rPr>
              <w:t>|</w:t>
            </w:r>
            <w:r w:rsidRPr="0086135B">
              <w:rPr>
                <w:rFonts w:hint="eastAsia"/>
                <w:color w:val="000000"/>
                <w:spacing w:val="-50"/>
                <w:w w:val="15"/>
                <w:shd w:val="solid" w:color="000000" w:fill="000000"/>
                <w:fitText w:val="15" w:id="-893663479"/>
                <w14:textFill>
                  <w14:solidFill>
                    <w14:srgbClr w14:val="000000">
                      <w14:alpha w14:val="100000"/>
                    </w14:srgbClr>
                  </w14:solidFill>
                </w14:textFill>
              </w:rPr>
              <w:t xml:space="preserve">　</w:t>
            </w:r>
            <w:r w:rsidR="00835F86">
              <w:rPr>
                <w:b/>
                <w:bCs/>
                <w:vertAlign w:val="superscript"/>
              </w:rPr>
              <w:t>2</w:t>
            </w:r>
          </w:p>
        </w:tc>
        <w:tc>
          <w:tcPr>
            <w:tcW w:w="1342" w:type="dxa"/>
            <w:vAlign w:val="center"/>
          </w:tcPr>
          <w:p w14:paraId="26CFCE05" w14:textId="01CA26CE"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08A6BA1F" w14:textId="77777777" w:rsidTr="001D2BDD">
        <w:trPr>
          <w:trHeight w:val="64"/>
        </w:trPr>
        <w:tc>
          <w:tcPr>
            <w:tcW w:w="6355" w:type="dxa"/>
            <w:shd w:val="clear" w:color="auto" w:fill="auto"/>
            <w:vAlign w:val="bottom"/>
            <w:hideMark/>
          </w:tcPr>
          <w:p w14:paraId="05EDD11B" w14:textId="408CA486" w:rsidR="000E2CBC" w:rsidRPr="00EA5394" w:rsidRDefault="000E2CBC" w:rsidP="00EA5394">
            <w:pPr>
              <w:pStyle w:val="Tabletext"/>
              <w:keepNext/>
              <w:keepLines/>
            </w:pPr>
            <w:r w:rsidRPr="00EA5394">
              <w:t>Decreased EMP of selpercatinib (</w:t>
            </w:r>
            <w:r w:rsidRPr="005D15DF">
              <w:t>1.5</w:t>
            </w:r>
            <w:r w:rsidRPr="00EA5394">
              <w:t>%)</w:t>
            </w:r>
          </w:p>
        </w:tc>
        <w:tc>
          <w:tcPr>
            <w:tcW w:w="1320" w:type="dxa"/>
            <w:shd w:val="clear" w:color="auto" w:fill="auto"/>
            <w:noWrap/>
            <w:vAlign w:val="center"/>
            <w:hideMark/>
          </w:tcPr>
          <w:p w14:paraId="0F7BA6DB" w14:textId="335E4893"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8"/>
                <w14:textFill>
                  <w14:solidFill>
                    <w14:srgbClr w14:val="000000">
                      <w14:alpha w14:val="100000"/>
                    </w14:srgbClr>
                  </w14:solidFill>
                </w14:textFill>
              </w:rPr>
              <w:t xml:space="preserve">　</w:t>
            </w:r>
            <w:r w:rsidRPr="0086135B">
              <w:rPr>
                <w:color w:val="000000"/>
                <w:w w:val="15"/>
                <w:shd w:val="solid" w:color="000000" w:fill="000000"/>
                <w:fitText w:val="15" w:id="-893663478"/>
                <w14:textFill>
                  <w14:solidFill>
                    <w14:srgbClr w14:val="000000">
                      <w14:alpha w14:val="100000"/>
                    </w14:srgbClr>
                  </w14:solidFill>
                </w14:textFill>
              </w:rPr>
              <w:t>|</w:t>
            </w:r>
            <w:r w:rsidRPr="0086135B">
              <w:rPr>
                <w:rFonts w:hint="eastAsia"/>
                <w:color w:val="000000"/>
                <w:spacing w:val="-50"/>
                <w:w w:val="15"/>
                <w:shd w:val="solid" w:color="000000" w:fill="000000"/>
                <w:fitText w:val="15" w:id="-893663478"/>
                <w14:textFill>
                  <w14:solidFill>
                    <w14:srgbClr w14:val="000000">
                      <w14:alpha w14:val="100000"/>
                    </w14:srgbClr>
                  </w14:solidFill>
                </w14:textFill>
              </w:rPr>
              <w:t xml:space="preserve">　</w:t>
            </w:r>
            <w:r w:rsidR="00835F86">
              <w:rPr>
                <w:b/>
                <w:bCs/>
                <w:vertAlign w:val="superscript"/>
              </w:rPr>
              <w:t>2</w:t>
            </w:r>
          </w:p>
        </w:tc>
        <w:tc>
          <w:tcPr>
            <w:tcW w:w="1342" w:type="dxa"/>
            <w:vAlign w:val="center"/>
          </w:tcPr>
          <w:p w14:paraId="15BCD792" w14:textId="729DC7CD"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7D730FFB" w14:textId="77777777" w:rsidTr="001D2BDD">
        <w:trPr>
          <w:trHeight w:val="64"/>
        </w:trPr>
        <w:tc>
          <w:tcPr>
            <w:tcW w:w="6355" w:type="dxa"/>
            <w:shd w:val="clear" w:color="auto" w:fill="auto"/>
            <w:vAlign w:val="bottom"/>
          </w:tcPr>
          <w:p w14:paraId="7F3EEA52" w14:textId="69CBD74B" w:rsidR="000E2CBC" w:rsidRPr="00B75199" w:rsidRDefault="000E2CBC" w:rsidP="00EA5394">
            <w:pPr>
              <w:pStyle w:val="Tabletext"/>
              <w:keepNext/>
              <w:keepLines/>
              <w:rPr>
                <w:rFonts w:ascii="Aptos Narrow" w:hAnsi="Aptos Narrow"/>
                <w:color w:val="000000"/>
                <w:sz w:val="22"/>
                <w:szCs w:val="22"/>
              </w:rPr>
            </w:pPr>
            <w:r w:rsidRPr="00EA5394">
              <w:t>Increased dose of pembrolizumab in Cycle 2+ (from 166.72 mg to 200 mg), and decreased drug acquisition cost pembrolizumab in Cycle 1, Cycle 2 and subsequent cycles (from $</w:t>
            </w:r>
            <w:r w:rsidRPr="009144D9">
              <w:t xml:space="preserve">7,876.91 </w:t>
            </w:r>
            <w:r w:rsidRPr="00EA5394">
              <w:t>to $</w:t>
            </w:r>
            <w:r w:rsidRPr="009144D9">
              <w:t>7,829.19</w:t>
            </w:r>
            <w:r w:rsidRPr="00EA5394">
              <w:t>)</w:t>
            </w:r>
          </w:p>
        </w:tc>
        <w:tc>
          <w:tcPr>
            <w:tcW w:w="1320" w:type="dxa"/>
            <w:shd w:val="clear" w:color="auto" w:fill="auto"/>
            <w:noWrap/>
            <w:vAlign w:val="center"/>
          </w:tcPr>
          <w:p w14:paraId="2BB0570B" w14:textId="2E0BCA1C"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7"/>
                <w14:textFill>
                  <w14:solidFill>
                    <w14:srgbClr w14:val="000000">
                      <w14:alpha w14:val="100000"/>
                    </w14:srgbClr>
                  </w14:solidFill>
                </w14:textFill>
              </w:rPr>
              <w:t xml:space="preserve">　</w:t>
            </w:r>
            <w:r w:rsidRPr="0086135B">
              <w:rPr>
                <w:color w:val="000000"/>
                <w:w w:val="15"/>
                <w:shd w:val="solid" w:color="000000" w:fill="000000"/>
                <w:fitText w:val="15" w:id="-893663477"/>
                <w14:textFill>
                  <w14:solidFill>
                    <w14:srgbClr w14:val="000000">
                      <w14:alpha w14:val="100000"/>
                    </w14:srgbClr>
                  </w14:solidFill>
                </w14:textFill>
              </w:rPr>
              <w:t>|</w:t>
            </w:r>
            <w:r w:rsidRPr="0086135B">
              <w:rPr>
                <w:rFonts w:hint="eastAsia"/>
                <w:color w:val="000000"/>
                <w:spacing w:val="-50"/>
                <w:w w:val="15"/>
                <w:shd w:val="solid" w:color="000000" w:fill="000000"/>
                <w:fitText w:val="15" w:id="-893663477"/>
                <w14:textFill>
                  <w14:solidFill>
                    <w14:srgbClr w14:val="000000">
                      <w14:alpha w14:val="100000"/>
                    </w14:srgbClr>
                  </w14:solidFill>
                </w14:textFill>
              </w:rPr>
              <w:t xml:space="preserve">　</w:t>
            </w:r>
            <w:r w:rsidR="00835F86" w:rsidRPr="00B71856">
              <w:rPr>
                <w:b/>
                <w:bCs/>
                <w:vertAlign w:val="superscript"/>
              </w:rPr>
              <w:t>1</w:t>
            </w:r>
          </w:p>
        </w:tc>
        <w:tc>
          <w:tcPr>
            <w:tcW w:w="1342" w:type="dxa"/>
            <w:vAlign w:val="center"/>
          </w:tcPr>
          <w:p w14:paraId="27081DFC" w14:textId="6C2E6BEA" w:rsidR="000E2CBC" w:rsidRPr="00EA5394" w:rsidRDefault="000E2CBC" w:rsidP="00EA5394">
            <w:pPr>
              <w:pStyle w:val="Tabletext"/>
              <w:keepNext/>
              <w:keepLines/>
              <w:jc w:val="center"/>
            </w:pPr>
            <w:r w:rsidRPr="00EA5394">
              <w:t>-</w:t>
            </w:r>
            <w:r w:rsidR="00196C0C"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6135B">
              <w:rPr>
                <w:color w:val="000000"/>
                <w:spacing w:val="-21"/>
                <w:w w:val="15"/>
                <w:shd w:val="solid" w:color="000000" w:fill="000000"/>
                <w:fitText w:val="15" w:id="-893663480"/>
                <w14:textFill>
                  <w14:solidFill>
                    <w14:srgbClr w14:val="000000">
                      <w14:alpha w14:val="100000"/>
                    </w14:srgbClr>
                  </w14:solidFill>
                </w14:textFill>
              </w:rPr>
              <w:t>|</w:t>
            </w:r>
            <w:r w:rsidRPr="00EA5394">
              <w:t>%</w:t>
            </w:r>
          </w:p>
        </w:tc>
      </w:tr>
      <w:tr w:rsidR="000E2CBC" w:rsidRPr="009D7DC5" w14:paraId="56135915" w14:textId="77777777" w:rsidTr="001D2BDD">
        <w:trPr>
          <w:trHeight w:val="185"/>
        </w:trPr>
        <w:tc>
          <w:tcPr>
            <w:tcW w:w="6355" w:type="dxa"/>
            <w:shd w:val="clear" w:color="auto" w:fill="auto"/>
            <w:vAlign w:val="bottom"/>
            <w:hideMark/>
          </w:tcPr>
          <w:p w14:paraId="4238FC4E" w14:textId="77777777" w:rsidR="000E2CBC" w:rsidRPr="00EA5394" w:rsidRDefault="000E2CBC" w:rsidP="00EA5394">
            <w:pPr>
              <w:pStyle w:val="Tabletext"/>
              <w:keepNext/>
              <w:keepLines/>
            </w:pPr>
            <w:r w:rsidRPr="00EA5394">
              <w:t>Increase in time on treatment on pembrolizumab in subsequent cycle from 16.96 to 33.92 weeks (doubled number of cycles)</w:t>
            </w:r>
          </w:p>
        </w:tc>
        <w:tc>
          <w:tcPr>
            <w:tcW w:w="1320" w:type="dxa"/>
            <w:shd w:val="clear" w:color="auto" w:fill="auto"/>
            <w:noWrap/>
            <w:vAlign w:val="center"/>
            <w:hideMark/>
          </w:tcPr>
          <w:p w14:paraId="1F341A60" w14:textId="688A5BA1"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6"/>
                <w14:textFill>
                  <w14:solidFill>
                    <w14:srgbClr w14:val="000000">
                      <w14:alpha w14:val="100000"/>
                    </w14:srgbClr>
                  </w14:solidFill>
                </w14:textFill>
              </w:rPr>
              <w:t xml:space="preserve">　</w:t>
            </w:r>
            <w:r w:rsidRPr="0086135B">
              <w:rPr>
                <w:color w:val="000000"/>
                <w:w w:val="15"/>
                <w:shd w:val="solid" w:color="000000" w:fill="000000"/>
                <w:fitText w:val="15" w:id="-893663476"/>
                <w14:textFill>
                  <w14:solidFill>
                    <w14:srgbClr w14:val="000000">
                      <w14:alpha w14:val="100000"/>
                    </w14:srgbClr>
                  </w14:solidFill>
                </w14:textFill>
              </w:rPr>
              <w:t>|</w:t>
            </w:r>
            <w:r w:rsidRPr="0086135B">
              <w:rPr>
                <w:rFonts w:hint="eastAsia"/>
                <w:color w:val="000000"/>
                <w:spacing w:val="-50"/>
                <w:w w:val="15"/>
                <w:shd w:val="solid" w:color="000000" w:fill="000000"/>
                <w:fitText w:val="15" w:id="-893663476"/>
                <w14:textFill>
                  <w14:solidFill>
                    <w14:srgbClr w14:val="000000">
                      <w14:alpha w14:val="100000"/>
                    </w14:srgbClr>
                  </w14:solidFill>
                </w14:textFill>
              </w:rPr>
              <w:t xml:space="preserve">　</w:t>
            </w:r>
            <w:r w:rsidR="00835F86">
              <w:rPr>
                <w:b/>
                <w:bCs/>
                <w:vertAlign w:val="superscript"/>
              </w:rPr>
              <w:t>2</w:t>
            </w:r>
          </w:p>
        </w:tc>
        <w:tc>
          <w:tcPr>
            <w:tcW w:w="1342" w:type="dxa"/>
            <w:vAlign w:val="center"/>
          </w:tcPr>
          <w:p w14:paraId="2CE486C7" w14:textId="2AE1F269"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57D8CB4A" w14:textId="77777777" w:rsidTr="001D2BDD">
        <w:trPr>
          <w:trHeight w:val="267"/>
        </w:trPr>
        <w:tc>
          <w:tcPr>
            <w:tcW w:w="6355" w:type="dxa"/>
            <w:shd w:val="clear" w:color="auto" w:fill="auto"/>
            <w:vAlign w:val="bottom"/>
            <w:hideMark/>
          </w:tcPr>
          <w:p w14:paraId="3F4D5DD6" w14:textId="77777777" w:rsidR="000E2CBC" w:rsidRPr="00EA5394" w:rsidRDefault="000E2CBC" w:rsidP="00EA5394">
            <w:pPr>
              <w:pStyle w:val="Tabletext"/>
              <w:keepNext/>
              <w:keepLines/>
            </w:pPr>
            <w:r w:rsidRPr="00EA5394">
              <w:t>Decreased drug acquisition cost of pemetrexed and carboplatin in Cycle 1, Cycle 2, and subsequent cycles</w:t>
            </w:r>
          </w:p>
        </w:tc>
        <w:tc>
          <w:tcPr>
            <w:tcW w:w="1320" w:type="dxa"/>
            <w:shd w:val="clear" w:color="auto" w:fill="auto"/>
            <w:noWrap/>
            <w:vAlign w:val="center"/>
            <w:hideMark/>
          </w:tcPr>
          <w:p w14:paraId="1615A11A" w14:textId="068F052D"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5"/>
                <w14:textFill>
                  <w14:solidFill>
                    <w14:srgbClr w14:val="000000">
                      <w14:alpha w14:val="100000"/>
                    </w14:srgbClr>
                  </w14:solidFill>
                </w14:textFill>
              </w:rPr>
              <w:t xml:space="preserve">　</w:t>
            </w:r>
            <w:r w:rsidRPr="0086135B">
              <w:rPr>
                <w:color w:val="000000"/>
                <w:w w:val="15"/>
                <w:shd w:val="solid" w:color="000000" w:fill="000000"/>
                <w:fitText w:val="15" w:id="-893663475"/>
                <w14:textFill>
                  <w14:solidFill>
                    <w14:srgbClr w14:val="000000">
                      <w14:alpha w14:val="100000"/>
                    </w14:srgbClr>
                  </w14:solidFill>
                </w14:textFill>
              </w:rPr>
              <w:t>|</w:t>
            </w:r>
            <w:r w:rsidRPr="0086135B">
              <w:rPr>
                <w:rFonts w:hint="eastAsia"/>
                <w:color w:val="000000"/>
                <w:spacing w:val="-50"/>
                <w:w w:val="15"/>
                <w:shd w:val="solid" w:color="000000" w:fill="000000"/>
                <w:fitText w:val="15" w:id="-893663475"/>
                <w14:textFill>
                  <w14:solidFill>
                    <w14:srgbClr w14:val="000000">
                      <w14:alpha w14:val="100000"/>
                    </w14:srgbClr>
                  </w14:solidFill>
                </w14:textFill>
              </w:rPr>
              <w:t xml:space="preserve">　</w:t>
            </w:r>
            <w:r w:rsidR="00835F86" w:rsidRPr="00D26D6C">
              <w:rPr>
                <w:vertAlign w:val="superscript"/>
              </w:rPr>
              <w:t>3</w:t>
            </w:r>
          </w:p>
        </w:tc>
        <w:tc>
          <w:tcPr>
            <w:tcW w:w="1342" w:type="dxa"/>
            <w:vAlign w:val="center"/>
          </w:tcPr>
          <w:p w14:paraId="56D22B6D" w14:textId="4E062905"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030092CB" w14:textId="77777777" w:rsidTr="001D2BDD">
        <w:trPr>
          <w:trHeight w:val="315"/>
        </w:trPr>
        <w:tc>
          <w:tcPr>
            <w:tcW w:w="6355" w:type="dxa"/>
            <w:shd w:val="clear" w:color="auto" w:fill="auto"/>
            <w:vAlign w:val="bottom"/>
            <w:hideMark/>
          </w:tcPr>
          <w:p w14:paraId="32FBB5CB" w14:textId="175BA133" w:rsidR="000E2CBC" w:rsidRPr="00EA5394" w:rsidRDefault="000E2CBC" w:rsidP="00EA5394">
            <w:pPr>
              <w:pStyle w:val="Tabletext"/>
              <w:keepNext/>
              <w:keepLines/>
            </w:pPr>
            <w:r w:rsidRPr="00EA5394">
              <w:t>Decreased drug acquisition cost of docetaxel in subsequent cycles, from $</w:t>
            </w:r>
            <w:r w:rsidRPr="009144D9">
              <w:t xml:space="preserve">272.31 </w:t>
            </w:r>
            <w:r w:rsidRPr="00EA5394">
              <w:t>to $</w:t>
            </w:r>
            <w:r w:rsidRPr="009144D9">
              <w:t>149.06</w:t>
            </w:r>
          </w:p>
        </w:tc>
        <w:tc>
          <w:tcPr>
            <w:tcW w:w="1320" w:type="dxa"/>
            <w:shd w:val="clear" w:color="auto" w:fill="auto"/>
            <w:noWrap/>
            <w:vAlign w:val="center"/>
            <w:hideMark/>
          </w:tcPr>
          <w:p w14:paraId="7D79F366" w14:textId="7304B0CB"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4"/>
                <w14:textFill>
                  <w14:solidFill>
                    <w14:srgbClr w14:val="000000">
                      <w14:alpha w14:val="100000"/>
                    </w14:srgbClr>
                  </w14:solidFill>
                </w14:textFill>
              </w:rPr>
              <w:t xml:space="preserve">　</w:t>
            </w:r>
            <w:r w:rsidRPr="0086135B">
              <w:rPr>
                <w:color w:val="000000"/>
                <w:w w:val="15"/>
                <w:shd w:val="solid" w:color="000000" w:fill="000000"/>
                <w:fitText w:val="15" w:id="-893663474"/>
                <w14:textFill>
                  <w14:solidFill>
                    <w14:srgbClr w14:val="000000">
                      <w14:alpha w14:val="100000"/>
                    </w14:srgbClr>
                  </w14:solidFill>
                </w14:textFill>
              </w:rPr>
              <w:t>|</w:t>
            </w:r>
            <w:r w:rsidRPr="0086135B">
              <w:rPr>
                <w:rFonts w:hint="eastAsia"/>
                <w:color w:val="000000"/>
                <w:spacing w:val="-50"/>
                <w:w w:val="15"/>
                <w:shd w:val="solid" w:color="000000" w:fill="000000"/>
                <w:fitText w:val="15" w:id="-893663474"/>
                <w14:textFill>
                  <w14:solidFill>
                    <w14:srgbClr w14:val="000000">
                      <w14:alpha w14:val="100000"/>
                    </w14:srgbClr>
                  </w14:solidFill>
                </w14:textFill>
              </w:rPr>
              <w:t xml:space="preserve">　</w:t>
            </w:r>
            <w:r w:rsidR="00835F86" w:rsidRPr="00B71856">
              <w:rPr>
                <w:vertAlign w:val="superscript"/>
              </w:rPr>
              <w:t>3</w:t>
            </w:r>
          </w:p>
        </w:tc>
        <w:tc>
          <w:tcPr>
            <w:tcW w:w="1342" w:type="dxa"/>
            <w:vAlign w:val="center"/>
          </w:tcPr>
          <w:p w14:paraId="4A7B9B45" w14:textId="246FA764"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01F98C64" w14:textId="77777777" w:rsidTr="001D2BDD">
        <w:trPr>
          <w:trHeight w:val="141"/>
        </w:trPr>
        <w:tc>
          <w:tcPr>
            <w:tcW w:w="6355" w:type="dxa"/>
            <w:shd w:val="clear" w:color="auto" w:fill="auto"/>
            <w:vAlign w:val="bottom"/>
            <w:hideMark/>
          </w:tcPr>
          <w:p w14:paraId="480C185D" w14:textId="77777777" w:rsidR="000E2CBC" w:rsidRPr="00EA5394" w:rsidRDefault="000E2CBC" w:rsidP="00EA5394">
            <w:pPr>
              <w:pStyle w:val="Tabletext"/>
              <w:keepNext/>
              <w:keepLines/>
            </w:pPr>
            <w:r w:rsidRPr="00EA5394">
              <w:t xml:space="preserve">Removal of </w:t>
            </w:r>
            <w:r w:rsidRPr="00BC5A69">
              <w:rPr>
                <w:i/>
                <w:iCs/>
              </w:rPr>
              <w:t>RET</w:t>
            </w:r>
            <w:r w:rsidRPr="00EA5394">
              <w:t xml:space="preserve"> testing cost</w:t>
            </w:r>
          </w:p>
        </w:tc>
        <w:tc>
          <w:tcPr>
            <w:tcW w:w="1320" w:type="dxa"/>
            <w:shd w:val="clear" w:color="auto" w:fill="auto"/>
            <w:noWrap/>
            <w:vAlign w:val="center"/>
            <w:hideMark/>
          </w:tcPr>
          <w:p w14:paraId="130F7E7C" w14:textId="3883657D"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73"/>
                <w14:textFill>
                  <w14:solidFill>
                    <w14:srgbClr w14:val="000000">
                      <w14:alpha w14:val="100000"/>
                    </w14:srgbClr>
                  </w14:solidFill>
                </w14:textFill>
              </w:rPr>
              <w:t xml:space="preserve">　</w:t>
            </w:r>
            <w:r w:rsidRPr="0086135B">
              <w:rPr>
                <w:color w:val="000000"/>
                <w:w w:val="15"/>
                <w:shd w:val="solid" w:color="000000" w:fill="000000"/>
                <w:fitText w:val="15" w:id="-893663473"/>
                <w14:textFill>
                  <w14:solidFill>
                    <w14:srgbClr w14:val="000000">
                      <w14:alpha w14:val="100000"/>
                    </w14:srgbClr>
                  </w14:solidFill>
                </w14:textFill>
              </w:rPr>
              <w:t>|</w:t>
            </w:r>
            <w:r w:rsidRPr="0086135B">
              <w:rPr>
                <w:rFonts w:hint="eastAsia"/>
                <w:color w:val="000000"/>
                <w:spacing w:val="-50"/>
                <w:w w:val="15"/>
                <w:shd w:val="solid" w:color="000000" w:fill="000000"/>
                <w:fitText w:val="15" w:id="-893663473"/>
                <w14:textFill>
                  <w14:solidFill>
                    <w14:srgbClr w14:val="000000">
                      <w14:alpha w14:val="100000"/>
                    </w14:srgbClr>
                  </w14:solidFill>
                </w14:textFill>
              </w:rPr>
              <w:t xml:space="preserve">　</w:t>
            </w:r>
            <w:r w:rsidR="009C7780" w:rsidRPr="005A6242">
              <w:rPr>
                <w:b/>
                <w:bCs/>
                <w:vertAlign w:val="superscript"/>
              </w:rPr>
              <w:t>1</w:t>
            </w:r>
          </w:p>
        </w:tc>
        <w:tc>
          <w:tcPr>
            <w:tcW w:w="1342" w:type="dxa"/>
            <w:vAlign w:val="center"/>
          </w:tcPr>
          <w:p w14:paraId="5474053B" w14:textId="3898305F" w:rsidR="000E2CBC" w:rsidRPr="00EA5394" w:rsidRDefault="000E2CBC" w:rsidP="00EA5394">
            <w:pPr>
              <w:pStyle w:val="Tabletext"/>
              <w:keepNext/>
              <w:keepLines/>
              <w:jc w:val="center"/>
            </w:pPr>
            <w:r w:rsidRPr="00EA5394">
              <w:t>-</w:t>
            </w:r>
            <w:r w:rsidR="00196C0C"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6135B">
              <w:rPr>
                <w:color w:val="000000"/>
                <w:spacing w:val="-21"/>
                <w:w w:val="15"/>
                <w:shd w:val="solid" w:color="000000" w:fill="000000"/>
                <w:fitText w:val="15" w:id="-893663480"/>
                <w14:textFill>
                  <w14:solidFill>
                    <w14:srgbClr w14:val="000000">
                      <w14:alpha w14:val="100000"/>
                    </w14:srgbClr>
                  </w14:solidFill>
                </w14:textFill>
              </w:rPr>
              <w:t>|</w:t>
            </w:r>
            <w:r w:rsidRPr="00EA5394">
              <w:t>%</w:t>
            </w:r>
          </w:p>
        </w:tc>
      </w:tr>
      <w:tr w:rsidR="000E2CBC" w:rsidRPr="009D7DC5" w14:paraId="1E75DEF6" w14:textId="77777777" w:rsidTr="001D2BDD">
        <w:trPr>
          <w:trHeight w:val="165"/>
        </w:trPr>
        <w:tc>
          <w:tcPr>
            <w:tcW w:w="6355" w:type="dxa"/>
            <w:shd w:val="clear" w:color="auto" w:fill="auto"/>
            <w:vAlign w:val="bottom"/>
          </w:tcPr>
          <w:p w14:paraId="5D8B97A4" w14:textId="77777777" w:rsidR="000E2CBC" w:rsidRPr="00EA5394" w:rsidRDefault="000E2CBC" w:rsidP="00EA5394">
            <w:pPr>
              <w:pStyle w:val="Tabletext"/>
              <w:keepNext/>
              <w:keepLines/>
              <w:rPr>
                <w:b/>
                <w:bCs/>
              </w:rPr>
            </w:pPr>
            <w:r w:rsidRPr="00EA5394">
              <w:rPr>
                <w:b/>
                <w:bCs/>
              </w:rPr>
              <w:t>Base case in July 2023 pre-PBAC response</w:t>
            </w:r>
          </w:p>
        </w:tc>
        <w:tc>
          <w:tcPr>
            <w:tcW w:w="1320" w:type="dxa"/>
            <w:shd w:val="clear" w:color="auto" w:fill="auto"/>
            <w:noWrap/>
            <w:vAlign w:val="center"/>
          </w:tcPr>
          <w:p w14:paraId="4F455B13" w14:textId="6EC95A7F" w:rsidR="000E2CBC" w:rsidRPr="00D26D6C" w:rsidRDefault="00DA3714" w:rsidP="00EA5394">
            <w:pPr>
              <w:pStyle w:val="Tabletext"/>
              <w:keepNext/>
              <w:keepLines/>
              <w:jc w:val="center"/>
              <w:rPr>
                <w:b/>
                <w:bCs/>
                <w:highlight w:val="lightGray"/>
              </w:rPr>
            </w:pPr>
            <w:r w:rsidRPr="00DA3714">
              <w:rPr>
                <w:rFonts w:hint="eastAsia"/>
                <w:b/>
                <w:bCs/>
                <w:color w:val="000000"/>
                <w:w w:val="16"/>
                <w:shd w:val="solid" w:color="000000" w:fill="000000"/>
                <w:fitText w:val="75" w:id="-893663472"/>
                <w14:textFill>
                  <w14:solidFill>
                    <w14:srgbClr w14:val="000000">
                      <w14:alpha w14:val="100000"/>
                    </w14:srgbClr>
                  </w14:solidFill>
                </w14:textFill>
              </w:rPr>
              <w:t xml:space="preserve">　</w:t>
            </w:r>
            <w:r w:rsidRPr="00DA3714">
              <w:rPr>
                <w:b/>
                <w:bCs/>
                <w:color w:val="000000"/>
                <w:w w:val="16"/>
                <w:shd w:val="solid" w:color="000000" w:fill="000000"/>
                <w:fitText w:val="75" w:id="-893663472"/>
                <w14:textFill>
                  <w14:solidFill>
                    <w14:srgbClr w14:val="000000">
                      <w14:alpha w14:val="100000"/>
                    </w14:srgbClr>
                  </w14:solidFill>
                </w14:textFill>
              </w:rPr>
              <w:t>|</w:t>
            </w:r>
            <w:r w:rsidRPr="00DA3714">
              <w:rPr>
                <w:rFonts w:hint="eastAsia"/>
                <w:b/>
                <w:bCs/>
                <w:color w:val="000000"/>
                <w:spacing w:val="5"/>
                <w:w w:val="16"/>
                <w:shd w:val="solid" w:color="000000" w:fill="000000"/>
                <w:fitText w:val="75" w:id="-893663472"/>
                <w14:textFill>
                  <w14:solidFill>
                    <w14:srgbClr w14:val="000000">
                      <w14:alpha w14:val="100000"/>
                    </w14:srgbClr>
                  </w14:solidFill>
                </w14:textFill>
              </w:rPr>
              <w:t xml:space="preserve">　</w:t>
            </w:r>
            <w:r w:rsidR="009C7780" w:rsidRPr="005A6242">
              <w:rPr>
                <w:b/>
                <w:bCs/>
                <w:vertAlign w:val="superscript"/>
              </w:rPr>
              <w:t>1</w:t>
            </w:r>
          </w:p>
        </w:tc>
        <w:tc>
          <w:tcPr>
            <w:tcW w:w="1342" w:type="dxa"/>
            <w:vAlign w:val="center"/>
          </w:tcPr>
          <w:p w14:paraId="32C3D958" w14:textId="77777777" w:rsidR="000E2CBC" w:rsidRPr="00EA5394" w:rsidRDefault="000E2CBC" w:rsidP="00EA5394">
            <w:pPr>
              <w:pStyle w:val="Tabletext"/>
              <w:keepNext/>
              <w:keepLines/>
              <w:jc w:val="center"/>
            </w:pPr>
          </w:p>
        </w:tc>
      </w:tr>
      <w:tr w:rsidR="000E2CBC" w14:paraId="21D62D6F" w14:textId="77777777" w:rsidTr="001D2BDD">
        <w:trPr>
          <w:trHeight w:val="141"/>
        </w:trPr>
        <w:tc>
          <w:tcPr>
            <w:tcW w:w="6355" w:type="dxa"/>
            <w:tcBorders>
              <w:top w:val="single" w:sz="4" w:space="0" w:color="auto"/>
              <w:left w:val="single" w:sz="4" w:space="0" w:color="auto"/>
              <w:bottom w:val="single" w:sz="4" w:space="0" w:color="auto"/>
              <w:right w:val="single" w:sz="4" w:space="0" w:color="auto"/>
            </w:tcBorders>
            <w:shd w:val="clear" w:color="auto" w:fill="auto"/>
            <w:vAlign w:val="bottom"/>
          </w:tcPr>
          <w:p w14:paraId="2AF73C9D" w14:textId="614D5753" w:rsidR="000E2CBC" w:rsidRPr="00D445C7" w:rsidRDefault="000E2CBC" w:rsidP="00EA5394">
            <w:pPr>
              <w:pStyle w:val="Tabletext"/>
              <w:keepNext/>
              <w:keepLines/>
            </w:pPr>
            <w:r w:rsidRPr="00D445C7">
              <w:t>Decreased EMP of selpercatinib (9.5%)</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D242E" w14:textId="2B70A813"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88"/>
                <w14:textFill>
                  <w14:solidFill>
                    <w14:srgbClr w14:val="000000">
                      <w14:alpha w14:val="100000"/>
                    </w14:srgbClr>
                  </w14:solidFill>
                </w14:textFill>
              </w:rPr>
              <w:t xml:space="preserve">　</w:t>
            </w:r>
            <w:r w:rsidRPr="0086135B">
              <w:rPr>
                <w:color w:val="000000"/>
                <w:w w:val="15"/>
                <w:shd w:val="solid" w:color="000000" w:fill="000000"/>
                <w:fitText w:val="15" w:id="-893663488"/>
                <w14:textFill>
                  <w14:solidFill>
                    <w14:srgbClr w14:val="000000">
                      <w14:alpha w14:val="100000"/>
                    </w14:srgbClr>
                  </w14:solidFill>
                </w14:textFill>
              </w:rPr>
              <w:t>|</w:t>
            </w:r>
            <w:r w:rsidRPr="0086135B">
              <w:rPr>
                <w:rFonts w:hint="eastAsia"/>
                <w:color w:val="000000"/>
                <w:spacing w:val="-50"/>
                <w:w w:val="15"/>
                <w:shd w:val="solid" w:color="000000" w:fill="000000"/>
                <w:fitText w:val="15" w:id="-893663488"/>
                <w14:textFill>
                  <w14:solidFill>
                    <w14:srgbClr w14:val="000000">
                      <w14:alpha w14:val="100000"/>
                    </w14:srgbClr>
                  </w14:solidFill>
                </w14:textFill>
              </w:rPr>
              <w:t xml:space="preserve">　</w:t>
            </w:r>
            <w:r w:rsidR="00835F86" w:rsidRPr="00B71856">
              <w:rPr>
                <w:b/>
                <w:bCs/>
                <w:vertAlign w:val="superscript"/>
              </w:rPr>
              <w:t>1</w:t>
            </w:r>
          </w:p>
        </w:tc>
        <w:tc>
          <w:tcPr>
            <w:tcW w:w="1342" w:type="dxa"/>
            <w:tcBorders>
              <w:top w:val="single" w:sz="4" w:space="0" w:color="auto"/>
              <w:left w:val="single" w:sz="4" w:space="0" w:color="auto"/>
              <w:bottom w:val="single" w:sz="4" w:space="0" w:color="auto"/>
              <w:right w:val="single" w:sz="4" w:space="0" w:color="auto"/>
            </w:tcBorders>
            <w:vAlign w:val="center"/>
          </w:tcPr>
          <w:p w14:paraId="63C1EE0C" w14:textId="754634C6" w:rsidR="000E2CBC" w:rsidRPr="00EA5394" w:rsidRDefault="000E2CBC" w:rsidP="00EA5394">
            <w:pPr>
              <w:pStyle w:val="Tabletext"/>
              <w:keepNext/>
              <w:keepLines/>
              <w:jc w:val="center"/>
            </w:pPr>
            <w:r w:rsidRPr="00EA5394">
              <w:t>-</w:t>
            </w:r>
            <w:r w:rsidR="00196C0C"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6135B">
              <w:rPr>
                <w:color w:val="000000"/>
                <w:spacing w:val="-21"/>
                <w:w w:val="15"/>
                <w:shd w:val="solid" w:color="000000" w:fill="000000"/>
                <w:fitText w:val="15" w:id="-893663480"/>
                <w14:textFill>
                  <w14:solidFill>
                    <w14:srgbClr w14:val="000000">
                      <w14:alpha w14:val="100000"/>
                    </w14:srgbClr>
                  </w14:solidFill>
                </w14:textFill>
              </w:rPr>
              <w:t>|</w:t>
            </w:r>
            <w:r w:rsidRPr="00EA5394">
              <w:t>%</w:t>
            </w:r>
          </w:p>
        </w:tc>
      </w:tr>
      <w:tr w:rsidR="000E2CBC" w14:paraId="41DB5834" w14:textId="77777777" w:rsidTr="001D2BDD">
        <w:trPr>
          <w:trHeight w:val="141"/>
        </w:trPr>
        <w:tc>
          <w:tcPr>
            <w:tcW w:w="6355" w:type="dxa"/>
            <w:tcBorders>
              <w:top w:val="single" w:sz="4" w:space="0" w:color="auto"/>
              <w:left w:val="single" w:sz="4" w:space="0" w:color="auto"/>
              <w:bottom w:val="single" w:sz="4" w:space="0" w:color="auto"/>
              <w:right w:val="single" w:sz="4" w:space="0" w:color="auto"/>
            </w:tcBorders>
            <w:shd w:val="clear" w:color="auto" w:fill="auto"/>
            <w:vAlign w:val="bottom"/>
          </w:tcPr>
          <w:p w14:paraId="3099C475" w14:textId="0847FAB5" w:rsidR="000E2CBC" w:rsidRPr="00D445C7" w:rsidRDefault="000E2CBC" w:rsidP="00EA5394">
            <w:pPr>
              <w:pStyle w:val="Tabletext"/>
              <w:keepNext/>
              <w:keepLines/>
            </w:pPr>
            <w:r w:rsidRPr="00D445C7">
              <w:t xml:space="preserve">Decreased drug acquisition cost of pembrolizumab based on </w:t>
            </w:r>
            <w:r w:rsidR="00DA3714" w:rsidRPr="00DA3714">
              <w:rPr>
                <w:color w:val="000000"/>
                <w:spacing w:val="53"/>
                <w:shd w:val="solid" w:color="000000" w:fill="000000"/>
                <w:fitText w:val="330" w:id="-893663487"/>
                <w14:textFill>
                  <w14:solidFill>
                    <w14:srgbClr w14:val="000000">
                      <w14:alpha w14:val="100000"/>
                    </w14:srgbClr>
                  </w14:solidFill>
                </w14:textFill>
              </w:rPr>
              <w:t>|||</w:t>
            </w:r>
            <w:r w:rsidR="00DA3714" w:rsidRPr="00DA3714">
              <w:rPr>
                <w:color w:val="000000"/>
                <w:spacing w:val="1"/>
                <w:shd w:val="solid" w:color="000000" w:fill="000000"/>
                <w:fitText w:val="330" w:id="-893663487"/>
                <w14:textFill>
                  <w14:solidFill>
                    <w14:srgbClr w14:val="000000">
                      <w14:alpha w14:val="100000"/>
                    </w14:srgbClr>
                  </w14:solidFill>
                </w14:textFill>
              </w:rPr>
              <w:t>|</w:t>
            </w:r>
            <w:r w:rsidRPr="00D445C7">
              <w:t>% rebate (</w:t>
            </w:r>
            <w:r w:rsidR="00BC5A69" w:rsidRPr="00D445C7">
              <w:t>AEMP per 100 mg vial</w:t>
            </w:r>
            <w:r w:rsidRPr="00D445C7">
              <w:t xml:space="preserve"> from $3,938 to $</w:t>
            </w:r>
            <w:r w:rsidR="00DA3714" w:rsidRPr="00DA3714">
              <w:rPr>
                <w:color w:val="000000"/>
                <w:spacing w:val="53"/>
                <w:shd w:val="solid" w:color="000000" w:fill="000000"/>
                <w:fitText w:val="330" w:id="-893663486"/>
                <w14:textFill>
                  <w14:solidFill>
                    <w14:srgbClr w14:val="000000">
                      <w14:alpha w14:val="100000"/>
                    </w14:srgbClr>
                  </w14:solidFill>
                </w14:textFill>
              </w:rPr>
              <w:t>|||</w:t>
            </w:r>
            <w:r w:rsidR="00DA3714" w:rsidRPr="00DA3714">
              <w:rPr>
                <w:color w:val="000000"/>
                <w:spacing w:val="1"/>
                <w:shd w:val="solid" w:color="000000" w:fill="000000"/>
                <w:fitText w:val="330" w:id="-893663486"/>
                <w14:textFill>
                  <w14:solidFill>
                    <w14:srgbClr w14:val="000000">
                      <w14:alpha w14:val="100000"/>
                    </w14:srgbClr>
                  </w14:solidFill>
                </w14:textFill>
              </w:rPr>
              <w:t>|</w:t>
            </w:r>
            <w:r w:rsidRPr="00D445C7">
              <w:t>) and EFC-based costs, resulting in decreased costs in Cycle 1 and Cycle 2 (from $7,829.19 to $</w:t>
            </w:r>
            <w:r w:rsidR="00DA3714" w:rsidRPr="00DA3714">
              <w:rPr>
                <w:color w:val="000000"/>
                <w:spacing w:val="53"/>
                <w:shd w:val="solid" w:color="000000" w:fill="000000"/>
                <w:fitText w:val="330" w:id="-893663485"/>
                <w14:textFill>
                  <w14:solidFill>
                    <w14:srgbClr w14:val="000000">
                      <w14:alpha w14:val="100000"/>
                    </w14:srgbClr>
                  </w14:solidFill>
                </w14:textFill>
              </w:rPr>
              <w:t>|||</w:t>
            </w:r>
            <w:r w:rsidR="00DA3714" w:rsidRPr="00DA3714">
              <w:rPr>
                <w:color w:val="000000"/>
                <w:spacing w:val="1"/>
                <w:shd w:val="solid" w:color="000000" w:fill="000000"/>
                <w:fitText w:val="330" w:id="-893663485"/>
                <w14:textFill>
                  <w14:solidFill>
                    <w14:srgbClr w14:val="000000">
                      <w14:alpha w14:val="100000"/>
                    </w14:srgbClr>
                  </w14:solidFill>
                </w14:textFill>
              </w:rPr>
              <w:t>|</w:t>
            </w:r>
            <w:r w:rsidRPr="00D445C7">
              <w: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27AC6" w14:textId="7457187E"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84"/>
                <w14:textFill>
                  <w14:solidFill>
                    <w14:srgbClr w14:val="000000">
                      <w14:alpha w14:val="100000"/>
                    </w14:srgbClr>
                  </w14:solidFill>
                </w14:textFill>
              </w:rPr>
              <w:t xml:space="preserve">　</w:t>
            </w:r>
            <w:r w:rsidRPr="0086135B">
              <w:rPr>
                <w:color w:val="000000"/>
                <w:w w:val="15"/>
                <w:shd w:val="solid" w:color="000000" w:fill="000000"/>
                <w:fitText w:val="15" w:id="-893663484"/>
                <w14:textFill>
                  <w14:solidFill>
                    <w14:srgbClr w14:val="000000">
                      <w14:alpha w14:val="100000"/>
                    </w14:srgbClr>
                  </w14:solidFill>
                </w14:textFill>
              </w:rPr>
              <w:t>|</w:t>
            </w:r>
            <w:r w:rsidRPr="0086135B">
              <w:rPr>
                <w:rFonts w:hint="eastAsia"/>
                <w:color w:val="000000"/>
                <w:spacing w:val="-50"/>
                <w:w w:val="15"/>
                <w:shd w:val="solid" w:color="000000" w:fill="000000"/>
                <w:fitText w:val="15" w:id="-893663484"/>
                <w14:textFill>
                  <w14:solidFill>
                    <w14:srgbClr w14:val="000000">
                      <w14:alpha w14:val="100000"/>
                    </w14:srgbClr>
                  </w14:solidFill>
                </w14:textFill>
              </w:rPr>
              <w:t xml:space="preserve">　</w:t>
            </w:r>
            <w:r w:rsidR="00835F86">
              <w:rPr>
                <w:b/>
                <w:bCs/>
                <w:vertAlign w:val="superscript"/>
              </w:rPr>
              <w:t>2</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5DFCAF3B" w14:textId="055C2E4F"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14:paraId="3BAEFE00" w14:textId="77777777" w:rsidTr="001D2BDD">
        <w:trPr>
          <w:trHeight w:val="141"/>
        </w:trPr>
        <w:tc>
          <w:tcPr>
            <w:tcW w:w="6355" w:type="dxa"/>
            <w:tcBorders>
              <w:top w:val="single" w:sz="4" w:space="0" w:color="auto"/>
              <w:left w:val="single" w:sz="4" w:space="0" w:color="auto"/>
              <w:bottom w:val="single" w:sz="4" w:space="0" w:color="auto"/>
              <w:right w:val="single" w:sz="4" w:space="0" w:color="auto"/>
            </w:tcBorders>
            <w:shd w:val="clear" w:color="auto" w:fill="auto"/>
            <w:vAlign w:val="bottom"/>
          </w:tcPr>
          <w:p w14:paraId="16D3A0B4" w14:textId="77777777" w:rsidR="000E2CBC" w:rsidRPr="00EA5394" w:rsidRDefault="000E2CBC" w:rsidP="00EA5394">
            <w:pPr>
              <w:pStyle w:val="Tabletext"/>
              <w:keepNext/>
              <w:keepLines/>
            </w:pPr>
            <w:r w:rsidRPr="00EA5394">
              <w:t xml:space="preserve">Increased drug acquisition cost of carboplatin and decreased drug acquisition costs of pemetrexed and other therapies, based on updated EFC costs </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8DCC0" w14:textId="7C59A6E5"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83"/>
                <w14:textFill>
                  <w14:solidFill>
                    <w14:srgbClr w14:val="000000">
                      <w14:alpha w14:val="100000"/>
                    </w14:srgbClr>
                  </w14:solidFill>
                </w14:textFill>
              </w:rPr>
              <w:t xml:space="preserve">　</w:t>
            </w:r>
            <w:r w:rsidRPr="0086135B">
              <w:rPr>
                <w:color w:val="000000"/>
                <w:w w:val="15"/>
                <w:shd w:val="solid" w:color="000000" w:fill="000000"/>
                <w:fitText w:val="15" w:id="-893663483"/>
                <w14:textFill>
                  <w14:solidFill>
                    <w14:srgbClr w14:val="000000">
                      <w14:alpha w14:val="100000"/>
                    </w14:srgbClr>
                  </w14:solidFill>
                </w14:textFill>
              </w:rPr>
              <w:t>|</w:t>
            </w:r>
            <w:r w:rsidRPr="0086135B">
              <w:rPr>
                <w:rFonts w:hint="eastAsia"/>
                <w:color w:val="000000"/>
                <w:spacing w:val="-50"/>
                <w:w w:val="15"/>
                <w:shd w:val="solid" w:color="000000" w:fill="000000"/>
                <w:fitText w:val="15" w:id="-893663483"/>
                <w14:textFill>
                  <w14:solidFill>
                    <w14:srgbClr w14:val="000000">
                      <w14:alpha w14:val="100000"/>
                    </w14:srgbClr>
                  </w14:solidFill>
                </w14:textFill>
              </w:rPr>
              <w:t xml:space="preserve">　</w:t>
            </w:r>
            <w:r w:rsidR="00835F86">
              <w:rPr>
                <w:b/>
                <w:bCs/>
                <w:vertAlign w:val="superscript"/>
              </w:rPr>
              <w:t>2</w:t>
            </w:r>
          </w:p>
        </w:tc>
        <w:tc>
          <w:tcPr>
            <w:tcW w:w="1342" w:type="dxa"/>
            <w:tcBorders>
              <w:top w:val="single" w:sz="4" w:space="0" w:color="auto"/>
              <w:left w:val="single" w:sz="4" w:space="0" w:color="auto"/>
              <w:bottom w:val="single" w:sz="4" w:space="0" w:color="auto"/>
              <w:right w:val="single" w:sz="4" w:space="0" w:color="auto"/>
            </w:tcBorders>
            <w:vAlign w:val="center"/>
          </w:tcPr>
          <w:p w14:paraId="67C996E7" w14:textId="4D03B2D2"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14:paraId="61688AAB" w14:textId="77777777" w:rsidTr="001D2BDD">
        <w:trPr>
          <w:trHeight w:val="141"/>
        </w:trPr>
        <w:tc>
          <w:tcPr>
            <w:tcW w:w="6355" w:type="dxa"/>
            <w:tcBorders>
              <w:top w:val="single" w:sz="4" w:space="0" w:color="auto"/>
              <w:left w:val="single" w:sz="4" w:space="0" w:color="auto"/>
              <w:bottom w:val="single" w:sz="4" w:space="0" w:color="auto"/>
              <w:right w:val="single" w:sz="4" w:space="0" w:color="auto"/>
            </w:tcBorders>
            <w:shd w:val="clear" w:color="auto" w:fill="auto"/>
            <w:vAlign w:val="bottom"/>
          </w:tcPr>
          <w:p w14:paraId="435316EC" w14:textId="77777777" w:rsidR="000E2CBC" w:rsidRPr="00EA5394" w:rsidRDefault="000E2CBC" w:rsidP="00EA5394">
            <w:pPr>
              <w:pStyle w:val="Tabletext"/>
              <w:keepNext/>
              <w:keepLines/>
            </w:pPr>
            <w:r w:rsidRPr="00EA5394">
              <w:t>Decrease in cost of adverse events and use of latest life tables to estimate life expectancy.</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33C2A" w14:textId="06813A7E" w:rsidR="000E2CBC" w:rsidRPr="00D26D6C" w:rsidRDefault="00DA3714" w:rsidP="00EA5394">
            <w:pPr>
              <w:pStyle w:val="Tabletext"/>
              <w:keepNext/>
              <w:keepLines/>
              <w:jc w:val="center"/>
              <w:rPr>
                <w:highlight w:val="lightGray"/>
              </w:rPr>
            </w:pPr>
            <w:r w:rsidRPr="0086135B">
              <w:rPr>
                <w:rFonts w:hint="eastAsia"/>
                <w:color w:val="000000"/>
                <w:w w:val="15"/>
                <w:shd w:val="solid" w:color="000000" w:fill="000000"/>
                <w:fitText w:val="15" w:id="-893663482"/>
                <w14:textFill>
                  <w14:solidFill>
                    <w14:srgbClr w14:val="000000">
                      <w14:alpha w14:val="100000"/>
                    </w14:srgbClr>
                  </w14:solidFill>
                </w14:textFill>
              </w:rPr>
              <w:t xml:space="preserve">　</w:t>
            </w:r>
            <w:r w:rsidRPr="0086135B">
              <w:rPr>
                <w:color w:val="000000"/>
                <w:w w:val="15"/>
                <w:shd w:val="solid" w:color="000000" w:fill="000000"/>
                <w:fitText w:val="15" w:id="-893663482"/>
                <w14:textFill>
                  <w14:solidFill>
                    <w14:srgbClr w14:val="000000">
                      <w14:alpha w14:val="100000"/>
                    </w14:srgbClr>
                  </w14:solidFill>
                </w14:textFill>
              </w:rPr>
              <w:t>|</w:t>
            </w:r>
            <w:r w:rsidRPr="0086135B">
              <w:rPr>
                <w:rFonts w:hint="eastAsia"/>
                <w:color w:val="000000"/>
                <w:spacing w:val="-50"/>
                <w:w w:val="15"/>
                <w:shd w:val="solid" w:color="000000" w:fill="000000"/>
                <w:fitText w:val="15" w:id="-893663482"/>
                <w14:textFill>
                  <w14:solidFill>
                    <w14:srgbClr w14:val="000000">
                      <w14:alpha w14:val="100000"/>
                    </w14:srgbClr>
                  </w14:solidFill>
                </w14:textFill>
              </w:rPr>
              <w:t xml:space="preserve">　</w:t>
            </w:r>
            <w:r w:rsidR="00835F86">
              <w:rPr>
                <w:b/>
                <w:bCs/>
                <w:vertAlign w:val="superscript"/>
              </w:rPr>
              <w:t>2</w:t>
            </w:r>
          </w:p>
        </w:tc>
        <w:tc>
          <w:tcPr>
            <w:tcW w:w="1342" w:type="dxa"/>
            <w:tcBorders>
              <w:top w:val="single" w:sz="4" w:space="0" w:color="auto"/>
              <w:left w:val="single" w:sz="4" w:space="0" w:color="auto"/>
              <w:bottom w:val="single" w:sz="4" w:space="0" w:color="auto"/>
              <w:right w:val="single" w:sz="4" w:space="0" w:color="auto"/>
            </w:tcBorders>
            <w:vAlign w:val="center"/>
          </w:tcPr>
          <w:p w14:paraId="42480EB2" w14:textId="5E5E4AF4" w:rsidR="000E2CBC" w:rsidRPr="00EA5394" w:rsidRDefault="00196C0C" w:rsidP="00EA5394">
            <w:pPr>
              <w:pStyle w:val="Tabletext"/>
              <w:keepNext/>
              <w:keepLines/>
              <w:jc w:val="center"/>
            </w:pPr>
            <w:r w:rsidRPr="0086135B">
              <w:rPr>
                <w:rFonts w:hint="eastAsia"/>
                <w:color w:val="000000"/>
                <w:w w:val="15"/>
                <w:shd w:val="solid" w:color="000000" w:fill="000000"/>
                <w:fitText w:val="15" w:id="-893663480"/>
                <w14:textFill>
                  <w14:solidFill>
                    <w14:srgbClr w14:val="000000">
                      <w14:alpha w14:val="100000"/>
                    </w14:srgbClr>
                  </w14:solidFill>
                </w14:textFill>
              </w:rPr>
              <w:t xml:space="preserve">　</w:t>
            </w:r>
            <w:r w:rsidRPr="0086135B">
              <w:rPr>
                <w:color w:val="000000"/>
                <w:spacing w:val="-21"/>
                <w:w w:val="15"/>
                <w:shd w:val="solid" w:color="000000" w:fill="000000"/>
                <w:fitText w:val="15" w:id="-893663480"/>
                <w14:textFill>
                  <w14:solidFill>
                    <w14:srgbClr w14:val="000000">
                      <w14:alpha w14:val="100000"/>
                    </w14:srgbClr>
                  </w14:solidFill>
                </w14:textFill>
              </w:rPr>
              <w:t>|</w:t>
            </w:r>
            <w:r w:rsidR="000E2CBC" w:rsidRPr="00EA5394">
              <w:t>%</w:t>
            </w:r>
          </w:p>
        </w:tc>
      </w:tr>
      <w:tr w:rsidR="000E2CBC" w:rsidRPr="009D7DC5" w14:paraId="7CCBD831" w14:textId="77777777" w:rsidTr="001D2BDD">
        <w:trPr>
          <w:trHeight w:val="165"/>
        </w:trPr>
        <w:tc>
          <w:tcPr>
            <w:tcW w:w="6355" w:type="dxa"/>
            <w:shd w:val="clear" w:color="auto" w:fill="auto"/>
            <w:vAlign w:val="bottom"/>
          </w:tcPr>
          <w:p w14:paraId="029CB152" w14:textId="77777777" w:rsidR="000E2CBC" w:rsidRPr="00EA5394" w:rsidRDefault="000E2CBC" w:rsidP="00EA5394">
            <w:pPr>
              <w:pStyle w:val="Tabletext"/>
              <w:keepNext/>
              <w:keepLines/>
              <w:rPr>
                <w:b/>
                <w:bCs/>
              </w:rPr>
            </w:pPr>
            <w:r w:rsidRPr="00EA5394">
              <w:rPr>
                <w:b/>
                <w:bCs/>
              </w:rPr>
              <w:t>Base case in resubmission</w:t>
            </w:r>
          </w:p>
        </w:tc>
        <w:tc>
          <w:tcPr>
            <w:tcW w:w="1320" w:type="dxa"/>
            <w:shd w:val="clear" w:color="auto" w:fill="auto"/>
            <w:noWrap/>
            <w:vAlign w:val="center"/>
          </w:tcPr>
          <w:p w14:paraId="504B392E" w14:textId="164856E1" w:rsidR="000E2CBC" w:rsidRPr="00D26D6C" w:rsidRDefault="00DA3714" w:rsidP="00EA5394">
            <w:pPr>
              <w:pStyle w:val="Tabletext"/>
              <w:keepNext/>
              <w:keepLines/>
              <w:jc w:val="center"/>
              <w:rPr>
                <w:b/>
                <w:bCs/>
                <w:highlight w:val="lightGray"/>
              </w:rPr>
            </w:pPr>
            <w:r w:rsidRPr="00DA3714">
              <w:rPr>
                <w:rFonts w:hint="eastAsia"/>
                <w:b/>
                <w:bCs/>
                <w:color w:val="000000"/>
                <w:w w:val="16"/>
                <w:shd w:val="solid" w:color="000000" w:fill="000000"/>
                <w:fitText w:val="75" w:id="-893663481"/>
                <w14:textFill>
                  <w14:solidFill>
                    <w14:srgbClr w14:val="000000">
                      <w14:alpha w14:val="100000"/>
                    </w14:srgbClr>
                  </w14:solidFill>
                </w14:textFill>
              </w:rPr>
              <w:t xml:space="preserve">　</w:t>
            </w:r>
            <w:r w:rsidRPr="00DA3714">
              <w:rPr>
                <w:b/>
                <w:bCs/>
                <w:color w:val="000000"/>
                <w:w w:val="16"/>
                <w:shd w:val="solid" w:color="000000" w:fill="000000"/>
                <w:fitText w:val="75" w:id="-893663481"/>
                <w14:textFill>
                  <w14:solidFill>
                    <w14:srgbClr w14:val="000000">
                      <w14:alpha w14:val="100000"/>
                    </w14:srgbClr>
                  </w14:solidFill>
                </w14:textFill>
              </w:rPr>
              <w:t>|</w:t>
            </w:r>
            <w:r w:rsidRPr="00DA3714">
              <w:rPr>
                <w:rFonts w:hint="eastAsia"/>
                <w:b/>
                <w:bCs/>
                <w:color w:val="000000"/>
                <w:spacing w:val="5"/>
                <w:w w:val="16"/>
                <w:shd w:val="solid" w:color="000000" w:fill="000000"/>
                <w:fitText w:val="75" w:id="-893663481"/>
                <w14:textFill>
                  <w14:solidFill>
                    <w14:srgbClr w14:val="000000">
                      <w14:alpha w14:val="100000"/>
                    </w14:srgbClr>
                  </w14:solidFill>
                </w14:textFill>
              </w:rPr>
              <w:t xml:space="preserve">　</w:t>
            </w:r>
            <w:r w:rsidR="00835F86">
              <w:rPr>
                <w:b/>
                <w:bCs/>
                <w:vertAlign w:val="superscript"/>
              </w:rPr>
              <w:t>2</w:t>
            </w:r>
          </w:p>
        </w:tc>
        <w:tc>
          <w:tcPr>
            <w:tcW w:w="1342" w:type="dxa"/>
            <w:vAlign w:val="center"/>
          </w:tcPr>
          <w:p w14:paraId="70DD81DC" w14:textId="426AF3A5" w:rsidR="000E2CBC" w:rsidRPr="00EA5394" w:rsidRDefault="00BC5A69" w:rsidP="00EA5394">
            <w:pPr>
              <w:pStyle w:val="Tabletext"/>
              <w:keepNext/>
              <w:keepLines/>
              <w:jc w:val="center"/>
            </w:pPr>
            <w:r>
              <w:t>-</w:t>
            </w:r>
          </w:p>
        </w:tc>
      </w:tr>
    </w:tbl>
    <w:p w14:paraId="3331D8FF" w14:textId="263B09D1" w:rsidR="000E2CBC" w:rsidRDefault="000E2CBC" w:rsidP="000E2CBC">
      <w:pPr>
        <w:pStyle w:val="TableFigureFooter"/>
        <w:keepNext/>
        <w:keepLines/>
      </w:pPr>
      <w:r>
        <w:t>Source: tabulated during the evaluation by changing the inputs step</w:t>
      </w:r>
      <w:r w:rsidR="00BC5A69">
        <w:t xml:space="preserve"> </w:t>
      </w:r>
      <w:r>
        <w:t>wise, to the July 2023 economic model.</w:t>
      </w:r>
    </w:p>
    <w:p w14:paraId="1A5E7898" w14:textId="05ED7621" w:rsidR="000E2CBC" w:rsidRDefault="00BC5A69" w:rsidP="000E2CBC">
      <w:pPr>
        <w:pStyle w:val="TableFigureFooter"/>
        <w:keepNext/>
        <w:keepLines/>
        <w:rPr>
          <w:szCs w:val="18"/>
        </w:rPr>
      </w:pPr>
      <w:r>
        <w:t xml:space="preserve">AEMP = approved ex-manufacturer price; </w:t>
      </w:r>
      <w:r w:rsidR="000E2CBC">
        <w:t xml:space="preserve">EFC = Efficient Funding of Chemotherapy program; </w:t>
      </w:r>
      <w:r>
        <w:t xml:space="preserve">EMP = </w:t>
      </w:r>
      <w:r w:rsidRPr="00B13A57">
        <w:t>ex-manufacturer price</w:t>
      </w:r>
      <w:r>
        <w:t>;</w:t>
      </w:r>
      <w:r w:rsidRPr="00B13A57">
        <w:t xml:space="preserve"> </w:t>
      </w:r>
      <w:r>
        <w:t xml:space="preserve">ICER = incremental cost-effectiveness ratio; </w:t>
      </w:r>
      <w:r w:rsidR="000E2CBC">
        <w:t xml:space="preserve">MAIC = </w:t>
      </w:r>
      <w:r>
        <w:t>m</w:t>
      </w:r>
      <w:r w:rsidR="000E2CBC">
        <w:t xml:space="preserve">atching adjusted indirect comparison; </w:t>
      </w:r>
      <w:r>
        <w:t xml:space="preserve">NMA = network meta-analysis; QALY = quality-adjusted life year; </w:t>
      </w:r>
      <w:r w:rsidRPr="002363DC">
        <w:rPr>
          <w:i/>
          <w:szCs w:val="18"/>
        </w:rPr>
        <w:t>RET</w:t>
      </w:r>
      <w:r w:rsidRPr="002363DC">
        <w:rPr>
          <w:szCs w:val="18"/>
        </w:rPr>
        <w:t xml:space="preserve"> = rearranged during transfection</w:t>
      </w:r>
    </w:p>
    <w:p w14:paraId="2E8B0974" w14:textId="77777777" w:rsidR="003A74BD" w:rsidRDefault="003A74BD" w:rsidP="003A74BD">
      <w:pPr>
        <w:pStyle w:val="TableFigureFooter"/>
        <w:keepNext/>
        <w:keepLines/>
      </w:pPr>
      <w:r>
        <w:t xml:space="preserve">The redacted values correspond to the following ranges: </w:t>
      </w:r>
    </w:p>
    <w:p w14:paraId="1EC6B53D" w14:textId="007D3FD8" w:rsidR="00835F86" w:rsidRPr="00835F86" w:rsidRDefault="003A74BD" w:rsidP="00835F86">
      <w:pPr>
        <w:pStyle w:val="TableFigureFooter"/>
        <w:keepNext/>
        <w:keepLines/>
      </w:pPr>
      <w:r>
        <w:t>1</w:t>
      </w:r>
      <w:r w:rsidR="00835F86" w:rsidRPr="00835F86">
        <w:t xml:space="preserve"> $55,000 to &lt; $75,000</w:t>
      </w:r>
    </w:p>
    <w:p w14:paraId="26F67A17" w14:textId="19574F93" w:rsidR="003A74BD" w:rsidRDefault="00835F86" w:rsidP="003A74BD">
      <w:pPr>
        <w:pStyle w:val="TableFigureFooter"/>
        <w:keepNext/>
        <w:keepLines/>
      </w:pPr>
      <w:r>
        <w:t xml:space="preserve">2 </w:t>
      </w:r>
      <w:r w:rsidR="003A74BD">
        <w:t xml:space="preserve"> $75,000 to &lt; $95,000</w:t>
      </w:r>
    </w:p>
    <w:p w14:paraId="6B901301" w14:textId="77777777" w:rsidR="003A74BD" w:rsidRDefault="003A74BD" w:rsidP="003A74BD">
      <w:pPr>
        <w:pStyle w:val="TableFigureFooter"/>
        <w:keepNext/>
        <w:keepLines/>
      </w:pPr>
      <w:r>
        <w:t>3 $95,000 to &lt; $115,000</w:t>
      </w:r>
    </w:p>
    <w:p w14:paraId="26EECF6B" w14:textId="16136AC6" w:rsidR="002D7804" w:rsidRDefault="002D7804" w:rsidP="00085EF6">
      <w:pPr>
        <w:pStyle w:val="3-BodyText"/>
      </w:pPr>
      <w:r>
        <w:fldChar w:fldCharType="begin" w:fldLock="1"/>
      </w:r>
      <w:r>
        <w:instrText xml:space="preserve"> REF _Ref164195289 \h </w:instrText>
      </w:r>
      <w:r>
        <w:fldChar w:fldCharType="separate"/>
      </w:r>
      <w:r w:rsidR="00F979CE">
        <w:t xml:space="preserve">Table </w:t>
      </w:r>
      <w:r w:rsidR="00F979CE">
        <w:rPr>
          <w:noProof/>
        </w:rPr>
        <w:t>14</w:t>
      </w:r>
      <w:r>
        <w:fldChar w:fldCharType="end"/>
      </w:r>
      <w:r>
        <w:t xml:space="preserve"> presents the life years and QALYs gained in each health state.</w:t>
      </w:r>
    </w:p>
    <w:p w14:paraId="3298132A" w14:textId="74EC8909" w:rsidR="002D7804" w:rsidRDefault="002D7804" w:rsidP="002D7804">
      <w:pPr>
        <w:pStyle w:val="Caption"/>
      </w:pPr>
      <w:bookmarkStart w:id="71" w:name="_Ref164195289"/>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14</w:t>
      </w:r>
      <w:r w:rsidR="00BA56FF">
        <w:rPr>
          <w:noProof/>
        </w:rPr>
        <w:fldChar w:fldCharType="end"/>
      </w:r>
      <w:bookmarkEnd w:id="71"/>
      <w:r w:rsidRPr="001226D3">
        <w:t>: Disaggregated summary of health outcomes for selpercatinib vs pembrolizumab + PC</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Table 14: Disaggregated summary of health outcomes for selpercatinib vs pembrolizumab + PC"/>
      </w:tblPr>
      <w:tblGrid>
        <w:gridCol w:w="1804"/>
        <w:gridCol w:w="1803"/>
        <w:gridCol w:w="1803"/>
        <w:gridCol w:w="1672"/>
        <w:gridCol w:w="1935"/>
      </w:tblGrid>
      <w:tr w:rsidR="002D7804" w:rsidRPr="00547DA6" w14:paraId="01AA558E" w14:textId="77777777">
        <w:trPr>
          <w:cnfStyle w:val="100000000000" w:firstRow="1" w:lastRow="0" w:firstColumn="0" w:lastColumn="0" w:oddVBand="0" w:evenVBand="0" w:oddHBand="0" w:evenHBand="0" w:firstRowFirstColumn="0" w:firstRowLastColumn="0" w:lastRowFirstColumn="0" w:lastRowLastColumn="0"/>
          <w:trHeight w:val="300"/>
        </w:trPr>
        <w:tc>
          <w:tcPr>
            <w:tcW w:w="1000" w:type="pct"/>
            <w:noWrap/>
            <w:hideMark/>
          </w:tcPr>
          <w:p w14:paraId="0F23FD30" w14:textId="77777777" w:rsidR="002D7804" w:rsidRPr="00547DA6" w:rsidRDefault="002D7804">
            <w:pPr>
              <w:pStyle w:val="Tabletext"/>
              <w:keepNext/>
            </w:pPr>
            <w:r w:rsidRPr="00547DA6">
              <w:t>Health state</w:t>
            </w:r>
          </w:p>
        </w:tc>
        <w:tc>
          <w:tcPr>
            <w:tcW w:w="1000" w:type="pct"/>
          </w:tcPr>
          <w:p w14:paraId="72B4E67D" w14:textId="77777777" w:rsidR="002D7804" w:rsidRPr="00547DA6" w:rsidRDefault="002D7804">
            <w:pPr>
              <w:pStyle w:val="Tabletext"/>
              <w:keepNext/>
              <w:jc w:val="center"/>
            </w:pPr>
            <w:r w:rsidRPr="00547DA6">
              <w:t xml:space="preserve">Selpercatinib </w:t>
            </w:r>
          </w:p>
        </w:tc>
        <w:tc>
          <w:tcPr>
            <w:tcW w:w="1000" w:type="pct"/>
            <w:noWrap/>
            <w:hideMark/>
          </w:tcPr>
          <w:p w14:paraId="20FB3143" w14:textId="77777777" w:rsidR="002D7804" w:rsidRPr="00547DA6" w:rsidRDefault="002D7804">
            <w:pPr>
              <w:pStyle w:val="Tabletext"/>
              <w:keepNext/>
              <w:jc w:val="center"/>
            </w:pPr>
            <w:r w:rsidRPr="00547DA6">
              <w:t xml:space="preserve">Pembrolizumab </w:t>
            </w:r>
            <w:r>
              <w:t xml:space="preserve">+ PC </w:t>
            </w:r>
          </w:p>
        </w:tc>
        <w:tc>
          <w:tcPr>
            <w:tcW w:w="927" w:type="pct"/>
            <w:noWrap/>
            <w:hideMark/>
          </w:tcPr>
          <w:p w14:paraId="5F9DA7E3" w14:textId="77777777" w:rsidR="002D7804" w:rsidRPr="00547DA6" w:rsidRDefault="002D7804">
            <w:pPr>
              <w:pStyle w:val="Tabletext"/>
              <w:keepNext/>
              <w:jc w:val="center"/>
            </w:pPr>
            <w:r w:rsidRPr="00547DA6">
              <w:t xml:space="preserve">Incremental </w:t>
            </w:r>
            <w:r>
              <w:t>outcome</w:t>
            </w:r>
          </w:p>
        </w:tc>
        <w:tc>
          <w:tcPr>
            <w:tcW w:w="1073" w:type="pct"/>
            <w:noWrap/>
            <w:hideMark/>
          </w:tcPr>
          <w:p w14:paraId="3E3E936B" w14:textId="77777777" w:rsidR="002D7804" w:rsidRPr="00547DA6" w:rsidRDefault="002D7804">
            <w:pPr>
              <w:pStyle w:val="Tabletext"/>
              <w:keepNext/>
              <w:jc w:val="center"/>
            </w:pPr>
            <w:r w:rsidRPr="00547DA6">
              <w:t>% of</w:t>
            </w:r>
            <w:r>
              <w:t xml:space="preserve"> total</w:t>
            </w:r>
            <w:r w:rsidRPr="00547DA6">
              <w:t xml:space="preserve"> incremental </w:t>
            </w:r>
            <w:r>
              <w:t>outcome</w:t>
            </w:r>
          </w:p>
        </w:tc>
      </w:tr>
      <w:tr w:rsidR="002D7804" w:rsidRPr="00026EC3" w14:paraId="7933257F" w14:textId="77777777">
        <w:trPr>
          <w:cnfStyle w:val="000000100000" w:firstRow="0" w:lastRow="0" w:firstColumn="0" w:lastColumn="0" w:oddVBand="0" w:evenVBand="0" w:oddHBand="1" w:evenHBand="0" w:firstRowFirstColumn="0" w:firstRowLastColumn="0" w:lastRowFirstColumn="0" w:lastRowLastColumn="0"/>
          <w:trHeight w:val="71"/>
        </w:trPr>
        <w:tc>
          <w:tcPr>
            <w:tcW w:w="5000" w:type="pct"/>
            <w:gridSpan w:val="5"/>
            <w:noWrap/>
          </w:tcPr>
          <w:p w14:paraId="7EA0C85A" w14:textId="7498CDA9" w:rsidR="002D7804" w:rsidRPr="00026EC3" w:rsidRDefault="002D7804">
            <w:pPr>
              <w:pStyle w:val="Tabletext"/>
              <w:keepNext/>
              <w:rPr>
                <w:b/>
                <w:bCs/>
              </w:rPr>
            </w:pPr>
            <w:r w:rsidRPr="00026EC3">
              <w:rPr>
                <w:b/>
                <w:bCs/>
              </w:rPr>
              <w:t>L</w:t>
            </w:r>
            <w:r w:rsidR="007069C4">
              <w:rPr>
                <w:b/>
                <w:bCs/>
              </w:rPr>
              <w:t>Y</w:t>
            </w:r>
            <w:r w:rsidRPr="00026EC3">
              <w:rPr>
                <w:b/>
                <w:bCs/>
              </w:rPr>
              <w:t>s</w:t>
            </w:r>
            <w:r>
              <w:rPr>
                <w:b/>
                <w:bCs/>
              </w:rPr>
              <w:t xml:space="preserve"> (discounted)</w:t>
            </w:r>
          </w:p>
        </w:tc>
      </w:tr>
      <w:tr w:rsidR="002D7804" w:rsidRPr="00547DA6" w14:paraId="387BDDCF" w14:textId="77777777">
        <w:trPr>
          <w:trHeight w:val="110"/>
        </w:trPr>
        <w:tc>
          <w:tcPr>
            <w:tcW w:w="1000" w:type="pct"/>
            <w:noWrap/>
            <w:vAlign w:val="center"/>
          </w:tcPr>
          <w:p w14:paraId="3A3267CE" w14:textId="77777777" w:rsidR="002D7804" w:rsidRPr="00547DA6" w:rsidRDefault="002D7804">
            <w:pPr>
              <w:pStyle w:val="Tabletext"/>
              <w:keepNext/>
            </w:pPr>
            <w:r>
              <w:t>Progression-free</w:t>
            </w:r>
          </w:p>
        </w:tc>
        <w:tc>
          <w:tcPr>
            <w:tcW w:w="1000" w:type="pct"/>
          </w:tcPr>
          <w:p w14:paraId="3AC52E9D" w14:textId="77777777" w:rsidR="002D7804" w:rsidRPr="00547DA6" w:rsidRDefault="002D7804">
            <w:pPr>
              <w:pStyle w:val="Tabletext"/>
              <w:keepNext/>
              <w:jc w:val="center"/>
            </w:pPr>
            <w:r>
              <w:t>2.399</w:t>
            </w:r>
          </w:p>
        </w:tc>
        <w:tc>
          <w:tcPr>
            <w:tcW w:w="1000" w:type="pct"/>
            <w:noWrap/>
          </w:tcPr>
          <w:p w14:paraId="399A22A3" w14:textId="77777777" w:rsidR="002D7804" w:rsidRPr="00547DA6" w:rsidRDefault="002D7804">
            <w:pPr>
              <w:pStyle w:val="Tabletext"/>
              <w:keepNext/>
              <w:jc w:val="center"/>
            </w:pPr>
            <w:r>
              <w:t>1.341</w:t>
            </w:r>
          </w:p>
        </w:tc>
        <w:tc>
          <w:tcPr>
            <w:tcW w:w="927" w:type="pct"/>
            <w:noWrap/>
          </w:tcPr>
          <w:p w14:paraId="692FACBE" w14:textId="77777777" w:rsidR="002D7804" w:rsidRPr="00547DA6" w:rsidRDefault="002D7804">
            <w:pPr>
              <w:pStyle w:val="Tabletext"/>
              <w:keepNext/>
              <w:jc w:val="center"/>
            </w:pPr>
            <w:r w:rsidRPr="00AA1B41">
              <w:t>1.058</w:t>
            </w:r>
          </w:p>
        </w:tc>
        <w:tc>
          <w:tcPr>
            <w:tcW w:w="1073" w:type="pct"/>
            <w:noWrap/>
          </w:tcPr>
          <w:p w14:paraId="6502D395" w14:textId="77777777" w:rsidR="002D7804" w:rsidRPr="00547DA6" w:rsidRDefault="002D7804">
            <w:pPr>
              <w:pStyle w:val="Tabletext"/>
              <w:keepNext/>
              <w:jc w:val="center"/>
            </w:pPr>
            <w:r>
              <w:t>62.7%</w:t>
            </w:r>
          </w:p>
        </w:tc>
      </w:tr>
      <w:tr w:rsidR="002D7804" w:rsidRPr="00547DA6" w14:paraId="0BCDE334" w14:textId="77777777">
        <w:trPr>
          <w:cnfStyle w:val="000000100000" w:firstRow="0" w:lastRow="0" w:firstColumn="0" w:lastColumn="0" w:oddVBand="0" w:evenVBand="0" w:oddHBand="1" w:evenHBand="0" w:firstRowFirstColumn="0" w:firstRowLastColumn="0" w:lastRowFirstColumn="0" w:lastRowLastColumn="0"/>
          <w:trHeight w:val="71"/>
        </w:trPr>
        <w:tc>
          <w:tcPr>
            <w:tcW w:w="1000" w:type="pct"/>
            <w:noWrap/>
            <w:vAlign w:val="center"/>
          </w:tcPr>
          <w:p w14:paraId="02F93082" w14:textId="77777777" w:rsidR="002D7804" w:rsidRPr="00547DA6" w:rsidRDefault="002D7804">
            <w:pPr>
              <w:pStyle w:val="Tabletext"/>
              <w:keepNext/>
            </w:pPr>
            <w:r>
              <w:t>Progressed disease</w:t>
            </w:r>
          </w:p>
        </w:tc>
        <w:tc>
          <w:tcPr>
            <w:tcW w:w="1000" w:type="pct"/>
          </w:tcPr>
          <w:p w14:paraId="2CC6AAB1" w14:textId="77777777" w:rsidR="002D7804" w:rsidRPr="00547DA6" w:rsidRDefault="002D7804">
            <w:pPr>
              <w:pStyle w:val="Tabletext"/>
              <w:keepNext/>
              <w:jc w:val="center"/>
            </w:pPr>
            <w:r>
              <w:t>1.658</w:t>
            </w:r>
          </w:p>
        </w:tc>
        <w:tc>
          <w:tcPr>
            <w:tcW w:w="1000" w:type="pct"/>
            <w:noWrap/>
          </w:tcPr>
          <w:p w14:paraId="5C8F1C5F" w14:textId="77777777" w:rsidR="002D7804" w:rsidRPr="00547DA6" w:rsidRDefault="002D7804">
            <w:pPr>
              <w:pStyle w:val="Tabletext"/>
              <w:keepNext/>
              <w:jc w:val="center"/>
            </w:pPr>
            <w:r>
              <w:t>1.029</w:t>
            </w:r>
          </w:p>
        </w:tc>
        <w:tc>
          <w:tcPr>
            <w:tcW w:w="927" w:type="pct"/>
            <w:noWrap/>
          </w:tcPr>
          <w:p w14:paraId="794051B5" w14:textId="77777777" w:rsidR="002D7804" w:rsidRPr="00547DA6" w:rsidRDefault="002D7804">
            <w:pPr>
              <w:pStyle w:val="Tabletext"/>
              <w:keepNext/>
              <w:jc w:val="center"/>
            </w:pPr>
            <w:r w:rsidRPr="00AA1B41">
              <w:t>0.629</w:t>
            </w:r>
          </w:p>
        </w:tc>
        <w:tc>
          <w:tcPr>
            <w:tcW w:w="1073" w:type="pct"/>
            <w:noWrap/>
          </w:tcPr>
          <w:p w14:paraId="338B8DDB" w14:textId="77777777" w:rsidR="002D7804" w:rsidRPr="00547DA6" w:rsidRDefault="002D7804">
            <w:pPr>
              <w:pStyle w:val="Tabletext"/>
              <w:keepNext/>
              <w:jc w:val="center"/>
            </w:pPr>
            <w:r>
              <w:t>37.3%</w:t>
            </w:r>
          </w:p>
        </w:tc>
      </w:tr>
      <w:tr w:rsidR="002D7804" w:rsidRPr="00547DA6" w14:paraId="5F7F83F0" w14:textId="77777777">
        <w:trPr>
          <w:trHeight w:val="71"/>
        </w:trPr>
        <w:tc>
          <w:tcPr>
            <w:tcW w:w="1000" w:type="pct"/>
            <w:noWrap/>
            <w:vAlign w:val="center"/>
          </w:tcPr>
          <w:p w14:paraId="7491F0CB" w14:textId="2516BBF7" w:rsidR="002D7804" w:rsidRPr="00AE52B7" w:rsidRDefault="002D7804">
            <w:pPr>
              <w:pStyle w:val="Tabletext"/>
              <w:keepNext/>
              <w:rPr>
                <w:b/>
                <w:bCs/>
              </w:rPr>
            </w:pPr>
            <w:r w:rsidRPr="00AE52B7">
              <w:rPr>
                <w:b/>
                <w:bCs/>
              </w:rPr>
              <w:t>Total L</w:t>
            </w:r>
            <w:r w:rsidR="007069C4">
              <w:rPr>
                <w:b/>
                <w:bCs/>
              </w:rPr>
              <w:t>Y</w:t>
            </w:r>
            <w:r w:rsidRPr="00AE52B7">
              <w:rPr>
                <w:b/>
                <w:bCs/>
              </w:rPr>
              <w:t>s</w:t>
            </w:r>
          </w:p>
        </w:tc>
        <w:tc>
          <w:tcPr>
            <w:tcW w:w="1000" w:type="pct"/>
          </w:tcPr>
          <w:p w14:paraId="1DCF90B6" w14:textId="77777777" w:rsidR="002D7804" w:rsidRPr="00AE52B7" w:rsidRDefault="002D7804">
            <w:pPr>
              <w:pStyle w:val="Tabletext"/>
              <w:keepNext/>
              <w:jc w:val="center"/>
              <w:rPr>
                <w:b/>
                <w:bCs/>
              </w:rPr>
            </w:pPr>
            <w:r w:rsidRPr="00AE52B7">
              <w:rPr>
                <w:b/>
                <w:bCs/>
              </w:rPr>
              <w:t>4.057</w:t>
            </w:r>
          </w:p>
        </w:tc>
        <w:tc>
          <w:tcPr>
            <w:tcW w:w="1000" w:type="pct"/>
            <w:noWrap/>
          </w:tcPr>
          <w:p w14:paraId="3EEF5E6C" w14:textId="77777777" w:rsidR="002D7804" w:rsidRPr="00AE52B7" w:rsidRDefault="002D7804">
            <w:pPr>
              <w:pStyle w:val="Tabletext"/>
              <w:keepNext/>
              <w:jc w:val="center"/>
              <w:rPr>
                <w:b/>
                <w:bCs/>
              </w:rPr>
            </w:pPr>
            <w:r w:rsidRPr="00AE52B7">
              <w:rPr>
                <w:b/>
                <w:bCs/>
              </w:rPr>
              <w:t>2.370</w:t>
            </w:r>
          </w:p>
        </w:tc>
        <w:tc>
          <w:tcPr>
            <w:tcW w:w="927" w:type="pct"/>
            <w:noWrap/>
          </w:tcPr>
          <w:p w14:paraId="000639F1" w14:textId="77777777" w:rsidR="002D7804" w:rsidRPr="00AE52B7" w:rsidRDefault="002D7804">
            <w:pPr>
              <w:pStyle w:val="Tabletext"/>
              <w:keepNext/>
              <w:jc w:val="center"/>
              <w:rPr>
                <w:b/>
                <w:bCs/>
              </w:rPr>
            </w:pPr>
            <w:r w:rsidRPr="00AE52B7">
              <w:rPr>
                <w:b/>
                <w:bCs/>
              </w:rPr>
              <w:t>1.687</w:t>
            </w:r>
          </w:p>
        </w:tc>
        <w:tc>
          <w:tcPr>
            <w:tcW w:w="1073" w:type="pct"/>
            <w:noWrap/>
          </w:tcPr>
          <w:p w14:paraId="09E98AD3" w14:textId="77777777" w:rsidR="002D7804" w:rsidRPr="00AE52B7" w:rsidRDefault="002D7804">
            <w:pPr>
              <w:pStyle w:val="Tabletext"/>
              <w:keepNext/>
              <w:jc w:val="center"/>
              <w:rPr>
                <w:b/>
                <w:bCs/>
              </w:rPr>
            </w:pPr>
            <w:r w:rsidRPr="00AE52B7">
              <w:rPr>
                <w:b/>
                <w:bCs/>
              </w:rPr>
              <w:t>100%</w:t>
            </w:r>
          </w:p>
        </w:tc>
      </w:tr>
      <w:tr w:rsidR="002D7804" w:rsidRPr="00026EC3" w14:paraId="19573F21" w14:textId="77777777">
        <w:trPr>
          <w:cnfStyle w:val="000000100000" w:firstRow="0" w:lastRow="0" w:firstColumn="0" w:lastColumn="0" w:oddVBand="0" w:evenVBand="0" w:oddHBand="1" w:evenHBand="0" w:firstRowFirstColumn="0" w:firstRowLastColumn="0" w:lastRowFirstColumn="0" w:lastRowLastColumn="0"/>
          <w:trHeight w:val="71"/>
        </w:trPr>
        <w:tc>
          <w:tcPr>
            <w:tcW w:w="5000" w:type="pct"/>
            <w:gridSpan w:val="5"/>
            <w:shd w:val="clear" w:color="auto" w:fill="auto"/>
            <w:noWrap/>
          </w:tcPr>
          <w:p w14:paraId="39F57A07" w14:textId="61EE6F76" w:rsidR="002D7804" w:rsidRPr="00026EC3" w:rsidRDefault="002D7804">
            <w:pPr>
              <w:pStyle w:val="Tabletext"/>
              <w:keepNext/>
              <w:rPr>
                <w:b/>
                <w:bCs/>
              </w:rPr>
            </w:pPr>
            <w:r w:rsidRPr="00026EC3">
              <w:rPr>
                <w:b/>
                <w:bCs/>
              </w:rPr>
              <w:t>L</w:t>
            </w:r>
            <w:r w:rsidR="009D637E">
              <w:rPr>
                <w:b/>
                <w:bCs/>
              </w:rPr>
              <w:t>y</w:t>
            </w:r>
            <w:r w:rsidRPr="00026EC3">
              <w:rPr>
                <w:b/>
                <w:bCs/>
              </w:rPr>
              <w:t>s</w:t>
            </w:r>
            <w:r>
              <w:rPr>
                <w:b/>
                <w:bCs/>
              </w:rPr>
              <w:t xml:space="preserve"> (undiscounted)</w:t>
            </w:r>
          </w:p>
        </w:tc>
      </w:tr>
      <w:tr w:rsidR="002D7804" w:rsidRPr="00547DA6" w14:paraId="2B5CB7B8" w14:textId="77777777">
        <w:trPr>
          <w:trHeight w:val="110"/>
        </w:trPr>
        <w:tc>
          <w:tcPr>
            <w:tcW w:w="1000" w:type="pct"/>
            <w:noWrap/>
            <w:vAlign w:val="center"/>
          </w:tcPr>
          <w:p w14:paraId="431D8DA2" w14:textId="77777777" w:rsidR="002D7804" w:rsidRPr="00547DA6" w:rsidRDefault="002D7804">
            <w:pPr>
              <w:pStyle w:val="Tabletext"/>
              <w:keepNext/>
            </w:pPr>
            <w:r>
              <w:t>Progression-free</w:t>
            </w:r>
          </w:p>
        </w:tc>
        <w:tc>
          <w:tcPr>
            <w:tcW w:w="1000" w:type="pct"/>
            <w:shd w:val="clear" w:color="auto" w:fill="auto"/>
          </w:tcPr>
          <w:p w14:paraId="5FCF65FA" w14:textId="77777777" w:rsidR="002D7804" w:rsidRPr="00547DA6" w:rsidRDefault="002D7804">
            <w:pPr>
              <w:pStyle w:val="Tabletext"/>
              <w:keepNext/>
              <w:jc w:val="center"/>
            </w:pPr>
            <w:r w:rsidRPr="0071521A">
              <w:t>2.664</w:t>
            </w:r>
          </w:p>
        </w:tc>
        <w:tc>
          <w:tcPr>
            <w:tcW w:w="1000" w:type="pct"/>
            <w:shd w:val="clear" w:color="auto" w:fill="auto"/>
            <w:noWrap/>
          </w:tcPr>
          <w:p w14:paraId="328817C4" w14:textId="77777777" w:rsidR="002D7804" w:rsidRPr="00547DA6" w:rsidRDefault="002D7804">
            <w:pPr>
              <w:pStyle w:val="Tabletext"/>
              <w:keepNext/>
              <w:jc w:val="center"/>
            </w:pPr>
            <w:r w:rsidRPr="0071521A">
              <w:t>1.424</w:t>
            </w:r>
          </w:p>
        </w:tc>
        <w:tc>
          <w:tcPr>
            <w:tcW w:w="927" w:type="pct"/>
            <w:noWrap/>
          </w:tcPr>
          <w:p w14:paraId="2A047BEB" w14:textId="77777777" w:rsidR="002D7804" w:rsidRPr="00547DA6" w:rsidRDefault="002D7804">
            <w:pPr>
              <w:pStyle w:val="Tabletext"/>
              <w:keepNext/>
              <w:jc w:val="center"/>
            </w:pPr>
            <w:r w:rsidRPr="0071521A">
              <w:t>1.</w:t>
            </w:r>
            <w:r>
              <w:t>240</w:t>
            </w:r>
          </w:p>
        </w:tc>
        <w:tc>
          <w:tcPr>
            <w:tcW w:w="1073" w:type="pct"/>
            <w:noWrap/>
          </w:tcPr>
          <w:p w14:paraId="0912A551" w14:textId="77777777" w:rsidR="002D7804" w:rsidRPr="00547DA6" w:rsidRDefault="002D7804">
            <w:pPr>
              <w:pStyle w:val="Tabletext"/>
              <w:keepNext/>
              <w:jc w:val="center"/>
            </w:pPr>
            <w:r>
              <w:t>57.6%</w:t>
            </w:r>
          </w:p>
        </w:tc>
      </w:tr>
      <w:tr w:rsidR="002D7804" w:rsidRPr="00547DA6" w14:paraId="5FD1FC4F" w14:textId="77777777">
        <w:trPr>
          <w:cnfStyle w:val="000000100000" w:firstRow="0" w:lastRow="0" w:firstColumn="0" w:lastColumn="0" w:oddVBand="0" w:evenVBand="0" w:oddHBand="1" w:evenHBand="0" w:firstRowFirstColumn="0" w:firstRowLastColumn="0" w:lastRowFirstColumn="0" w:lastRowLastColumn="0"/>
          <w:trHeight w:val="71"/>
        </w:trPr>
        <w:tc>
          <w:tcPr>
            <w:tcW w:w="1000" w:type="pct"/>
            <w:noWrap/>
            <w:vAlign w:val="center"/>
          </w:tcPr>
          <w:p w14:paraId="1F00D687" w14:textId="77777777" w:rsidR="002D7804" w:rsidRPr="00547DA6" w:rsidRDefault="002D7804">
            <w:pPr>
              <w:pStyle w:val="Tabletext"/>
              <w:keepNext/>
            </w:pPr>
            <w:r>
              <w:t>Progressed disease</w:t>
            </w:r>
          </w:p>
        </w:tc>
        <w:tc>
          <w:tcPr>
            <w:tcW w:w="1000" w:type="pct"/>
            <w:shd w:val="clear" w:color="auto" w:fill="auto"/>
          </w:tcPr>
          <w:p w14:paraId="7E32B3DC" w14:textId="77777777" w:rsidR="002D7804" w:rsidRPr="00547DA6" w:rsidRDefault="002D7804">
            <w:pPr>
              <w:pStyle w:val="Tabletext"/>
              <w:keepNext/>
              <w:jc w:val="center"/>
            </w:pPr>
            <w:r w:rsidRPr="0071521A">
              <w:t>2.107</w:t>
            </w:r>
          </w:p>
        </w:tc>
        <w:tc>
          <w:tcPr>
            <w:tcW w:w="1000" w:type="pct"/>
            <w:shd w:val="clear" w:color="auto" w:fill="auto"/>
            <w:noWrap/>
          </w:tcPr>
          <w:p w14:paraId="7A2AEF50" w14:textId="77777777" w:rsidR="002D7804" w:rsidRPr="00547DA6" w:rsidRDefault="002D7804">
            <w:pPr>
              <w:pStyle w:val="Tabletext"/>
              <w:keepNext/>
              <w:jc w:val="center"/>
            </w:pPr>
            <w:r w:rsidRPr="0071521A">
              <w:t>1.197</w:t>
            </w:r>
          </w:p>
        </w:tc>
        <w:tc>
          <w:tcPr>
            <w:tcW w:w="927" w:type="pct"/>
            <w:noWrap/>
          </w:tcPr>
          <w:p w14:paraId="5C2BBB95" w14:textId="77777777" w:rsidR="002D7804" w:rsidRPr="00547DA6" w:rsidRDefault="002D7804">
            <w:pPr>
              <w:pStyle w:val="Tabletext"/>
              <w:keepNext/>
              <w:jc w:val="center"/>
            </w:pPr>
            <w:r w:rsidRPr="0071521A">
              <w:t>0.</w:t>
            </w:r>
            <w:r>
              <w:t>910</w:t>
            </w:r>
          </w:p>
        </w:tc>
        <w:tc>
          <w:tcPr>
            <w:tcW w:w="1073" w:type="pct"/>
            <w:noWrap/>
          </w:tcPr>
          <w:p w14:paraId="14C83626" w14:textId="77777777" w:rsidR="002D7804" w:rsidRPr="00547DA6" w:rsidRDefault="002D7804">
            <w:pPr>
              <w:pStyle w:val="Tabletext"/>
              <w:keepNext/>
              <w:jc w:val="center"/>
            </w:pPr>
            <w:r>
              <w:t>42.3%</w:t>
            </w:r>
          </w:p>
        </w:tc>
      </w:tr>
      <w:tr w:rsidR="002D7804" w:rsidRPr="00547DA6" w14:paraId="07DE0BEB" w14:textId="77777777">
        <w:trPr>
          <w:trHeight w:val="71"/>
        </w:trPr>
        <w:tc>
          <w:tcPr>
            <w:tcW w:w="1000" w:type="pct"/>
            <w:noWrap/>
            <w:vAlign w:val="center"/>
          </w:tcPr>
          <w:p w14:paraId="15C95EDC" w14:textId="7435B809" w:rsidR="002D7804" w:rsidRPr="00AE52B7" w:rsidRDefault="002D7804">
            <w:pPr>
              <w:pStyle w:val="Tabletext"/>
              <w:keepNext/>
              <w:rPr>
                <w:b/>
                <w:bCs/>
              </w:rPr>
            </w:pPr>
            <w:r w:rsidRPr="00AE52B7">
              <w:rPr>
                <w:b/>
                <w:bCs/>
              </w:rPr>
              <w:t>Total L</w:t>
            </w:r>
            <w:r w:rsidR="007069C4">
              <w:rPr>
                <w:b/>
                <w:bCs/>
              </w:rPr>
              <w:t>Y</w:t>
            </w:r>
            <w:r w:rsidRPr="00AE52B7">
              <w:rPr>
                <w:b/>
                <w:bCs/>
              </w:rPr>
              <w:t>s</w:t>
            </w:r>
          </w:p>
        </w:tc>
        <w:tc>
          <w:tcPr>
            <w:tcW w:w="1000" w:type="pct"/>
            <w:shd w:val="clear" w:color="auto" w:fill="auto"/>
          </w:tcPr>
          <w:p w14:paraId="6948D092" w14:textId="77777777" w:rsidR="002D7804" w:rsidRPr="000A0B98" w:rsidRDefault="002D7804">
            <w:pPr>
              <w:pStyle w:val="Tabletext"/>
              <w:keepNext/>
              <w:jc w:val="center"/>
              <w:rPr>
                <w:b/>
                <w:bCs/>
              </w:rPr>
            </w:pPr>
            <w:r w:rsidRPr="000A0B98">
              <w:rPr>
                <w:b/>
                <w:bCs/>
              </w:rPr>
              <w:t>4.771</w:t>
            </w:r>
          </w:p>
        </w:tc>
        <w:tc>
          <w:tcPr>
            <w:tcW w:w="1000" w:type="pct"/>
            <w:shd w:val="clear" w:color="auto" w:fill="auto"/>
            <w:noWrap/>
          </w:tcPr>
          <w:p w14:paraId="29766927" w14:textId="77777777" w:rsidR="002D7804" w:rsidRPr="000A0B98" w:rsidRDefault="002D7804">
            <w:pPr>
              <w:pStyle w:val="Tabletext"/>
              <w:keepNext/>
              <w:jc w:val="center"/>
              <w:rPr>
                <w:b/>
                <w:bCs/>
              </w:rPr>
            </w:pPr>
            <w:r w:rsidRPr="000A0B98">
              <w:rPr>
                <w:b/>
                <w:bCs/>
              </w:rPr>
              <w:t>2.621</w:t>
            </w:r>
          </w:p>
        </w:tc>
        <w:tc>
          <w:tcPr>
            <w:tcW w:w="927" w:type="pct"/>
            <w:noWrap/>
          </w:tcPr>
          <w:p w14:paraId="3EACB72A" w14:textId="77777777" w:rsidR="002D7804" w:rsidRPr="000A0B98" w:rsidRDefault="002D7804">
            <w:pPr>
              <w:pStyle w:val="Tabletext"/>
              <w:keepNext/>
              <w:spacing w:line="259" w:lineRule="auto"/>
              <w:jc w:val="center"/>
              <w:rPr>
                <w:b/>
                <w:bCs/>
              </w:rPr>
            </w:pPr>
            <w:r w:rsidRPr="0B95B7E2">
              <w:rPr>
                <w:b/>
                <w:bCs/>
              </w:rPr>
              <w:t>2.150</w:t>
            </w:r>
          </w:p>
        </w:tc>
        <w:tc>
          <w:tcPr>
            <w:tcW w:w="1073" w:type="pct"/>
            <w:noWrap/>
          </w:tcPr>
          <w:p w14:paraId="02FB905E" w14:textId="77777777" w:rsidR="002D7804" w:rsidRPr="00AE52B7" w:rsidRDefault="002D7804">
            <w:pPr>
              <w:pStyle w:val="Tabletext"/>
              <w:keepNext/>
              <w:jc w:val="center"/>
              <w:rPr>
                <w:b/>
                <w:bCs/>
              </w:rPr>
            </w:pPr>
            <w:r>
              <w:rPr>
                <w:b/>
                <w:bCs/>
              </w:rPr>
              <w:t>100%</w:t>
            </w:r>
          </w:p>
        </w:tc>
      </w:tr>
      <w:tr w:rsidR="002D7804" w:rsidRPr="00547DA6" w14:paraId="662C3080" w14:textId="77777777">
        <w:trPr>
          <w:cnfStyle w:val="000000100000" w:firstRow="0" w:lastRow="0" w:firstColumn="0" w:lastColumn="0" w:oddVBand="0" w:evenVBand="0" w:oddHBand="1" w:evenHBand="0" w:firstRowFirstColumn="0" w:firstRowLastColumn="0" w:lastRowFirstColumn="0" w:lastRowLastColumn="0"/>
          <w:trHeight w:val="71"/>
        </w:trPr>
        <w:tc>
          <w:tcPr>
            <w:tcW w:w="5000" w:type="pct"/>
            <w:gridSpan w:val="5"/>
            <w:noWrap/>
          </w:tcPr>
          <w:p w14:paraId="6C7BD877" w14:textId="77777777" w:rsidR="002D7804" w:rsidRPr="00026EC3" w:rsidRDefault="002D7804">
            <w:pPr>
              <w:pStyle w:val="Tabletext"/>
              <w:keepNext/>
              <w:rPr>
                <w:b/>
                <w:bCs/>
              </w:rPr>
            </w:pPr>
            <w:r>
              <w:rPr>
                <w:b/>
                <w:bCs/>
              </w:rPr>
              <w:t>QALYs (discounted)</w:t>
            </w:r>
          </w:p>
        </w:tc>
      </w:tr>
      <w:tr w:rsidR="002D7804" w:rsidRPr="00547DA6" w14:paraId="3C551E01" w14:textId="77777777">
        <w:trPr>
          <w:trHeight w:val="91"/>
        </w:trPr>
        <w:tc>
          <w:tcPr>
            <w:tcW w:w="1000" w:type="pct"/>
            <w:noWrap/>
            <w:vAlign w:val="center"/>
          </w:tcPr>
          <w:p w14:paraId="484D82FB" w14:textId="77777777" w:rsidR="002D7804" w:rsidRPr="00547DA6" w:rsidRDefault="002D7804">
            <w:pPr>
              <w:pStyle w:val="Tabletext"/>
              <w:keepNext/>
            </w:pPr>
            <w:r>
              <w:t>Progression-free</w:t>
            </w:r>
          </w:p>
        </w:tc>
        <w:tc>
          <w:tcPr>
            <w:tcW w:w="1000" w:type="pct"/>
          </w:tcPr>
          <w:p w14:paraId="60A6A0E9" w14:textId="77777777" w:rsidR="002D7804" w:rsidRPr="00547DA6" w:rsidRDefault="002D7804">
            <w:pPr>
              <w:pStyle w:val="Tabletext"/>
              <w:keepNext/>
              <w:jc w:val="center"/>
            </w:pPr>
            <w:r w:rsidRPr="00547DA6">
              <w:t>1.859</w:t>
            </w:r>
          </w:p>
        </w:tc>
        <w:tc>
          <w:tcPr>
            <w:tcW w:w="1000" w:type="pct"/>
            <w:noWrap/>
          </w:tcPr>
          <w:p w14:paraId="737800A7" w14:textId="77777777" w:rsidR="002D7804" w:rsidRPr="00547DA6" w:rsidRDefault="002D7804">
            <w:pPr>
              <w:pStyle w:val="Tabletext"/>
              <w:keepNext/>
              <w:jc w:val="center"/>
            </w:pPr>
            <w:r w:rsidRPr="00547DA6">
              <w:t>1.0</w:t>
            </w:r>
            <w:r>
              <w:t>41</w:t>
            </w:r>
          </w:p>
        </w:tc>
        <w:tc>
          <w:tcPr>
            <w:tcW w:w="927" w:type="pct"/>
            <w:noWrap/>
          </w:tcPr>
          <w:p w14:paraId="5DBE0A17" w14:textId="77777777" w:rsidR="002D7804" w:rsidRPr="00547DA6" w:rsidRDefault="002D7804">
            <w:pPr>
              <w:pStyle w:val="Tabletext"/>
              <w:keepNext/>
              <w:jc w:val="center"/>
            </w:pPr>
            <w:r w:rsidRPr="00547DA6">
              <w:t>0.821</w:t>
            </w:r>
          </w:p>
        </w:tc>
        <w:tc>
          <w:tcPr>
            <w:tcW w:w="1073" w:type="pct"/>
            <w:noWrap/>
          </w:tcPr>
          <w:p w14:paraId="5E960545" w14:textId="77777777" w:rsidR="002D7804" w:rsidRPr="00547DA6" w:rsidRDefault="002D7804">
            <w:pPr>
              <w:pStyle w:val="Tabletext"/>
              <w:keepNext/>
              <w:jc w:val="center"/>
            </w:pPr>
            <w:r w:rsidRPr="00547DA6">
              <w:t>64.6%</w:t>
            </w:r>
          </w:p>
        </w:tc>
      </w:tr>
      <w:tr w:rsidR="002D7804" w:rsidRPr="00547DA6" w14:paraId="38E09BB7" w14:textId="77777777">
        <w:trPr>
          <w:cnfStyle w:val="000000100000" w:firstRow="0" w:lastRow="0" w:firstColumn="0" w:lastColumn="0" w:oddVBand="0" w:evenVBand="0" w:oddHBand="1" w:evenHBand="0" w:firstRowFirstColumn="0" w:firstRowLastColumn="0" w:lastRowFirstColumn="0" w:lastRowLastColumn="0"/>
          <w:trHeight w:val="71"/>
        </w:trPr>
        <w:tc>
          <w:tcPr>
            <w:tcW w:w="1000" w:type="pct"/>
            <w:noWrap/>
            <w:vAlign w:val="center"/>
          </w:tcPr>
          <w:p w14:paraId="286CE275" w14:textId="77777777" w:rsidR="002D7804" w:rsidRPr="00547DA6" w:rsidRDefault="002D7804">
            <w:pPr>
              <w:pStyle w:val="Tabletext"/>
              <w:keepNext/>
            </w:pPr>
            <w:r>
              <w:t>Progressed disease</w:t>
            </w:r>
          </w:p>
        </w:tc>
        <w:tc>
          <w:tcPr>
            <w:tcW w:w="1000" w:type="pct"/>
          </w:tcPr>
          <w:p w14:paraId="74387107" w14:textId="77777777" w:rsidR="002D7804" w:rsidRPr="00547DA6" w:rsidRDefault="002D7804">
            <w:pPr>
              <w:pStyle w:val="Tabletext"/>
              <w:keepNext/>
              <w:jc w:val="center"/>
            </w:pPr>
            <w:r w:rsidRPr="00547DA6">
              <w:t>1.184</w:t>
            </w:r>
          </w:p>
        </w:tc>
        <w:tc>
          <w:tcPr>
            <w:tcW w:w="1000" w:type="pct"/>
            <w:noWrap/>
          </w:tcPr>
          <w:p w14:paraId="3455012B" w14:textId="77777777" w:rsidR="002D7804" w:rsidRPr="00547DA6" w:rsidRDefault="002D7804">
            <w:pPr>
              <w:pStyle w:val="Tabletext"/>
              <w:keepNext/>
              <w:jc w:val="center"/>
            </w:pPr>
            <w:r w:rsidRPr="00547DA6">
              <w:t>0.735</w:t>
            </w:r>
          </w:p>
        </w:tc>
        <w:tc>
          <w:tcPr>
            <w:tcW w:w="927" w:type="pct"/>
            <w:noWrap/>
          </w:tcPr>
          <w:p w14:paraId="3C1AB08E" w14:textId="77777777" w:rsidR="002D7804" w:rsidRPr="00547DA6" w:rsidRDefault="002D7804">
            <w:pPr>
              <w:pStyle w:val="Tabletext"/>
              <w:keepNext/>
              <w:jc w:val="center"/>
            </w:pPr>
            <w:r w:rsidRPr="00547DA6">
              <w:t>0.449</w:t>
            </w:r>
          </w:p>
        </w:tc>
        <w:tc>
          <w:tcPr>
            <w:tcW w:w="1073" w:type="pct"/>
            <w:noWrap/>
          </w:tcPr>
          <w:p w14:paraId="66F3FA92" w14:textId="77777777" w:rsidR="002D7804" w:rsidRPr="00547DA6" w:rsidRDefault="002D7804">
            <w:pPr>
              <w:pStyle w:val="Tabletext"/>
              <w:keepNext/>
              <w:jc w:val="center"/>
            </w:pPr>
            <w:r w:rsidRPr="00547DA6">
              <w:t>35.4%</w:t>
            </w:r>
          </w:p>
        </w:tc>
      </w:tr>
      <w:tr w:rsidR="002D7804" w:rsidRPr="00547DA6" w14:paraId="5B2938CD" w14:textId="77777777">
        <w:trPr>
          <w:trHeight w:val="161"/>
        </w:trPr>
        <w:tc>
          <w:tcPr>
            <w:tcW w:w="1000" w:type="pct"/>
            <w:noWrap/>
          </w:tcPr>
          <w:p w14:paraId="1BC28BCE" w14:textId="77777777" w:rsidR="002D7804" w:rsidRPr="003964CB" w:rsidRDefault="002D7804">
            <w:pPr>
              <w:pStyle w:val="Tabletext"/>
              <w:keepNext/>
              <w:rPr>
                <w:b/>
                <w:bCs/>
              </w:rPr>
            </w:pPr>
            <w:r w:rsidRPr="003964CB">
              <w:rPr>
                <w:b/>
                <w:bCs/>
              </w:rPr>
              <w:t>Total</w:t>
            </w:r>
            <w:r>
              <w:rPr>
                <w:b/>
                <w:bCs/>
              </w:rPr>
              <w:t xml:space="preserve"> QALYs</w:t>
            </w:r>
          </w:p>
        </w:tc>
        <w:tc>
          <w:tcPr>
            <w:tcW w:w="1000" w:type="pct"/>
          </w:tcPr>
          <w:p w14:paraId="117A2CE3" w14:textId="77777777" w:rsidR="002D7804" w:rsidRPr="003964CB" w:rsidRDefault="002D7804">
            <w:pPr>
              <w:pStyle w:val="Tabletext"/>
              <w:keepNext/>
              <w:jc w:val="center"/>
              <w:rPr>
                <w:b/>
                <w:bCs/>
              </w:rPr>
            </w:pPr>
            <w:r w:rsidRPr="003964CB">
              <w:rPr>
                <w:b/>
                <w:bCs/>
              </w:rPr>
              <w:t>3.043</w:t>
            </w:r>
          </w:p>
        </w:tc>
        <w:tc>
          <w:tcPr>
            <w:tcW w:w="1000" w:type="pct"/>
            <w:noWrap/>
          </w:tcPr>
          <w:p w14:paraId="1718CC25" w14:textId="77777777" w:rsidR="002D7804" w:rsidRPr="003964CB" w:rsidRDefault="002D7804">
            <w:pPr>
              <w:pStyle w:val="Tabletext"/>
              <w:keepNext/>
              <w:jc w:val="center"/>
              <w:rPr>
                <w:b/>
                <w:bCs/>
              </w:rPr>
            </w:pPr>
            <w:r w:rsidRPr="003964CB">
              <w:rPr>
                <w:b/>
                <w:bCs/>
              </w:rPr>
              <w:t>1.77</w:t>
            </w:r>
            <w:r>
              <w:rPr>
                <w:b/>
                <w:bCs/>
              </w:rPr>
              <w:t>6</w:t>
            </w:r>
          </w:p>
        </w:tc>
        <w:tc>
          <w:tcPr>
            <w:tcW w:w="927" w:type="pct"/>
            <w:noWrap/>
          </w:tcPr>
          <w:p w14:paraId="2D5C6C74" w14:textId="77777777" w:rsidR="002D7804" w:rsidRPr="003964CB" w:rsidRDefault="002D7804">
            <w:pPr>
              <w:pStyle w:val="Tabletext"/>
              <w:keepNext/>
              <w:jc w:val="center"/>
              <w:rPr>
                <w:b/>
                <w:bCs/>
              </w:rPr>
            </w:pPr>
            <w:r w:rsidRPr="003964CB">
              <w:rPr>
                <w:b/>
                <w:bCs/>
              </w:rPr>
              <w:t>1.270</w:t>
            </w:r>
          </w:p>
        </w:tc>
        <w:tc>
          <w:tcPr>
            <w:tcW w:w="1073" w:type="pct"/>
            <w:noWrap/>
          </w:tcPr>
          <w:p w14:paraId="4DB95CC8" w14:textId="77777777" w:rsidR="002D7804" w:rsidRPr="003964CB" w:rsidRDefault="002D7804">
            <w:pPr>
              <w:pStyle w:val="Tabletext"/>
              <w:keepNext/>
              <w:jc w:val="center"/>
              <w:rPr>
                <w:b/>
                <w:bCs/>
              </w:rPr>
            </w:pPr>
            <w:r w:rsidRPr="003964CB">
              <w:rPr>
                <w:b/>
                <w:bCs/>
              </w:rPr>
              <w:t>100%</w:t>
            </w:r>
          </w:p>
        </w:tc>
      </w:tr>
      <w:tr w:rsidR="002D7804" w:rsidRPr="00547DA6" w14:paraId="3B33F1E6" w14:textId="77777777">
        <w:trPr>
          <w:cnfStyle w:val="000000100000" w:firstRow="0" w:lastRow="0" w:firstColumn="0" w:lastColumn="0" w:oddVBand="0" w:evenVBand="0" w:oddHBand="1" w:evenHBand="0" w:firstRowFirstColumn="0" w:firstRowLastColumn="0" w:lastRowFirstColumn="0" w:lastRowLastColumn="0"/>
          <w:trHeight w:val="71"/>
        </w:trPr>
        <w:tc>
          <w:tcPr>
            <w:tcW w:w="5000" w:type="pct"/>
            <w:gridSpan w:val="5"/>
            <w:noWrap/>
          </w:tcPr>
          <w:p w14:paraId="5774E9A3" w14:textId="77777777" w:rsidR="002D7804" w:rsidRPr="00026EC3" w:rsidRDefault="002D7804">
            <w:pPr>
              <w:pStyle w:val="Tabletext"/>
              <w:keepNext/>
              <w:rPr>
                <w:b/>
                <w:bCs/>
              </w:rPr>
            </w:pPr>
            <w:r>
              <w:rPr>
                <w:b/>
                <w:bCs/>
              </w:rPr>
              <w:t>QALYs (undiscounted)</w:t>
            </w:r>
          </w:p>
        </w:tc>
      </w:tr>
      <w:tr w:rsidR="002D7804" w:rsidRPr="00547DA6" w14:paraId="6F4901A8" w14:textId="77777777">
        <w:trPr>
          <w:trHeight w:val="91"/>
        </w:trPr>
        <w:tc>
          <w:tcPr>
            <w:tcW w:w="1000" w:type="pct"/>
            <w:noWrap/>
            <w:vAlign w:val="center"/>
          </w:tcPr>
          <w:p w14:paraId="52D3DCAB" w14:textId="77777777" w:rsidR="002D7804" w:rsidRPr="00547DA6" w:rsidRDefault="002D7804">
            <w:pPr>
              <w:pStyle w:val="Tabletext"/>
              <w:keepNext/>
            </w:pPr>
            <w:r>
              <w:t>Progression-free</w:t>
            </w:r>
          </w:p>
        </w:tc>
        <w:tc>
          <w:tcPr>
            <w:tcW w:w="1000" w:type="pct"/>
            <w:vAlign w:val="center"/>
          </w:tcPr>
          <w:p w14:paraId="24C57D57" w14:textId="77777777" w:rsidR="002D7804" w:rsidRPr="00547DA6" w:rsidRDefault="002D7804">
            <w:pPr>
              <w:pStyle w:val="Tabletext"/>
              <w:keepNext/>
              <w:jc w:val="center"/>
            </w:pPr>
            <w:r>
              <w:rPr>
                <w:color w:val="000000"/>
                <w:szCs w:val="20"/>
              </w:rPr>
              <w:t>2.067</w:t>
            </w:r>
          </w:p>
        </w:tc>
        <w:tc>
          <w:tcPr>
            <w:tcW w:w="1000" w:type="pct"/>
            <w:noWrap/>
            <w:vAlign w:val="center"/>
          </w:tcPr>
          <w:p w14:paraId="476637B0" w14:textId="77777777" w:rsidR="002D7804" w:rsidRPr="00547DA6" w:rsidRDefault="002D7804">
            <w:pPr>
              <w:pStyle w:val="Tabletext"/>
              <w:keepNext/>
              <w:jc w:val="center"/>
            </w:pPr>
            <w:r>
              <w:rPr>
                <w:color w:val="000000"/>
                <w:szCs w:val="20"/>
              </w:rPr>
              <w:t>1.105</w:t>
            </w:r>
          </w:p>
        </w:tc>
        <w:tc>
          <w:tcPr>
            <w:tcW w:w="927" w:type="pct"/>
            <w:noWrap/>
            <w:vAlign w:val="center"/>
          </w:tcPr>
          <w:p w14:paraId="377346E9" w14:textId="77777777" w:rsidR="002D7804" w:rsidRPr="00547DA6" w:rsidRDefault="002D7804">
            <w:pPr>
              <w:pStyle w:val="Tabletext"/>
              <w:keepNext/>
              <w:spacing w:line="259" w:lineRule="auto"/>
              <w:jc w:val="center"/>
              <w:rPr>
                <w:color w:val="000000" w:themeColor="text1"/>
              </w:rPr>
            </w:pPr>
            <w:r w:rsidRPr="0B95B7E2">
              <w:rPr>
                <w:color w:val="000000" w:themeColor="text1"/>
              </w:rPr>
              <w:t>0.962</w:t>
            </w:r>
          </w:p>
        </w:tc>
        <w:tc>
          <w:tcPr>
            <w:tcW w:w="1073" w:type="pct"/>
            <w:noWrap/>
            <w:vAlign w:val="center"/>
          </w:tcPr>
          <w:p w14:paraId="5C7428AB" w14:textId="77777777" w:rsidR="002D7804" w:rsidRPr="00547DA6" w:rsidRDefault="002D7804">
            <w:pPr>
              <w:pStyle w:val="Tabletext"/>
              <w:keepNext/>
              <w:jc w:val="center"/>
            </w:pPr>
            <w:r w:rsidRPr="21CE39B6">
              <w:rPr>
                <w:color w:val="000000" w:themeColor="text1"/>
              </w:rPr>
              <w:t>59.7%</w:t>
            </w:r>
          </w:p>
        </w:tc>
      </w:tr>
      <w:tr w:rsidR="002D7804" w:rsidRPr="00547DA6" w14:paraId="0948C765" w14:textId="77777777">
        <w:trPr>
          <w:cnfStyle w:val="000000100000" w:firstRow="0" w:lastRow="0" w:firstColumn="0" w:lastColumn="0" w:oddVBand="0" w:evenVBand="0" w:oddHBand="1" w:evenHBand="0" w:firstRowFirstColumn="0" w:firstRowLastColumn="0" w:lastRowFirstColumn="0" w:lastRowLastColumn="0"/>
          <w:trHeight w:val="71"/>
        </w:trPr>
        <w:tc>
          <w:tcPr>
            <w:tcW w:w="1000" w:type="pct"/>
            <w:noWrap/>
            <w:vAlign w:val="center"/>
          </w:tcPr>
          <w:p w14:paraId="5ED18C8E" w14:textId="77777777" w:rsidR="002D7804" w:rsidRPr="00547DA6" w:rsidRDefault="002D7804">
            <w:pPr>
              <w:pStyle w:val="Tabletext"/>
              <w:keepNext/>
            </w:pPr>
            <w:r>
              <w:t>Progressed disease</w:t>
            </w:r>
          </w:p>
        </w:tc>
        <w:tc>
          <w:tcPr>
            <w:tcW w:w="1000" w:type="pct"/>
            <w:vAlign w:val="center"/>
          </w:tcPr>
          <w:p w14:paraId="280A0D9C" w14:textId="77777777" w:rsidR="002D7804" w:rsidRPr="00547DA6" w:rsidRDefault="002D7804">
            <w:pPr>
              <w:pStyle w:val="Tabletext"/>
              <w:keepNext/>
              <w:jc w:val="center"/>
            </w:pPr>
            <w:r>
              <w:rPr>
                <w:color w:val="000000"/>
                <w:szCs w:val="20"/>
              </w:rPr>
              <w:t>1.504</w:t>
            </w:r>
          </w:p>
        </w:tc>
        <w:tc>
          <w:tcPr>
            <w:tcW w:w="1000" w:type="pct"/>
            <w:noWrap/>
            <w:vAlign w:val="center"/>
          </w:tcPr>
          <w:p w14:paraId="24B8F456" w14:textId="77777777" w:rsidR="002D7804" w:rsidRPr="00547DA6" w:rsidRDefault="002D7804">
            <w:pPr>
              <w:pStyle w:val="Tabletext"/>
              <w:keepNext/>
              <w:jc w:val="center"/>
            </w:pPr>
            <w:r>
              <w:rPr>
                <w:color w:val="000000"/>
                <w:szCs w:val="20"/>
              </w:rPr>
              <w:t>0.854</w:t>
            </w:r>
          </w:p>
        </w:tc>
        <w:tc>
          <w:tcPr>
            <w:tcW w:w="927" w:type="pct"/>
            <w:noWrap/>
            <w:vAlign w:val="center"/>
          </w:tcPr>
          <w:p w14:paraId="668258D6" w14:textId="77777777" w:rsidR="002D7804" w:rsidRPr="00547DA6" w:rsidRDefault="002D7804">
            <w:pPr>
              <w:pStyle w:val="Tabletext"/>
              <w:keepNext/>
              <w:spacing w:line="259" w:lineRule="auto"/>
              <w:jc w:val="center"/>
              <w:rPr>
                <w:color w:val="000000" w:themeColor="text1"/>
              </w:rPr>
            </w:pPr>
            <w:r w:rsidRPr="0B95B7E2">
              <w:rPr>
                <w:color w:val="000000" w:themeColor="text1"/>
              </w:rPr>
              <w:t>0.650</w:t>
            </w:r>
          </w:p>
        </w:tc>
        <w:tc>
          <w:tcPr>
            <w:tcW w:w="1073" w:type="pct"/>
            <w:noWrap/>
            <w:vAlign w:val="center"/>
          </w:tcPr>
          <w:p w14:paraId="31970287" w14:textId="77777777" w:rsidR="002D7804" w:rsidRPr="00547DA6" w:rsidRDefault="002D7804">
            <w:pPr>
              <w:pStyle w:val="Tabletext"/>
              <w:keepNext/>
              <w:jc w:val="center"/>
            </w:pPr>
            <w:r w:rsidRPr="1E52397D">
              <w:rPr>
                <w:color w:val="000000" w:themeColor="text1"/>
              </w:rPr>
              <w:t>40.3%</w:t>
            </w:r>
          </w:p>
        </w:tc>
      </w:tr>
      <w:tr w:rsidR="002D7804" w:rsidRPr="00547DA6" w14:paraId="3B55CCDF" w14:textId="77777777">
        <w:trPr>
          <w:trHeight w:val="161"/>
        </w:trPr>
        <w:tc>
          <w:tcPr>
            <w:tcW w:w="1000" w:type="pct"/>
            <w:noWrap/>
          </w:tcPr>
          <w:p w14:paraId="481612B5" w14:textId="77777777" w:rsidR="002D7804" w:rsidRPr="003964CB" w:rsidRDefault="002D7804">
            <w:pPr>
              <w:pStyle w:val="Tabletext"/>
              <w:keepNext/>
              <w:rPr>
                <w:b/>
                <w:bCs/>
              </w:rPr>
            </w:pPr>
            <w:r w:rsidRPr="003964CB">
              <w:rPr>
                <w:b/>
                <w:bCs/>
              </w:rPr>
              <w:t>Total</w:t>
            </w:r>
            <w:r>
              <w:rPr>
                <w:b/>
                <w:bCs/>
              </w:rPr>
              <w:t xml:space="preserve"> QALYs</w:t>
            </w:r>
          </w:p>
        </w:tc>
        <w:tc>
          <w:tcPr>
            <w:tcW w:w="1000" w:type="pct"/>
            <w:vAlign w:val="center"/>
          </w:tcPr>
          <w:p w14:paraId="11D87942" w14:textId="77777777" w:rsidR="002D7804" w:rsidRPr="003964CB" w:rsidRDefault="002D7804">
            <w:pPr>
              <w:pStyle w:val="Tabletext"/>
              <w:keepNext/>
              <w:jc w:val="center"/>
              <w:rPr>
                <w:b/>
                <w:bCs/>
              </w:rPr>
            </w:pPr>
            <w:r>
              <w:rPr>
                <w:b/>
                <w:bCs/>
                <w:color w:val="000000"/>
                <w:szCs w:val="20"/>
              </w:rPr>
              <w:t>3.571</w:t>
            </w:r>
          </w:p>
        </w:tc>
        <w:tc>
          <w:tcPr>
            <w:tcW w:w="1000" w:type="pct"/>
            <w:noWrap/>
            <w:vAlign w:val="center"/>
          </w:tcPr>
          <w:p w14:paraId="38B081BD" w14:textId="77777777" w:rsidR="002D7804" w:rsidRPr="003964CB" w:rsidRDefault="002D7804">
            <w:pPr>
              <w:pStyle w:val="Tabletext"/>
              <w:keepNext/>
              <w:jc w:val="center"/>
              <w:rPr>
                <w:b/>
                <w:bCs/>
              </w:rPr>
            </w:pPr>
            <w:r>
              <w:rPr>
                <w:b/>
                <w:bCs/>
                <w:color w:val="000000"/>
                <w:szCs w:val="20"/>
              </w:rPr>
              <w:t>1.959</w:t>
            </w:r>
          </w:p>
        </w:tc>
        <w:tc>
          <w:tcPr>
            <w:tcW w:w="927" w:type="pct"/>
            <w:noWrap/>
            <w:vAlign w:val="center"/>
          </w:tcPr>
          <w:p w14:paraId="666E024E" w14:textId="77777777" w:rsidR="002D7804" w:rsidRPr="003964CB" w:rsidRDefault="002D7804">
            <w:pPr>
              <w:pStyle w:val="Tabletext"/>
              <w:keepNext/>
              <w:spacing w:line="259" w:lineRule="auto"/>
              <w:jc w:val="center"/>
              <w:rPr>
                <w:b/>
                <w:color w:val="000000" w:themeColor="text1"/>
              </w:rPr>
            </w:pPr>
            <w:r w:rsidRPr="0B95B7E2">
              <w:rPr>
                <w:b/>
                <w:bCs/>
                <w:color w:val="000000" w:themeColor="text1"/>
              </w:rPr>
              <w:t>1.</w:t>
            </w:r>
            <w:r w:rsidRPr="4CC651EA">
              <w:rPr>
                <w:b/>
                <w:bCs/>
                <w:color w:val="000000" w:themeColor="text1"/>
              </w:rPr>
              <w:t>612</w:t>
            </w:r>
          </w:p>
        </w:tc>
        <w:tc>
          <w:tcPr>
            <w:tcW w:w="1073" w:type="pct"/>
            <w:noWrap/>
            <w:vAlign w:val="center"/>
          </w:tcPr>
          <w:p w14:paraId="255B5197" w14:textId="77777777" w:rsidR="002D7804" w:rsidRPr="003964CB" w:rsidRDefault="002D7804">
            <w:pPr>
              <w:pStyle w:val="Tabletext"/>
              <w:keepNext/>
              <w:jc w:val="center"/>
              <w:rPr>
                <w:b/>
                <w:bCs/>
              </w:rPr>
            </w:pPr>
            <w:r>
              <w:rPr>
                <w:b/>
                <w:bCs/>
                <w:color w:val="000000"/>
                <w:szCs w:val="20"/>
              </w:rPr>
              <w:t>100%</w:t>
            </w:r>
          </w:p>
        </w:tc>
      </w:tr>
    </w:tbl>
    <w:p w14:paraId="65A157A2" w14:textId="77777777" w:rsidR="002D7804" w:rsidRDefault="002D7804" w:rsidP="002D7804">
      <w:pPr>
        <w:pStyle w:val="TableFigureFooter"/>
        <w:keepNext/>
      </w:pPr>
      <w:r>
        <w:t>Source: Table 3-36, p144 of the resubmission, and ‘Attachment 5.1 Selpercatinib Section 3 Workbook’.</w:t>
      </w:r>
    </w:p>
    <w:p w14:paraId="4EDBA97C" w14:textId="4890C4F1" w:rsidR="002D7804" w:rsidRDefault="007069C4" w:rsidP="002D7804">
      <w:pPr>
        <w:pStyle w:val="TableFigureFooter"/>
      </w:pPr>
      <w:r>
        <w:t xml:space="preserve">LY = life year; </w:t>
      </w:r>
      <w:r w:rsidR="002D7804">
        <w:t xml:space="preserve">PC = Pemetrexed + carboplatin; </w:t>
      </w:r>
      <w:r w:rsidR="002D7804" w:rsidRPr="00013463">
        <w:t>QALY</w:t>
      </w:r>
      <w:r w:rsidR="002D7804">
        <w:t xml:space="preserve"> =</w:t>
      </w:r>
      <w:r w:rsidR="002D7804" w:rsidRPr="00013463">
        <w:t xml:space="preserve"> quality-adjusted life year</w:t>
      </w:r>
      <w:r w:rsidR="002D7804">
        <w:t xml:space="preserve">. </w:t>
      </w:r>
    </w:p>
    <w:p w14:paraId="5C01E711" w14:textId="41F469A6" w:rsidR="002D7804" w:rsidRPr="007A7229" w:rsidDel="00EB5EE2" w:rsidRDefault="002D7804" w:rsidP="002D7804">
      <w:pPr>
        <w:pStyle w:val="3-BodyText"/>
        <w:rPr>
          <w:iCs/>
        </w:rPr>
      </w:pPr>
      <w:r w:rsidRPr="007A7229" w:rsidDel="00EB5EE2">
        <w:rPr>
          <w:iCs/>
        </w:rPr>
        <w:t xml:space="preserve">QALYs gained accumulated in both the progression-free </w:t>
      </w:r>
      <w:r w:rsidR="00DC5DD4" w:rsidRPr="007A7229">
        <w:rPr>
          <w:iCs/>
        </w:rPr>
        <w:t xml:space="preserve">(59.7%) </w:t>
      </w:r>
      <w:r w:rsidRPr="007A7229" w:rsidDel="00EB5EE2">
        <w:rPr>
          <w:iCs/>
        </w:rPr>
        <w:t xml:space="preserve">and progressed disease </w:t>
      </w:r>
      <w:r w:rsidR="00DC5DD4" w:rsidRPr="007A7229">
        <w:rPr>
          <w:iCs/>
        </w:rPr>
        <w:t xml:space="preserve">(40.3%) </w:t>
      </w:r>
      <w:r w:rsidRPr="007A7229" w:rsidDel="00EB5EE2">
        <w:rPr>
          <w:iCs/>
        </w:rPr>
        <w:t xml:space="preserve">health states. </w:t>
      </w:r>
      <w:r w:rsidR="004D3040" w:rsidRPr="007A7229">
        <w:rPr>
          <w:iCs/>
        </w:rPr>
        <w:t xml:space="preserve">The QALYs gained in the progression-free health state may be reasonable given the similarities across the </w:t>
      </w:r>
      <w:r w:rsidR="0058610A">
        <w:rPr>
          <w:iCs/>
        </w:rPr>
        <w:t xml:space="preserve">MAIC 2 model </w:t>
      </w:r>
      <w:r w:rsidR="004D3040" w:rsidRPr="007A7229">
        <w:rPr>
          <w:iCs/>
        </w:rPr>
        <w:t xml:space="preserve">and the LIBRETTO-431 trial in terms of </w:t>
      </w:r>
      <w:r w:rsidR="000E2CBC">
        <w:rPr>
          <w:iCs/>
        </w:rPr>
        <w:t>hazard ratio</w:t>
      </w:r>
      <w:r w:rsidR="000E2CBC" w:rsidRPr="007A7229">
        <w:rPr>
          <w:iCs/>
        </w:rPr>
        <w:t>s</w:t>
      </w:r>
      <w:r w:rsidR="00537606" w:rsidRPr="007A7229">
        <w:rPr>
          <w:iCs/>
        </w:rPr>
        <w:t xml:space="preserve">. However, the QALYs gained in the progressed disease health state are uncertain due to cross-over in the LIBRETTO-431 trial and </w:t>
      </w:r>
      <w:r w:rsidR="00E658C1" w:rsidRPr="007A7229">
        <w:rPr>
          <w:iCs/>
        </w:rPr>
        <w:t xml:space="preserve">the </w:t>
      </w:r>
      <w:r w:rsidR="004456BF" w:rsidRPr="007A7229">
        <w:rPr>
          <w:iCs/>
        </w:rPr>
        <w:t>extrapolation</w:t>
      </w:r>
      <w:r w:rsidR="00DB3FE5" w:rsidRPr="007A7229">
        <w:rPr>
          <w:iCs/>
        </w:rPr>
        <w:t xml:space="preserve"> approach</w:t>
      </w:r>
      <w:r w:rsidR="004456BF" w:rsidRPr="007A7229">
        <w:rPr>
          <w:iCs/>
        </w:rPr>
        <w:t>.</w:t>
      </w:r>
    </w:p>
    <w:p w14:paraId="500A5C07" w14:textId="4D7BF979" w:rsidR="002D7804" w:rsidRPr="007A7229" w:rsidRDefault="002D7804" w:rsidP="002D7804">
      <w:pPr>
        <w:pStyle w:val="3-BodyText"/>
        <w:rPr>
          <w:iCs/>
        </w:rPr>
      </w:pPr>
      <w:r w:rsidRPr="007A7229">
        <w:rPr>
          <w:iCs/>
        </w:rPr>
        <w:t xml:space="preserve">The undiscounted </w:t>
      </w:r>
      <w:r w:rsidR="007A1D95" w:rsidRPr="007A7229">
        <w:rPr>
          <w:iCs/>
        </w:rPr>
        <w:t xml:space="preserve">incremental </w:t>
      </w:r>
      <w:r w:rsidRPr="007A7229">
        <w:rPr>
          <w:iCs/>
        </w:rPr>
        <w:t xml:space="preserve">life years gained of 2.15 years appeared optimistic considering the advanced disease stage of NSCLC of the target population. </w:t>
      </w:r>
    </w:p>
    <w:p w14:paraId="2428EAF2" w14:textId="3D8FB76F" w:rsidR="002D7804" w:rsidRDefault="002D7804" w:rsidP="002D7804">
      <w:pPr>
        <w:pStyle w:val="3-BodyText"/>
      </w:pPr>
      <w:r w:rsidRPr="00D23D11">
        <w:t xml:space="preserve">The results of key </w:t>
      </w:r>
      <w:r>
        <w:t xml:space="preserve">univariate </w:t>
      </w:r>
      <w:r w:rsidRPr="00D23D11">
        <w:t xml:space="preserve">sensitivity analyses are summarised </w:t>
      </w:r>
      <w:r>
        <w:t xml:space="preserve">in </w:t>
      </w:r>
      <w:r>
        <w:fldChar w:fldCharType="begin" w:fldLock="1"/>
      </w:r>
      <w:r>
        <w:instrText xml:space="preserve"> REF _Ref164120234 \h </w:instrText>
      </w:r>
      <w:r>
        <w:fldChar w:fldCharType="separate"/>
      </w:r>
      <w:r w:rsidR="00F979CE">
        <w:t xml:space="preserve">Table </w:t>
      </w:r>
      <w:r w:rsidR="00F979CE">
        <w:rPr>
          <w:noProof/>
        </w:rPr>
        <w:t>15</w:t>
      </w:r>
      <w:r>
        <w:fldChar w:fldCharType="end"/>
      </w:r>
      <w:r w:rsidRPr="00D23D11">
        <w:t>.</w:t>
      </w:r>
      <w:r>
        <w:t xml:space="preserve"> </w:t>
      </w:r>
    </w:p>
    <w:p w14:paraId="50C9FE7C" w14:textId="24C15F17" w:rsidR="002D7804" w:rsidRDefault="002D7804" w:rsidP="002D7804">
      <w:pPr>
        <w:pStyle w:val="Caption"/>
      </w:pPr>
      <w:bookmarkStart w:id="72" w:name="_Ref164120234"/>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15</w:t>
      </w:r>
      <w:r w:rsidR="00BA56FF">
        <w:rPr>
          <w:noProof/>
        </w:rPr>
        <w:fldChar w:fldCharType="end"/>
      </w:r>
      <w:bookmarkEnd w:id="72"/>
      <w:r>
        <w:t xml:space="preserve">: </w:t>
      </w:r>
      <w:r w:rsidRPr="002F5FD6">
        <w:t>Results of the one-way sensitivity analyses</w:t>
      </w:r>
    </w:p>
    <w:tbl>
      <w:tblPr>
        <w:tblStyle w:val="TableGrid"/>
        <w:tblW w:w="9017" w:type="dxa"/>
        <w:tblLook w:val="04A0" w:firstRow="1" w:lastRow="0" w:firstColumn="1" w:lastColumn="0" w:noHBand="0" w:noVBand="1"/>
        <w:tblCaption w:val="Table 15: Results of the one-way sensitivity analyses"/>
      </w:tblPr>
      <w:tblGrid>
        <w:gridCol w:w="3355"/>
        <w:gridCol w:w="1200"/>
        <w:gridCol w:w="1200"/>
        <w:gridCol w:w="1920"/>
        <w:gridCol w:w="1342"/>
      </w:tblGrid>
      <w:tr w:rsidR="002D7804" w:rsidRPr="00215E9C" w14:paraId="1FF0FDB8" w14:textId="77777777" w:rsidTr="00DA3714">
        <w:trPr>
          <w:trHeight w:val="512"/>
          <w:tblHeader/>
        </w:trPr>
        <w:tc>
          <w:tcPr>
            <w:tcW w:w="3355" w:type="dxa"/>
            <w:noWrap/>
            <w:tcMar>
              <w:left w:w="40" w:type="dxa"/>
              <w:right w:w="40" w:type="dxa"/>
            </w:tcMar>
            <w:vAlign w:val="center"/>
            <w:hideMark/>
          </w:tcPr>
          <w:p w14:paraId="7034BA34" w14:textId="77777777" w:rsidR="002D7804" w:rsidRPr="00B75199" w:rsidRDefault="002D7804" w:rsidP="006E3C06">
            <w:pPr>
              <w:pStyle w:val="Tabletext"/>
              <w:keepNext/>
              <w:jc w:val="center"/>
              <w:rPr>
                <w:b/>
              </w:rPr>
            </w:pPr>
            <w:r w:rsidRPr="00B75199">
              <w:rPr>
                <w:b/>
              </w:rPr>
              <w:t>Description</w:t>
            </w:r>
          </w:p>
        </w:tc>
        <w:tc>
          <w:tcPr>
            <w:tcW w:w="1200" w:type="dxa"/>
            <w:tcBorders>
              <w:bottom w:val="single" w:sz="4" w:space="0" w:color="auto"/>
            </w:tcBorders>
            <w:noWrap/>
            <w:tcMar>
              <w:left w:w="40" w:type="dxa"/>
              <w:right w:w="40" w:type="dxa"/>
            </w:tcMar>
            <w:vAlign w:val="center"/>
            <w:hideMark/>
          </w:tcPr>
          <w:p w14:paraId="31D850F5" w14:textId="704C2423" w:rsidR="002D7804" w:rsidRPr="00B75199" w:rsidRDefault="002D7804" w:rsidP="006E3C06">
            <w:pPr>
              <w:pStyle w:val="Tabletext"/>
              <w:keepNext/>
              <w:jc w:val="center"/>
              <w:rPr>
                <w:b/>
              </w:rPr>
            </w:pPr>
            <w:r w:rsidRPr="00B75199">
              <w:rPr>
                <w:b/>
              </w:rPr>
              <w:t>Incremental cost</w:t>
            </w:r>
            <w:r w:rsidR="00005D18">
              <w:rPr>
                <w:b/>
              </w:rPr>
              <w:t xml:space="preserve"> ($)</w:t>
            </w:r>
          </w:p>
        </w:tc>
        <w:tc>
          <w:tcPr>
            <w:tcW w:w="1200" w:type="dxa"/>
            <w:tcMar>
              <w:left w:w="40" w:type="dxa"/>
              <w:right w:w="40" w:type="dxa"/>
            </w:tcMar>
            <w:vAlign w:val="center"/>
            <w:hideMark/>
          </w:tcPr>
          <w:p w14:paraId="52A6886A" w14:textId="77777777" w:rsidR="002D7804" w:rsidRPr="00B75199" w:rsidRDefault="002D7804" w:rsidP="006E3C06">
            <w:pPr>
              <w:pStyle w:val="Tabletext"/>
              <w:keepNext/>
              <w:jc w:val="center"/>
              <w:rPr>
                <w:b/>
              </w:rPr>
            </w:pPr>
            <w:r w:rsidRPr="00B75199">
              <w:rPr>
                <w:b/>
              </w:rPr>
              <w:t>Incremental QALYs</w:t>
            </w:r>
          </w:p>
        </w:tc>
        <w:tc>
          <w:tcPr>
            <w:tcW w:w="1920" w:type="dxa"/>
            <w:tcMar>
              <w:left w:w="40" w:type="dxa"/>
              <w:right w:w="40" w:type="dxa"/>
            </w:tcMar>
            <w:vAlign w:val="center"/>
            <w:hideMark/>
          </w:tcPr>
          <w:p w14:paraId="59CC3A4D" w14:textId="7200111E" w:rsidR="002D7804" w:rsidRPr="00B75199" w:rsidRDefault="002D7804" w:rsidP="006E3C06">
            <w:pPr>
              <w:pStyle w:val="Tabletext"/>
              <w:keepNext/>
              <w:jc w:val="center"/>
              <w:rPr>
                <w:b/>
              </w:rPr>
            </w:pPr>
            <w:r w:rsidRPr="00B75199">
              <w:rPr>
                <w:b/>
              </w:rPr>
              <w:t xml:space="preserve">ICER </w:t>
            </w:r>
            <w:r w:rsidR="00E64624" w:rsidRPr="00B75199">
              <w:rPr>
                <w:b/>
              </w:rPr>
              <w:br/>
            </w:r>
            <w:r w:rsidRPr="00B75199">
              <w:rPr>
                <w:b/>
              </w:rPr>
              <w:t>(cost per QALY gained)</w:t>
            </w:r>
          </w:p>
        </w:tc>
        <w:tc>
          <w:tcPr>
            <w:tcW w:w="1342" w:type="dxa"/>
            <w:tcMar>
              <w:left w:w="40" w:type="dxa"/>
              <w:right w:w="40" w:type="dxa"/>
            </w:tcMar>
            <w:vAlign w:val="center"/>
            <w:hideMark/>
          </w:tcPr>
          <w:p w14:paraId="0AE5761D" w14:textId="77777777" w:rsidR="002D7804" w:rsidRPr="00B75199" w:rsidRDefault="002D7804" w:rsidP="006E3C06">
            <w:pPr>
              <w:pStyle w:val="Tabletext"/>
              <w:keepNext/>
              <w:jc w:val="center"/>
              <w:rPr>
                <w:b/>
              </w:rPr>
            </w:pPr>
            <w:r w:rsidRPr="00B75199">
              <w:rPr>
                <w:b/>
              </w:rPr>
              <w:t>% change from base case ICER</w:t>
            </w:r>
          </w:p>
        </w:tc>
      </w:tr>
      <w:tr w:rsidR="002D7804" w:rsidRPr="00215E9C" w14:paraId="725CBB3C" w14:textId="77777777" w:rsidTr="00DA3714">
        <w:trPr>
          <w:trHeight w:val="70"/>
        </w:trPr>
        <w:tc>
          <w:tcPr>
            <w:tcW w:w="3355" w:type="dxa"/>
            <w:noWrap/>
            <w:tcMar>
              <w:left w:w="40" w:type="dxa"/>
              <w:right w:w="40" w:type="dxa"/>
            </w:tcMar>
            <w:hideMark/>
          </w:tcPr>
          <w:p w14:paraId="7B4244BF" w14:textId="77777777" w:rsidR="002D7804" w:rsidRPr="00B75199" w:rsidRDefault="002D7804" w:rsidP="006E3C06">
            <w:pPr>
              <w:pStyle w:val="Tabletext"/>
              <w:keepNext/>
              <w:rPr>
                <w:b/>
              </w:rPr>
            </w:pPr>
            <w:r w:rsidRPr="00B75199">
              <w:rPr>
                <w:b/>
              </w:rPr>
              <w:t>Base case</w:t>
            </w:r>
          </w:p>
        </w:tc>
        <w:tc>
          <w:tcPr>
            <w:tcW w:w="1200" w:type="dxa"/>
            <w:shd w:val="solid" w:color="000000" w:fill="000000"/>
            <w:noWrap/>
            <w:tcMar>
              <w:left w:w="40" w:type="dxa"/>
              <w:right w:w="40" w:type="dxa"/>
            </w:tcMar>
            <w:hideMark/>
          </w:tcPr>
          <w:p w14:paraId="38544979" w14:textId="6C9C6DC2" w:rsidR="002D7804" w:rsidRPr="00B75199" w:rsidRDefault="00DA3714" w:rsidP="006E3C06">
            <w:pPr>
              <w:pStyle w:val="Tabletext"/>
              <w:keepNext/>
              <w:jc w:val="center"/>
              <w:rPr>
                <w:b/>
              </w:rPr>
            </w:pPr>
            <w:r w:rsidRPr="00DA3714">
              <w:rPr>
                <w:rFonts w:hint="eastAsia"/>
                <w:b/>
                <w:color w:val="000000"/>
                <w:w w:val="15"/>
                <w:fitText w:val="30" w:id="-893663480"/>
                <w14:textFill>
                  <w14:solidFill>
                    <w14:srgbClr w14:val="000000">
                      <w14:alpha w14:val="100000"/>
                    </w14:srgbClr>
                  </w14:solidFill>
                </w14:textFill>
              </w:rPr>
              <w:t xml:space="preserve">　</w:t>
            </w:r>
            <w:r w:rsidRPr="00DA3714">
              <w:rPr>
                <w:b/>
                <w:color w:val="000000"/>
                <w:w w:val="15"/>
                <w:fitText w:val="30" w:id="-893663480"/>
                <w14:textFill>
                  <w14:solidFill>
                    <w14:srgbClr w14:val="000000">
                      <w14:alpha w14:val="100000"/>
                    </w14:srgbClr>
                  </w14:solidFill>
                </w14:textFill>
              </w:rPr>
              <w:t>|</w:t>
            </w:r>
            <w:r w:rsidRPr="00DA3714">
              <w:rPr>
                <w:rFonts w:hint="eastAsia"/>
                <w:b/>
                <w:color w:val="000000"/>
                <w:spacing w:val="-36"/>
                <w:w w:val="15"/>
                <w:fitText w:val="30" w:id="-893663480"/>
                <w14:textFill>
                  <w14:solidFill>
                    <w14:srgbClr w14:val="000000">
                      <w14:alpha w14:val="100000"/>
                    </w14:srgbClr>
                  </w14:solidFill>
                </w14:textFill>
              </w:rPr>
              <w:t xml:space="preserve">　</w:t>
            </w:r>
          </w:p>
        </w:tc>
        <w:tc>
          <w:tcPr>
            <w:tcW w:w="1200" w:type="dxa"/>
            <w:noWrap/>
            <w:tcMar>
              <w:left w:w="40" w:type="dxa"/>
              <w:right w:w="40" w:type="dxa"/>
            </w:tcMar>
            <w:hideMark/>
          </w:tcPr>
          <w:p w14:paraId="14938AFD" w14:textId="77777777" w:rsidR="002D7804" w:rsidRPr="00B75199" w:rsidRDefault="002D7804" w:rsidP="006E3C06">
            <w:pPr>
              <w:pStyle w:val="Tabletext"/>
              <w:keepNext/>
              <w:jc w:val="center"/>
              <w:rPr>
                <w:b/>
              </w:rPr>
            </w:pPr>
            <w:r w:rsidRPr="00B75199">
              <w:rPr>
                <w:b/>
              </w:rPr>
              <w:t>1.27</w:t>
            </w:r>
          </w:p>
        </w:tc>
        <w:tc>
          <w:tcPr>
            <w:tcW w:w="1920" w:type="dxa"/>
            <w:noWrap/>
            <w:tcMar>
              <w:left w:w="40" w:type="dxa"/>
              <w:right w:w="40" w:type="dxa"/>
            </w:tcMar>
            <w:hideMark/>
          </w:tcPr>
          <w:p w14:paraId="7B47D231" w14:textId="0B31CA73" w:rsidR="002D7804" w:rsidRPr="00B75199" w:rsidRDefault="00DA3714" w:rsidP="006E3C06">
            <w:pPr>
              <w:pStyle w:val="Tabletext"/>
              <w:keepNext/>
              <w:jc w:val="center"/>
              <w:rPr>
                <w:b/>
              </w:rPr>
            </w:pPr>
            <w:r w:rsidRPr="00DA3714">
              <w:rPr>
                <w:b/>
                <w:color w:val="000000"/>
                <w:shd w:val="solid" w:color="000000" w:fill="000000"/>
                <w14:textFill>
                  <w14:solidFill>
                    <w14:srgbClr w14:val="000000">
                      <w14:alpha w14:val="100000"/>
                    </w14:srgbClr>
                  </w14:solidFill>
                </w14:textFill>
              </w:rPr>
              <w:t>|</w:t>
            </w:r>
            <w:r w:rsidR="00181B6C" w:rsidRPr="00D26D6C">
              <w:rPr>
                <w:b/>
                <w:vertAlign w:val="superscript"/>
              </w:rPr>
              <w:t>1</w:t>
            </w:r>
          </w:p>
        </w:tc>
        <w:tc>
          <w:tcPr>
            <w:tcW w:w="1342" w:type="dxa"/>
            <w:noWrap/>
            <w:tcMar>
              <w:left w:w="40" w:type="dxa"/>
              <w:right w:w="40" w:type="dxa"/>
            </w:tcMar>
            <w:hideMark/>
          </w:tcPr>
          <w:p w14:paraId="0D578A2E" w14:textId="65EDA979" w:rsidR="002D7804" w:rsidRPr="00B75199" w:rsidRDefault="00196C0C" w:rsidP="006E3C06">
            <w:pPr>
              <w:pStyle w:val="Tabletext"/>
              <w:keepNext/>
              <w:jc w:val="center"/>
              <w:rPr>
                <w:b/>
              </w:rPr>
            </w:pPr>
            <w:r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Pr="008762F8">
              <w:rPr>
                <w:color w:val="000000"/>
                <w:spacing w:val="-21"/>
                <w:w w:val="15"/>
                <w:shd w:val="solid" w:color="000000" w:fill="000000"/>
                <w:fitText w:val="15" w:id="-893663480"/>
                <w14:textFill>
                  <w14:solidFill>
                    <w14:srgbClr w14:val="000000">
                      <w14:alpha w14:val="100000"/>
                    </w14:srgbClr>
                  </w14:solidFill>
                </w14:textFill>
              </w:rPr>
              <w:t>|</w:t>
            </w:r>
            <w:r w:rsidR="002D7804" w:rsidRPr="00B75199">
              <w:rPr>
                <w:b/>
              </w:rPr>
              <w:t>%</w:t>
            </w:r>
          </w:p>
        </w:tc>
      </w:tr>
      <w:tr w:rsidR="002D7804" w:rsidRPr="00215E9C" w14:paraId="77C1F707" w14:textId="77777777" w:rsidTr="001471E1">
        <w:trPr>
          <w:trHeight w:val="70"/>
        </w:trPr>
        <w:tc>
          <w:tcPr>
            <w:tcW w:w="9017" w:type="dxa"/>
            <w:gridSpan w:val="5"/>
            <w:noWrap/>
            <w:tcMar>
              <w:left w:w="40" w:type="dxa"/>
              <w:right w:w="40" w:type="dxa"/>
            </w:tcMar>
            <w:hideMark/>
          </w:tcPr>
          <w:p w14:paraId="6A87D34C" w14:textId="77777777" w:rsidR="002D7804" w:rsidRPr="001E5430" w:rsidRDefault="002D7804" w:rsidP="006E3C06">
            <w:pPr>
              <w:pStyle w:val="Tabletext"/>
              <w:keepNext/>
              <w:rPr>
                <w:b/>
                <w:bCs/>
              </w:rPr>
            </w:pPr>
            <w:r w:rsidRPr="001E5430">
              <w:rPr>
                <w:b/>
                <w:bCs/>
              </w:rPr>
              <w:t>Time horizon (base case: 10 years)</w:t>
            </w:r>
          </w:p>
        </w:tc>
      </w:tr>
      <w:tr w:rsidR="002D7804" w:rsidRPr="00215E9C" w14:paraId="047A9C86" w14:textId="77777777" w:rsidTr="00DA3714">
        <w:trPr>
          <w:trHeight w:val="70"/>
        </w:trPr>
        <w:tc>
          <w:tcPr>
            <w:tcW w:w="3355" w:type="dxa"/>
            <w:noWrap/>
            <w:tcMar>
              <w:left w:w="40" w:type="dxa"/>
              <w:right w:w="40" w:type="dxa"/>
            </w:tcMar>
            <w:hideMark/>
          </w:tcPr>
          <w:p w14:paraId="672EC160" w14:textId="77777777" w:rsidR="002D7804" w:rsidRPr="001E5430" w:rsidRDefault="002D7804" w:rsidP="006E3C06">
            <w:pPr>
              <w:pStyle w:val="Tabletext"/>
              <w:keepNext/>
            </w:pPr>
            <w:r w:rsidRPr="001E5430">
              <w:t>7.5 years</w:t>
            </w:r>
          </w:p>
        </w:tc>
        <w:tc>
          <w:tcPr>
            <w:tcW w:w="1200" w:type="dxa"/>
            <w:shd w:val="solid" w:color="000000" w:fill="000000"/>
            <w:noWrap/>
            <w:tcMar>
              <w:left w:w="40" w:type="dxa"/>
              <w:right w:w="40" w:type="dxa"/>
            </w:tcMar>
            <w:hideMark/>
          </w:tcPr>
          <w:p w14:paraId="07BD6734" w14:textId="1398B234" w:rsidR="002D7804" w:rsidRPr="001E5430" w:rsidRDefault="00DA3714" w:rsidP="006E3C06">
            <w:pPr>
              <w:pStyle w:val="Tabletext"/>
              <w:keepNext/>
              <w:jc w:val="center"/>
            </w:pPr>
            <w:r w:rsidRPr="00DA3714">
              <w:rPr>
                <w:color w:val="000000"/>
                <w14:textFill>
                  <w14:solidFill>
                    <w14:srgbClr w14:val="000000">
                      <w14:alpha w14:val="100000"/>
                    </w14:srgbClr>
                  </w14:solidFill>
                </w14:textFill>
              </w:rPr>
              <w:t>|</w:t>
            </w:r>
          </w:p>
        </w:tc>
        <w:tc>
          <w:tcPr>
            <w:tcW w:w="1200" w:type="dxa"/>
            <w:noWrap/>
            <w:tcMar>
              <w:left w:w="40" w:type="dxa"/>
              <w:right w:w="40" w:type="dxa"/>
            </w:tcMar>
            <w:hideMark/>
          </w:tcPr>
          <w:p w14:paraId="082CFBE1" w14:textId="77777777" w:rsidR="002D7804" w:rsidRPr="001E5430" w:rsidRDefault="002D7804" w:rsidP="006E3C06">
            <w:pPr>
              <w:pStyle w:val="Tabletext"/>
              <w:keepNext/>
              <w:jc w:val="center"/>
            </w:pPr>
            <w:r w:rsidRPr="001E5430">
              <w:t>1.06</w:t>
            </w:r>
          </w:p>
        </w:tc>
        <w:tc>
          <w:tcPr>
            <w:tcW w:w="1920" w:type="dxa"/>
            <w:noWrap/>
            <w:tcMar>
              <w:left w:w="40" w:type="dxa"/>
              <w:right w:w="40" w:type="dxa"/>
            </w:tcMar>
            <w:hideMark/>
          </w:tcPr>
          <w:p w14:paraId="40C78CE1" w14:textId="27B2E475" w:rsidR="002D7804" w:rsidRPr="001E5430" w:rsidRDefault="00DA3714" w:rsidP="006E3C06">
            <w:pPr>
              <w:pStyle w:val="Tabletext"/>
              <w:keepNext/>
              <w:jc w:val="cente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hideMark/>
          </w:tcPr>
          <w:p w14:paraId="427458AC" w14:textId="7D825F26" w:rsidR="002D7804" w:rsidRPr="001E5430" w:rsidRDefault="00196C0C" w:rsidP="006E3C06">
            <w:pPr>
              <w:pStyle w:val="Tabletext"/>
              <w:keepNext/>
              <w:jc w:val="center"/>
            </w:pPr>
            <w:r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Pr="008762F8">
              <w:rPr>
                <w:color w:val="000000"/>
                <w:spacing w:val="-21"/>
                <w:w w:val="15"/>
                <w:shd w:val="solid" w:color="000000" w:fill="000000"/>
                <w:fitText w:val="15" w:id="-893663480"/>
                <w14:textFill>
                  <w14:solidFill>
                    <w14:srgbClr w14:val="000000">
                      <w14:alpha w14:val="100000"/>
                    </w14:srgbClr>
                  </w14:solidFill>
                </w14:textFill>
              </w:rPr>
              <w:t>|</w:t>
            </w:r>
            <w:r w:rsidR="002D7804" w:rsidRPr="001E5430">
              <w:t>%</w:t>
            </w:r>
          </w:p>
        </w:tc>
      </w:tr>
      <w:tr w:rsidR="002D7804" w:rsidRPr="00215E9C" w14:paraId="40DF96EB" w14:textId="77777777" w:rsidTr="001471E1">
        <w:trPr>
          <w:trHeight w:val="70"/>
        </w:trPr>
        <w:tc>
          <w:tcPr>
            <w:tcW w:w="9017" w:type="dxa"/>
            <w:gridSpan w:val="5"/>
            <w:noWrap/>
            <w:tcMar>
              <w:left w:w="40" w:type="dxa"/>
              <w:right w:w="40" w:type="dxa"/>
            </w:tcMar>
          </w:tcPr>
          <w:p w14:paraId="6ED37294" w14:textId="77777777" w:rsidR="002D7804" w:rsidRPr="001E5430" w:rsidRDefault="002D7804" w:rsidP="006E3C06">
            <w:pPr>
              <w:pStyle w:val="Tabletext"/>
              <w:keepNext/>
            </w:pPr>
            <w:r w:rsidRPr="00B75199">
              <w:rPr>
                <w:b/>
                <w:bCs/>
              </w:rPr>
              <w:t>Discount rate (costs and outcomes) (base case: 5%)</w:t>
            </w:r>
          </w:p>
        </w:tc>
      </w:tr>
      <w:tr w:rsidR="002D7804" w:rsidRPr="00C45F7B" w14:paraId="4E43E006" w14:textId="77777777" w:rsidTr="00DA3714">
        <w:trPr>
          <w:trHeight w:val="70"/>
        </w:trPr>
        <w:tc>
          <w:tcPr>
            <w:tcW w:w="3355" w:type="dxa"/>
            <w:noWrap/>
            <w:tcMar>
              <w:left w:w="40" w:type="dxa"/>
              <w:right w:w="40" w:type="dxa"/>
            </w:tcMar>
          </w:tcPr>
          <w:p w14:paraId="5CAD98A6" w14:textId="77777777" w:rsidR="002D7804" w:rsidRPr="00B75199" w:rsidRDefault="002D7804" w:rsidP="006E3C06">
            <w:pPr>
              <w:pStyle w:val="Tabletext"/>
              <w:keepNext/>
              <w:widowControl w:val="0"/>
            </w:pPr>
            <w:r w:rsidRPr="00B75199">
              <w:t>0%</w:t>
            </w:r>
          </w:p>
        </w:tc>
        <w:tc>
          <w:tcPr>
            <w:tcW w:w="1200" w:type="dxa"/>
            <w:tcBorders>
              <w:bottom w:val="single" w:sz="4" w:space="0" w:color="auto"/>
            </w:tcBorders>
            <w:shd w:val="solid" w:color="000000" w:fill="000000"/>
            <w:noWrap/>
            <w:tcMar>
              <w:left w:w="40" w:type="dxa"/>
              <w:right w:w="40" w:type="dxa"/>
            </w:tcMar>
          </w:tcPr>
          <w:p w14:paraId="0AC60BFF" w14:textId="29862AB2" w:rsidR="002D7804" w:rsidRPr="00D26D6C" w:rsidRDefault="00DA3714" w:rsidP="006E3C06">
            <w:pPr>
              <w:pStyle w:val="Tabletext"/>
              <w:keepNext/>
              <w:widowControl w:val="0"/>
              <w:jc w:val="center"/>
              <w:rPr>
                <w:highlight w:val="lightGray"/>
              </w:rPr>
            </w:pPr>
            <w:r w:rsidRPr="00DA3714">
              <w:rPr>
                <w:color w:val="000000"/>
                <w14:textFill>
                  <w14:solidFill>
                    <w14:srgbClr w14:val="000000">
                      <w14:alpha w14:val="100000"/>
                    </w14:srgbClr>
                  </w14:solidFill>
                </w14:textFill>
              </w:rPr>
              <w:t>|</w:t>
            </w:r>
          </w:p>
        </w:tc>
        <w:tc>
          <w:tcPr>
            <w:tcW w:w="1200" w:type="dxa"/>
            <w:noWrap/>
            <w:tcMar>
              <w:left w:w="40" w:type="dxa"/>
              <w:right w:w="40" w:type="dxa"/>
            </w:tcMar>
          </w:tcPr>
          <w:p w14:paraId="6AC6FA7E" w14:textId="77777777" w:rsidR="002D7804" w:rsidRPr="00B75199" w:rsidRDefault="002D7804" w:rsidP="006E3C06">
            <w:pPr>
              <w:pStyle w:val="Tabletext"/>
              <w:keepNext/>
              <w:widowControl w:val="0"/>
              <w:jc w:val="center"/>
            </w:pPr>
            <w:r w:rsidRPr="00B75199">
              <w:t>1.61</w:t>
            </w:r>
          </w:p>
        </w:tc>
        <w:tc>
          <w:tcPr>
            <w:tcW w:w="1920" w:type="dxa"/>
            <w:noWrap/>
            <w:tcMar>
              <w:left w:w="40" w:type="dxa"/>
              <w:right w:w="40" w:type="dxa"/>
            </w:tcMar>
          </w:tcPr>
          <w:p w14:paraId="6E84B133" w14:textId="15E66DD9" w:rsidR="002D7804" w:rsidRPr="00D26D6C" w:rsidRDefault="00DA3714" w:rsidP="006E3C06">
            <w:pPr>
              <w:pStyle w:val="Tabletext"/>
              <w:keepNext/>
              <w:widowControl w:val="0"/>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tcPr>
          <w:p w14:paraId="738EF46D" w14:textId="62F99FC4" w:rsidR="002D7804" w:rsidRPr="00B75199" w:rsidRDefault="002D7804" w:rsidP="006E3C06">
            <w:pPr>
              <w:pStyle w:val="Tabletext"/>
              <w:keepNext/>
              <w:widowControl w:val="0"/>
              <w:jc w:val="center"/>
            </w:pPr>
            <w:r w:rsidRPr="00B75199">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B75199">
              <w:t>%</w:t>
            </w:r>
          </w:p>
        </w:tc>
      </w:tr>
      <w:tr w:rsidR="002D7804" w:rsidRPr="00C45F7B" w14:paraId="13720B0B" w14:textId="77777777" w:rsidTr="00DA3714">
        <w:trPr>
          <w:trHeight w:val="70"/>
        </w:trPr>
        <w:tc>
          <w:tcPr>
            <w:tcW w:w="3355" w:type="dxa"/>
            <w:tcBorders>
              <w:bottom w:val="single" w:sz="4" w:space="0" w:color="auto"/>
            </w:tcBorders>
            <w:noWrap/>
            <w:tcMar>
              <w:left w:w="40" w:type="dxa"/>
              <w:right w:w="40" w:type="dxa"/>
            </w:tcMar>
          </w:tcPr>
          <w:p w14:paraId="1CF62BB6" w14:textId="77777777" w:rsidR="002D7804" w:rsidRPr="00B75199" w:rsidRDefault="002D7804" w:rsidP="006E3C06">
            <w:pPr>
              <w:pStyle w:val="Tabletext"/>
              <w:keepNext/>
              <w:widowControl w:val="0"/>
            </w:pPr>
            <w:r w:rsidRPr="00B75199">
              <w:t>3.5%</w:t>
            </w:r>
          </w:p>
        </w:tc>
        <w:tc>
          <w:tcPr>
            <w:tcW w:w="1200" w:type="dxa"/>
            <w:tcBorders>
              <w:bottom w:val="single" w:sz="4" w:space="0" w:color="auto"/>
            </w:tcBorders>
            <w:shd w:val="solid" w:color="000000" w:fill="000000"/>
            <w:noWrap/>
            <w:tcMar>
              <w:left w:w="40" w:type="dxa"/>
              <w:right w:w="40" w:type="dxa"/>
            </w:tcMar>
          </w:tcPr>
          <w:p w14:paraId="2AF79D51" w14:textId="5BAC104A" w:rsidR="002D7804" w:rsidRPr="00D26D6C" w:rsidRDefault="00DA3714" w:rsidP="006E3C06">
            <w:pPr>
              <w:pStyle w:val="Tabletext"/>
              <w:keepNext/>
              <w:widowControl w:val="0"/>
              <w:jc w:val="center"/>
              <w:rPr>
                <w:highlight w:val="lightGray"/>
              </w:rPr>
            </w:pPr>
            <w:r w:rsidRPr="00DA3714">
              <w:rPr>
                <w:color w:val="000000"/>
                <w14:textFill>
                  <w14:solidFill>
                    <w14:srgbClr w14:val="000000">
                      <w14:alpha w14:val="100000"/>
                    </w14:srgbClr>
                  </w14:solidFill>
                </w14:textFill>
              </w:rPr>
              <w:t>|</w:t>
            </w:r>
          </w:p>
        </w:tc>
        <w:tc>
          <w:tcPr>
            <w:tcW w:w="1200" w:type="dxa"/>
            <w:tcBorders>
              <w:bottom w:val="single" w:sz="4" w:space="0" w:color="auto"/>
            </w:tcBorders>
            <w:noWrap/>
            <w:tcMar>
              <w:left w:w="40" w:type="dxa"/>
              <w:right w:w="40" w:type="dxa"/>
            </w:tcMar>
          </w:tcPr>
          <w:p w14:paraId="785AE8BD" w14:textId="77777777" w:rsidR="002D7804" w:rsidRPr="00B75199" w:rsidRDefault="002D7804" w:rsidP="006E3C06">
            <w:pPr>
              <w:pStyle w:val="Tabletext"/>
              <w:keepNext/>
              <w:widowControl w:val="0"/>
              <w:jc w:val="center"/>
            </w:pPr>
            <w:r w:rsidRPr="00B75199">
              <w:t>1.36</w:t>
            </w:r>
          </w:p>
        </w:tc>
        <w:tc>
          <w:tcPr>
            <w:tcW w:w="1920" w:type="dxa"/>
            <w:tcBorders>
              <w:bottom w:val="single" w:sz="4" w:space="0" w:color="auto"/>
            </w:tcBorders>
            <w:noWrap/>
            <w:tcMar>
              <w:left w:w="40" w:type="dxa"/>
              <w:right w:w="40" w:type="dxa"/>
            </w:tcMar>
          </w:tcPr>
          <w:p w14:paraId="529FA354" w14:textId="0DF74377" w:rsidR="002D7804" w:rsidRPr="00D26D6C" w:rsidRDefault="00DA3714" w:rsidP="006E3C06">
            <w:pPr>
              <w:pStyle w:val="Tabletext"/>
              <w:keepNext/>
              <w:widowControl w:val="0"/>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tcBorders>
              <w:bottom w:val="single" w:sz="4" w:space="0" w:color="auto"/>
            </w:tcBorders>
            <w:noWrap/>
            <w:tcMar>
              <w:left w:w="40" w:type="dxa"/>
              <w:right w:w="40" w:type="dxa"/>
            </w:tcMar>
          </w:tcPr>
          <w:p w14:paraId="5149B358" w14:textId="03C92EBA" w:rsidR="002D7804" w:rsidRPr="00B75199" w:rsidRDefault="002D7804" w:rsidP="006E3C06">
            <w:pPr>
              <w:pStyle w:val="Tabletext"/>
              <w:keepNext/>
              <w:widowControl w:val="0"/>
              <w:jc w:val="center"/>
            </w:pPr>
            <w:r w:rsidRPr="00B75199">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B75199">
              <w:t>%</w:t>
            </w:r>
          </w:p>
        </w:tc>
      </w:tr>
      <w:tr w:rsidR="005564E4" w:rsidRPr="00215E9C" w14:paraId="6CD7125D" w14:textId="77777777" w:rsidTr="00D42CD8">
        <w:trPr>
          <w:trHeight w:val="70"/>
        </w:trPr>
        <w:tc>
          <w:tcPr>
            <w:tcW w:w="9017" w:type="dxa"/>
            <w:gridSpan w:val="5"/>
            <w:tcBorders>
              <w:bottom w:val="single" w:sz="4" w:space="0" w:color="auto"/>
            </w:tcBorders>
            <w:noWrap/>
            <w:tcMar>
              <w:left w:w="40" w:type="dxa"/>
              <w:right w:w="40" w:type="dxa"/>
            </w:tcMar>
          </w:tcPr>
          <w:p w14:paraId="11DD2B69" w14:textId="6CD36DA1" w:rsidR="005564E4" w:rsidRPr="001E5430" w:rsidRDefault="005564E4" w:rsidP="00922BF9">
            <w:pPr>
              <w:pStyle w:val="Tabletext"/>
              <w:keepNext/>
            </w:pPr>
            <w:r w:rsidRPr="001E5430">
              <w:rPr>
                <w:b/>
                <w:bCs/>
              </w:rPr>
              <w:t>Utilities in PD and PF states</w:t>
            </w:r>
            <w:r>
              <w:rPr>
                <w:b/>
                <w:bCs/>
              </w:rPr>
              <w:t xml:space="preserve"> (base case, PD = 0.714, PF =0.776) </w:t>
            </w:r>
          </w:p>
        </w:tc>
      </w:tr>
      <w:tr w:rsidR="002D7804" w:rsidRPr="00215E9C" w14:paraId="5F5D2D7F" w14:textId="77777777" w:rsidTr="00DA3714">
        <w:trPr>
          <w:trHeight w:val="70"/>
        </w:trPr>
        <w:tc>
          <w:tcPr>
            <w:tcW w:w="3355" w:type="dxa"/>
            <w:noWrap/>
            <w:tcMar>
              <w:left w:w="40" w:type="dxa"/>
              <w:right w:w="40" w:type="dxa"/>
            </w:tcMar>
            <w:hideMark/>
          </w:tcPr>
          <w:p w14:paraId="11E874F8" w14:textId="77777777" w:rsidR="002D7804" w:rsidRPr="001E5430" w:rsidRDefault="002D7804" w:rsidP="006E3C06">
            <w:pPr>
              <w:pStyle w:val="Tabletext"/>
              <w:keepNext/>
            </w:pPr>
            <w:r w:rsidRPr="001E5430">
              <w:t>Utility in PD state=0.691 and PF = 0.766</w:t>
            </w:r>
            <w:r w:rsidRPr="001E5430">
              <w:rPr>
                <w:vertAlign w:val="superscript"/>
              </w:rPr>
              <w:t>a</w:t>
            </w:r>
            <w:r w:rsidRPr="001E5430">
              <w:t xml:space="preserve"> </w:t>
            </w:r>
          </w:p>
        </w:tc>
        <w:tc>
          <w:tcPr>
            <w:tcW w:w="1200" w:type="dxa"/>
            <w:shd w:val="solid" w:color="000000" w:fill="000000"/>
            <w:noWrap/>
            <w:tcMar>
              <w:left w:w="40" w:type="dxa"/>
              <w:right w:w="40" w:type="dxa"/>
            </w:tcMar>
            <w:hideMark/>
          </w:tcPr>
          <w:p w14:paraId="1DDC1940" w14:textId="107A5F50" w:rsidR="002D7804" w:rsidRPr="001E5430" w:rsidRDefault="00DA3714" w:rsidP="006E3C06">
            <w:pPr>
              <w:pStyle w:val="Tabletext"/>
              <w:keepNext/>
              <w:jc w:val="center"/>
            </w:pPr>
            <w:r w:rsidRPr="00DA3714">
              <w:rPr>
                <w:color w:val="000000"/>
                <w14:textFill>
                  <w14:solidFill>
                    <w14:srgbClr w14:val="000000">
                      <w14:alpha w14:val="100000"/>
                    </w14:srgbClr>
                  </w14:solidFill>
                </w14:textFill>
              </w:rPr>
              <w:t>|</w:t>
            </w:r>
          </w:p>
        </w:tc>
        <w:tc>
          <w:tcPr>
            <w:tcW w:w="1200" w:type="dxa"/>
            <w:noWrap/>
            <w:tcMar>
              <w:left w:w="40" w:type="dxa"/>
              <w:right w:w="40" w:type="dxa"/>
            </w:tcMar>
            <w:hideMark/>
          </w:tcPr>
          <w:p w14:paraId="1FC166D9" w14:textId="77777777" w:rsidR="002D7804" w:rsidRPr="001E5430" w:rsidRDefault="002D7804" w:rsidP="006E3C06">
            <w:pPr>
              <w:pStyle w:val="Tabletext"/>
              <w:keepNext/>
              <w:jc w:val="center"/>
            </w:pPr>
            <w:r w:rsidRPr="001E5430">
              <w:t>1.25</w:t>
            </w:r>
          </w:p>
        </w:tc>
        <w:tc>
          <w:tcPr>
            <w:tcW w:w="1920" w:type="dxa"/>
            <w:noWrap/>
            <w:tcMar>
              <w:left w:w="40" w:type="dxa"/>
              <w:right w:w="40" w:type="dxa"/>
            </w:tcMar>
            <w:hideMark/>
          </w:tcPr>
          <w:p w14:paraId="599347F4" w14:textId="3D25CC40" w:rsidR="002D7804" w:rsidRPr="001E5430" w:rsidRDefault="00DA3714" w:rsidP="006E3C06">
            <w:pPr>
              <w:pStyle w:val="Tabletext"/>
              <w:keepNext/>
              <w:jc w:val="cente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hideMark/>
          </w:tcPr>
          <w:p w14:paraId="023C5388" w14:textId="2404E418" w:rsidR="002D7804" w:rsidRPr="001E5430" w:rsidRDefault="00196C0C" w:rsidP="006E3C06">
            <w:pPr>
              <w:pStyle w:val="Tabletext"/>
              <w:keepNext/>
              <w:jc w:val="center"/>
            </w:pPr>
            <w:r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Pr="008762F8">
              <w:rPr>
                <w:color w:val="000000"/>
                <w:spacing w:val="-21"/>
                <w:w w:val="15"/>
                <w:shd w:val="solid" w:color="000000" w:fill="000000"/>
                <w:fitText w:val="15" w:id="-893663480"/>
                <w14:textFill>
                  <w14:solidFill>
                    <w14:srgbClr w14:val="000000">
                      <w14:alpha w14:val="100000"/>
                    </w14:srgbClr>
                  </w14:solidFill>
                </w14:textFill>
              </w:rPr>
              <w:t>|</w:t>
            </w:r>
            <w:r w:rsidR="002D7804" w:rsidRPr="001E5430">
              <w:t>%</w:t>
            </w:r>
          </w:p>
        </w:tc>
      </w:tr>
      <w:tr w:rsidR="005564E4" w:rsidRPr="00215E9C" w14:paraId="029813D6" w14:textId="77777777" w:rsidTr="00DA6ECC">
        <w:trPr>
          <w:trHeight w:val="70"/>
        </w:trPr>
        <w:tc>
          <w:tcPr>
            <w:tcW w:w="9017" w:type="dxa"/>
            <w:gridSpan w:val="5"/>
            <w:noWrap/>
            <w:tcMar>
              <w:left w:w="40" w:type="dxa"/>
              <w:right w:w="40" w:type="dxa"/>
            </w:tcMar>
            <w:hideMark/>
          </w:tcPr>
          <w:p w14:paraId="5C173D50" w14:textId="033EE3EA" w:rsidR="005564E4" w:rsidRPr="00B75199" w:rsidRDefault="005564E4" w:rsidP="006E3C06">
            <w:pPr>
              <w:pStyle w:val="Tabletext"/>
              <w:keepNext/>
              <w:rPr>
                <w:b/>
              </w:rPr>
            </w:pPr>
            <w:r w:rsidRPr="00B75199">
              <w:rPr>
                <w:b/>
              </w:rPr>
              <w:t>Indirect comparison method</w:t>
            </w:r>
            <w:r>
              <w:rPr>
                <w:b/>
              </w:rPr>
              <w:t xml:space="preserve"> (base case= MAIC 2 model)</w:t>
            </w:r>
          </w:p>
        </w:tc>
      </w:tr>
      <w:tr w:rsidR="002D7804" w:rsidRPr="00215E9C" w14:paraId="4BAD8D23" w14:textId="77777777" w:rsidTr="00DA3714">
        <w:trPr>
          <w:trHeight w:val="70"/>
        </w:trPr>
        <w:tc>
          <w:tcPr>
            <w:tcW w:w="3355" w:type="dxa"/>
            <w:noWrap/>
            <w:tcMar>
              <w:left w:w="40" w:type="dxa"/>
              <w:right w:w="40" w:type="dxa"/>
            </w:tcMar>
            <w:hideMark/>
          </w:tcPr>
          <w:p w14:paraId="1F3DB031" w14:textId="77777777" w:rsidR="002D7804" w:rsidRPr="00B75199" w:rsidRDefault="002D7804" w:rsidP="006E3C06">
            <w:pPr>
              <w:pStyle w:val="Tabletext"/>
              <w:keepNext/>
            </w:pPr>
            <w:r w:rsidRPr="00B75199">
              <w:t>MAIC 1 model</w:t>
            </w:r>
          </w:p>
        </w:tc>
        <w:tc>
          <w:tcPr>
            <w:tcW w:w="1200" w:type="dxa"/>
            <w:shd w:val="solid" w:color="000000" w:fill="000000"/>
            <w:noWrap/>
            <w:tcMar>
              <w:left w:w="40" w:type="dxa"/>
              <w:right w:w="40" w:type="dxa"/>
            </w:tcMar>
            <w:hideMark/>
          </w:tcPr>
          <w:p w14:paraId="1C9D0B2B" w14:textId="3D1743A0" w:rsidR="002D7804" w:rsidRPr="00B75199" w:rsidRDefault="00DA3714" w:rsidP="006E3C06">
            <w:pPr>
              <w:pStyle w:val="Tabletext"/>
              <w:keepNext/>
              <w:jc w:val="center"/>
            </w:pPr>
            <w:r w:rsidRPr="00DA3714">
              <w:rPr>
                <w:color w:val="000000"/>
                <w14:textFill>
                  <w14:solidFill>
                    <w14:srgbClr w14:val="000000">
                      <w14:alpha w14:val="100000"/>
                    </w14:srgbClr>
                  </w14:solidFill>
                </w14:textFill>
              </w:rPr>
              <w:t>|</w:t>
            </w:r>
          </w:p>
        </w:tc>
        <w:tc>
          <w:tcPr>
            <w:tcW w:w="1200" w:type="dxa"/>
            <w:noWrap/>
            <w:tcMar>
              <w:left w:w="40" w:type="dxa"/>
              <w:right w:w="40" w:type="dxa"/>
            </w:tcMar>
            <w:hideMark/>
          </w:tcPr>
          <w:p w14:paraId="4FC2200D" w14:textId="77777777" w:rsidR="002D7804" w:rsidRPr="00B75199" w:rsidRDefault="002D7804" w:rsidP="006E3C06">
            <w:pPr>
              <w:pStyle w:val="Tabletext"/>
              <w:keepNext/>
              <w:jc w:val="center"/>
            </w:pPr>
            <w:r w:rsidRPr="00B75199">
              <w:t>1.42</w:t>
            </w:r>
          </w:p>
        </w:tc>
        <w:tc>
          <w:tcPr>
            <w:tcW w:w="1920" w:type="dxa"/>
            <w:noWrap/>
            <w:tcMar>
              <w:left w:w="40" w:type="dxa"/>
              <w:right w:w="40" w:type="dxa"/>
            </w:tcMar>
            <w:hideMark/>
          </w:tcPr>
          <w:p w14:paraId="65546BBC" w14:textId="1E324318" w:rsidR="002D7804" w:rsidRPr="00B75199" w:rsidRDefault="00DA3714" w:rsidP="006E3C06">
            <w:pPr>
              <w:pStyle w:val="Tabletext"/>
              <w:keepNext/>
              <w:jc w:val="cente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hideMark/>
          </w:tcPr>
          <w:p w14:paraId="72B60367" w14:textId="6AD55700" w:rsidR="002D7804" w:rsidRPr="00B75199" w:rsidRDefault="002D7804" w:rsidP="006E3C06">
            <w:pPr>
              <w:pStyle w:val="Tabletext"/>
              <w:keepNext/>
              <w:jc w:val="center"/>
            </w:pPr>
            <w:r w:rsidRPr="00B75199">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B75199">
              <w:t>%</w:t>
            </w:r>
          </w:p>
        </w:tc>
      </w:tr>
      <w:tr w:rsidR="002D7804" w:rsidRPr="00215E9C" w14:paraId="630B5EF1" w14:textId="77777777" w:rsidTr="001471E1">
        <w:trPr>
          <w:trHeight w:val="70"/>
        </w:trPr>
        <w:tc>
          <w:tcPr>
            <w:tcW w:w="9017" w:type="dxa"/>
            <w:gridSpan w:val="5"/>
            <w:noWrap/>
            <w:tcMar>
              <w:left w:w="40" w:type="dxa"/>
              <w:right w:w="40" w:type="dxa"/>
            </w:tcMar>
            <w:hideMark/>
          </w:tcPr>
          <w:p w14:paraId="5C0C6855" w14:textId="4B04A63E" w:rsidR="002D7804" w:rsidRPr="001E5430" w:rsidRDefault="002D7804" w:rsidP="006E3C06">
            <w:pPr>
              <w:pStyle w:val="Tabletext"/>
              <w:keepNext/>
              <w:rPr>
                <w:b/>
                <w:bCs/>
              </w:rPr>
            </w:pPr>
            <w:r w:rsidRPr="001E5430">
              <w:rPr>
                <w:b/>
                <w:bCs/>
              </w:rPr>
              <w:t>Survival curve extrapolation functions for OS</w:t>
            </w:r>
            <w:r w:rsidRPr="001E5430">
              <w:rPr>
                <w:b/>
                <w:bCs/>
                <w:vertAlign w:val="superscript"/>
              </w:rPr>
              <w:t xml:space="preserve">b </w:t>
            </w:r>
            <w:r w:rsidRPr="001E5430">
              <w:rPr>
                <w:b/>
                <w:bCs/>
              </w:rPr>
              <w:t xml:space="preserve">(base case: </w:t>
            </w:r>
            <w:r w:rsidR="00CE0F7D" w:rsidRPr="001E5430">
              <w:rPr>
                <w:b/>
                <w:bCs/>
              </w:rPr>
              <w:t>S</w:t>
            </w:r>
            <w:r w:rsidRPr="001E5430">
              <w:rPr>
                <w:b/>
                <w:bCs/>
              </w:rPr>
              <w:t>pline</w:t>
            </w:r>
            <w:r w:rsidR="00CE0F7D" w:rsidRPr="001E5430">
              <w:rPr>
                <w:b/>
                <w:bCs/>
              </w:rPr>
              <w:t xml:space="preserve"> K</w:t>
            </w:r>
            <w:r w:rsidRPr="001E5430">
              <w:rPr>
                <w:b/>
                <w:bCs/>
              </w:rPr>
              <w:t>not= 1)</w:t>
            </w:r>
          </w:p>
        </w:tc>
      </w:tr>
      <w:tr w:rsidR="002D7804" w:rsidRPr="00215E9C" w14:paraId="653B09D7" w14:textId="77777777" w:rsidTr="00DA3714">
        <w:trPr>
          <w:trHeight w:val="70"/>
        </w:trPr>
        <w:tc>
          <w:tcPr>
            <w:tcW w:w="3355" w:type="dxa"/>
            <w:noWrap/>
            <w:tcMar>
              <w:left w:w="40" w:type="dxa"/>
              <w:right w:w="40" w:type="dxa"/>
            </w:tcMar>
            <w:hideMark/>
          </w:tcPr>
          <w:p w14:paraId="5247FD55" w14:textId="1D6C6401" w:rsidR="002D7804" w:rsidRPr="001E5430" w:rsidRDefault="002D7804" w:rsidP="006E3C06">
            <w:pPr>
              <w:pStyle w:val="Tabletext"/>
              <w:keepNext/>
            </w:pPr>
            <w:r w:rsidRPr="001E5430">
              <w:t>Lognormal for selpercatinib arm (1</w:t>
            </w:r>
            <w:r w:rsidRPr="001E5430">
              <w:rPr>
                <w:vertAlign w:val="superscript"/>
              </w:rPr>
              <w:t>st</w:t>
            </w:r>
            <w:r w:rsidRPr="001E5430">
              <w:t xml:space="preserve"> best fit)</w:t>
            </w:r>
            <w:r w:rsidR="00E16CE6" w:rsidRPr="001E5430">
              <w:t xml:space="preserve"> </w:t>
            </w:r>
          </w:p>
        </w:tc>
        <w:tc>
          <w:tcPr>
            <w:tcW w:w="1200" w:type="dxa"/>
            <w:tcBorders>
              <w:bottom w:val="single" w:sz="4" w:space="0" w:color="auto"/>
            </w:tcBorders>
            <w:shd w:val="solid" w:color="000000" w:fill="000000"/>
            <w:noWrap/>
            <w:tcMar>
              <w:left w:w="40" w:type="dxa"/>
              <w:right w:w="40" w:type="dxa"/>
            </w:tcMar>
            <w:vAlign w:val="center"/>
            <w:hideMark/>
          </w:tcPr>
          <w:p w14:paraId="2ECE83C4" w14:textId="38D5962C" w:rsidR="002D7804" w:rsidRPr="00D26D6C" w:rsidRDefault="00DA3714" w:rsidP="00A040B2">
            <w:pPr>
              <w:pStyle w:val="Tabletext"/>
              <w:keepNext/>
              <w:jc w:val="center"/>
              <w:rPr>
                <w:highlight w:val="lightGray"/>
              </w:rP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hideMark/>
          </w:tcPr>
          <w:p w14:paraId="43A1C088" w14:textId="77777777" w:rsidR="002D7804" w:rsidRPr="001E5430" w:rsidRDefault="002D7804" w:rsidP="00A040B2">
            <w:pPr>
              <w:pStyle w:val="Tabletext"/>
              <w:keepNext/>
              <w:jc w:val="center"/>
            </w:pPr>
            <w:r w:rsidRPr="001E5430">
              <w:t>1.34</w:t>
            </w:r>
          </w:p>
        </w:tc>
        <w:tc>
          <w:tcPr>
            <w:tcW w:w="1920" w:type="dxa"/>
            <w:noWrap/>
            <w:tcMar>
              <w:left w:w="40" w:type="dxa"/>
              <w:right w:w="40" w:type="dxa"/>
            </w:tcMar>
            <w:vAlign w:val="center"/>
            <w:hideMark/>
          </w:tcPr>
          <w:p w14:paraId="2F640271" w14:textId="6EC330D6" w:rsidR="002D7804" w:rsidRPr="00D26D6C" w:rsidRDefault="00DA3714" w:rsidP="00A040B2">
            <w:pPr>
              <w:pStyle w:val="Tabletext"/>
              <w:keepNext/>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vAlign w:val="center"/>
            <w:hideMark/>
          </w:tcPr>
          <w:p w14:paraId="2ABE6525" w14:textId="60F9E0BA" w:rsidR="002D7804" w:rsidRPr="001E5430" w:rsidRDefault="002D7804" w:rsidP="00A040B2">
            <w:pPr>
              <w:pStyle w:val="Tabletext"/>
              <w:keepNext/>
              <w:jc w:val="center"/>
            </w:pPr>
            <w:r w:rsidRPr="001E5430">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1E5430">
              <w:t>%</w:t>
            </w:r>
          </w:p>
        </w:tc>
      </w:tr>
      <w:tr w:rsidR="002D7804" w:rsidRPr="00215E9C" w14:paraId="1132EF92" w14:textId="77777777" w:rsidTr="00DA3714">
        <w:trPr>
          <w:trHeight w:val="70"/>
        </w:trPr>
        <w:tc>
          <w:tcPr>
            <w:tcW w:w="3355" w:type="dxa"/>
            <w:noWrap/>
            <w:tcMar>
              <w:left w:w="40" w:type="dxa"/>
              <w:right w:w="40" w:type="dxa"/>
            </w:tcMar>
            <w:hideMark/>
          </w:tcPr>
          <w:p w14:paraId="24F56F4C" w14:textId="5E1DFB52" w:rsidR="002D7804" w:rsidRPr="001E5430" w:rsidRDefault="002D7804" w:rsidP="006E3C06">
            <w:pPr>
              <w:pStyle w:val="Tabletext"/>
              <w:keepNext/>
            </w:pPr>
            <w:r w:rsidRPr="001E5430">
              <w:t>Loglogistic for selpercatinib arm (2</w:t>
            </w:r>
            <w:r w:rsidRPr="001E5430">
              <w:rPr>
                <w:vertAlign w:val="superscript"/>
              </w:rPr>
              <w:t>nd</w:t>
            </w:r>
            <w:r w:rsidRPr="001E5430">
              <w:t xml:space="preserve"> best fit)</w:t>
            </w:r>
            <w:r w:rsidR="004C1476" w:rsidRPr="001E5430">
              <w:t xml:space="preserve"> </w:t>
            </w:r>
          </w:p>
        </w:tc>
        <w:tc>
          <w:tcPr>
            <w:tcW w:w="1200" w:type="dxa"/>
            <w:tcBorders>
              <w:bottom w:val="single" w:sz="4" w:space="0" w:color="auto"/>
            </w:tcBorders>
            <w:shd w:val="solid" w:color="000000" w:fill="000000"/>
            <w:noWrap/>
            <w:tcMar>
              <w:left w:w="40" w:type="dxa"/>
              <w:right w:w="40" w:type="dxa"/>
            </w:tcMar>
            <w:vAlign w:val="center"/>
            <w:hideMark/>
          </w:tcPr>
          <w:p w14:paraId="76BB898D" w14:textId="50D13A0B" w:rsidR="002D7804" w:rsidRPr="00D26D6C" w:rsidRDefault="00DA3714" w:rsidP="00A040B2">
            <w:pPr>
              <w:pStyle w:val="Tabletext"/>
              <w:keepNext/>
              <w:jc w:val="center"/>
              <w:rPr>
                <w:highlight w:val="lightGray"/>
              </w:rP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hideMark/>
          </w:tcPr>
          <w:p w14:paraId="1398E95A" w14:textId="77777777" w:rsidR="002D7804" w:rsidRPr="001E5430" w:rsidRDefault="002D7804" w:rsidP="00A040B2">
            <w:pPr>
              <w:pStyle w:val="Tabletext"/>
              <w:keepNext/>
              <w:jc w:val="center"/>
            </w:pPr>
            <w:r w:rsidRPr="001E5430">
              <w:t>1.29</w:t>
            </w:r>
          </w:p>
        </w:tc>
        <w:tc>
          <w:tcPr>
            <w:tcW w:w="1920" w:type="dxa"/>
            <w:noWrap/>
            <w:tcMar>
              <w:left w:w="40" w:type="dxa"/>
              <w:right w:w="40" w:type="dxa"/>
            </w:tcMar>
            <w:vAlign w:val="center"/>
            <w:hideMark/>
          </w:tcPr>
          <w:p w14:paraId="6C3CD060" w14:textId="595C39C1" w:rsidR="002D7804" w:rsidRPr="00D26D6C" w:rsidRDefault="00DA3714" w:rsidP="00A040B2">
            <w:pPr>
              <w:pStyle w:val="Tabletext"/>
              <w:keepNext/>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vAlign w:val="center"/>
            <w:hideMark/>
          </w:tcPr>
          <w:p w14:paraId="7412D2EE" w14:textId="0C0EACD8" w:rsidR="002D7804" w:rsidRPr="001E5430" w:rsidRDefault="002D7804" w:rsidP="00A040B2">
            <w:pPr>
              <w:pStyle w:val="Tabletext"/>
              <w:keepNext/>
              <w:jc w:val="center"/>
            </w:pPr>
            <w:r w:rsidRPr="001E5430">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1E5430">
              <w:t>%</w:t>
            </w:r>
          </w:p>
        </w:tc>
      </w:tr>
      <w:tr w:rsidR="002D7804" w:rsidRPr="00215E9C" w14:paraId="1905D9AE" w14:textId="77777777" w:rsidTr="00DA3714">
        <w:trPr>
          <w:trHeight w:val="107"/>
        </w:trPr>
        <w:tc>
          <w:tcPr>
            <w:tcW w:w="3355" w:type="dxa"/>
            <w:noWrap/>
            <w:tcMar>
              <w:left w:w="40" w:type="dxa"/>
              <w:right w:w="40" w:type="dxa"/>
            </w:tcMar>
            <w:hideMark/>
          </w:tcPr>
          <w:p w14:paraId="168986E3" w14:textId="481028BA" w:rsidR="002D7804" w:rsidRPr="00B75199" w:rsidRDefault="002D7804" w:rsidP="006E3C06">
            <w:pPr>
              <w:pStyle w:val="Tabletext"/>
              <w:keepNext/>
            </w:pPr>
            <w:r w:rsidRPr="00B75199">
              <w:t>Gamma for selpercatinib arm</w:t>
            </w:r>
            <w:r w:rsidR="00A55287" w:rsidRPr="00B75199">
              <w:t xml:space="preserve"> (3</w:t>
            </w:r>
            <w:r w:rsidR="00A55287" w:rsidRPr="00B75199">
              <w:rPr>
                <w:vertAlign w:val="superscript"/>
              </w:rPr>
              <w:t>rd</w:t>
            </w:r>
            <w:r w:rsidR="00A55287" w:rsidRPr="00B75199">
              <w:t xml:space="preserve"> best fit) </w:t>
            </w:r>
          </w:p>
        </w:tc>
        <w:tc>
          <w:tcPr>
            <w:tcW w:w="1200" w:type="dxa"/>
            <w:shd w:val="solid" w:color="000000" w:fill="000000"/>
            <w:noWrap/>
            <w:tcMar>
              <w:left w:w="40" w:type="dxa"/>
              <w:right w:w="40" w:type="dxa"/>
            </w:tcMar>
            <w:vAlign w:val="center"/>
            <w:hideMark/>
          </w:tcPr>
          <w:p w14:paraId="350875D4" w14:textId="75A59D9B" w:rsidR="002D7804" w:rsidRPr="00D26D6C" w:rsidRDefault="00DA3714" w:rsidP="00A040B2">
            <w:pPr>
              <w:pStyle w:val="Tabletext"/>
              <w:keepNext/>
              <w:jc w:val="center"/>
              <w:rPr>
                <w:highlight w:val="lightGray"/>
              </w:rP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hideMark/>
          </w:tcPr>
          <w:p w14:paraId="209D04CF" w14:textId="77777777" w:rsidR="002D7804" w:rsidRPr="00B75199" w:rsidRDefault="002D7804" w:rsidP="00A040B2">
            <w:pPr>
              <w:pStyle w:val="Tabletext"/>
              <w:keepNext/>
              <w:jc w:val="center"/>
            </w:pPr>
            <w:r w:rsidRPr="00B75199">
              <w:t>1.17</w:t>
            </w:r>
          </w:p>
        </w:tc>
        <w:tc>
          <w:tcPr>
            <w:tcW w:w="1920" w:type="dxa"/>
            <w:noWrap/>
            <w:tcMar>
              <w:left w:w="40" w:type="dxa"/>
              <w:right w:w="40" w:type="dxa"/>
            </w:tcMar>
            <w:vAlign w:val="center"/>
            <w:hideMark/>
          </w:tcPr>
          <w:p w14:paraId="42CE34EB" w14:textId="37F1A8FB" w:rsidR="002D7804" w:rsidRPr="00D26D6C" w:rsidRDefault="00DA3714" w:rsidP="00A040B2">
            <w:pPr>
              <w:pStyle w:val="Tabletext"/>
              <w:keepNext/>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vAlign w:val="center"/>
            <w:hideMark/>
          </w:tcPr>
          <w:p w14:paraId="7BD0EC4A" w14:textId="62B2FE58" w:rsidR="002D7804" w:rsidRPr="00B75199" w:rsidRDefault="00196C0C" w:rsidP="00A040B2">
            <w:pPr>
              <w:pStyle w:val="Tabletext"/>
              <w:keepNext/>
              <w:jc w:val="center"/>
            </w:pPr>
            <w:r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Pr="008762F8">
              <w:rPr>
                <w:color w:val="000000"/>
                <w:spacing w:val="-21"/>
                <w:w w:val="15"/>
                <w:shd w:val="solid" w:color="000000" w:fill="000000"/>
                <w:fitText w:val="15" w:id="-893663480"/>
                <w14:textFill>
                  <w14:solidFill>
                    <w14:srgbClr w14:val="000000">
                      <w14:alpha w14:val="100000"/>
                    </w14:srgbClr>
                  </w14:solidFill>
                </w14:textFill>
              </w:rPr>
              <w:t>|</w:t>
            </w:r>
            <w:r w:rsidR="002D7804" w:rsidRPr="00B75199">
              <w:t>%</w:t>
            </w:r>
          </w:p>
        </w:tc>
      </w:tr>
      <w:tr w:rsidR="002D7804" w:rsidRPr="00861BF1" w14:paraId="7155EE6A" w14:textId="77777777" w:rsidTr="001471E1">
        <w:trPr>
          <w:trHeight w:val="70"/>
        </w:trPr>
        <w:tc>
          <w:tcPr>
            <w:tcW w:w="9017" w:type="dxa"/>
            <w:gridSpan w:val="5"/>
            <w:noWrap/>
            <w:tcMar>
              <w:left w:w="40" w:type="dxa"/>
              <w:right w:w="40" w:type="dxa"/>
            </w:tcMar>
          </w:tcPr>
          <w:p w14:paraId="61937755" w14:textId="77777777" w:rsidR="002D7804" w:rsidRPr="00861BF1" w:rsidRDefault="002D7804" w:rsidP="006E3C06">
            <w:pPr>
              <w:pStyle w:val="Tabletext"/>
              <w:keepNext/>
            </w:pPr>
            <w:r w:rsidRPr="00861BF1">
              <w:rPr>
                <w:b/>
                <w:bCs/>
              </w:rPr>
              <w:t>Survival curve extrapolation functions for TTD (base case: exponential)</w:t>
            </w:r>
          </w:p>
        </w:tc>
      </w:tr>
      <w:tr w:rsidR="002D7804" w:rsidRPr="00861BF1" w14:paraId="36DE6CBF" w14:textId="77777777" w:rsidTr="00DA3714">
        <w:trPr>
          <w:trHeight w:val="70"/>
        </w:trPr>
        <w:tc>
          <w:tcPr>
            <w:tcW w:w="3355" w:type="dxa"/>
            <w:noWrap/>
            <w:tcMar>
              <w:left w:w="40" w:type="dxa"/>
              <w:right w:w="40" w:type="dxa"/>
            </w:tcMar>
          </w:tcPr>
          <w:p w14:paraId="08A83FFD" w14:textId="3D650CD8" w:rsidR="002D7804" w:rsidRPr="00861BF1" w:rsidRDefault="002D7804" w:rsidP="006E3C06">
            <w:pPr>
              <w:pStyle w:val="Tabletext"/>
              <w:keepNext/>
            </w:pPr>
            <w:r w:rsidRPr="00861BF1">
              <w:t>Gompertz extrapolation for TTD (2</w:t>
            </w:r>
            <w:r w:rsidRPr="00861BF1">
              <w:rPr>
                <w:vertAlign w:val="superscript"/>
              </w:rPr>
              <w:t>nd</w:t>
            </w:r>
            <w:r w:rsidRPr="00861BF1">
              <w:t xml:space="preserve"> best fit)</w:t>
            </w:r>
          </w:p>
        </w:tc>
        <w:tc>
          <w:tcPr>
            <w:tcW w:w="1200" w:type="dxa"/>
            <w:tcBorders>
              <w:bottom w:val="single" w:sz="4" w:space="0" w:color="auto"/>
            </w:tcBorders>
            <w:shd w:val="solid" w:color="000000" w:fill="000000"/>
            <w:noWrap/>
            <w:tcMar>
              <w:left w:w="40" w:type="dxa"/>
              <w:right w:w="40" w:type="dxa"/>
            </w:tcMar>
            <w:vAlign w:val="center"/>
          </w:tcPr>
          <w:p w14:paraId="39AB7A8B" w14:textId="4B4F7BAE" w:rsidR="002D7804" w:rsidRPr="00D26D6C" w:rsidRDefault="00DA3714" w:rsidP="006E3C06">
            <w:pPr>
              <w:pStyle w:val="Tabletext"/>
              <w:keepNext/>
              <w:jc w:val="center"/>
              <w:rPr>
                <w:highlight w:val="lightGray"/>
              </w:rP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tcPr>
          <w:p w14:paraId="0288F1BA" w14:textId="77777777" w:rsidR="002D7804" w:rsidRPr="00861BF1" w:rsidRDefault="002D7804" w:rsidP="006E3C06">
            <w:pPr>
              <w:pStyle w:val="Tabletext"/>
              <w:keepNext/>
              <w:jc w:val="center"/>
            </w:pPr>
            <w:r w:rsidRPr="00861BF1">
              <w:t>1.270</w:t>
            </w:r>
          </w:p>
        </w:tc>
        <w:tc>
          <w:tcPr>
            <w:tcW w:w="1920" w:type="dxa"/>
            <w:noWrap/>
            <w:tcMar>
              <w:left w:w="40" w:type="dxa"/>
              <w:right w:w="40" w:type="dxa"/>
            </w:tcMar>
            <w:vAlign w:val="center"/>
          </w:tcPr>
          <w:p w14:paraId="5AAE2E22" w14:textId="61F83016" w:rsidR="002D7804" w:rsidRPr="00D26D6C" w:rsidRDefault="00DA3714" w:rsidP="006E3C06">
            <w:pPr>
              <w:pStyle w:val="Tabletext"/>
              <w:keepNext/>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D26D6C">
              <w:rPr>
                <w:vertAlign w:val="superscript"/>
              </w:rPr>
              <w:t>2</w:t>
            </w:r>
          </w:p>
        </w:tc>
        <w:tc>
          <w:tcPr>
            <w:tcW w:w="1342" w:type="dxa"/>
            <w:noWrap/>
            <w:tcMar>
              <w:left w:w="40" w:type="dxa"/>
              <w:right w:w="40" w:type="dxa"/>
            </w:tcMar>
            <w:vAlign w:val="center"/>
          </w:tcPr>
          <w:p w14:paraId="672CA5B8" w14:textId="459C5C48" w:rsidR="002D7804" w:rsidRPr="00861BF1" w:rsidRDefault="002D7804" w:rsidP="006E3C06">
            <w:pPr>
              <w:pStyle w:val="Tabletext"/>
              <w:keepNext/>
              <w:jc w:val="center"/>
            </w:pPr>
            <w:r w:rsidRPr="00861BF1">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861BF1">
              <w:t>%</w:t>
            </w:r>
          </w:p>
        </w:tc>
      </w:tr>
      <w:tr w:rsidR="002D7804" w:rsidRPr="00861BF1" w14:paraId="6524A745" w14:textId="77777777" w:rsidTr="00DA3714">
        <w:trPr>
          <w:trHeight w:val="70"/>
        </w:trPr>
        <w:tc>
          <w:tcPr>
            <w:tcW w:w="3355" w:type="dxa"/>
            <w:noWrap/>
            <w:tcMar>
              <w:left w:w="40" w:type="dxa"/>
              <w:right w:w="40" w:type="dxa"/>
            </w:tcMar>
          </w:tcPr>
          <w:p w14:paraId="0DFE9A41" w14:textId="7133E173" w:rsidR="002D7804" w:rsidRPr="00861BF1" w:rsidRDefault="002D7804" w:rsidP="006E3C06">
            <w:pPr>
              <w:pStyle w:val="Tabletext"/>
              <w:keepNext/>
            </w:pPr>
            <w:r w:rsidRPr="00861BF1">
              <w:t>Weibull extrapolation for TTD (3</w:t>
            </w:r>
            <w:r w:rsidRPr="00861BF1">
              <w:rPr>
                <w:vertAlign w:val="superscript"/>
              </w:rPr>
              <w:t>rd</w:t>
            </w:r>
            <w:r w:rsidRPr="00861BF1">
              <w:t xml:space="preserve"> best fit)</w:t>
            </w:r>
          </w:p>
        </w:tc>
        <w:tc>
          <w:tcPr>
            <w:tcW w:w="1200" w:type="dxa"/>
            <w:shd w:val="solid" w:color="000000" w:fill="000000"/>
            <w:noWrap/>
            <w:tcMar>
              <w:left w:w="40" w:type="dxa"/>
              <w:right w:w="40" w:type="dxa"/>
            </w:tcMar>
            <w:vAlign w:val="center"/>
          </w:tcPr>
          <w:p w14:paraId="7B70724C" w14:textId="176BA812" w:rsidR="002D7804" w:rsidRPr="00D26D6C" w:rsidRDefault="00DA3714" w:rsidP="006E3C06">
            <w:pPr>
              <w:pStyle w:val="Tabletext"/>
              <w:keepNext/>
              <w:jc w:val="center"/>
              <w:rPr>
                <w:highlight w:val="lightGray"/>
              </w:rP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tcPr>
          <w:p w14:paraId="23DDC0C7" w14:textId="77777777" w:rsidR="002D7804" w:rsidRPr="00861BF1" w:rsidRDefault="002D7804" w:rsidP="006E3C06">
            <w:pPr>
              <w:pStyle w:val="Tabletext"/>
              <w:keepNext/>
              <w:jc w:val="center"/>
            </w:pPr>
            <w:r w:rsidRPr="00861BF1">
              <w:t>1.270</w:t>
            </w:r>
          </w:p>
        </w:tc>
        <w:tc>
          <w:tcPr>
            <w:tcW w:w="1920" w:type="dxa"/>
            <w:noWrap/>
            <w:tcMar>
              <w:left w:w="40" w:type="dxa"/>
              <w:right w:w="40" w:type="dxa"/>
            </w:tcMar>
            <w:vAlign w:val="center"/>
          </w:tcPr>
          <w:p w14:paraId="0D394CD1" w14:textId="339F2234" w:rsidR="002D7804" w:rsidRPr="00D26D6C" w:rsidRDefault="00DA3714" w:rsidP="006E3C06">
            <w:pPr>
              <w:pStyle w:val="Tabletext"/>
              <w:keepNext/>
              <w:jc w:val="center"/>
              <w:rPr>
                <w:highlight w:val="lightGray"/>
              </w:rP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vAlign w:val="center"/>
          </w:tcPr>
          <w:p w14:paraId="6A449C14" w14:textId="36164583" w:rsidR="002D7804" w:rsidRPr="00861BF1" w:rsidRDefault="002D7804" w:rsidP="006E3C06">
            <w:pPr>
              <w:pStyle w:val="Tabletext"/>
              <w:keepNext/>
              <w:jc w:val="center"/>
            </w:pPr>
            <w:r w:rsidRPr="00861BF1">
              <w:t>-</w:t>
            </w:r>
            <w:r w:rsidR="00196C0C"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00196C0C" w:rsidRPr="008762F8">
              <w:rPr>
                <w:color w:val="000000"/>
                <w:spacing w:val="-21"/>
                <w:w w:val="15"/>
                <w:shd w:val="solid" w:color="000000" w:fill="000000"/>
                <w:fitText w:val="15" w:id="-893663480"/>
                <w14:textFill>
                  <w14:solidFill>
                    <w14:srgbClr w14:val="000000">
                      <w14:alpha w14:val="100000"/>
                    </w14:srgbClr>
                  </w14:solidFill>
                </w14:textFill>
              </w:rPr>
              <w:t>|</w:t>
            </w:r>
            <w:r w:rsidRPr="00861BF1">
              <w:t>%</w:t>
            </w:r>
          </w:p>
        </w:tc>
      </w:tr>
      <w:tr w:rsidR="00CF50CE" w:rsidRPr="00861BF1" w14:paraId="6051FDA8" w14:textId="77777777" w:rsidTr="00BE7FC1">
        <w:trPr>
          <w:trHeight w:val="70"/>
        </w:trPr>
        <w:tc>
          <w:tcPr>
            <w:tcW w:w="9017" w:type="dxa"/>
            <w:gridSpan w:val="5"/>
            <w:noWrap/>
            <w:tcMar>
              <w:left w:w="40" w:type="dxa"/>
              <w:right w:w="40" w:type="dxa"/>
            </w:tcMar>
          </w:tcPr>
          <w:p w14:paraId="1853C24F" w14:textId="0DF87DCB" w:rsidR="00CF50CE" w:rsidRPr="00861BF1" w:rsidRDefault="00CF50CE" w:rsidP="00CF50CE">
            <w:pPr>
              <w:pStyle w:val="Tabletext"/>
              <w:keepNext/>
            </w:pPr>
            <w:r w:rsidRPr="00861BF1">
              <w:rPr>
                <w:b/>
                <w:bCs/>
              </w:rPr>
              <w:t>Inclusion of terminal care cost (base case: yes)</w:t>
            </w:r>
          </w:p>
        </w:tc>
      </w:tr>
      <w:tr w:rsidR="00CF50CE" w:rsidRPr="00861BF1" w14:paraId="34A140FE" w14:textId="77777777" w:rsidTr="00DA3714">
        <w:trPr>
          <w:trHeight w:val="70"/>
        </w:trPr>
        <w:tc>
          <w:tcPr>
            <w:tcW w:w="3355" w:type="dxa"/>
            <w:noWrap/>
            <w:tcMar>
              <w:left w:w="40" w:type="dxa"/>
              <w:right w:w="40" w:type="dxa"/>
            </w:tcMar>
          </w:tcPr>
          <w:p w14:paraId="6A8DB333" w14:textId="5EE6327D" w:rsidR="00CF50CE" w:rsidRPr="00861BF1" w:rsidRDefault="00426797" w:rsidP="006E3C06">
            <w:pPr>
              <w:pStyle w:val="Tabletext"/>
              <w:keepNext/>
              <w:rPr>
                <w:vertAlign w:val="superscript"/>
              </w:rPr>
            </w:pPr>
            <w:r w:rsidRPr="00861BF1">
              <w:t>No</w:t>
            </w:r>
            <w:r w:rsidRPr="00861BF1">
              <w:rPr>
                <w:vertAlign w:val="superscript"/>
              </w:rPr>
              <w:t>c</w:t>
            </w:r>
          </w:p>
        </w:tc>
        <w:tc>
          <w:tcPr>
            <w:tcW w:w="1200" w:type="dxa"/>
            <w:shd w:val="solid" w:color="000000" w:fill="000000"/>
            <w:noWrap/>
            <w:tcMar>
              <w:left w:w="40" w:type="dxa"/>
              <w:right w:w="40" w:type="dxa"/>
            </w:tcMar>
            <w:vAlign w:val="center"/>
          </w:tcPr>
          <w:p w14:paraId="5920A3F0" w14:textId="14E07AD7" w:rsidR="00CF50CE" w:rsidRPr="00861BF1" w:rsidRDefault="00DA3714" w:rsidP="006E3C06">
            <w:pPr>
              <w:pStyle w:val="Tabletext"/>
              <w:keepNext/>
              <w:jc w:val="cente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tcPr>
          <w:p w14:paraId="543E040E" w14:textId="4E08D617" w:rsidR="00CF50CE" w:rsidRPr="00861BF1" w:rsidRDefault="00E61567" w:rsidP="006E3C06">
            <w:pPr>
              <w:pStyle w:val="Tabletext"/>
              <w:keepNext/>
              <w:jc w:val="center"/>
            </w:pPr>
            <w:r w:rsidRPr="00861BF1">
              <w:t>1.270</w:t>
            </w:r>
          </w:p>
        </w:tc>
        <w:tc>
          <w:tcPr>
            <w:tcW w:w="1920" w:type="dxa"/>
            <w:noWrap/>
            <w:tcMar>
              <w:left w:w="40" w:type="dxa"/>
              <w:right w:w="40" w:type="dxa"/>
            </w:tcMar>
            <w:vAlign w:val="center"/>
          </w:tcPr>
          <w:p w14:paraId="6A2E6D11" w14:textId="10C2DACE" w:rsidR="00CF50CE" w:rsidRPr="00861BF1" w:rsidRDefault="00DA3714" w:rsidP="006E3C06">
            <w:pPr>
              <w:pStyle w:val="Tabletext"/>
              <w:keepNext/>
              <w:jc w:val="cente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vAlign w:val="center"/>
          </w:tcPr>
          <w:p w14:paraId="121B192B" w14:textId="657BF980" w:rsidR="00CF50CE" w:rsidRPr="00861BF1" w:rsidRDefault="00196C0C" w:rsidP="006E3C06">
            <w:pPr>
              <w:pStyle w:val="Tabletext"/>
              <w:keepNext/>
              <w:jc w:val="center"/>
            </w:pPr>
            <w:r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Pr="008762F8">
              <w:rPr>
                <w:color w:val="000000"/>
                <w:spacing w:val="-21"/>
                <w:w w:val="15"/>
                <w:shd w:val="solid" w:color="000000" w:fill="000000"/>
                <w:fitText w:val="15" w:id="-893663480"/>
                <w14:textFill>
                  <w14:solidFill>
                    <w14:srgbClr w14:val="000000">
                      <w14:alpha w14:val="100000"/>
                    </w14:srgbClr>
                  </w14:solidFill>
                </w14:textFill>
              </w:rPr>
              <w:t>|</w:t>
            </w:r>
            <w:r w:rsidR="00E61567" w:rsidRPr="00861BF1">
              <w:t>%</w:t>
            </w:r>
          </w:p>
        </w:tc>
      </w:tr>
      <w:tr w:rsidR="00F31FDC" w:rsidRPr="00861BF1" w14:paraId="5053A70A" w14:textId="77777777" w:rsidTr="003042EB">
        <w:trPr>
          <w:trHeight w:val="70"/>
        </w:trPr>
        <w:tc>
          <w:tcPr>
            <w:tcW w:w="9017" w:type="dxa"/>
            <w:gridSpan w:val="5"/>
            <w:noWrap/>
            <w:tcMar>
              <w:left w:w="40" w:type="dxa"/>
              <w:right w:w="40" w:type="dxa"/>
            </w:tcMar>
          </w:tcPr>
          <w:p w14:paraId="058166DC" w14:textId="15BC26CC" w:rsidR="00F31FDC" w:rsidRPr="00861BF1" w:rsidRDefault="00F31FDC" w:rsidP="001E5430">
            <w:pPr>
              <w:pStyle w:val="Tabletext"/>
              <w:keepNext/>
              <w:rPr>
                <w:b/>
                <w:bCs/>
              </w:rPr>
            </w:pPr>
            <w:r w:rsidRPr="00861BF1">
              <w:rPr>
                <w:b/>
                <w:bCs/>
              </w:rPr>
              <w:t>Multivariate sensitivity analyses</w:t>
            </w:r>
          </w:p>
        </w:tc>
      </w:tr>
      <w:tr w:rsidR="00F31FDC" w:rsidRPr="00861BF1" w14:paraId="4EF6B0AA" w14:textId="77777777" w:rsidTr="00DA3714">
        <w:trPr>
          <w:trHeight w:val="70"/>
        </w:trPr>
        <w:tc>
          <w:tcPr>
            <w:tcW w:w="3355" w:type="dxa"/>
            <w:noWrap/>
            <w:tcMar>
              <w:left w:w="40" w:type="dxa"/>
              <w:right w:w="40" w:type="dxa"/>
            </w:tcMar>
          </w:tcPr>
          <w:p w14:paraId="465F7131" w14:textId="45018DE8" w:rsidR="00F31FDC" w:rsidRPr="00861BF1" w:rsidRDefault="00F31FDC" w:rsidP="006E3C06">
            <w:pPr>
              <w:pStyle w:val="Tabletext"/>
              <w:keepNext/>
            </w:pPr>
            <w:r w:rsidRPr="00861BF1">
              <w:t xml:space="preserve">Time horizon = 7.5 years + </w:t>
            </w:r>
            <w:r w:rsidR="00AD028A" w:rsidRPr="00861BF1">
              <w:t>gamma function for selpercatinib OS</w:t>
            </w:r>
          </w:p>
        </w:tc>
        <w:tc>
          <w:tcPr>
            <w:tcW w:w="1200" w:type="dxa"/>
            <w:shd w:val="solid" w:color="000000" w:fill="000000"/>
            <w:noWrap/>
            <w:tcMar>
              <w:left w:w="40" w:type="dxa"/>
              <w:right w:w="40" w:type="dxa"/>
            </w:tcMar>
            <w:vAlign w:val="center"/>
          </w:tcPr>
          <w:p w14:paraId="56864BAD" w14:textId="2921F644" w:rsidR="00F31FDC" w:rsidRPr="00861BF1" w:rsidRDefault="00DA3714" w:rsidP="006E3C06">
            <w:pPr>
              <w:pStyle w:val="Tabletext"/>
              <w:keepNext/>
              <w:jc w:val="center"/>
            </w:pPr>
            <w:r w:rsidRPr="00DA3714">
              <w:rPr>
                <w:color w:val="000000"/>
                <w14:textFill>
                  <w14:solidFill>
                    <w14:srgbClr w14:val="000000">
                      <w14:alpha w14:val="100000"/>
                    </w14:srgbClr>
                  </w14:solidFill>
                </w14:textFill>
              </w:rPr>
              <w:t>|</w:t>
            </w:r>
          </w:p>
        </w:tc>
        <w:tc>
          <w:tcPr>
            <w:tcW w:w="1200" w:type="dxa"/>
            <w:noWrap/>
            <w:tcMar>
              <w:left w:w="40" w:type="dxa"/>
              <w:right w:w="40" w:type="dxa"/>
            </w:tcMar>
            <w:vAlign w:val="center"/>
          </w:tcPr>
          <w:p w14:paraId="791214BE" w14:textId="30C86592" w:rsidR="00F31FDC" w:rsidRPr="00861BF1" w:rsidRDefault="005A1354" w:rsidP="006E3C06">
            <w:pPr>
              <w:pStyle w:val="Tabletext"/>
              <w:keepNext/>
              <w:jc w:val="center"/>
            </w:pPr>
            <w:r w:rsidRPr="00861BF1">
              <w:t>1.02</w:t>
            </w:r>
          </w:p>
        </w:tc>
        <w:tc>
          <w:tcPr>
            <w:tcW w:w="1920" w:type="dxa"/>
            <w:noWrap/>
            <w:tcMar>
              <w:left w:w="40" w:type="dxa"/>
              <w:right w:w="40" w:type="dxa"/>
            </w:tcMar>
            <w:vAlign w:val="center"/>
          </w:tcPr>
          <w:p w14:paraId="45B2C89D" w14:textId="28BD4355" w:rsidR="00F31FDC" w:rsidRPr="00861BF1" w:rsidRDefault="00DA3714" w:rsidP="006E3C06">
            <w:pPr>
              <w:pStyle w:val="Tabletext"/>
              <w:keepNext/>
              <w:jc w:val="center"/>
            </w:pPr>
            <w:r w:rsidRPr="00DA3714">
              <w:rPr>
                <w:color w:val="000000"/>
                <w:shd w:val="solid" w:color="000000" w:fill="000000"/>
                <w14:textFill>
                  <w14:solidFill>
                    <w14:srgbClr w14:val="000000">
                      <w14:alpha w14:val="100000"/>
                    </w14:srgbClr>
                  </w14:solidFill>
                </w14:textFill>
              </w:rPr>
              <w:t>|</w:t>
            </w:r>
            <w:r w:rsidR="00181B6C" w:rsidRPr="00B71856">
              <w:rPr>
                <w:b/>
                <w:vertAlign w:val="superscript"/>
              </w:rPr>
              <w:t>1</w:t>
            </w:r>
          </w:p>
        </w:tc>
        <w:tc>
          <w:tcPr>
            <w:tcW w:w="1342" w:type="dxa"/>
            <w:noWrap/>
            <w:tcMar>
              <w:left w:w="40" w:type="dxa"/>
              <w:right w:w="40" w:type="dxa"/>
            </w:tcMar>
            <w:vAlign w:val="center"/>
          </w:tcPr>
          <w:p w14:paraId="76C71828" w14:textId="3F42B0C6" w:rsidR="00F31FDC" w:rsidRPr="00861BF1" w:rsidRDefault="00196C0C" w:rsidP="006E3C06">
            <w:pPr>
              <w:pStyle w:val="Tabletext"/>
              <w:keepNext/>
              <w:jc w:val="center"/>
            </w:pPr>
            <w:r w:rsidRPr="008762F8">
              <w:rPr>
                <w:rFonts w:hint="eastAsia"/>
                <w:color w:val="000000"/>
                <w:w w:val="15"/>
                <w:shd w:val="solid" w:color="000000" w:fill="000000"/>
                <w:fitText w:val="15" w:id="-893663480"/>
                <w14:textFill>
                  <w14:solidFill>
                    <w14:srgbClr w14:val="000000">
                      <w14:alpha w14:val="100000"/>
                    </w14:srgbClr>
                  </w14:solidFill>
                </w14:textFill>
              </w:rPr>
              <w:t xml:space="preserve">　</w:t>
            </w:r>
            <w:r w:rsidRPr="008762F8">
              <w:rPr>
                <w:color w:val="000000"/>
                <w:spacing w:val="-21"/>
                <w:w w:val="15"/>
                <w:shd w:val="solid" w:color="000000" w:fill="000000"/>
                <w:fitText w:val="15" w:id="-893663480"/>
                <w14:textFill>
                  <w14:solidFill>
                    <w14:srgbClr w14:val="000000">
                      <w14:alpha w14:val="100000"/>
                    </w14:srgbClr>
                  </w14:solidFill>
                </w14:textFill>
              </w:rPr>
              <w:t>|</w:t>
            </w:r>
            <w:r w:rsidR="00457B55" w:rsidRPr="00861BF1">
              <w:t>%</w:t>
            </w:r>
          </w:p>
        </w:tc>
      </w:tr>
    </w:tbl>
    <w:p w14:paraId="7F01839F" w14:textId="11BABD83" w:rsidR="002D7804" w:rsidRPr="00C45F7B" w:rsidRDefault="002D7804" w:rsidP="006E3C06">
      <w:pPr>
        <w:pStyle w:val="TableFigureFooter"/>
        <w:keepNext/>
        <w:rPr>
          <w:b/>
        </w:rPr>
      </w:pPr>
      <w:r w:rsidRPr="00C45F7B">
        <w:t>Source: Sensitivity analyses performed during the evaluation</w:t>
      </w:r>
      <w:r>
        <w:t>, Table 3-39of the resubmission.</w:t>
      </w:r>
    </w:p>
    <w:p w14:paraId="782374EE" w14:textId="4FF1613A" w:rsidR="002D7804" w:rsidRDefault="002D7804" w:rsidP="006E3C06">
      <w:pPr>
        <w:pStyle w:val="TableFigureFooter"/>
        <w:keepNext/>
      </w:pPr>
      <w:r w:rsidRPr="00C45F7B">
        <w:t xml:space="preserve">ICER = incremental cost-effectiveness ratio; MAIC = matching-adjusted indirect comparison; OS = overall survival; </w:t>
      </w:r>
      <w:r>
        <w:t>PC = platinum-based doublet chemotherapy</w:t>
      </w:r>
      <w:r w:rsidRPr="00C45F7B">
        <w:t xml:space="preserve">; </w:t>
      </w:r>
      <w:r w:rsidR="00BC5A69">
        <w:t xml:space="preserve">PD = progressed disease; PF = progression free; </w:t>
      </w:r>
      <w:r w:rsidRPr="00C45F7B">
        <w:t>QALY = quality-adjusted life year</w:t>
      </w:r>
      <w:r w:rsidR="00BC5A69">
        <w:t>; TTD = time to treatment discontinuation</w:t>
      </w:r>
    </w:p>
    <w:p w14:paraId="6117FE9A" w14:textId="77777777" w:rsidR="00C96AA6" w:rsidRPr="001E5430" w:rsidRDefault="002D7804" w:rsidP="006E3C06">
      <w:pPr>
        <w:pStyle w:val="TableFigureFooter"/>
        <w:keepNext/>
        <w:jc w:val="left"/>
        <w:rPr>
          <w:iCs/>
        </w:rPr>
      </w:pPr>
      <w:r w:rsidRPr="00E9782F">
        <w:rPr>
          <w:i/>
          <w:vertAlign w:val="superscript"/>
        </w:rPr>
        <w:t>a</w:t>
      </w:r>
      <w:r>
        <w:rPr>
          <w:i/>
          <w:vertAlign w:val="superscript"/>
        </w:rPr>
        <w:t xml:space="preserve"> </w:t>
      </w:r>
      <w:r w:rsidRPr="001E5430">
        <w:rPr>
          <w:iCs/>
        </w:rPr>
        <w:t xml:space="preserve">Health state utilities in the PC arm of the July 2019 pembrolizumab model (pembrolizumab PSD, July 2019 PBAC meeting). The sensitivity analysis, as noted in the July 2023 commentary, was replicated by using the health state utilities in the PC arm of the July 2019 pembrolizumab model (0.766 for PFS and 0.691 for PD). </w:t>
      </w:r>
    </w:p>
    <w:p w14:paraId="5C86E7A0" w14:textId="51B5D461" w:rsidR="002D7804" w:rsidRDefault="002D7804" w:rsidP="006E3C06">
      <w:pPr>
        <w:pStyle w:val="TableFigureFooter"/>
        <w:keepNext/>
        <w:rPr>
          <w:iCs/>
          <w:snapToGrid/>
        </w:rPr>
      </w:pPr>
      <w:r w:rsidRPr="001E5430">
        <w:rPr>
          <w:iCs/>
          <w:vertAlign w:val="superscript"/>
        </w:rPr>
        <w:t xml:space="preserve">b </w:t>
      </w:r>
      <w:r w:rsidRPr="001E5430">
        <w:rPr>
          <w:iCs/>
          <w:snapToGrid/>
        </w:rPr>
        <w:t>Extrapolation functions applied to both pembrolizumab + arm and selpercatinib arms resulted in the same ICER as changing extrapolation function only in selpercatinib arm (pembrolizumab PSD, July 2019 PBAC meeting).</w:t>
      </w:r>
      <w:r w:rsidR="00E64624" w:rsidRPr="001E5430">
        <w:rPr>
          <w:iCs/>
          <w:snapToGrid/>
        </w:rPr>
        <w:t xml:space="preserve"> </w:t>
      </w:r>
      <w:r w:rsidR="00724F07" w:rsidRPr="001E5430">
        <w:rPr>
          <w:iCs/>
          <w:snapToGrid/>
        </w:rPr>
        <w:t xml:space="preserve">It is difficult to say which function was the best for OS, given the uncertainty in data on </w:t>
      </w:r>
      <w:r w:rsidR="00574FF7" w:rsidRPr="001E5430">
        <w:rPr>
          <w:iCs/>
          <w:snapToGrid/>
        </w:rPr>
        <w:t>the proportion</w:t>
      </w:r>
      <w:r w:rsidR="00724F07" w:rsidRPr="001E5430">
        <w:rPr>
          <w:iCs/>
          <w:snapToGrid/>
        </w:rPr>
        <w:t xml:space="preserve"> alive beyond 5 years available from the trials. Considering the advanced stage of lung cancer in the cohort, few patients are expected to live longer than 10 years. Observing the number of patients alive at 10 years and 20 years, one of the plausible alternatives was </w:t>
      </w:r>
      <w:r w:rsidR="00574FF7" w:rsidRPr="001E5430">
        <w:rPr>
          <w:iCs/>
          <w:snapToGrid/>
        </w:rPr>
        <w:t>the g</w:t>
      </w:r>
      <w:r w:rsidR="00724F07" w:rsidRPr="001E5430">
        <w:rPr>
          <w:iCs/>
          <w:snapToGrid/>
        </w:rPr>
        <w:t xml:space="preserve">amma function where 10% were alive at 10 years, and 0.6% alive at 20 years. </w:t>
      </w:r>
      <w:r w:rsidR="00574FF7" w:rsidRPr="001E5430">
        <w:rPr>
          <w:iCs/>
          <w:snapToGrid/>
        </w:rPr>
        <w:t>The g</w:t>
      </w:r>
      <w:r w:rsidR="00724F07" w:rsidRPr="001E5430">
        <w:rPr>
          <w:iCs/>
          <w:snapToGrid/>
        </w:rPr>
        <w:t>amma function was also the 3</w:t>
      </w:r>
      <w:r w:rsidR="00724F07" w:rsidRPr="001465A5">
        <w:rPr>
          <w:iCs/>
          <w:snapToGrid/>
          <w:vertAlign w:val="superscript"/>
        </w:rPr>
        <w:t>rd</w:t>
      </w:r>
      <w:r w:rsidR="00724F07" w:rsidRPr="001E5430">
        <w:rPr>
          <w:iCs/>
          <w:snapToGrid/>
        </w:rPr>
        <w:t xml:space="preserve"> best fit, statistically. Other functions with small numbers alive beyond 10 years were Gompertz (0.08% and 0% at 10 and 20 years, respectively), Stratified Weibull (4.1% and 0.02% at 10 and 20 years, respectively), </w:t>
      </w:r>
      <w:r w:rsidR="00E328F2" w:rsidRPr="001E5430">
        <w:rPr>
          <w:iCs/>
          <w:snapToGrid/>
        </w:rPr>
        <w:t>S</w:t>
      </w:r>
      <w:r w:rsidR="00724F07" w:rsidRPr="001E5430">
        <w:rPr>
          <w:iCs/>
          <w:snapToGrid/>
        </w:rPr>
        <w:t xml:space="preserve">tratified </w:t>
      </w:r>
      <w:r w:rsidR="00E328F2" w:rsidRPr="001E5430">
        <w:rPr>
          <w:iCs/>
          <w:snapToGrid/>
        </w:rPr>
        <w:t>G</w:t>
      </w:r>
      <w:r w:rsidR="00724F07" w:rsidRPr="001E5430">
        <w:rPr>
          <w:iCs/>
          <w:snapToGrid/>
        </w:rPr>
        <w:t>amma (7.5% and 0.3% at 10 and 20 y</w:t>
      </w:r>
      <w:r w:rsidR="00DC6081" w:rsidRPr="001E5430">
        <w:rPr>
          <w:iCs/>
          <w:snapToGrid/>
        </w:rPr>
        <w:t>ea</w:t>
      </w:r>
      <w:r w:rsidR="00724F07" w:rsidRPr="001E5430">
        <w:rPr>
          <w:iCs/>
          <w:snapToGrid/>
        </w:rPr>
        <w:t>rs</w:t>
      </w:r>
      <w:r w:rsidR="00DC6081" w:rsidRPr="001E5430">
        <w:rPr>
          <w:iCs/>
          <w:snapToGrid/>
        </w:rPr>
        <w:t>,</w:t>
      </w:r>
      <w:r w:rsidR="00724F07" w:rsidRPr="001E5430">
        <w:rPr>
          <w:iCs/>
          <w:snapToGrid/>
        </w:rPr>
        <w:t xml:space="preserve"> respectively), and Weibull (8.7% and 0.3% at 10 and 20 years, respectively).</w:t>
      </w:r>
    </w:p>
    <w:p w14:paraId="5BB58CC4" w14:textId="33D9A029" w:rsidR="00426797" w:rsidRDefault="00426797" w:rsidP="006E3C06">
      <w:pPr>
        <w:pStyle w:val="TableFigureFooter"/>
        <w:keepNext/>
        <w:rPr>
          <w:rFonts w:eastAsia="Calibri"/>
          <w:szCs w:val="20"/>
        </w:rPr>
      </w:pPr>
      <w:r>
        <w:rPr>
          <w:iCs/>
          <w:vertAlign w:val="superscript"/>
        </w:rPr>
        <w:t>c</w:t>
      </w:r>
      <w:r>
        <w:rPr>
          <w:iCs/>
        </w:rPr>
        <w:t xml:space="preserve"> </w:t>
      </w:r>
      <w:r w:rsidRPr="00FB229F">
        <w:rPr>
          <w:rFonts w:eastAsia="Calibri"/>
          <w:szCs w:val="20"/>
        </w:rPr>
        <w:t>Change the cost of terminal care from $</w:t>
      </w:r>
      <w:r>
        <w:rPr>
          <w:rFonts w:eastAsia="Calibri"/>
          <w:szCs w:val="20"/>
        </w:rPr>
        <w:t>42,370.93</w:t>
      </w:r>
      <w:r w:rsidRPr="00FB229F">
        <w:rPr>
          <w:rFonts w:eastAsia="Calibri"/>
          <w:szCs w:val="20"/>
        </w:rPr>
        <w:t xml:space="preserve"> to $0 (F1377, ‘Country-Specific Data 1L NSCLC’, “A5.1_Selpercatinib Section 3 Workbook”)</w:t>
      </w:r>
    </w:p>
    <w:p w14:paraId="3674B65B" w14:textId="77777777" w:rsidR="00181B6C" w:rsidRPr="00181B6C" w:rsidRDefault="00181B6C" w:rsidP="00181B6C">
      <w:pPr>
        <w:pStyle w:val="TableFigureFooter"/>
        <w:keepNext/>
        <w:rPr>
          <w:iCs/>
        </w:rPr>
      </w:pPr>
      <w:r w:rsidRPr="00181B6C">
        <w:rPr>
          <w:iCs/>
        </w:rPr>
        <w:t xml:space="preserve">The redacted values correspond to the following ranges: </w:t>
      </w:r>
    </w:p>
    <w:p w14:paraId="3684A025" w14:textId="77777777" w:rsidR="00181B6C" w:rsidRPr="00181B6C" w:rsidRDefault="00181B6C" w:rsidP="00181B6C">
      <w:pPr>
        <w:pStyle w:val="TableFigureFooter"/>
        <w:keepNext/>
        <w:rPr>
          <w:iCs/>
        </w:rPr>
      </w:pPr>
      <w:r w:rsidRPr="00181B6C">
        <w:rPr>
          <w:iCs/>
        </w:rPr>
        <w:t>1 $75,000 to &lt; $95,000</w:t>
      </w:r>
    </w:p>
    <w:p w14:paraId="1900722D" w14:textId="77777777" w:rsidR="00181B6C" w:rsidRPr="00181B6C" w:rsidRDefault="00181B6C" w:rsidP="00181B6C">
      <w:pPr>
        <w:pStyle w:val="TableFigureFooter"/>
        <w:keepNext/>
        <w:rPr>
          <w:iCs/>
        </w:rPr>
      </w:pPr>
      <w:r w:rsidRPr="00181B6C">
        <w:rPr>
          <w:iCs/>
        </w:rPr>
        <w:t>2 $55,000 to &lt; $75,000</w:t>
      </w:r>
    </w:p>
    <w:p w14:paraId="634D70AD" w14:textId="5A448611" w:rsidR="00E04A63" w:rsidRPr="00861BF1" w:rsidRDefault="00E04A63" w:rsidP="002D7804">
      <w:pPr>
        <w:pStyle w:val="3-BodyText"/>
      </w:pPr>
      <w:r w:rsidRPr="00861BF1">
        <w:t>The ESC noted that a multivariate sensitivity analysis which incorporated a 7.5</w:t>
      </w:r>
      <w:r w:rsidR="007069C4">
        <w:t>-</w:t>
      </w:r>
      <w:r w:rsidRPr="00861BF1">
        <w:t>year time horizon and the gamma function for selpercatinib OS resulted in an ICER of $</w:t>
      </w:r>
      <w:r w:rsidR="00B9044E" w:rsidRPr="00B9044E">
        <w:t>75,000 to &lt; $95,000</w:t>
      </w:r>
      <w:r w:rsidR="00196C0C">
        <w:t xml:space="preserve"> </w:t>
      </w:r>
      <w:r w:rsidRPr="00861BF1">
        <w:t xml:space="preserve">per QALY. </w:t>
      </w:r>
    </w:p>
    <w:p w14:paraId="3E70D571" w14:textId="6C063D40" w:rsidR="002D7804" w:rsidRPr="007A7229" w:rsidRDefault="009D637E" w:rsidP="002D7804">
      <w:pPr>
        <w:pStyle w:val="3-BodyText"/>
      </w:pPr>
      <w:r>
        <w:t>The evaluation considered i</w:t>
      </w:r>
      <w:r w:rsidR="002D7804" w:rsidRPr="007A7229">
        <w:t xml:space="preserve">t was difficult to </w:t>
      </w:r>
      <w:r w:rsidR="00EB5EE2" w:rsidRPr="007A7229">
        <w:t xml:space="preserve">predict </w:t>
      </w:r>
      <w:r w:rsidR="002D7804" w:rsidRPr="007A7229">
        <w:t xml:space="preserve">the magnitude of the change in the ICER if </w:t>
      </w:r>
      <w:r w:rsidR="00FA0463">
        <w:t xml:space="preserve">data from </w:t>
      </w:r>
      <w:r w:rsidR="002D7804" w:rsidRPr="007A7229">
        <w:t>the LIBRETTO-431 trial w</w:t>
      </w:r>
      <w:r w:rsidR="00FA0463">
        <w:t>ere</w:t>
      </w:r>
      <w:r w:rsidR="002D7804" w:rsidRPr="007A7229">
        <w:t xml:space="preserve"> used. However</w:t>
      </w:r>
      <w:r w:rsidR="00DB060E">
        <w:t>,</w:t>
      </w:r>
      <w:r>
        <w:t xml:space="preserve"> the evaluation considered</w:t>
      </w:r>
      <w:r w:rsidR="002D7804" w:rsidRPr="007A7229">
        <w:t>:</w:t>
      </w:r>
    </w:p>
    <w:p w14:paraId="09B9349C" w14:textId="1A0A8311" w:rsidR="002D7804" w:rsidRPr="007A7229" w:rsidRDefault="002D7804" w:rsidP="00861BF1">
      <w:pPr>
        <w:pStyle w:val="ListParagraph"/>
        <w:numPr>
          <w:ilvl w:val="0"/>
          <w:numId w:val="14"/>
        </w:numPr>
        <w:ind w:left="1134"/>
      </w:pPr>
      <w:r w:rsidRPr="007A7229">
        <w:lastRenderedPageBreak/>
        <w:t xml:space="preserve">The modelled median PFS </w:t>
      </w:r>
      <w:r w:rsidR="00174521">
        <w:t>of</w:t>
      </w:r>
      <w:r w:rsidR="00174521" w:rsidRPr="007A7229">
        <w:t xml:space="preserve"> </w:t>
      </w:r>
      <w:r w:rsidRPr="007A7229">
        <w:t xml:space="preserve">selpercatinib may be reasonable given the similarities across the LIBRETTO-001 study and the LIBRETTO-431 trial in terms of </w:t>
      </w:r>
      <w:r w:rsidR="00FA0463">
        <w:t>hazard ratio</w:t>
      </w:r>
      <w:r w:rsidR="00FA0463" w:rsidRPr="007A7229">
        <w:t xml:space="preserve">s </w:t>
      </w:r>
      <w:r w:rsidRPr="007A7229">
        <w:t xml:space="preserve">(HR from the MAIC 2 model </w:t>
      </w:r>
      <w:r w:rsidR="00FA0463">
        <w:t xml:space="preserve">= </w:t>
      </w:r>
      <w:r w:rsidRPr="007A7229">
        <w:t>0.48 (95% CI</w:t>
      </w:r>
      <w:r w:rsidR="00FA0463">
        <w:t>:</w:t>
      </w:r>
      <w:r w:rsidRPr="007A7229">
        <w:t xml:space="preserve"> 0.27, 0.84) v</w:t>
      </w:r>
      <w:r w:rsidR="001D0BA2">
        <w:t>ersu</w:t>
      </w:r>
      <w:r w:rsidRPr="007A7229">
        <w:t xml:space="preserve">s </w:t>
      </w:r>
      <w:r w:rsidR="001D0BA2">
        <w:t xml:space="preserve">HR from LIBRETTO-431 = </w:t>
      </w:r>
      <w:r w:rsidRPr="007A7229">
        <w:t>0.465 (95% CI</w:t>
      </w:r>
      <w:r w:rsidR="001D0BA2">
        <w:t>:</w:t>
      </w:r>
      <w:r w:rsidRPr="007A7229">
        <w:t xml:space="preserve"> 0.309, 0.699) and median PFS </w:t>
      </w:r>
      <w:r w:rsidR="00174521" w:rsidRPr="007A7229">
        <w:t xml:space="preserve">estimates </w:t>
      </w:r>
      <w:r w:rsidRPr="007A7229">
        <w:t>(21.9</w:t>
      </w:r>
      <w:r w:rsidR="00141EDF">
        <w:t> </w:t>
      </w:r>
      <w:r w:rsidRPr="007A7229">
        <w:t>months v</w:t>
      </w:r>
      <w:r w:rsidR="00174521">
        <w:t>ersu</w:t>
      </w:r>
      <w:r w:rsidRPr="007A7229">
        <w:t xml:space="preserve">s 24.8 months, respectively). </w:t>
      </w:r>
    </w:p>
    <w:p w14:paraId="2123EF02" w14:textId="485D5E4C" w:rsidR="002D7804" w:rsidRPr="007A7229" w:rsidRDefault="002D7804" w:rsidP="00861BF1">
      <w:pPr>
        <w:pStyle w:val="ListParagraph"/>
        <w:numPr>
          <w:ilvl w:val="0"/>
          <w:numId w:val="14"/>
        </w:numPr>
        <w:ind w:left="1134"/>
      </w:pPr>
      <w:r w:rsidRPr="007A7229">
        <w:t xml:space="preserve">The modelled OS </w:t>
      </w:r>
      <w:r w:rsidR="00174521">
        <w:t>for</w:t>
      </w:r>
      <w:r w:rsidR="00174521" w:rsidRPr="007A7229">
        <w:t xml:space="preserve"> </w:t>
      </w:r>
      <w:r w:rsidRPr="007A7229">
        <w:t xml:space="preserve">selpercatinib may be conservative, given that the proportion of </w:t>
      </w:r>
      <w:r w:rsidR="00364C6C">
        <w:rPr>
          <w:snapToGrid/>
          <w:lang w:val="en-US"/>
        </w:rPr>
        <w:t>patients</w:t>
      </w:r>
      <w:r w:rsidRPr="007A7229">
        <w:t xml:space="preserve"> alive at 24 months </w:t>
      </w:r>
      <w:r w:rsidR="000322DE">
        <w:t>at the June 2021 data cut from</w:t>
      </w:r>
      <w:r w:rsidR="000322DE" w:rsidRPr="007A7229">
        <w:t xml:space="preserve"> </w:t>
      </w:r>
      <w:r w:rsidRPr="007A7229">
        <w:t>the LIBRETTO-001 study</w:t>
      </w:r>
      <w:r w:rsidR="00FC0368">
        <w:t xml:space="preserve"> (69.3%)</w:t>
      </w:r>
      <w:r w:rsidRPr="007A7229">
        <w:t xml:space="preserve"> was less than </w:t>
      </w:r>
      <w:r w:rsidR="00FC0368">
        <w:t xml:space="preserve">that from the </w:t>
      </w:r>
      <w:r w:rsidRPr="007A7229">
        <w:t>January 2023 data cut</w:t>
      </w:r>
      <w:r w:rsidR="00FC0368">
        <w:t xml:space="preserve"> (74.3%)</w:t>
      </w:r>
      <w:r w:rsidRPr="007A7229">
        <w:t xml:space="preserve"> and the LIBRETTO-431 trial (75.2%). A similar comparison regarding the modelled OS </w:t>
      </w:r>
      <w:r w:rsidR="00FC0368">
        <w:t>for</w:t>
      </w:r>
      <w:r w:rsidR="00FC0368" w:rsidRPr="007A7229">
        <w:t xml:space="preserve"> </w:t>
      </w:r>
      <w:r w:rsidRPr="007A7229">
        <w:t xml:space="preserve">pembrolizumab + PC </w:t>
      </w:r>
      <w:r w:rsidR="00B92E9A" w:rsidRPr="007A7229">
        <w:t>was</w:t>
      </w:r>
      <w:r w:rsidRPr="007A7229">
        <w:t xml:space="preserve"> not possible due to cross-over in the LIBRETTO-431 trial.</w:t>
      </w:r>
    </w:p>
    <w:p w14:paraId="3E11FA0D" w14:textId="5DBC5B94" w:rsidR="002D7804" w:rsidRDefault="002D7804" w:rsidP="00861BF1">
      <w:pPr>
        <w:pStyle w:val="ListParagraph"/>
        <w:numPr>
          <w:ilvl w:val="0"/>
          <w:numId w:val="14"/>
        </w:numPr>
        <w:ind w:left="1134"/>
      </w:pPr>
      <w:r w:rsidRPr="007A7229">
        <w:t>The relative dose intensity (RDI) of selpercatinib was similar across the LIBRETTO</w:t>
      </w:r>
      <w:r w:rsidRPr="007A7229">
        <w:noBreakHyphen/>
        <w:t>001 study (June 2021 data cut), LIBRETTO-001 study (January 2023 data cut) and the LIBRETTO-431 trial (83.4% vs 82.50 vs 83.7%, respectively).</w:t>
      </w:r>
    </w:p>
    <w:p w14:paraId="1B966444" w14:textId="77777777" w:rsidR="002D7804" w:rsidRDefault="002D7804" w:rsidP="002D7804">
      <w:pPr>
        <w:pStyle w:val="4-SubsectionHeading"/>
      </w:pPr>
      <w:bookmarkStart w:id="73" w:name="_Toc22897646"/>
      <w:bookmarkStart w:id="74" w:name="_Toc167269751"/>
      <w:r w:rsidRPr="002C2775">
        <w:t>Drug cost/patient/course</w:t>
      </w:r>
      <w:bookmarkEnd w:id="73"/>
      <w:bookmarkEnd w:id="74"/>
    </w:p>
    <w:p w14:paraId="739136E7" w14:textId="2A20FDA0" w:rsidR="002D7804" w:rsidRPr="002A6898" w:rsidRDefault="002D7804" w:rsidP="002D7804">
      <w:pPr>
        <w:pStyle w:val="3-BodyText"/>
      </w:pPr>
      <w:r>
        <w:fldChar w:fldCharType="begin" w:fldLock="1"/>
      </w:r>
      <w:r>
        <w:instrText xml:space="preserve"> REF _Ref164203857 \h </w:instrText>
      </w:r>
      <w:r>
        <w:fldChar w:fldCharType="separate"/>
      </w:r>
      <w:r w:rsidR="00F979CE">
        <w:t xml:space="preserve">Table </w:t>
      </w:r>
      <w:r w:rsidR="00F979CE">
        <w:rPr>
          <w:noProof/>
        </w:rPr>
        <w:t>16</w:t>
      </w:r>
      <w:r>
        <w:fldChar w:fldCharType="end"/>
      </w:r>
      <w:r>
        <w:t xml:space="preserve"> presents the drug costs per patient for selpercatinib</w:t>
      </w:r>
      <w:r w:rsidRPr="00F55C79">
        <w:t xml:space="preserve"> and </w:t>
      </w:r>
      <w:r>
        <w:t>pembrolizumab + PC.</w:t>
      </w:r>
    </w:p>
    <w:p w14:paraId="24F43095" w14:textId="78F0353D" w:rsidR="002D7804" w:rsidRDefault="002D7804" w:rsidP="002D7804">
      <w:pPr>
        <w:pStyle w:val="Caption"/>
        <w:keepLines w:val="0"/>
        <w:widowControl w:val="0"/>
      </w:pPr>
      <w:bookmarkStart w:id="75" w:name="_Ref164203857"/>
      <w:r>
        <w:lastRenderedPageBreak/>
        <w:t xml:space="preserve">Table </w:t>
      </w:r>
      <w:r w:rsidR="00BA56FF">
        <w:fldChar w:fldCharType="begin" w:fldLock="1"/>
      </w:r>
      <w:r w:rsidR="00BA56FF">
        <w:instrText xml:space="preserve"> SEQ Table \* ARABIC </w:instrText>
      </w:r>
      <w:r w:rsidR="00BA56FF">
        <w:fldChar w:fldCharType="separate"/>
      </w:r>
      <w:r w:rsidR="00F979CE">
        <w:rPr>
          <w:noProof/>
        </w:rPr>
        <w:t>16</w:t>
      </w:r>
      <w:r w:rsidR="00BA56FF">
        <w:rPr>
          <w:noProof/>
        </w:rPr>
        <w:fldChar w:fldCharType="end"/>
      </w:r>
      <w:bookmarkEnd w:id="75"/>
      <w:r>
        <w:t xml:space="preserve">: </w:t>
      </w:r>
      <w:r w:rsidRPr="00F55C79">
        <w:t xml:space="preserve">Drug cost per patient for </w:t>
      </w:r>
      <w:r>
        <w:t>selpercatinib</w:t>
      </w:r>
      <w:r w:rsidRPr="00F55C79">
        <w:t xml:space="preserve"> and </w:t>
      </w:r>
      <w:r>
        <w:t>pembrolizumab +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selpercatinib and pembrolizumab + PC"/>
      </w:tblPr>
      <w:tblGrid>
        <w:gridCol w:w="932"/>
        <w:gridCol w:w="1473"/>
        <w:gridCol w:w="1134"/>
        <w:gridCol w:w="1276"/>
        <w:gridCol w:w="1563"/>
        <w:gridCol w:w="1786"/>
        <w:gridCol w:w="853"/>
      </w:tblGrid>
      <w:tr w:rsidR="002D7804" w:rsidRPr="00B75199" w14:paraId="11D49E63" w14:textId="77777777" w:rsidTr="003F1851">
        <w:trPr>
          <w:cantSplit/>
          <w:tblHeader/>
        </w:trPr>
        <w:tc>
          <w:tcPr>
            <w:tcW w:w="932" w:type="dxa"/>
            <w:vMerge w:val="restart"/>
            <w:tcBorders>
              <w:top w:val="single" w:sz="4" w:space="0" w:color="auto"/>
              <w:left w:val="single" w:sz="4" w:space="0" w:color="auto"/>
              <w:bottom w:val="single" w:sz="4" w:space="0" w:color="auto"/>
              <w:right w:val="single" w:sz="4" w:space="0" w:color="auto"/>
            </w:tcBorders>
            <w:vAlign w:val="center"/>
          </w:tcPr>
          <w:p w14:paraId="46F896ED" w14:textId="77777777" w:rsidR="002D7804" w:rsidRPr="00B75199" w:rsidRDefault="002D7804">
            <w:pPr>
              <w:pStyle w:val="In-tableHeading"/>
              <w:keepNext w:val="0"/>
              <w:keepLines/>
              <w:jc w:val="center"/>
            </w:pPr>
          </w:p>
        </w:tc>
        <w:tc>
          <w:tcPr>
            <w:tcW w:w="3883" w:type="dxa"/>
            <w:gridSpan w:val="3"/>
            <w:tcBorders>
              <w:top w:val="single" w:sz="4" w:space="0" w:color="auto"/>
              <w:left w:val="single" w:sz="4" w:space="0" w:color="auto"/>
              <w:bottom w:val="single" w:sz="4" w:space="0" w:color="auto"/>
              <w:right w:val="single" w:sz="4" w:space="0" w:color="auto"/>
            </w:tcBorders>
            <w:vAlign w:val="center"/>
            <w:hideMark/>
          </w:tcPr>
          <w:p w14:paraId="49C2D0EC" w14:textId="77777777" w:rsidR="002D7804" w:rsidRPr="00B75199" w:rsidRDefault="002D7804">
            <w:pPr>
              <w:pStyle w:val="In-tableHeading"/>
              <w:keepNext w:val="0"/>
              <w:keepLines/>
              <w:jc w:val="center"/>
            </w:pPr>
            <w:r w:rsidRPr="00B75199">
              <w:t>Selpercatinib</w:t>
            </w:r>
          </w:p>
        </w:tc>
        <w:tc>
          <w:tcPr>
            <w:tcW w:w="420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D5CADF" w14:textId="77777777" w:rsidR="002D7804" w:rsidRPr="00B75199" w:rsidRDefault="002D7804">
            <w:pPr>
              <w:pStyle w:val="In-tableHeading"/>
              <w:keepNext w:val="0"/>
              <w:keepLines/>
              <w:jc w:val="center"/>
            </w:pPr>
            <w:r w:rsidRPr="00B75199">
              <w:t>Pembrolizumab + PC</w:t>
            </w:r>
          </w:p>
        </w:tc>
      </w:tr>
      <w:tr w:rsidR="006A1862" w:rsidRPr="00B75199" w14:paraId="3858345F" w14:textId="77777777" w:rsidTr="003F1851">
        <w:trPr>
          <w:cantSplit/>
          <w:tblHeader/>
        </w:trPr>
        <w:tc>
          <w:tcPr>
            <w:tcW w:w="932" w:type="dxa"/>
            <w:vMerge/>
            <w:vAlign w:val="center"/>
            <w:hideMark/>
          </w:tcPr>
          <w:p w14:paraId="24CCF97C" w14:textId="77777777" w:rsidR="002D7804" w:rsidRPr="00B75199" w:rsidRDefault="002D7804">
            <w:pPr>
              <w:keepLines/>
              <w:jc w:val="left"/>
              <w:rPr>
                <w:rFonts w:ascii="Arial Narrow" w:eastAsiaTheme="majorEastAsia" w:hAnsi="Arial Narrow" w:cs="Times New Roman"/>
                <w:b/>
                <w:sz w:val="20"/>
                <w:lang w:val="en-US"/>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668BC264" w14:textId="77777777" w:rsidR="002D7804" w:rsidRPr="00B75199" w:rsidRDefault="002D7804">
            <w:pPr>
              <w:pStyle w:val="In-tableHeading"/>
              <w:keepNext w:val="0"/>
              <w:keepLines/>
              <w:jc w:val="center"/>
            </w:pPr>
            <w:r w:rsidRPr="00B75199">
              <w:t>Trial dose and duration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AD66F3" w14:textId="77777777" w:rsidR="002D7804" w:rsidRPr="00B75199" w:rsidRDefault="002D7804">
            <w:pPr>
              <w:pStyle w:val="In-tableHeading"/>
              <w:keepNext w:val="0"/>
              <w:keepLines/>
              <w:jc w:val="center"/>
            </w:pPr>
            <w:r w:rsidRPr="00B75199">
              <w:t>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532BFB" w14:textId="77777777" w:rsidR="002D7804" w:rsidRPr="00B75199" w:rsidRDefault="002D7804">
            <w:pPr>
              <w:pStyle w:val="In-tableHeading"/>
              <w:keepNext w:val="0"/>
              <w:keepLines/>
              <w:jc w:val="center"/>
            </w:pPr>
            <w:r w:rsidRPr="00B75199">
              <w:t>Financial estimates</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AFC65" w14:textId="77777777" w:rsidR="002D7804" w:rsidRPr="00B75199" w:rsidRDefault="002D7804">
            <w:pPr>
              <w:pStyle w:val="In-tableHeading"/>
              <w:keepNext w:val="0"/>
              <w:keepLines/>
              <w:jc w:val="center"/>
            </w:pPr>
            <w:r w:rsidRPr="00B75199">
              <w:t>Trial dose and duration</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41A215" w14:textId="77777777" w:rsidR="002D7804" w:rsidRPr="00B75199" w:rsidRDefault="002D7804">
            <w:pPr>
              <w:pStyle w:val="In-tableHeading"/>
              <w:keepNext w:val="0"/>
              <w:keepLines/>
              <w:jc w:val="center"/>
            </w:pPr>
            <w:r w:rsidRPr="00B75199">
              <w:t>Model</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3CEFB" w14:textId="77777777" w:rsidR="002D7804" w:rsidRPr="00B75199" w:rsidRDefault="002D7804">
            <w:pPr>
              <w:pStyle w:val="In-tableHeading"/>
              <w:keepNext w:val="0"/>
              <w:keepLines/>
              <w:jc w:val="center"/>
              <w:rPr>
                <w:rFonts w:ascii="Times New Roman" w:hAnsi="Times New Roman"/>
                <w:szCs w:val="20"/>
              </w:rPr>
            </w:pPr>
            <w:r w:rsidRPr="00B75199">
              <w:t>Financial estimates</w:t>
            </w:r>
          </w:p>
        </w:tc>
      </w:tr>
      <w:tr w:rsidR="006A1862" w:rsidRPr="00B75199" w14:paraId="534C3F7A" w14:textId="77777777" w:rsidTr="003F1851">
        <w:trPr>
          <w:cantSplit/>
          <w:trHeight w:val="1966"/>
          <w:tblHeader/>
        </w:trPr>
        <w:tc>
          <w:tcPr>
            <w:tcW w:w="932" w:type="dxa"/>
            <w:tcBorders>
              <w:top w:val="single" w:sz="4" w:space="0" w:color="auto"/>
              <w:left w:val="single" w:sz="4" w:space="0" w:color="auto"/>
              <w:bottom w:val="single" w:sz="4" w:space="0" w:color="auto"/>
              <w:right w:val="single" w:sz="4" w:space="0" w:color="auto"/>
            </w:tcBorders>
            <w:vAlign w:val="center"/>
            <w:hideMark/>
          </w:tcPr>
          <w:p w14:paraId="2ADDFB67" w14:textId="77777777" w:rsidR="002D7804" w:rsidRPr="00B75199" w:rsidRDefault="002D7804">
            <w:pPr>
              <w:pStyle w:val="TableText0"/>
              <w:keepNext w:val="0"/>
              <w:keepLines/>
              <w:rPr>
                <w:lang w:val="en-US"/>
              </w:rPr>
            </w:pPr>
            <w:r w:rsidRPr="00B75199">
              <w:rPr>
                <w:lang w:val="en-US"/>
              </w:rPr>
              <w:t>Mean dose</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6099251" w14:textId="77777777" w:rsidR="006D5494" w:rsidRPr="00B75199" w:rsidRDefault="002D7804">
            <w:pPr>
              <w:pStyle w:val="TableText0"/>
              <w:keepNext w:val="0"/>
              <w:keepLines/>
              <w:jc w:val="center"/>
              <w:rPr>
                <w:lang w:val="en-US"/>
              </w:rPr>
            </w:pPr>
            <w:r w:rsidRPr="00B75199">
              <w:rPr>
                <w:lang w:val="en-US"/>
              </w:rPr>
              <w:t>LIBRETTO-431</w:t>
            </w:r>
            <w:r w:rsidR="006D5494" w:rsidRPr="00B75199">
              <w:rPr>
                <w:lang w:val="en-US"/>
              </w:rPr>
              <w:t>:</w:t>
            </w:r>
          </w:p>
          <w:p w14:paraId="21025E8F" w14:textId="6022E711" w:rsidR="002D7804" w:rsidRPr="00B75199" w:rsidRDefault="006D5494">
            <w:pPr>
              <w:pStyle w:val="TableText0"/>
              <w:keepNext w:val="0"/>
              <w:keepLines/>
              <w:jc w:val="center"/>
              <w:rPr>
                <w:lang w:val="en-US"/>
              </w:rPr>
            </w:pPr>
            <w:r w:rsidRPr="00B75199">
              <w:rPr>
                <w:lang w:val="en-US"/>
              </w:rPr>
              <w:t>21-day cycles</w:t>
            </w:r>
            <w:r w:rsidR="002D7804" w:rsidRPr="00B75199">
              <w:rPr>
                <w:lang w:val="en-US"/>
              </w:rPr>
              <w:t xml:space="preserve"> </w:t>
            </w:r>
          </w:p>
          <w:p w14:paraId="72F25A01" w14:textId="0F54EAAD" w:rsidR="002D7804" w:rsidRPr="00B75199" w:rsidRDefault="002D7804">
            <w:pPr>
              <w:pStyle w:val="TableText0"/>
              <w:keepNext w:val="0"/>
              <w:keepLines/>
              <w:jc w:val="center"/>
              <w:rPr>
                <w:lang w:val="en-US"/>
              </w:rPr>
            </w:pPr>
            <w:r w:rsidRPr="00B75199">
              <w:rPr>
                <w:lang w:val="en-US"/>
              </w:rPr>
              <w:t xml:space="preserve">1,875 mg/week </w:t>
            </w:r>
            <w:r w:rsidR="006D5494" w:rsidRPr="00085EF6">
              <w:rPr>
                <w:lang w:val="en-US"/>
              </w:rPr>
              <w:t>=</w:t>
            </w:r>
            <w:r w:rsidRPr="00085EF6">
              <w:rPr>
                <w:lang w:val="en-US"/>
              </w:rPr>
              <w:t xml:space="preserve">268 mg/day </w:t>
            </w:r>
          </w:p>
          <w:p w14:paraId="3453AF7E" w14:textId="52F43615" w:rsidR="002D7804" w:rsidRPr="00B75199" w:rsidRDefault="002D7804">
            <w:pPr>
              <w:pStyle w:val="TableText0"/>
              <w:keepNext w:val="0"/>
              <w:keepLines/>
              <w:jc w:val="center"/>
              <w:rPr>
                <w:lang w:val="en-US"/>
              </w:rPr>
            </w:pPr>
            <w:r w:rsidRPr="00B75199">
              <w:rPr>
                <w:lang w:val="en-US"/>
              </w:rPr>
              <w:t>LIBRETTO-001:</w:t>
            </w:r>
          </w:p>
          <w:p w14:paraId="04DC3C35" w14:textId="6C3FFD3D" w:rsidR="006D5494" w:rsidRPr="00B75199" w:rsidRDefault="006D5494">
            <w:pPr>
              <w:pStyle w:val="TableText0"/>
              <w:keepNext w:val="0"/>
              <w:keepLines/>
              <w:jc w:val="center"/>
              <w:rPr>
                <w:lang w:val="en-US"/>
              </w:rPr>
            </w:pPr>
            <w:r w:rsidRPr="00B75199">
              <w:rPr>
                <w:lang w:val="en-US"/>
              </w:rPr>
              <w:t>28-day cycles</w:t>
            </w:r>
          </w:p>
          <w:p w14:paraId="28BB6F82" w14:textId="5E393092" w:rsidR="00EB5EE2" w:rsidRPr="00B75199" w:rsidRDefault="00EB5EE2">
            <w:pPr>
              <w:pStyle w:val="TableText0"/>
              <w:keepNext w:val="0"/>
              <w:keepLines/>
              <w:jc w:val="center"/>
              <w:rPr>
                <w:lang w:val="en-US"/>
              </w:rPr>
            </w:pPr>
            <w:r w:rsidRPr="00085EF6">
              <w:rPr>
                <w:lang w:val="en-US"/>
              </w:rPr>
              <w:t>1,855 mg/week</w:t>
            </w:r>
          </w:p>
          <w:p w14:paraId="430F7CE3" w14:textId="12A43F88" w:rsidR="002D7804" w:rsidRPr="00B75199" w:rsidRDefault="00EB5EE2">
            <w:pPr>
              <w:pStyle w:val="TableText0"/>
              <w:keepNext w:val="0"/>
              <w:keepLines/>
              <w:jc w:val="center"/>
              <w:rPr>
                <w:lang w:val="en-US"/>
              </w:rPr>
            </w:pPr>
            <w:r w:rsidRPr="00B75199">
              <w:rPr>
                <w:lang w:val="en-US"/>
              </w:rPr>
              <w:t xml:space="preserve">= </w:t>
            </w:r>
            <w:r w:rsidR="002D7804" w:rsidRPr="00B75199">
              <w:rPr>
                <w:lang w:val="en-US"/>
              </w:rPr>
              <w:t>265 mg/day</w:t>
            </w:r>
          </w:p>
          <w:p w14:paraId="09803AC3" w14:textId="5E4BEA2B" w:rsidR="006D5494" w:rsidRPr="00085EF6" w:rsidRDefault="006D5494" w:rsidP="001465A5">
            <w:pPr>
              <w:pStyle w:val="TableText0"/>
              <w:keepNext w:val="0"/>
              <w:keepLines/>
              <w:rPr>
                <w:lang w:val="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75AF0FB" w14:textId="77777777" w:rsidR="002D7804" w:rsidRPr="00B75199" w:rsidRDefault="002D7804">
            <w:pPr>
              <w:pStyle w:val="TableText0"/>
              <w:keepNext w:val="0"/>
              <w:keepLines/>
              <w:jc w:val="center"/>
              <w:rPr>
                <w:lang w:val="en-US"/>
              </w:rPr>
            </w:pPr>
            <w:r w:rsidRPr="00B75199">
              <w:rPr>
                <w:lang w:val="en-US"/>
              </w:rPr>
              <w:t>28-day cycles</w:t>
            </w:r>
          </w:p>
          <w:p w14:paraId="008166F0" w14:textId="77777777" w:rsidR="002D7804" w:rsidRPr="00B75199" w:rsidRDefault="002D7804">
            <w:pPr>
              <w:pStyle w:val="TableText0"/>
              <w:keepNext w:val="0"/>
              <w:keepLines/>
              <w:jc w:val="center"/>
              <w:rPr>
                <w:lang w:val="en-US"/>
              </w:rPr>
            </w:pPr>
            <w:r w:rsidRPr="00B75199">
              <w:rPr>
                <w:lang w:val="en-US"/>
              </w:rPr>
              <w:t>Cycle 1: 293.3 mg/day</w:t>
            </w:r>
          </w:p>
          <w:p w14:paraId="3CBAC626" w14:textId="12FB3BB1" w:rsidR="002D7804" w:rsidRPr="00B75199" w:rsidRDefault="002D7804">
            <w:pPr>
              <w:pStyle w:val="TableText0"/>
              <w:keepNext w:val="0"/>
              <w:keepLines/>
              <w:jc w:val="center"/>
              <w:rPr>
                <w:lang w:val="en-US"/>
              </w:rPr>
            </w:pPr>
            <w:r w:rsidRPr="00B75199">
              <w:rPr>
                <w:lang w:val="en-US"/>
              </w:rPr>
              <w:t>Cycles 2+: 251.1 mg/day</w:t>
            </w:r>
            <w:r w:rsidR="008E0E89" w:rsidRPr="00B75199">
              <w:rPr>
                <w:vertAlign w:val="superscript"/>
                <w:lang w:val="en-U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506842" w14:textId="6CA9D246" w:rsidR="002D7804" w:rsidRPr="00B75199" w:rsidRDefault="002D7804">
            <w:pPr>
              <w:pStyle w:val="TableText0"/>
              <w:keepNext w:val="0"/>
              <w:keepLines/>
              <w:jc w:val="center"/>
              <w:rPr>
                <w:vertAlign w:val="superscript"/>
                <w:lang w:val="en-US"/>
              </w:rPr>
            </w:pPr>
            <w:r w:rsidRPr="00B75199">
              <w:rPr>
                <w:lang w:val="en-US"/>
              </w:rPr>
              <w:t>252.19 mg/</w:t>
            </w:r>
            <w:r w:rsidR="008E0E89" w:rsidRPr="00B75199">
              <w:rPr>
                <w:lang w:val="en-US"/>
              </w:rPr>
              <w:t>day</w:t>
            </w:r>
            <w:r w:rsidR="008E0E89" w:rsidRPr="00B75199">
              <w:rPr>
                <w:vertAlign w:val="superscript"/>
                <w:lang w:val="en-US"/>
              </w:rPr>
              <w:t>b</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1F8494" w14:textId="13FC6919" w:rsidR="006D5494" w:rsidRPr="00B75199" w:rsidRDefault="006D5494">
            <w:pPr>
              <w:pStyle w:val="TableText0"/>
              <w:keepNext w:val="0"/>
              <w:keepLines/>
              <w:jc w:val="center"/>
              <w:rPr>
                <w:lang w:val="en-US"/>
              </w:rPr>
            </w:pPr>
            <w:r w:rsidRPr="00B75199">
              <w:rPr>
                <w:lang w:val="en-US"/>
              </w:rPr>
              <w:t>21-day cycles</w:t>
            </w:r>
          </w:p>
          <w:p w14:paraId="7BBC9E9D" w14:textId="078B82A4" w:rsidR="002D7804" w:rsidRPr="00B75199" w:rsidRDefault="002D7804">
            <w:pPr>
              <w:pStyle w:val="TableText0"/>
              <w:keepNext w:val="0"/>
              <w:keepLines/>
              <w:jc w:val="center"/>
              <w:rPr>
                <w:u w:val="single"/>
                <w:lang w:val="en-US"/>
              </w:rPr>
            </w:pPr>
            <w:r w:rsidRPr="00B75199">
              <w:rPr>
                <w:u w:val="single"/>
                <w:lang w:val="en-US"/>
              </w:rPr>
              <w:t>Pembrolizumab:</w:t>
            </w:r>
          </w:p>
          <w:p w14:paraId="0E1DE9CB" w14:textId="766419FE" w:rsidR="002D7804" w:rsidRPr="00B75199" w:rsidRDefault="002D7804">
            <w:pPr>
              <w:pStyle w:val="TableText0"/>
              <w:keepNext w:val="0"/>
              <w:keepLines/>
              <w:jc w:val="center"/>
              <w:rPr>
                <w:lang w:val="en-US"/>
              </w:rPr>
            </w:pPr>
            <w:r w:rsidRPr="00B75199">
              <w:rPr>
                <w:lang w:val="en-US"/>
              </w:rPr>
              <w:t>63.5 mg/week</w:t>
            </w:r>
          </w:p>
          <w:p w14:paraId="2C9ED4DC" w14:textId="77777777" w:rsidR="002D7804" w:rsidRPr="00B75199" w:rsidRDefault="002D7804">
            <w:pPr>
              <w:pStyle w:val="TableText0"/>
              <w:keepNext w:val="0"/>
              <w:keepLines/>
              <w:jc w:val="center"/>
              <w:rPr>
                <w:u w:val="single"/>
                <w:lang w:val="en-US"/>
              </w:rPr>
            </w:pPr>
            <w:r w:rsidRPr="00B75199">
              <w:rPr>
                <w:u w:val="single"/>
                <w:lang w:val="en-US"/>
              </w:rPr>
              <w:t>Carboplatin:</w:t>
            </w:r>
          </w:p>
          <w:p w14:paraId="6458B3AB" w14:textId="794624E0" w:rsidR="002D7804" w:rsidRPr="00B75199" w:rsidRDefault="002D7804">
            <w:pPr>
              <w:pStyle w:val="TableText0"/>
              <w:keepNext w:val="0"/>
              <w:keepLines/>
              <w:jc w:val="center"/>
              <w:rPr>
                <w:lang w:val="en-US"/>
              </w:rPr>
            </w:pPr>
            <w:r w:rsidRPr="00B75199">
              <w:rPr>
                <w:lang w:val="en-US"/>
              </w:rPr>
              <w:t xml:space="preserve">1.5 mg*min/ml/week </w:t>
            </w:r>
          </w:p>
          <w:p w14:paraId="39F1865B" w14:textId="77777777" w:rsidR="002D7804" w:rsidRPr="00B75199" w:rsidRDefault="002D7804">
            <w:pPr>
              <w:pStyle w:val="TableText0"/>
              <w:keepNext w:val="0"/>
              <w:keepLines/>
              <w:jc w:val="center"/>
              <w:rPr>
                <w:u w:val="single"/>
                <w:lang w:val="en-US"/>
              </w:rPr>
            </w:pPr>
            <w:r w:rsidRPr="00B75199">
              <w:rPr>
                <w:u w:val="single"/>
                <w:lang w:val="en-US"/>
              </w:rPr>
              <w:t>Cisplatin:</w:t>
            </w:r>
          </w:p>
          <w:p w14:paraId="01BC25BB" w14:textId="13018C1B" w:rsidR="002D7804" w:rsidRPr="00B75199" w:rsidRDefault="002D7804">
            <w:pPr>
              <w:pStyle w:val="TableText0"/>
              <w:keepNext w:val="0"/>
              <w:keepLines/>
              <w:jc w:val="center"/>
              <w:rPr>
                <w:lang w:val="en-US"/>
              </w:rPr>
            </w:pPr>
            <w:r w:rsidRPr="00B75199">
              <w:rPr>
                <w:lang w:val="en-US"/>
              </w:rPr>
              <w:t>22.9 mg/m</w:t>
            </w:r>
            <w:r w:rsidRPr="00B75199">
              <w:rPr>
                <w:vertAlign w:val="superscript"/>
                <w:lang w:val="en-US"/>
              </w:rPr>
              <w:t>2</w:t>
            </w:r>
            <w:r w:rsidRPr="00B75199">
              <w:rPr>
                <w:lang w:val="en-US"/>
              </w:rPr>
              <w:t xml:space="preserve">/week </w:t>
            </w:r>
          </w:p>
          <w:p w14:paraId="2A003427" w14:textId="77777777" w:rsidR="002D7804" w:rsidRPr="00B75199" w:rsidRDefault="002D7804">
            <w:pPr>
              <w:pStyle w:val="TableText0"/>
              <w:keepNext w:val="0"/>
              <w:keepLines/>
              <w:jc w:val="center"/>
              <w:rPr>
                <w:u w:val="single"/>
                <w:lang w:val="en-US"/>
              </w:rPr>
            </w:pPr>
            <w:r w:rsidRPr="00B75199">
              <w:rPr>
                <w:u w:val="single"/>
                <w:lang w:val="en-US"/>
              </w:rPr>
              <w:t>Pemetrexed:</w:t>
            </w:r>
          </w:p>
          <w:p w14:paraId="64DD7F01" w14:textId="3D689C7C" w:rsidR="002D7804" w:rsidRPr="00B75199" w:rsidRDefault="002D7804">
            <w:pPr>
              <w:pStyle w:val="TableText0"/>
              <w:keepNext w:val="0"/>
              <w:keepLines/>
              <w:jc w:val="center"/>
              <w:rPr>
                <w:lang w:val="en-US"/>
              </w:rPr>
            </w:pPr>
            <w:r w:rsidRPr="00B75199">
              <w:rPr>
                <w:lang w:val="en-US"/>
              </w:rPr>
              <w:t>148 mg/m</w:t>
            </w:r>
            <w:r w:rsidRPr="00B75199">
              <w:rPr>
                <w:vertAlign w:val="superscript"/>
                <w:lang w:val="en-US"/>
              </w:rPr>
              <w:t>2</w:t>
            </w:r>
            <w:r w:rsidRPr="00B75199">
              <w:rPr>
                <w:lang w:val="en-US"/>
              </w:rPr>
              <w:t xml:space="preserve">/week </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E3B1B" w14:textId="77777777" w:rsidR="002D7804" w:rsidRPr="00B75199" w:rsidRDefault="002D7804">
            <w:pPr>
              <w:pStyle w:val="TableText0"/>
              <w:keepNext w:val="0"/>
              <w:keepLines/>
              <w:jc w:val="center"/>
              <w:rPr>
                <w:lang w:val="en-US"/>
              </w:rPr>
            </w:pPr>
            <w:r w:rsidRPr="00B75199">
              <w:rPr>
                <w:lang w:val="en-US"/>
              </w:rPr>
              <w:t>21-day cycles</w:t>
            </w:r>
          </w:p>
          <w:p w14:paraId="714587D2" w14:textId="77777777" w:rsidR="002D7804" w:rsidRPr="00B75199" w:rsidRDefault="002D7804">
            <w:pPr>
              <w:pStyle w:val="TableText0"/>
              <w:keepNext w:val="0"/>
              <w:keepLines/>
              <w:jc w:val="center"/>
              <w:rPr>
                <w:u w:val="single"/>
                <w:lang w:val="en-US"/>
              </w:rPr>
            </w:pPr>
            <w:r w:rsidRPr="00B75199">
              <w:rPr>
                <w:u w:val="single"/>
                <w:lang w:val="en-US"/>
              </w:rPr>
              <w:t>Pembrolizumab:</w:t>
            </w:r>
          </w:p>
          <w:p w14:paraId="13787C4D" w14:textId="5788E784" w:rsidR="002D7804" w:rsidRPr="00B75199" w:rsidRDefault="002D7804">
            <w:pPr>
              <w:pStyle w:val="TableText0"/>
              <w:keepNext w:val="0"/>
              <w:keepLines/>
              <w:jc w:val="center"/>
              <w:rPr>
                <w:lang w:val="en-US"/>
              </w:rPr>
            </w:pPr>
            <w:r w:rsidRPr="00B75199">
              <w:rPr>
                <w:lang w:val="en-US"/>
              </w:rPr>
              <w:t>Cycle 1: 200 mg</w:t>
            </w:r>
            <w:r w:rsidR="007F416D">
              <w:rPr>
                <w:lang w:val="en-US"/>
              </w:rPr>
              <w:t xml:space="preserve"> every 3 weeks</w:t>
            </w:r>
          </w:p>
          <w:p w14:paraId="104556F0" w14:textId="093B8FDA" w:rsidR="002D7804" w:rsidRPr="00B75199" w:rsidRDefault="002D7804">
            <w:pPr>
              <w:pStyle w:val="TableText0"/>
              <w:keepNext w:val="0"/>
              <w:keepLines/>
              <w:jc w:val="center"/>
              <w:rPr>
                <w:lang w:val="en-US"/>
              </w:rPr>
            </w:pPr>
            <w:r w:rsidRPr="00B75199">
              <w:rPr>
                <w:lang w:val="en-US"/>
              </w:rPr>
              <w:t>Cycle 2+: 200 mg</w:t>
            </w:r>
            <w:r w:rsidR="007F416D">
              <w:rPr>
                <w:lang w:val="en-US"/>
              </w:rPr>
              <w:t xml:space="preserve"> every 3 weeks</w:t>
            </w:r>
          </w:p>
          <w:p w14:paraId="4F24FB2C" w14:textId="77777777" w:rsidR="002D7804" w:rsidRPr="00B75199" w:rsidRDefault="002D7804">
            <w:pPr>
              <w:pStyle w:val="TableText0"/>
              <w:keepNext w:val="0"/>
              <w:keepLines/>
              <w:jc w:val="center"/>
              <w:rPr>
                <w:u w:val="single"/>
                <w:lang w:val="en-US"/>
              </w:rPr>
            </w:pPr>
            <w:r w:rsidRPr="00B75199">
              <w:rPr>
                <w:u w:val="single"/>
                <w:lang w:val="en-US"/>
              </w:rPr>
              <w:t>Carboplatin:</w:t>
            </w:r>
          </w:p>
          <w:p w14:paraId="58C4937C" w14:textId="77777777" w:rsidR="002D7804" w:rsidRPr="00B75199" w:rsidRDefault="002D7804">
            <w:pPr>
              <w:pStyle w:val="TableText0"/>
              <w:keepNext w:val="0"/>
              <w:keepLines/>
              <w:jc w:val="center"/>
            </w:pPr>
            <w:r w:rsidRPr="00B75199">
              <w:t xml:space="preserve">Cycle 1: 15mg/mL AUC (=490 mg/day) </w:t>
            </w:r>
          </w:p>
          <w:p w14:paraId="64CE5B4B" w14:textId="77777777" w:rsidR="001B591B" w:rsidRPr="00B75199" w:rsidRDefault="002D7804">
            <w:pPr>
              <w:pStyle w:val="TableText0"/>
              <w:keepNext w:val="0"/>
              <w:keepLines/>
              <w:jc w:val="center"/>
            </w:pPr>
            <w:r w:rsidRPr="00B75199">
              <w:t xml:space="preserve">Cycle 2+: 4.17mg/mL*min </w:t>
            </w:r>
          </w:p>
          <w:p w14:paraId="085AE759" w14:textId="4A52C7F8" w:rsidR="002D7804" w:rsidRPr="00B75199" w:rsidRDefault="002D7804">
            <w:pPr>
              <w:pStyle w:val="TableText0"/>
              <w:keepNext w:val="0"/>
              <w:keepLines/>
              <w:jc w:val="center"/>
            </w:pPr>
            <w:r w:rsidRPr="00B75199">
              <w:t>(=408 mg/day)</w:t>
            </w:r>
          </w:p>
          <w:p w14:paraId="2269F902" w14:textId="77777777" w:rsidR="002D7804" w:rsidRPr="00B75199" w:rsidRDefault="002D7804">
            <w:pPr>
              <w:pStyle w:val="TableText0"/>
              <w:keepNext w:val="0"/>
              <w:keepLines/>
              <w:jc w:val="center"/>
              <w:rPr>
                <w:u w:val="single"/>
                <w:lang w:val="en-US"/>
              </w:rPr>
            </w:pPr>
            <w:r w:rsidRPr="00B75199">
              <w:rPr>
                <w:u w:val="single"/>
                <w:lang w:val="en-US"/>
              </w:rPr>
              <w:t>Pemetrexed:</w:t>
            </w:r>
          </w:p>
          <w:p w14:paraId="568273A1" w14:textId="77777777" w:rsidR="002D7804" w:rsidRPr="00B75199" w:rsidRDefault="002D7804">
            <w:pPr>
              <w:pStyle w:val="TableText0"/>
              <w:keepNext w:val="0"/>
              <w:keepLines/>
              <w:jc w:val="center"/>
              <w:rPr>
                <w:lang w:val="en-US"/>
              </w:rPr>
            </w:pPr>
            <w:r w:rsidRPr="00B75199">
              <w:rPr>
                <w:lang w:val="en-US"/>
              </w:rPr>
              <w:t>Cycle 1: 905 mg/day</w:t>
            </w:r>
          </w:p>
          <w:p w14:paraId="659AC047" w14:textId="77777777" w:rsidR="002D7804" w:rsidRPr="00B75199" w:rsidRDefault="002D7804">
            <w:pPr>
              <w:pStyle w:val="TableText0"/>
              <w:keepNext w:val="0"/>
              <w:keepLines/>
              <w:jc w:val="center"/>
              <w:rPr>
                <w:lang w:val="en-US"/>
              </w:rPr>
            </w:pPr>
            <w:r w:rsidRPr="00B75199">
              <w:rPr>
                <w:lang w:val="en-US"/>
              </w:rPr>
              <w:t>Cycle 2+:</w:t>
            </w:r>
          </w:p>
          <w:p w14:paraId="36ECCD73" w14:textId="77777777" w:rsidR="001B591B" w:rsidRPr="00B75199" w:rsidRDefault="002D7804">
            <w:pPr>
              <w:pStyle w:val="TableText0"/>
              <w:keepNext w:val="0"/>
              <w:keepLines/>
              <w:jc w:val="center"/>
              <w:rPr>
                <w:vertAlign w:val="superscript"/>
              </w:rPr>
            </w:pPr>
            <w:r w:rsidRPr="00B75199">
              <w:t>416.8mg/m</w:t>
            </w:r>
            <w:r w:rsidRPr="00B75199">
              <w:rPr>
                <w:vertAlign w:val="superscript"/>
              </w:rPr>
              <w:t xml:space="preserve">2 </w:t>
            </w:r>
          </w:p>
          <w:p w14:paraId="7CCF46FF" w14:textId="71ED47EA" w:rsidR="002D7804" w:rsidRPr="00B75199" w:rsidRDefault="002D7804">
            <w:pPr>
              <w:pStyle w:val="TableText0"/>
              <w:keepNext w:val="0"/>
              <w:keepLines/>
              <w:jc w:val="center"/>
              <w:rPr>
                <w:lang w:val="en-US"/>
              </w:rPr>
            </w:pPr>
            <w:r w:rsidRPr="00B75199">
              <w:t>(=754 mg/day)</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3915C" w14:textId="498AFDD9" w:rsidR="002D7804" w:rsidRPr="00B75199" w:rsidRDefault="00AF6965">
            <w:pPr>
              <w:pStyle w:val="TableText0"/>
              <w:keepNext w:val="0"/>
              <w:keepLines/>
              <w:jc w:val="center"/>
              <w:rPr>
                <w:rFonts w:ascii="Times New Roman" w:hAnsi="Times New Roman" w:cs="Times New Roman"/>
                <w:szCs w:val="20"/>
              </w:rPr>
            </w:pPr>
            <w:r w:rsidRPr="00B75199">
              <w:rPr>
                <w:lang w:val="en-US"/>
              </w:rPr>
              <w:t>NA</w:t>
            </w:r>
          </w:p>
        </w:tc>
      </w:tr>
      <w:tr w:rsidR="006A1862" w:rsidRPr="00B75199" w14:paraId="18CCB2AA" w14:textId="77777777" w:rsidTr="003F1851">
        <w:trPr>
          <w:cantSplit/>
          <w:tblHeader/>
        </w:trPr>
        <w:tc>
          <w:tcPr>
            <w:tcW w:w="932" w:type="dxa"/>
            <w:tcBorders>
              <w:top w:val="single" w:sz="4" w:space="0" w:color="auto"/>
              <w:left w:val="single" w:sz="4" w:space="0" w:color="auto"/>
              <w:bottom w:val="single" w:sz="4" w:space="0" w:color="auto"/>
              <w:right w:val="single" w:sz="4" w:space="0" w:color="auto"/>
            </w:tcBorders>
            <w:vAlign w:val="center"/>
            <w:hideMark/>
          </w:tcPr>
          <w:p w14:paraId="2F2C08FB" w14:textId="77777777" w:rsidR="002D7804" w:rsidRPr="00B75199" w:rsidRDefault="002D7804">
            <w:pPr>
              <w:pStyle w:val="TableText0"/>
              <w:keepNext w:val="0"/>
              <w:keepLines/>
              <w:rPr>
                <w:lang w:val="en-US"/>
              </w:rPr>
            </w:pPr>
            <w:r w:rsidRPr="00B75199">
              <w:rPr>
                <w:lang w:val="en-US"/>
              </w:rPr>
              <w:t>Mean duration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76160F8" w14:textId="77777777" w:rsidR="002D7804" w:rsidRPr="00B75199" w:rsidRDefault="002D7804">
            <w:pPr>
              <w:pStyle w:val="TableText0"/>
              <w:keepNext w:val="0"/>
              <w:keepLines/>
              <w:jc w:val="center"/>
              <w:rPr>
                <w:lang w:val="en-US"/>
              </w:rPr>
            </w:pPr>
            <w:r w:rsidRPr="00B75199">
              <w:rPr>
                <w:lang w:val="en-US"/>
              </w:rPr>
              <w:t>LIBRETTO-431:</w:t>
            </w:r>
          </w:p>
          <w:p w14:paraId="7DD1F77C" w14:textId="79DEB6B1" w:rsidR="002D7804" w:rsidRPr="00B75199" w:rsidRDefault="00EC481F">
            <w:pPr>
              <w:pStyle w:val="TableText0"/>
              <w:keepNext w:val="0"/>
              <w:keepLines/>
              <w:jc w:val="center"/>
              <w:rPr>
                <w:lang w:val="en-US"/>
              </w:rPr>
            </w:pPr>
            <w:r>
              <w:rPr>
                <w:lang w:val="en-US"/>
              </w:rPr>
              <w:t xml:space="preserve">Mean = </w:t>
            </w:r>
            <w:r w:rsidR="002D7804" w:rsidRPr="00B75199">
              <w:rPr>
                <w:lang w:val="en-US"/>
              </w:rPr>
              <w:t>16.</w:t>
            </w:r>
            <w:r>
              <w:rPr>
                <w:lang w:val="en-US"/>
              </w:rPr>
              <w:t>6</w:t>
            </w:r>
            <w:r w:rsidR="002D7804" w:rsidRPr="00B75199">
              <w:rPr>
                <w:lang w:val="en-US"/>
              </w:rPr>
              <w:t xml:space="preserve"> months </w:t>
            </w:r>
          </w:p>
          <w:p w14:paraId="344584C3" w14:textId="3A72D371" w:rsidR="00522D2F" w:rsidRPr="00B75199" w:rsidRDefault="00EC481F">
            <w:pPr>
              <w:pStyle w:val="TableText0"/>
              <w:keepNext w:val="0"/>
              <w:keepLines/>
              <w:jc w:val="center"/>
              <w:rPr>
                <w:lang w:val="en-US"/>
              </w:rPr>
            </w:pPr>
            <w:r>
              <w:rPr>
                <w:lang w:val="en-US"/>
              </w:rPr>
              <w:t xml:space="preserve">Median = </w:t>
            </w:r>
            <w:r w:rsidR="00522D2F" w:rsidRPr="00B75199">
              <w:rPr>
                <w:lang w:val="en-US"/>
              </w:rPr>
              <w:t>16.</w:t>
            </w:r>
            <w:r>
              <w:rPr>
                <w:lang w:val="en-US"/>
              </w:rPr>
              <w:t>7</w:t>
            </w:r>
            <w:r w:rsidR="00522D2F" w:rsidRPr="00B75199">
              <w:rPr>
                <w:lang w:val="en-US"/>
              </w:rPr>
              <w:t xml:space="preserve"> months </w:t>
            </w:r>
          </w:p>
          <w:p w14:paraId="3D02EC11" w14:textId="28901620" w:rsidR="002D7804" w:rsidRPr="00B75199" w:rsidRDefault="002D7804">
            <w:pPr>
              <w:pStyle w:val="TableText0"/>
              <w:keepNext w:val="0"/>
              <w:keepLines/>
              <w:jc w:val="center"/>
              <w:rPr>
                <w:lang w:val="en-US"/>
              </w:rPr>
            </w:pPr>
            <w:r w:rsidRPr="00B75199">
              <w:rPr>
                <w:lang w:val="en-US"/>
              </w:rPr>
              <w:t>LIBRETTO-001</w:t>
            </w:r>
            <w:r w:rsidR="00446371" w:rsidRPr="00B75199">
              <w:rPr>
                <w:lang w:val="en-US"/>
              </w:rPr>
              <w:t xml:space="preserve"> (January 2023)</w:t>
            </w:r>
            <w:r w:rsidRPr="00B75199">
              <w:rPr>
                <w:lang w:val="en-US"/>
              </w:rPr>
              <w:t>:</w:t>
            </w:r>
          </w:p>
          <w:p w14:paraId="34270C23" w14:textId="62266818" w:rsidR="002D7804" w:rsidRPr="00B75199" w:rsidRDefault="00EC481F">
            <w:pPr>
              <w:pStyle w:val="TableText0"/>
              <w:keepNext w:val="0"/>
              <w:keepLines/>
              <w:jc w:val="center"/>
              <w:rPr>
                <w:lang w:val="en-US"/>
              </w:rPr>
            </w:pPr>
            <w:r>
              <w:rPr>
                <w:lang w:val="en-US"/>
              </w:rPr>
              <w:t xml:space="preserve">Median = </w:t>
            </w:r>
            <w:r w:rsidR="002D7804" w:rsidRPr="00B75199">
              <w:rPr>
                <w:lang w:val="en-US"/>
              </w:rPr>
              <w:t>2</w:t>
            </w:r>
            <w:r w:rsidR="006D5494" w:rsidRPr="00B75199">
              <w:rPr>
                <w:lang w:val="en-US"/>
              </w:rPr>
              <w:t>4.</w:t>
            </w:r>
            <w:r w:rsidR="002D7804" w:rsidRPr="00B75199">
              <w:rPr>
                <w:lang w:val="en-US"/>
              </w:rPr>
              <w:t xml:space="preserve">6 months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3B5294" w14:textId="139CBC91" w:rsidR="006D5494" w:rsidRPr="00085EF6" w:rsidRDefault="006D5494">
            <w:pPr>
              <w:pStyle w:val="TableText0"/>
              <w:keepNext w:val="0"/>
              <w:keepLines/>
              <w:jc w:val="center"/>
              <w:rPr>
                <w:lang w:val="en-US"/>
              </w:rPr>
            </w:pPr>
            <w:r w:rsidRPr="00085EF6">
              <w:rPr>
                <w:lang w:val="en-US"/>
              </w:rPr>
              <w:t>3</w:t>
            </w:r>
            <w:r w:rsidR="009C4214">
              <w:rPr>
                <w:lang w:val="en-US"/>
              </w:rPr>
              <w:t>6.8</w:t>
            </w:r>
            <w:r w:rsidRPr="00085EF6">
              <w:rPr>
                <w:lang w:val="en-US"/>
              </w:rPr>
              <w:t xml:space="preserve"> </w:t>
            </w:r>
            <w:r w:rsidR="00EB5EE2" w:rsidRPr="00085EF6">
              <w:rPr>
                <w:lang w:val="en-US"/>
              </w:rPr>
              <w:t>x 28 day-</w:t>
            </w:r>
            <w:r w:rsidRPr="00085EF6">
              <w:rPr>
                <w:lang w:val="en-US"/>
              </w:rPr>
              <w:t>cycles</w:t>
            </w:r>
          </w:p>
          <w:p w14:paraId="59096AE3" w14:textId="7EFAB61A" w:rsidR="006D5494" w:rsidRPr="00085EF6" w:rsidRDefault="006D5494" w:rsidP="006D5494">
            <w:pPr>
              <w:pStyle w:val="TableText0"/>
              <w:keepNext w:val="0"/>
              <w:keepLines/>
              <w:jc w:val="center"/>
              <w:rPr>
                <w:lang w:val="en-US"/>
              </w:rPr>
            </w:pPr>
            <w:r w:rsidRPr="00085EF6">
              <w:rPr>
                <w:lang w:val="en-US"/>
              </w:rPr>
              <w:t xml:space="preserve">= </w:t>
            </w:r>
            <w:r w:rsidR="009C4214">
              <w:rPr>
                <w:lang w:val="en-US"/>
              </w:rPr>
              <w:t>33.8</w:t>
            </w:r>
            <w:r w:rsidRPr="00085EF6">
              <w:rPr>
                <w:lang w:val="en-US"/>
              </w:rPr>
              <w:t xml:space="preserve"> months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07FDF" w14:textId="45620C9D" w:rsidR="006A1862" w:rsidRPr="00085EF6" w:rsidRDefault="002D7804" w:rsidP="006A1862">
            <w:pPr>
              <w:pStyle w:val="TableText0"/>
              <w:keepNext w:val="0"/>
              <w:keepLines/>
              <w:jc w:val="center"/>
              <w:rPr>
                <w:lang w:val="en-US"/>
              </w:rPr>
            </w:pPr>
            <w:r w:rsidRPr="00085EF6">
              <w:rPr>
                <w:lang w:val="en-US"/>
              </w:rPr>
              <w:t xml:space="preserve">37.7 </w:t>
            </w:r>
            <w:r w:rsidR="00EB5EE2" w:rsidRPr="00085EF6">
              <w:rPr>
                <w:lang w:val="en-US"/>
              </w:rPr>
              <w:t xml:space="preserve">x </w:t>
            </w:r>
            <w:r w:rsidRPr="00085EF6">
              <w:rPr>
                <w:lang w:val="en-US"/>
              </w:rPr>
              <w:t xml:space="preserve">28-day </w:t>
            </w:r>
            <w:r w:rsidR="008E0E89" w:rsidRPr="00085EF6">
              <w:rPr>
                <w:lang w:val="en-US"/>
              </w:rPr>
              <w:t>cycles</w:t>
            </w:r>
            <w:r w:rsidR="008E0E89" w:rsidRPr="00085EF6">
              <w:rPr>
                <w:vertAlign w:val="superscript"/>
                <w:lang w:val="en-US"/>
              </w:rPr>
              <w:t>c</w:t>
            </w:r>
            <w:r w:rsidR="008E0E89" w:rsidRPr="00085EF6">
              <w:rPr>
                <w:lang w:val="en-US"/>
              </w:rPr>
              <w:t xml:space="preserve"> </w:t>
            </w:r>
          </w:p>
          <w:p w14:paraId="63C48A78" w14:textId="4DE75A82" w:rsidR="002D7804" w:rsidRPr="00085EF6" w:rsidRDefault="006A1862" w:rsidP="006A1862">
            <w:pPr>
              <w:pStyle w:val="TableText0"/>
              <w:keepNext w:val="0"/>
              <w:keepLines/>
              <w:jc w:val="center"/>
              <w:rPr>
                <w:lang w:val="en-US"/>
              </w:rPr>
            </w:pPr>
            <w:r w:rsidRPr="00085EF6">
              <w:rPr>
                <w:lang w:val="en-US"/>
              </w:rPr>
              <w:t xml:space="preserve">=34.7 months </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94EC0E" w14:textId="77777777" w:rsidR="00446371" w:rsidRPr="00E2650E" w:rsidRDefault="00446371" w:rsidP="00446371">
            <w:pPr>
              <w:pStyle w:val="TableText0"/>
              <w:keepNext w:val="0"/>
              <w:keepLines/>
              <w:jc w:val="center"/>
              <w:rPr>
                <w:bCs w:val="0"/>
                <w:lang w:val="en-US"/>
              </w:rPr>
            </w:pPr>
            <w:r w:rsidRPr="00E2650E">
              <w:rPr>
                <w:bCs w:val="0"/>
                <w:lang w:val="en-US"/>
              </w:rPr>
              <w:t xml:space="preserve">9.8 months </w:t>
            </w:r>
          </w:p>
          <w:p w14:paraId="35230215" w14:textId="77777777" w:rsidR="00446371" w:rsidRPr="00E2650E" w:rsidRDefault="00446371" w:rsidP="00446371">
            <w:pPr>
              <w:pStyle w:val="TableText0"/>
              <w:keepNext w:val="0"/>
              <w:keepLines/>
              <w:jc w:val="center"/>
              <w:rPr>
                <w:bCs w:val="0"/>
                <w:lang w:val="en-US"/>
              </w:rPr>
            </w:pPr>
            <w:r w:rsidRPr="00E2650E">
              <w:rPr>
                <w:bCs w:val="0"/>
                <w:lang w:val="en-US"/>
              </w:rPr>
              <w:t>(median, any drug)</w:t>
            </w:r>
          </w:p>
          <w:p w14:paraId="06010838" w14:textId="558046A5" w:rsidR="002D7804" w:rsidRPr="00E2650E" w:rsidRDefault="002D7804" w:rsidP="00446371">
            <w:pPr>
              <w:pStyle w:val="TableText0"/>
              <w:keepNext w:val="0"/>
              <w:keepLines/>
              <w:jc w:val="center"/>
              <w:rPr>
                <w:lang w:val="en-US"/>
              </w:rPr>
            </w:pPr>
            <w:r w:rsidRPr="00E2650E">
              <w:rPr>
                <w:lang w:val="en-US"/>
              </w:rPr>
              <w:t xml:space="preserve">10.9 months </w:t>
            </w:r>
          </w:p>
          <w:p w14:paraId="07B16D8A" w14:textId="2525A9F5" w:rsidR="002D7804" w:rsidRPr="00B75199" w:rsidRDefault="002D7804" w:rsidP="00446371">
            <w:pPr>
              <w:pStyle w:val="TableText0"/>
              <w:keepNext w:val="0"/>
              <w:keepLines/>
              <w:jc w:val="center"/>
              <w:rPr>
                <w:highlight w:val="yellow"/>
                <w:lang w:val="en-US"/>
              </w:rPr>
            </w:pPr>
            <w:r w:rsidRPr="00E2650E">
              <w:rPr>
                <w:lang w:val="en-US"/>
              </w:rPr>
              <w:t>(</w:t>
            </w:r>
            <w:r w:rsidR="006D5494" w:rsidRPr="00E2650E">
              <w:rPr>
                <w:lang w:val="en-US"/>
              </w:rPr>
              <w:t xml:space="preserve">mean, </w:t>
            </w:r>
            <w:r w:rsidRPr="00E2650E">
              <w:rPr>
                <w:lang w:val="en-US"/>
              </w:rPr>
              <w:t>any drug)</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9D7C30" w14:textId="76106E40" w:rsidR="002D7804" w:rsidRPr="00085EF6" w:rsidRDefault="006A1862">
            <w:pPr>
              <w:pStyle w:val="TableText0"/>
              <w:keepNext w:val="0"/>
              <w:keepLines/>
              <w:jc w:val="center"/>
              <w:rPr>
                <w:lang w:val="en-US"/>
              </w:rPr>
            </w:pPr>
            <w:r w:rsidRPr="00085EF6">
              <w:rPr>
                <w:lang w:val="en-US"/>
              </w:rPr>
              <w:t>19.89 cycles</w:t>
            </w:r>
          </w:p>
          <w:p w14:paraId="15B25EDB" w14:textId="0AD666B7" w:rsidR="006A1862" w:rsidRPr="00B75199" w:rsidRDefault="006A1862">
            <w:pPr>
              <w:pStyle w:val="TableText0"/>
              <w:keepNext w:val="0"/>
              <w:keepLines/>
              <w:jc w:val="center"/>
              <w:rPr>
                <w:lang w:val="en-US"/>
              </w:rPr>
            </w:pPr>
            <w:r w:rsidRPr="00085EF6">
              <w:rPr>
                <w:lang w:val="en-US"/>
              </w:rPr>
              <w:t>=13.7 months</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EDB885" w14:textId="5D8ABF0C" w:rsidR="002D7804" w:rsidRPr="00B75199" w:rsidRDefault="00AF6965">
            <w:pPr>
              <w:pStyle w:val="TableText0"/>
              <w:keepNext w:val="0"/>
              <w:keepLines/>
              <w:jc w:val="center"/>
              <w:rPr>
                <w:rFonts w:ascii="Times New Roman" w:hAnsi="Times New Roman" w:cs="Times New Roman"/>
                <w:szCs w:val="20"/>
              </w:rPr>
            </w:pPr>
            <w:r w:rsidRPr="00B75199">
              <w:rPr>
                <w:lang w:val="en-US"/>
              </w:rPr>
              <w:t>NA</w:t>
            </w:r>
          </w:p>
        </w:tc>
      </w:tr>
      <w:tr w:rsidR="006A1862" w:rsidRPr="00B75199" w14:paraId="5A418AB4" w14:textId="77777777" w:rsidTr="003F1851">
        <w:trPr>
          <w:cantSplit/>
          <w:tblHeader/>
        </w:trPr>
        <w:tc>
          <w:tcPr>
            <w:tcW w:w="932" w:type="dxa"/>
            <w:tcBorders>
              <w:top w:val="single" w:sz="4" w:space="0" w:color="auto"/>
              <w:left w:val="single" w:sz="4" w:space="0" w:color="auto"/>
              <w:bottom w:val="single" w:sz="4" w:space="0" w:color="auto"/>
              <w:right w:val="single" w:sz="4" w:space="0" w:color="auto"/>
            </w:tcBorders>
            <w:vAlign w:val="center"/>
            <w:hideMark/>
          </w:tcPr>
          <w:p w14:paraId="7FEEF068" w14:textId="77777777" w:rsidR="002D7804" w:rsidRPr="00B75199" w:rsidRDefault="002D7804">
            <w:pPr>
              <w:pStyle w:val="TableText0"/>
              <w:keepNext w:val="0"/>
              <w:keepLines/>
              <w:rPr>
                <w:vertAlign w:val="superscript"/>
                <w:lang w:val="en-US"/>
              </w:rPr>
            </w:pPr>
            <w:r w:rsidRPr="00B75199">
              <w:rPr>
                <w:lang w:val="en-US"/>
              </w:rPr>
              <w:t>Cost/patient</w:t>
            </w:r>
            <w:r w:rsidRPr="00B75199">
              <w:rPr>
                <w:lang w:val="en-US"/>
              </w:rPr>
              <w:br/>
              <w:t>/cycle</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C89BF05" w14:textId="77777777" w:rsidR="002D7804" w:rsidRPr="00B75199" w:rsidRDefault="002D7804">
            <w:pPr>
              <w:pStyle w:val="TableText0"/>
              <w:keepNext w:val="0"/>
              <w:keepLines/>
              <w:jc w:val="center"/>
              <w:rPr>
                <w:lang w:val="en-US"/>
              </w:rPr>
            </w:pPr>
            <w:r w:rsidRPr="00B75199">
              <w:rPr>
                <w:lang w:val="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71D266" w14:textId="77777777" w:rsidR="002D7804" w:rsidRPr="00B75199" w:rsidRDefault="002D7804">
            <w:pPr>
              <w:pStyle w:val="TableText0"/>
              <w:keepNext w:val="0"/>
              <w:keepLines/>
              <w:jc w:val="center"/>
              <w:rPr>
                <w:lang w:val="en-US"/>
              </w:rPr>
            </w:pPr>
            <w:r w:rsidRPr="00B75199">
              <w:rPr>
                <w:lang w:val="en-US"/>
              </w:rPr>
              <w:t>28-day cycles</w:t>
            </w:r>
          </w:p>
          <w:p w14:paraId="6012AA72" w14:textId="358DEE21" w:rsidR="002D7804" w:rsidRPr="00B75199" w:rsidRDefault="002D7804">
            <w:pPr>
              <w:pStyle w:val="TableText0"/>
              <w:keepNext w:val="0"/>
              <w:keepLines/>
              <w:jc w:val="center"/>
              <w:rPr>
                <w:vertAlign w:val="superscript"/>
                <w:lang w:val="en-US"/>
              </w:rPr>
            </w:pPr>
            <w:r w:rsidRPr="00B75199">
              <w:rPr>
                <w:lang w:val="en-US"/>
              </w:rPr>
              <w:t>Cycle 1: $</w:t>
            </w:r>
            <w:r w:rsidR="00DA3714" w:rsidRPr="00DA3714">
              <w:rPr>
                <w:rFonts w:hint="eastAsia"/>
                <w:color w:val="000000"/>
                <w:w w:val="15"/>
                <w:shd w:val="solid" w:color="000000" w:fill="000000"/>
                <w:fitText w:val="60" w:id="-893663479"/>
                <w:lang w:val="en-US"/>
                <w14:textFill>
                  <w14:solidFill>
                    <w14:srgbClr w14:val="000000">
                      <w14:alpha w14:val="100000"/>
                    </w14:srgbClr>
                  </w14:solidFill>
                </w14:textFill>
              </w:rPr>
              <w:t xml:space="preserve">　</w:t>
            </w:r>
            <w:r w:rsidR="00DA3714" w:rsidRPr="00DA3714">
              <w:rPr>
                <w:color w:val="000000"/>
                <w:w w:val="15"/>
                <w:shd w:val="solid" w:color="000000" w:fill="000000"/>
                <w:fitText w:val="60" w:id="-893663479"/>
                <w:lang w:val="en-US"/>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79"/>
                <w:lang w:val="en-US"/>
                <w14:textFill>
                  <w14:solidFill>
                    <w14:srgbClr w14:val="000000">
                      <w14:alpha w14:val="100000"/>
                    </w14:srgbClr>
                  </w14:solidFill>
                </w14:textFill>
              </w:rPr>
              <w:t xml:space="preserve">　</w:t>
            </w:r>
          </w:p>
          <w:p w14:paraId="4721B899" w14:textId="53121843" w:rsidR="002D7804" w:rsidRPr="00B75199" w:rsidRDefault="002D7804">
            <w:pPr>
              <w:pStyle w:val="TableText0"/>
              <w:keepNext w:val="0"/>
              <w:keepLines/>
              <w:jc w:val="center"/>
              <w:rPr>
                <w:lang w:val="en-US"/>
              </w:rPr>
            </w:pPr>
            <w:r w:rsidRPr="00B75199">
              <w:rPr>
                <w:lang w:val="en-US"/>
              </w:rPr>
              <w:t>Cycles 2+: $</w:t>
            </w:r>
            <w:r w:rsidR="00DA3714" w:rsidRPr="00DA3714">
              <w:rPr>
                <w:rFonts w:hint="eastAsia"/>
                <w:color w:val="000000"/>
                <w:w w:val="15"/>
                <w:shd w:val="solid" w:color="000000" w:fill="000000"/>
                <w:fitText w:val="60" w:id="-893663478"/>
                <w:lang w:val="en-US"/>
                <w14:textFill>
                  <w14:solidFill>
                    <w14:srgbClr w14:val="000000">
                      <w14:alpha w14:val="100000"/>
                    </w14:srgbClr>
                  </w14:solidFill>
                </w14:textFill>
              </w:rPr>
              <w:t xml:space="preserve">　</w:t>
            </w:r>
            <w:r w:rsidR="00DA3714" w:rsidRPr="00DA3714">
              <w:rPr>
                <w:color w:val="000000"/>
                <w:w w:val="15"/>
                <w:shd w:val="solid" w:color="000000" w:fill="000000"/>
                <w:fitText w:val="60" w:id="-893663478"/>
                <w:lang w:val="en-US"/>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78"/>
                <w:lang w:val="en-US"/>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B38F9C" w14:textId="77777777" w:rsidR="002D7804" w:rsidRPr="00085EF6" w:rsidRDefault="002D7804">
            <w:pPr>
              <w:pStyle w:val="TableText0"/>
              <w:keepNext w:val="0"/>
              <w:keepLines/>
              <w:jc w:val="center"/>
              <w:rPr>
                <w:lang w:val="en-US"/>
              </w:rPr>
            </w:pPr>
            <w:r w:rsidRPr="00085EF6">
              <w:rPr>
                <w:lang w:val="en-US"/>
              </w:rPr>
              <w:t>28-day cycles</w:t>
            </w:r>
          </w:p>
          <w:p w14:paraId="741A2DD0" w14:textId="79F4E7E7" w:rsidR="002D7804" w:rsidRPr="00085EF6" w:rsidRDefault="002D7804">
            <w:pPr>
              <w:pStyle w:val="TableText0"/>
              <w:keepNext w:val="0"/>
              <w:keepLines/>
              <w:jc w:val="center"/>
              <w:rPr>
                <w:vertAlign w:val="superscript"/>
                <w:lang w:val="en-US"/>
              </w:rPr>
            </w:pPr>
            <w:r w:rsidRPr="00085EF6">
              <w:rPr>
                <w:lang w:val="en-US"/>
              </w:rPr>
              <w:t>Cycle 1: $</w:t>
            </w:r>
            <w:r w:rsidR="00DA3714" w:rsidRPr="00DA3714">
              <w:rPr>
                <w:color w:val="000000"/>
                <w:spacing w:val="214"/>
                <w:shd w:val="solid" w:color="000000" w:fill="000000"/>
                <w:fitText w:val="300" w:id="-893663477"/>
                <w:lang w:val="en-US"/>
                <w14:textFill>
                  <w14:solidFill>
                    <w14:srgbClr w14:val="000000">
                      <w14:alpha w14:val="100000"/>
                    </w14:srgbClr>
                  </w14:solidFill>
                </w14:textFill>
              </w:rPr>
              <w:t>|</w:t>
            </w:r>
            <w:r w:rsidR="00DA3714" w:rsidRPr="00DA3714">
              <w:rPr>
                <w:color w:val="000000"/>
                <w:spacing w:val="1"/>
                <w:shd w:val="solid" w:color="000000" w:fill="000000"/>
                <w:fitText w:val="300" w:id="-893663477"/>
                <w:lang w:val="en-US"/>
                <w14:textFill>
                  <w14:solidFill>
                    <w14:srgbClr w14:val="000000">
                      <w14:alpha w14:val="100000"/>
                    </w14:srgbClr>
                  </w14:solidFill>
                </w14:textFill>
              </w:rPr>
              <w:t>|</w:t>
            </w:r>
          </w:p>
          <w:p w14:paraId="2B5C7DCC" w14:textId="2B8B6087" w:rsidR="002D7804" w:rsidRPr="00085EF6" w:rsidRDefault="002D7804">
            <w:pPr>
              <w:pStyle w:val="TableText0"/>
              <w:keepNext w:val="0"/>
              <w:keepLines/>
              <w:jc w:val="center"/>
              <w:rPr>
                <w:vertAlign w:val="superscript"/>
                <w:lang w:val="en-US"/>
              </w:rPr>
            </w:pPr>
            <w:r w:rsidRPr="00085EF6">
              <w:rPr>
                <w:lang w:val="en-US"/>
              </w:rPr>
              <w:t>Cycles 2+: $</w:t>
            </w:r>
            <w:r w:rsidR="00DA3714" w:rsidRPr="0086135B">
              <w:rPr>
                <w:rFonts w:hint="eastAsia"/>
                <w:color w:val="000000"/>
                <w:w w:val="15"/>
                <w:shd w:val="solid" w:color="000000" w:fill="000000"/>
                <w:fitText w:val="15" w:id="-893663476"/>
                <w:lang w:val="en-US"/>
                <w14:textFill>
                  <w14:solidFill>
                    <w14:srgbClr w14:val="000000">
                      <w14:alpha w14:val="100000"/>
                    </w14:srgbClr>
                  </w14:solidFill>
                </w14:textFill>
              </w:rPr>
              <w:t xml:space="preserve">　</w:t>
            </w:r>
            <w:r w:rsidR="00DA3714" w:rsidRPr="0086135B">
              <w:rPr>
                <w:color w:val="000000"/>
                <w:w w:val="15"/>
                <w:shd w:val="solid" w:color="000000" w:fill="000000"/>
                <w:fitText w:val="15" w:id="-893663476"/>
                <w:lang w:val="en-US"/>
                <w14:textFill>
                  <w14:solidFill>
                    <w14:srgbClr w14:val="000000">
                      <w14:alpha w14:val="100000"/>
                    </w14:srgbClr>
                  </w14:solidFill>
                </w14:textFill>
              </w:rPr>
              <w:t>|</w:t>
            </w:r>
            <w:r w:rsidR="00DA3714" w:rsidRPr="0086135B">
              <w:rPr>
                <w:rFonts w:hint="eastAsia"/>
                <w:color w:val="000000"/>
                <w:spacing w:val="-50"/>
                <w:w w:val="15"/>
                <w:shd w:val="solid" w:color="000000" w:fill="000000"/>
                <w:fitText w:val="15" w:id="-893663476"/>
                <w:lang w:val="en-US"/>
                <w14:textFill>
                  <w14:solidFill>
                    <w14:srgbClr w14:val="000000">
                      <w14:alpha w14:val="100000"/>
                    </w14:srgbClr>
                  </w14:solidFill>
                </w14:textFill>
              </w:rPr>
              <w:t xml:space="preserve">　</w:t>
            </w:r>
            <w:r w:rsidR="00990DE6" w:rsidRPr="00792477">
              <w:rPr>
                <w:vertAlign w:val="superscript"/>
                <w:lang w:val="en-US"/>
              </w:rPr>
              <w:t>d</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52D10E" w14:textId="77777777" w:rsidR="002D7804" w:rsidRPr="00B75199" w:rsidRDefault="002D7804">
            <w:pPr>
              <w:pStyle w:val="TableText0"/>
              <w:keepNext w:val="0"/>
              <w:keepLines/>
              <w:jc w:val="center"/>
              <w:rPr>
                <w:lang w:val="en-US"/>
              </w:rPr>
            </w:pPr>
            <w:r w:rsidRPr="00B75199">
              <w:rPr>
                <w:lang w:val="en-US"/>
              </w:rPr>
              <w:t>–</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2AC6AE" w14:textId="77777777" w:rsidR="002D7804" w:rsidRPr="00B75199" w:rsidRDefault="002D7804">
            <w:pPr>
              <w:pStyle w:val="TableText0"/>
              <w:keepNext w:val="0"/>
              <w:keepLines/>
              <w:jc w:val="center"/>
              <w:rPr>
                <w:lang w:val="en-US"/>
              </w:rPr>
            </w:pPr>
            <w:r w:rsidRPr="00B75199">
              <w:rPr>
                <w:lang w:val="en-US"/>
              </w:rPr>
              <w:t>21-day cycles</w:t>
            </w:r>
          </w:p>
          <w:p w14:paraId="38F1F1CE" w14:textId="77777777" w:rsidR="002D7804" w:rsidRPr="00B75199" w:rsidRDefault="002D7804">
            <w:pPr>
              <w:pStyle w:val="TableText0"/>
              <w:keepNext w:val="0"/>
              <w:keepLines/>
              <w:jc w:val="center"/>
              <w:rPr>
                <w:u w:val="single"/>
                <w:lang w:val="en-US"/>
              </w:rPr>
            </w:pPr>
            <w:r w:rsidRPr="00B75199">
              <w:rPr>
                <w:u w:val="single"/>
                <w:lang w:val="en-US"/>
              </w:rPr>
              <w:t>Pembrolizumab:</w:t>
            </w:r>
          </w:p>
          <w:p w14:paraId="34D645E7" w14:textId="1C8E6C9B" w:rsidR="002D7804" w:rsidRPr="00D26D6C" w:rsidRDefault="002D7804">
            <w:pPr>
              <w:pStyle w:val="TableText0"/>
              <w:keepNext w:val="0"/>
              <w:keepLines/>
              <w:jc w:val="center"/>
              <w:rPr>
                <w:strike/>
                <w:lang w:val="en-US"/>
              </w:rPr>
            </w:pPr>
            <w:r w:rsidRPr="00B75199">
              <w:rPr>
                <w:lang w:val="en-US"/>
              </w:rPr>
              <w:t xml:space="preserve">Cycle 1: </w:t>
            </w:r>
            <w:r w:rsidRPr="00D22F23">
              <w:rPr>
                <w:lang w:val="en-US"/>
              </w:rPr>
              <w:t>$</w:t>
            </w:r>
            <w:r w:rsidR="00DA3714" w:rsidRPr="00DA3714">
              <w:rPr>
                <w:rFonts w:hint="eastAsia"/>
                <w:color w:val="000000"/>
                <w:w w:val="15"/>
                <w:shd w:val="solid" w:color="000000" w:fill="000000"/>
                <w:fitText w:val="45" w:id="-893663475"/>
                <w:lang w:val="en-US"/>
                <w14:textFill>
                  <w14:solidFill>
                    <w14:srgbClr w14:val="000000">
                      <w14:alpha w14:val="100000"/>
                    </w14:srgbClr>
                  </w14:solidFill>
                </w14:textFill>
              </w:rPr>
              <w:t xml:space="preserve">　</w:t>
            </w:r>
            <w:r w:rsidR="00DA3714" w:rsidRPr="00DA3714">
              <w:rPr>
                <w:color w:val="000000"/>
                <w:w w:val="15"/>
                <w:shd w:val="solid" w:color="000000" w:fill="000000"/>
                <w:fitText w:val="45" w:id="-893663475"/>
                <w:lang w:val="en-US"/>
                <w14:textFill>
                  <w14:solidFill>
                    <w14:srgbClr w14:val="000000">
                      <w14:alpha w14:val="100000"/>
                    </w14:srgbClr>
                  </w14:solidFill>
                </w14:textFill>
              </w:rPr>
              <w:t>|</w:t>
            </w:r>
            <w:r w:rsidR="00DA3714" w:rsidRPr="00DA3714">
              <w:rPr>
                <w:rFonts w:hint="eastAsia"/>
                <w:color w:val="000000"/>
                <w:spacing w:val="-20"/>
                <w:w w:val="15"/>
                <w:shd w:val="solid" w:color="000000" w:fill="000000"/>
                <w:fitText w:val="45" w:id="-893663475"/>
                <w:lang w:val="en-US"/>
                <w14:textFill>
                  <w14:solidFill>
                    <w14:srgbClr w14:val="000000">
                      <w14:alpha w14:val="100000"/>
                    </w14:srgbClr>
                  </w14:solidFill>
                </w14:textFill>
              </w:rPr>
              <w:t xml:space="preserve">　</w:t>
            </w:r>
          </w:p>
          <w:p w14:paraId="1B446F22" w14:textId="4EAE3BBA" w:rsidR="002D7804" w:rsidRPr="00B75199" w:rsidRDefault="002D7804">
            <w:pPr>
              <w:pStyle w:val="TableText0"/>
              <w:keepNext w:val="0"/>
              <w:keepLines/>
              <w:jc w:val="center"/>
              <w:rPr>
                <w:lang w:val="en-US"/>
              </w:rPr>
            </w:pPr>
            <w:r w:rsidRPr="00B75199">
              <w:rPr>
                <w:lang w:val="en-US"/>
              </w:rPr>
              <w:t xml:space="preserve">Cycles 2+: </w:t>
            </w:r>
            <w:r w:rsidRPr="00D22F23">
              <w:rPr>
                <w:lang w:val="en-US"/>
              </w:rPr>
              <w:t>$</w:t>
            </w:r>
            <w:r w:rsidR="00DA3714" w:rsidRPr="00DA3714">
              <w:rPr>
                <w:rFonts w:hint="eastAsia"/>
                <w:color w:val="000000"/>
                <w:w w:val="27"/>
                <w:shd w:val="solid" w:color="000000" w:fill="000000"/>
                <w:fitText w:val="120" w:id="-893663474"/>
                <w:lang w:val="en-US"/>
                <w14:textFill>
                  <w14:solidFill>
                    <w14:srgbClr w14:val="000000">
                      <w14:alpha w14:val="100000"/>
                    </w14:srgbClr>
                  </w14:solidFill>
                </w14:textFill>
              </w:rPr>
              <w:t xml:space="preserve">　</w:t>
            </w:r>
            <w:r w:rsidR="00DA3714" w:rsidRPr="00DA3714">
              <w:rPr>
                <w:color w:val="000000"/>
                <w:w w:val="27"/>
                <w:shd w:val="solid" w:color="000000" w:fill="000000"/>
                <w:fitText w:val="120" w:id="-893663474"/>
                <w:lang w:val="en-US"/>
                <w14:textFill>
                  <w14:solidFill>
                    <w14:srgbClr w14:val="000000">
                      <w14:alpha w14:val="100000"/>
                    </w14:srgbClr>
                  </w14:solidFill>
                </w14:textFill>
              </w:rPr>
              <w:t>|</w:t>
            </w:r>
            <w:r w:rsidR="00DA3714" w:rsidRPr="00DA3714">
              <w:rPr>
                <w:rFonts w:hint="eastAsia"/>
                <w:color w:val="000000"/>
                <w:spacing w:val="2"/>
                <w:w w:val="27"/>
                <w:shd w:val="solid" w:color="000000" w:fill="000000"/>
                <w:fitText w:val="120" w:id="-893663474"/>
                <w:lang w:val="en-US"/>
                <w14:textFill>
                  <w14:solidFill>
                    <w14:srgbClr w14:val="000000">
                      <w14:alpha w14:val="100000"/>
                    </w14:srgbClr>
                  </w14:solidFill>
                </w14:textFill>
              </w:rPr>
              <w:t xml:space="preserve">　</w:t>
            </w:r>
          </w:p>
          <w:p w14:paraId="2B683861" w14:textId="77777777" w:rsidR="002D7804" w:rsidRPr="00B75199" w:rsidRDefault="002D7804">
            <w:pPr>
              <w:pStyle w:val="TableText0"/>
              <w:keepNext w:val="0"/>
              <w:keepLines/>
              <w:jc w:val="center"/>
              <w:rPr>
                <w:u w:val="single"/>
                <w:lang w:val="en-US"/>
              </w:rPr>
            </w:pPr>
            <w:r w:rsidRPr="00B75199">
              <w:rPr>
                <w:u w:val="single"/>
                <w:lang w:val="en-US"/>
              </w:rPr>
              <w:t xml:space="preserve">Carboplatin: </w:t>
            </w:r>
          </w:p>
          <w:p w14:paraId="5847B096" w14:textId="397B3126" w:rsidR="002D7804" w:rsidRPr="00B75199" w:rsidRDefault="002D7804">
            <w:pPr>
              <w:pStyle w:val="TableText0"/>
              <w:keepNext w:val="0"/>
              <w:keepLines/>
              <w:jc w:val="center"/>
              <w:rPr>
                <w:lang w:val="en-US"/>
              </w:rPr>
            </w:pPr>
            <w:r w:rsidRPr="00B75199">
              <w:rPr>
                <w:lang w:val="en-US"/>
              </w:rPr>
              <w:t>Cycle 1: $</w:t>
            </w:r>
            <w:r w:rsidRPr="00EF4609">
              <w:rPr>
                <w:lang w:val="en-US"/>
              </w:rPr>
              <w:t>170.65</w:t>
            </w:r>
          </w:p>
          <w:p w14:paraId="514E520B" w14:textId="790F013A" w:rsidR="002D7804" w:rsidRPr="00B75199" w:rsidRDefault="002D7804">
            <w:pPr>
              <w:pStyle w:val="TableText0"/>
              <w:keepNext w:val="0"/>
              <w:keepLines/>
              <w:jc w:val="center"/>
              <w:rPr>
                <w:lang w:val="en-US"/>
              </w:rPr>
            </w:pPr>
            <w:r w:rsidRPr="00B75199">
              <w:rPr>
                <w:lang w:val="en-US"/>
              </w:rPr>
              <w:t>Cycles 2-4: $</w:t>
            </w:r>
            <w:r w:rsidRPr="00EF4609">
              <w:rPr>
                <w:lang w:val="en-US"/>
              </w:rPr>
              <w:t>143.87</w:t>
            </w:r>
          </w:p>
          <w:p w14:paraId="44AE4AE2" w14:textId="56416841" w:rsidR="002D7804" w:rsidRPr="00B75199" w:rsidRDefault="002D7804">
            <w:pPr>
              <w:pStyle w:val="TableText0"/>
              <w:keepNext w:val="0"/>
              <w:keepLines/>
              <w:jc w:val="center"/>
              <w:rPr>
                <w:lang w:val="en-US"/>
              </w:rPr>
            </w:pPr>
            <w:r w:rsidRPr="00B75199">
              <w:rPr>
                <w:lang w:val="en-US"/>
              </w:rPr>
              <w:t>Cycles 5+: $</w:t>
            </w:r>
            <w:r w:rsidRPr="00EF4609">
              <w:rPr>
                <w:lang w:val="en-US"/>
              </w:rPr>
              <w:t>0</w:t>
            </w:r>
          </w:p>
          <w:p w14:paraId="6D7BA69A" w14:textId="77777777" w:rsidR="002D7804" w:rsidRPr="00B75199" w:rsidRDefault="002D7804">
            <w:pPr>
              <w:pStyle w:val="TableText0"/>
              <w:keepNext w:val="0"/>
              <w:keepLines/>
              <w:jc w:val="center"/>
              <w:rPr>
                <w:u w:val="single"/>
                <w:lang w:val="en-US"/>
              </w:rPr>
            </w:pPr>
            <w:r w:rsidRPr="00B75199">
              <w:rPr>
                <w:u w:val="single"/>
                <w:lang w:val="en-US"/>
              </w:rPr>
              <w:t>Pemetrexed:</w:t>
            </w:r>
          </w:p>
          <w:p w14:paraId="3BB34E5E" w14:textId="7D8C56D6" w:rsidR="002D7804" w:rsidRPr="00B75199" w:rsidRDefault="002D7804">
            <w:pPr>
              <w:pStyle w:val="TableText0"/>
              <w:keepNext w:val="0"/>
              <w:keepLines/>
              <w:jc w:val="center"/>
              <w:rPr>
                <w:lang w:val="en-US"/>
              </w:rPr>
            </w:pPr>
            <w:r w:rsidRPr="00B75199">
              <w:rPr>
                <w:lang w:val="en-US"/>
              </w:rPr>
              <w:t>Cycle 1: $</w:t>
            </w:r>
            <w:r w:rsidRPr="00EF4609">
              <w:rPr>
                <w:lang w:val="en-US"/>
              </w:rPr>
              <w:t>169.01</w:t>
            </w:r>
          </w:p>
          <w:p w14:paraId="68D23FB1" w14:textId="6B32608E" w:rsidR="002D7804" w:rsidRPr="00B75199" w:rsidRDefault="002D7804">
            <w:pPr>
              <w:pStyle w:val="TableText0"/>
              <w:keepNext w:val="0"/>
              <w:keepLines/>
              <w:jc w:val="center"/>
              <w:rPr>
                <w:lang w:val="en-US"/>
              </w:rPr>
            </w:pPr>
            <w:r w:rsidRPr="00B75199">
              <w:rPr>
                <w:lang w:val="en-US"/>
              </w:rPr>
              <w:t>Cycles 2+: $</w:t>
            </w:r>
            <w:r w:rsidRPr="00EF4609">
              <w:rPr>
                <w:lang w:val="en-US"/>
              </w:rPr>
              <w:t>158.30</w:t>
            </w:r>
            <w:r w:rsidRPr="00B75199">
              <w:rPr>
                <w:lang w:val="en-US"/>
              </w:rPr>
              <w:tab/>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E25772" w14:textId="19B701DC" w:rsidR="002D7804" w:rsidRPr="00B75199" w:rsidRDefault="00AF6965">
            <w:pPr>
              <w:pStyle w:val="TableText0"/>
              <w:keepNext w:val="0"/>
              <w:keepLines/>
              <w:jc w:val="center"/>
              <w:rPr>
                <w:rFonts w:ascii="Times New Roman" w:hAnsi="Times New Roman" w:cs="Times New Roman"/>
                <w:szCs w:val="20"/>
              </w:rPr>
            </w:pPr>
            <w:r w:rsidRPr="00B75199">
              <w:t>NA</w:t>
            </w:r>
          </w:p>
        </w:tc>
      </w:tr>
      <w:tr w:rsidR="006A1862" w:rsidRPr="00B75199" w14:paraId="7FAFF216" w14:textId="77777777" w:rsidTr="003F1851">
        <w:trPr>
          <w:cantSplit/>
          <w:tblHeader/>
        </w:trPr>
        <w:tc>
          <w:tcPr>
            <w:tcW w:w="932" w:type="dxa"/>
            <w:tcBorders>
              <w:top w:val="single" w:sz="4" w:space="0" w:color="auto"/>
              <w:left w:val="single" w:sz="4" w:space="0" w:color="auto"/>
              <w:bottom w:val="single" w:sz="4" w:space="0" w:color="auto"/>
              <w:right w:val="single" w:sz="4" w:space="0" w:color="auto"/>
            </w:tcBorders>
            <w:vAlign w:val="center"/>
            <w:hideMark/>
          </w:tcPr>
          <w:p w14:paraId="1F72F083" w14:textId="77777777" w:rsidR="002D7804" w:rsidRPr="00B75199" w:rsidRDefault="002D7804">
            <w:pPr>
              <w:pStyle w:val="TableText0"/>
              <w:keepNext w:val="0"/>
              <w:keepLines/>
              <w:rPr>
                <w:lang w:val="en-US"/>
              </w:rPr>
            </w:pPr>
            <w:r w:rsidRPr="00B75199">
              <w:rPr>
                <w:lang w:val="en-US"/>
              </w:rPr>
              <w:t>Cost/patient</w:t>
            </w:r>
            <w:r w:rsidRPr="00B75199">
              <w:rPr>
                <w:lang w:val="en-US"/>
              </w:rPr>
              <w:br/>
              <w:t>/course</w:t>
            </w:r>
          </w:p>
        </w:tc>
        <w:tc>
          <w:tcPr>
            <w:tcW w:w="1473" w:type="dxa"/>
            <w:tcBorders>
              <w:top w:val="single" w:sz="4" w:space="0" w:color="auto"/>
              <w:left w:val="single" w:sz="4" w:space="0" w:color="auto"/>
              <w:bottom w:val="single" w:sz="4" w:space="0" w:color="auto"/>
              <w:right w:val="single" w:sz="4" w:space="0" w:color="auto"/>
            </w:tcBorders>
            <w:vAlign w:val="center"/>
            <w:hideMark/>
          </w:tcPr>
          <w:p w14:paraId="17819241" w14:textId="77777777" w:rsidR="002D7804" w:rsidRPr="00B75199" w:rsidRDefault="002D7804">
            <w:pPr>
              <w:pStyle w:val="TableText0"/>
              <w:keepNext w:val="0"/>
              <w:keepLines/>
              <w:jc w:val="center"/>
              <w:rPr>
                <w:lang w:val="en-US"/>
              </w:rPr>
            </w:pPr>
            <w:r w:rsidRPr="00B75199">
              <w:rPr>
                <w:lang w:val="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D49816" w14:textId="1E722326" w:rsidR="002D7804" w:rsidRPr="00B75199" w:rsidRDefault="002D7804">
            <w:pPr>
              <w:pStyle w:val="TableText0"/>
              <w:keepNext w:val="0"/>
              <w:keepLines/>
              <w:jc w:val="center"/>
              <w:rPr>
                <w:lang w:val="en-US"/>
              </w:rPr>
            </w:pPr>
            <w:r w:rsidRPr="00B75199">
              <w:t>$</w:t>
            </w:r>
            <w:r w:rsidR="00DA3714" w:rsidRPr="00DA3714">
              <w:rPr>
                <w:rFonts w:hint="eastAsia"/>
                <w:color w:val="000000"/>
                <w:w w:val="15"/>
                <w:shd w:val="solid" w:color="000000" w:fill="000000"/>
                <w:fitText w:val="60" w:id="-893663473"/>
                <w14:textFill>
                  <w14:solidFill>
                    <w14:srgbClr w14:val="000000">
                      <w14:alpha w14:val="100000"/>
                    </w14:srgbClr>
                  </w14:solidFill>
                </w14:textFill>
              </w:rPr>
              <w:t xml:space="preserve">　</w:t>
            </w:r>
            <w:r w:rsidR="00DA3714" w:rsidRPr="00DA3714">
              <w:rPr>
                <w:color w:val="000000"/>
                <w:w w:val="15"/>
                <w:shd w:val="solid" w:color="000000" w:fill="000000"/>
                <w:fitText w:val="60" w:id="-893663473"/>
                <w14:textFill>
                  <w14:solidFill>
                    <w14:srgbClr w14:val="000000">
                      <w14:alpha w14:val="100000"/>
                    </w14:srgbClr>
                  </w14:solidFill>
                </w14:textFill>
              </w:rPr>
              <w:t>|</w:t>
            </w:r>
            <w:r w:rsidR="00DA3714" w:rsidRPr="00DA3714">
              <w:rPr>
                <w:rFonts w:hint="eastAsia"/>
                <w:color w:val="000000"/>
                <w:spacing w:val="-5"/>
                <w:w w:val="15"/>
                <w:shd w:val="solid" w:color="000000" w:fill="000000"/>
                <w:fitText w:val="60" w:id="-893663473"/>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DB60FA" w14:textId="4D312BD4" w:rsidR="002D7804" w:rsidRPr="00085EF6" w:rsidRDefault="002D7804">
            <w:pPr>
              <w:pStyle w:val="TableText0"/>
              <w:keepNext w:val="0"/>
              <w:keepLines/>
              <w:jc w:val="center"/>
              <w:rPr>
                <w:lang w:val="en-US"/>
              </w:rPr>
            </w:pPr>
            <w:r w:rsidRPr="00085EF6">
              <w:rPr>
                <w:lang w:val="en-US"/>
              </w:rPr>
              <w:t>$</w:t>
            </w:r>
            <w:r w:rsidR="00DA3714" w:rsidRPr="0086135B">
              <w:rPr>
                <w:rFonts w:hint="eastAsia"/>
                <w:color w:val="000000"/>
                <w:w w:val="15"/>
                <w:shd w:val="solid" w:color="000000" w:fill="000000"/>
                <w:fitText w:val="15" w:id="-893663472"/>
                <w:lang w:val="en-US"/>
                <w14:textFill>
                  <w14:solidFill>
                    <w14:srgbClr w14:val="000000">
                      <w14:alpha w14:val="100000"/>
                    </w14:srgbClr>
                  </w14:solidFill>
                </w14:textFill>
              </w:rPr>
              <w:t xml:space="preserve">　</w:t>
            </w:r>
            <w:r w:rsidR="00DA3714" w:rsidRPr="0086135B">
              <w:rPr>
                <w:color w:val="000000"/>
                <w:w w:val="15"/>
                <w:shd w:val="solid" w:color="000000" w:fill="000000"/>
                <w:fitText w:val="15" w:id="-893663472"/>
                <w:lang w:val="en-US"/>
                <w14:textFill>
                  <w14:solidFill>
                    <w14:srgbClr w14:val="000000">
                      <w14:alpha w14:val="100000"/>
                    </w14:srgbClr>
                  </w14:solidFill>
                </w14:textFill>
              </w:rPr>
              <w:t>|</w:t>
            </w:r>
            <w:r w:rsidR="00DA3714" w:rsidRPr="0086135B">
              <w:rPr>
                <w:rFonts w:hint="eastAsia"/>
                <w:color w:val="000000"/>
                <w:spacing w:val="-50"/>
                <w:w w:val="15"/>
                <w:shd w:val="solid" w:color="000000" w:fill="000000"/>
                <w:fitText w:val="15" w:id="-893663472"/>
                <w:lang w:val="en-US"/>
                <w14:textFill>
                  <w14:solidFill>
                    <w14:srgbClr w14:val="000000">
                      <w14:alpha w14:val="100000"/>
                    </w14:srgbClr>
                  </w14:solidFill>
                </w14:textFill>
              </w:rPr>
              <w:t xml:space="preserve">　</w:t>
            </w:r>
            <w:r w:rsidR="00990DE6" w:rsidRPr="00085EF6">
              <w:rPr>
                <w:vertAlign w:val="superscript"/>
                <w:lang w:val="en-US"/>
              </w:rPr>
              <w:t>e</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24409F" w14:textId="77777777" w:rsidR="002D7804" w:rsidRPr="00B75199" w:rsidRDefault="002D7804">
            <w:pPr>
              <w:pStyle w:val="TableText0"/>
              <w:keepNext w:val="0"/>
              <w:keepLines/>
              <w:jc w:val="center"/>
              <w:rPr>
                <w:lang w:val="en-US"/>
              </w:rPr>
            </w:pPr>
            <w:r w:rsidRPr="00B75199">
              <w:rPr>
                <w:lang w:val="en-US"/>
              </w:rPr>
              <w:t>–</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CFD985" w14:textId="43A7E720" w:rsidR="002D7804" w:rsidRPr="00D26D6C" w:rsidRDefault="002D7804">
            <w:pPr>
              <w:pStyle w:val="TableText0"/>
              <w:keepNext w:val="0"/>
              <w:keepLines/>
              <w:jc w:val="center"/>
              <w:rPr>
                <w:strike/>
                <w:lang w:val="en-US"/>
              </w:rPr>
            </w:pPr>
            <w:r w:rsidRPr="00450576">
              <w:t>$</w:t>
            </w:r>
            <w:r w:rsidR="00DA3714" w:rsidRPr="00DA3714">
              <w:rPr>
                <w:color w:val="000000"/>
                <w:shd w:val="solid" w:color="000000" w:fill="000000"/>
                <w14:textFill>
                  <w14:solidFill>
                    <w14:srgbClr w14:val="000000">
                      <w14:alpha w14:val="100000"/>
                    </w14:srgbClr>
                  </w14:solidFill>
                </w14:textFill>
              </w:rPr>
              <w:t>|</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8A147" w14:textId="07D5A87F" w:rsidR="002D7804" w:rsidRPr="00B75199" w:rsidRDefault="00AF6965">
            <w:pPr>
              <w:pStyle w:val="TableText0"/>
              <w:keepNext w:val="0"/>
              <w:keepLines/>
              <w:jc w:val="center"/>
              <w:rPr>
                <w:rFonts w:ascii="Times New Roman" w:hAnsi="Times New Roman" w:cs="Times New Roman"/>
                <w:szCs w:val="20"/>
              </w:rPr>
            </w:pPr>
            <w:r w:rsidRPr="00B75199">
              <w:t>NA</w:t>
            </w:r>
          </w:p>
        </w:tc>
      </w:tr>
    </w:tbl>
    <w:p w14:paraId="1BE73945" w14:textId="77777777" w:rsidR="002D7804" w:rsidRDefault="002D7804" w:rsidP="002D7804">
      <w:pPr>
        <w:pStyle w:val="FooterTableFigure"/>
      </w:pPr>
      <w:r>
        <w:t xml:space="preserve">Source: </w:t>
      </w:r>
      <w:r w:rsidRPr="00CB2B3B">
        <w:rPr>
          <w:iCs/>
        </w:rPr>
        <w:t>Table compiled during the evaluation, based</w:t>
      </w:r>
      <w:r>
        <w:t xml:space="preserve"> on “Attachment 2.3 LIBRETTO-431 CSR”, “Attachment 2.1 LIBRETTO-001 CSR”, “Attachment 5.1_Selpercatinib Section 3 Workbook” and “Attachment 6.1_ Selpercatinib Cost and utilisation model” of the resubmission.</w:t>
      </w:r>
    </w:p>
    <w:p w14:paraId="108CC889" w14:textId="505A162D" w:rsidR="002D7804" w:rsidRDefault="002D7804" w:rsidP="002D7804">
      <w:pPr>
        <w:pStyle w:val="FooterTableFigure"/>
      </w:pPr>
      <w:r>
        <w:t>AUC = area under the curve; NA = not applicable; PC = platinum-based doublet chemotherapy.</w:t>
      </w:r>
    </w:p>
    <w:p w14:paraId="4E043D86" w14:textId="126AB79F" w:rsidR="008E0E89" w:rsidRDefault="008E0E89" w:rsidP="002D7804">
      <w:pPr>
        <w:pStyle w:val="FooterTableFigure"/>
      </w:pPr>
      <w:r w:rsidRPr="00E2432E">
        <w:rPr>
          <w:vertAlign w:val="superscript"/>
        </w:rPr>
        <w:t>a</w:t>
      </w:r>
      <w:r w:rsidR="00813F4C" w:rsidRPr="00813F4C">
        <w:t xml:space="preserve"> Cycle 2 onwards the </w:t>
      </w:r>
      <w:r w:rsidR="00813F4C">
        <w:t xml:space="preserve">dose is lower because the </w:t>
      </w:r>
      <w:r w:rsidR="00813F4C" w:rsidRPr="00813F4C">
        <w:t>model consider</w:t>
      </w:r>
      <w:r w:rsidR="00813F4C">
        <w:t>ed</w:t>
      </w:r>
      <w:r w:rsidR="00813F4C" w:rsidRPr="00813F4C">
        <w:t xml:space="preserve"> potential dose reductions to account for toxicity and adverse events (the resubmission).</w:t>
      </w:r>
    </w:p>
    <w:p w14:paraId="03F5F9A7" w14:textId="38EDFABF" w:rsidR="002D7804" w:rsidRDefault="008E0E89" w:rsidP="002D7804">
      <w:pPr>
        <w:pStyle w:val="FooterTableFigure"/>
      </w:pPr>
      <w:r>
        <w:rPr>
          <w:vertAlign w:val="superscript"/>
        </w:rPr>
        <w:t>b</w:t>
      </w:r>
      <w:r w:rsidR="002D7804">
        <w:rPr>
          <w:vertAlign w:val="superscript"/>
        </w:rPr>
        <w:t xml:space="preserve"> </w:t>
      </w:r>
      <w:r w:rsidR="002D7804">
        <w:t>The daily dose used in the financial analysis was the weighted mean of 293.3 mg/day for the first 28-day treatment cycle and 251.1 mg/day for the remaining 36.7 cycles.</w:t>
      </w:r>
    </w:p>
    <w:p w14:paraId="0E7732E5" w14:textId="7492D468" w:rsidR="002D7804" w:rsidRPr="00B75199" w:rsidRDefault="008E0E89" w:rsidP="002D7804">
      <w:pPr>
        <w:pStyle w:val="FooterTableFigure"/>
      </w:pPr>
      <w:r>
        <w:rPr>
          <w:vertAlign w:val="superscript"/>
        </w:rPr>
        <w:t>c</w:t>
      </w:r>
      <w:r w:rsidR="002D7804">
        <w:t xml:space="preserve"> Based on 150.91 weeks of treatment received in LIBRETTO-001 (cell ‘F173’ in tab ‘3a. Scripts- proposed’ in ‘Attachment 6.1_ Selpercatinib Cost and utilisation model’). </w:t>
      </w:r>
      <w:r w:rsidR="002D7804" w:rsidRPr="00085EF6">
        <w:t>Data not presented in the main resubmission document.</w:t>
      </w:r>
      <w:r w:rsidR="002D7804">
        <w:rPr>
          <w:b/>
          <w:vertAlign w:val="superscript"/>
        </w:rPr>
        <w:t xml:space="preserve"> </w:t>
      </w:r>
      <w:r w:rsidR="002D7804" w:rsidRPr="00F21C35">
        <w:t>In the resubmission, patients were assumed to receive treatment with selpercatinib for an average of 34.71 months or 2.8925 years. In line with this, each patient receive</w:t>
      </w:r>
      <w:r w:rsidR="002D7804">
        <w:t xml:space="preserve">d </w:t>
      </w:r>
      <w:r w:rsidR="002D7804" w:rsidRPr="00F21C35">
        <w:t xml:space="preserve">treatment for 10.71 </w:t>
      </w:r>
      <w:r w:rsidR="002D7804" w:rsidRPr="00B75199">
        <w:t xml:space="preserve">months (89.25% of the year) in their third year of treatment. </w:t>
      </w:r>
    </w:p>
    <w:p w14:paraId="1E929076" w14:textId="23130BD5" w:rsidR="002D7804" w:rsidRPr="00085EF6" w:rsidRDefault="00990DE6" w:rsidP="002D7804">
      <w:pPr>
        <w:pStyle w:val="FooterTableFigure"/>
      </w:pPr>
      <w:r w:rsidRPr="00085EF6">
        <w:rPr>
          <w:vertAlign w:val="superscript"/>
        </w:rPr>
        <w:t>d</w:t>
      </w:r>
      <w:r w:rsidR="006A1862" w:rsidRPr="00085EF6">
        <w:rPr>
          <w:vertAlign w:val="superscript"/>
        </w:rPr>
        <w:t xml:space="preserve"> </w:t>
      </w:r>
      <w:r w:rsidR="002D7804" w:rsidRPr="00085EF6">
        <w:t xml:space="preserve">Costs calculated </w:t>
      </w:r>
      <w:r w:rsidR="00056AB7" w:rsidRPr="00085EF6">
        <w:t>during the evaluation by</w:t>
      </w:r>
      <w:r w:rsidR="002D7804" w:rsidRPr="00085EF6">
        <w:t xml:space="preserve"> multiplying effective cost of selpercatinib by dose/pack size (Table 3-24, of the submission), with the proportion of patients on each dose regimens in Cycle 1 and Cycles 2+ described in </w:t>
      </w:r>
      <w:r w:rsidR="001B591B" w:rsidRPr="00085EF6">
        <w:t>Sheet 3a. Scripts – proposed (cells E178:H183)</w:t>
      </w:r>
      <w:r w:rsidR="002D7804" w:rsidRPr="00085EF6">
        <w:t>.</w:t>
      </w:r>
    </w:p>
    <w:p w14:paraId="77BCB975" w14:textId="7D4E49A6" w:rsidR="002D7804" w:rsidRPr="00B75199" w:rsidRDefault="00990DE6" w:rsidP="002D7804">
      <w:pPr>
        <w:pStyle w:val="FooterTableFigure"/>
      </w:pPr>
      <w:r w:rsidRPr="00085EF6">
        <w:rPr>
          <w:vertAlign w:val="superscript"/>
        </w:rPr>
        <w:lastRenderedPageBreak/>
        <w:t>e</w:t>
      </w:r>
      <w:r w:rsidR="006A1862" w:rsidRPr="00085EF6">
        <w:rPr>
          <w:vertAlign w:val="superscript"/>
        </w:rPr>
        <w:t xml:space="preserve"> </w:t>
      </w:r>
      <w:r w:rsidR="002D7804" w:rsidRPr="00085EF6">
        <w:t xml:space="preserve">Cost </w:t>
      </w:r>
      <w:r w:rsidR="00056AB7" w:rsidRPr="00085EF6">
        <w:t>during the evaluation</w:t>
      </w:r>
      <w:r w:rsidR="002D7804" w:rsidRPr="00085EF6">
        <w:t xml:space="preserve"> based on cost/patient/cycle across 37.7 cycles.</w:t>
      </w:r>
    </w:p>
    <w:p w14:paraId="1E23BF5B" w14:textId="77777777" w:rsidR="002D7804" w:rsidRPr="00C9624D" w:rsidRDefault="002D7804" w:rsidP="002D7804">
      <w:pPr>
        <w:pStyle w:val="4-SubsectionHeading"/>
      </w:pPr>
      <w:bookmarkStart w:id="76" w:name="_Toc22897647"/>
      <w:bookmarkStart w:id="77" w:name="_Toc167269752"/>
      <w:r w:rsidRPr="00C9624D">
        <w:t>Estimated PBS usage &amp; financial implications</w:t>
      </w:r>
      <w:bookmarkEnd w:id="76"/>
      <w:bookmarkEnd w:id="77"/>
    </w:p>
    <w:p w14:paraId="5C70D7A7" w14:textId="4A59FFDA" w:rsidR="002D7804" w:rsidRPr="002F00A7" w:rsidRDefault="002D7804" w:rsidP="002D7804">
      <w:pPr>
        <w:pStyle w:val="3-BodyText"/>
      </w:pPr>
      <w:r w:rsidRPr="002F00A7">
        <w:t>This resubmission w</w:t>
      </w:r>
      <w:r w:rsidR="00C13893">
        <w:t>as</w:t>
      </w:r>
      <w:r w:rsidRPr="002F00A7">
        <w:t xml:space="preserve"> not considered by DUSC.</w:t>
      </w:r>
      <w:r w:rsidR="005D42C3">
        <w:t xml:space="preserve"> The July 2023 submission was considered by the DUSC.</w:t>
      </w:r>
      <w:r w:rsidRPr="002F00A7">
        <w:t xml:space="preserve"> The submission utilised an </w:t>
      </w:r>
      <w:r w:rsidRPr="003436F6">
        <w:t xml:space="preserve">epidemiological approach to determine the number of eligible patients in the first 6 </w:t>
      </w:r>
      <w:r w:rsidRPr="002F00A7">
        <w:t xml:space="preserve">years of listing. </w:t>
      </w:r>
    </w:p>
    <w:p w14:paraId="700E1A73" w14:textId="5EF84F6E" w:rsidR="002D7804" w:rsidRPr="00197A76" w:rsidRDefault="002D7804" w:rsidP="002D7804">
      <w:pPr>
        <w:pStyle w:val="3-BodyText"/>
      </w:pPr>
      <w:r w:rsidRPr="002F00A7">
        <w:t xml:space="preserve">The key inputs utilised to determine the number of eligible patients and financial </w:t>
      </w:r>
      <w:r w:rsidRPr="003436F6">
        <w:t>estimations</w:t>
      </w:r>
      <w:r>
        <w:t>, and the differences between the July 2023 submission and resubmission</w:t>
      </w:r>
      <w:r w:rsidRPr="003436F6">
        <w:t xml:space="preserve"> are summarised in</w:t>
      </w:r>
      <w:r>
        <w:t xml:space="preserve"> </w:t>
      </w:r>
      <w:r>
        <w:fldChar w:fldCharType="begin" w:fldLock="1"/>
      </w:r>
      <w:r>
        <w:instrText xml:space="preserve"> REF _Ref164204078 \h </w:instrText>
      </w:r>
      <w:r>
        <w:fldChar w:fldCharType="separate"/>
      </w:r>
      <w:r w:rsidR="00F979CE">
        <w:t xml:space="preserve">Table </w:t>
      </w:r>
      <w:r w:rsidR="00F979CE">
        <w:rPr>
          <w:noProof/>
        </w:rPr>
        <w:t>17</w:t>
      </w:r>
      <w:r>
        <w:fldChar w:fldCharType="end"/>
      </w:r>
      <w:r>
        <w:t>.</w:t>
      </w:r>
    </w:p>
    <w:p w14:paraId="6819A67C" w14:textId="342AFF2A" w:rsidR="002D7804" w:rsidRDefault="002D7804" w:rsidP="002D7804">
      <w:pPr>
        <w:pStyle w:val="Caption"/>
      </w:pPr>
      <w:bookmarkStart w:id="78" w:name="_Ref164204078"/>
      <w:r>
        <w:t xml:space="preserve">Table </w:t>
      </w:r>
      <w:r w:rsidR="00BA56FF">
        <w:fldChar w:fldCharType="begin" w:fldLock="1"/>
      </w:r>
      <w:r w:rsidR="00BA56FF">
        <w:instrText xml:space="preserve"> SEQ Table \* ARABIC </w:instrText>
      </w:r>
      <w:r w:rsidR="00BA56FF">
        <w:fldChar w:fldCharType="separate"/>
      </w:r>
      <w:r w:rsidR="00F979CE">
        <w:rPr>
          <w:noProof/>
        </w:rPr>
        <w:t>17</w:t>
      </w:r>
      <w:r w:rsidR="00BA56FF">
        <w:rPr>
          <w:noProof/>
        </w:rPr>
        <w:fldChar w:fldCharType="end"/>
      </w:r>
      <w:bookmarkEnd w:id="78"/>
      <w:r>
        <w:rPr>
          <w:noProof/>
        </w:rPr>
        <w:t>:</w:t>
      </w:r>
      <w:r>
        <w:t xml:space="preserve"> </w:t>
      </w:r>
      <w:r w:rsidRPr="00930FC1">
        <w:t>Data sources and parameter values applied in the utilisation and financial estimates</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Data sources and parameter values applied in the utilisation and financial estimates"/>
      </w:tblPr>
      <w:tblGrid>
        <w:gridCol w:w="1684"/>
        <w:gridCol w:w="1146"/>
        <w:gridCol w:w="2047"/>
        <w:gridCol w:w="4282"/>
      </w:tblGrid>
      <w:tr w:rsidR="00FD3E4D" w:rsidRPr="00914C77" w14:paraId="4AEF4469" w14:textId="77777777" w:rsidTr="001471E1">
        <w:trPr>
          <w:cantSplit/>
          <w:tblHeader/>
        </w:trPr>
        <w:tc>
          <w:tcPr>
            <w:tcW w:w="1684" w:type="dxa"/>
            <w:tcMar>
              <w:left w:w="40" w:type="dxa"/>
              <w:right w:w="40" w:type="dxa"/>
            </w:tcMar>
            <w:vAlign w:val="center"/>
          </w:tcPr>
          <w:p w14:paraId="035B28DF" w14:textId="77777777" w:rsidR="00FD3E4D" w:rsidRPr="00914C77" w:rsidRDefault="00FD3E4D" w:rsidP="005113B4">
            <w:pPr>
              <w:pStyle w:val="In-tableHeading"/>
              <w:keepLines/>
              <w:jc w:val="center"/>
            </w:pPr>
            <w:r w:rsidRPr="00914C77">
              <w:t>Data</w:t>
            </w:r>
          </w:p>
        </w:tc>
        <w:tc>
          <w:tcPr>
            <w:tcW w:w="1146" w:type="dxa"/>
            <w:tcMar>
              <w:left w:w="40" w:type="dxa"/>
              <w:right w:w="40" w:type="dxa"/>
            </w:tcMar>
            <w:vAlign w:val="center"/>
          </w:tcPr>
          <w:p w14:paraId="5B3B9ACC" w14:textId="77777777" w:rsidR="00FD3E4D" w:rsidRPr="00914C77" w:rsidRDefault="00FD3E4D" w:rsidP="005113B4">
            <w:pPr>
              <w:pStyle w:val="In-tableHeading"/>
              <w:keepLines/>
              <w:jc w:val="center"/>
            </w:pPr>
            <w:r w:rsidRPr="00914C77">
              <w:t>Value</w:t>
            </w:r>
          </w:p>
        </w:tc>
        <w:tc>
          <w:tcPr>
            <w:tcW w:w="2047" w:type="dxa"/>
            <w:tcMar>
              <w:left w:w="40" w:type="dxa"/>
              <w:right w:w="40" w:type="dxa"/>
            </w:tcMar>
            <w:vAlign w:val="center"/>
          </w:tcPr>
          <w:p w14:paraId="18AE6F42" w14:textId="77777777" w:rsidR="00FD3E4D" w:rsidRPr="00914C77" w:rsidRDefault="00FD3E4D" w:rsidP="005113B4">
            <w:pPr>
              <w:pStyle w:val="In-tableHeading"/>
              <w:keepLines/>
              <w:jc w:val="center"/>
            </w:pPr>
            <w:r w:rsidRPr="00914C77">
              <w:t>Source</w:t>
            </w:r>
          </w:p>
        </w:tc>
        <w:tc>
          <w:tcPr>
            <w:tcW w:w="4282" w:type="dxa"/>
            <w:tcMar>
              <w:left w:w="40" w:type="dxa"/>
              <w:right w:w="40" w:type="dxa"/>
            </w:tcMar>
            <w:vAlign w:val="center"/>
          </w:tcPr>
          <w:p w14:paraId="76EF0712" w14:textId="77777777" w:rsidR="00FD3E4D" w:rsidRPr="007A7229" w:rsidRDefault="00FD3E4D" w:rsidP="005113B4">
            <w:pPr>
              <w:pStyle w:val="In-tableHeading"/>
              <w:keepLines/>
              <w:jc w:val="center"/>
            </w:pPr>
            <w:r w:rsidRPr="007A7229">
              <w:t>Comment</w:t>
            </w:r>
          </w:p>
        </w:tc>
      </w:tr>
      <w:tr w:rsidR="00FD3E4D" w14:paraId="697E1D52" w14:textId="77777777" w:rsidTr="001471E1">
        <w:trPr>
          <w:cantSplit/>
        </w:trPr>
        <w:tc>
          <w:tcPr>
            <w:tcW w:w="9159" w:type="dxa"/>
            <w:gridSpan w:val="4"/>
            <w:tcMar>
              <w:left w:w="40" w:type="dxa"/>
              <w:right w:w="40" w:type="dxa"/>
            </w:tcMar>
            <w:vAlign w:val="center"/>
          </w:tcPr>
          <w:p w14:paraId="5820482F" w14:textId="77777777" w:rsidR="00FD3E4D" w:rsidRPr="007A7229" w:rsidRDefault="00FD3E4D" w:rsidP="005113B4">
            <w:pPr>
              <w:pStyle w:val="In-tableHeading"/>
              <w:keepLines/>
            </w:pPr>
            <w:r w:rsidRPr="007A7229">
              <w:t>Eligible population</w:t>
            </w:r>
          </w:p>
        </w:tc>
      </w:tr>
      <w:tr w:rsidR="00FD3E4D" w14:paraId="4175D929" w14:textId="77777777" w:rsidTr="001471E1">
        <w:trPr>
          <w:cantSplit/>
        </w:trPr>
        <w:tc>
          <w:tcPr>
            <w:tcW w:w="1684" w:type="dxa"/>
            <w:tcMar>
              <w:left w:w="40" w:type="dxa"/>
              <w:right w:w="40" w:type="dxa"/>
            </w:tcMar>
            <w:vAlign w:val="center"/>
          </w:tcPr>
          <w:p w14:paraId="2637C25C" w14:textId="77777777" w:rsidR="00FD3E4D" w:rsidRPr="0095218A" w:rsidRDefault="00FD3E4D" w:rsidP="005113B4">
            <w:pPr>
              <w:pStyle w:val="TableText0"/>
              <w:keepNext w:val="0"/>
              <w:widowControl w:val="0"/>
            </w:pPr>
            <w:r w:rsidRPr="0095218A">
              <w:t>Incident patients</w:t>
            </w:r>
            <w:r>
              <w:t xml:space="preserve"> with lung cancer</w:t>
            </w:r>
          </w:p>
        </w:tc>
        <w:tc>
          <w:tcPr>
            <w:tcW w:w="1146" w:type="dxa"/>
            <w:tcMar>
              <w:left w:w="40" w:type="dxa"/>
              <w:right w:w="40" w:type="dxa"/>
            </w:tcMar>
            <w:vAlign w:val="center"/>
          </w:tcPr>
          <w:p w14:paraId="442808A8" w14:textId="77777777" w:rsidR="00FD3E4D" w:rsidRPr="0095218A" w:rsidRDefault="00FD3E4D" w:rsidP="005113B4">
            <w:pPr>
              <w:pStyle w:val="TableText0"/>
              <w:keepNext w:val="0"/>
              <w:widowControl w:val="0"/>
            </w:pPr>
            <w:r w:rsidRPr="0095218A">
              <w:t>Yr 1: 14,840</w:t>
            </w:r>
          </w:p>
          <w:p w14:paraId="4EE0E893" w14:textId="77777777" w:rsidR="00FD3E4D" w:rsidRPr="0095218A" w:rsidRDefault="00FD3E4D" w:rsidP="005113B4">
            <w:pPr>
              <w:pStyle w:val="TableText0"/>
              <w:keepNext w:val="0"/>
              <w:widowControl w:val="0"/>
            </w:pPr>
            <w:r w:rsidRPr="0095218A">
              <w:t>Yr 2: 15,133</w:t>
            </w:r>
          </w:p>
          <w:p w14:paraId="25473D8D" w14:textId="77777777" w:rsidR="00FD3E4D" w:rsidRPr="0095218A" w:rsidRDefault="00FD3E4D" w:rsidP="005113B4">
            <w:pPr>
              <w:pStyle w:val="TableText0"/>
              <w:keepNext w:val="0"/>
              <w:widowControl w:val="0"/>
            </w:pPr>
            <w:r w:rsidRPr="0095218A">
              <w:t>Yr 3: 15,414</w:t>
            </w:r>
          </w:p>
          <w:p w14:paraId="3910FE26" w14:textId="77777777" w:rsidR="00FD3E4D" w:rsidRPr="0095218A" w:rsidRDefault="00FD3E4D" w:rsidP="005113B4">
            <w:pPr>
              <w:pStyle w:val="TableText0"/>
              <w:keepNext w:val="0"/>
              <w:widowControl w:val="0"/>
            </w:pPr>
            <w:r w:rsidRPr="0095218A">
              <w:t xml:space="preserve">Yr </w:t>
            </w:r>
            <w:r>
              <w:t>4</w:t>
            </w:r>
            <w:r w:rsidRPr="0095218A">
              <w:t>: 15,686</w:t>
            </w:r>
          </w:p>
          <w:p w14:paraId="5BF2CCEC" w14:textId="77777777" w:rsidR="00FD3E4D" w:rsidRDefault="00FD3E4D" w:rsidP="005113B4">
            <w:pPr>
              <w:pStyle w:val="TableText0"/>
              <w:keepNext w:val="0"/>
              <w:widowControl w:val="0"/>
            </w:pPr>
            <w:r w:rsidRPr="0095218A">
              <w:t xml:space="preserve">Yr </w:t>
            </w:r>
            <w:r>
              <w:t>5</w:t>
            </w:r>
            <w:r w:rsidRPr="0095218A">
              <w:t>: 15,943</w:t>
            </w:r>
          </w:p>
          <w:p w14:paraId="0CAC60C4" w14:textId="77777777" w:rsidR="00FD3E4D" w:rsidRPr="0095218A" w:rsidRDefault="00FD3E4D" w:rsidP="005113B4">
            <w:pPr>
              <w:pStyle w:val="TableText0"/>
              <w:keepNext w:val="0"/>
              <w:widowControl w:val="0"/>
            </w:pPr>
            <w:r w:rsidRPr="0095218A">
              <w:t xml:space="preserve">Yr </w:t>
            </w:r>
            <w:r>
              <w:t>6</w:t>
            </w:r>
            <w:r w:rsidRPr="0095218A">
              <w:t>: 1</w:t>
            </w:r>
            <w:r>
              <w:t>6,182</w:t>
            </w:r>
          </w:p>
        </w:tc>
        <w:tc>
          <w:tcPr>
            <w:tcW w:w="2047" w:type="dxa"/>
            <w:shd w:val="clear" w:color="auto" w:fill="B8CCE4" w:themeFill="accent1" w:themeFillTint="66"/>
            <w:tcMar>
              <w:left w:w="40" w:type="dxa"/>
              <w:right w:w="40" w:type="dxa"/>
            </w:tcMar>
            <w:vAlign w:val="center"/>
          </w:tcPr>
          <w:p w14:paraId="4C08E950" w14:textId="77777777" w:rsidR="00FD3E4D" w:rsidRDefault="00FD3E4D" w:rsidP="005113B4">
            <w:pPr>
              <w:pStyle w:val="TableText0"/>
              <w:keepNext w:val="0"/>
              <w:widowControl w:val="0"/>
            </w:pPr>
            <w:r>
              <w:t>AIHW</w:t>
            </w:r>
            <w:r>
              <w:rPr>
                <w:sz w:val="18"/>
                <w:szCs w:val="18"/>
              </w:rPr>
              <w:t xml:space="preserve">, </w:t>
            </w:r>
            <w:r w:rsidRPr="009E6857">
              <w:rPr>
                <w:szCs w:val="20"/>
              </w:rPr>
              <w:t>Cancer in Australia 2021</w:t>
            </w:r>
            <w:r>
              <w:t xml:space="preserve"> </w:t>
            </w:r>
          </w:p>
        </w:tc>
        <w:tc>
          <w:tcPr>
            <w:tcW w:w="4282" w:type="dxa"/>
            <w:tcMar>
              <w:left w:w="40" w:type="dxa"/>
              <w:right w:w="40" w:type="dxa"/>
            </w:tcMar>
            <w:vAlign w:val="center"/>
          </w:tcPr>
          <w:p w14:paraId="0CEB7F0D" w14:textId="7B006C36" w:rsidR="00FD3E4D" w:rsidRPr="007A7229" w:rsidRDefault="00FD3E4D" w:rsidP="005113B4">
            <w:pPr>
              <w:pStyle w:val="TableText0"/>
              <w:keepNext w:val="0"/>
              <w:widowControl w:val="0"/>
            </w:pPr>
            <w:r w:rsidRPr="007A7229">
              <w:t xml:space="preserve">This data source was the same as the July 2023 submission and was considered reasonable by DUSC (Table 26, </w:t>
            </w:r>
            <w:r w:rsidR="00C62643" w:rsidRPr="007A7229">
              <w:t>selpercatinib, PSD</w:t>
            </w:r>
            <w:r w:rsidRPr="007A7229">
              <w:t>, July 2023 PBAC meeting).</w:t>
            </w:r>
          </w:p>
        </w:tc>
      </w:tr>
      <w:tr w:rsidR="00FD3E4D" w14:paraId="578FFF20" w14:textId="77777777" w:rsidTr="001471E1">
        <w:trPr>
          <w:cantSplit/>
        </w:trPr>
        <w:tc>
          <w:tcPr>
            <w:tcW w:w="1684" w:type="dxa"/>
            <w:tcMar>
              <w:left w:w="40" w:type="dxa"/>
              <w:right w:w="40" w:type="dxa"/>
            </w:tcMar>
            <w:vAlign w:val="center"/>
          </w:tcPr>
          <w:p w14:paraId="6118BFA7" w14:textId="77777777" w:rsidR="00FD3E4D" w:rsidRDefault="00FD3E4D" w:rsidP="005113B4">
            <w:pPr>
              <w:pStyle w:val="TableText0"/>
              <w:keepNext w:val="0"/>
              <w:widowControl w:val="0"/>
            </w:pPr>
            <w:r>
              <w:t>Prevalent patients with lung cancer</w:t>
            </w:r>
          </w:p>
        </w:tc>
        <w:tc>
          <w:tcPr>
            <w:tcW w:w="1146" w:type="dxa"/>
            <w:tcMar>
              <w:left w:w="40" w:type="dxa"/>
              <w:right w:w="40" w:type="dxa"/>
            </w:tcMar>
            <w:vAlign w:val="center"/>
          </w:tcPr>
          <w:p w14:paraId="0D7D47A2" w14:textId="77777777" w:rsidR="00FD3E4D" w:rsidRDefault="00FD3E4D" w:rsidP="005113B4">
            <w:pPr>
              <w:pStyle w:val="TableText0"/>
              <w:keepNext w:val="0"/>
              <w:widowControl w:val="0"/>
            </w:pPr>
            <w:r>
              <w:t>Yr 1: 28,833</w:t>
            </w:r>
          </w:p>
          <w:p w14:paraId="1A31BCCA" w14:textId="77777777" w:rsidR="00FD3E4D" w:rsidRDefault="00FD3E4D" w:rsidP="005113B4">
            <w:pPr>
              <w:pStyle w:val="TableText0"/>
              <w:keepNext w:val="0"/>
              <w:widowControl w:val="0"/>
            </w:pPr>
            <w:r>
              <w:t>Yr 2-6: Not used</w:t>
            </w:r>
          </w:p>
        </w:tc>
        <w:tc>
          <w:tcPr>
            <w:tcW w:w="2047" w:type="dxa"/>
            <w:shd w:val="clear" w:color="auto" w:fill="B8CCE4" w:themeFill="accent1" w:themeFillTint="66"/>
            <w:tcMar>
              <w:left w:w="40" w:type="dxa"/>
              <w:right w:w="40" w:type="dxa"/>
            </w:tcMar>
            <w:vAlign w:val="center"/>
          </w:tcPr>
          <w:p w14:paraId="012447EF" w14:textId="77777777" w:rsidR="00FD3E4D" w:rsidRDefault="00FD3E4D" w:rsidP="005113B4">
            <w:pPr>
              <w:pStyle w:val="TableText0"/>
              <w:keepNext w:val="0"/>
              <w:widowControl w:val="0"/>
            </w:pPr>
            <w:r>
              <w:t>AIHW</w:t>
            </w:r>
            <w:r>
              <w:rPr>
                <w:sz w:val="18"/>
                <w:szCs w:val="18"/>
              </w:rPr>
              <w:t xml:space="preserve">, </w:t>
            </w:r>
            <w:r w:rsidRPr="009E6857">
              <w:rPr>
                <w:szCs w:val="20"/>
              </w:rPr>
              <w:t>Cancer in Australia 2021</w:t>
            </w:r>
            <w:r>
              <w:rPr>
                <w:szCs w:val="20"/>
              </w:rPr>
              <w:t xml:space="preserve">. </w:t>
            </w:r>
            <w:r w:rsidRPr="00EC3B20">
              <w:rPr>
                <w:szCs w:val="20"/>
              </w:rPr>
              <w:t xml:space="preserve">The </w:t>
            </w:r>
            <w:r w:rsidRPr="00EC3B20">
              <w:t xml:space="preserve">prevalent pool was estimated by totalling the incidence of lung cancer for </w:t>
            </w:r>
            <w:r>
              <w:t xml:space="preserve">the </w:t>
            </w:r>
            <w:r w:rsidRPr="00EC3B20">
              <w:t xml:space="preserve">past </w:t>
            </w:r>
            <w:r>
              <w:t>2</w:t>
            </w:r>
            <w:r w:rsidRPr="00EC3B20">
              <w:t xml:space="preserve"> years</w:t>
            </w:r>
            <w:r>
              <w:t>.</w:t>
            </w:r>
          </w:p>
        </w:tc>
        <w:tc>
          <w:tcPr>
            <w:tcW w:w="4282" w:type="dxa"/>
            <w:tcMar>
              <w:left w:w="40" w:type="dxa"/>
              <w:right w:w="40" w:type="dxa"/>
            </w:tcMar>
            <w:vAlign w:val="center"/>
          </w:tcPr>
          <w:p w14:paraId="67E8584A" w14:textId="77777777" w:rsidR="00FD3E4D" w:rsidRPr="007A7229" w:rsidRDefault="00FD3E4D" w:rsidP="005113B4">
            <w:pPr>
              <w:pStyle w:val="TableText0"/>
              <w:keepNext w:val="0"/>
              <w:widowControl w:val="0"/>
            </w:pPr>
            <w:r w:rsidRPr="007A7229">
              <w:t xml:space="preserve">This data source was the same as the July 2023 submission and was reasonable given the proportion of prevalent patients eligible to receive treatment outlined below. </w:t>
            </w:r>
          </w:p>
        </w:tc>
      </w:tr>
      <w:tr w:rsidR="00FD3E4D" w14:paraId="619F54A6" w14:textId="77777777" w:rsidTr="001471E1">
        <w:trPr>
          <w:cantSplit/>
        </w:trPr>
        <w:tc>
          <w:tcPr>
            <w:tcW w:w="9159" w:type="dxa"/>
            <w:gridSpan w:val="4"/>
            <w:tcMar>
              <w:left w:w="40" w:type="dxa"/>
              <w:right w:w="40" w:type="dxa"/>
            </w:tcMar>
            <w:vAlign w:val="center"/>
          </w:tcPr>
          <w:p w14:paraId="4A3B57AD" w14:textId="77777777" w:rsidR="00FD3E4D" w:rsidRPr="007A7229" w:rsidRDefault="00FD3E4D" w:rsidP="005113B4">
            <w:pPr>
              <w:pStyle w:val="TableText0"/>
              <w:keepLines/>
              <w:rPr>
                <w:b/>
              </w:rPr>
            </w:pPr>
            <w:r w:rsidRPr="007A7229">
              <w:rPr>
                <w:b/>
              </w:rPr>
              <w:t>Additional parameters utilised to estimate the number of eligible patients</w:t>
            </w:r>
            <w:r w:rsidRPr="007A7229">
              <w:t xml:space="preserve"> </w:t>
            </w:r>
          </w:p>
        </w:tc>
      </w:tr>
      <w:tr w:rsidR="00FD3E4D" w14:paraId="29C52B39" w14:textId="77777777" w:rsidTr="001471E1">
        <w:trPr>
          <w:cantSplit/>
        </w:trPr>
        <w:tc>
          <w:tcPr>
            <w:tcW w:w="1684" w:type="dxa"/>
            <w:tcMar>
              <w:left w:w="40" w:type="dxa"/>
              <w:right w:w="40" w:type="dxa"/>
            </w:tcMar>
            <w:vAlign w:val="center"/>
          </w:tcPr>
          <w:p w14:paraId="387F451D" w14:textId="0BFE314D" w:rsidR="00FD3E4D" w:rsidRDefault="00FD3E4D" w:rsidP="005113B4">
            <w:pPr>
              <w:pStyle w:val="TableText0"/>
              <w:keepNext w:val="0"/>
              <w:widowControl w:val="0"/>
            </w:pPr>
            <w:r>
              <w:t xml:space="preserve">Proportion of patients who </w:t>
            </w:r>
            <w:r w:rsidR="009C4214">
              <w:t xml:space="preserve">have </w:t>
            </w:r>
            <w:r>
              <w:t>NSCLC</w:t>
            </w:r>
          </w:p>
        </w:tc>
        <w:tc>
          <w:tcPr>
            <w:tcW w:w="1146" w:type="dxa"/>
            <w:shd w:val="clear" w:color="auto" w:fill="B8CCE4" w:themeFill="accent1" w:themeFillTint="66"/>
            <w:tcMar>
              <w:left w:w="40" w:type="dxa"/>
              <w:right w:w="40" w:type="dxa"/>
            </w:tcMar>
            <w:vAlign w:val="center"/>
          </w:tcPr>
          <w:p w14:paraId="058B3717" w14:textId="77777777" w:rsidR="00FD3E4D" w:rsidRDefault="00FD3E4D" w:rsidP="005113B4">
            <w:pPr>
              <w:pStyle w:val="TableText0"/>
              <w:keepNext w:val="0"/>
              <w:widowControl w:val="0"/>
              <w:jc w:val="center"/>
            </w:pPr>
            <w:r>
              <w:t>86.6%</w:t>
            </w:r>
          </w:p>
        </w:tc>
        <w:tc>
          <w:tcPr>
            <w:tcW w:w="2047" w:type="dxa"/>
            <w:shd w:val="clear" w:color="auto" w:fill="B8CCE4" w:themeFill="accent1" w:themeFillTint="66"/>
            <w:tcMar>
              <w:left w:w="40" w:type="dxa"/>
              <w:right w:w="40" w:type="dxa"/>
            </w:tcMar>
            <w:vAlign w:val="center"/>
          </w:tcPr>
          <w:p w14:paraId="48CD20C2" w14:textId="77777777" w:rsidR="00FD3E4D" w:rsidRDefault="00FD3E4D" w:rsidP="005113B4">
            <w:pPr>
              <w:pStyle w:val="TableText0"/>
              <w:keepNext w:val="0"/>
              <w:widowControl w:val="0"/>
            </w:pPr>
            <w:r>
              <w:t>Mitchell et al. (2013)</w:t>
            </w:r>
            <w:r w:rsidRPr="0061779B">
              <w:rPr>
                <w:vertAlign w:val="superscript"/>
              </w:rPr>
              <w:t xml:space="preserve"> </w:t>
            </w:r>
          </w:p>
        </w:tc>
        <w:tc>
          <w:tcPr>
            <w:tcW w:w="4282" w:type="dxa"/>
            <w:tcMar>
              <w:left w:w="40" w:type="dxa"/>
              <w:right w:w="40" w:type="dxa"/>
            </w:tcMar>
            <w:vAlign w:val="center"/>
          </w:tcPr>
          <w:p w14:paraId="006E7D2F" w14:textId="0A53434C" w:rsidR="00FD3E4D" w:rsidRPr="007A7229" w:rsidRDefault="00FD3E4D" w:rsidP="005113B4">
            <w:pPr>
              <w:pStyle w:val="TableText0"/>
              <w:keepNext w:val="0"/>
              <w:widowControl w:val="0"/>
            </w:pPr>
            <w:r w:rsidRPr="007A7229">
              <w:t>This data source was the same as the July 2023 submission and was considered reasonable by DUSC (</w:t>
            </w:r>
            <w:r w:rsidR="009C4214">
              <w:t xml:space="preserve">Table 26, selpercatinib PSD, </w:t>
            </w:r>
            <w:r w:rsidRPr="007A7229">
              <w:t>July 2023</w:t>
            </w:r>
            <w:r w:rsidR="009C4214">
              <w:t xml:space="preserve"> PBAC meeting</w:t>
            </w:r>
            <w:r w:rsidRPr="007A7229">
              <w:t xml:space="preserve">). </w:t>
            </w:r>
          </w:p>
        </w:tc>
      </w:tr>
      <w:tr w:rsidR="00FD3E4D" w14:paraId="16980415" w14:textId="77777777" w:rsidTr="001471E1">
        <w:trPr>
          <w:cantSplit/>
        </w:trPr>
        <w:tc>
          <w:tcPr>
            <w:tcW w:w="1684" w:type="dxa"/>
            <w:tcMar>
              <w:left w:w="40" w:type="dxa"/>
              <w:right w:w="40" w:type="dxa"/>
            </w:tcMar>
            <w:vAlign w:val="center"/>
          </w:tcPr>
          <w:p w14:paraId="0C17F790" w14:textId="77777777" w:rsidR="00FD3E4D" w:rsidRDefault="00FD3E4D" w:rsidP="005113B4">
            <w:pPr>
              <w:pStyle w:val="TableText0"/>
              <w:keepNext w:val="0"/>
              <w:widowControl w:val="0"/>
            </w:pPr>
            <w:r>
              <w:t>Proportion of patients who are NSQ/NOS</w:t>
            </w:r>
          </w:p>
        </w:tc>
        <w:tc>
          <w:tcPr>
            <w:tcW w:w="1146" w:type="dxa"/>
            <w:shd w:val="clear" w:color="auto" w:fill="B8CCE4" w:themeFill="accent1" w:themeFillTint="66"/>
            <w:tcMar>
              <w:left w:w="40" w:type="dxa"/>
              <w:right w:w="40" w:type="dxa"/>
            </w:tcMar>
            <w:vAlign w:val="center"/>
          </w:tcPr>
          <w:p w14:paraId="0E8103BA" w14:textId="77777777" w:rsidR="00FD3E4D" w:rsidRDefault="00FD3E4D" w:rsidP="005113B4">
            <w:pPr>
              <w:pStyle w:val="TableText0"/>
              <w:keepNext w:val="0"/>
              <w:widowControl w:val="0"/>
              <w:jc w:val="center"/>
            </w:pPr>
            <w:r>
              <w:t>74.2%</w:t>
            </w:r>
          </w:p>
        </w:tc>
        <w:tc>
          <w:tcPr>
            <w:tcW w:w="2047" w:type="dxa"/>
            <w:shd w:val="clear" w:color="auto" w:fill="B8CCE4" w:themeFill="accent1" w:themeFillTint="66"/>
            <w:tcMar>
              <w:left w:w="40" w:type="dxa"/>
              <w:right w:w="40" w:type="dxa"/>
            </w:tcMar>
            <w:vAlign w:val="center"/>
          </w:tcPr>
          <w:p w14:paraId="0678BF71" w14:textId="46C2168B" w:rsidR="00FD3E4D" w:rsidRDefault="00FD3E4D" w:rsidP="005113B4">
            <w:pPr>
              <w:pStyle w:val="TableText0"/>
              <w:keepNext w:val="0"/>
              <w:widowControl w:val="0"/>
            </w:pPr>
            <w:r>
              <w:t>Para</w:t>
            </w:r>
            <w:r w:rsidR="00BC5A69">
              <w:t>graph</w:t>
            </w:r>
            <w:r>
              <w:t xml:space="preserve"> 6.46, nivolumab, PSD, March 2016 PBAC meeting.</w:t>
            </w:r>
          </w:p>
        </w:tc>
        <w:tc>
          <w:tcPr>
            <w:tcW w:w="4282" w:type="dxa"/>
            <w:tcMar>
              <w:left w:w="40" w:type="dxa"/>
              <w:right w:w="40" w:type="dxa"/>
            </w:tcMar>
            <w:vAlign w:val="center"/>
          </w:tcPr>
          <w:p w14:paraId="61550B1B" w14:textId="22A3387D" w:rsidR="00FD3E4D" w:rsidRPr="007A7229" w:rsidRDefault="00FD3E4D" w:rsidP="005113B4">
            <w:pPr>
              <w:pStyle w:val="TableText0"/>
              <w:keepNext w:val="0"/>
              <w:widowControl w:val="0"/>
            </w:pPr>
            <w:r w:rsidRPr="007A7229">
              <w:t>This data source was the same as the July 2023 submission and was considered reasonable by DUSC (</w:t>
            </w:r>
            <w:r w:rsidR="009C4214">
              <w:t xml:space="preserve">Table 26, selpercatinib PSD, </w:t>
            </w:r>
            <w:r w:rsidR="009C4214" w:rsidRPr="007A7229">
              <w:t>July 2023</w:t>
            </w:r>
            <w:r w:rsidR="009C4214">
              <w:t xml:space="preserve"> PBAC meeting</w:t>
            </w:r>
            <w:r w:rsidR="00BC5A69">
              <w:t>).</w:t>
            </w:r>
            <w:r w:rsidR="009C4214" w:rsidRPr="007A7229" w:rsidDel="009C4214">
              <w:t xml:space="preserve"> </w:t>
            </w:r>
            <w:r w:rsidR="00782083">
              <w:t xml:space="preserve">The PBAC noted the restriction criteria does not limit by histology but recalled the occurrence of </w:t>
            </w:r>
            <w:r w:rsidR="00782083" w:rsidRPr="00782083">
              <w:rPr>
                <w:i/>
                <w:iCs/>
              </w:rPr>
              <w:t>RET</w:t>
            </w:r>
            <w:r w:rsidR="00782083">
              <w:t xml:space="preserve"> fusions is rare in squamous NSCLC (Table 26, selpercatinib PSD, July 2023 PBAC meeting).</w:t>
            </w:r>
          </w:p>
        </w:tc>
      </w:tr>
      <w:tr w:rsidR="00FD3E4D" w14:paraId="099B99A0" w14:textId="77777777" w:rsidTr="001471E1">
        <w:trPr>
          <w:cantSplit/>
        </w:trPr>
        <w:tc>
          <w:tcPr>
            <w:tcW w:w="1684" w:type="dxa"/>
            <w:tcMar>
              <w:left w:w="40" w:type="dxa"/>
              <w:right w:w="40" w:type="dxa"/>
            </w:tcMar>
            <w:vAlign w:val="center"/>
          </w:tcPr>
          <w:p w14:paraId="60E15FC3" w14:textId="77777777" w:rsidR="00FD3E4D" w:rsidRDefault="00FD3E4D" w:rsidP="005113B4">
            <w:pPr>
              <w:pStyle w:val="TableText0"/>
              <w:keepNext w:val="0"/>
              <w:widowControl w:val="0"/>
            </w:pPr>
            <w:r>
              <w:t>Proportion of patients who are ECOG PS: 0-2</w:t>
            </w:r>
          </w:p>
        </w:tc>
        <w:tc>
          <w:tcPr>
            <w:tcW w:w="1146" w:type="dxa"/>
            <w:shd w:val="clear" w:color="auto" w:fill="B8CCE4" w:themeFill="accent1" w:themeFillTint="66"/>
            <w:tcMar>
              <w:left w:w="40" w:type="dxa"/>
              <w:right w:w="40" w:type="dxa"/>
            </w:tcMar>
            <w:vAlign w:val="center"/>
          </w:tcPr>
          <w:p w14:paraId="41239647" w14:textId="77777777" w:rsidR="00FD3E4D" w:rsidRDefault="00FD3E4D" w:rsidP="005113B4">
            <w:pPr>
              <w:pStyle w:val="TableText0"/>
              <w:keepNext w:val="0"/>
              <w:widowControl w:val="0"/>
              <w:jc w:val="center"/>
            </w:pPr>
            <w:r>
              <w:t>96.8%</w:t>
            </w:r>
          </w:p>
        </w:tc>
        <w:tc>
          <w:tcPr>
            <w:tcW w:w="2047" w:type="dxa"/>
            <w:shd w:val="clear" w:color="auto" w:fill="B8CCE4" w:themeFill="accent1" w:themeFillTint="66"/>
            <w:tcMar>
              <w:left w:w="40" w:type="dxa"/>
              <w:right w:w="40" w:type="dxa"/>
            </w:tcMar>
            <w:vAlign w:val="center"/>
          </w:tcPr>
          <w:p w14:paraId="0D4904DA" w14:textId="77777777" w:rsidR="00FD3E4D" w:rsidRDefault="00FD3E4D" w:rsidP="005113B4">
            <w:pPr>
              <w:pStyle w:val="TableText0"/>
              <w:keepNext w:val="0"/>
              <w:widowControl w:val="0"/>
            </w:pPr>
            <w:r>
              <w:t xml:space="preserve">Hess et al. (2021) </w:t>
            </w:r>
          </w:p>
        </w:tc>
        <w:tc>
          <w:tcPr>
            <w:tcW w:w="4282" w:type="dxa"/>
            <w:tcMar>
              <w:left w:w="40" w:type="dxa"/>
              <w:right w:w="40" w:type="dxa"/>
            </w:tcMar>
            <w:vAlign w:val="center"/>
          </w:tcPr>
          <w:p w14:paraId="454BD79E" w14:textId="02DFEB50" w:rsidR="00FD3E4D" w:rsidRPr="007A7229" w:rsidRDefault="00FD3E4D" w:rsidP="005113B4">
            <w:pPr>
              <w:pStyle w:val="TableText0"/>
              <w:keepNext w:val="0"/>
              <w:widowControl w:val="0"/>
            </w:pPr>
            <w:r w:rsidRPr="007A7229">
              <w:t xml:space="preserve">This data source was the same as the July 2023 submission and was reasonable. The DUSC noted that this proportion was reasonable for incident patients, but </w:t>
            </w:r>
            <w:r w:rsidRPr="007A7229">
              <w:rPr>
                <w:snapToGrid w:val="0"/>
                <w:kern w:val="24"/>
                <w:szCs w:val="20"/>
              </w:rPr>
              <w:t xml:space="preserve">likely to be overestimated in 2L+ patients </w:t>
            </w:r>
            <w:r w:rsidRPr="007A7229">
              <w:t xml:space="preserve">(Table 26, </w:t>
            </w:r>
            <w:r w:rsidR="00C62643" w:rsidRPr="007A7229">
              <w:t>selpercatinib, PSD</w:t>
            </w:r>
            <w:r w:rsidRPr="007A7229">
              <w:t>, July 2023 PBAC meeting).</w:t>
            </w:r>
          </w:p>
        </w:tc>
      </w:tr>
      <w:tr w:rsidR="00FD3E4D" w14:paraId="4A1EC51B" w14:textId="77777777" w:rsidTr="001471E1">
        <w:trPr>
          <w:cantSplit/>
        </w:trPr>
        <w:tc>
          <w:tcPr>
            <w:tcW w:w="1684" w:type="dxa"/>
            <w:tcMar>
              <w:left w:w="40" w:type="dxa"/>
              <w:right w:w="40" w:type="dxa"/>
            </w:tcMar>
            <w:vAlign w:val="center"/>
          </w:tcPr>
          <w:p w14:paraId="31613EB5" w14:textId="77777777" w:rsidR="00FD3E4D" w:rsidRDefault="00FD3E4D" w:rsidP="005113B4">
            <w:pPr>
              <w:pStyle w:val="TableText0"/>
              <w:keepNext w:val="0"/>
              <w:widowControl w:val="0"/>
            </w:pPr>
            <w:r>
              <w:t xml:space="preserve">Proportion of patients who are </w:t>
            </w:r>
            <w:r w:rsidRPr="003345C0">
              <w:rPr>
                <w:i/>
              </w:rPr>
              <w:t>RET</w:t>
            </w:r>
            <w:r>
              <w:t xml:space="preserve"> fusion-positive</w:t>
            </w:r>
          </w:p>
        </w:tc>
        <w:tc>
          <w:tcPr>
            <w:tcW w:w="1146" w:type="dxa"/>
            <w:shd w:val="clear" w:color="auto" w:fill="B8CCE4" w:themeFill="accent1" w:themeFillTint="66"/>
            <w:tcMar>
              <w:left w:w="40" w:type="dxa"/>
              <w:right w:w="40" w:type="dxa"/>
            </w:tcMar>
            <w:vAlign w:val="center"/>
          </w:tcPr>
          <w:p w14:paraId="7AAF6657" w14:textId="77777777" w:rsidR="00FD3E4D" w:rsidRDefault="00FD3E4D" w:rsidP="005113B4">
            <w:pPr>
              <w:pStyle w:val="TableText0"/>
              <w:keepNext w:val="0"/>
              <w:widowControl w:val="0"/>
              <w:jc w:val="center"/>
            </w:pPr>
            <w:r>
              <w:t>1.5%</w:t>
            </w:r>
          </w:p>
        </w:tc>
        <w:tc>
          <w:tcPr>
            <w:tcW w:w="2047" w:type="dxa"/>
            <w:shd w:val="clear" w:color="auto" w:fill="B8CCE4" w:themeFill="accent1" w:themeFillTint="66"/>
            <w:tcMar>
              <w:left w:w="40" w:type="dxa"/>
              <w:right w:w="40" w:type="dxa"/>
            </w:tcMar>
            <w:vAlign w:val="center"/>
          </w:tcPr>
          <w:p w14:paraId="35F60779" w14:textId="77777777" w:rsidR="00FD3E4D" w:rsidRDefault="00FD3E4D" w:rsidP="005113B4">
            <w:pPr>
              <w:pStyle w:val="TableText0"/>
              <w:keepNext w:val="0"/>
              <w:widowControl w:val="0"/>
            </w:pPr>
            <w:r>
              <w:t>Kohno et al. (2012), Ferrara et al. (2018)</w:t>
            </w:r>
          </w:p>
        </w:tc>
        <w:tc>
          <w:tcPr>
            <w:tcW w:w="4282" w:type="dxa"/>
            <w:tcMar>
              <w:left w:w="40" w:type="dxa"/>
              <w:right w:w="40" w:type="dxa"/>
            </w:tcMar>
            <w:vAlign w:val="center"/>
          </w:tcPr>
          <w:p w14:paraId="3A898E24" w14:textId="63531096" w:rsidR="00FD3E4D" w:rsidRPr="007A7229" w:rsidRDefault="00FD3E4D" w:rsidP="005113B4">
            <w:pPr>
              <w:pStyle w:val="TableText0"/>
              <w:keepNext w:val="0"/>
              <w:widowControl w:val="0"/>
            </w:pPr>
            <w:r w:rsidRPr="007A7229">
              <w:t xml:space="preserve">This data source was the same as the July 2023 submission. The DUSC noted that this proportion was uncertain and impacted the estimates significantly but agreed the estimate of 1.5% was likely reasonable (Table 26, </w:t>
            </w:r>
            <w:r w:rsidR="00C62643" w:rsidRPr="007A7229">
              <w:t>selpercatinib, PSD</w:t>
            </w:r>
            <w:r w:rsidRPr="007A7229">
              <w:t>, July 2023 PBAC meeting).</w:t>
            </w:r>
          </w:p>
        </w:tc>
      </w:tr>
      <w:tr w:rsidR="00FD3E4D" w14:paraId="5986F174" w14:textId="77777777" w:rsidTr="001471E1">
        <w:trPr>
          <w:cantSplit/>
        </w:trPr>
        <w:tc>
          <w:tcPr>
            <w:tcW w:w="9159" w:type="dxa"/>
            <w:gridSpan w:val="4"/>
            <w:tcMar>
              <w:left w:w="40" w:type="dxa"/>
              <w:right w:w="40" w:type="dxa"/>
            </w:tcMar>
            <w:vAlign w:val="center"/>
          </w:tcPr>
          <w:p w14:paraId="197C8855" w14:textId="77777777" w:rsidR="00FD3E4D" w:rsidRPr="007A7229" w:rsidRDefault="00FD3E4D" w:rsidP="005113B4">
            <w:pPr>
              <w:pStyle w:val="TableText0"/>
              <w:keepLines/>
              <w:rPr>
                <w:b/>
              </w:rPr>
            </w:pPr>
            <w:r w:rsidRPr="007A7229">
              <w:rPr>
                <w:b/>
              </w:rPr>
              <w:t>Eligible patients</w:t>
            </w:r>
          </w:p>
        </w:tc>
      </w:tr>
      <w:tr w:rsidR="00FD3E4D" w14:paraId="2CC0A2E9" w14:textId="77777777" w:rsidTr="001471E1">
        <w:trPr>
          <w:cantSplit/>
        </w:trPr>
        <w:tc>
          <w:tcPr>
            <w:tcW w:w="1684" w:type="dxa"/>
            <w:tcMar>
              <w:left w:w="40" w:type="dxa"/>
              <w:right w:w="40" w:type="dxa"/>
            </w:tcMar>
            <w:vAlign w:val="center"/>
          </w:tcPr>
          <w:p w14:paraId="28E9E168" w14:textId="77777777" w:rsidR="00FD3E4D" w:rsidRDefault="00FD3E4D" w:rsidP="005113B4">
            <w:pPr>
              <w:pStyle w:val="TableText0"/>
              <w:keepNext w:val="0"/>
              <w:widowControl w:val="0"/>
            </w:pPr>
            <w:r>
              <w:t>Proportion of patients diagnosed at Stage IIIB/IV</w:t>
            </w:r>
          </w:p>
        </w:tc>
        <w:tc>
          <w:tcPr>
            <w:tcW w:w="1146" w:type="dxa"/>
            <w:shd w:val="clear" w:color="auto" w:fill="B8CCE4" w:themeFill="accent1" w:themeFillTint="66"/>
            <w:tcMar>
              <w:left w:w="40" w:type="dxa"/>
              <w:right w:w="40" w:type="dxa"/>
            </w:tcMar>
            <w:vAlign w:val="center"/>
          </w:tcPr>
          <w:p w14:paraId="2F792CB2" w14:textId="77777777" w:rsidR="00FD3E4D" w:rsidRDefault="00FD3E4D" w:rsidP="005113B4">
            <w:pPr>
              <w:pStyle w:val="TableText0"/>
              <w:keepNext w:val="0"/>
              <w:widowControl w:val="0"/>
              <w:jc w:val="center"/>
            </w:pPr>
            <w:r>
              <w:t>65.5%</w:t>
            </w:r>
          </w:p>
        </w:tc>
        <w:tc>
          <w:tcPr>
            <w:tcW w:w="2047" w:type="dxa"/>
            <w:shd w:val="clear" w:color="auto" w:fill="B8CCE4" w:themeFill="accent1" w:themeFillTint="66"/>
            <w:tcMar>
              <w:left w:w="40" w:type="dxa"/>
              <w:right w:w="40" w:type="dxa"/>
            </w:tcMar>
            <w:vAlign w:val="center"/>
          </w:tcPr>
          <w:p w14:paraId="56B4814E" w14:textId="77777777" w:rsidR="00FD3E4D" w:rsidRDefault="00FD3E4D" w:rsidP="005113B4">
            <w:pPr>
              <w:pStyle w:val="TableText0"/>
              <w:keepNext w:val="0"/>
              <w:widowControl w:val="0"/>
            </w:pPr>
            <w:r>
              <w:t xml:space="preserve">Mitchell et al. (2013) and the Erlotinib and Gefitinib DUSC report. </w:t>
            </w:r>
          </w:p>
        </w:tc>
        <w:tc>
          <w:tcPr>
            <w:tcW w:w="4282" w:type="dxa"/>
            <w:tcMar>
              <w:left w:w="40" w:type="dxa"/>
              <w:right w:w="40" w:type="dxa"/>
            </w:tcMar>
            <w:vAlign w:val="center"/>
          </w:tcPr>
          <w:p w14:paraId="65D1629A" w14:textId="77777777" w:rsidR="00FD3E4D" w:rsidRPr="007A7229" w:rsidRDefault="00FD3E4D" w:rsidP="005113B4">
            <w:pPr>
              <w:pStyle w:val="TableText0"/>
              <w:keepNext w:val="0"/>
              <w:widowControl w:val="0"/>
            </w:pPr>
            <w:r w:rsidRPr="007A7229">
              <w:t xml:space="preserve">This data source was the same as the July 2023 submission and was reasonable. </w:t>
            </w:r>
          </w:p>
        </w:tc>
      </w:tr>
      <w:tr w:rsidR="00FD3E4D" w14:paraId="51D04C1C" w14:textId="77777777" w:rsidTr="001471E1">
        <w:trPr>
          <w:cantSplit/>
        </w:trPr>
        <w:tc>
          <w:tcPr>
            <w:tcW w:w="1684" w:type="dxa"/>
            <w:tcMar>
              <w:left w:w="40" w:type="dxa"/>
              <w:right w:w="40" w:type="dxa"/>
            </w:tcMar>
            <w:vAlign w:val="center"/>
          </w:tcPr>
          <w:p w14:paraId="75368CDF" w14:textId="77777777" w:rsidR="00FD3E4D" w:rsidRDefault="00FD3E4D" w:rsidP="005113B4">
            <w:pPr>
              <w:pStyle w:val="TableText0"/>
              <w:keepNext w:val="0"/>
              <w:widowControl w:val="0"/>
            </w:pPr>
            <w:r>
              <w:lastRenderedPageBreak/>
              <w:t>Proportion of patients, diagnosed at Stage I-IIIA who progress to Stage IIIB/IV within a year</w:t>
            </w:r>
          </w:p>
        </w:tc>
        <w:tc>
          <w:tcPr>
            <w:tcW w:w="1146" w:type="dxa"/>
            <w:shd w:val="clear" w:color="auto" w:fill="B8CCE4" w:themeFill="accent1" w:themeFillTint="66"/>
            <w:tcMar>
              <w:left w:w="40" w:type="dxa"/>
              <w:right w:w="40" w:type="dxa"/>
            </w:tcMar>
            <w:vAlign w:val="center"/>
          </w:tcPr>
          <w:p w14:paraId="48C74B1C" w14:textId="77777777" w:rsidR="00FD3E4D" w:rsidRDefault="00FD3E4D" w:rsidP="005113B4">
            <w:pPr>
              <w:pStyle w:val="TableText0"/>
              <w:keepNext w:val="0"/>
              <w:widowControl w:val="0"/>
              <w:jc w:val="center"/>
            </w:pPr>
            <w:r>
              <w:t>30%</w:t>
            </w:r>
          </w:p>
        </w:tc>
        <w:tc>
          <w:tcPr>
            <w:tcW w:w="2047" w:type="dxa"/>
            <w:shd w:val="clear" w:color="auto" w:fill="B8CCE4" w:themeFill="accent1" w:themeFillTint="66"/>
            <w:tcMar>
              <w:left w:w="40" w:type="dxa"/>
              <w:right w:w="40" w:type="dxa"/>
            </w:tcMar>
            <w:vAlign w:val="center"/>
          </w:tcPr>
          <w:p w14:paraId="20995401" w14:textId="77777777" w:rsidR="00FD3E4D" w:rsidRDefault="00FD3E4D" w:rsidP="005113B4">
            <w:pPr>
              <w:pStyle w:val="TableText0"/>
              <w:keepNext w:val="0"/>
              <w:widowControl w:val="0"/>
            </w:pPr>
            <w:r>
              <w:t>Mitchell et al. (2013).</w:t>
            </w:r>
          </w:p>
        </w:tc>
        <w:tc>
          <w:tcPr>
            <w:tcW w:w="4282" w:type="dxa"/>
            <w:tcMar>
              <w:left w:w="40" w:type="dxa"/>
              <w:right w:w="40" w:type="dxa"/>
            </w:tcMar>
            <w:vAlign w:val="center"/>
          </w:tcPr>
          <w:p w14:paraId="3538743E" w14:textId="408DA2EA" w:rsidR="00FD3E4D" w:rsidRPr="007A7229" w:rsidRDefault="00FD3E4D" w:rsidP="005113B4">
            <w:pPr>
              <w:pStyle w:val="TableText0"/>
              <w:keepNext w:val="0"/>
              <w:widowControl w:val="0"/>
            </w:pPr>
            <w:r w:rsidRPr="007A7229">
              <w:t>This data source was the same as the July 2023 submission and was considered reasonable by DUSC (</w:t>
            </w:r>
            <w:r w:rsidR="000F0E2F">
              <w:t xml:space="preserve">Table 26, selpercatinib PSD, </w:t>
            </w:r>
            <w:r w:rsidR="000F0E2F" w:rsidRPr="007A7229">
              <w:t>July 2023</w:t>
            </w:r>
            <w:r w:rsidR="000F0E2F">
              <w:t xml:space="preserve"> PBAC</w:t>
            </w:r>
            <w:r w:rsidRPr="007A7229">
              <w:t>).</w:t>
            </w:r>
          </w:p>
        </w:tc>
      </w:tr>
      <w:tr w:rsidR="00FD3E4D" w14:paraId="12EA9632" w14:textId="77777777" w:rsidTr="001471E1">
        <w:trPr>
          <w:cantSplit/>
        </w:trPr>
        <w:tc>
          <w:tcPr>
            <w:tcW w:w="1684" w:type="dxa"/>
            <w:tcMar>
              <w:left w:w="40" w:type="dxa"/>
              <w:right w:w="40" w:type="dxa"/>
            </w:tcMar>
            <w:vAlign w:val="center"/>
          </w:tcPr>
          <w:p w14:paraId="3F04A2FE" w14:textId="77777777" w:rsidR="00FD3E4D" w:rsidRDefault="00FD3E4D" w:rsidP="005113B4">
            <w:pPr>
              <w:pStyle w:val="TableText0"/>
              <w:keepNext w:val="0"/>
              <w:widowControl w:val="0"/>
            </w:pPr>
            <w:r>
              <w:t>Proportion of pre-treated (prevalent) Stage IIIB/IV patients alive and eligible to receive selpercatinib</w:t>
            </w:r>
          </w:p>
        </w:tc>
        <w:tc>
          <w:tcPr>
            <w:tcW w:w="1146" w:type="dxa"/>
            <w:tcMar>
              <w:left w:w="40" w:type="dxa"/>
              <w:right w:w="40" w:type="dxa"/>
            </w:tcMar>
            <w:vAlign w:val="center"/>
          </w:tcPr>
          <w:p w14:paraId="2FEDB56E" w14:textId="77777777" w:rsidR="00FD3E4D" w:rsidRDefault="00FD3E4D" w:rsidP="005113B4">
            <w:pPr>
              <w:pStyle w:val="TableText0"/>
              <w:keepNext w:val="0"/>
              <w:widowControl w:val="0"/>
              <w:jc w:val="center"/>
            </w:pPr>
            <w:r>
              <w:t>80%</w:t>
            </w:r>
          </w:p>
        </w:tc>
        <w:tc>
          <w:tcPr>
            <w:tcW w:w="2047" w:type="dxa"/>
            <w:tcMar>
              <w:left w:w="40" w:type="dxa"/>
              <w:right w:w="40" w:type="dxa"/>
            </w:tcMar>
            <w:vAlign w:val="center"/>
          </w:tcPr>
          <w:p w14:paraId="4D55F78E" w14:textId="77777777" w:rsidR="00FD3E4D" w:rsidRPr="00685D39" w:rsidRDefault="00FD3E4D" w:rsidP="005113B4">
            <w:pPr>
              <w:pStyle w:val="TableText0"/>
              <w:keepNext w:val="0"/>
              <w:widowControl w:val="0"/>
            </w:pPr>
            <w:r>
              <w:t>Assumption</w:t>
            </w:r>
          </w:p>
        </w:tc>
        <w:tc>
          <w:tcPr>
            <w:tcW w:w="4282" w:type="dxa"/>
            <w:tcMar>
              <w:left w:w="40" w:type="dxa"/>
              <w:right w:w="40" w:type="dxa"/>
            </w:tcMar>
            <w:vAlign w:val="center"/>
          </w:tcPr>
          <w:p w14:paraId="7606DE12" w14:textId="77777777" w:rsidR="00FD3E4D" w:rsidRPr="007A7229" w:rsidRDefault="00FD3E4D" w:rsidP="005113B4">
            <w:pPr>
              <w:pStyle w:val="TableText0"/>
              <w:keepNext w:val="0"/>
              <w:widowControl w:val="0"/>
            </w:pPr>
            <w:r w:rsidRPr="007A7229">
              <w:t xml:space="preserve">The July 2023 submission assumed 100% of patients were eligible. </w:t>
            </w:r>
          </w:p>
          <w:p w14:paraId="0082506E" w14:textId="77777777" w:rsidR="00FD3E4D" w:rsidRPr="007A7229" w:rsidRDefault="00FD3E4D" w:rsidP="005113B4">
            <w:pPr>
              <w:pStyle w:val="TableText0"/>
              <w:keepNext w:val="0"/>
              <w:widowControl w:val="0"/>
            </w:pPr>
          </w:p>
          <w:p w14:paraId="2254310D" w14:textId="14AFB168" w:rsidR="00FD3E4D" w:rsidRPr="007A7229" w:rsidRDefault="003F6B55" w:rsidP="005113B4">
            <w:pPr>
              <w:pStyle w:val="TableText0"/>
              <w:keepNext w:val="0"/>
              <w:widowControl w:val="0"/>
            </w:pPr>
            <w:r w:rsidRPr="007A7229">
              <w:t xml:space="preserve">This reduction was consistent with July 2023 PBAC advice </w:t>
            </w:r>
            <w:r w:rsidR="007859AC" w:rsidRPr="007A7229">
              <w:t>that the</w:t>
            </w:r>
            <w:r w:rsidR="00FD3E4D" w:rsidRPr="007A7229">
              <w:t xml:space="preserve"> </w:t>
            </w:r>
            <w:r w:rsidR="00FD3E4D" w:rsidRPr="007A7229">
              <w:rPr>
                <w:rFonts w:eastAsia="MS Gothic" w:cs="Times New Roman"/>
                <w:szCs w:val="20"/>
              </w:rPr>
              <w:t xml:space="preserve">proportion of prevalent patients eligible for treatment </w:t>
            </w:r>
            <w:r w:rsidRPr="007A7229">
              <w:rPr>
                <w:rFonts w:eastAsia="MS Gothic" w:cs="Times New Roman"/>
                <w:szCs w:val="20"/>
              </w:rPr>
              <w:t xml:space="preserve">would </w:t>
            </w:r>
            <w:r w:rsidR="00FD3E4D" w:rsidRPr="007A7229">
              <w:rPr>
                <w:rFonts w:eastAsia="MS Gothic" w:cs="Times New Roman"/>
                <w:szCs w:val="20"/>
              </w:rPr>
              <w:t xml:space="preserve">be between 70 - 80% </w:t>
            </w:r>
            <w:r w:rsidR="00FD3E4D" w:rsidRPr="007A7229">
              <w:t>(para.7.13, selpercatinib</w:t>
            </w:r>
            <w:r w:rsidR="000F0E2F">
              <w:t xml:space="preserve"> PSD</w:t>
            </w:r>
            <w:r w:rsidR="00FD3E4D" w:rsidRPr="007A7229">
              <w:t xml:space="preserve">, July 2023 PBAC meeting). </w:t>
            </w:r>
          </w:p>
        </w:tc>
      </w:tr>
      <w:tr w:rsidR="00FD3E4D" w14:paraId="652F0E01" w14:textId="77777777" w:rsidTr="001471E1">
        <w:trPr>
          <w:cantSplit/>
        </w:trPr>
        <w:tc>
          <w:tcPr>
            <w:tcW w:w="9159" w:type="dxa"/>
            <w:gridSpan w:val="4"/>
            <w:tcMar>
              <w:left w:w="40" w:type="dxa"/>
              <w:right w:w="40" w:type="dxa"/>
            </w:tcMar>
            <w:vAlign w:val="center"/>
          </w:tcPr>
          <w:p w14:paraId="4C90AC4E" w14:textId="77777777" w:rsidR="00FD3E4D" w:rsidRPr="007A7229" w:rsidRDefault="00FD3E4D" w:rsidP="005113B4">
            <w:pPr>
              <w:pStyle w:val="TableText0"/>
              <w:keepLines/>
              <w:rPr>
                <w:b/>
              </w:rPr>
            </w:pPr>
            <w:r w:rsidRPr="007A7229">
              <w:rPr>
                <w:b/>
              </w:rPr>
              <w:t>Treatment utilisation</w:t>
            </w:r>
          </w:p>
        </w:tc>
      </w:tr>
      <w:tr w:rsidR="00FD3E4D" w14:paraId="3C775C72" w14:textId="77777777" w:rsidTr="001471E1">
        <w:trPr>
          <w:cantSplit/>
        </w:trPr>
        <w:tc>
          <w:tcPr>
            <w:tcW w:w="1684" w:type="dxa"/>
            <w:tcMar>
              <w:left w:w="40" w:type="dxa"/>
              <w:right w:w="40" w:type="dxa"/>
            </w:tcMar>
            <w:vAlign w:val="center"/>
          </w:tcPr>
          <w:p w14:paraId="59392077" w14:textId="77777777" w:rsidR="00FD3E4D" w:rsidRDefault="00FD3E4D" w:rsidP="005113B4">
            <w:pPr>
              <w:pStyle w:val="TableText0"/>
              <w:keepNext w:val="0"/>
              <w:widowControl w:val="0"/>
            </w:pPr>
            <w:r>
              <w:t>Uptake rate</w:t>
            </w:r>
          </w:p>
        </w:tc>
        <w:tc>
          <w:tcPr>
            <w:tcW w:w="1146" w:type="dxa"/>
            <w:shd w:val="clear" w:color="auto" w:fill="B8CCE4" w:themeFill="accent1" w:themeFillTint="66"/>
            <w:tcMar>
              <w:left w:w="40" w:type="dxa"/>
              <w:right w:w="40" w:type="dxa"/>
            </w:tcMar>
            <w:vAlign w:val="center"/>
          </w:tcPr>
          <w:p w14:paraId="7F9F68D7" w14:textId="77777777" w:rsidR="00FD3E4D" w:rsidRDefault="00FD3E4D" w:rsidP="005113B4">
            <w:pPr>
              <w:pStyle w:val="TableText0"/>
              <w:keepNext w:val="0"/>
              <w:widowControl w:val="0"/>
            </w:pPr>
            <w:r>
              <w:t>Yr 1-6: 100%</w:t>
            </w:r>
          </w:p>
        </w:tc>
        <w:tc>
          <w:tcPr>
            <w:tcW w:w="2047" w:type="dxa"/>
            <w:tcMar>
              <w:left w:w="40" w:type="dxa"/>
              <w:right w:w="40" w:type="dxa"/>
            </w:tcMar>
            <w:vAlign w:val="center"/>
          </w:tcPr>
          <w:p w14:paraId="21860ABA" w14:textId="77777777" w:rsidR="00FD3E4D" w:rsidRDefault="00FD3E4D" w:rsidP="005113B4">
            <w:pPr>
              <w:pStyle w:val="TableText0"/>
              <w:keepNext w:val="0"/>
              <w:widowControl w:val="0"/>
            </w:pPr>
            <w:r>
              <w:t>Assumption</w:t>
            </w:r>
          </w:p>
        </w:tc>
        <w:tc>
          <w:tcPr>
            <w:tcW w:w="4282" w:type="dxa"/>
            <w:tcMar>
              <w:left w:w="40" w:type="dxa"/>
              <w:right w:w="40" w:type="dxa"/>
            </w:tcMar>
            <w:vAlign w:val="center"/>
          </w:tcPr>
          <w:p w14:paraId="2E56368C" w14:textId="33359C07" w:rsidR="00FD3E4D" w:rsidRPr="007A7229" w:rsidRDefault="00FD3E4D" w:rsidP="005113B4">
            <w:pPr>
              <w:pStyle w:val="TableText0"/>
              <w:keepNext w:val="0"/>
              <w:widowControl w:val="0"/>
            </w:pPr>
            <w:r w:rsidRPr="007A7229">
              <w:t>This was the same as the July 2023 submission. The PBAC and DUSC considered a 100% uptake rate appropriate (para.7.13, selpercatinib</w:t>
            </w:r>
            <w:r w:rsidR="000F0E2F">
              <w:t xml:space="preserve"> PSD</w:t>
            </w:r>
            <w:r w:rsidRPr="007A7229">
              <w:t xml:space="preserve">, July 2023 PBAC meeting). </w:t>
            </w:r>
          </w:p>
        </w:tc>
      </w:tr>
      <w:tr w:rsidR="00FD3E4D" w14:paraId="77FF08DB" w14:textId="77777777" w:rsidTr="001471E1">
        <w:trPr>
          <w:cantSplit/>
        </w:trPr>
        <w:tc>
          <w:tcPr>
            <w:tcW w:w="1684" w:type="dxa"/>
            <w:tcMar>
              <w:left w:w="40" w:type="dxa"/>
              <w:right w:w="40" w:type="dxa"/>
            </w:tcMar>
            <w:vAlign w:val="center"/>
          </w:tcPr>
          <w:p w14:paraId="4A22551C" w14:textId="77777777" w:rsidR="00FD3E4D" w:rsidRDefault="00FD3E4D" w:rsidP="005113B4">
            <w:pPr>
              <w:pStyle w:val="TableText0"/>
              <w:keepNext w:val="0"/>
            </w:pPr>
            <w:r>
              <w:t>Treatment duration</w:t>
            </w:r>
          </w:p>
        </w:tc>
        <w:tc>
          <w:tcPr>
            <w:tcW w:w="1146" w:type="dxa"/>
            <w:shd w:val="clear" w:color="auto" w:fill="B8CCE4" w:themeFill="accent1" w:themeFillTint="66"/>
            <w:tcMar>
              <w:left w:w="40" w:type="dxa"/>
              <w:right w:w="40" w:type="dxa"/>
            </w:tcMar>
            <w:vAlign w:val="center"/>
          </w:tcPr>
          <w:p w14:paraId="2227E8E4" w14:textId="77777777" w:rsidR="00FD3E4D" w:rsidRDefault="00FD3E4D" w:rsidP="005113B4">
            <w:pPr>
              <w:pStyle w:val="TableText0"/>
              <w:keepNext w:val="0"/>
            </w:pPr>
            <w:r>
              <w:t>34.71 months</w:t>
            </w:r>
          </w:p>
        </w:tc>
        <w:tc>
          <w:tcPr>
            <w:tcW w:w="2047" w:type="dxa"/>
            <w:tcMar>
              <w:left w:w="40" w:type="dxa"/>
              <w:right w:w="40" w:type="dxa"/>
            </w:tcMar>
            <w:vAlign w:val="center"/>
          </w:tcPr>
          <w:p w14:paraId="701E44DF" w14:textId="77777777" w:rsidR="00FD3E4D" w:rsidRPr="00685D39" w:rsidRDefault="00FD3E4D" w:rsidP="005113B4">
            <w:pPr>
              <w:pStyle w:val="TableText0"/>
              <w:keepNext w:val="0"/>
              <w:rPr>
                <w:iCs/>
              </w:rPr>
            </w:pPr>
            <w:r>
              <w:rPr>
                <w:iCs/>
              </w:rPr>
              <w:t xml:space="preserve">Modelled TTD based on the </w:t>
            </w:r>
            <w:r w:rsidRPr="00685D39">
              <w:rPr>
                <w:iCs/>
              </w:rPr>
              <w:t>LIBRETTO-001 study (June 2021 data cut)</w:t>
            </w:r>
            <w:r>
              <w:rPr>
                <w:iCs/>
              </w:rPr>
              <w:t xml:space="preserve">. </w:t>
            </w:r>
            <w:r w:rsidRPr="00922865">
              <w:rPr>
                <w:iCs/>
              </w:rPr>
              <w:t>This data was not presented in the resubmission.</w:t>
            </w:r>
          </w:p>
        </w:tc>
        <w:tc>
          <w:tcPr>
            <w:tcW w:w="4282" w:type="dxa"/>
            <w:tcMar>
              <w:left w:w="40" w:type="dxa"/>
              <w:right w:w="40" w:type="dxa"/>
            </w:tcMar>
            <w:vAlign w:val="center"/>
          </w:tcPr>
          <w:p w14:paraId="54451B3E" w14:textId="2C1BD84E" w:rsidR="00FD3E4D" w:rsidRPr="007A7229" w:rsidRDefault="00FD3E4D" w:rsidP="005113B4">
            <w:pPr>
              <w:pStyle w:val="TableText0"/>
              <w:keepNext w:val="0"/>
            </w:pPr>
            <w:r w:rsidRPr="007A7229">
              <w:t>The PBAC advised to apply a shorter duration (32.1 months) based on PFS from the LIBRETTO-001 trial (para. 7.13, selpercatinib, PSD, July 2023 PBAC meeting). The resubmission did not change the TTD from the July 2023 submission</w:t>
            </w:r>
            <w:r w:rsidR="00B41EE5">
              <w:t>.</w:t>
            </w:r>
            <w:r w:rsidRPr="007A7229">
              <w:t xml:space="preserve"> </w:t>
            </w:r>
          </w:p>
          <w:p w14:paraId="7A32F9A7" w14:textId="77777777" w:rsidR="00FD3E4D" w:rsidRPr="007A7229" w:rsidRDefault="00FD3E4D" w:rsidP="005113B4">
            <w:pPr>
              <w:pStyle w:val="TableText0"/>
              <w:keepNext w:val="0"/>
            </w:pPr>
          </w:p>
          <w:p w14:paraId="16D7286E" w14:textId="77777777" w:rsidR="00FD3E4D" w:rsidRDefault="00FD3E4D" w:rsidP="005113B4">
            <w:pPr>
              <w:pStyle w:val="TableText0"/>
              <w:keepNext w:val="0"/>
            </w:pPr>
            <w:r w:rsidRPr="007A7229">
              <w:t>The DUSC also advised to use a shorter treatment duration in the prevalent population compared with the incident population (</w:t>
            </w:r>
            <w:r w:rsidR="000F0E2F">
              <w:t>Table 26, selper</w:t>
            </w:r>
            <w:r w:rsidR="00BC5A69">
              <w:t>c</w:t>
            </w:r>
            <w:r w:rsidR="000F0E2F">
              <w:t>atinib PSD, July 2023 PBAC meeting</w:t>
            </w:r>
            <w:r w:rsidRPr="007A7229">
              <w:t xml:space="preserve">). The resubmission applied the same duration to all populations citing consistency of TTD across treatment-naïve and pre-treated cohorts.  </w:t>
            </w:r>
          </w:p>
          <w:p w14:paraId="574CC5F9" w14:textId="77777777" w:rsidR="0033776F" w:rsidRDefault="0033776F" w:rsidP="005113B4">
            <w:pPr>
              <w:pStyle w:val="TableText0"/>
              <w:keepNext w:val="0"/>
            </w:pPr>
          </w:p>
          <w:p w14:paraId="10A07D99" w14:textId="35A6050E" w:rsidR="00B41EE5" w:rsidRPr="007A7229" w:rsidRDefault="0033776F" w:rsidP="005113B4">
            <w:pPr>
              <w:pStyle w:val="TableText0"/>
              <w:keepNext w:val="0"/>
            </w:pPr>
            <w:r>
              <w:t xml:space="preserve">The PBAC noted the resubmission did not provide any additional TTD data (see paragraph </w:t>
            </w:r>
            <w:r>
              <w:fldChar w:fldCharType="begin" w:fldLock="1"/>
            </w:r>
            <w:r>
              <w:instrText xml:space="preserve"> REF _Ref173245670 \r \h </w:instrText>
            </w:r>
            <w:r>
              <w:fldChar w:fldCharType="separate"/>
            </w:r>
            <w:r w:rsidR="00F979CE">
              <w:t>6.69</w:t>
            </w:r>
            <w:r>
              <w:fldChar w:fldCharType="end"/>
            </w:r>
            <w:r>
              <w:t xml:space="preserve">). </w:t>
            </w:r>
          </w:p>
        </w:tc>
      </w:tr>
      <w:tr w:rsidR="00FD3E4D" w14:paraId="6541BACB" w14:textId="77777777" w:rsidTr="001471E1">
        <w:trPr>
          <w:cantSplit/>
        </w:trPr>
        <w:tc>
          <w:tcPr>
            <w:tcW w:w="1684" w:type="dxa"/>
            <w:tcMar>
              <w:left w:w="40" w:type="dxa"/>
              <w:right w:w="40" w:type="dxa"/>
            </w:tcMar>
            <w:vAlign w:val="center"/>
          </w:tcPr>
          <w:p w14:paraId="0E03B532" w14:textId="77777777" w:rsidR="00FD3E4D" w:rsidRDefault="00FD3E4D" w:rsidP="005113B4">
            <w:pPr>
              <w:pStyle w:val="TableText0"/>
              <w:keepNext w:val="0"/>
              <w:widowControl w:val="0"/>
            </w:pPr>
            <w:r>
              <w:t>Scripts dispensed</w:t>
            </w:r>
          </w:p>
        </w:tc>
        <w:tc>
          <w:tcPr>
            <w:tcW w:w="1146" w:type="dxa"/>
            <w:shd w:val="clear" w:color="auto" w:fill="B8CCE4" w:themeFill="accent1" w:themeFillTint="66"/>
            <w:tcMar>
              <w:left w:w="40" w:type="dxa"/>
              <w:right w:w="40" w:type="dxa"/>
            </w:tcMar>
            <w:vAlign w:val="center"/>
          </w:tcPr>
          <w:p w14:paraId="3F4AE78D" w14:textId="77777777" w:rsidR="00FD3E4D" w:rsidRDefault="00FD3E4D" w:rsidP="005113B4">
            <w:pPr>
              <w:pStyle w:val="TableText0"/>
              <w:keepNext w:val="0"/>
              <w:widowControl w:val="0"/>
            </w:pPr>
            <w:r>
              <w:t>13.04 per patient per year</w:t>
            </w:r>
          </w:p>
        </w:tc>
        <w:tc>
          <w:tcPr>
            <w:tcW w:w="2047" w:type="dxa"/>
            <w:shd w:val="clear" w:color="auto" w:fill="B8CCE4" w:themeFill="accent1" w:themeFillTint="66"/>
            <w:tcMar>
              <w:left w:w="40" w:type="dxa"/>
              <w:right w:w="40" w:type="dxa"/>
            </w:tcMar>
            <w:vAlign w:val="center"/>
          </w:tcPr>
          <w:p w14:paraId="37A1E264" w14:textId="7F67BDA0" w:rsidR="00FD3E4D" w:rsidRDefault="00FD3E4D" w:rsidP="005113B4">
            <w:pPr>
              <w:pStyle w:val="TableText0"/>
              <w:keepNext w:val="0"/>
              <w:widowControl w:val="0"/>
            </w:pPr>
            <w:r>
              <w:t>Assuming 53%, 43% and 19% for the following dose/size packs: 80 mg (112 capsules pack), 80 mg (56 capsules pack) and 40 mg (56 capsules pack).</w:t>
            </w:r>
          </w:p>
        </w:tc>
        <w:tc>
          <w:tcPr>
            <w:tcW w:w="4282" w:type="dxa"/>
            <w:tcMar>
              <w:left w:w="40" w:type="dxa"/>
              <w:right w:w="40" w:type="dxa"/>
            </w:tcMar>
            <w:vAlign w:val="center"/>
          </w:tcPr>
          <w:p w14:paraId="5876EBD2" w14:textId="49EEA7E7" w:rsidR="00FD3E4D" w:rsidRPr="007A7229" w:rsidRDefault="00FD3E4D" w:rsidP="005113B4">
            <w:pPr>
              <w:pStyle w:val="TableText0"/>
              <w:keepNext w:val="0"/>
              <w:widowControl w:val="0"/>
            </w:pPr>
            <w:r w:rsidRPr="007A7229">
              <w:t>This was the same as the July 2023 submission.</w:t>
            </w:r>
          </w:p>
        </w:tc>
      </w:tr>
      <w:tr w:rsidR="00FD3E4D" w14:paraId="344858AE" w14:textId="77777777" w:rsidTr="001471E1">
        <w:trPr>
          <w:cantSplit/>
          <w:trHeight w:val="123"/>
        </w:trPr>
        <w:tc>
          <w:tcPr>
            <w:tcW w:w="9159" w:type="dxa"/>
            <w:gridSpan w:val="4"/>
            <w:tcMar>
              <w:left w:w="40" w:type="dxa"/>
              <w:right w:w="40" w:type="dxa"/>
            </w:tcMar>
            <w:vAlign w:val="center"/>
          </w:tcPr>
          <w:p w14:paraId="25A7DFFB" w14:textId="77777777" w:rsidR="00FD3E4D" w:rsidRPr="007A7229" w:rsidRDefault="00FD3E4D" w:rsidP="005113B4">
            <w:pPr>
              <w:pStyle w:val="TableText0"/>
              <w:keepLines/>
              <w:rPr>
                <w:b/>
              </w:rPr>
            </w:pPr>
            <w:r w:rsidRPr="007A7229">
              <w:rPr>
                <w:b/>
              </w:rPr>
              <w:t>Costs</w:t>
            </w:r>
          </w:p>
        </w:tc>
      </w:tr>
      <w:tr w:rsidR="00FD3E4D" w14:paraId="6D1BDFFA" w14:textId="77777777" w:rsidTr="001471E1">
        <w:trPr>
          <w:cantSplit/>
          <w:trHeight w:val="1477"/>
        </w:trPr>
        <w:tc>
          <w:tcPr>
            <w:tcW w:w="1684" w:type="dxa"/>
            <w:tcMar>
              <w:left w:w="40" w:type="dxa"/>
              <w:right w:w="40" w:type="dxa"/>
            </w:tcMar>
            <w:vAlign w:val="center"/>
          </w:tcPr>
          <w:p w14:paraId="567EE367" w14:textId="77777777" w:rsidR="00FD3E4D" w:rsidRDefault="00FD3E4D" w:rsidP="005113B4">
            <w:pPr>
              <w:pStyle w:val="TableText0"/>
              <w:keepNext w:val="0"/>
              <w:widowControl w:val="0"/>
            </w:pPr>
            <w:r>
              <w:t>Selpercatinib</w:t>
            </w:r>
          </w:p>
          <w:p w14:paraId="1A36E37D" w14:textId="77777777" w:rsidR="00FD3E4D" w:rsidRDefault="00FD3E4D" w:rsidP="005113B4">
            <w:pPr>
              <w:pStyle w:val="TableText0"/>
              <w:keepNext w:val="0"/>
              <w:widowControl w:val="0"/>
            </w:pPr>
            <w:r>
              <w:t xml:space="preserve">80 mg x 112 pack </w:t>
            </w:r>
          </w:p>
          <w:p w14:paraId="46C1F865" w14:textId="77777777" w:rsidR="00FD3E4D" w:rsidRDefault="00FD3E4D" w:rsidP="005113B4">
            <w:pPr>
              <w:pStyle w:val="TableText0"/>
              <w:keepNext w:val="0"/>
              <w:widowControl w:val="0"/>
            </w:pPr>
            <w:r>
              <w:t>80 mg x 56 pack</w:t>
            </w:r>
          </w:p>
          <w:p w14:paraId="1A630732" w14:textId="77777777" w:rsidR="00FD3E4D" w:rsidRDefault="00FD3E4D" w:rsidP="005113B4">
            <w:pPr>
              <w:pStyle w:val="TableText0"/>
              <w:keepNext w:val="0"/>
              <w:widowControl w:val="0"/>
            </w:pPr>
            <w:r>
              <w:t>40 mg x 56 pack</w:t>
            </w:r>
          </w:p>
        </w:tc>
        <w:tc>
          <w:tcPr>
            <w:tcW w:w="1146" w:type="dxa"/>
            <w:tcMar>
              <w:left w:w="40" w:type="dxa"/>
              <w:right w:w="40" w:type="dxa"/>
            </w:tcMar>
            <w:vAlign w:val="center"/>
          </w:tcPr>
          <w:p w14:paraId="337F5FF4" w14:textId="5BCCD027" w:rsidR="00FD3E4D" w:rsidRDefault="00FD3E4D" w:rsidP="005113B4">
            <w:pPr>
              <w:pStyle w:val="TableText0"/>
              <w:widowControl w:val="0"/>
              <w:rPr>
                <w:iCs/>
              </w:rPr>
            </w:pPr>
            <w:r w:rsidRPr="008B63F4">
              <w:rPr>
                <w:iCs/>
              </w:rPr>
              <w:t>$</w:t>
            </w:r>
            <w:r w:rsidR="00DA3714" w:rsidRPr="00DA3714">
              <w:rPr>
                <w:iCs/>
                <w:color w:val="000000"/>
                <w:spacing w:val="53"/>
                <w:shd w:val="solid" w:color="000000" w:fill="000000"/>
                <w:fitText w:val="330" w:id="-893663488"/>
                <w14:textFill>
                  <w14:solidFill>
                    <w14:srgbClr w14:val="000000">
                      <w14:alpha w14:val="100000"/>
                    </w14:srgbClr>
                  </w14:solidFill>
                </w14:textFill>
              </w:rPr>
              <w:t>|||</w:t>
            </w:r>
            <w:r w:rsidR="00DA3714" w:rsidRPr="00DA3714">
              <w:rPr>
                <w:iCs/>
                <w:color w:val="000000"/>
                <w:spacing w:val="1"/>
                <w:shd w:val="solid" w:color="000000" w:fill="000000"/>
                <w:fitText w:val="330" w:id="-893663488"/>
                <w14:textFill>
                  <w14:solidFill>
                    <w14:srgbClr w14:val="000000">
                      <w14:alpha w14:val="100000"/>
                    </w14:srgbClr>
                  </w14:solidFill>
                </w14:textFill>
              </w:rPr>
              <w:t>|</w:t>
            </w:r>
          </w:p>
          <w:p w14:paraId="3890D534" w14:textId="16670804" w:rsidR="00FD3E4D" w:rsidRDefault="00FD3E4D" w:rsidP="005113B4">
            <w:pPr>
              <w:pStyle w:val="TableText0"/>
              <w:widowControl w:val="0"/>
              <w:rPr>
                <w:iCs/>
              </w:rPr>
            </w:pPr>
            <w:r w:rsidRPr="008B63F4">
              <w:rPr>
                <w:iCs/>
              </w:rPr>
              <w:t>$</w:t>
            </w:r>
            <w:r w:rsidR="00DA3714" w:rsidRPr="00DA3714">
              <w:rPr>
                <w:iCs/>
                <w:color w:val="000000"/>
                <w:spacing w:val="53"/>
                <w:shd w:val="solid" w:color="000000" w:fill="000000"/>
                <w:fitText w:val="330" w:id="-893663487"/>
                <w14:textFill>
                  <w14:solidFill>
                    <w14:srgbClr w14:val="000000">
                      <w14:alpha w14:val="100000"/>
                    </w14:srgbClr>
                  </w14:solidFill>
                </w14:textFill>
              </w:rPr>
              <w:t>|||</w:t>
            </w:r>
            <w:r w:rsidR="00DA3714" w:rsidRPr="00DA3714">
              <w:rPr>
                <w:iCs/>
                <w:color w:val="000000"/>
                <w:spacing w:val="1"/>
                <w:shd w:val="solid" w:color="000000" w:fill="000000"/>
                <w:fitText w:val="330" w:id="-893663487"/>
                <w14:textFill>
                  <w14:solidFill>
                    <w14:srgbClr w14:val="000000">
                      <w14:alpha w14:val="100000"/>
                    </w14:srgbClr>
                  </w14:solidFill>
                </w14:textFill>
              </w:rPr>
              <w:t>|</w:t>
            </w:r>
            <w:r w:rsidRPr="008B63F4">
              <w:rPr>
                <w:iCs/>
              </w:rPr>
              <w:t xml:space="preserve"> </w:t>
            </w:r>
          </w:p>
          <w:p w14:paraId="27500EC3" w14:textId="76E267F1" w:rsidR="00FD3E4D" w:rsidRPr="0006735F" w:rsidRDefault="00FD3E4D" w:rsidP="005113B4">
            <w:pPr>
              <w:pStyle w:val="TableText0"/>
              <w:widowControl w:val="0"/>
              <w:rPr>
                <w:iCs/>
              </w:rPr>
            </w:pPr>
            <w:r w:rsidRPr="008B63F4">
              <w:rPr>
                <w:iCs/>
              </w:rPr>
              <w:t>$</w:t>
            </w:r>
            <w:r w:rsidR="00DA3714" w:rsidRPr="00DA3714">
              <w:rPr>
                <w:iCs/>
                <w:color w:val="000000"/>
                <w:spacing w:val="53"/>
                <w:shd w:val="solid" w:color="000000" w:fill="000000"/>
                <w:fitText w:val="330" w:id="-893663486"/>
                <w14:textFill>
                  <w14:solidFill>
                    <w14:srgbClr w14:val="000000">
                      <w14:alpha w14:val="100000"/>
                    </w14:srgbClr>
                  </w14:solidFill>
                </w14:textFill>
              </w:rPr>
              <w:t>|||</w:t>
            </w:r>
            <w:r w:rsidR="00DA3714" w:rsidRPr="00DA3714">
              <w:rPr>
                <w:iCs/>
                <w:color w:val="000000"/>
                <w:spacing w:val="1"/>
                <w:shd w:val="solid" w:color="000000" w:fill="000000"/>
                <w:fitText w:val="330" w:id="-893663486"/>
                <w14:textFill>
                  <w14:solidFill>
                    <w14:srgbClr w14:val="000000">
                      <w14:alpha w14:val="100000"/>
                    </w14:srgbClr>
                  </w14:solidFill>
                </w14:textFill>
              </w:rPr>
              <w:t>|</w:t>
            </w:r>
          </w:p>
        </w:tc>
        <w:tc>
          <w:tcPr>
            <w:tcW w:w="2047" w:type="dxa"/>
            <w:tcMar>
              <w:left w:w="40" w:type="dxa"/>
              <w:right w:w="40" w:type="dxa"/>
            </w:tcMar>
            <w:vAlign w:val="center"/>
          </w:tcPr>
          <w:p w14:paraId="7792A9AA" w14:textId="375EE5C9" w:rsidR="00FD3E4D" w:rsidRPr="0006735F" w:rsidRDefault="00FD3E4D" w:rsidP="005113B4">
            <w:pPr>
              <w:pStyle w:val="TableText0"/>
              <w:keepNext w:val="0"/>
              <w:widowControl w:val="0"/>
              <w:rPr>
                <w:iCs/>
              </w:rPr>
            </w:pPr>
            <w:r>
              <w:rPr>
                <w:iCs/>
              </w:rPr>
              <w:t xml:space="preserve">Requested effective DPMQs </w:t>
            </w:r>
          </w:p>
        </w:tc>
        <w:tc>
          <w:tcPr>
            <w:tcW w:w="4282" w:type="dxa"/>
            <w:tcMar>
              <w:left w:w="40" w:type="dxa"/>
              <w:right w:w="40" w:type="dxa"/>
            </w:tcMar>
            <w:vAlign w:val="center"/>
          </w:tcPr>
          <w:p w14:paraId="213AAD59" w14:textId="4EA22A3C" w:rsidR="00FD3E4D" w:rsidRPr="007A7229" w:rsidRDefault="00FD3E4D" w:rsidP="005113B4">
            <w:pPr>
              <w:pStyle w:val="TableText0"/>
              <w:keepNext w:val="0"/>
              <w:widowControl w:val="0"/>
            </w:pPr>
            <w:r w:rsidRPr="007A7229">
              <w:t>The effective DPMQs were lower than the July 2023 submission and the July 2023 pre-PBAC response</w:t>
            </w:r>
            <w:r w:rsidR="009A0677" w:rsidRPr="007A7229">
              <w:t xml:space="preserve"> for each </w:t>
            </w:r>
            <w:r w:rsidR="00F26602" w:rsidRPr="007A7229">
              <w:t xml:space="preserve">strength x </w:t>
            </w:r>
            <w:r w:rsidR="009A0677" w:rsidRPr="007A7229">
              <w:t>pack</w:t>
            </w:r>
            <w:r w:rsidR="00F26602" w:rsidRPr="007A7229">
              <w:t xml:space="preserve"> size combination</w:t>
            </w:r>
            <w:r w:rsidR="00C9581E" w:rsidRPr="007A7229">
              <w:t>:</w:t>
            </w:r>
          </w:p>
          <w:p w14:paraId="304D97E3" w14:textId="2CB99F48" w:rsidR="0068312F" w:rsidRPr="00B44616" w:rsidRDefault="0068312F" w:rsidP="0068312F">
            <w:pPr>
              <w:pStyle w:val="TableText0"/>
              <w:keepNext w:val="0"/>
              <w:widowControl w:val="0"/>
            </w:pPr>
            <w:r w:rsidRPr="00B44616">
              <w:t xml:space="preserve">80 mg x 112 pack: </w:t>
            </w:r>
            <w:r w:rsidR="009A0677" w:rsidRPr="00B44616">
              <w:t>10.7% and9.3%</w:t>
            </w:r>
            <w:r w:rsidR="00F26602" w:rsidRPr="00B44616">
              <w:t xml:space="preserve"> lower</w:t>
            </w:r>
            <w:r w:rsidR="009A0677" w:rsidRPr="00B44616">
              <w:t>, respectively</w:t>
            </w:r>
          </w:p>
          <w:p w14:paraId="2BC8B329" w14:textId="4974BFC5" w:rsidR="0068312F" w:rsidRPr="00B44616" w:rsidRDefault="0068312F" w:rsidP="0068312F">
            <w:pPr>
              <w:pStyle w:val="TableText0"/>
              <w:keepNext w:val="0"/>
              <w:widowControl w:val="0"/>
            </w:pPr>
            <w:r w:rsidRPr="00B44616">
              <w:t>80 mg x 56 pack</w:t>
            </w:r>
            <w:r w:rsidR="00F26602" w:rsidRPr="00B44616">
              <w:t>: 10.4</w:t>
            </w:r>
            <w:r w:rsidR="00C9581E" w:rsidRPr="00B44616">
              <w:t>% and 9.1%, respectively.</w:t>
            </w:r>
          </w:p>
          <w:p w14:paraId="5083D8AA" w14:textId="234E3B39" w:rsidR="0068312F" w:rsidRPr="007A7229" w:rsidRDefault="0068312F" w:rsidP="00B12A4F">
            <w:pPr>
              <w:pStyle w:val="TableText0"/>
              <w:keepNext w:val="0"/>
              <w:widowControl w:val="0"/>
            </w:pPr>
            <w:r w:rsidRPr="00B44616">
              <w:t>40 mg x 56 pack</w:t>
            </w:r>
            <w:r w:rsidR="00C9581E" w:rsidRPr="00B44616">
              <w:t>: 10.5% and 9.2% respectively</w:t>
            </w:r>
            <w:r w:rsidR="00C9581E" w:rsidRPr="007A7229">
              <w:t>.</w:t>
            </w:r>
          </w:p>
        </w:tc>
      </w:tr>
      <w:tr w:rsidR="00FD3E4D" w14:paraId="000058EF" w14:textId="77777777" w:rsidTr="001471E1">
        <w:trPr>
          <w:cantSplit/>
        </w:trPr>
        <w:tc>
          <w:tcPr>
            <w:tcW w:w="1684" w:type="dxa"/>
            <w:tcMar>
              <w:left w:w="40" w:type="dxa"/>
              <w:right w:w="40" w:type="dxa"/>
            </w:tcMar>
            <w:vAlign w:val="center"/>
          </w:tcPr>
          <w:p w14:paraId="616C5B13" w14:textId="77777777" w:rsidR="00FD3E4D" w:rsidRDefault="00FD3E4D" w:rsidP="005113B4">
            <w:pPr>
              <w:pStyle w:val="TableText0"/>
              <w:keepNext w:val="0"/>
              <w:widowControl w:val="0"/>
            </w:pPr>
            <w:r>
              <w:t>Patient co-payment</w:t>
            </w:r>
          </w:p>
        </w:tc>
        <w:tc>
          <w:tcPr>
            <w:tcW w:w="1146" w:type="dxa"/>
            <w:tcMar>
              <w:left w:w="40" w:type="dxa"/>
              <w:right w:w="40" w:type="dxa"/>
            </w:tcMar>
            <w:vAlign w:val="center"/>
          </w:tcPr>
          <w:p w14:paraId="14EEDF6A" w14:textId="77777777" w:rsidR="00FD3E4D" w:rsidRDefault="00FD3E4D" w:rsidP="005113B4">
            <w:pPr>
              <w:pStyle w:val="TableText0"/>
              <w:keepNext w:val="0"/>
              <w:widowControl w:val="0"/>
            </w:pPr>
            <w:r>
              <w:t>PBS: $15.27</w:t>
            </w:r>
          </w:p>
          <w:p w14:paraId="2AFDB47C" w14:textId="77777777" w:rsidR="00FD3E4D" w:rsidRDefault="00FD3E4D" w:rsidP="005113B4">
            <w:pPr>
              <w:pStyle w:val="TableText0"/>
              <w:keepNext w:val="0"/>
              <w:widowControl w:val="0"/>
            </w:pPr>
            <w:r>
              <w:t>RPBS: 7.28</w:t>
            </w:r>
            <w:r w:rsidRPr="006B33D0">
              <w:rPr>
                <w:vertAlign w:val="superscript"/>
              </w:rPr>
              <w:t>b</w:t>
            </w:r>
          </w:p>
        </w:tc>
        <w:tc>
          <w:tcPr>
            <w:tcW w:w="2047" w:type="dxa"/>
            <w:shd w:val="clear" w:color="auto" w:fill="B8CCE4" w:themeFill="accent1" w:themeFillTint="66"/>
            <w:tcMar>
              <w:left w:w="40" w:type="dxa"/>
              <w:right w:w="40" w:type="dxa"/>
            </w:tcMar>
            <w:vAlign w:val="center"/>
          </w:tcPr>
          <w:p w14:paraId="6201BDC1" w14:textId="77777777" w:rsidR="00FD3E4D" w:rsidRDefault="00FD3E4D" w:rsidP="005113B4">
            <w:pPr>
              <w:pStyle w:val="TableText0"/>
              <w:keepNext w:val="0"/>
              <w:widowControl w:val="0"/>
            </w:pPr>
            <w:r>
              <w:t>Services Australia PBS item statistics</w:t>
            </w:r>
          </w:p>
          <w:p w14:paraId="77D9849A" w14:textId="77777777" w:rsidR="00FD3E4D" w:rsidRDefault="00FD3E4D" w:rsidP="005113B4">
            <w:pPr>
              <w:pStyle w:val="TableText0"/>
              <w:keepNext w:val="0"/>
              <w:widowControl w:val="0"/>
            </w:pPr>
            <w:r>
              <w:t>PBS item numbers: 11492W, 11494Y, 12119W, 12121Y</w:t>
            </w:r>
          </w:p>
        </w:tc>
        <w:tc>
          <w:tcPr>
            <w:tcW w:w="4282" w:type="dxa"/>
            <w:tcMar>
              <w:left w:w="40" w:type="dxa"/>
              <w:right w:w="40" w:type="dxa"/>
            </w:tcMar>
            <w:vAlign w:val="center"/>
          </w:tcPr>
          <w:p w14:paraId="6EC112EF" w14:textId="3E3B0DF3" w:rsidR="00FD3E4D" w:rsidRPr="007A7229" w:rsidRDefault="00AD0583" w:rsidP="005113B4">
            <w:pPr>
              <w:pStyle w:val="TableText0"/>
              <w:keepNext w:val="0"/>
              <w:widowControl w:val="0"/>
            </w:pPr>
            <w:r>
              <w:t>-</w:t>
            </w:r>
            <w:r w:rsidR="00FD3E4D" w:rsidRPr="007A7229">
              <w:t xml:space="preserve"> </w:t>
            </w:r>
          </w:p>
        </w:tc>
      </w:tr>
      <w:tr w:rsidR="00FD3E4D" w14:paraId="2187702F" w14:textId="77777777" w:rsidTr="001471E1">
        <w:trPr>
          <w:cantSplit/>
        </w:trPr>
        <w:tc>
          <w:tcPr>
            <w:tcW w:w="1684" w:type="dxa"/>
            <w:tcBorders>
              <w:bottom w:val="single" w:sz="4" w:space="0" w:color="auto"/>
            </w:tcBorders>
            <w:tcMar>
              <w:left w:w="40" w:type="dxa"/>
              <w:right w:w="40" w:type="dxa"/>
            </w:tcMar>
            <w:vAlign w:val="center"/>
          </w:tcPr>
          <w:p w14:paraId="286070EA" w14:textId="77777777" w:rsidR="00FD3E4D" w:rsidRDefault="00FD3E4D" w:rsidP="005113B4">
            <w:pPr>
              <w:pStyle w:val="TableText0"/>
              <w:keepNext w:val="0"/>
              <w:widowControl w:val="0"/>
            </w:pPr>
            <w:r>
              <w:lastRenderedPageBreak/>
              <w:t xml:space="preserve">PBS/RPBS Split </w:t>
            </w:r>
          </w:p>
        </w:tc>
        <w:tc>
          <w:tcPr>
            <w:tcW w:w="1146" w:type="dxa"/>
            <w:tcBorders>
              <w:bottom w:val="single" w:sz="4" w:space="0" w:color="auto"/>
            </w:tcBorders>
            <w:tcMar>
              <w:left w:w="40" w:type="dxa"/>
              <w:right w:w="40" w:type="dxa"/>
            </w:tcMar>
            <w:vAlign w:val="center"/>
          </w:tcPr>
          <w:p w14:paraId="16D87B4E" w14:textId="77777777" w:rsidR="00FD3E4D" w:rsidRDefault="00FD3E4D" w:rsidP="005113B4">
            <w:pPr>
              <w:pStyle w:val="TableText0"/>
              <w:keepNext w:val="0"/>
              <w:widowControl w:val="0"/>
            </w:pPr>
            <w:r>
              <w:t>PBS: 97.01%</w:t>
            </w:r>
          </w:p>
          <w:p w14:paraId="09FF2CBE" w14:textId="77777777" w:rsidR="00FD3E4D" w:rsidRDefault="00FD3E4D" w:rsidP="005113B4">
            <w:pPr>
              <w:pStyle w:val="TableText0"/>
              <w:keepNext w:val="0"/>
              <w:widowControl w:val="0"/>
            </w:pPr>
            <w:r>
              <w:t xml:space="preserve">RPBS: 2.99% </w:t>
            </w:r>
          </w:p>
        </w:tc>
        <w:tc>
          <w:tcPr>
            <w:tcW w:w="2047" w:type="dxa"/>
            <w:tcBorders>
              <w:bottom w:val="single" w:sz="4" w:space="0" w:color="auto"/>
            </w:tcBorders>
            <w:shd w:val="clear" w:color="auto" w:fill="B8CCE4" w:themeFill="accent1" w:themeFillTint="66"/>
            <w:tcMar>
              <w:left w:w="40" w:type="dxa"/>
              <w:right w:w="40" w:type="dxa"/>
            </w:tcMar>
            <w:vAlign w:val="center"/>
          </w:tcPr>
          <w:p w14:paraId="1D641A7D" w14:textId="77777777" w:rsidR="00FD3E4D" w:rsidRDefault="00FD3E4D" w:rsidP="005113B4">
            <w:pPr>
              <w:pStyle w:val="TableText0"/>
              <w:keepNext w:val="0"/>
              <w:widowControl w:val="0"/>
            </w:pPr>
            <w:r>
              <w:t>Services Australia PBS item statistics</w:t>
            </w:r>
          </w:p>
          <w:p w14:paraId="2459005C" w14:textId="77777777" w:rsidR="00FD3E4D" w:rsidRDefault="00FD3E4D" w:rsidP="005113B4">
            <w:pPr>
              <w:pStyle w:val="TableText0"/>
              <w:keepNext w:val="0"/>
              <w:widowControl w:val="0"/>
            </w:pPr>
            <w:r>
              <w:t>PBS item numbers: 11492W, 11494Y, 12119W, 12121Y</w:t>
            </w:r>
          </w:p>
        </w:tc>
        <w:tc>
          <w:tcPr>
            <w:tcW w:w="4282" w:type="dxa"/>
            <w:tcBorders>
              <w:bottom w:val="single" w:sz="4" w:space="0" w:color="auto"/>
            </w:tcBorders>
            <w:tcMar>
              <w:left w:w="40" w:type="dxa"/>
              <w:right w:w="40" w:type="dxa"/>
            </w:tcMar>
            <w:vAlign w:val="center"/>
          </w:tcPr>
          <w:p w14:paraId="056F7FD3" w14:textId="7CB928A8" w:rsidR="00FD3E4D" w:rsidRPr="007A7229" w:rsidRDefault="00AD0583" w:rsidP="005113B4">
            <w:pPr>
              <w:pStyle w:val="TableText0"/>
              <w:keepNext w:val="0"/>
              <w:widowControl w:val="0"/>
            </w:pPr>
            <w:r>
              <w:t>-</w:t>
            </w:r>
            <w:r w:rsidR="00FD3E4D" w:rsidRPr="007A7229">
              <w:t xml:space="preserve"> </w:t>
            </w:r>
          </w:p>
        </w:tc>
      </w:tr>
      <w:tr w:rsidR="00FD3E4D" w14:paraId="34D860BB" w14:textId="77777777" w:rsidTr="001471E1">
        <w:trPr>
          <w:cantSplit/>
        </w:trPr>
        <w:tc>
          <w:tcPr>
            <w:tcW w:w="1684" w:type="dxa"/>
            <w:tcBorders>
              <w:right w:val="nil"/>
            </w:tcBorders>
            <w:tcMar>
              <w:left w:w="40" w:type="dxa"/>
              <w:right w:w="40" w:type="dxa"/>
            </w:tcMar>
            <w:vAlign w:val="center"/>
          </w:tcPr>
          <w:p w14:paraId="63E78D32" w14:textId="77777777" w:rsidR="00FD3E4D" w:rsidRDefault="00FD3E4D" w:rsidP="005113B4">
            <w:pPr>
              <w:pStyle w:val="TableText0"/>
              <w:keepLines/>
            </w:pPr>
            <w:r>
              <w:t>MBS costs</w:t>
            </w:r>
          </w:p>
        </w:tc>
        <w:tc>
          <w:tcPr>
            <w:tcW w:w="1146" w:type="dxa"/>
            <w:tcBorders>
              <w:left w:val="nil"/>
              <w:right w:val="nil"/>
            </w:tcBorders>
            <w:tcMar>
              <w:left w:w="40" w:type="dxa"/>
              <w:right w:w="40" w:type="dxa"/>
            </w:tcMar>
            <w:vAlign w:val="center"/>
          </w:tcPr>
          <w:p w14:paraId="45209400" w14:textId="77777777" w:rsidR="00FD3E4D" w:rsidRDefault="00FD3E4D" w:rsidP="005113B4">
            <w:pPr>
              <w:pStyle w:val="TableText0"/>
              <w:keepLines/>
            </w:pPr>
          </w:p>
        </w:tc>
        <w:tc>
          <w:tcPr>
            <w:tcW w:w="2047" w:type="dxa"/>
            <w:tcBorders>
              <w:left w:val="nil"/>
              <w:right w:val="nil"/>
            </w:tcBorders>
            <w:tcMar>
              <w:left w:w="40" w:type="dxa"/>
              <w:right w:w="40" w:type="dxa"/>
            </w:tcMar>
            <w:vAlign w:val="center"/>
          </w:tcPr>
          <w:p w14:paraId="0DDA9FDE" w14:textId="77777777" w:rsidR="00FD3E4D" w:rsidRDefault="00FD3E4D" w:rsidP="005113B4">
            <w:pPr>
              <w:pStyle w:val="TableText0"/>
              <w:keepLines/>
            </w:pPr>
          </w:p>
        </w:tc>
        <w:tc>
          <w:tcPr>
            <w:tcW w:w="4282" w:type="dxa"/>
            <w:tcBorders>
              <w:left w:val="nil"/>
            </w:tcBorders>
            <w:tcMar>
              <w:left w:w="40" w:type="dxa"/>
              <w:right w:w="40" w:type="dxa"/>
            </w:tcMar>
            <w:vAlign w:val="center"/>
          </w:tcPr>
          <w:p w14:paraId="1733AF4A" w14:textId="77777777" w:rsidR="00FD3E4D" w:rsidRPr="007A7229" w:rsidRDefault="00FD3E4D" w:rsidP="005113B4">
            <w:pPr>
              <w:pStyle w:val="TableText0"/>
              <w:keepLines/>
            </w:pPr>
          </w:p>
        </w:tc>
      </w:tr>
      <w:tr w:rsidR="00FD3E4D" w:rsidRPr="009C1696" w14:paraId="1D852E1A" w14:textId="77777777" w:rsidTr="001471E1">
        <w:trPr>
          <w:cantSplit/>
        </w:trPr>
        <w:tc>
          <w:tcPr>
            <w:tcW w:w="1684" w:type="dxa"/>
            <w:tcMar>
              <w:left w:w="40" w:type="dxa"/>
              <w:right w:w="40" w:type="dxa"/>
            </w:tcMar>
            <w:vAlign w:val="center"/>
          </w:tcPr>
          <w:p w14:paraId="6C03BE46" w14:textId="77777777" w:rsidR="00FD3E4D" w:rsidRPr="009C1696" w:rsidRDefault="00FD3E4D" w:rsidP="005113B4">
            <w:pPr>
              <w:pStyle w:val="TableText0"/>
              <w:keepNext w:val="0"/>
              <w:widowControl w:val="0"/>
              <w:rPr>
                <w:szCs w:val="20"/>
              </w:rPr>
            </w:pPr>
            <w:r w:rsidRPr="00496BAB">
              <w:rPr>
                <w:i/>
                <w:szCs w:val="20"/>
              </w:rPr>
              <w:t>RET</w:t>
            </w:r>
            <w:r>
              <w:rPr>
                <w:szCs w:val="20"/>
              </w:rPr>
              <w:t xml:space="preserve"> fusion testing</w:t>
            </w:r>
          </w:p>
        </w:tc>
        <w:tc>
          <w:tcPr>
            <w:tcW w:w="1146" w:type="dxa"/>
            <w:tcMar>
              <w:left w:w="40" w:type="dxa"/>
              <w:right w:w="40" w:type="dxa"/>
            </w:tcMar>
            <w:vAlign w:val="center"/>
          </w:tcPr>
          <w:p w14:paraId="66A76330" w14:textId="77777777" w:rsidR="00FD3E4D" w:rsidRPr="009C1696" w:rsidRDefault="00FD3E4D" w:rsidP="005113B4">
            <w:pPr>
              <w:pStyle w:val="TableText0"/>
              <w:keepNext w:val="0"/>
              <w:widowControl w:val="0"/>
              <w:rPr>
                <w:szCs w:val="20"/>
              </w:rPr>
            </w:pPr>
            <w:r w:rsidRPr="009C1696">
              <w:rPr>
                <w:szCs w:val="20"/>
              </w:rPr>
              <w:t>$</w:t>
            </w:r>
            <w:r>
              <w:rPr>
                <w:szCs w:val="20"/>
              </w:rPr>
              <w:t>0</w:t>
            </w:r>
          </w:p>
        </w:tc>
        <w:tc>
          <w:tcPr>
            <w:tcW w:w="2047" w:type="dxa"/>
            <w:tcMar>
              <w:left w:w="40" w:type="dxa"/>
              <w:right w:w="40" w:type="dxa"/>
            </w:tcMar>
            <w:vAlign w:val="center"/>
          </w:tcPr>
          <w:p w14:paraId="3E9507AC" w14:textId="77777777" w:rsidR="00FD3E4D" w:rsidRPr="009C1696" w:rsidRDefault="00FD3E4D" w:rsidP="005113B4">
            <w:pPr>
              <w:pStyle w:val="TableText0"/>
              <w:keepNext w:val="0"/>
              <w:widowControl w:val="0"/>
              <w:rPr>
                <w:szCs w:val="20"/>
              </w:rPr>
            </w:pPr>
            <w:r>
              <w:rPr>
                <w:szCs w:val="20"/>
              </w:rPr>
              <w:t>Assumed</w:t>
            </w:r>
          </w:p>
        </w:tc>
        <w:tc>
          <w:tcPr>
            <w:tcW w:w="4282" w:type="dxa"/>
            <w:tcMar>
              <w:left w:w="40" w:type="dxa"/>
              <w:right w:w="40" w:type="dxa"/>
            </w:tcMar>
            <w:vAlign w:val="center"/>
          </w:tcPr>
          <w:p w14:paraId="73F35383" w14:textId="606F1B26" w:rsidR="0055611A" w:rsidRDefault="000646AE" w:rsidP="00537C85">
            <w:pPr>
              <w:pStyle w:val="TableText0"/>
              <w:keepNext w:val="0"/>
              <w:widowControl w:val="0"/>
            </w:pPr>
            <w:r w:rsidRPr="007A7229">
              <w:rPr>
                <w:szCs w:val="20"/>
              </w:rPr>
              <w:t xml:space="preserve">The July 2023 submission </w:t>
            </w:r>
            <w:r w:rsidR="0055611A" w:rsidRPr="007A7229">
              <w:t xml:space="preserve">included RET fusion testing costs for all eligible patients, and the pre-PBAC response in July 2023 </w:t>
            </w:r>
            <w:r w:rsidR="007D2980" w:rsidRPr="007A7229">
              <w:t>applied test costs to 34% of prevalent patients.</w:t>
            </w:r>
          </w:p>
          <w:p w14:paraId="4C0D45A9" w14:textId="77777777" w:rsidR="00AD0583" w:rsidRPr="007A7229" w:rsidRDefault="00AD0583" w:rsidP="00537C85">
            <w:pPr>
              <w:pStyle w:val="TableText0"/>
              <w:keepNext w:val="0"/>
              <w:widowControl w:val="0"/>
            </w:pPr>
          </w:p>
          <w:p w14:paraId="1AD94DAA" w14:textId="0B24F8FE" w:rsidR="00FD3E4D" w:rsidRPr="007A7229" w:rsidRDefault="00FD3E4D" w:rsidP="00537C85">
            <w:pPr>
              <w:pStyle w:val="TableText0"/>
              <w:keepNext w:val="0"/>
              <w:widowControl w:val="0"/>
              <w:rPr>
                <w:szCs w:val="20"/>
              </w:rPr>
            </w:pPr>
            <w:r w:rsidRPr="007A7229">
              <w:rPr>
                <w:szCs w:val="20"/>
              </w:rPr>
              <w:t xml:space="preserve">The resubmission argued that RET fusion testing was not required in the financial estimates because </w:t>
            </w:r>
            <w:r w:rsidRPr="007A7229">
              <w:t>the test was a part of the standard diagnostic pathway for NSCLC patients in Australia. The MBS item was listed in November 2023, so the prevalent pool of patients eligible for selpercatinib in 2025 would have had access to the test.</w:t>
            </w:r>
          </w:p>
        </w:tc>
      </w:tr>
      <w:tr w:rsidR="00FD3E4D" w:rsidRPr="009C1696" w14:paraId="6400B0EE" w14:textId="77777777" w:rsidTr="001471E1">
        <w:trPr>
          <w:cantSplit/>
        </w:trPr>
        <w:tc>
          <w:tcPr>
            <w:tcW w:w="1684" w:type="dxa"/>
            <w:tcMar>
              <w:left w:w="40" w:type="dxa"/>
              <w:right w:w="40" w:type="dxa"/>
            </w:tcMar>
            <w:vAlign w:val="center"/>
          </w:tcPr>
          <w:p w14:paraId="19466FE4" w14:textId="77777777" w:rsidR="00FD3E4D" w:rsidRPr="009C1696" w:rsidRDefault="00FD3E4D" w:rsidP="005113B4">
            <w:pPr>
              <w:pStyle w:val="TableText0"/>
              <w:keepNext w:val="0"/>
              <w:widowControl w:val="0"/>
              <w:rPr>
                <w:szCs w:val="20"/>
              </w:rPr>
            </w:pPr>
            <w:r>
              <w:rPr>
                <w:szCs w:val="20"/>
              </w:rPr>
              <w:t>ECG</w:t>
            </w:r>
          </w:p>
        </w:tc>
        <w:tc>
          <w:tcPr>
            <w:tcW w:w="1146" w:type="dxa"/>
            <w:tcMar>
              <w:left w:w="40" w:type="dxa"/>
              <w:right w:w="40" w:type="dxa"/>
            </w:tcMar>
            <w:vAlign w:val="center"/>
          </w:tcPr>
          <w:p w14:paraId="3E3F4C81" w14:textId="77777777" w:rsidR="00FD3E4D" w:rsidRDefault="00FD3E4D" w:rsidP="005113B4">
            <w:pPr>
              <w:pStyle w:val="TableText0"/>
              <w:keepNext w:val="0"/>
              <w:widowControl w:val="0"/>
              <w:rPr>
                <w:szCs w:val="20"/>
              </w:rPr>
            </w:pPr>
            <w:r w:rsidRPr="009C1696">
              <w:rPr>
                <w:szCs w:val="20"/>
              </w:rPr>
              <w:t>$</w:t>
            </w:r>
            <w:r>
              <w:rPr>
                <w:szCs w:val="20"/>
              </w:rPr>
              <w:t xml:space="preserve">25.60 </w:t>
            </w:r>
            <w:r w:rsidRPr="009C1696">
              <w:rPr>
                <w:szCs w:val="20"/>
              </w:rPr>
              <w:t>per service</w:t>
            </w:r>
            <w:r>
              <w:rPr>
                <w:szCs w:val="20"/>
              </w:rPr>
              <w:t xml:space="preserve">. </w:t>
            </w:r>
          </w:p>
          <w:p w14:paraId="1D66C011" w14:textId="77777777" w:rsidR="00FD3E4D" w:rsidRPr="00BC5A69" w:rsidRDefault="00FD3E4D" w:rsidP="005113B4">
            <w:pPr>
              <w:pStyle w:val="TableText0"/>
              <w:keepNext w:val="0"/>
              <w:widowControl w:val="0"/>
              <w:rPr>
                <w:szCs w:val="20"/>
              </w:rPr>
            </w:pPr>
            <w:r w:rsidRPr="00BC5A69">
              <w:rPr>
                <w:szCs w:val="20"/>
              </w:rPr>
              <w:t>2024 MBS fee was $1.00 higher ($26.65).</w:t>
            </w:r>
          </w:p>
        </w:tc>
        <w:tc>
          <w:tcPr>
            <w:tcW w:w="2047" w:type="dxa"/>
            <w:tcMar>
              <w:left w:w="40" w:type="dxa"/>
              <w:right w:w="40" w:type="dxa"/>
            </w:tcMar>
            <w:vAlign w:val="center"/>
          </w:tcPr>
          <w:p w14:paraId="09E2FF6E" w14:textId="77777777" w:rsidR="00FD3E4D" w:rsidRPr="009C1696" w:rsidRDefault="00FD3E4D" w:rsidP="005113B4">
            <w:pPr>
              <w:pStyle w:val="TableText0"/>
              <w:keepNext w:val="0"/>
              <w:widowControl w:val="0"/>
              <w:rPr>
                <w:szCs w:val="20"/>
              </w:rPr>
            </w:pPr>
            <w:r w:rsidRPr="009C1696">
              <w:rPr>
                <w:szCs w:val="20"/>
              </w:rPr>
              <w:t>MBS item 11714</w:t>
            </w:r>
            <w:r>
              <w:rPr>
                <w:szCs w:val="20"/>
              </w:rPr>
              <w:t>, 80% rebate</w:t>
            </w:r>
          </w:p>
        </w:tc>
        <w:tc>
          <w:tcPr>
            <w:tcW w:w="4282" w:type="dxa"/>
            <w:tcMar>
              <w:left w:w="40" w:type="dxa"/>
              <w:right w:w="40" w:type="dxa"/>
            </w:tcMar>
            <w:vAlign w:val="center"/>
          </w:tcPr>
          <w:p w14:paraId="65935452" w14:textId="51720B19" w:rsidR="00FD3E4D" w:rsidRPr="007A7229" w:rsidRDefault="00FD3E4D" w:rsidP="005113B4">
            <w:pPr>
              <w:pStyle w:val="TableText0"/>
              <w:keepNext w:val="0"/>
              <w:widowControl w:val="0"/>
              <w:rPr>
                <w:szCs w:val="20"/>
              </w:rPr>
            </w:pPr>
            <w:r w:rsidRPr="007A7229">
              <w:rPr>
                <w:szCs w:val="20"/>
              </w:rPr>
              <w:t xml:space="preserve">The July 2023 submission assumed 2.4 ECG services per year. In line with DUSC advice </w:t>
            </w:r>
            <w:r w:rsidRPr="007A7229">
              <w:t>(</w:t>
            </w:r>
            <w:r w:rsidR="000F0E2F">
              <w:t>Table 26, selper</w:t>
            </w:r>
            <w:r w:rsidR="00BC5A69">
              <w:t>c</w:t>
            </w:r>
            <w:r w:rsidR="000F0E2F">
              <w:t>atinib PSD, July 2023 PBA</w:t>
            </w:r>
            <w:r w:rsidR="00BC5A69">
              <w:t>C</w:t>
            </w:r>
            <w:r w:rsidR="000F0E2F">
              <w:t xml:space="preserve"> meeting</w:t>
            </w:r>
            <w:r w:rsidRPr="007A7229">
              <w:t>)</w:t>
            </w:r>
            <w:r w:rsidRPr="007A7229">
              <w:rPr>
                <w:szCs w:val="20"/>
              </w:rPr>
              <w:t xml:space="preserve">, the resubmission assumed 7 ECG services in the first year. </w:t>
            </w:r>
          </w:p>
          <w:p w14:paraId="6016C140" w14:textId="45557893" w:rsidR="00FD3E4D" w:rsidRPr="007A7229" w:rsidRDefault="00FD3E4D" w:rsidP="005113B4">
            <w:pPr>
              <w:pStyle w:val="TableText0"/>
              <w:keepNext w:val="0"/>
              <w:widowControl w:val="0"/>
              <w:rPr>
                <w:szCs w:val="20"/>
              </w:rPr>
            </w:pPr>
            <w:r w:rsidRPr="007A7229">
              <w:rPr>
                <w:rStyle w:val="normaltextrun"/>
                <w:rFonts w:cs="Segoe UI"/>
                <w:szCs w:val="20"/>
                <w:shd w:val="clear" w:color="auto" w:fill="FFFFFF"/>
              </w:rPr>
              <w:t xml:space="preserve">Using the updated fee, the cost to MBS over 6 years increased </w:t>
            </w:r>
            <w:r w:rsidRPr="00F800EE">
              <w:rPr>
                <w:rStyle w:val="normaltextrun"/>
                <w:rFonts w:cs="Segoe UI"/>
                <w:szCs w:val="20"/>
                <w:shd w:val="clear" w:color="auto" w:fill="FFFFFF"/>
              </w:rPr>
              <w:t>by $</w:t>
            </w:r>
            <w:r w:rsidRPr="007D7974">
              <w:rPr>
                <w:rStyle w:val="normaltextrun"/>
                <w:rFonts w:cs="Segoe UI"/>
                <w:szCs w:val="20"/>
                <w:shd w:val="clear" w:color="auto" w:fill="FFFFFF"/>
              </w:rPr>
              <w:t>4,838.</w:t>
            </w:r>
          </w:p>
        </w:tc>
      </w:tr>
    </w:tbl>
    <w:p w14:paraId="59A68581" w14:textId="77777777" w:rsidR="002D7804" w:rsidRPr="009C1696" w:rsidRDefault="002D7804" w:rsidP="002D7804">
      <w:pPr>
        <w:pStyle w:val="FooterTableFigure"/>
        <w:widowControl w:val="0"/>
        <w:rPr>
          <w:szCs w:val="18"/>
        </w:rPr>
      </w:pPr>
      <w:r w:rsidRPr="009C1696">
        <w:rPr>
          <w:szCs w:val="18"/>
        </w:rPr>
        <w:t xml:space="preserve">Source: </w:t>
      </w:r>
      <w:r>
        <w:rPr>
          <w:szCs w:val="18"/>
        </w:rPr>
        <w:t>T</w:t>
      </w:r>
      <w:r w:rsidRPr="009C1696">
        <w:rPr>
          <w:szCs w:val="18"/>
        </w:rPr>
        <w:t xml:space="preserve">abulated during evaluation from </w:t>
      </w:r>
      <w:r>
        <w:rPr>
          <w:szCs w:val="18"/>
        </w:rPr>
        <w:t>Sections 4.1-4.3</w:t>
      </w:r>
      <w:r w:rsidRPr="009C1696">
        <w:rPr>
          <w:szCs w:val="18"/>
        </w:rPr>
        <w:t xml:space="preserve"> of the </w:t>
      </w:r>
      <w:r>
        <w:rPr>
          <w:szCs w:val="18"/>
        </w:rPr>
        <w:t>re</w:t>
      </w:r>
      <w:r w:rsidRPr="009C1696">
        <w:rPr>
          <w:szCs w:val="18"/>
        </w:rPr>
        <w:t xml:space="preserve">submission. </w:t>
      </w:r>
    </w:p>
    <w:p w14:paraId="645C7A02" w14:textId="2CAE8C0C" w:rsidR="002D7804" w:rsidRDefault="00BC5A69" w:rsidP="002D7804">
      <w:pPr>
        <w:pStyle w:val="FooterTableFigure"/>
        <w:widowControl w:val="0"/>
      </w:pPr>
      <w:r>
        <w:t xml:space="preserve">2L+ = second-line and beyond; </w:t>
      </w:r>
      <w:r w:rsidR="002D7804">
        <w:t xml:space="preserve">AIHW = Australian Institute of Health and Welfare; DPMQ = </w:t>
      </w:r>
      <w:r>
        <w:t>d</w:t>
      </w:r>
      <w:r w:rsidR="002D7804" w:rsidRPr="004173F2">
        <w:t xml:space="preserve">ispensed </w:t>
      </w:r>
      <w:r>
        <w:t>p</w:t>
      </w:r>
      <w:r w:rsidR="002D7804" w:rsidRPr="004173F2">
        <w:t xml:space="preserve">rice for </w:t>
      </w:r>
      <w:r>
        <w:t>m</w:t>
      </w:r>
      <w:r w:rsidR="002D7804" w:rsidRPr="004173F2">
        <w:t xml:space="preserve">aximum </w:t>
      </w:r>
      <w:r>
        <w:t>q</w:t>
      </w:r>
      <w:r w:rsidR="002D7804" w:rsidRPr="004173F2">
        <w:t>uantity</w:t>
      </w:r>
      <w:r w:rsidR="002D7804">
        <w:t xml:space="preserve">; </w:t>
      </w:r>
      <w:r>
        <w:t xml:space="preserve">DUSC = Drug Utilisation Sub-Committee; </w:t>
      </w:r>
      <w:r w:rsidR="002D7804">
        <w:t xml:space="preserve">ECG = </w:t>
      </w:r>
      <w:r>
        <w:t>e</w:t>
      </w:r>
      <w:r w:rsidR="002D7804" w:rsidRPr="00107D5D">
        <w:t>lectrocardiogram</w:t>
      </w:r>
      <w:r w:rsidR="002D7804">
        <w:t xml:space="preserve">; ECOG = </w:t>
      </w:r>
      <w:r>
        <w:t>E</w:t>
      </w:r>
      <w:r w:rsidR="002D7804">
        <w:t xml:space="preserve">astern </w:t>
      </w:r>
      <w:r>
        <w:t>C</w:t>
      </w:r>
      <w:r w:rsidR="002D7804">
        <w:t xml:space="preserve">ooperative </w:t>
      </w:r>
      <w:r>
        <w:t>O</w:t>
      </w:r>
      <w:r w:rsidR="002D7804">
        <w:t xml:space="preserve">ncology </w:t>
      </w:r>
      <w:r>
        <w:t>G</w:t>
      </w:r>
      <w:r w:rsidR="002D7804">
        <w:t xml:space="preserve">roup; MBS = Medicare Benefits Schedule; NSCLC = non-small cell lung cancer; NSQ/NOS = non-squamous/not otherwise specified; PS = performance status; PBS = Pharmaceuticals Benefits Scheme; </w:t>
      </w:r>
      <w:r>
        <w:t xml:space="preserve">PFS = progression free survival; </w:t>
      </w:r>
      <w:r w:rsidR="002D7804" w:rsidRPr="00BC5A69">
        <w:rPr>
          <w:i/>
          <w:iCs/>
        </w:rPr>
        <w:t>RET</w:t>
      </w:r>
      <w:r w:rsidR="002D7804">
        <w:t xml:space="preserve"> = rearranged during transfection; RPBS = Repatriation Pharmaceuticals Benefits Scheme; TTD = time to treatment discontinuation</w:t>
      </w:r>
      <w:r>
        <w:t>; Yr = year</w:t>
      </w:r>
    </w:p>
    <w:p w14:paraId="4AC177E4" w14:textId="2916878E" w:rsidR="002D7804" w:rsidRDefault="002D7804" w:rsidP="002D7804">
      <w:pPr>
        <w:pStyle w:val="FooterTableFigure"/>
        <w:widowControl w:val="0"/>
      </w:pPr>
      <w:r w:rsidRPr="00C32578">
        <w:rPr>
          <w:vertAlign w:val="superscript"/>
        </w:rPr>
        <w:t>a</w:t>
      </w:r>
      <w:r>
        <w:rPr>
          <w:vertAlign w:val="superscript"/>
        </w:rPr>
        <w:t xml:space="preserve"> </w:t>
      </w:r>
      <w:r w:rsidRPr="00C32578">
        <w:t xml:space="preserve">The </w:t>
      </w:r>
      <w:r w:rsidR="00622665">
        <w:t>median</w:t>
      </w:r>
      <w:r w:rsidRPr="00C32578">
        <w:t xml:space="preserve"> time on treatment with selpercatinib was </w:t>
      </w:r>
      <w:r w:rsidR="00622665">
        <w:t>24.6</w:t>
      </w:r>
      <w:r w:rsidRPr="00C32578">
        <w:t xml:space="preserve"> months according to the LIBRETTO-001</w:t>
      </w:r>
      <w:r w:rsidRPr="006A6AD3">
        <w:t xml:space="preserve"> </w:t>
      </w:r>
      <w:r>
        <w:t>January 2023 data cut</w:t>
      </w:r>
      <w:r w:rsidRPr="00C32578">
        <w:t xml:space="preserve"> (</w:t>
      </w:r>
      <w:r w:rsidR="00622665" w:rsidRPr="00622665">
        <w:t>Table JZJA.4.19</w:t>
      </w:r>
      <w:r w:rsidR="00622665">
        <w:t xml:space="preserve">, </w:t>
      </w:r>
      <w:r w:rsidRPr="00C32578">
        <w:t>p</w:t>
      </w:r>
      <w:r w:rsidR="00622665">
        <w:t>94</w:t>
      </w:r>
      <w:r w:rsidRPr="00C32578">
        <w:t xml:space="preserve"> of ‘Attachment 2.1 LIBRETTO-001 CSR January 2023’ of the resubmission). The median time on selpercatinib was 16.72 months in the LIBRETTO-431 trial (</w:t>
      </w:r>
      <w:r>
        <w:t>F</w:t>
      </w:r>
      <w:r w:rsidRPr="00C32578">
        <w:t>igure 8.19, p 998, of ‘Attachment 2.3 LIBRETTO-431 CSR May 2023’ of the resubmission).</w:t>
      </w:r>
    </w:p>
    <w:p w14:paraId="7B214582" w14:textId="77777777" w:rsidR="002D7804" w:rsidRDefault="002D7804" w:rsidP="002D7804">
      <w:pPr>
        <w:pStyle w:val="FooterTableFigure"/>
        <w:widowControl w:val="0"/>
      </w:pPr>
      <w:r w:rsidRPr="00017171">
        <w:rPr>
          <w:szCs w:val="18"/>
          <w:shd w:val="clear" w:color="auto" w:fill="C6D9F1" w:themeFill="text2" w:themeFillTint="33"/>
        </w:rPr>
        <w:t>Blue shading</w:t>
      </w:r>
      <w:r w:rsidRPr="00017171">
        <w:rPr>
          <w:szCs w:val="18"/>
        </w:rPr>
        <w:t xml:space="preserve"> indicates data previously considered by the PBAC.</w:t>
      </w:r>
    </w:p>
    <w:p w14:paraId="79C65672" w14:textId="4CB56F38" w:rsidR="002D7804" w:rsidRPr="001471E1" w:rsidRDefault="002D7804" w:rsidP="002D7804">
      <w:pPr>
        <w:pStyle w:val="3-BodyText"/>
        <w:widowControl w:val="0"/>
        <w:rPr>
          <w:iCs/>
        </w:rPr>
      </w:pPr>
      <w:r w:rsidRPr="001471E1">
        <w:rPr>
          <w:iCs/>
        </w:rPr>
        <w:t>The key differences betwe</w:t>
      </w:r>
      <w:r w:rsidR="00213881" w:rsidRPr="001471E1">
        <w:rPr>
          <w:iCs/>
        </w:rPr>
        <w:t>e</w:t>
      </w:r>
      <w:r w:rsidRPr="001471E1">
        <w:rPr>
          <w:iCs/>
        </w:rPr>
        <w:t>n the July 2023 submission and resubmission were:</w:t>
      </w:r>
    </w:p>
    <w:p w14:paraId="7FFA0C9B" w14:textId="6FD09565" w:rsidR="002D7804" w:rsidRDefault="00EA169B" w:rsidP="00861BF1">
      <w:pPr>
        <w:pStyle w:val="ListParagraph"/>
        <w:numPr>
          <w:ilvl w:val="0"/>
          <w:numId w:val="15"/>
        </w:numPr>
        <w:ind w:left="1134"/>
      </w:pPr>
      <w:r>
        <w:t xml:space="preserve">The reduction in the assumption that 100% of prevalent patients are eligible for treatment to 80%. </w:t>
      </w:r>
    </w:p>
    <w:p w14:paraId="36C281C2" w14:textId="3243C2E8" w:rsidR="002D7804" w:rsidRDefault="002E65AA" w:rsidP="00861BF1">
      <w:pPr>
        <w:pStyle w:val="ListParagraph"/>
        <w:numPr>
          <w:ilvl w:val="0"/>
          <w:numId w:val="15"/>
        </w:numPr>
        <w:ind w:left="1134"/>
      </w:pPr>
      <w:r>
        <w:t xml:space="preserve">An approximate </w:t>
      </w:r>
      <w:r w:rsidR="00DA3714" w:rsidRPr="0086135B">
        <w:rPr>
          <w:color w:val="000000"/>
          <w:w w:val="15"/>
          <w:shd w:val="solid" w:color="000000" w:fill="000000"/>
          <w:fitText w:val="-20" w:id="-893663485"/>
          <w14:textFill>
            <w14:solidFill>
              <w14:srgbClr w14:val="000000">
                <w14:alpha w14:val="100000"/>
              </w14:srgbClr>
            </w14:solidFill>
          </w14:textFill>
        </w:rPr>
        <w:t xml:space="preserve">|  </w:t>
      </w:r>
      <w:r w:rsidR="00DA3714" w:rsidRPr="0086135B">
        <w:rPr>
          <w:color w:val="000000"/>
          <w:spacing w:val="-69"/>
          <w:w w:val="15"/>
          <w:shd w:val="solid" w:color="000000" w:fill="000000"/>
          <w:fitText w:val="-20" w:id="-893663485"/>
          <w14:textFill>
            <w14:solidFill>
              <w14:srgbClr w14:val="000000">
                <w14:alpha w14:val="100000"/>
              </w14:srgbClr>
            </w14:solidFill>
          </w14:textFill>
        </w:rPr>
        <w:t>|</w:t>
      </w:r>
      <w:r>
        <w:t xml:space="preserve">% reduction in the </w:t>
      </w:r>
      <w:r w:rsidR="002D7804">
        <w:t>effective DPMQ of selpercatinib.</w:t>
      </w:r>
    </w:p>
    <w:p w14:paraId="5EF8B53C" w14:textId="0E539C1C" w:rsidR="002D7804" w:rsidRDefault="002E65AA" w:rsidP="00861BF1">
      <w:pPr>
        <w:pStyle w:val="ListParagraph"/>
        <w:numPr>
          <w:ilvl w:val="0"/>
          <w:numId w:val="15"/>
        </w:numPr>
        <w:ind w:left="1134"/>
      </w:pPr>
      <w:r>
        <w:t xml:space="preserve">The exclusion of </w:t>
      </w:r>
      <w:r w:rsidR="002D7804" w:rsidRPr="00A9296C">
        <w:rPr>
          <w:i/>
        </w:rPr>
        <w:t>RET</w:t>
      </w:r>
      <w:r w:rsidR="002D7804">
        <w:t xml:space="preserve"> fusion testing</w:t>
      </w:r>
      <w:r w:rsidR="003C4E3C">
        <w:t>. T</w:t>
      </w:r>
      <w:r w:rsidR="007D2980" w:rsidRPr="007D2980">
        <w:t xml:space="preserve">he July 2023 submission included testing costs for all eligible patients, and the pre-PBAC response in July 2023 </w:t>
      </w:r>
      <w:r w:rsidR="007D2980">
        <w:t xml:space="preserve">that </w:t>
      </w:r>
      <w:r w:rsidR="007D2980" w:rsidRPr="007D2980">
        <w:t>applied test costs to 34% of prevalent patients.</w:t>
      </w:r>
    </w:p>
    <w:p w14:paraId="064D9CC3" w14:textId="0E07475B" w:rsidR="002D7804" w:rsidRDefault="003C4E3C" w:rsidP="00861BF1">
      <w:pPr>
        <w:pStyle w:val="ListBullet"/>
        <w:numPr>
          <w:ilvl w:val="0"/>
          <w:numId w:val="15"/>
        </w:numPr>
        <w:spacing w:after="120"/>
        <w:ind w:left="1134" w:hanging="357"/>
      </w:pPr>
      <w:r>
        <w:t xml:space="preserve">Increasing the number of ECG services in the first year of selpercatinib treatment from 2.4 to </w:t>
      </w:r>
      <w:r w:rsidR="002D7804">
        <w:t>7.</w:t>
      </w:r>
    </w:p>
    <w:p w14:paraId="6A838FC6" w14:textId="48DA3ABF" w:rsidR="002D7804" w:rsidRPr="007A7229" w:rsidRDefault="002D7804" w:rsidP="002D7804">
      <w:pPr>
        <w:pStyle w:val="3-BodyText"/>
        <w:rPr>
          <w:iCs/>
        </w:rPr>
      </w:pPr>
      <w:bookmarkStart w:id="79" w:name="_Ref164419050"/>
      <w:r w:rsidRPr="00F61D6B">
        <w:rPr>
          <w:iCs/>
        </w:rPr>
        <w:t xml:space="preserve">The </w:t>
      </w:r>
      <w:r w:rsidR="0001351F">
        <w:rPr>
          <w:iCs/>
        </w:rPr>
        <w:t xml:space="preserve">total number of patients treated with selpercatinib in Year 1 was estimated to be </w:t>
      </w:r>
      <w:r w:rsidR="002958E2" w:rsidRPr="002958E2">
        <w:rPr>
          <w:iCs/>
        </w:rPr>
        <w:t>&lt; 500</w:t>
      </w:r>
      <w:r w:rsidR="0001351F">
        <w:rPr>
          <w:iCs/>
        </w:rPr>
        <w:t xml:space="preserve">. This </w:t>
      </w:r>
      <w:r w:rsidRPr="00F61D6B">
        <w:rPr>
          <w:iCs/>
        </w:rPr>
        <w:t xml:space="preserve">included </w:t>
      </w:r>
      <w:r w:rsidR="00306528" w:rsidRPr="00306528">
        <w:rPr>
          <w:iCs/>
        </w:rPr>
        <w:t>&lt; 500</w:t>
      </w:r>
      <w:r w:rsidRPr="00F61D6B">
        <w:rPr>
          <w:iCs/>
        </w:rPr>
        <w:t xml:space="preserve"> prevalent patients from the prior 2 years in addition to 1</w:t>
      </w:r>
      <w:r w:rsidR="00306528" w:rsidRPr="00306528">
        <w:rPr>
          <w:iCs/>
        </w:rPr>
        <w:t>&lt; 500</w:t>
      </w:r>
      <w:r w:rsidR="00A91C4E">
        <w:rPr>
          <w:iCs/>
        </w:rPr>
        <w:t> </w:t>
      </w:r>
      <w:r w:rsidRPr="00F61D6B">
        <w:rPr>
          <w:iCs/>
        </w:rPr>
        <w:t>incident patients</w:t>
      </w:r>
      <w:r w:rsidRPr="00F61D6B">
        <w:rPr>
          <w:i/>
        </w:rPr>
        <w:t xml:space="preserve">. </w:t>
      </w:r>
      <w:r w:rsidRPr="00F61D6B">
        <w:rPr>
          <w:iCs/>
        </w:rPr>
        <w:t xml:space="preserve">The prevalent patients included </w:t>
      </w:r>
      <w:r w:rsidR="00306528" w:rsidRPr="00306528">
        <w:rPr>
          <w:iCs/>
        </w:rPr>
        <w:t>&lt; 500</w:t>
      </w:r>
      <w:r w:rsidRPr="00F61D6B">
        <w:rPr>
          <w:iCs/>
        </w:rPr>
        <w:t xml:space="preserve"> grandfathered patients enrolled to an early patient familiarisation program. Th</w:t>
      </w:r>
      <w:r w:rsidR="0001351F">
        <w:rPr>
          <w:iCs/>
        </w:rPr>
        <w:t>e</w:t>
      </w:r>
      <w:r w:rsidRPr="00F61D6B">
        <w:rPr>
          <w:iCs/>
        </w:rPr>
        <w:t xml:space="preserve"> eligible prevalent population comprised 80% of all the pre-treated Stage IIIB/IV patients, </w:t>
      </w:r>
      <w:r w:rsidR="0001351F">
        <w:rPr>
          <w:iCs/>
        </w:rPr>
        <w:t xml:space="preserve">reduced from 100% in </w:t>
      </w:r>
      <w:r w:rsidRPr="00F61D6B">
        <w:rPr>
          <w:iCs/>
        </w:rPr>
        <w:t xml:space="preserve">the </w:t>
      </w:r>
      <w:r w:rsidRPr="00F61D6B">
        <w:rPr>
          <w:iCs/>
        </w:rPr>
        <w:lastRenderedPageBreak/>
        <w:t xml:space="preserve">July 2023 submission. </w:t>
      </w:r>
      <w:bookmarkEnd w:id="79"/>
      <w:r w:rsidR="00983786" w:rsidRPr="007A7229">
        <w:rPr>
          <w:iCs/>
        </w:rPr>
        <w:t>This reduction was consistent with July 2023 PBAC advice that</w:t>
      </w:r>
      <w:r w:rsidR="009129AC" w:rsidRPr="007A7229">
        <w:rPr>
          <w:iCs/>
        </w:rPr>
        <w:t xml:space="preserve"> the </w:t>
      </w:r>
      <w:r w:rsidR="009129AC" w:rsidRPr="007A7229">
        <w:rPr>
          <w:rFonts w:eastAsia="MS Gothic" w:cs="Times New Roman"/>
          <w:iCs/>
          <w:szCs w:val="20"/>
        </w:rPr>
        <w:t xml:space="preserve">proportion of prevalent patients eligible for treatment </w:t>
      </w:r>
      <w:r w:rsidR="00983786" w:rsidRPr="007A7229">
        <w:rPr>
          <w:rFonts w:eastAsia="MS Gothic" w:cs="Times New Roman"/>
          <w:iCs/>
          <w:szCs w:val="20"/>
        </w:rPr>
        <w:t xml:space="preserve">would </w:t>
      </w:r>
      <w:r w:rsidR="009129AC" w:rsidRPr="007A7229">
        <w:rPr>
          <w:rFonts w:eastAsia="MS Gothic" w:cs="Times New Roman"/>
          <w:iCs/>
          <w:szCs w:val="20"/>
        </w:rPr>
        <w:t xml:space="preserve">be between 70 - 80% </w:t>
      </w:r>
      <w:r w:rsidR="009129AC" w:rsidRPr="007A7229">
        <w:rPr>
          <w:iCs/>
        </w:rPr>
        <w:t>(para</w:t>
      </w:r>
      <w:r w:rsidR="0001351F">
        <w:rPr>
          <w:iCs/>
        </w:rPr>
        <w:t xml:space="preserve">graph </w:t>
      </w:r>
      <w:r w:rsidR="009129AC" w:rsidRPr="007A7229">
        <w:rPr>
          <w:iCs/>
        </w:rPr>
        <w:t xml:space="preserve">7.13, selpercatinib PBAC </w:t>
      </w:r>
      <w:r w:rsidR="00053838">
        <w:rPr>
          <w:iCs/>
        </w:rPr>
        <w:t>PSD</w:t>
      </w:r>
      <w:r w:rsidR="009129AC" w:rsidRPr="007A7229">
        <w:rPr>
          <w:iCs/>
        </w:rPr>
        <w:t>, July 2023 PBAC meeting).</w:t>
      </w:r>
    </w:p>
    <w:p w14:paraId="542F7BD7" w14:textId="64D63663" w:rsidR="002D7804" w:rsidRDefault="002D7804" w:rsidP="002D7804">
      <w:pPr>
        <w:pStyle w:val="3-BodyText"/>
      </w:pPr>
      <w:r w:rsidRPr="0002535E">
        <w:t xml:space="preserve">The </w:t>
      </w:r>
      <w:r>
        <w:t xml:space="preserve">net cost to the PBS/RPBS and the healthcare budget </w:t>
      </w:r>
      <w:proofErr w:type="gramStart"/>
      <w:r>
        <w:t>are</w:t>
      </w:r>
      <w:proofErr w:type="gramEnd"/>
      <w:r>
        <w:t xml:space="preserve"> described in </w:t>
      </w:r>
      <w:r w:rsidR="00E67601">
        <w:fldChar w:fldCharType="begin" w:fldLock="1"/>
      </w:r>
      <w:r w:rsidR="00E67601">
        <w:instrText xml:space="preserve"> REF _Ref164690466 \h </w:instrText>
      </w:r>
      <w:r w:rsidR="00E67601">
        <w:fldChar w:fldCharType="separate"/>
      </w:r>
      <w:r w:rsidR="00F979CE">
        <w:t xml:space="preserve">Table </w:t>
      </w:r>
      <w:r w:rsidR="00F979CE">
        <w:rPr>
          <w:noProof/>
        </w:rPr>
        <w:t>18</w:t>
      </w:r>
      <w:r w:rsidR="00E67601">
        <w:fldChar w:fldCharType="end"/>
      </w:r>
      <w:r>
        <w:t>.</w:t>
      </w:r>
    </w:p>
    <w:p w14:paraId="3CAEC9F0" w14:textId="0B7EF72D" w:rsidR="002D7804" w:rsidRPr="00606FBA" w:rsidRDefault="002D7804" w:rsidP="002D7804">
      <w:pPr>
        <w:pStyle w:val="Caption"/>
      </w:pPr>
      <w:bookmarkStart w:id="80" w:name="_Ref164690466"/>
      <w:r>
        <w:t xml:space="preserve">Table </w:t>
      </w:r>
      <w:r w:rsidR="00BA56FF">
        <w:fldChar w:fldCharType="begin" w:fldLock="1"/>
      </w:r>
      <w:r w:rsidR="00BA56FF">
        <w:instrText xml:space="preserve"> SEQ Table \* ARABIC </w:instrText>
      </w:r>
      <w:r w:rsidR="00BA56FF">
        <w:fldChar w:fldCharType="separate"/>
      </w:r>
      <w:r w:rsidR="00F979CE">
        <w:rPr>
          <w:noProof/>
        </w:rPr>
        <w:t>18</w:t>
      </w:r>
      <w:r w:rsidR="00BA56FF">
        <w:rPr>
          <w:noProof/>
        </w:rPr>
        <w:fldChar w:fldCharType="end"/>
      </w:r>
      <w:bookmarkEnd w:id="80"/>
      <w:r>
        <w:t>:</w:t>
      </w:r>
      <w:r w:rsidRPr="00606FBA">
        <w:rPr>
          <w:rStyle w:val="CommentReference"/>
          <w:b/>
          <w:szCs w:val="24"/>
        </w:rPr>
        <w:t xml:space="preserve"> Estimated use and financial implications</w:t>
      </w:r>
      <w:r>
        <w:rPr>
          <w:rStyle w:val="CommentReference"/>
          <w:b/>
          <w:szCs w:val="24"/>
        </w:rPr>
        <w:t xml:space="preserve"> (at proposed effective prices of selpercatinib)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at proposed effective prices of selpercatinib)"/>
      </w:tblPr>
      <w:tblGrid>
        <w:gridCol w:w="2405"/>
        <w:gridCol w:w="1102"/>
        <w:gridCol w:w="1102"/>
        <w:gridCol w:w="1102"/>
        <w:gridCol w:w="1102"/>
        <w:gridCol w:w="1102"/>
        <w:gridCol w:w="1102"/>
      </w:tblGrid>
      <w:tr w:rsidR="002D7804" w:rsidRPr="00D1078F" w14:paraId="5BB8548F" w14:textId="77777777">
        <w:trPr>
          <w:tblHeader/>
        </w:trPr>
        <w:tc>
          <w:tcPr>
            <w:tcW w:w="1334" w:type="pct"/>
            <w:shd w:val="clear" w:color="auto" w:fill="auto"/>
            <w:vAlign w:val="center"/>
          </w:tcPr>
          <w:p w14:paraId="1885C612" w14:textId="77777777" w:rsidR="002D7804" w:rsidRPr="003639A6" w:rsidRDefault="002D7804">
            <w:pPr>
              <w:pStyle w:val="In-tableHeading"/>
              <w:jc w:val="center"/>
            </w:pPr>
          </w:p>
        </w:tc>
        <w:tc>
          <w:tcPr>
            <w:tcW w:w="611" w:type="pct"/>
            <w:shd w:val="clear" w:color="auto" w:fill="auto"/>
            <w:vAlign w:val="center"/>
          </w:tcPr>
          <w:p w14:paraId="5F0C57C2" w14:textId="77777777" w:rsidR="002D7804" w:rsidRPr="00D1078F" w:rsidRDefault="002D7804">
            <w:pPr>
              <w:pStyle w:val="In-tableHeading"/>
              <w:jc w:val="center"/>
            </w:pPr>
            <w:r w:rsidRPr="00D1078F">
              <w:t>Year 1</w:t>
            </w:r>
          </w:p>
        </w:tc>
        <w:tc>
          <w:tcPr>
            <w:tcW w:w="611" w:type="pct"/>
            <w:shd w:val="clear" w:color="auto" w:fill="auto"/>
            <w:vAlign w:val="center"/>
          </w:tcPr>
          <w:p w14:paraId="778FA8A8" w14:textId="77777777" w:rsidR="002D7804" w:rsidRPr="00D1078F" w:rsidRDefault="002D7804">
            <w:pPr>
              <w:pStyle w:val="In-tableHeading"/>
              <w:jc w:val="center"/>
            </w:pPr>
            <w:r w:rsidRPr="00D1078F">
              <w:t>Year 2</w:t>
            </w:r>
          </w:p>
        </w:tc>
        <w:tc>
          <w:tcPr>
            <w:tcW w:w="611" w:type="pct"/>
            <w:shd w:val="clear" w:color="auto" w:fill="auto"/>
            <w:vAlign w:val="center"/>
          </w:tcPr>
          <w:p w14:paraId="5D46268C" w14:textId="77777777" w:rsidR="002D7804" w:rsidRPr="00D1078F" w:rsidRDefault="002D7804">
            <w:pPr>
              <w:pStyle w:val="In-tableHeading"/>
              <w:jc w:val="center"/>
            </w:pPr>
            <w:r w:rsidRPr="00D1078F">
              <w:t>Year 3</w:t>
            </w:r>
          </w:p>
        </w:tc>
        <w:tc>
          <w:tcPr>
            <w:tcW w:w="611" w:type="pct"/>
            <w:shd w:val="clear" w:color="auto" w:fill="auto"/>
            <w:vAlign w:val="center"/>
          </w:tcPr>
          <w:p w14:paraId="6741A9E4" w14:textId="77777777" w:rsidR="002D7804" w:rsidRPr="00D1078F" w:rsidRDefault="002D7804">
            <w:pPr>
              <w:pStyle w:val="In-tableHeading"/>
              <w:jc w:val="center"/>
            </w:pPr>
            <w:r w:rsidRPr="00D1078F">
              <w:t>Year 4</w:t>
            </w:r>
          </w:p>
        </w:tc>
        <w:tc>
          <w:tcPr>
            <w:tcW w:w="611" w:type="pct"/>
            <w:shd w:val="clear" w:color="auto" w:fill="auto"/>
            <w:vAlign w:val="center"/>
          </w:tcPr>
          <w:p w14:paraId="5D1F7248" w14:textId="77777777" w:rsidR="002D7804" w:rsidRPr="00D1078F" w:rsidRDefault="002D7804">
            <w:pPr>
              <w:pStyle w:val="In-tableHeading"/>
              <w:jc w:val="center"/>
            </w:pPr>
            <w:r w:rsidRPr="00D1078F">
              <w:t>Year 5</w:t>
            </w:r>
          </w:p>
        </w:tc>
        <w:tc>
          <w:tcPr>
            <w:tcW w:w="611" w:type="pct"/>
          </w:tcPr>
          <w:p w14:paraId="1A7027EC" w14:textId="77777777" w:rsidR="002D7804" w:rsidRPr="00D1078F" w:rsidRDefault="002D7804">
            <w:pPr>
              <w:pStyle w:val="In-tableHeading"/>
              <w:jc w:val="center"/>
            </w:pPr>
            <w:r w:rsidRPr="00D1078F">
              <w:t>Year 6</w:t>
            </w:r>
          </w:p>
        </w:tc>
      </w:tr>
      <w:tr w:rsidR="002D7804" w:rsidRPr="00D1078F" w14:paraId="579E1FBD" w14:textId="77777777">
        <w:tc>
          <w:tcPr>
            <w:tcW w:w="5000" w:type="pct"/>
            <w:gridSpan w:val="7"/>
            <w:shd w:val="clear" w:color="auto" w:fill="auto"/>
            <w:vAlign w:val="center"/>
          </w:tcPr>
          <w:p w14:paraId="4990EB42" w14:textId="77777777" w:rsidR="002D7804" w:rsidRPr="00D1078F" w:rsidRDefault="002D7804">
            <w:pPr>
              <w:pStyle w:val="In-tableHeading"/>
              <w:rPr>
                <w:bCs/>
                <w:color w:val="000000"/>
              </w:rPr>
            </w:pPr>
            <w:r w:rsidRPr="00D1078F">
              <w:rPr>
                <w:bCs/>
                <w:color w:val="000000"/>
              </w:rPr>
              <w:t>Estimated extent of use</w:t>
            </w:r>
          </w:p>
        </w:tc>
      </w:tr>
      <w:tr w:rsidR="002D7804" w:rsidRPr="003639A6" w14:paraId="7A9B3E0D" w14:textId="77777777">
        <w:tc>
          <w:tcPr>
            <w:tcW w:w="1334" w:type="pct"/>
            <w:shd w:val="clear" w:color="auto" w:fill="auto"/>
            <w:vAlign w:val="center"/>
          </w:tcPr>
          <w:p w14:paraId="68346A8D" w14:textId="4423BFA8" w:rsidR="002D7804" w:rsidRPr="003639A6" w:rsidRDefault="002D7804">
            <w:pPr>
              <w:pStyle w:val="TableText0"/>
              <w:rPr>
                <w:rFonts w:ascii="Times" w:hAnsi="Times"/>
              </w:rPr>
            </w:pPr>
            <w:r w:rsidRPr="003639A6">
              <w:t>Number of patients treated</w:t>
            </w:r>
            <w:r>
              <w:t xml:space="preserve"> </w:t>
            </w:r>
          </w:p>
        </w:tc>
        <w:tc>
          <w:tcPr>
            <w:tcW w:w="611" w:type="pct"/>
            <w:shd w:val="clear" w:color="auto" w:fill="auto"/>
            <w:vAlign w:val="center"/>
          </w:tcPr>
          <w:p w14:paraId="3DE89BB5" w14:textId="2C8DA630" w:rsidR="002D7804" w:rsidRPr="00D26D6C" w:rsidRDefault="00DA3714">
            <w:pPr>
              <w:pStyle w:val="TableText0"/>
              <w:jc w:val="center"/>
              <w:rPr>
                <w:bCs w:val="0"/>
                <w:color w:val="000000"/>
                <w:highlight w:val="lightGray"/>
              </w:rPr>
            </w:pPr>
            <w:r w:rsidRPr="00DA3714">
              <w:rPr>
                <w:rFonts w:hint="eastAsia"/>
                <w:bCs w:val="0"/>
                <w:color w:val="000000"/>
                <w:w w:val="15"/>
                <w:shd w:val="solid" w:color="000000" w:fill="000000"/>
                <w:fitText w:val="45" w:id="-893663484"/>
                <w14:textFill>
                  <w14:solidFill>
                    <w14:srgbClr w14:val="000000">
                      <w14:alpha w14:val="100000"/>
                    </w14:srgbClr>
                  </w14:solidFill>
                </w14:textFill>
              </w:rPr>
              <w:t xml:space="preserve">　</w:t>
            </w:r>
            <w:r w:rsidRPr="00DA3714">
              <w:rPr>
                <w:bCs w:val="0"/>
                <w:color w:val="000000"/>
                <w:w w:val="15"/>
                <w:shd w:val="solid" w:color="000000" w:fill="000000"/>
                <w:fitText w:val="45" w:id="-893663484"/>
                <w14:textFill>
                  <w14:solidFill>
                    <w14:srgbClr w14:val="000000">
                      <w14:alpha w14:val="100000"/>
                    </w14:srgbClr>
                  </w14:solidFill>
                </w14:textFill>
              </w:rPr>
              <w:t>|</w:t>
            </w:r>
            <w:r w:rsidRPr="00DA3714">
              <w:rPr>
                <w:rFonts w:hint="eastAsia"/>
                <w:bCs w:val="0"/>
                <w:color w:val="000000"/>
                <w:spacing w:val="-20"/>
                <w:w w:val="15"/>
                <w:shd w:val="solid" w:color="000000" w:fill="000000"/>
                <w:fitText w:val="45" w:id="-893663484"/>
                <w14:textFill>
                  <w14:solidFill>
                    <w14:srgbClr w14:val="000000">
                      <w14:alpha w14:val="100000"/>
                    </w14:srgbClr>
                  </w14:solidFill>
                </w14:textFill>
              </w:rPr>
              <w:t xml:space="preserve">　</w:t>
            </w:r>
            <w:r w:rsidR="00A6008E" w:rsidRPr="00D26D6C">
              <w:rPr>
                <w:bCs w:val="0"/>
                <w:vertAlign w:val="superscript"/>
              </w:rPr>
              <w:t>1</w:t>
            </w:r>
          </w:p>
        </w:tc>
        <w:tc>
          <w:tcPr>
            <w:tcW w:w="611" w:type="pct"/>
            <w:shd w:val="clear" w:color="auto" w:fill="auto"/>
            <w:vAlign w:val="center"/>
          </w:tcPr>
          <w:p w14:paraId="1FAA4B98" w14:textId="56D943AE" w:rsidR="002D7804" w:rsidRPr="00D26D6C" w:rsidRDefault="00DA3714">
            <w:pPr>
              <w:pStyle w:val="TableText0"/>
              <w:jc w:val="center"/>
              <w:rPr>
                <w:bCs w:val="0"/>
                <w:color w:val="000000"/>
                <w:highlight w:val="lightGray"/>
              </w:rPr>
            </w:pPr>
            <w:r w:rsidRPr="00DA3714">
              <w:rPr>
                <w:rFonts w:hint="eastAsia"/>
                <w:bCs w:val="0"/>
                <w:color w:val="000000"/>
                <w:w w:val="15"/>
                <w:shd w:val="solid" w:color="000000" w:fill="000000"/>
                <w:fitText w:val="45" w:id="-893663483"/>
                <w14:textFill>
                  <w14:solidFill>
                    <w14:srgbClr w14:val="000000">
                      <w14:alpha w14:val="100000"/>
                    </w14:srgbClr>
                  </w14:solidFill>
                </w14:textFill>
              </w:rPr>
              <w:t xml:space="preserve">　</w:t>
            </w:r>
            <w:r w:rsidRPr="00DA3714">
              <w:rPr>
                <w:bCs w:val="0"/>
                <w:color w:val="000000"/>
                <w:w w:val="15"/>
                <w:shd w:val="solid" w:color="000000" w:fill="000000"/>
                <w:fitText w:val="45" w:id="-893663483"/>
                <w14:textFill>
                  <w14:solidFill>
                    <w14:srgbClr w14:val="000000">
                      <w14:alpha w14:val="100000"/>
                    </w14:srgbClr>
                  </w14:solidFill>
                </w14:textFill>
              </w:rPr>
              <w:t>|</w:t>
            </w:r>
            <w:r w:rsidRPr="00DA3714">
              <w:rPr>
                <w:rFonts w:hint="eastAsia"/>
                <w:bCs w:val="0"/>
                <w:color w:val="000000"/>
                <w:spacing w:val="-20"/>
                <w:w w:val="15"/>
                <w:shd w:val="solid" w:color="000000" w:fill="000000"/>
                <w:fitText w:val="45" w:id="-893663483"/>
                <w14:textFill>
                  <w14:solidFill>
                    <w14:srgbClr w14:val="000000">
                      <w14:alpha w14:val="100000"/>
                    </w14:srgbClr>
                  </w14:solidFill>
                </w14:textFill>
              </w:rPr>
              <w:t xml:space="preserve">　</w:t>
            </w:r>
            <w:r w:rsidR="00A6008E" w:rsidRPr="00B71856">
              <w:rPr>
                <w:bCs w:val="0"/>
                <w:vertAlign w:val="superscript"/>
              </w:rPr>
              <w:t>1</w:t>
            </w:r>
          </w:p>
        </w:tc>
        <w:tc>
          <w:tcPr>
            <w:tcW w:w="611" w:type="pct"/>
            <w:shd w:val="clear" w:color="auto" w:fill="auto"/>
            <w:vAlign w:val="center"/>
          </w:tcPr>
          <w:p w14:paraId="6322BBB7" w14:textId="21BAF3A3" w:rsidR="002D7804" w:rsidRPr="00D26D6C" w:rsidRDefault="00DA3714">
            <w:pPr>
              <w:pStyle w:val="TableText0"/>
              <w:jc w:val="center"/>
              <w:rPr>
                <w:bCs w:val="0"/>
                <w:color w:val="000000"/>
                <w:highlight w:val="lightGray"/>
              </w:rPr>
            </w:pPr>
            <w:r w:rsidRPr="00DA3714">
              <w:rPr>
                <w:rFonts w:hint="eastAsia"/>
                <w:bCs w:val="0"/>
                <w:color w:val="000000"/>
                <w:w w:val="15"/>
                <w:shd w:val="solid" w:color="000000" w:fill="000000"/>
                <w:fitText w:val="45" w:id="-893663482"/>
                <w14:textFill>
                  <w14:solidFill>
                    <w14:srgbClr w14:val="000000">
                      <w14:alpha w14:val="100000"/>
                    </w14:srgbClr>
                  </w14:solidFill>
                </w14:textFill>
              </w:rPr>
              <w:t xml:space="preserve">　</w:t>
            </w:r>
            <w:r w:rsidRPr="00DA3714">
              <w:rPr>
                <w:bCs w:val="0"/>
                <w:color w:val="000000"/>
                <w:w w:val="15"/>
                <w:shd w:val="solid" w:color="000000" w:fill="000000"/>
                <w:fitText w:val="45" w:id="-893663482"/>
                <w14:textFill>
                  <w14:solidFill>
                    <w14:srgbClr w14:val="000000">
                      <w14:alpha w14:val="100000"/>
                    </w14:srgbClr>
                  </w14:solidFill>
                </w14:textFill>
              </w:rPr>
              <w:t>|</w:t>
            </w:r>
            <w:r w:rsidRPr="00DA3714">
              <w:rPr>
                <w:rFonts w:hint="eastAsia"/>
                <w:bCs w:val="0"/>
                <w:color w:val="000000"/>
                <w:spacing w:val="-20"/>
                <w:w w:val="15"/>
                <w:shd w:val="solid" w:color="000000" w:fill="000000"/>
                <w:fitText w:val="45" w:id="-893663482"/>
                <w14:textFill>
                  <w14:solidFill>
                    <w14:srgbClr w14:val="000000">
                      <w14:alpha w14:val="100000"/>
                    </w14:srgbClr>
                  </w14:solidFill>
                </w14:textFill>
              </w:rPr>
              <w:t xml:space="preserve">　</w:t>
            </w:r>
            <w:r w:rsidR="00A6008E" w:rsidRPr="00B71856">
              <w:rPr>
                <w:bCs w:val="0"/>
                <w:vertAlign w:val="superscript"/>
              </w:rPr>
              <w:t>1</w:t>
            </w:r>
          </w:p>
        </w:tc>
        <w:tc>
          <w:tcPr>
            <w:tcW w:w="611" w:type="pct"/>
            <w:shd w:val="clear" w:color="auto" w:fill="auto"/>
            <w:vAlign w:val="center"/>
          </w:tcPr>
          <w:p w14:paraId="46884FD8" w14:textId="5BA0B7C7" w:rsidR="002D7804" w:rsidRPr="00D26D6C" w:rsidRDefault="00DA3714">
            <w:pPr>
              <w:pStyle w:val="TableText0"/>
              <w:jc w:val="center"/>
              <w:rPr>
                <w:bCs w:val="0"/>
                <w:color w:val="000000"/>
                <w:highlight w:val="lightGray"/>
              </w:rPr>
            </w:pPr>
            <w:r w:rsidRPr="00DA3714">
              <w:rPr>
                <w:rFonts w:hint="eastAsia"/>
                <w:bCs w:val="0"/>
                <w:color w:val="000000"/>
                <w:w w:val="15"/>
                <w:shd w:val="solid" w:color="000000" w:fill="000000"/>
                <w:fitText w:val="45" w:id="-893663232"/>
                <w14:textFill>
                  <w14:solidFill>
                    <w14:srgbClr w14:val="000000">
                      <w14:alpha w14:val="100000"/>
                    </w14:srgbClr>
                  </w14:solidFill>
                </w14:textFill>
              </w:rPr>
              <w:t xml:space="preserve">　</w:t>
            </w:r>
            <w:r w:rsidRPr="00DA3714">
              <w:rPr>
                <w:bCs w:val="0"/>
                <w:color w:val="000000"/>
                <w:w w:val="15"/>
                <w:shd w:val="solid" w:color="000000" w:fill="000000"/>
                <w:fitText w:val="45" w:id="-893663232"/>
                <w14:textFill>
                  <w14:solidFill>
                    <w14:srgbClr w14:val="000000">
                      <w14:alpha w14:val="100000"/>
                    </w14:srgbClr>
                  </w14:solidFill>
                </w14:textFill>
              </w:rPr>
              <w:t>|</w:t>
            </w:r>
            <w:r w:rsidRPr="00DA3714">
              <w:rPr>
                <w:rFonts w:hint="eastAsia"/>
                <w:bCs w:val="0"/>
                <w:color w:val="000000"/>
                <w:spacing w:val="-20"/>
                <w:w w:val="15"/>
                <w:shd w:val="solid" w:color="000000" w:fill="000000"/>
                <w:fitText w:val="45" w:id="-893663232"/>
                <w14:textFill>
                  <w14:solidFill>
                    <w14:srgbClr w14:val="000000">
                      <w14:alpha w14:val="100000"/>
                    </w14:srgbClr>
                  </w14:solidFill>
                </w14:textFill>
              </w:rPr>
              <w:t xml:space="preserve">　</w:t>
            </w:r>
            <w:r w:rsidR="005E197A" w:rsidRPr="00B71856">
              <w:rPr>
                <w:bCs w:val="0"/>
                <w:vertAlign w:val="superscript"/>
              </w:rPr>
              <w:t>1</w:t>
            </w:r>
          </w:p>
        </w:tc>
        <w:tc>
          <w:tcPr>
            <w:tcW w:w="611" w:type="pct"/>
            <w:shd w:val="clear" w:color="auto" w:fill="auto"/>
            <w:vAlign w:val="center"/>
          </w:tcPr>
          <w:p w14:paraId="766BEEAD" w14:textId="61D9D890" w:rsidR="002D7804" w:rsidRPr="00D26D6C" w:rsidRDefault="00DA3714">
            <w:pPr>
              <w:pStyle w:val="TableText0"/>
              <w:jc w:val="center"/>
              <w:rPr>
                <w:bCs w:val="0"/>
                <w:color w:val="000000"/>
                <w:highlight w:val="lightGray"/>
              </w:rPr>
            </w:pPr>
            <w:r w:rsidRPr="00DA3714">
              <w:rPr>
                <w:rFonts w:hint="eastAsia"/>
                <w:bCs w:val="0"/>
                <w:color w:val="000000"/>
                <w:w w:val="15"/>
                <w:shd w:val="solid" w:color="000000" w:fill="000000"/>
                <w:fitText w:val="45" w:id="-893663231"/>
                <w14:textFill>
                  <w14:solidFill>
                    <w14:srgbClr w14:val="000000">
                      <w14:alpha w14:val="100000"/>
                    </w14:srgbClr>
                  </w14:solidFill>
                </w14:textFill>
              </w:rPr>
              <w:t xml:space="preserve">　</w:t>
            </w:r>
            <w:r w:rsidRPr="00DA3714">
              <w:rPr>
                <w:bCs w:val="0"/>
                <w:color w:val="000000"/>
                <w:w w:val="15"/>
                <w:shd w:val="solid" w:color="000000" w:fill="000000"/>
                <w:fitText w:val="45" w:id="-893663231"/>
                <w14:textFill>
                  <w14:solidFill>
                    <w14:srgbClr w14:val="000000">
                      <w14:alpha w14:val="100000"/>
                    </w14:srgbClr>
                  </w14:solidFill>
                </w14:textFill>
              </w:rPr>
              <w:t>|</w:t>
            </w:r>
            <w:r w:rsidRPr="00DA3714">
              <w:rPr>
                <w:rFonts w:hint="eastAsia"/>
                <w:bCs w:val="0"/>
                <w:color w:val="000000"/>
                <w:spacing w:val="-20"/>
                <w:w w:val="15"/>
                <w:shd w:val="solid" w:color="000000" w:fill="000000"/>
                <w:fitText w:val="45" w:id="-893663231"/>
                <w14:textFill>
                  <w14:solidFill>
                    <w14:srgbClr w14:val="000000">
                      <w14:alpha w14:val="100000"/>
                    </w14:srgbClr>
                  </w14:solidFill>
                </w14:textFill>
              </w:rPr>
              <w:t xml:space="preserve">　</w:t>
            </w:r>
            <w:r w:rsidR="005E197A" w:rsidRPr="00B71856">
              <w:rPr>
                <w:bCs w:val="0"/>
                <w:vertAlign w:val="superscript"/>
              </w:rPr>
              <w:t>1</w:t>
            </w:r>
          </w:p>
        </w:tc>
        <w:tc>
          <w:tcPr>
            <w:tcW w:w="611" w:type="pct"/>
            <w:vAlign w:val="center"/>
          </w:tcPr>
          <w:p w14:paraId="25B0618E" w14:textId="180333D4" w:rsidR="002D7804" w:rsidRPr="00D26D6C" w:rsidRDefault="00DA3714">
            <w:pPr>
              <w:pStyle w:val="TableText0"/>
              <w:jc w:val="center"/>
              <w:rPr>
                <w:bCs w:val="0"/>
                <w:color w:val="000000"/>
                <w:highlight w:val="lightGray"/>
              </w:rPr>
            </w:pPr>
            <w:r w:rsidRPr="00DA3714">
              <w:rPr>
                <w:rFonts w:hint="eastAsia"/>
                <w:bCs w:val="0"/>
                <w:color w:val="000000"/>
                <w:w w:val="15"/>
                <w:shd w:val="solid" w:color="000000" w:fill="000000"/>
                <w:fitText w:val="45" w:id="-893663230"/>
                <w14:textFill>
                  <w14:solidFill>
                    <w14:srgbClr w14:val="000000">
                      <w14:alpha w14:val="100000"/>
                    </w14:srgbClr>
                  </w14:solidFill>
                </w14:textFill>
              </w:rPr>
              <w:t xml:space="preserve">　</w:t>
            </w:r>
            <w:r w:rsidRPr="00DA3714">
              <w:rPr>
                <w:bCs w:val="0"/>
                <w:color w:val="000000"/>
                <w:w w:val="15"/>
                <w:shd w:val="solid" w:color="000000" w:fill="000000"/>
                <w:fitText w:val="45" w:id="-893663230"/>
                <w14:textFill>
                  <w14:solidFill>
                    <w14:srgbClr w14:val="000000">
                      <w14:alpha w14:val="100000"/>
                    </w14:srgbClr>
                  </w14:solidFill>
                </w14:textFill>
              </w:rPr>
              <w:t>|</w:t>
            </w:r>
            <w:r w:rsidRPr="00DA3714">
              <w:rPr>
                <w:rFonts w:hint="eastAsia"/>
                <w:bCs w:val="0"/>
                <w:color w:val="000000"/>
                <w:spacing w:val="-20"/>
                <w:w w:val="15"/>
                <w:shd w:val="solid" w:color="000000" w:fill="000000"/>
                <w:fitText w:val="45" w:id="-893663230"/>
                <w14:textFill>
                  <w14:solidFill>
                    <w14:srgbClr w14:val="000000">
                      <w14:alpha w14:val="100000"/>
                    </w14:srgbClr>
                  </w14:solidFill>
                </w14:textFill>
              </w:rPr>
              <w:t xml:space="preserve">　</w:t>
            </w:r>
            <w:r w:rsidR="005E197A" w:rsidRPr="00B71856">
              <w:rPr>
                <w:bCs w:val="0"/>
                <w:vertAlign w:val="superscript"/>
              </w:rPr>
              <w:t>1</w:t>
            </w:r>
          </w:p>
        </w:tc>
      </w:tr>
      <w:tr w:rsidR="002D7804" w:rsidRPr="003639A6" w14:paraId="050426D4" w14:textId="77777777">
        <w:tc>
          <w:tcPr>
            <w:tcW w:w="1334" w:type="pct"/>
            <w:shd w:val="clear" w:color="auto" w:fill="auto"/>
            <w:vAlign w:val="center"/>
          </w:tcPr>
          <w:p w14:paraId="30A88524" w14:textId="488CEC63" w:rsidR="002D7804" w:rsidRPr="003639A6" w:rsidRDefault="002D7804">
            <w:pPr>
              <w:pStyle w:val="TableText0"/>
              <w:rPr>
                <w:rFonts w:ascii="Times" w:hAnsi="Times"/>
              </w:rPr>
            </w:pPr>
            <w:r w:rsidRPr="003639A6">
              <w:t xml:space="preserve">Number of </w:t>
            </w:r>
            <w:r>
              <w:t>scripts</w:t>
            </w:r>
            <w:r w:rsidRPr="003639A6">
              <w:t xml:space="preserve"> dispensed</w:t>
            </w:r>
            <w:r>
              <w:t xml:space="preserve"> </w:t>
            </w:r>
          </w:p>
        </w:tc>
        <w:tc>
          <w:tcPr>
            <w:tcW w:w="611" w:type="pct"/>
            <w:shd w:val="clear" w:color="auto" w:fill="auto"/>
          </w:tcPr>
          <w:p w14:paraId="4C0878D7" w14:textId="6EE59384" w:rsidR="002D7804" w:rsidRPr="00D26D6C" w:rsidRDefault="00DA3714">
            <w:pPr>
              <w:pStyle w:val="TableText0"/>
              <w:jc w:val="center"/>
              <w:rPr>
                <w:color w:val="000000"/>
                <w:highlight w:val="lightGray"/>
              </w:rPr>
            </w:pPr>
            <w:r w:rsidRPr="00DA3714">
              <w:rPr>
                <w:rFonts w:hint="eastAsia"/>
                <w:color w:val="000000"/>
                <w:w w:val="15"/>
                <w:shd w:val="solid" w:color="000000" w:fill="000000"/>
                <w:fitText w:val="45" w:id="-893663229"/>
                <w14:textFill>
                  <w14:solidFill>
                    <w14:srgbClr w14:val="000000">
                      <w14:alpha w14:val="100000"/>
                    </w14:srgbClr>
                  </w14:solidFill>
                </w14:textFill>
              </w:rPr>
              <w:t xml:space="preserve">　</w:t>
            </w:r>
            <w:r w:rsidRPr="00DA3714">
              <w:rPr>
                <w:color w:val="000000"/>
                <w:w w:val="15"/>
                <w:shd w:val="solid" w:color="000000" w:fill="000000"/>
                <w:fitText w:val="45" w:id="-893663229"/>
                <w14:textFill>
                  <w14:solidFill>
                    <w14:srgbClr w14:val="000000">
                      <w14:alpha w14:val="100000"/>
                    </w14:srgbClr>
                  </w14:solidFill>
                </w14:textFill>
              </w:rPr>
              <w:t>|</w:t>
            </w:r>
            <w:r w:rsidRPr="00DA3714">
              <w:rPr>
                <w:rFonts w:hint="eastAsia"/>
                <w:color w:val="000000"/>
                <w:spacing w:val="-20"/>
                <w:w w:val="15"/>
                <w:shd w:val="solid" w:color="000000" w:fill="000000"/>
                <w:fitText w:val="45" w:id="-893663229"/>
                <w14:textFill>
                  <w14:solidFill>
                    <w14:srgbClr w14:val="000000">
                      <w14:alpha w14:val="100000"/>
                    </w14:srgbClr>
                  </w14:solidFill>
                </w14:textFill>
              </w:rPr>
              <w:t xml:space="preserve">　</w:t>
            </w:r>
            <w:r w:rsidR="005E197A" w:rsidRPr="00B71856">
              <w:rPr>
                <w:color w:val="000000"/>
                <w:szCs w:val="20"/>
                <w:vertAlign w:val="superscript"/>
              </w:rPr>
              <w:t>2</w:t>
            </w:r>
          </w:p>
        </w:tc>
        <w:tc>
          <w:tcPr>
            <w:tcW w:w="611" w:type="pct"/>
            <w:shd w:val="clear" w:color="auto" w:fill="auto"/>
          </w:tcPr>
          <w:p w14:paraId="7C10A3DF" w14:textId="2F443585" w:rsidR="002D7804" w:rsidRPr="00D26D6C" w:rsidRDefault="00DA3714">
            <w:pPr>
              <w:pStyle w:val="TableText0"/>
              <w:jc w:val="center"/>
              <w:rPr>
                <w:color w:val="000000"/>
                <w:highlight w:val="lightGray"/>
              </w:rPr>
            </w:pPr>
            <w:r w:rsidRPr="00DA3714">
              <w:rPr>
                <w:rFonts w:hint="eastAsia"/>
                <w:color w:val="000000"/>
                <w:w w:val="15"/>
                <w:shd w:val="solid" w:color="000000" w:fill="000000"/>
                <w:fitText w:val="45" w:id="-893663228"/>
                <w14:textFill>
                  <w14:solidFill>
                    <w14:srgbClr w14:val="000000">
                      <w14:alpha w14:val="100000"/>
                    </w14:srgbClr>
                  </w14:solidFill>
                </w14:textFill>
              </w:rPr>
              <w:t xml:space="preserve">　</w:t>
            </w:r>
            <w:r w:rsidRPr="00DA3714">
              <w:rPr>
                <w:color w:val="000000"/>
                <w:w w:val="15"/>
                <w:shd w:val="solid" w:color="000000" w:fill="000000"/>
                <w:fitText w:val="45" w:id="-893663228"/>
                <w14:textFill>
                  <w14:solidFill>
                    <w14:srgbClr w14:val="000000">
                      <w14:alpha w14:val="100000"/>
                    </w14:srgbClr>
                  </w14:solidFill>
                </w14:textFill>
              </w:rPr>
              <w:t>|</w:t>
            </w:r>
            <w:r w:rsidRPr="00DA3714">
              <w:rPr>
                <w:rFonts w:hint="eastAsia"/>
                <w:color w:val="000000"/>
                <w:spacing w:val="-20"/>
                <w:w w:val="15"/>
                <w:shd w:val="solid" w:color="000000" w:fill="000000"/>
                <w:fitText w:val="45" w:id="-893663228"/>
                <w14:textFill>
                  <w14:solidFill>
                    <w14:srgbClr w14:val="000000">
                      <w14:alpha w14:val="100000"/>
                    </w14:srgbClr>
                  </w14:solidFill>
                </w14:textFill>
              </w:rPr>
              <w:t xml:space="preserve">　</w:t>
            </w:r>
            <w:r w:rsidR="005E197A" w:rsidRPr="00B71856">
              <w:rPr>
                <w:color w:val="000000"/>
                <w:szCs w:val="20"/>
                <w:vertAlign w:val="superscript"/>
              </w:rPr>
              <w:t>3</w:t>
            </w:r>
          </w:p>
        </w:tc>
        <w:tc>
          <w:tcPr>
            <w:tcW w:w="611" w:type="pct"/>
            <w:shd w:val="clear" w:color="auto" w:fill="auto"/>
          </w:tcPr>
          <w:p w14:paraId="256BA510" w14:textId="2DDA3D35" w:rsidR="002D7804" w:rsidRPr="00D26D6C" w:rsidRDefault="00DA3714">
            <w:pPr>
              <w:pStyle w:val="TableText0"/>
              <w:jc w:val="center"/>
              <w:rPr>
                <w:color w:val="000000"/>
                <w:highlight w:val="lightGray"/>
              </w:rPr>
            </w:pPr>
            <w:r w:rsidRPr="00DA3714">
              <w:rPr>
                <w:color w:val="000000"/>
                <w:spacing w:val="184"/>
                <w:shd w:val="solid" w:color="000000" w:fill="000000"/>
                <w:fitText w:val="270" w:id="-893663227"/>
                <w14:textFill>
                  <w14:solidFill>
                    <w14:srgbClr w14:val="000000">
                      <w14:alpha w14:val="100000"/>
                    </w14:srgbClr>
                  </w14:solidFill>
                </w14:textFill>
              </w:rPr>
              <w:t>|</w:t>
            </w:r>
            <w:r w:rsidRPr="00DA3714">
              <w:rPr>
                <w:color w:val="000000"/>
                <w:spacing w:val="1"/>
                <w:shd w:val="solid" w:color="000000" w:fill="000000"/>
                <w:fitText w:val="270" w:id="-893663227"/>
                <w14:textFill>
                  <w14:solidFill>
                    <w14:srgbClr w14:val="000000">
                      <w14:alpha w14:val="100000"/>
                    </w14:srgbClr>
                  </w14:solidFill>
                </w14:textFill>
              </w:rPr>
              <w:t>|</w:t>
            </w:r>
            <w:r w:rsidR="005E197A" w:rsidRPr="00B71856">
              <w:rPr>
                <w:color w:val="000000"/>
                <w:szCs w:val="20"/>
                <w:vertAlign w:val="superscript"/>
              </w:rPr>
              <w:t>3</w:t>
            </w:r>
          </w:p>
        </w:tc>
        <w:tc>
          <w:tcPr>
            <w:tcW w:w="611" w:type="pct"/>
            <w:shd w:val="clear" w:color="auto" w:fill="auto"/>
          </w:tcPr>
          <w:p w14:paraId="2DA824D0" w14:textId="512B25B1" w:rsidR="002D7804" w:rsidRPr="00D26D6C" w:rsidRDefault="00DA3714">
            <w:pPr>
              <w:pStyle w:val="TableText0"/>
              <w:jc w:val="center"/>
              <w:rPr>
                <w:color w:val="000000"/>
                <w:highlight w:val="lightGray"/>
              </w:rPr>
            </w:pPr>
            <w:r w:rsidRPr="00DA3714">
              <w:rPr>
                <w:rFonts w:hint="eastAsia"/>
                <w:color w:val="000000"/>
                <w:w w:val="15"/>
                <w:shd w:val="solid" w:color="000000" w:fill="000000"/>
                <w:fitText w:val="45" w:id="-893663225"/>
                <w14:textFill>
                  <w14:solidFill>
                    <w14:srgbClr w14:val="000000">
                      <w14:alpha w14:val="100000"/>
                    </w14:srgbClr>
                  </w14:solidFill>
                </w14:textFill>
              </w:rPr>
              <w:t xml:space="preserve">　</w:t>
            </w:r>
            <w:r w:rsidRPr="00DA3714">
              <w:rPr>
                <w:color w:val="000000"/>
                <w:w w:val="15"/>
                <w:shd w:val="solid" w:color="000000" w:fill="000000"/>
                <w:fitText w:val="45" w:id="-893663225"/>
                <w14:textFill>
                  <w14:solidFill>
                    <w14:srgbClr w14:val="000000">
                      <w14:alpha w14:val="100000"/>
                    </w14:srgbClr>
                  </w14:solidFill>
                </w14:textFill>
              </w:rPr>
              <w:t>|</w:t>
            </w:r>
            <w:r w:rsidRPr="00DA3714">
              <w:rPr>
                <w:rFonts w:hint="eastAsia"/>
                <w:color w:val="000000"/>
                <w:spacing w:val="-20"/>
                <w:w w:val="15"/>
                <w:shd w:val="solid" w:color="000000" w:fill="000000"/>
                <w:fitText w:val="45" w:id="-893663225"/>
                <w14:textFill>
                  <w14:solidFill>
                    <w14:srgbClr w14:val="000000">
                      <w14:alpha w14:val="100000"/>
                    </w14:srgbClr>
                  </w14:solidFill>
                </w14:textFill>
              </w:rPr>
              <w:t xml:space="preserve">　</w:t>
            </w:r>
            <w:r w:rsidR="005E197A" w:rsidRPr="00B71856">
              <w:rPr>
                <w:color w:val="000000"/>
                <w:szCs w:val="20"/>
                <w:vertAlign w:val="superscript"/>
              </w:rPr>
              <w:t>2</w:t>
            </w:r>
          </w:p>
        </w:tc>
        <w:tc>
          <w:tcPr>
            <w:tcW w:w="611" w:type="pct"/>
            <w:shd w:val="clear" w:color="auto" w:fill="auto"/>
          </w:tcPr>
          <w:p w14:paraId="26991CC6" w14:textId="28A6F895" w:rsidR="002D7804" w:rsidRPr="00D26D6C" w:rsidRDefault="00DA3714">
            <w:pPr>
              <w:pStyle w:val="TableText0"/>
              <w:jc w:val="center"/>
              <w:rPr>
                <w:color w:val="000000"/>
                <w:highlight w:val="lightGray"/>
              </w:rPr>
            </w:pPr>
            <w:r w:rsidRPr="00DA3714">
              <w:rPr>
                <w:rFonts w:hint="eastAsia"/>
                <w:color w:val="000000"/>
                <w:w w:val="15"/>
                <w:shd w:val="solid" w:color="000000" w:fill="000000"/>
                <w:fitText w:val="45" w:id="-893663224"/>
                <w14:textFill>
                  <w14:solidFill>
                    <w14:srgbClr w14:val="000000">
                      <w14:alpha w14:val="100000"/>
                    </w14:srgbClr>
                  </w14:solidFill>
                </w14:textFill>
              </w:rPr>
              <w:t xml:space="preserve">　</w:t>
            </w:r>
            <w:r w:rsidRPr="00DA3714">
              <w:rPr>
                <w:color w:val="000000"/>
                <w:w w:val="15"/>
                <w:shd w:val="solid" w:color="000000" w:fill="000000"/>
                <w:fitText w:val="45" w:id="-893663224"/>
                <w14:textFill>
                  <w14:solidFill>
                    <w14:srgbClr w14:val="000000">
                      <w14:alpha w14:val="100000"/>
                    </w14:srgbClr>
                  </w14:solidFill>
                </w14:textFill>
              </w:rPr>
              <w:t>|</w:t>
            </w:r>
            <w:r w:rsidRPr="00DA3714">
              <w:rPr>
                <w:rFonts w:hint="eastAsia"/>
                <w:color w:val="000000"/>
                <w:spacing w:val="-20"/>
                <w:w w:val="15"/>
                <w:shd w:val="solid" w:color="000000" w:fill="000000"/>
                <w:fitText w:val="45" w:id="-893663224"/>
                <w14:textFill>
                  <w14:solidFill>
                    <w14:srgbClr w14:val="000000">
                      <w14:alpha w14:val="100000"/>
                    </w14:srgbClr>
                  </w14:solidFill>
                </w14:textFill>
              </w:rPr>
              <w:t xml:space="preserve">　</w:t>
            </w:r>
            <w:r w:rsidR="005E197A" w:rsidRPr="00B71856">
              <w:rPr>
                <w:color w:val="000000"/>
                <w:szCs w:val="20"/>
                <w:vertAlign w:val="superscript"/>
              </w:rPr>
              <w:t>2</w:t>
            </w:r>
          </w:p>
        </w:tc>
        <w:tc>
          <w:tcPr>
            <w:tcW w:w="611" w:type="pct"/>
          </w:tcPr>
          <w:p w14:paraId="5AF1B045" w14:textId="3BF5C670" w:rsidR="002D7804" w:rsidRPr="00D26D6C" w:rsidRDefault="00DA3714">
            <w:pPr>
              <w:pStyle w:val="TableText0"/>
              <w:jc w:val="center"/>
              <w:rPr>
                <w:color w:val="000000"/>
                <w:highlight w:val="lightGray"/>
              </w:rPr>
            </w:pPr>
            <w:r w:rsidRPr="00DA3714">
              <w:rPr>
                <w:rFonts w:hint="eastAsia"/>
                <w:color w:val="000000"/>
                <w:w w:val="15"/>
                <w:shd w:val="solid" w:color="000000" w:fill="000000"/>
                <w:fitText w:val="45" w:id="-893663223"/>
                <w14:textFill>
                  <w14:solidFill>
                    <w14:srgbClr w14:val="000000">
                      <w14:alpha w14:val="100000"/>
                    </w14:srgbClr>
                  </w14:solidFill>
                </w14:textFill>
              </w:rPr>
              <w:t xml:space="preserve">　</w:t>
            </w:r>
            <w:r w:rsidRPr="00DA3714">
              <w:rPr>
                <w:color w:val="000000"/>
                <w:w w:val="15"/>
                <w:shd w:val="solid" w:color="000000" w:fill="000000"/>
                <w:fitText w:val="45" w:id="-893663223"/>
                <w14:textFill>
                  <w14:solidFill>
                    <w14:srgbClr w14:val="000000">
                      <w14:alpha w14:val="100000"/>
                    </w14:srgbClr>
                  </w14:solidFill>
                </w14:textFill>
              </w:rPr>
              <w:t>|</w:t>
            </w:r>
            <w:r w:rsidRPr="00DA3714">
              <w:rPr>
                <w:rFonts w:hint="eastAsia"/>
                <w:color w:val="000000"/>
                <w:spacing w:val="-20"/>
                <w:w w:val="15"/>
                <w:shd w:val="solid" w:color="000000" w:fill="000000"/>
                <w:fitText w:val="45" w:id="-893663223"/>
                <w14:textFill>
                  <w14:solidFill>
                    <w14:srgbClr w14:val="000000">
                      <w14:alpha w14:val="100000"/>
                    </w14:srgbClr>
                  </w14:solidFill>
                </w14:textFill>
              </w:rPr>
              <w:t xml:space="preserve">　</w:t>
            </w:r>
            <w:r w:rsidR="005E197A" w:rsidRPr="00B71856">
              <w:rPr>
                <w:color w:val="000000"/>
                <w:szCs w:val="20"/>
                <w:vertAlign w:val="superscript"/>
              </w:rPr>
              <w:t>2</w:t>
            </w:r>
          </w:p>
        </w:tc>
      </w:tr>
      <w:tr w:rsidR="002D7804" w:rsidRPr="003639A6" w14:paraId="6F305864" w14:textId="77777777">
        <w:tc>
          <w:tcPr>
            <w:tcW w:w="5000" w:type="pct"/>
            <w:gridSpan w:val="7"/>
            <w:shd w:val="clear" w:color="auto" w:fill="auto"/>
            <w:vAlign w:val="center"/>
          </w:tcPr>
          <w:p w14:paraId="0B524BBD" w14:textId="77777777" w:rsidR="002D7804" w:rsidRPr="00363364" w:rsidRDefault="002D7804">
            <w:pPr>
              <w:pStyle w:val="TableText0"/>
            </w:pPr>
            <w:r w:rsidRPr="003B5F84">
              <w:rPr>
                <w:rFonts w:cs="Times New Roman"/>
                <w:b/>
                <w:lang w:val="en-US"/>
              </w:rPr>
              <w:t xml:space="preserve">Estimated financial implications of </w:t>
            </w:r>
            <w:r>
              <w:rPr>
                <w:rFonts w:cs="Times New Roman"/>
                <w:b/>
                <w:lang w:val="en-US"/>
              </w:rPr>
              <w:t>selpercatinib</w:t>
            </w:r>
          </w:p>
        </w:tc>
      </w:tr>
      <w:tr w:rsidR="002D7804" w:rsidRPr="003639A6" w14:paraId="4C3E39A2" w14:textId="77777777">
        <w:tc>
          <w:tcPr>
            <w:tcW w:w="1334" w:type="pct"/>
            <w:shd w:val="clear" w:color="auto" w:fill="auto"/>
            <w:vAlign w:val="center"/>
          </w:tcPr>
          <w:p w14:paraId="2CBBE027" w14:textId="77777777" w:rsidR="002D7804" w:rsidRPr="003639A6" w:rsidRDefault="002D7804">
            <w:pPr>
              <w:pStyle w:val="TableText0"/>
            </w:pPr>
            <w:r w:rsidRPr="003B5F84">
              <w:rPr>
                <w:sz w:val="19"/>
                <w:szCs w:val="19"/>
              </w:rPr>
              <w:t>Cost to PBS/RPBS less copayments</w:t>
            </w:r>
          </w:p>
        </w:tc>
        <w:tc>
          <w:tcPr>
            <w:tcW w:w="611" w:type="pct"/>
            <w:shd w:val="clear" w:color="auto" w:fill="auto"/>
            <w:vAlign w:val="center"/>
          </w:tcPr>
          <w:p w14:paraId="3E92FA54" w14:textId="1C0A9617" w:rsidR="002D7804" w:rsidRPr="00D26D6C" w:rsidRDefault="00DA3714">
            <w:pPr>
              <w:pStyle w:val="TableText0"/>
              <w:jc w:val="center"/>
              <w:rPr>
                <w:highlight w:val="lightGray"/>
              </w:rPr>
            </w:pPr>
            <w:r w:rsidRPr="00DA3714">
              <w:rPr>
                <w:rFonts w:hint="eastAsia"/>
                <w:color w:val="000000"/>
                <w:w w:val="15"/>
                <w:szCs w:val="20"/>
                <w:shd w:val="solid" w:color="000000" w:fill="000000"/>
                <w:fitText w:val="45" w:id="-893663222"/>
                <w14:textFill>
                  <w14:solidFill>
                    <w14:srgbClr w14:val="000000">
                      <w14:alpha w14:val="100000"/>
                    </w14:srgbClr>
                  </w14:solidFill>
                </w14:textFill>
              </w:rPr>
              <w:t xml:space="preserve">　</w:t>
            </w:r>
            <w:r w:rsidRPr="00DA3714">
              <w:rPr>
                <w:color w:val="000000"/>
                <w:w w:val="15"/>
                <w:szCs w:val="20"/>
                <w:shd w:val="solid" w:color="000000" w:fill="000000"/>
                <w:fitText w:val="45" w:id="-893663222"/>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2"/>
                <w14:textFill>
                  <w14:solidFill>
                    <w14:srgbClr w14:val="000000">
                      <w14:alpha w14:val="100000"/>
                    </w14:srgbClr>
                  </w14:solidFill>
                </w14:textFill>
              </w:rPr>
              <w:t xml:space="preserve">　</w:t>
            </w:r>
            <w:r w:rsidR="005D2F6E">
              <w:rPr>
                <w:szCs w:val="20"/>
                <w:vertAlign w:val="superscript"/>
              </w:rPr>
              <w:t>4</w:t>
            </w:r>
          </w:p>
        </w:tc>
        <w:tc>
          <w:tcPr>
            <w:tcW w:w="611" w:type="pct"/>
            <w:shd w:val="clear" w:color="auto" w:fill="auto"/>
            <w:vAlign w:val="center"/>
          </w:tcPr>
          <w:p w14:paraId="279A5144" w14:textId="2DD75FA6" w:rsidR="002D7804" w:rsidRPr="00D26D6C" w:rsidRDefault="00DA3714">
            <w:pPr>
              <w:pStyle w:val="TableText0"/>
              <w:jc w:val="center"/>
              <w:rPr>
                <w:highlight w:val="lightGray"/>
              </w:rPr>
            </w:pPr>
            <w:r w:rsidRPr="00DA3714">
              <w:rPr>
                <w:rFonts w:hint="eastAsia"/>
                <w:color w:val="000000"/>
                <w:w w:val="15"/>
                <w:szCs w:val="20"/>
                <w:shd w:val="solid" w:color="000000" w:fill="000000"/>
                <w:fitText w:val="45" w:id="-893663221"/>
                <w14:textFill>
                  <w14:solidFill>
                    <w14:srgbClr w14:val="000000">
                      <w14:alpha w14:val="100000"/>
                    </w14:srgbClr>
                  </w14:solidFill>
                </w14:textFill>
              </w:rPr>
              <w:t xml:space="preserve">　</w:t>
            </w:r>
            <w:r w:rsidRPr="00DA3714">
              <w:rPr>
                <w:color w:val="000000"/>
                <w:w w:val="15"/>
                <w:szCs w:val="20"/>
                <w:shd w:val="solid" w:color="000000" w:fill="000000"/>
                <w:fitText w:val="45" w:id="-893663221"/>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1"/>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auto"/>
            <w:vAlign w:val="center"/>
          </w:tcPr>
          <w:p w14:paraId="662C74FE" w14:textId="62AC822E" w:rsidR="002D7804" w:rsidRPr="00D26D6C" w:rsidRDefault="00DA3714">
            <w:pPr>
              <w:pStyle w:val="TableText0"/>
              <w:jc w:val="center"/>
              <w:rPr>
                <w:highlight w:val="lightGray"/>
              </w:rPr>
            </w:pPr>
            <w:r w:rsidRPr="00DA3714">
              <w:rPr>
                <w:rFonts w:hint="eastAsia"/>
                <w:color w:val="000000"/>
                <w:w w:val="15"/>
                <w:szCs w:val="20"/>
                <w:shd w:val="solid" w:color="000000" w:fill="000000"/>
                <w:fitText w:val="45" w:id="-893663220"/>
                <w14:textFill>
                  <w14:solidFill>
                    <w14:srgbClr w14:val="000000">
                      <w14:alpha w14:val="100000"/>
                    </w14:srgbClr>
                  </w14:solidFill>
                </w14:textFill>
              </w:rPr>
              <w:t xml:space="preserve">　</w:t>
            </w:r>
            <w:r w:rsidRPr="00DA3714">
              <w:rPr>
                <w:color w:val="000000"/>
                <w:w w:val="15"/>
                <w:szCs w:val="20"/>
                <w:shd w:val="solid" w:color="000000" w:fill="000000"/>
                <w:fitText w:val="45" w:id="-893663220"/>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0"/>
                <w14:textFill>
                  <w14:solidFill>
                    <w14:srgbClr w14:val="000000">
                      <w14:alpha w14:val="100000"/>
                    </w14:srgbClr>
                  </w14:solidFill>
                </w14:textFill>
              </w:rPr>
              <w:t xml:space="preserve">　</w:t>
            </w:r>
            <w:r w:rsidR="00F134DE" w:rsidRPr="00D26D6C">
              <w:rPr>
                <w:szCs w:val="20"/>
                <w:vertAlign w:val="superscript"/>
              </w:rPr>
              <w:t>6</w:t>
            </w:r>
          </w:p>
        </w:tc>
        <w:tc>
          <w:tcPr>
            <w:tcW w:w="611" w:type="pct"/>
            <w:shd w:val="clear" w:color="auto" w:fill="auto"/>
            <w:vAlign w:val="center"/>
          </w:tcPr>
          <w:p w14:paraId="52912590" w14:textId="623E6534" w:rsidR="002D7804" w:rsidRPr="00D26D6C" w:rsidRDefault="00DA3714">
            <w:pPr>
              <w:pStyle w:val="TableText0"/>
              <w:jc w:val="center"/>
              <w:rPr>
                <w:highlight w:val="lightGray"/>
              </w:rPr>
            </w:pPr>
            <w:r w:rsidRPr="00DA3714">
              <w:rPr>
                <w:rFonts w:hint="eastAsia"/>
                <w:color w:val="000000"/>
                <w:w w:val="15"/>
                <w:szCs w:val="20"/>
                <w:shd w:val="solid" w:color="000000" w:fill="000000"/>
                <w:fitText w:val="45" w:id="-893663219"/>
                <w14:textFill>
                  <w14:solidFill>
                    <w14:srgbClr w14:val="000000">
                      <w14:alpha w14:val="100000"/>
                    </w14:srgbClr>
                  </w14:solidFill>
                </w14:textFill>
              </w:rPr>
              <w:t xml:space="preserve">　</w:t>
            </w:r>
            <w:r w:rsidRPr="00DA3714">
              <w:rPr>
                <w:color w:val="000000"/>
                <w:w w:val="15"/>
                <w:szCs w:val="20"/>
                <w:shd w:val="solid" w:color="000000" w:fill="000000"/>
                <w:fitText w:val="45" w:id="-893663219"/>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9"/>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auto"/>
            <w:vAlign w:val="center"/>
          </w:tcPr>
          <w:p w14:paraId="255AF7BB" w14:textId="7809DE70" w:rsidR="002D7804" w:rsidRPr="00D26D6C" w:rsidRDefault="00DA3714">
            <w:pPr>
              <w:pStyle w:val="TableText0"/>
              <w:jc w:val="center"/>
              <w:rPr>
                <w:highlight w:val="lightGray"/>
              </w:rPr>
            </w:pPr>
            <w:r w:rsidRPr="00DA3714">
              <w:rPr>
                <w:rFonts w:hint="eastAsia"/>
                <w:color w:val="000000"/>
                <w:w w:val="15"/>
                <w:szCs w:val="20"/>
                <w:shd w:val="solid" w:color="000000" w:fill="000000"/>
                <w:fitText w:val="45" w:id="-893663218"/>
                <w14:textFill>
                  <w14:solidFill>
                    <w14:srgbClr w14:val="000000">
                      <w14:alpha w14:val="100000"/>
                    </w14:srgbClr>
                  </w14:solidFill>
                </w14:textFill>
              </w:rPr>
              <w:t xml:space="preserve">　</w:t>
            </w:r>
            <w:r w:rsidRPr="00DA3714">
              <w:rPr>
                <w:color w:val="000000"/>
                <w:w w:val="15"/>
                <w:szCs w:val="20"/>
                <w:shd w:val="solid" w:color="000000" w:fill="000000"/>
                <w:fitText w:val="45" w:id="-893663218"/>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8"/>
                <w14:textFill>
                  <w14:solidFill>
                    <w14:srgbClr w14:val="000000">
                      <w14:alpha w14:val="100000"/>
                    </w14:srgbClr>
                  </w14:solidFill>
                </w14:textFill>
              </w:rPr>
              <w:t xml:space="preserve">　</w:t>
            </w:r>
            <w:r w:rsidR="00A018F2" w:rsidRPr="00D26D6C">
              <w:rPr>
                <w:szCs w:val="20"/>
                <w:vertAlign w:val="superscript"/>
              </w:rPr>
              <w:t>5</w:t>
            </w:r>
          </w:p>
        </w:tc>
        <w:tc>
          <w:tcPr>
            <w:tcW w:w="611" w:type="pct"/>
            <w:vAlign w:val="center"/>
          </w:tcPr>
          <w:p w14:paraId="2DDE826C" w14:textId="2765ADF3" w:rsidR="002D7804" w:rsidRPr="00D26D6C" w:rsidRDefault="00DA3714">
            <w:pPr>
              <w:pStyle w:val="TableText0"/>
              <w:jc w:val="center"/>
              <w:rPr>
                <w:highlight w:val="lightGray"/>
              </w:rPr>
            </w:pPr>
            <w:r w:rsidRPr="00DA3714">
              <w:rPr>
                <w:color w:val="000000"/>
                <w:spacing w:val="184"/>
                <w:szCs w:val="20"/>
                <w:shd w:val="solid" w:color="000000" w:fill="000000"/>
                <w:fitText w:val="270" w:id="-893663217"/>
                <w14:textFill>
                  <w14:solidFill>
                    <w14:srgbClr w14:val="000000">
                      <w14:alpha w14:val="100000"/>
                    </w14:srgbClr>
                  </w14:solidFill>
                </w14:textFill>
              </w:rPr>
              <w:t>|</w:t>
            </w:r>
            <w:r w:rsidRPr="00DA3714">
              <w:rPr>
                <w:color w:val="000000"/>
                <w:spacing w:val="1"/>
                <w:szCs w:val="20"/>
                <w:shd w:val="solid" w:color="000000" w:fill="000000"/>
                <w:fitText w:val="270" w:id="-893663217"/>
                <w14:textFill>
                  <w14:solidFill>
                    <w14:srgbClr w14:val="000000">
                      <w14:alpha w14:val="100000"/>
                    </w14:srgbClr>
                  </w14:solidFill>
                </w14:textFill>
              </w:rPr>
              <w:t>|</w:t>
            </w:r>
            <w:r w:rsidR="00F134DE" w:rsidRPr="00B71856">
              <w:rPr>
                <w:b/>
                <w:bCs w:val="0"/>
                <w:szCs w:val="20"/>
                <w:vertAlign w:val="superscript"/>
              </w:rPr>
              <w:t>5</w:t>
            </w:r>
          </w:p>
        </w:tc>
      </w:tr>
      <w:tr w:rsidR="002D7804" w:rsidRPr="003639A6" w14:paraId="4DC11F91" w14:textId="77777777">
        <w:tc>
          <w:tcPr>
            <w:tcW w:w="5000" w:type="pct"/>
            <w:gridSpan w:val="7"/>
            <w:shd w:val="clear" w:color="auto" w:fill="auto"/>
            <w:vAlign w:val="center"/>
          </w:tcPr>
          <w:p w14:paraId="0A35D1DF" w14:textId="77777777" w:rsidR="002D7804" w:rsidRPr="00363364" w:rsidRDefault="002D7804">
            <w:pPr>
              <w:pStyle w:val="TableText0"/>
            </w:pPr>
            <w:r w:rsidRPr="003B5F84">
              <w:rPr>
                <w:b/>
              </w:rPr>
              <w:t>Estimated financial implications for other medicines</w:t>
            </w:r>
          </w:p>
        </w:tc>
      </w:tr>
      <w:tr w:rsidR="002D7804" w:rsidRPr="003639A6" w14:paraId="5C2C17CC" w14:textId="77777777">
        <w:tc>
          <w:tcPr>
            <w:tcW w:w="1334" w:type="pct"/>
            <w:shd w:val="clear" w:color="auto" w:fill="auto"/>
            <w:vAlign w:val="center"/>
          </w:tcPr>
          <w:p w14:paraId="04E4E96D" w14:textId="77777777" w:rsidR="002D7804" w:rsidRPr="003639A6" w:rsidRDefault="002D7804">
            <w:pPr>
              <w:pStyle w:val="TableText0"/>
            </w:pPr>
            <w:r w:rsidRPr="003B5F84">
              <w:rPr>
                <w:sz w:val="19"/>
                <w:szCs w:val="19"/>
              </w:rPr>
              <w:t>Cost to PBS/RPBS less copayments</w:t>
            </w:r>
          </w:p>
        </w:tc>
        <w:tc>
          <w:tcPr>
            <w:tcW w:w="611" w:type="pct"/>
            <w:shd w:val="clear" w:color="auto" w:fill="auto"/>
            <w:vAlign w:val="center"/>
          </w:tcPr>
          <w:p w14:paraId="5CDBB5B7" w14:textId="73939A26" w:rsidR="002D7804" w:rsidRPr="00D26D6C" w:rsidRDefault="00DA3714">
            <w:pPr>
              <w:pStyle w:val="TableText0"/>
              <w:jc w:val="center"/>
              <w:rPr>
                <w:highlight w:val="lightGray"/>
              </w:rPr>
            </w:pPr>
            <w:r w:rsidRPr="00DA3714">
              <w:rPr>
                <w:rFonts w:hint="eastAsia"/>
                <w:color w:val="000000"/>
                <w:w w:val="15"/>
                <w:shd w:val="solid" w:color="000000" w:fill="000000"/>
                <w:fitText w:val="45" w:id="-893663232"/>
                <w14:textFill>
                  <w14:solidFill>
                    <w14:srgbClr w14:val="000000">
                      <w14:alpha w14:val="100000"/>
                    </w14:srgbClr>
                  </w14:solidFill>
                </w14:textFill>
              </w:rPr>
              <w:t xml:space="preserve">　</w:t>
            </w:r>
            <w:r w:rsidRPr="00DA3714">
              <w:rPr>
                <w:color w:val="000000"/>
                <w:w w:val="15"/>
                <w:shd w:val="solid" w:color="000000" w:fill="000000"/>
                <w:fitText w:val="45" w:id="-893663232"/>
                <w14:textFill>
                  <w14:solidFill>
                    <w14:srgbClr w14:val="000000">
                      <w14:alpha w14:val="100000"/>
                    </w14:srgbClr>
                  </w14:solidFill>
                </w14:textFill>
              </w:rPr>
              <w:t>|</w:t>
            </w:r>
            <w:r w:rsidRPr="00DA3714">
              <w:rPr>
                <w:rFonts w:hint="eastAsia"/>
                <w:color w:val="000000"/>
                <w:spacing w:val="-20"/>
                <w:w w:val="15"/>
                <w:shd w:val="solid" w:color="000000" w:fill="000000"/>
                <w:fitText w:val="45" w:id="-893663232"/>
                <w14:textFill>
                  <w14:solidFill>
                    <w14:srgbClr w14:val="000000">
                      <w14:alpha w14:val="100000"/>
                    </w14:srgbClr>
                  </w14:solidFill>
                </w14:textFill>
              </w:rPr>
              <w:t xml:space="preserve">　</w:t>
            </w:r>
            <w:r w:rsidR="006105A9" w:rsidRPr="00D26D6C">
              <w:rPr>
                <w:vertAlign w:val="superscript"/>
              </w:rPr>
              <w:t>7</w:t>
            </w:r>
          </w:p>
        </w:tc>
        <w:tc>
          <w:tcPr>
            <w:tcW w:w="611" w:type="pct"/>
            <w:shd w:val="clear" w:color="auto" w:fill="auto"/>
            <w:vAlign w:val="center"/>
          </w:tcPr>
          <w:p w14:paraId="73D71361" w14:textId="5F89DC18" w:rsidR="002D7804" w:rsidRPr="00D26D6C" w:rsidRDefault="00DA3714">
            <w:pPr>
              <w:pStyle w:val="TableText0"/>
              <w:jc w:val="center"/>
              <w:rPr>
                <w:highlight w:val="lightGray"/>
              </w:rPr>
            </w:pPr>
            <w:r w:rsidRPr="00DA3714">
              <w:rPr>
                <w:rFonts w:hint="eastAsia"/>
                <w:color w:val="000000"/>
                <w:w w:val="15"/>
                <w:shd w:val="solid" w:color="000000" w:fill="000000"/>
                <w:fitText w:val="45" w:id="-893663231"/>
                <w14:textFill>
                  <w14:solidFill>
                    <w14:srgbClr w14:val="000000">
                      <w14:alpha w14:val="100000"/>
                    </w14:srgbClr>
                  </w14:solidFill>
                </w14:textFill>
              </w:rPr>
              <w:t xml:space="preserve">　</w:t>
            </w:r>
            <w:r w:rsidRPr="00DA3714">
              <w:rPr>
                <w:color w:val="000000"/>
                <w:w w:val="15"/>
                <w:shd w:val="solid" w:color="000000" w:fill="000000"/>
                <w:fitText w:val="45" w:id="-893663231"/>
                <w14:textFill>
                  <w14:solidFill>
                    <w14:srgbClr w14:val="000000">
                      <w14:alpha w14:val="100000"/>
                    </w14:srgbClr>
                  </w14:solidFill>
                </w14:textFill>
              </w:rPr>
              <w:t>|</w:t>
            </w:r>
            <w:r w:rsidRPr="00DA3714">
              <w:rPr>
                <w:rFonts w:hint="eastAsia"/>
                <w:color w:val="000000"/>
                <w:spacing w:val="-20"/>
                <w:w w:val="15"/>
                <w:shd w:val="solid" w:color="000000" w:fill="000000"/>
                <w:fitText w:val="45" w:id="-893663231"/>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1D0F71A4" w14:textId="6D196786" w:rsidR="002D7804" w:rsidRPr="00D26D6C" w:rsidRDefault="00DA3714">
            <w:pPr>
              <w:pStyle w:val="TableText0"/>
              <w:jc w:val="center"/>
              <w:rPr>
                <w:highlight w:val="lightGray"/>
              </w:rPr>
            </w:pPr>
            <w:r w:rsidRPr="00DA3714">
              <w:rPr>
                <w:rFonts w:hint="eastAsia"/>
                <w:color w:val="000000"/>
                <w:w w:val="15"/>
                <w:shd w:val="solid" w:color="000000" w:fill="000000"/>
                <w:fitText w:val="45" w:id="-893663230"/>
                <w14:textFill>
                  <w14:solidFill>
                    <w14:srgbClr w14:val="000000">
                      <w14:alpha w14:val="100000"/>
                    </w14:srgbClr>
                  </w14:solidFill>
                </w14:textFill>
              </w:rPr>
              <w:t xml:space="preserve">　</w:t>
            </w:r>
            <w:r w:rsidRPr="00DA3714">
              <w:rPr>
                <w:color w:val="000000"/>
                <w:w w:val="15"/>
                <w:shd w:val="solid" w:color="000000" w:fill="000000"/>
                <w:fitText w:val="45" w:id="-893663230"/>
                <w14:textFill>
                  <w14:solidFill>
                    <w14:srgbClr w14:val="000000">
                      <w14:alpha w14:val="100000"/>
                    </w14:srgbClr>
                  </w14:solidFill>
                </w14:textFill>
              </w:rPr>
              <w:t>|</w:t>
            </w:r>
            <w:r w:rsidRPr="00DA3714">
              <w:rPr>
                <w:rFonts w:hint="eastAsia"/>
                <w:color w:val="000000"/>
                <w:spacing w:val="-20"/>
                <w:w w:val="15"/>
                <w:shd w:val="solid" w:color="000000" w:fill="000000"/>
                <w:fitText w:val="45" w:id="-893663230"/>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74876EBA" w14:textId="2B8DCBAF"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9"/>
                <w14:textFill>
                  <w14:solidFill>
                    <w14:srgbClr w14:val="000000">
                      <w14:alpha w14:val="100000"/>
                    </w14:srgbClr>
                  </w14:solidFill>
                </w14:textFill>
              </w:rPr>
              <w:t xml:space="preserve">　</w:t>
            </w:r>
            <w:r w:rsidRPr="00DA3714">
              <w:rPr>
                <w:color w:val="000000"/>
                <w:w w:val="15"/>
                <w:shd w:val="solid" w:color="000000" w:fill="000000"/>
                <w:fitText w:val="45" w:id="-893663229"/>
                <w14:textFill>
                  <w14:solidFill>
                    <w14:srgbClr w14:val="000000">
                      <w14:alpha w14:val="100000"/>
                    </w14:srgbClr>
                  </w14:solidFill>
                </w14:textFill>
              </w:rPr>
              <w:t>|</w:t>
            </w:r>
            <w:r w:rsidRPr="00DA3714">
              <w:rPr>
                <w:rFonts w:hint="eastAsia"/>
                <w:color w:val="000000"/>
                <w:spacing w:val="-20"/>
                <w:w w:val="15"/>
                <w:shd w:val="solid" w:color="000000" w:fill="000000"/>
                <w:fitText w:val="45" w:id="-893663229"/>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0AAFC0B9" w14:textId="0C2EB61B"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8"/>
                <w14:textFill>
                  <w14:solidFill>
                    <w14:srgbClr w14:val="000000">
                      <w14:alpha w14:val="100000"/>
                    </w14:srgbClr>
                  </w14:solidFill>
                </w14:textFill>
              </w:rPr>
              <w:t xml:space="preserve">　</w:t>
            </w:r>
            <w:r w:rsidRPr="00DA3714">
              <w:rPr>
                <w:color w:val="000000"/>
                <w:w w:val="15"/>
                <w:shd w:val="solid" w:color="000000" w:fill="000000"/>
                <w:fitText w:val="45" w:id="-893663228"/>
                <w14:textFill>
                  <w14:solidFill>
                    <w14:srgbClr w14:val="000000">
                      <w14:alpha w14:val="100000"/>
                    </w14:srgbClr>
                  </w14:solidFill>
                </w14:textFill>
              </w:rPr>
              <w:t>|</w:t>
            </w:r>
            <w:r w:rsidRPr="00DA3714">
              <w:rPr>
                <w:rFonts w:hint="eastAsia"/>
                <w:color w:val="000000"/>
                <w:spacing w:val="-20"/>
                <w:w w:val="15"/>
                <w:shd w:val="solid" w:color="000000" w:fill="000000"/>
                <w:fitText w:val="45" w:id="-893663228"/>
                <w14:textFill>
                  <w14:solidFill>
                    <w14:srgbClr w14:val="000000">
                      <w14:alpha w14:val="100000"/>
                    </w14:srgbClr>
                  </w14:solidFill>
                </w14:textFill>
              </w:rPr>
              <w:t xml:space="preserve">　</w:t>
            </w:r>
            <w:r w:rsidR="006105A9" w:rsidRPr="00B71856">
              <w:rPr>
                <w:vertAlign w:val="superscript"/>
              </w:rPr>
              <w:t>7</w:t>
            </w:r>
          </w:p>
        </w:tc>
        <w:tc>
          <w:tcPr>
            <w:tcW w:w="611" w:type="pct"/>
            <w:vAlign w:val="center"/>
          </w:tcPr>
          <w:p w14:paraId="13812318" w14:textId="7911FC32"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7"/>
                <w14:textFill>
                  <w14:solidFill>
                    <w14:srgbClr w14:val="000000">
                      <w14:alpha w14:val="100000"/>
                    </w14:srgbClr>
                  </w14:solidFill>
                </w14:textFill>
              </w:rPr>
              <w:t xml:space="preserve">　</w:t>
            </w:r>
            <w:r w:rsidRPr="00DA3714">
              <w:rPr>
                <w:color w:val="000000"/>
                <w:w w:val="15"/>
                <w:shd w:val="solid" w:color="000000" w:fill="000000"/>
                <w:fitText w:val="45" w:id="-893663227"/>
                <w14:textFill>
                  <w14:solidFill>
                    <w14:srgbClr w14:val="000000">
                      <w14:alpha w14:val="100000"/>
                    </w14:srgbClr>
                  </w14:solidFill>
                </w14:textFill>
              </w:rPr>
              <w:t>|</w:t>
            </w:r>
            <w:r w:rsidRPr="00DA3714">
              <w:rPr>
                <w:rFonts w:hint="eastAsia"/>
                <w:color w:val="000000"/>
                <w:spacing w:val="-20"/>
                <w:w w:val="15"/>
                <w:shd w:val="solid" w:color="000000" w:fill="000000"/>
                <w:fitText w:val="45" w:id="-893663227"/>
                <w14:textFill>
                  <w14:solidFill>
                    <w14:srgbClr w14:val="000000">
                      <w14:alpha w14:val="100000"/>
                    </w14:srgbClr>
                  </w14:solidFill>
                </w14:textFill>
              </w:rPr>
              <w:t xml:space="preserve">　</w:t>
            </w:r>
            <w:r w:rsidR="006105A9" w:rsidRPr="00B71856">
              <w:rPr>
                <w:vertAlign w:val="superscript"/>
              </w:rPr>
              <w:t>7</w:t>
            </w:r>
          </w:p>
        </w:tc>
      </w:tr>
      <w:tr w:rsidR="002D7804" w:rsidRPr="00FC22AB" w14:paraId="04B0B911" w14:textId="77777777">
        <w:tc>
          <w:tcPr>
            <w:tcW w:w="5000" w:type="pct"/>
            <w:gridSpan w:val="7"/>
            <w:shd w:val="clear" w:color="auto" w:fill="auto"/>
            <w:vAlign w:val="center"/>
          </w:tcPr>
          <w:p w14:paraId="2299E346" w14:textId="77777777" w:rsidR="002D7804" w:rsidRPr="00FC22AB" w:rsidRDefault="002D7804">
            <w:pPr>
              <w:pStyle w:val="In-tableHeading"/>
            </w:pPr>
            <w:r w:rsidRPr="00FC22AB">
              <w:t>Net financial implications</w:t>
            </w:r>
            <w:r w:rsidRPr="00FC22AB">
              <w:rPr>
                <w:color w:val="4BACC6" w:themeColor="accent5"/>
              </w:rPr>
              <w:t xml:space="preserve"> </w:t>
            </w:r>
          </w:p>
        </w:tc>
      </w:tr>
      <w:tr w:rsidR="002D7804" w:rsidRPr="00EB5EE2" w14:paraId="3191AD09" w14:textId="77777777">
        <w:tc>
          <w:tcPr>
            <w:tcW w:w="1334" w:type="pct"/>
            <w:shd w:val="clear" w:color="auto" w:fill="auto"/>
            <w:vAlign w:val="center"/>
          </w:tcPr>
          <w:p w14:paraId="0592ED97" w14:textId="77777777" w:rsidR="002D7804" w:rsidRPr="000C2370" w:rsidRDefault="002D7804">
            <w:pPr>
              <w:pStyle w:val="TableText0"/>
              <w:rPr>
                <w:b/>
                <w:bCs w:val="0"/>
                <w:sz w:val="19"/>
                <w:szCs w:val="19"/>
              </w:rPr>
            </w:pPr>
            <w:r w:rsidRPr="00E2432E">
              <w:rPr>
                <w:b/>
                <w:bCs w:val="0"/>
                <w:sz w:val="19"/>
                <w:szCs w:val="19"/>
              </w:rPr>
              <w:t>Net cost to PBS/RPBS</w:t>
            </w:r>
          </w:p>
        </w:tc>
        <w:tc>
          <w:tcPr>
            <w:tcW w:w="611" w:type="pct"/>
            <w:shd w:val="clear" w:color="auto" w:fill="auto"/>
            <w:vAlign w:val="center"/>
          </w:tcPr>
          <w:p w14:paraId="639362FD" w14:textId="388B0D2C" w:rsidR="002D7804" w:rsidRPr="00D26D6C" w:rsidRDefault="00DA3714">
            <w:pPr>
              <w:pStyle w:val="TableText0"/>
              <w:jc w:val="center"/>
              <w:rPr>
                <w:b/>
                <w:bCs w:val="0"/>
                <w:highlight w:val="lightGray"/>
              </w:rPr>
            </w:pPr>
            <w:r w:rsidRPr="00DA3714">
              <w:rPr>
                <w:rFonts w:hint="eastAsia"/>
                <w:b/>
                <w:bCs w:val="0"/>
                <w:color w:val="000000"/>
                <w:w w:val="23"/>
                <w:szCs w:val="20"/>
                <w:shd w:val="solid" w:color="000000" w:fill="000000"/>
                <w:fitText w:val="105" w:id="-893663226"/>
                <w14:textFill>
                  <w14:solidFill>
                    <w14:srgbClr w14:val="000000">
                      <w14:alpha w14:val="100000"/>
                    </w14:srgbClr>
                  </w14:solidFill>
                </w14:textFill>
              </w:rPr>
              <w:t xml:space="preserve">　</w:t>
            </w:r>
            <w:r w:rsidRPr="00DA3714">
              <w:rPr>
                <w:b/>
                <w:bCs w:val="0"/>
                <w:color w:val="000000"/>
                <w:w w:val="23"/>
                <w:szCs w:val="20"/>
                <w:shd w:val="solid" w:color="000000" w:fill="000000"/>
                <w:fitText w:val="105" w:id="-893663226"/>
                <w14:textFill>
                  <w14:solidFill>
                    <w14:srgbClr w14:val="000000">
                      <w14:alpha w14:val="100000"/>
                    </w14:srgbClr>
                  </w14:solidFill>
                </w14:textFill>
              </w:rPr>
              <w:t>|</w:t>
            </w:r>
            <w:r w:rsidRPr="00DA3714">
              <w:rPr>
                <w:rFonts w:hint="eastAsia"/>
                <w:b/>
                <w:bCs w:val="0"/>
                <w:color w:val="000000"/>
                <w:spacing w:val="3"/>
                <w:w w:val="23"/>
                <w:szCs w:val="20"/>
                <w:shd w:val="solid" w:color="000000" w:fill="000000"/>
                <w:fitText w:val="105" w:id="-893663226"/>
                <w14:textFill>
                  <w14:solidFill>
                    <w14:srgbClr w14:val="000000">
                      <w14:alpha w14:val="100000"/>
                    </w14:srgbClr>
                  </w14:solidFill>
                </w14:textFill>
              </w:rPr>
              <w:t xml:space="preserve">　</w:t>
            </w:r>
            <w:r w:rsidR="005D2F6E">
              <w:rPr>
                <w:szCs w:val="20"/>
                <w:vertAlign w:val="superscript"/>
              </w:rPr>
              <w:t>4</w:t>
            </w:r>
          </w:p>
        </w:tc>
        <w:tc>
          <w:tcPr>
            <w:tcW w:w="611" w:type="pct"/>
            <w:shd w:val="clear" w:color="auto" w:fill="auto"/>
            <w:vAlign w:val="center"/>
          </w:tcPr>
          <w:p w14:paraId="28498191" w14:textId="36A806BF" w:rsidR="002D7804" w:rsidRPr="00D26D6C" w:rsidRDefault="00DA3714">
            <w:pPr>
              <w:pStyle w:val="TableText0"/>
              <w:jc w:val="center"/>
              <w:rPr>
                <w:b/>
                <w:bCs w:val="0"/>
                <w:highlight w:val="lightGray"/>
              </w:rPr>
            </w:pPr>
            <w:r w:rsidRPr="00DA3714">
              <w:rPr>
                <w:rFonts w:hint="eastAsia"/>
                <w:b/>
                <w:bCs w:val="0"/>
                <w:color w:val="000000"/>
                <w:w w:val="23"/>
                <w:szCs w:val="20"/>
                <w:shd w:val="solid" w:color="000000" w:fill="000000"/>
                <w:fitText w:val="105" w:id="-893663225"/>
                <w14:textFill>
                  <w14:solidFill>
                    <w14:srgbClr w14:val="000000">
                      <w14:alpha w14:val="100000"/>
                    </w14:srgbClr>
                  </w14:solidFill>
                </w14:textFill>
              </w:rPr>
              <w:t xml:space="preserve">　</w:t>
            </w:r>
            <w:r w:rsidRPr="00DA3714">
              <w:rPr>
                <w:b/>
                <w:bCs w:val="0"/>
                <w:color w:val="000000"/>
                <w:w w:val="23"/>
                <w:szCs w:val="20"/>
                <w:shd w:val="solid" w:color="000000" w:fill="000000"/>
                <w:fitText w:val="105" w:id="-893663225"/>
                <w14:textFill>
                  <w14:solidFill>
                    <w14:srgbClr w14:val="000000">
                      <w14:alpha w14:val="100000"/>
                    </w14:srgbClr>
                  </w14:solidFill>
                </w14:textFill>
              </w:rPr>
              <w:t>|</w:t>
            </w:r>
            <w:r w:rsidRPr="00DA3714">
              <w:rPr>
                <w:rFonts w:hint="eastAsia"/>
                <w:b/>
                <w:bCs w:val="0"/>
                <w:color w:val="000000"/>
                <w:spacing w:val="3"/>
                <w:w w:val="23"/>
                <w:szCs w:val="20"/>
                <w:shd w:val="solid" w:color="000000" w:fill="000000"/>
                <w:fitText w:val="105" w:id="-893663225"/>
                <w14:textFill>
                  <w14:solidFill>
                    <w14:srgbClr w14:val="000000">
                      <w14:alpha w14:val="100000"/>
                    </w14:srgbClr>
                  </w14:solidFill>
                </w14:textFill>
              </w:rPr>
              <w:t xml:space="preserve">　</w:t>
            </w:r>
            <w:r w:rsidR="00F134DE" w:rsidRPr="00D26D6C">
              <w:rPr>
                <w:b/>
                <w:bCs w:val="0"/>
                <w:szCs w:val="20"/>
                <w:vertAlign w:val="superscript"/>
              </w:rPr>
              <w:t>5</w:t>
            </w:r>
          </w:p>
        </w:tc>
        <w:tc>
          <w:tcPr>
            <w:tcW w:w="611" w:type="pct"/>
            <w:shd w:val="clear" w:color="auto" w:fill="auto"/>
            <w:vAlign w:val="center"/>
          </w:tcPr>
          <w:p w14:paraId="26FC629B" w14:textId="0FFE1816" w:rsidR="002D7804" w:rsidRPr="00D26D6C" w:rsidRDefault="00DA3714">
            <w:pPr>
              <w:pStyle w:val="TableText0"/>
              <w:jc w:val="center"/>
              <w:rPr>
                <w:b/>
                <w:bCs w:val="0"/>
                <w:highlight w:val="lightGray"/>
              </w:rPr>
            </w:pPr>
            <w:r w:rsidRPr="00DA3714">
              <w:rPr>
                <w:rFonts w:hint="eastAsia"/>
                <w:b/>
                <w:bCs w:val="0"/>
                <w:color w:val="000000"/>
                <w:w w:val="23"/>
                <w:szCs w:val="20"/>
                <w:shd w:val="solid" w:color="000000" w:fill="000000"/>
                <w:fitText w:val="105" w:id="-893663224"/>
                <w14:textFill>
                  <w14:solidFill>
                    <w14:srgbClr w14:val="000000">
                      <w14:alpha w14:val="100000"/>
                    </w14:srgbClr>
                  </w14:solidFill>
                </w14:textFill>
              </w:rPr>
              <w:t xml:space="preserve">　</w:t>
            </w:r>
            <w:r w:rsidRPr="00DA3714">
              <w:rPr>
                <w:b/>
                <w:bCs w:val="0"/>
                <w:color w:val="000000"/>
                <w:w w:val="23"/>
                <w:szCs w:val="20"/>
                <w:shd w:val="solid" w:color="000000" w:fill="000000"/>
                <w:fitText w:val="105" w:id="-893663224"/>
                <w14:textFill>
                  <w14:solidFill>
                    <w14:srgbClr w14:val="000000">
                      <w14:alpha w14:val="100000"/>
                    </w14:srgbClr>
                  </w14:solidFill>
                </w14:textFill>
              </w:rPr>
              <w:t>|</w:t>
            </w:r>
            <w:r w:rsidRPr="00DA3714">
              <w:rPr>
                <w:rFonts w:hint="eastAsia"/>
                <w:b/>
                <w:bCs w:val="0"/>
                <w:color w:val="000000"/>
                <w:spacing w:val="3"/>
                <w:w w:val="23"/>
                <w:szCs w:val="20"/>
                <w:shd w:val="solid" w:color="000000" w:fill="000000"/>
                <w:fitText w:val="105" w:id="-893663224"/>
                <w14:textFill>
                  <w14:solidFill>
                    <w14:srgbClr w14:val="000000">
                      <w14:alpha w14:val="100000"/>
                    </w14:srgbClr>
                  </w14:solidFill>
                </w14:textFill>
              </w:rPr>
              <w:t xml:space="preserve">　</w:t>
            </w:r>
            <w:r w:rsidR="00F134DE" w:rsidRPr="00B71856">
              <w:rPr>
                <w:szCs w:val="20"/>
                <w:vertAlign w:val="superscript"/>
              </w:rPr>
              <w:t>6</w:t>
            </w:r>
          </w:p>
        </w:tc>
        <w:tc>
          <w:tcPr>
            <w:tcW w:w="611" w:type="pct"/>
            <w:shd w:val="clear" w:color="auto" w:fill="auto"/>
            <w:vAlign w:val="center"/>
          </w:tcPr>
          <w:p w14:paraId="3B5FA05D" w14:textId="54DA4554" w:rsidR="002D7804" w:rsidRPr="00D26D6C" w:rsidRDefault="00DA3714">
            <w:pPr>
              <w:pStyle w:val="TableText0"/>
              <w:jc w:val="center"/>
              <w:rPr>
                <w:b/>
                <w:bCs w:val="0"/>
                <w:highlight w:val="lightGray"/>
              </w:rPr>
            </w:pPr>
            <w:r w:rsidRPr="00DA3714">
              <w:rPr>
                <w:rFonts w:hint="eastAsia"/>
                <w:b/>
                <w:bCs w:val="0"/>
                <w:color w:val="000000"/>
                <w:w w:val="23"/>
                <w:szCs w:val="20"/>
                <w:shd w:val="solid" w:color="000000" w:fill="000000"/>
                <w:fitText w:val="105" w:id="-893663223"/>
                <w14:textFill>
                  <w14:solidFill>
                    <w14:srgbClr w14:val="000000">
                      <w14:alpha w14:val="100000"/>
                    </w14:srgbClr>
                  </w14:solidFill>
                </w14:textFill>
              </w:rPr>
              <w:t xml:space="preserve">　</w:t>
            </w:r>
            <w:r w:rsidRPr="00DA3714">
              <w:rPr>
                <w:b/>
                <w:bCs w:val="0"/>
                <w:color w:val="000000"/>
                <w:w w:val="23"/>
                <w:szCs w:val="20"/>
                <w:shd w:val="solid" w:color="000000" w:fill="000000"/>
                <w:fitText w:val="105" w:id="-893663223"/>
                <w14:textFill>
                  <w14:solidFill>
                    <w14:srgbClr w14:val="000000">
                      <w14:alpha w14:val="100000"/>
                    </w14:srgbClr>
                  </w14:solidFill>
                </w14:textFill>
              </w:rPr>
              <w:t>|</w:t>
            </w:r>
            <w:r w:rsidRPr="00DA3714">
              <w:rPr>
                <w:rFonts w:hint="eastAsia"/>
                <w:b/>
                <w:bCs w:val="0"/>
                <w:color w:val="000000"/>
                <w:spacing w:val="3"/>
                <w:w w:val="23"/>
                <w:szCs w:val="20"/>
                <w:shd w:val="solid" w:color="000000" w:fill="000000"/>
                <w:fitText w:val="105" w:id="-893663223"/>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auto"/>
            <w:vAlign w:val="center"/>
          </w:tcPr>
          <w:p w14:paraId="5E97D145" w14:textId="4CA2D2E8" w:rsidR="002D7804" w:rsidRPr="00D26D6C" w:rsidRDefault="00DA3714">
            <w:pPr>
              <w:pStyle w:val="TableText0"/>
              <w:jc w:val="center"/>
              <w:rPr>
                <w:b/>
                <w:bCs w:val="0"/>
                <w:highlight w:val="lightGray"/>
              </w:rPr>
            </w:pPr>
            <w:r w:rsidRPr="00DA3714">
              <w:rPr>
                <w:rFonts w:hint="eastAsia"/>
                <w:b/>
                <w:bCs w:val="0"/>
                <w:color w:val="000000"/>
                <w:w w:val="23"/>
                <w:szCs w:val="20"/>
                <w:shd w:val="solid" w:color="000000" w:fill="000000"/>
                <w:fitText w:val="105" w:id="-893663222"/>
                <w14:textFill>
                  <w14:solidFill>
                    <w14:srgbClr w14:val="000000">
                      <w14:alpha w14:val="100000"/>
                    </w14:srgbClr>
                  </w14:solidFill>
                </w14:textFill>
              </w:rPr>
              <w:t xml:space="preserve">　</w:t>
            </w:r>
            <w:r w:rsidRPr="00DA3714">
              <w:rPr>
                <w:b/>
                <w:bCs w:val="0"/>
                <w:color w:val="000000"/>
                <w:w w:val="23"/>
                <w:szCs w:val="20"/>
                <w:shd w:val="solid" w:color="000000" w:fill="000000"/>
                <w:fitText w:val="105" w:id="-893663222"/>
                <w14:textFill>
                  <w14:solidFill>
                    <w14:srgbClr w14:val="000000">
                      <w14:alpha w14:val="100000"/>
                    </w14:srgbClr>
                  </w14:solidFill>
                </w14:textFill>
              </w:rPr>
              <w:t>|</w:t>
            </w:r>
            <w:r w:rsidRPr="00DA3714">
              <w:rPr>
                <w:rFonts w:hint="eastAsia"/>
                <w:b/>
                <w:bCs w:val="0"/>
                <w:color w:val="000000"/>
                <w:spacing w:val="3"/>
                <w:w w:val="23"/>
                <w:szCs w:val="20"/>
                <w:shd w:val="solid" w:color="000000" w:fill="000000"/>
                <w:fitText w:val="105" w:id="-893663222"/>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vAlign w:val="center"/>
          </w:tcPr>
          <w:p w14:paraId="01443AD5" w14:textId="2DDE0855" w:rsidR="002D7804" w:rsidRPr="00D26D6C" w:rsidRDefault="00DA3714">
            <w:pPr>
              <w:pStyle w:val="TableText0"/>
              <w:jc w:val="center"/>
              <w:rPr>
                <w:b/>
                <w:bCs w:val="0"/>
                <w:highlight w:val="lightGray"/>
              </w:rPr>
            </w:pPr>
            <w:r w:rsidRPr="00DA3714">
              <w:rPr>
                <w:rFonts w:hint="eastAsia"/>
                <w:b/>
                <w:bCs w:val="0"/>
                <w:color w:val="000000"/>
                <w:w w:val="23"/>
                <w:szCs w:val="20"/>
                <w:shd w:val="solid" w:color="000000" w:fill="000000"/>
                <w:fitText w:val="105" w:id="-893663221"/>
                <w14:textFill>
                  <w14:solidFill>
                    <w14:srgbClr w14:val="000000">
                      <w14:alpha w14:val="100000"/>
                    </w14:srgbClr>
                  </w14:solidFill>
                </w14:textFill>
              </w:rPr>
              <w:t xml:space="preserve">　</w:t>
            </w:r>
            <w:r w:rsidRPr="00DA3714">
              <w:rPr>
                <w:b/>
                <w:bCs w:val="0"/>
                <w:color w:val="000000"/>
                <w:w w:val="23"/>
                <w:szCs w:val="20"/>
                <w:shd w:val="solid" w:color="000000" w:fill="000000"/>
                <w:fitText w:val="105" w:id="-893663221"/>
                <w14:textFill>
                  <w14:solidFill>
                    <w14:srgbClr w14:val="000000">
                      <w14:alpha w14:val="100000"/>
                    </w14:srgbClr>
                  </w14:solidFill>
                </w14:textFill>
              </w:rPr>
              <w:t>|</w:t>
            </w:r>
            <w:r w:rsidRPr="00DA3714">
              <w:rPr>
                <w:rFonts w:hint="eastAsia"/>
                <w:b/>
                <w:bCs w:val="0"/>
                <w:color w:val="000000"/>
                <w:spacing w:val="3"/>
                <w:w w:val="23"/>
                <w:szCs w:val="20"/>
                <w:shd w:val="solid" w:color="000000" w:fill="000000"/>
                <w:fitText w:val="105" w:id="-893663221"/>
                <w14:textFill>
                  <w14:solidFill>
                    <w14:srgbClr w14:val="000000">
                      <w14:alpha w14:val="100000"/>
                    </w14:srgbClr>
                  </w14:solidFill>
                </w14:textFill>
              </w:rPr>
              <w:t xml:space="preserve">　</w:t>
            </w:r>
            <w:r w:rsidR="00F134DE" w:rsidRPr="00B71856">
              <w:rPr>
                <w:b/>
                <w:bCs w:val="0"/>
                <w:szCs w:val="20"/>
                <w:vertAlign w:val="superscript"/>
              </w:rPr>
              <w:t>5</w:t>
            </w:r>
          </w:p>
        </w:tc>
      </w:tr>
      <w:tr w:rsidR="002D7804" w:rsidRPr="003639A6" w14:paraId="15B4113C" w14:textId="77777777">
        <w:tc>
          <w:tcPr>
            <w:tcW w:w="1334" w:type="pct"/>
            <w:shd w:val="clear" w:color="auto" w:fill="auto"/>
            <w:vAlign w:val="center"/>
          </w:tcPr>
          <w:p w14:paraId="3CA7F9D4" w14:textId="77777777" w:rsidR="002D7804" w:rsidRDefault="002D7804">
            <w:pPr>
              <w:pStyle w:val="TableText0"/>
              <w:rPr>
                <w:sz w:val="19"/>
                <w:szCs w:val="19"/>
              </w:rPr>
            </w:pPr>
            <w:r>
              <w:rPr>
                <w:sz w:val="19"/>
                <w:szCs w:val="19"/>
              </w:rPr>
              <w:t>Net cost to MBS</w:t>
            </w:r>
          </w:p>
        </w:tc>
        <w:tc>
          <w:tcPr>
            <w:tcW w:w="611" w:type="pct"/>
            <w:shd w:val="clear" w:color="auto" w:fill="auto"/>
            <w:vAlign w:val="center"/>
          </w:tcPr>
          <w:p w14:paraId="13280AE7" w14:textId="04E95F6B"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20"/>
                <w14:textFill>
                  <w14:solidFill>
                    <w14:srgbClr w14:val="000000">
                      <w14:alpha w14:val="100000"/>
                    </w14:srgbClr>
                  </w14:solidFill>
                </w14:textFill>
              </w:rPr>
              <w:t xml:space="preserve">　</w:t>
            </w:r>
            <w:r w:rsidRPr="00DA3714">
              <w:rPr>
                <w:color w:val="000000"/>
                <w:w w:val="15"/>
                <w:szCs w:val="20"/>
                <w:shd w:val="solid" w:color="000000" w:fill="000000"/>
                <w:fitText w:val="45" w:id="-893663220"/>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0"/>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023709A7" w14:textId="32263D83"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19"/>
                <w14:textFill>
                  <w14:solidFill>
                    <w14:srgbClr w14:val="000000">
                      <w14:alpha w14:val="100000"/>
                    </w14:srgbClr>
                  </w14:solidFill>
                </w14:textFill>
              </w:rPr>
              <w:t xml:space="preserve">　</w:t>
            </w:r>
            <w:r w:rsidRPr="00DA3714">
              <w:rPr>
                <w:color w:val="000000"/>
                <w:w w:val="15"/>
                <w:szCs w:val="20"/>
                <w:shd w:val="solid" w:color="000000" w:fill="000000"/>
                <w:fitText w:val="45" w:id="-893663219"/>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9"/>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1479F4F5" w14:textId="4FD7E8F9"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18"/>
                <w14:textFill>
                  <w14:solidFill>
                    <w14:srgbClr w14:val="000000">
                      <w14:alpha w14:val="100000"/>
                    </w14:srgbClr>
                  </w14:solidFill>
                </w14:textFill>
              </w:rPr>
              <w:t xml:space="preserve">　</w:t>
            </w:r>
            <w:r w:rsidRPr="00DA3714">
              <w:rPr>
                <w:color w:val="000000"/>
                <w:w w:val="15"/>
                <w:szCs w:val="20"/>
                <w:shd w:val="solid" w:color="000000" w:fill="000000"/>
                <w:fitText w:val="45" w:id="-893663218"/>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8"/>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25B711B5" w14:textId="70CB7B11"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17"/>
                <w14:textFill>
                  <w14:solidFill>
                    <w14:srgbClr w14:val="000000">
                      <w14:alpha w14:val="100000"/>
                    </w14:srgbClr>
                  </w14:solidFill>
                </w14:textFill>
              </w:rPr>
              <w:t xml:space="preserve">　</w:t>
            </w:r>
            <w:r w:rsidRPr="00DA3714">
              <w:rPr>
                <w:color w:val="000000"/>
                <w:w w:val="15"/>
                <w:szCs w:val="20"/>
                <w:shd w:val="solid" w:color="000000" w:fill="000000"/>
                <w:fitText w:val="45" w:id="-893663217"/>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7"/>
                <w14:textFill>
                  <w14:solidFill>
                    <w14:srgbClr w14:val="000000">
                      <w14:alpha w14:val="100000"/>
                    </w14:srgbClr>
                  </w14:solidFill>
                </w14:textFill>
              </w:rPr>
              <w:t xml:space="preserve">　</w:t>
            </w:r>
            <w:r w:rsidR="006105A9" w:rsidRPr="00B71856">
              <w:rPr>
                <w:vertAlign w:val="superscript"/>
              </w:rPr>
              <w:t>7</w:t>
            </w:r>
          </w:p>
        </w:tc>
        <w:tc>
          <w:tcPr>
            <w:tcW w:w="611" w:type="pct"/>
            <w:shd w:val="clear" w:color="auto" w:fill="auto"/>
            <w:vAlign w:val="center"/>
          </w:tcPr>
          <w:p w14:paraId="7B2F07CB" w14:textId="7124804F"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16"/>
                <w14:textFill>
                  <w14:solidFill>
                    <w14:srgbClr w14:val="000000">
                      <w14:alpha w14:val="100000"/>
                    </w14:srgbClr>
                  </w14:solidFill>
                </w14:textFill>
              </w:rPr>
              <w:t xml:space="preserve">　</w:t>
            </w:r>
            <w:r w:rsidRPr="00DA3714">
              <w:rPr>
                <w:color w:val="000000"/>
                <w:w w:val="15"/>
                <w:szCs w:val="20"/>
                <w:shd w:val="solid" w:color="000000" w:fill="000000"/>
                <w:fitText w:val="45" w:id="-893663216"/>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6"/>
                <w14:textFill>
                  <w14:solidFill>
                    <w14:srgbClr w14:val="000000">
                      <w14:alpha w14:val="100000"/>
                    </w14:srgbClr>
                  </w14:solidFill>
                </w14:textFill>
              </w:rPr>
              <w:t xml:space="preserve">　</w:t>
            </w:r>
            <w:r w:rsidR="006105A9" w:rsidRPr="00B71856">
              <w:rPr>
                <w:vertAlign w:val="superscript"/>
              </w:rPr>
              <w:t>7</w:t>
            </w:r>
          </w:p>
        </w:tc>
        <w:tc>
          <w:tcPr>
            <w:tcW w:w="611" w:type="pct"/>
            <w:vAlign w:val="center"/>
          </w:tcPr>
          <w:p w14:paraId="564AFC0B" w14:textId="320B4B66"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32"/>
                <w14:textFill>
                  <w14:solidFill>
                    <w14:srgbClr w14:val="000000">
                      <w14:alpha w14:val="100000"/>
                    </w14:srgbClr>
                  </w14:solidFill>
                </w14:textFill>
              </w:rPr>
              <w:t xml:space="preserve">　</w:t>
            </w:r>
            <w:r w:rsidRPr="00DA3714">
              <w:rPr>
                <w:color w:val="000000"/>
                <w:w w:val="15"/>
                <w:szCs w:val="20"/>
                <w:shd w:val="solid" w:color="000000" w:fill="000000"/>
                <w:fitText w:val="45" w:id="-893663232"/>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32"/>
                <w14:textFill>
                  <w14:solidFill>
                    <w14:srgbClr w14:val="000000">
                      <w14:alpha w14:val="100000"/>
                    </w14:srgbClr>
                  </w14:solidFill>
                </w14:textFill>
              </w:rPr>
              <w:t xml:space="preserve">　</w:t>
            </w:r>
            <w:r w:rsidR="006105A9" w:rsidRPr="00B71856">
              <w:rPr>
                <w:vertAlign w:val="superscript"/>
              </w:rPr>
              <w:t>7</w:t>
            </w:r>
          </w:p>
        </w:tc>
      </w:tr>
      <w:tr w:rsidR="002D7804" w:rsidRPr="003639A6" w14:paraId="3EEB00EF" w14:textId="77777777">
        <w:tc>
          <w:tcPr>
            <w:tcW w:w="1334" w:type="pct"/>
            <w:shd w:val="clear" w:color="auto" w:fill="auto"/>
            <w:vAlign w:val="center"/>
          </w:tcPr>
          <w:p w14:paraId="3AD9184A" w14:textId="77777777" w:rsidR="002D7804" w:rsidRPr="00322E96" w:rsidRDefault="002D7804">
            <w:pPr>
              <w:pStyle w:val="TableText0"/>
              <w:rPr>
                <w:i/>
                <w:sz w:val="19"/>
                <w:szCs w:val="19"/>
              </w:rPr>
            </w:pPr>
            <w:r>
              <w:rPr>
                <w:sz w:val="19"/>
                <w:szCs w:val="19"/>
              </w:rPr>
              <w:t>Net cost to PBS/RPBS/MBS</w:t>
            </w:r>
          </w:p>
        </w:tc>
        <w:tc>
          <w:tcPr>
            <w:tcW w:w="611" w:type="pct"/>
            <w:shd w:val="clear" w:color="auto" w:fill="auto"/>
            <w:vAlign w:val="center"/>
          </w:tcPr>
          <w:p w14:paraId="3585A042" w14:textId="64C86DCB"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31"/>
                <w14:textFill>
                  <w14:solidFill>
                    <w14:srgbClr w14:val="000000">
                      <w14:alpha w14:val="100000"/>
                    </w14:srgbClr>
                  </w14:solidFill>
                </w14:textFill>
              </w:rPr>
              <w:t xml:space="preserve">　</w:t>
            </w:r>
            <w:r w:rsidRPr="00DA3714">
              <w:rPr>
                <w:color w:val="000000"/>
                <w:w w:val="15"/>
                <w:szCs w:val="20"/>
                <w:shd w:val="solid" w:color="000000" w:fill="000000"/>
                <w:fitText w:val="45" w:id="-893663231"/>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31"/>
                <w14:textFill>
                  <w14:solidFill>
                    <w14:srgbClr w14:val="000000">
                      <w14:alpha w14:val="100000"/>
                    </w14:srgbClr>
                  </w14:solidFill>
                </w14:textFill>
              </w:rPr>
              <w:t xml:space="preserve">　</w:t>
            </w:r>
            <w:r w:rsidR="0032076D" w:rsidRPr="00B71856">
              <w:rPr>
                <w:szCs w:val="20"/>
                <w:vertAlign w:val="superscript"/>
              </w:rPr>
              <w:t>3</w:t>
            </w:r>
          </w:p>
        </w:tc>
        <w:tc>
          <w:tcPr>
            <w:tcW w:w="611" w:type="pct"/>
            <w:shd w:val="clear" w:color="auto" w:fill="auto"/>
            <w:vAlign w:val="center"/>
          </w:tcPr>
          <w:p w14:paraId="6261C17E" w14:textId="5070670F"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30"/>
                <w14:textFill>
                  <w14:solidFill>
                    <w14:srgbClr w14:val="000000">
                      <w14:alpha w14:val="100000"/>
                    </w14:srgbClr>
                  </w14:solidFill>
                </w14:textFill>
              </w:rPr>
              <w:t xml:space="preserve">　</w:t>
            </w:r>
            <w:r w:rsidRPr="00DA3714">
              <w:rPr>
                <w:color w:val="000000"/>
                <w:w w:val="15"/>
                <w:szCs w:val="20"/>
                <w:shd w:val="solid" w:color="000000" w:fill="000000"/>
                <w:fitText w:val="45" w:id="-893663230"/>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30"/>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auto"/>
            <w:vAlign w:val="center"/>
          </w:tcPr>
          <w:p w14:paraId="5B48DD7B" w14:textId="747B8773"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29"/>
                <w14:textFill>
                  <w14:solidFill>
                    <w14:srgbClr w14:val="000000">
                      <w14:alpha w14:val="100000"/>
                    </w14:srgbClr>
                  </w14:solidFill>
                </w14:textFill>
              </w:rPr>
              <w:t xml:space="preserve">　</w:t>
            </w:r>
            <w:r w:rsidRPr="00DA3714">
              <w:rPr>
                <w:color w:val="000000"/>
                <w:w w:val="15"/>
                <w:szCs w:val="20"/>
                <w:shd w:val="solid" w:color="000000" w:fill="000000"/>
                <w:fitText w:val="45" w:id="-893663229"/>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9"/>
                <w14:textFill>
                  <w14:solidFill>
                    <w14:srgbClr w14:val="000000">
                      <w14:alpha w14:val="100000"/>
                    </w14:srgbClr>
                  </w14:solidFill>
                </w14:textFill>
              </w:rPr>
              <w:t xml:space="preserve">　</w:t>
            </w:r>
            <w:r w:rsidR="00F134DE" w:rsidRPr="00B71856">
              <w:rPr>
                <w:szCs w:val="20"/>
                <w:vertAlign w:val="superscript"/>
              </w:rPr>
              <w:t>6</w:t>
            </w:r>
          </w:p>
        </w:tc>
        <w:tc>
          <w:tcPr>
            <w:tcW w:w="611" w:type="pct"/>
            <w:shd w:val="clear" w:color="auto" w:fill="auto"/>
            <w:vAlign w:val="center"/>
          </w:tcPr>
          <w:p w14:paraId="1565A84E" w14:textId="77397A87"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28"/>
                <w14:textFill>
                  <w14:solidFill>
                    <w14:srgbClr w14:val="000000">
                      <w14:alpha w14:val="100000"/>
                    </w14:srgbClr>
                  </w14:solidFill>
                </w14:textFill>
              </w:rPr>
              <w:t xml:space="preserve">　</w:t>
            </w:r>
            <w:r w:rsidRPr="00DA3714">
              <w:rPr>
                <w:color w:val="000000"/>
                <w:w w:val="15"/>
                <w:szCs w:val="20"/>
                <w:shd w:val="solid" w:color="000000" w:fill="000000"/>
                <w:fitText w:val="45" w:id="-893663228"/>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8"/>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auto"/>
            <w:vAlign w:val="center"/>
          </w:tcPr>
          <w:p w14:paraId="77F66C09" w14:textId="31219464"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27"/>
                <w14:textFill>
                  <w14:solidFill>
                    <w14:srgbClr w14:val="000000">
                      <w14:alpha w14:val="100000"/>
                    </w14:srgbClr>
                  </w14:solidFill>
                </w14:textFill>
              </w:rPr>
              <w:t xml:space="preserve">　</w:t>
            </w:r>
            <w:r w:rsidRPr="00DA3714">
              <w:rPr>
                <w:color w:val="000000"/>
                <w:w w:val="15"/>
                <w:szCs w:val="20"/>
                <w:shd w:val="solid" w:color="000000" w:fill="000000"/>
                <w:fitText w:val="45" w:id="-893663227"/>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7"/>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vAlign w:val="center"/>
          </w:tcPr>
          <w:p w14:paraId="439B7BD9" w14:textId="419F0532" w:rsidR="002D7804" w:rsidRPr="00D26D6C" w:rsidRDefault="00DA3714">
            <w:pPr>
              <w:pStyle w:val="TableText0"/>
              <w:jc w:val="center"/>
              <w:rPr>
                <w:szCs w:val="20"/>
                <w:highlight w:val="lightGray"/>
              </w:rPr>
            </w:pPr>
            <w:r w:rsidRPr="00DA3714">
              <w:rPr>
                <w:rFonts w:hint="eastAsia"/>
                <w:color w:val="000000"/>
                <w:w w:val="15"/>
                <w:szCs w:val="20"/>
                <w:shd w:val="solid" w:color="000000" w:fill="000000"/>
                <w:fitText w:val="45" w:id="-893663226"/>
                <w14:textFill>
                  <w14:solidFill>
                    <w14:srgbClr w14:val="000000">
                      <w14:alpha w14:val="100000"/>
                    </w14:srgbClr>
                  </w14:solidFill>
                </w14:textFill>
              </w:rPr>
              <w:t xml:space="preserve">　</w:t>
            </w:r>
            <w:r w:rsidRPr="00DA3714">
              <w:rPr>
                <w:color w:val="000000"/>
                <w:w w:val="15"/>
                <w:szCs w:val="20"/>
                <w:shd w:val="solid" w:color="000000" w:fill="000000"/>
                <w:fitText w:val="45" w:id="-893663226"/>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6"/>
                <w14:textFill>
                  <w14:solidFill>
                    <w14:srgbClr w14:val="000000">
                      <w14:alpha w14:val="100000"/>
                    </w14:srgbClr>
                  </w14:solidFill>
                </w14:textFill>
              </w:rPr>
              <w:t xml:space="preserve">　</w:t>
            </w:r>
            <w:r w:rsidR="00F134DE" w:rsidRPr="00B71856">
              <w:rPr>
                <w:b/>
                <w:bCs w:val="0"/>
                <w:szCs w:val="20"/>
                <w:vertAlign w:val="superscript"/>
              </w:rPr>
              <w:t>5</w:t>
            </w:r>
          </w:p>
        </w:tc>
      </w:tr>
      <w:tr w:rsidR="002D7804" w:rsidRPr="003639A6" w14:paraId="530D0F57" w14:textId="77777777">
        <w:tc>
          <w:tcPr>
            <w:tcW w:w="5000" w:type="pct"/>
            <w:gridSpan w:val="7"/>
            <w:shd w:val="clear" w:color="auto" w:fill="B8CCE4" w:themeFill="accent1" w:themeFillTint="66"/>
            <w:vAlign w:val="center"/>
          </w:tcPr>
          <w:p w14:paraId="4A7058D7" w14:textId="77777777" w:rsidR="002D7804" w:rsidRPr="000902D9" w:rsidRDefault="002D7804">
            <w:pPr>
              <w:pStyle w:val="In-tableHeading"/>
            </w:pPr>
            <w:r>
              <w:t>Previous submission: July 2023</w:t>
            </w:r>
          </w:p>
        </w:tc>
      </w:tr>
      <w:tr w:rsidR="00F87CDC" w:rsidRPr="003639A6" w14:paraId="33E956EF" w14:textId="77777777">
        <w:tc>
          <w:tcPr>
            <w:tcW w:w="1334" w:type="pct"/>
            <w:shd w:val="clear" w:color="auto" w:fill="B8CCE4" w:themeFill="accent1" w:themeFillTint="66"/>
            <w:vAlign w:val="center"/>
          </w:tcPr>
          <w:p w14:paraId="693FB7FA" w14:textId="20FF9D74" w:rsidR="00F87CDC" w:rsidRPr="00671377" w:rsidRDefault="00F87CDC">
            <w:pPr>
              <w:pStyle w:val="TableText0"/>
              <w:rPr>
                <w:szCs w:val="20"/>
              </w:rPr>
            </w:pPr>
            <w:r w:rsidRPr="00671377">
              <w:rPr>
                <w:szCs w:val="20"/>
              </w:rPr>
              <w:t xml:space="preserve">Number of </w:t>
            </w:r>
            <w:r w:rsidR="00494215">
              <w:rPr>
                <w:szCs w:val="20"/>
              </w:rPr>
              <w:t>patients treated</w:t>
            </w:r>
          </w:p>
        </w:tc>
        <w:tc>
          <w:tcPr>
            <w:tcW w:w="611" w:type="pct"/>
            <w:shd w:val="clear" w:color="auto" w:fill="B8CCE4" w:themeFill="accent1" w:themeFillTint="66"/>
            <w:vAlign w:val="center"/>
          </w:tcPr>
          <w:p w14:paraId="4C81E86E" w14:textId="25CF41B1"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25"/>
                <w14:textFill>
                  <w14:solidFill>
                    <w14:srgbClr w14:val="000000">
                      <w14:alpha w14:val="100000"/>
                    </w14:srgbClr>
                  </w14:solidFill>
                </w14:textFill>
              </w:rPr>
              <w:t xml:space="preserve">　</w:t>
            </w:r>
            <w:r w:rsidRPr="00DA3714">
              <w:rPr>
                <w:color w:val="000000"/>
                <w:w w:val="15"/>
                <w:szCs w:val="20"/>
                <w:shd w:val="solid" w:color="000000" w:fill="000000"/>
                <w:fitText w:val="45" w:id="-893663225"/>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5"/>
                <w14:textFill>
                  <w14:solidFill>
                    <w14:srgbClr w14:val="000000">
                      <w14:alpha w14:val="100000"/>
                    </w14:srgbClr>
                  </w14:solidFill>
                </w14:textFill>
              </w:rPr>
              <w:t xml:space="preserve">　</w:t>
            </w:r>
            <w:r w:rsidR="005E197A" w:rsidRPr="00B71856">
              <w:rPr>
                <w:bCs w:val="0"/>
                <w:vertAlign w:val="superscript"/>
              </w:rPr>
              <w:t>1</w:t>
            </w:r>
          </w:p>
        </w:tc>
        <w:tc>
          <w:tcPr>
            <w:tcW w:w="611" w:type="pct"/>
            <w:shd w:val="clear" w:color="auto" w:fill="B8CCE4" w:themeFill="accent1" w:themeFillTint="66"/>
            <w:vAlign w:val="center"/>
          </w:tcPr>
          <w:p w14:paraId="2EBEB268" w14:textId="2A9435E6"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24"/>
                <w14:textFill>
                  <w14:solidFill>
                    <w14:srgbClr w14:val="000000">
                      <w14:alpha w14:val="100000"/>
                    </w14:srgbClr>
                  </w14:solidFill>
                </w14:textFill>
              </w:rPr>
              <w:t xml:space="preserve">　</w:t>
            </w:r>
            <w:r w:rsidRPr="00DA3714">
              <w:rPr>
                <w:color w:val="000000"/>
                <w:w w:val="15"/>
                <w:szCs w:val="20"/>
                <w:shd w:val="solid" w:color="000000" w:fill="000000"/>
                <w:fitText w:val="45" w:id="-893663224"/>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4"/>
                <w14:textFill>
                  <w14:solidFill>
                    <w14:srgbClr w14:val="000000">
                      <w14:alpha w14:val="100000"/>
                    </w14:srgbClr>
                  </w14:solidFill>
                </w14:textFill>
              </w:rPr>
              <w:t xml:space="preserve">　</w:t>
            </w:r>
            <w:r w:rsidR="005E197A" w:rsidRPr="00B71856">
              <w:rPr>
                <w:bCs w:val="0"/>
                <w:vertAlign w:val="superscript"/>
              </w:rPr>
              <w:t>1</w:t>
            </w:r>
          </w:p>
        </w:tc>
        <w:tc>
          <w:tcPr>
            <w:tcW w:w="611" w:type="pct"/>
            <w:shd w:val="clear" w:color="auto" w:fill="B8CCE4" w:themeFill="accent1" w:themeFillTint="66"/>
            <w:vAlign w:val="center"/>
          </w:tcPr>
          <w:p w14:paraId="64CF0F94" w14:textId="2690A18B"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23"/>
                <w14:textFill>
                  <w14:solidFill>
                    <w14:srgbClr w14:val="000000">
                      <w14:alpha w14:val="100000"/>
                    </w14:srgbClr>
                  </w14:solidFill>
                </w14:textFill>
              </w:rPr>
              <w:t xml:space="preserve">　</w:t>
            </w:r>
            <w:r w:rsidRPr="00DA3714">
              <w:rPr>
                <w:color w:val="000000"/>
                <w:w w:val="15"/>
                <w:szCs w:val="20"/>
                <w:shd w:val="solid" w:color="000000" w:fill="000000"/>
                <w:fitText w:val="45" w:id="-893663223"/>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3"/>
                <w14:textFill>
                  <w14:solidFill>
                    <w14:srgbClr w14:val="000000">
                      <w14:alpha w14:val="100000"/>
                    </w14:srgbClr>
                  </w14:solidFill>
                </w14:textFill>
              </w:rPr>
              <w:t xml:space="preserve">　</w:t>
            </w:r>
            <w:r w:rsidR="005E197A" w:rsidRPr="00B71856">
              <w:rPr>
                <w:bCs w:val="0"/>
                <w:vertAlign w:val="superscript"/>
              </w:rPr>
              <w:t>1</w:t>
            </w:r>
          </w:p>
        </w:tc>
        <w:tc>
          <w:tcPr>
            <w:tcW w:w="611" w:type="pct"/>
            <w:shd w:val="clear" w:color="auto" w:fill="B8CCE4" w:themeFill="accent1" w:themeFillTint="66"/>
            <w:vAlign w:val="center"/>
          </w:tcPr>
          <w:p w14:paraId="76958BC3" w14:textId="472D0887"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22"/>
                <w14:textFill>
                  <w14:solidFill>
                    <w14:srgbClr w14:val="000000">
                      <w14:alpha w14:val="100000"/>
                    </w14:srgbClr>
                  </w14:solidFill>
                </w14:textFill>
              </w:rPr>
              <w:t xml:space="preserve">　</w:t>
            </w:r>
            <w:r w:rsidRPr="00DA3714">
              <w:rPr>
                <w:color w:val="000000"/>
                <w:w w:val="15"/>
                <w:szCs w:val="20"/>
                <w:shd w:val="solid" w:color="000000" w:fill="000000"/>
                <w:fitText w:val="45" w:id="-893663222"/>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2"/>
                <w14:textFill>
                  <w14:solidFill>
                    <w14:srgbClr w14:val="000000">
                      <w14:alpha w14:val="100000"/>
                    </w14:srgbClr>
                  </w14:solidFill>
                </w14:textFill>
              </w:rPr>
              <w:t xml:space="preserve">　</w:t>
            </w:r>
            <w:r w:rsidR="005E197A" w:rsidRPr="00B71856">
              <w:rPr>
                <w:bCs w:val="0"/>
                <w:vertAlign w:val="superscript"/>
              </w:rPr>
              <w:t>1</w:t>
            </w:r>
          </w:p>
        </w:tc>
        <w:tc>
          <w:tcPr>
            <w:tcW w:w="611" w:type="pct"/>
            <w:shd w:val="clear" w:color="auto" w:fill="B8CCE4" w:themeFill="accent1" w:themeFillTint="66"/>
            <w:vAlign w:val="center"/>
          </w:tcPr>
          <w:p w14:paraId="621FA05D" w14:textId="2580D1E9"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21"/>
                <w14:textFill>
                  <w14:solidFill>
                    <w14:srgbClr w14:val="000000">
                      <w14:alpha w14:val="100000"/>
                    </w14:srgbClr>
                  </w14:solidFill>
                </w14:textFill>
              </w:rPr>
              <w:t xml:space="preserve">　</w:t>
            </w:r>
            <w:r w:rsidRPr="00DA3714">
              <w:rPr>
                <w:color w:val="000000"/>
                <w:w w:val="15"/>
                <w:szCs w:val="20"/>
                <w:shd w:val="solid" w:color="000000" w:fill="000000"/>
                <w:fitText w:val="45" w:id="-893663221"/>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1"/>
                <w14:textFill>
                  <w14:solidFill>
                    <w14:srgbClr w14:val="000000">
                      <w14:alpha w14:val="100000"/>
                    </w14:srgbClr>
                  </w14:solidFill>
                </w14:textFill>
              </w:rPr>
              <w:t xml:space="preserve">　</w:t>
            </w:r>
            <w:r w:rsidR="005E197A" w:rsidRPr="00B71856">
              <w:rPr>
                <w:bCs w:val="0"/>
                <w:vertAlign w:val="superscript"/>
              </w:rPr>
              <w:t>1</w:t>
            </w:r>
          </w:p>
        </w:tc>
        <w:tc>
          <w:tcPr>
            <w:tcW w:w="611" w:type="pct"/>
            <w:shd w:val="clear" w:color="auto" w:fill="B8CCE4" w:themeFill="accent1" w:themeFillTint="66"/>
            <w:vAlign w:val="center"/>
          </w:tcPr>
          <w:p w14:paraId="7257F89B" w14:textId="1EA3BDCB"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20"/>
                <w14:textFill>
                  <w14:solidFill>
                    <w14:srgbClr w14:val="000000">
                      <w14:alpha w14:val="100000"/>
                    </w14:srgbClr>
                  </w14:solidFill>
                </w14:textFill>
              </w:rPr>
              <w:t xml:space="preserve">　</w:t>
            </w:r>
            <w:r w:rsidRPr="00DA3714">
              <w:rPr>
                <w:color w:val="000000"/>
                <w:w w:val="15"/>
                <w:szCs w:val="20"/>
                <w:shd w:val="solid" w:color="000000" w:fill="000000"/>
                <w:fitText w:val="45" w:id="-893663220"/>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20"/>
                <w14:textFill>
                  <w14:solidFill>
                    <w14:srgbClr w14:val="000000">
                      <w14:alpha w14:val="100000"/>
                    </w14:srgbClr>
                  </w14:solidFill>
                </w14:textFill>
              </w:rPr>
              <w:t xml:space="preserve">　</w:t>
            </w:r>
            <w:r w:rsidR="005E197A" w:rsidRPr="00B71856">
              <w:rPr>
                <w:bCs w:val="0"/>
                <w:vertAlign w:val="superscript"/>
              </w:rPr>
              <w:t>1</w:t>
            </w:r>
          </w:p>
        </w:tc>
      </w:tr>
      <w:tr w:rsidR="00F87CDC" w:rsidRPr="003639A6" w14:paraId="47DFF5FA" w14:textId="77777777">
        <w:tc>
          <w:tcPr>
            <w:tcW w:w="1334" w:type="pct"/>
            <w:shd w:val="clear" w:color="auto" w:fill="B8CCE4" w:themeFill="accent1" w:themeFillTint="66"/>
            <w:vAlign w:val="center"/>
          </w:tcPr>
          <w:p w14:paraId="395C5F28" w14:textId="24AE597C" w:rsidR="00F87CDC" w:rsidRPr="00671377" w:rsidRDefault="00ED5F20">
            <w:pPr>
              <w:pStyle w:val="TableText0"/>
              <w:rPr>
                <w:szCs w:val="20"/>
              </w:rPr>
            </w:pPr>
            <w:r w:rsidRPr="00671377">
              <w:rPr>
                <w:szCs w:val="20"/>
              </w:rPr>
              <w:t>Number of scripts dispensed</w:t>
            </w:r>
          </w:p>
        </w:tc>
        <w:tc>
          <w:tcPr>
            <w:tcW w:w="611" w:type="pct"/>
            <w:shd w:val="clear" w:color="auto" w:fill="B8CCE4" w:themeFill="accent1" w:themeFillTint="66"/>
            <w:vAlign w:val="center"/>
          </w:tcPr>
          <w:p w14:paraId="27BB63D7" w14:textId="4B8BBCDE"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19"/>
                <w14:textFill>
                  <w14:solidFill>
                    <w14:srgbClr w14:val="000000">
                      <w14:alpha w14:val="100000"/>
                    </w14:srgbClr>
                  </w14:solidFill>
                </w14:textFill>
              </w:rPr>
              <w:t xml:space="preserve">　</w:t>
            </w:r>
            <w:r w:rsidRPr="00DA3714">
              <w:rPr>
                <w:color w:val="000000"/>
                <w:w w:val="15"/>
                <w:szCs w:val="20"/>
                <w:shd w:val="solid" w:color="000000" w:fill="000000"/>
                <w:fitText w:val="45" w:id="-893663219"/>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9"/>
                <w14:textFill>
                  <w14:solidFill>
                    <w14:srgbClr w14:val="000000">
                      <w14:alpha w14:val="100000"/>
                    </w14:srgbClr>
                  </w14:solidFill>
                </w14:textFill>
              </w:rPr>
              <w:t xml:space="preserve">　</w:t>
            </w:r>
            <w:r w:rsidR="005E197A" w:rsidRPr="00D26D6C">
              <w:rPr>
                <w:color w:val="000000"/>
                <w:szCs w:val="20"/>
                <w:vertAlign w:val="superscript"/>
              </w:rPr>
              <w:t>2</w:t>
            </w:r>
          </w:p>
        </w:tc>
        <w:tc>
          <w:tcPr>
            <w:tcW w:w="611" w:type="pct"/>
            <w:shd w:val="clear" w:color="auto" w:fill="B8CCE4" w:themeFill="accent1" w:themeFillTint="66"/>
            <w:vAlign w:val="center"/>
          </w:tcPr>
          <w:p w14:paraId="5AF1EE92" w14:textId="274C9BA9"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18"/>
                <w14:textFill>
                  <w14:solidFill>
                    <w14:srgbClr w14:val="000000">
                      <w14:alpha w14:val="100000"/>
                    </w14:srgbClr>
                  </w14:solidFill>
                </w14:textFill>
              </w:rPr>
              <w:t xml:space="preserve">　</w:t>
            </w:r>
            <w:r w:rsidRPr="00DA3714">
              <w:rPr>
                <w:color w:val="000000"/>
                <w:w w:val="15"/>
                <w:szCs w:val="20"/>
                <w:shd w:val="solid" w:color="000000" w:fill="000000"/>
                <w:fitText w:val="45" w:id="-893663218"/>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8"/>
                <w14:textFill>
                  <w14:solidFill>
                    <w14:srgbClr w14:val="000000">
                      <w14:alpha w14:val="100000"/>
                    </w14:srgbClr>
                  </w14:solidFill>
                </w14:textFill>
              </w:rPr>
              <w:t xml:space="preserve">　</w:t>
            </w:r>
            <w:r w:rsidR="005E197A" w:rsidRPr="00D26D6C">
              <w:rPr>
                <w:color w:val="000000"/>
                <w:szCs w:val="20"/>
                <w:vertAlign w:val="superscript"/>
              </w:rPr>
              <w:t>3</w:t>
            </w:r>
          </w:p>
        </w:tc>
        <w:tc>
          <w:tcPr>
            <w:tcW w:w="611" w:type="pct"/>
            <w:shd w:val="clear" w:color="auto" w:fill="B8CCE4" w:themeFill="accent1" w:themeFillTint="66"/>
            <w:vAlign w:val="center"/>
          </w:tcPr>
          <w:p w14:paraId="0E5A2B1D" w14:textId="3D1B3FDB"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17"/>
                <w14:textFill>
                  <w14:solidFill>
                    <w14:srgbClr w14:val="000000">
                      <w14:alpha w14:val="100000"/>
                    </w14:srgbClr>
                  </w14:solidFill>
                </w14:textFill>
              </w:rPr>
              <w:t xml:space="preserve">　</w:t>
            </w:r>
            <w:r w:rsidRPr="00DA3714">
              <w:rPr>
                <w:color w:val="000000"/>
                <w:w w:val="15"/>
                <w:szCs w:val="20"/>
                <w:shd w:val="solid" w:color="000000" w:fill="000000"/>
                <w:fitText w:val="45" w:id="-893663217"/>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7"/>
                <w14:textFill>
                  <w14:solidFill>
                    <w14:srgbClr w14:val="000000">
                      <w14:alpha w14:val="100000"/>
                    </w14:srgbClr>
                  </w14:solidFill>
                </w14:textFill>
              </w:rPr>
              <w:t xml:space="preserve">　</w:t>
            </w:r>
            <w:r w:rsidR="005E197A" w:rsidRPr="00B71856">
              <w:rPr>
                <w:color w:val="000000"/>
                <w:szCs w:val="20"/>
                <w:vertAlign w:val="superscript"/>
              </w:rPr>
              <w:t>3</w:t>
            </w:r>
          </w:p>
        </w:tc>
        <w:tc>
          <w:tcPr>
            <w:tcW w:w="611" w:type="pct"/>
            <w:shd w:val="clear" w:color="auto" w:fill="B8CCE4" w:themeFill="accent1" w:themeFillTint="66"/>
            <w:vAlign w:val="center"/>
          </w:tcPr>
          <w:p w14:paraId="3434A35F" w14:textId="163BCBEC"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16"/>
                <w14:textFill>
                  <w14:solidFill>
                    <w14:srgbClr w14:val="000000">
                      <w14:alpha w14:val="100000"/>
                    </w14:srgbClr>
                  </w14:solidFill>
                </w14:textFill>
              </w:rPr>
              <w:t xml:space="preserve">　</w:t>
            </w:r>
            <w:r w:rsidRPr="00DA3714">
              <w:rPr>
                <w:color w:val="000000"/>
                <w:w w:val="15"/>
                <w:szCs w:val="20"/>
                <w:shd w:val="solid" w:color="000000" w:fill="000000"/>
                <w:fitText w:val="45" w:id="-893663216"/>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16"/>
                <w14:textFill>
                  <w14:solidFill>
                    <w14:srgbClr w14:val="000000">
                      <w14:alpha w14:val="100000"/>
                    </w14:srgbClr>
                  </w14:solidFill>
                </w14:textFill>
              </w:rPr>
              <w:t xml:space="preserve">　</w:t>
            </w:r>
            <w:r w:rsidR="005E197A" w:rsidRPr="00B71856">
              <w:rPr>
                <w:color w:val="000000"/>
                <w:szCs w:val="20"/>
                <w:vertAlign w:val="superscript"/>
              </w:rPr>
              <w:t>2</w:t>
            </w:r>
          </w:p>
        </w:tc>
        <w:tc>
          <w:tcPr>
            <w:tcW w:w="611" w:type="pct"/>
            <w:shd w:val="clear" w:color="auto" w:fill="B8CCE4" w:themeFill="accent1" w:themeFillTint="66"/>
            <w:vAlign w:val="center"/>
          </w:tcPr>
          <w:p w14:paraId="626C30F3" w14:textId="6F5D66FD"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32"/>
                <w14:textFill>
                  <w14:solidFill>
                    <w14:srgbClr w14:val="000000">
                      <w14:alpha w14:val="100000"/>
                    </w14:srgbClr>
                  </w14:solidFill>
                </w14:textFill>
              </w:rPr>
              <w:t xml:space="preserve">　</w:t>
            </w:r>
            <w:r w:rsidRPr="00DA3714">
              <w:rPr>
                <w:color w:val="000000"/>
                <w:w w:val="15"/>
                <w:szCs w:val="20"/>
                <w:shd w:val="solid" w:color="000000" w:fill="000000"/>
                <w:fitText w:val="45" w:id="-893663232"/>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32"/>
                <w14:textFill>
                  <w14:solidFill>
                    <w14:srgbClr w14:val="000000">
                      <w14:alpha w14:val="100000"/>
                    </w14:srgbClr>
                  </w14:solidFill>
                </w14:textFill>
              </w:rPr>
              <w:t xml:space="preserve">　</w:t>
            </w:r>
            <w:r w:rsidR="005E197A" w:rsidRPr="00B71856">
              <w:rPr>
                <w:color w:val="000000"/>
                <w:szCs w:val="20"/>
                <w:vertAlign w:val="superscript"/>
              </w:rPr>
              <w:t>2</w:t>
            </w:r>
          </w:p>
        </w:tc>
        <w:tc>
          <w:tcPr>
            <w:tcW w:w="611" w:type="pct"/>
            <w:shd w:val="clear" w:color="auto" w:fill="B8CCE4" w:themeFill="accent1" w:themeFillTint="66"/>
            <w:vAlign w:val="center"/>
          </w:tcPr>
          <w:p w14:paraId="6B9ED861" w14:textId="20F04A9D" w:rsidR="00F87CDC" w:rsidRPr="00D26D6C" w:rsidRDefault="00DA3714">
            <w:pPr>
              <w:pStyle w:val="TableText0"/>
              <w:jc w:val="center"/>
              <w:rPr>
                <w:color w:val="000000"/>
                <w:szCs w:val="20"/>
                <w:highlight w:val="lightGray"/>
              </w:rPr>
            </w:pPr>
            <w:r w:rsidRPr="00DA3714">
              <w:rPr>
                <w:rFonts w:hint="eastAsia"/>
                <w:color w:val="000000"/>
                <w:w w:val="15"/>
                <w:szCs w:val="20"/>
                <w:shd w:val="solid" w:color="000000" w:fill="000000"/>
                <w:fitText w:val="45" w:id="-893663231"/>
                <w14:textFill>
                  <w14:solidFill>
                    <w14:srgbClr w14:val="000000">
                      <w14:alpha w14:val="100000"/>
                    </w14:srgbClr>
                  </w14:solidFill>
                </w14:textFill>
              </w:rPr>
              <w:t xml:space="preserve">　</w:t>
            </w:r>
            <w:r w:rsidRPr="00DA3714">
              <w:rPr>
                <w:color w:val="000000"/>
                <w:w w:val="15"/>
                <w:szCs w:val="20"/>
                <w:shd w:val="solid" w:color="000000" w:fill="000000"/>
                <w:fitText w:val="45" w:id="-893663231"/>
                <w14:textFill>
                  <w14:solidFill>
                    <w14:srgbClr w14:val="000000">
                      <w14:alpha w14:val="100000"/>
                    </w14:srgbClr>
                  </w14:solidFill>
                </w14:textFill>
              </w:rPr>
              <w:t>|</w:t>
            </w:r>
            <w:r w:rsidRPr="00DA3714">
              <w:rPr>
                <w:rFonts w:hint="eastAsia"/>
                <w:color w:val="000000"/>
                <w:spacing w:val="-20"/>
                <w:w w:val="15"/>
                <w:szCs w:val="20"/>
                <w:shd w:val="solid" w:color="000000" w:fill="000000"/>
                <w:fitText w:val="45" w:id="-893663231"/>
                <w14:textFill>
                  <w14:solidFill>
                    <w14:srgbClr w14:val="000000">
                      <w14:alpha w14:val="100000"/>
                    </w14:srgbClr>
                  </w14:solidFill>
                </w14:textFill>
              </w:rPr>
              <w:t xml:space="preserve">　</w:t>
            </w:r>
            <w:r w:rsidR="005E197A" w:rsidRPr="00B71856">
              <w:rPr>
                <w:color w:val="000000"/>
                <w:szCs w:val="20"/>
                <w:vertAlign w:val="superscript"/>
              </w:rPr>
              <w:t>2</w:t>
            </w:r>
          </w:p>
        </w:tc>
      </w:tr>
      <w:tr w:rsidR="002D7804" w:rsidRPr="003639A6" w14:paraId="2371AAD9" w14:textId="77777777">
        <w:tc>
          <w:tcPr>
            <w:tcW w:w="1334" w:type="pct"/>
            <w:shd w:val="clear" w:color="auto" w:fill="B8CCE4" w:themeFill="accent1" w:themeFillTint="66"/>
            <w:vAlign w:val="center"/>
          </w:tcPr>
          <w:p w14:paraId="37125146" w14:textId="77777777" w:rsidR="002D7804" w:rsidRDefault="002D7804">
            <w:pPr>
              <w:pStyle w:val="TableText0"/>
              <w:rPr>
                <w:sz w:val="19"/>
                <w:szCs w:val="19"/>
              </w:rPr>
            </w:pPr>
            <w:r>
              <w:rPr>
                <w:sz w:val="19"/>
                <w:szCs w:val="19"/>
              </w:rPr>
              <w:t>Net cost to PBS/RPBS</w:t>
            </w:r>
          </w:p>
        </w:tc>
        <w:tc>
          <w:tcPr>
            <w:tcW w:w="611" w:type="pct"/>
            <w:shd w:val="clear" w:color="auto" w:fill="B8CCE4" w:themeFill="accent1" w:themeFillTint="66"/>
            <w:vAlign w:val="center"/>
          </w:tcPr>
          <w:p w14:paraId="54C4CE02" w14:textId="2AEE63C6" w:rsidR="002D7804" w:rsidRPr="00D26D6C" w:rsidRDefault="00DA3714">
            <w:pPr>
              <w:pStyle w:val="TableText0"/>
              <w:jc w:val="center"/>
              <w:rPr>
                <w:highlight w:val="lightGray"/>
              </w:rPr>
            </w:pPr>
            <w:r w:rsidRPr="00DA3714">
              <w:rPr>
                <w:rFonts w:hint="eastAsia"/>
                <w:color w:val="000000"/>
                <w:w w:val="15"/>
                <w:shd w:val="solid" w:color="000000" w:fill="000000"/>
                <w:fitText w:val="45" w:id="-893663230"/>
                <w14:textFill>
                  <w14:solidFill>
                    <w14:srgbClr w14:val="000000">
                      <w14:alpha w14:val="100000"/>
                    </w14:srgbClr>
                  </w14:solidFill>
                </w14:textFill>
              </w:rPr>
              <w:t xml:space="preserve">　</w:t>
            </w:r>
            <w:r w:rsidRPr="00DA3714">
              <w:rPr>
                <w:color w:val="000000"/>
                <w:w w:val="15"/>
                <w:shd w:val="solid" w:color="000000" w:fill="000000"/>
                <w:fitText w:val="45" w:id="-893663230"/>
                <w14:textFill>
                  <w14:solidFill>
                    <w14:srgbClr w14:val="000000">
                      <w14:alpha w14:val="100000"/>
                    </w14:srgbClr>
                  </w14:solidFill>
                </w14:textFill>
              </w:rPr>
              <w:t>|</w:t>
            </w:r>
            <w:r w:rsidRPr="00DA3714">
              <w:rPr>
                <w:rFonts w:hint="eastAsia"/>
                <w:color w:val="000000"/>
                <w:spacing w:val="-20"/>
                <w:w w:val="15"/>
                <w:shd w:val="solid" w:color="000000" w:fill="000000"/>
                <w:fitText w:val="45" w:id="-893663230"/>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B8CCE4" w:themeFill="accent1" w:themeFillTint="66"/>
            <w:vAlign w:val="center"/>
          </w:tcPr>
          <w:p w14:paraId="1D200BEE" w14:textId="186F7FA4"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9"/>
                <w14:textFill>
                  <w14:solidFill>
                    <w14:srgbClr w14:val="000000">
                      <w14:alpha w14:val="100000"/>
                    </w14:srgbClr>
                  </w14:solidFill>
                </w14:textFill>
              </w:rPr>
              <w:t xml:space="preserve">　</w:t>
            </w:r>
            <w:r w:rsidRPr="00DA3714">
              <w:rPr>
                <w:color w:val="000000"/>
                <w:w w:val="15"/>
                <w:shd w:val="solid" w:color="000000" w:fill="000000"/>
                <w:fitText w:val="45" w:id="-893663229"/>
                <w14:textFill>
                  <w14:solidFill>
                    <w14:srgbClr w14:val="000000">
                      <w14:alpha w14:val="100000"/>
                    </w14:srgbClr>
                  </w14:solidFill>
                </w14:textFill>
              </w:rPr>
              <w:t>|</w:t>
            </w:r>
            <w:r w:rsidRPr="00DA3714">
              <w:rPr>
                <w:rFonts w:hint="eastAsia"/>
                <w:color w:val="000000"/>
                <w:spacing w:val="-20"/>
                <w:w w:val="15"/>
                <w:shd w:val="solid" w:color="000000" w:fill="000000"/>
                <w:fitText w:val="45" w:id="-893663229"/>
                <w14:textFill>
                  <w14:solidFill>
                    <w14:srgbClr w14:val="000000">
                      <w14:alpha w14:val="100000"/>
                    </w14:srgbClr>
                  </w14:solidFill>
                </w14:textFill>
              </w:rPr>
              <w:t xml:space="preserve">　</w:t>
            </w:r>
            <w:r w:rsidR="00F134DE" w:rsidRPr="00B71856">
              <w:rPr>
                <w:szCs w:val="20"/>
                <w:vertAlign w:val="superscript"/>
              </w:rPr>
              <w:t>6</w:t>
            </w:r>
          </w:p>
        </w:tc>
        <w:tc>
          <w:tcPr>
            <w:tcW w:w="611" w:type="pct"/>
            <w:shd w:val="clear" w:color="auto" w:fill="B8CCE4" w:themeFill="accent1" w:themeFillTint="66"/>
            <w:vAlign w:val="center"/>
          </w:tcPr>
          <w:p w14:paraId="71765DD5" w14:textId="50D0BDA4"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8"/>
                <w14:textFill>
                  <w14:solidFill>
                    <w14:srgbClr w14:val="000000">
                      <w14:alpha w14:val="100000"/>
                    </w14:srgbClr>
                  </w14:solidFill>
                </w14:textFill>
              </w:rPr>
              <w:t xml:space="preserve">　</w:t>
            </w:r>
            <w:r w:rsidRPr="00DA3714">
              <w:rPr>
                <w:color w:val="000000"/>
                <w:w w:val="15"/>
                <w:shd w:val="solid" w:color="000000" w:fill="000000"/>
                <w:fitText w:val="45" w:id="-893663228"/>
                <w14:textFill>
                  <w14:solidFill>
                    <w14:srgbClr w14:val="000000">
                      <w14:alpha w14:val="100000"/>
                    </w14:srgbClr>
                  </w14:solidFill>
                </w14:textFill>
              </w:rPr>
              <w:t>|</w:t>
            </w:r>
            <w:r w:rsidRPr="00DA3714">
              <w:rPr>
                <w:rFonts w:hint="eastAsia"/>
                <w:color w:val="000000"/>
                <w:spacing w:val="-20"/>
                <w:w w:val="15"/>
                <w:shd w:val="solid" w:color="000000" w:fill="000000"/>
                <w:fitText w:val="45" w:id="-893663228"/>
                <w14:textFill>
                  <w14:solidFill>
                    <w14:srgbClr w14:val="000000">
                      <w14:alpha w14:val="100000"/>
                    </w14:srgbClr>
                  </w14:solidFill>
                </w14:textFill>
              </w:rPr>
              <w:t xml:space="preserve">　</w:t>
            </w:r>
            <w:r w:rsidR="00F134DE" w:rsidRPr="00B71856">
              <w:rPr>
                <w:szCs w:val="20"/>
                <w:vertAlign w:val="superscript"/>
              </w:rPr>
              <w:t>6</w:t>
            </w:r>
          </w:p>
        </w:tc>
        <w:tc>
          <w:tcPr>
            <w:tcW w:w="611" w:type="pct"/>
            <w:shd w:val="clear" w:color="auto" w:fill="B8CCE4" w:themeFill="accent1" w:themeFillTint="66"/>
            <w:vAlign w:val="center"/>
          </w:tcPr>
          <w:p w14:paraId="64FAB34E" w14:textId="48730F57"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7"/>
                <w14:textFill>
                  <w14:solidFill>
                    <w14:srgbClr w14:val="000000">
                      <w14:alpha w14:val="100000"/>
                    </w14:srgbClr>
                  </w14:solidFill>
                </w14:textFill>
              </w:rPr>
              <w:t xml:space="preserve">　</w:t>
            </w:r>
            <w:r w:rsidRPr="00DA3714">
              <w:rPr>
                <w:color w:val="000000"/>
                <w:w w:val="15"/>
                <w:shd w:val="solid" w:color="000000" w:fill="000000"/>
                <w:fitText w:val="45" w:id="-893663227"/>
                <w14:textFill>
                  <w14:solidFill>
                    <w14:srgbClr w14:val="000000">
                      <w14:alpha w14:val="100000"/>
                    </w14:srgbClr>
                  </w14:solidFill>
                </w14:textFill>
              </w:rPr>
              <w:t>|</w:t>
            </w:r>
            <w:r w:rsidRPr="00DA3714">
              <w:rPr>
                <w:rFonts w:hint="eastAsia"/>
                <w:color w:val="000000"/>
                <w:spacing w:val="-20"/>
                <w:w w:val="15"/>
                <w:shd w:val="solid" w:color="000000" w:fill="000000"/>
                <w:fitText w:val="45" w:id="-893663227"/>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B8CCE4" w:themeFill="accent1" w:themeFillTint="66"/>
            <w:vAlign w:val="center"/>
          </w:tcPr>
          <w:p w14:paraId="00BDAC27" w14:textId="76BC41CD"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6"/>
                <w14:textFill>
                  <w14:solidFill>
                    <w14:srgbClr w14:val="000000">
                      <w14:alpha w14:val="100000"/>
                    </w14:srgbClr>
                  </w14:solidFill>
                </w14:textFill>
              </w:rPr>
              <w:t xml:space="preserve">　</w:t>
            </w:r>
            <w:r w:rsidRPr="00DA3714">
              <w:rPr>
                <w:color w:val="000000"/>
                <w:w w:val="15"/>
                <w:shd w:val="solid" w:color="000000" w:fill="000000"/>
                <w:fitText w:val="45" w:id="-893663226"/>
                <w14:textFill>
                  <w14:solidFill>
                    <w14:srgbClr w14:val="000000">
                      <w14:alpha w14:val="100000"/>
                    </w14:srgbClr>
                  </w14:solidFill>
                </w14:textFill>
              </w:rPr>
              <w:t>|</w:t>
            </w:r>
            <w:r w:rsidRPr="00DA3714">
              <w:rPr>
                <w:rFonts w:hint="eastAsia"/>
                <w:color w:val="000000"/>
                <w:spacing w:val="-20"/>
                <w:w w:val="15"/>
                <w:shd w:val="solid" w:color="000000" w:fill="000000"/>
                <w:fitText w:val="45" w:id="-893663226"/>
                <w14:textFill>
                  <w14:solidFill>
                    <w14:srgbClr w14:val="000000">
                      <w14:alpha w14:val="100000"/>
                    </w14:srgbClr>
                  </w14:solidFill>
                </w14:textFill>
              </w:rPr>
              <w:t xml:space="preserve">　</w:t>
            </w:r>
            <w:r w:rsidR="00F134DE" w:rsidRPr="00B71856">
              <w:rPr>
                <w:b/>
                <w:bCs w:val="0"/>
                <w:szCs w:val="20"/>
                <w:vertAlign w:val="superscript"/>
              </w:rPr>
              <w:t>5</w:t>
            </w:r>
          </w:p>
        </w:tc>
        <w:tc>
          <w:tcPr>
            <w:tcW w:w="611" w:type="pct"/>
            <w:shd w:val="clear" w:color="auto" w:fill="B8CCE4" w:themeFill="accent1" w:themeFillTint="66"/>
            <w:vAlign w:val="center"/>
          </w:tcPr>
          <w:p w14:paraId="07820E77" w14:textId="71586A15" w:rsidR="002D7804" w:rsidRPr="00D26D6C" w:rsidRDefault="00DA3714">
            <w:pPr>
              <w:pStyle w:val="TableText0"/>
              <w:jc w:val="center"/>
              <w:rPr>
                <w:highlight w:val="lightGray"/>
              </w:rPr>
            </w:pPr>
            <w:r w:rsidRPr="00DA3714">
              <w:rPr>
                <w:rFonts w:hint="eastAsia"/>
                <w:color w:val="000000"/>
                <w:w w:val="15"/>
                <w:shd w:val="solid" w:color="000000" w:fill="000000"/>
                <w:fitText w:val="45" w:id="-893663225"/>
                <w14:textFill>
                  <w14:solidFill>
                    <w14:srgbClr w14:val="000000">
                      <w14:alpha w14:val="100000"/>
                    </w14:srgbClr>
                  </w14:solidFill>
                </w14:textFill>
              </w:rPr>
              <w:t xml:space="preserve">　</w:t>
            </w:r>
            <w:r w:rsidRPr="00DA3714">
              <w:rPr>
                <w:color w:val="000000"/>
                <w:w w:val="15"/>
                <w:shd w:val="solid" w:color="000000" w:fill="000000"/>
                <w:fitText w:val="45" w:id="-893663225"/>
                <w14:textFill>
                  <w14:solidFill>
                    <w14:srgbClr w14:val="000000">
                      <w14:alpha w14:val="100000"/>
                    </w14:srgbClr>
                  </w14:solidFill>
                </w14:textFill>
              </w:rPr>
              <w:t>|</w:t>
            </w:r>
            <w:r w:rsidRPr="00DA3714">
              <w:rPr>
                <w:rFonts w:hint="eastAsia"/>
                <w:color w:val="000000"/>
                <w:spacing w:val="-20"/>
                <w:w w:val="15"/>
                <w:shd w:val="solid" w:color="000000" w:fill="000000"/>
                <w:fitText w:val="45" w:id="-893663225"/>
                <w14:textFill>
                  <w14:solidFill>
                    <w14:srgbClr w14:val="000000">
                      <w14:alpha w14:val="100000"/>
                    </w14:srgbClr>
                  </w14:solidFill>
                </w14:textFill>
              </w:rPr>
              <w:t xml:space="preserve">　</w:t>
            </w:r>
            <w:r w:rsidR="00F134DE" w:rsidRPr="00B71856">
              <w:rPr>
                <w:b/>
                <w:bCs w:val="0"/>
                <w:szCs w:val="20"/>
                <w:vertAlign w:val="superscript"/>
              </w:rPr>
              <w:t>5</w:t>
            </w:r>
          </w:p>
        </w:tc>
      </w:tr>
    </w:tbl>
    <w:p w14:paraId="5AB40DFA" w14:textId="6E422274" w:rsidR="002D7804" w:rsidRDefault="002D7804" w:rsidP="002D7804">
      <w:pPr>
        <w:pStyle w:val="TableFooter"/>
        <w:keepNext/>
      </w:pPr>
      <w:r>
        <w:t>Source: tabulated during evaluation from Table 4-5of the resubmission; Sheet “3a. Scripts – proposed” from the “Attachment 6.1_ Selpercatinib Cost and utilisation model” of the resubmission.</w:t>
      </w:r>
    </w:p>
    <w:p w14:paraId="7FC68EFA" w14:textId="21090121" w:rsidR="00BC5A69" w:rsidRDefault="00BC5A69" w:rsidP="002D7804">
      <w:pPr>
        <w:pStyle w:val="TableFooter"/>
        <w:keepNext/>
      </w:pPr>
      <w:r>
        <w:t>MBS = Medicare Benefits Schedule; PBS = Pharmaceutical Benefits Scheme; RPBS = Repatriation Pharmaceutical Benefits Scheme</w:t>
      </w:r>
    </w:p>
    <w:p w14:paraId="5C1D844E" w14:textId="77777777" w:rsidR="002D7804" w:rsidRDefault="002D7804" w:rsidP="002D7804">
      <w:pPr>
        <w:pStyle w:val="FooterTableFigure"/>
      </w:pPr>
      <w:r w:rsidRPr="00017171">
        <w:rPr>
          <w:shd w:val="clear" w:color="auto" w:fill="C6D9F1" w:themeFill="text2" w:themeFillTint="33"/>
        </w:rPr>
        <w:t>Blue shading</w:t>
      </w:r>
      <w:r w:rsidRPr="00017171">
        <w:t xml:space="preserve"> indicates data previously considered by the PBAC.</w:t>
      </w:r>
    </w:p>
    <w:p w14:paraId="5490D35B" w14:textId="77777777" w:rsidR="00A6008E" w:rsidRDefault="00A6008E" w:rsidP="00A6008E">
      <w:pPr>
        <w:pStyle w:val="FooterTableFigure"/>
      </w:pPr>
      <w:r>
        <w:t xml:space="preserve">The redacted values correspond to the following ranges: </w:t>
      </w:r>
    </w:p>
    <w:p w14:paraId="53092E16" w14:textId="77777777" w:rsidR="00A6008E" w:rsidRDefault="00A6008E" w:rsidP="00A6008E">
      <w:pPr>
        <w:pStyle w:val="FooterTableFigure"/>
      </w:pPr>
      <w:r>
        <w:t>1 &lt; 500</w:t>
      </w:r>
    </w:p>
    <w:p w14:paraId="2239EEA4" w14:textId="77777777" w:rsidR="00A6008E" w:rsidRDefault="00A6008E" w:rsidP="00A6008E">
      <w:pPr>
        <w:pStyle w:val="FooterTableFigure"/>
      </w:pPr>
      <w:r>
        <w:t>2 500 to &lt; 5,000</w:t>
      </w:r>
    </w:p>
    <w:p w14:paraId="2384CB98" w14:textId="77777777" w:rsidR="00A6008E" w:rsidRDefault="00A6008E" w:rsidP="00A6008E">
      <w:pPr>
        <w:pStyle w:val="FooterTableFigure"/>
      </w:pPr>
      <w:r>
        <w:t>3 5,000 to &lt; 10,000</w:t>
      </w:r>
    </w:p>
    <w:p w14:paraId="5DAC659D" w14:textId="3F9632CF" w:rsidR="00F134DE" w:rsidRDefault="00F134DE" w:rsidP="00A6008E">
      <w:pPr>
        <w:pStyle w:val="FooterTableFigure"/>
      </w:pPr>
      <w:r>
        <w:t xml:space="preserve">4 </w:t>
      </w:r>
      <w:r w:rsidRPr="00F134DE">
        <w:t>$10 million to &lt; $20 million</w:t>
      </w:r>
    </w:p>
    <w:p w14:paraId="38833AAB" w14:textId="0EBA44C3" w:rsidR="00A6008E" w:rsidRDefault="00F134DE" w:rsidP="00A6008E">
      <w:pPr>
        <w:pStyle w:val="FooterTableFigure"/>
      </w:pPr>
      <w:r>
        <w:t>5</w:t>
      </w:r>
      <w:r w:rsidR="00A6008E">
        <w:t xml:space="preserve"> $20 million to &lt; $30 million</w:t>
      </w:r>
    </w:p>
    <w:p w14:paraId="1D6E91A8" w14:textId="3568419F" w:rsidR="00A6008E" w:rsidRDefault="00F134DE" w:rsidP="00A6008E">
      <w:pPr>
        <w:pStyle w:val="FooterTableFigure"/>
      </w:pPr>
      <w:r>
        <w:t>6</w:t>
      </w:r>
      <w:r w:rsidR="00A6008E">
        <w:t xml:space="preserve"> $30 million to &lt; $40 million</w:t>
      </w:r>
    </w:p>
    <w:p w14:paraId="69875D1A" w14:textId="16716818" w:rsidR="00A6008E" w:rsidRDefault="00F134DE" w:rsidP="00A6008E">
      <w:pPr>
        <w:pStyle w:val="FooterTableFigure"/>
      </w:pPr>
      <w:r>
        <w:t>7</w:t>
      </w:r>
      <w:r w:rsidR="00A6008E">
        <w:t xml:space="preserve"> $0 to &lt; $10 million</w:t>
      </w:r>
    </w:p>
    <w:p w14:paraId="73697D7F" w14:textId="59EAD661" w:rsidR="002D7804" w:rsidRPr="007246BD" w:rsidRDefault="002D7804" w:rsidP="002D7804">
      <w:pPr>
        <w:pStyle w:val="3-BodyText"/>
        <w:rPr>
          <w:i/>
          <w:iCs/>
        </w:rPr>
      </w:pPr>
      <w:r w:rsidRPr="000902D9">
        <w:t xml:space="preserve">The total cost to the PBS/RPBS of listing </w:t>
      </w:r>
      <w:r>
        <w:t>selpercatinib</w:t>
      </w:r>
      <w:r w:rsidRPr="000902D9">
        <w:t xml:space="preserve"> was estimated </w:t>
      </w:r>
      <w:r>
        <w:t>to be $</w:t>
      </w:r>
      <w:r w:rsidR="0098211E" w:rsidRPr="0098211E">
        <w:t xml:space="preserve">10 million to &lt; $20 </w:t>
      </w:r>
      <w:r w:rsidR="006E7F49" w:rsidRPr="0098211E">
        <w:t>million</w:t>
      </w:r>
      <w:r w:rsidR="006E7F49" w:rsidRPr="000902D9">
        <w:t xml:space="preserve"> in</w:t>
      </w:r>
      <w:r w:rsidRPr="000902D9">
        <w:t xml:space="preserve"> </w:t>
      </w:r>
      <w:r w:rsidR="00EB5EE2">
        <w:t>Year 1, increasing to $</w:t>
      </w:r>
      <w:r w:rsidR="009A37D8" w:rsidRPr="009A37D8">
        <w:t>20 million to &lt; $30 million</w:t>
      </w:r>
      <w:r w:rsidR="009A37D8" w:rsidRPr="009A37D8" w:rsidDel="009A37D8">
        <w:t xml:space="preserve"> </w:t>
      </w:r>
      <w:r w:rsidR="00EB5EE2">
        <w:t xml:space="preserve">in </w:t>
      </w:r>
      <w:r w:rsidRPr="000902D9">
        <w:t xml:space="preserve">Year </w:t>
      </w:r>
      <w:r>
        <w:t xml:space="preserve">6, and </w:t>
      </w:r>
      <w:r w:rsidR="00EB5EE2">
        <w:t>totalling</w:t>
      </w:r>
      <w:r w:rsidRPr="000902D9">
        <w:t xml:space="preserve"> $</w:t>
      </w:r>
      <w:r w:rsidR="00F67C2F" w:rsidRPr="00F67C2F">
        <w:t>100 million to &lt; $200 million</w:t>
      </w:r>
      <w:r w:rsidR="00F67C2F" w:rsidRPr="00F67C2F" w:rsidDel="00F67C2F">
        <w:t xml:space="preserve"> </w:t>
      </w:r>
      <w:r>
        <w:t>over</w:t>
      </w:r>
      <w:r w:rsidRPr="000902D9">
        <w:t xml:space="preserve"> the first 6 years of listing</w:t>
      </w:r>
      <w:r w:rsidRPr="007246BD">
        <w:t>.</w:t>
      </w:r>
      <w:r w:rsidRPr="000E64A9">
        <w:t xml:space="preserve"> </w:t>
      </w:r>
      <w:r>
        <w:t xml:space="preserve">These costs </w:t>
      </w:r>
      <w:r w:rsidRPr="00374E0E">
        <w:t>d</w:t>
      </w:r>
      <w:r>
        <w:t>id</w:t>
      </w:r>
      <w:r w:rsidRPr="00374E0E">
        <w:t xml:space="preserve"> not incorporate any cost offsets </w:t>
      </w:r>
      <w:r>
        <w:t xml:space="preserve">as the resubmission assumed that </w:t>
      </w:r>
      <w:r w:rsidRPr="00374E0E">
        <w:t>selpercatinib will displace later lines rather than replace other therapies, including pembrolizumab</w:t>
      </w:r>
      <w:r>
        <w:t xml:space="preserve">. </w:t>
      </w:r>
      <w:r w:rsidRPr="00CE342A">
        <w:t xml:space="preserve">The resubmission claimed that this was a conservative assumption. This was </w:t>
      </w:r>
      <w:r w:rsidR="000D6F0B">
        <w:t xml:space="preserve">previously </w:t>
      </w:r>
      <w:r w:rsidRPr="00CE342A">
        <w:t>considered reasonable (</w:t>
      </w:r>
      <w:r w:rsidR="001F324F">
        <w:t>Table 26, selper</w:t>
      </w:r>
      <w:r w:rsidR="00BC5A69">
        <w:t>ca</w:t>
      </w:r>
      <w:r w:rsidR="001F324F">
        <w:t>tinib PSD, July 2023 PBAC meeting</w:t>
      </w:r>
      <w:r w:rsidRPr="00CE342A">
        <w:t>).</w:t>
      </w:r>
    </w:p>
    <w:p w14:paraId="3100772F" w14:textId="422D6A7F" w:rsidR="002D7804" w:rsidRPr="007A7229" w:rsidRDefault="002D7804" w:rsidP="002D7804">
      <w:pPr>
        <w:pStyle w:val="3-BodyText"/>
      </w:pPr>
      <w:r w:rsidRPr="003F08D7">
        <w:t xml:space="preserve">In comparison, in </w:t>
      </w:r>
      <w:r w:rsidR="000D6F0B">
        <w:t xml:space="preserve">the </w:t>
      </w:r>
      <w:r w:rsidRPr="003F08D7">
        <w:t xml:space="preserve">July 2023 resubmission the net cost to </w:t>
      </w:r>
      <w:r>
        <w:t xml:space="preserve">the </w:t>
      </w:r>
      <w:r w:rsidRPr="003F08D7">
        <w:t>PBS/RPBS was estimated to be $</w:t>
      </w:r>
      <w:r w:rsidR="00F67C2F" w:rsidRPr="00F67C2F">
        <w:t>100 million to &lt; $200 million</w:t>
      </w:r>
      <w:r w:rsidR="00F67C2F" w:rsidRPr="00F67C2F" w:rsidDel="00F67C2F">
        <w:t xml:space="preserve"> </w:t>
      </w:r>
      <w:r w:rsidRPr="003F08D7">
        <w:t xml:space="preserve">in the first 6 years of selpercatinib listing. </w:t>
      </w:r>
      <w:r w:rsidRPr="007A7229">
        <w:t>The key reasons for a reduction in net cost to the PBS/RPBS in the resubmission were:</w:t>
      </w:r>
    </w:p>
    <w:p w14:paraId="79E91E43" w14:textId="71F0A1B1" w:rsidR="002D7804" w:rsidRPr="007A7229" w:rsidRDefault="002D7804" w:rsidP="00861BF1">
      <w:pPr>
        <w:pStyle w:val="3-BodyText"/>
        <w:numPr>
          <w:ilvl w:val="0"/>
          <w:numId w:val="16"/>
        </w:numPr>
        <w:ind w:left="1080"/>
      </w:pPr>
      <w:r w:rsidRPr="007A7229">
        <w:t>Inclusion of smaller proportion of pre-treated patients eligible to receive selpercatinib than in the July 2023 submission (80% v</w:t>
      </w:r>
      <w:r w:rsidR="0001351F">
        <w:t>ersu</w:t>
      </w:r>
      <w:r w:rsidRPr="007A7229">
        <w:t>s 100%, respectively).</w:t>
      </w:r>
    </w:p>
    <w:p w14:paraId="7F3AE885" w14:textId="00408BD7" w:rsidR="002D7804" w:rsidRPr="007A7229" w:rsidRDefault="002D7804" w:rsidP="00861BF1">
      <w:pPr>
        <w:pStyle w:val="3-BodyText"/>
        <w:numPr>
          <w:ilvl w:val="0"/>
          <w:numId w:val="16"/>
        </w:numPr>
        <w:ind w:left="1080"/>
      </w:pPr>
      <w:r w:rsidRPr="007A7229">
        <w:lastRenderedPageBreak/>
        <w:t>A lower effective DPMQ for selpercatinib.</w:t>
      </w:r>
    </w:p>
    <w:p w14:paraId="43EEE07D" w14:textId="3DD90785" w:rsidR="002D7804" w:rsidRPr="007A7229" w:rsidRDefault="002D7804" w:rsidP="002D7804">
      <w:pPr>
        <w:pStyle w:val="3-BodyText"/>
      </w:pPr>
      <w:r w:rsidRPr="007A7229">
        <w:t>The total cost to the PBS/RPBS of listing selpercatinib was most sensitive to the estimated prevalence of RET fusion-positive patients. Assuming a prevalence of 1% and 3.2% (upper and lower bounds for international estimate</w:t>
      </w:r>
      <w:r w:rsidR="00D97765" w:rsidRPr="007A7229">
        <w:t xml:space="preserve"> of 1.5%</w:t>
      </w:r>
      <w:r w:rsidRPr="007A7229">
        <w:t xml:space="preserve">) </w:t>
      </w:r>
      <w:r w:rsidR="0001351F">
        <w:t xml:space="preserve">resulted in a </w:t>
      </w:r>
      <w:r w:rsidRPr="007A7229">
        <w:t xml:space="preserve">total cost </w:t>
      </w:r>
      <w:r w:rsidR="0001351F">
        <w:t xml:space="preserve">over the first 6 years of listing </w:t>
      </w:r>
      <w:r w:rsidRPr="007A7229">
        <w:t xml:space="preserve">to the PBS/RPBS </w:t>
      </w:r>
      <w:r w:rsidR="00671377">
        <w:t>of</w:t>
      </w:r>
      <w:r w:rsidRPr="007A7229">
        <w:t xml:space="preserve"> $</w:t>
      </w:r>
      <w:r w:rsidR="00C313D7" w:rsidRPr="00C313D7">
        <w:t>90 million to &lt; $100 million</w:t>
      </w:r>
      <w:r w:rsidR="00C313D7" w:rsidRPr="00C313D7" w:rsidDel="00C313D7">
        <w:t xml:space="preserve"> </w:t>
      </w:r>
      <w:r w:rsidRPr="007A7229">
        <w:t>and $</w:t>
      </w:r>
      <w:r w:rsidR="0065494E" w:rsidRPr="0065494E">
        <w:t>200 million to &lt; $300 million</w:t>
      </w:r>
      <w:r w:rsidRPr="007A7229">
        <w:t>, respectively.</w:t>
      </w:r>
    </w:p>
    <w:p w14:paraId="799B12E6" w14:textId="77777777" w:rsidR="002D7804" w:rsidRPr="007A7229" w:rsidRDefault="002D7804" w:rsidP="002D7804">
      <w:pPr>
        <w:pStyle w:val="3-BodyText"/>
      </w:pPr>
      <w:bookmarkStart w:id="81" w:name="_Ref164419143"/>
      <w:r w:rsidRPr="007A7229">
        <w:t>The resubmission applied the following assumptions to calculate the cost to the MBS:</w:t>
      </w:r>
      <w:bookmarkEnd w:id="81"/>
    </w:p>
    <w:p w14:paraId="4D30FCA9" w14:textId="004BBF44" w:rsidR="002D7804" w:rsidRPr="007A7229" w:rsidRDefault="002D7804" w:rsidP="00861BF1">
      <w:pPr>
        <w:pStyle w:val="ListParagraph"/>
        <w:numPr>
          <w:ilvl w:val="0"/>
          <w:numId w:val="17"/>
        </w:numPr>
        <w:ind w:left="1134"/>
      </w:pPr>
      <w:r w:rsidRPr="007A7229">
        <w:t xml:space="preserve">7 ECGs in the first year of treatment for all incident patients. This </w:t>
      </w:r>
      <w:r w:rsidR="00CA205C">
        <w:t>aligned with</w:t>
      </w:r>
      <w:r w:rsidR="00CA205C" w:rsidRPr="007A7229">
        <w:t xml:space="preserve"> </w:t>
      </w:r>
      <w:r w:rsidRPr="007A7229">
        <w:t>DUSC advice (</w:t>
      </w:r>
      <w:r w:rsidR="001F324F">
        <w:t>Table 26, selper</w:t>
      </w:r>
      <w:r w:rsidR="00BC5A69">
        <w:t>ca</w:t>
      </w:r>
      <w:r w:rsidR="001F324F">
        <w:t>tinib PSD, July 2023 PBAC meeting</w:t>
      </w:r>
      <w:r w:rsidRPr="007A7229">
        <w:t>).</w:t>
      </w:r>
    </w:p>
    <w:p w14:paraId="6B59CA04" w14:textId="4F2DBE93" w:rsidR="002D7804" w:rsidRPr="007A7229" w:rsidRDefault="002D7804" w:rsidP="00861BF1">
      <w:pPr>
        <w:pStyle w:val="ListParagraph"/>
        <w:numPr>
          <w:ilvl w:val="0"/>
          <w:numId w:val="17"/>
        </w:numPr>
        <w:spacing w:line="259" w:lineRule="auto"/>
        <w:ind w:left="1134"/>
      </w:pPr>
      <w:r w:rsidRPr="007A7229">
        <w:t xml:space="preserve">Exclusion of </w:t>
      </w:r>
      <w:r w:rsidRPr="00671377">
        <w:rPr>
          <w:i/>
          <w:iCs/>
        </w:rPr>
        <w:t>RET</w:t>
      </w:r>
      <w:r w:rsidRPr="007A7229">
        <w:t xml:space="preserve"> fusion testing costs. The resubmission argued that</w:t>
      </w:r>
      <w:r w:rsidR="00CA205C">
        <w:t xml:space="preserve"> the costs associated with</w:t>
      </w:r>
      <w:r w:rsidRPr="007A7229">
        <w:t xml:space="preserve"> </w:t>
      </w:r>
      <w:r w:rsidRPr="00671377">
        <w:rPr>
          <w:i/>
          <w:iCs/>
        </w:rPr>
        <w:t>RET</w:t>
      </w:r>
      <w:r w:rsidRPr="007A7229">
        <w:t xml:space="preserve"> fusion testing </w:t>
      </w:r>
      <w:r w:rsidR="00CA205C">
        <w:t>were</w:t>
      </w:r>
      <w:r w:rsidR="00CA205C" w:rsidRPr="007A7229">
        <w:t xml:space="preserve"> </w:t>
      </w:r>
      <w:r w:rsidRPr="007A7229">
        <w:t xml:space="preserve">not required in the financial estimates </w:t>
      </w:r>
      <w:r w:rsidR="00CA205C">
        <w:t>as</w:t>
      </w:r>
      <w:r w:rsidR="00CA205C" w:rsidRPr="007A7229">
        <w:t xml:space="preserve"> </w:t>
      </w:r>
      <w:r w:rsidRPr="007A7229">
        <w:t xml:space="preserve">the test </w:t>
      </w:r>
      <w:r w:rsidR="00CA205C">
        <w:t>is</w:t>
      </w:r>
      <w:r w:rsidR="00CA205C" w:rsidRPr="007A7229">
        <w:t xml:space="preserve"> </w:t>
      </w:r>
      <w:r w:rsidRPr="007A7229">
        <w:t>part of the standard diagnostic pathway for NSCLC patients in Australia. The pre-PBAC response for the July 2023 submission applied test costs to 34% of prevalent patients (para</w:t>
      </w:r>
      <w:r w:rsidR="00CA205C">
        <w:t>graph</w:t>
      </w:r>
      <w:r w:rsidR="00EB5EE2" w:rsidRPr="007A7229">
        <w:t xml:space="preserve"> </w:t>
      </w:r>
      <w:r w:rsidRPr="007A7229">
        <w:t xml:space="preserve">6.90, selpercatinib, PSD, July 2023 PBAC meeting). </w:t>
      </w:r>
      <w:r w:rsidR="004C0CE7" w:rsidRPr="007A7229">
        <w:t>The MBS item was listed in November 2023, so the prevalent pool of patients eligible for selpercatinib in 2025 would have had access to the test.</w:t>
      </w:r>
    </w:p>
    <w:p w14:paraId="6EA7E77F" w14:textId="4A0251F5" w:rsidR="002D7804" w:rsidRPr="009E214C" w:rsidRDefault="002D7804" w:rsidP="002D7804">
      <w:pPr>
        <w:pStyle w:val="3-BodyText"/>
        <w:rPr>
          <w:i/>
          <w:iCs/>
        </w:rPr>
      </w:pPr>
      <w:r w:rsidRPr="000B26B3">
        <w:t>The resubmission estimated the total cost to the Australian Government (MBS/PBS/RPBS) over 6 years to be $</w:t>
      </w:r>
      <w:r w:rsidR="00D350E6" w:rsidRPr="00D350E6">
        <w:t>100 million to &lt; $200 million</w:t>
      </w:r>
      <w:r w:rsidRPr="000B26B3">
        <w:t xml:space="preserve">. </w:t>
      </w:r>
    </w:p>
    <w:p w14:paraId="3A68F0A4" w14:textId="77777777" w:rsidR="002D7804" w:rsidRPr="00C9624D" w:rsidRDefault="002D7804" w:rsidP="002D7804">
      <w:pPr>
        <w:pStyle w:val="4-SubsectionHeading"/>
      </w:pPr>
      <w:bookmarkStart w:id="82" w:name="_Toc22897648"/>
      <w:bookmarkStart w:id="83" w:name="_Toc167269753"/>
      <w:r w:rsidRPr="00C9624D">
        <w:t>Quality Use of Medicines</w:t>
      </w:r>
      <w:bookmarkEnd w:id="82"/>
      <w:bookmarkEnd w:id="83"/>
    </w:p>
    <w:p w14:paraId="66E4A702" w14:textId="53638F57" w:rsidR="002D7804" w:rsidRDefault="00666202" w:rsidP="002D7804">
      <w:pPr>
        <w:pStyle w:val="3-BodyText"/>
      </w:pPr>
      <w:r w:rsidRPr="007A7229">
        <w:t xml:space="preserve">The </w:t>
      </w:r>
      <w:r w:rsidR="002D7804" w:rsidRPr="007A7229">
        <w:t xml:space="preserve">Quality </w:t>
      </w:r>
      <w:r w:rsidRPr="007A7229">
        <w:t>U</w:t>
      </w:r>
      <w:r w:rsidR="002D7804" w:rsidRPr="007A7229">
        <w:t xml:space="preserve">se of </w:t>
      </w:r>
      <w:r w:rsidRPr="007A7229">
        <w:t>M</w:t>
      </w:r>
      <w:r w:rsidR="002D7804" w:rsidRPr="007A7229">
        <w:t xml:space="preserve">edicines </w:t>
      </w:r>
      <w:r w:rsidR="00EB5EE2" w:rsidRPr="007A7229">
        <w:t xml:space="preserve">(QUM) </w:t>
      </w:r>
      <w:r w:rsidR="002D7804" w:rsidRPr="007A7229">
        <w:t>section acknowledges that this is a new medicine with potential unknown safety</w:t>
      </w:r>
      <w:r w:rsidRPr="007A7229">
        <w:t xml:space="preserve"> and includes a </w:t>
      </w:r>
      <w:r w:rsidR="002D7804" w:rsidRPr="007A7229">
        <w:t xml:space="preserve">QUM plan </w:t>
      </w:r>
      <w:r w:rsidRPr="007A7229">
        <w:t>involving</w:t>
      </w:r>
      <w:r w:rsidR="002D7804" w:rsidRPr="007A7229">
        <w:t xml:space="preserve"> education for providers, risk minimization strategies and post marketing surveillance.</w:t>
      </w:r>
    </w:p>
    <w:p w14:paraId="1AC6504F" w14:textId="1F2E90D7" w:rsidR="00861BF1" w:rsidRPr="00861BF1" w:rsidRDefault="00861BF1" w:rsidP="00861BF1">
      <w:pPr>
        <w:pStyle w:val="3-BodyText"/>
        <w:numPr>
          <w:ilvl w:val="0"/>
          <w:numId w:val="0"/>
        </w:numPr>
        <w:ind w:left="720"/>
        <w:rPr>
          <w:i/>
          <w:iCs/>
        </w:rPr>
      </w:pPr>
      <w:r w:rsidRPr="00861BF1">
        <w:rPr>
          <w:i/>
          <w:iCs/>
        </w:rPr>
        <w:t>For more detail on PBAC’s view, see section 7 PBAC outcome.</w:t>
      </w:r>
    </w:p>
    <w:p w14:paraId="6F84C7B8" w14:textId="77777777" w:rsidR="00861BF1" w:rsidRPr="0090150D" w:rsidRDefault="00861BF1" w:rsidP="00861BF1">
      <w:pPr>
        <w:pStyle w:val="2-SectionHeading"/>
      </w:pPr>
      <w:bookmarkStart w:id="84" w:name="_Hlk76381249"/>
      <w:bookmarkStart w:id="85" w:name="_Hlk76377955"/>
      <w:r w:rsidRPr="0090150D">
        <w:t>PBAC Outcome</w:t>
      </w:r>
    </w:p>
    <w:p w14:paraId="78ACBF3E" w14:textId="02CEFE66" w:rsidR="00364C6C" w:rsidRPr="00A776A3" w:rsidRDefault="00364C6C" w:rsidP="00A776A3">
      <w:pPr>
        <w:widowControl w:val="0"/>
        <w:numPr>
          <w:ilvl w:val="1"/>
          <w:numId w:val="1"/>
        </w:numPr>
        <w:spacing w:after="120"/>
        <w:rPr>
          <w:lang w:val="en-GB"/>
        </w:rPr>
      </w:pPr>
      <w:bookmarkStart w:id="86" w:name="_Hlk111543188"/>
      <w:r w:rsidRPr="00364C6C">
        <w:t xml:space="preserve">The PBAC recommended </w:t>
      </w:r>
      <w:r w:rsidR="00CB048B">
        <w:t>Authority Required</w:t>
      </w:r>
      <w:r w:rsidR="00244E87">
        <w:t xml:space="preserve"> (</w:t>
      </w:r>
      <w:r w:rsidR="00CB048B">
        <w:t>Streamlined</w:t>
      </w:r>
      <w:r w:rsidR="00244E87">
        <w:t>)</w:t>
      </w:r>
      <w:r w:rsidR="00CB048B">
        <w:t xml:space="preserve"> listing for </w:t>
      </w:r>
      <w:r w:rsidRPr="00364C6C">
        <w:t>selpercatinib for the treatment of advanced or metastatic rearranged during transfection (</w:t>
      </w:r>
      <w:r w:rsidRPr="00364C6C">
        <w:rPr>
          <w:i/>
          <w:iCs/>
        </w:rPr>
        <w:t>RET</w:t>
      </w:r>
      <w:r w:rsidRPr="00364C6C">
        <w:t xml:space="preserve">) fusion-positive non-small cell lung cancer (NSCLC). The PBAC considered that the additional clinical evidence presented in the resubmission supported the claim that selpercatinib was superior to </w:t>
      </w:r>
      <w:r>
        <w:rPr>
          <w:rFonts w:asciiTheme="minorHAnsi" w:hAnsiTheme="minorHAnsi"/>
          <w:snapToGrid w:val="0"/>
          <w:lang w:val="en-GB"/>
        </w:rPr>
        <w:t xml:space="preserve">pembrolizumab plus platinum-based doublet chemotherapy (PC) </w:t>
      </w:r>
      <w:r w:rsidRPr="00364C6C">
        <w:t xml:space="preserve">in terms of progression free survival (PFS) but that the magnitude of any overall survival </w:t>
      </w:r>
      <w:r>
        <w:t xml:space="preserve">(OS) </w:t>
      </w:r>
      <w:r w:rsidRPr="00364C6C">
        <w:t>benefit remained uncertain</w:t>
      </w:r>
      <w:r w:rsidRPr="00244E87">
        <w:t>.</w:t>
      </w:r>
      <w:r w:rsidR="009D5059" w:rsidRPr="00244E87">
        <w:t xml:space="preserve"> The PBAC considered that</w:t>
      </w:r>
      <w:r w:rsidR="00244E87" w:rsidRPr="00244E87">
        <w:t xml:space="preserve"> </w:t>
      </w:r>
      <w:r w:rsidR="009D5059" w:rsidRPr="00244E87">
        <w:t>applying a more conservative extrapolation function to OS in the economic model would be appropriate.</w:t>
      </w:r>
      <w:r w:rsidR="004B3B6C">
        <w:t xml:space="preserve"> </w:t>
      </w:r>
      <w:r w:rsidR="009D5059" w:rsidRPr="009D5059">
        <w:t xml:space="preserve">The PBAC considered selpercatinib would be cost effective with an </w:t>
      </w:r>
      <w:r w:rsidR="00FA5DC4">
        <w:t>incremental cost effectiveness ratio (</w:t>
      </w:r>
      <w:r w:rsidR="009D5059" w:rsidRPr="009D5059">
        <w:t>ICER</w:t>
      </w:r>
      <w:r w:rsidR="00FA5DC4">
        <w:t>)</w:t>
      </w:r>
      <w:r w:rsidR="009D5059" w:rsidRPr="009D5059">
        <w:t xml:space="preserve"> of </w:t>
      </w:r>
      <w:r w:rsidR="001D2BDD">
        <w:t xml:space="preserve">less than </w:t>
      </w:r>
      <w:r w:rsidR="009D5059" w:rsidRPr="009D5059">
        <w:t>$</w:t>
      </w:r>
      <w:r w:rsidR="002A5133" w:rsidRPr="002A5133">
        <w:t>75,000 to &lt; $95,000</w:t>
      </w:r>
      <w:r w:rsidR="00196C0C">
        <w:t xml:space="preserve"> </w:t>
      </w:r>
      <w:r w:rsidR="009D5059" w:rsidRPr="009D5059">
        <w:t>per QALY gained (using the effective price of pembrolizumab), consistent with other targeted therapies for NSCLC</w:t>
      </w:r>
      <w:r w:rsidR="009D5059">
        <w:t xml:space="preserve">. </w:t>
      </w:r>
    </w:p>
    <w:p w14:paraId="21370F70" w14:textId="076E9D2B" w:rsidR="00364C6C" w:rsidRPr="00A776A3" w:rsidRDefault="00364C6C" w:rsidP="00861BF1">
      <w:pPr>
        <w:widowControl w:val="0"/>
        <w:numPr>
          <w:ilvl w:val="1"/>
          <w:numId w:val="1"/>
        </w:numPr>
        <w:spacing w:after="120"/>
        <w:rPr>
          <w:rFonts w:asciiTheme="minorHAnsi" w:hAnsiTheme="minorHAnsi"/>
          <w:snapToGrid w:val="0"/>
          <w:lang w:val="en-GB"/>
        </w:rPr>
      </w:pPr>
      <w:r w:rsidRPr="00A776A3">
        <w:rPr>
          <w:rFonts w:asciiTheme="minorHAnsi" w:hAnsiTheme="minorHAnsi"/>
          <w:snapToGrid w:val="0"/>
          <w:lang w:val="en-GB"/>
        </w:rPr>
        <w:t xml:space="preserve">The PBAC noted the input from health care professionals, the Lung Foundation </w:t>
      </w:r>
      <w:r w:rsidRPr="00A776A3">
        <w:rPr>
          <w:rFonts w:asciiTheme="minorHAnsi" w:hAnsiTheme="minorHAnsi"/>
          <w:snapToGrid w:val="0"/>
          <w:lang w:val="en-GB"/>
        </w:rPr>
        <w:lastRenderedPageBreak/>
        <w:t xml:space="preserve">Australia and Rare Cancers Australia which highlighted the clinical need for effective treatment options for these patients. </w:t>
      </w:r>
      <w:r w:rsidRPr="00364C6C">
        <w:rPr>
          <w:iCs/>
        </w:rPr>
        <w:t>In addition, the PBAC noted the Medical Oncology Group of Australia’s support for the</w:t>
      </w:r>
      <w:r w:rsidR="00E2650E">
        <w:rPr>
          <w:iCs/>
        </w:rPr>
        <w:t xml:space="preserve"> listing of selpercatinib</w:t>
      </w:r>
      <w:r w:rsidRPr="00364C6C">
        <w:rPr>
          <w:iCs/>
        </w:rPr>
        <w:t xml:space="preserve">. </w:t>
      </w:r>
      <w:r w:rsidRPr="00364C6C">
        <w:t>The PBAC acknowledged the clinical need for effective treatments for patients with this condition.</w:t>
      </w:r>
    </w:p>
    <w:p w14:paraId="4590A3F1" w14:textId="172F6148"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pembrolizumab + PC was nominated as the comparator in the first-line setting. The PBAC recalled that it had previously considered that this was appropriate.</w:t>
      </w:r>
    </w:p>
    <w:p w14:paraId="6D5EA56D" w14:textId="3DCD19EE"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resubmission presented new clinical data from the LIBRETTO-431 trial, a randomised controlled trial which compared selpercatinib with pembrolizumab </w:t>
      </w:r>
      <w:r>
        <w:rPr>
          <w:rFonts w:asciiTheme="minorHAnsi" w:hAnsiTheme="minorHAnsi" w:cstheme="minorHAnsi"/>
          <w:snapToGrid w:val="0"/>
          <w:lang w:val="en-GB"/>
        </w:rPr>
        <w:t>±</w:t>
      </w:r>
      <w:r>
        <w:rPr>
          <w:rFonts w:asciiTheme="minorHAnsi" w:hAnsiTheme="minorHAnsi"/>
          <w:snapToGrid w:val="0"/>
          <w:lang w:val="en-GB"/>
        </w:rPr>
        <w:t xml:space="preserve"> PC. The PBAC noted that the resubmission presented results for the ITT-pembrolizumab population</w:t>
      </w:r>
      <w:r w:rsidR="00E2650E">
        <w:rPr>
          <w:rFonts w:asciiTheme="minorHAnsi" w:hAnsiTheme="minorHAnsi"/>
          <w:snapToGrid w:val="0"/>
          <w:lang w:val="en-GB"/>
        </w:rPr>
        <w:t xml:space="preserve"> which</w:t>
      </w:r>
      <w:r w:rsidR="00AD0583">
        <w:rPr>
          <w:rFonts w:asciiTheme="minorHAnsi" w:hAnsiTheme="minorHAnsi"/>
          <w:snapToGrid w:val="0"/>
          <w:lang w:val="en-GB"/>
        </w:rPr>
        <w:t xml:space="preserve"> included </w:t>
      </w:r>
      <w:r>
        <w:rPr>
          <w:rFonts w:asciiTheme="minorHAnsi" w:hAnsiTheme="minorHAnsi"/>
          <w:snapToGrid w:val="0"/>
          <w:lang w:val="en-GB"/>
        </w:rPr>
        <w:t>patients who investigators intended to treat with pembrolizumab</w:t>
      </w:r>
      <w:r w:rsidR="00E2650E">
        <w:rPr>
          <w:rFonts w:asciiTheme="minorHAnsi" w:hAnsiTheme="minorHAnsi"/>
          <w:snapToGrid w:val="0"/>
          <w:lang w:val="en-GB"/>
        </w:rPr>
        <w:t xml:space="preserve"> prior to treatment allocation</w:t>
      </w:r>
      <w:r>
        <w:rPr>
          <w:rFonts w:asciiTheme="minorHAnsi" w:hAnsiTheme="minorHAnsi"/>
          <w:snapToGrid w:val="0"/>
          <w:lang w:val="en-GB"/>
        </w:rPr>
        <w:t xml:space="preserve">. The PBAC noted that it would have been more appropriate to present data from the ITT population (i.e., all patients), but noted that the </w:t>
      </w:r>
      <w:r w:rsidR="00E2650E">
        <w:rPr>
          <w:rFonts w:asciiTheme="minorHAnsi" w:hAnsiTheme="minorHAnsi"/>
          <w:snapToGrid w:val="0"/>
          <w:lang w:val="en-GB"/>
        </w:rPr>
        <w:t xml:space="preserve">ITT-pembrolizumab population accounted for 80% of the ITT population and </w:t>
      </w:r>
      <w:r>
        <w:rPr>
          <w:rFonts w:asciiTheme="minorHAnsi" w:hAnsiTheme="minorHAnsi"/>
          <w:snapToGrid w:val="0"/>
          <w:lang w:val="en-GB"/>
        </w:rPr>
        <w:t>results were similar between both populations.</w:t>
      </w:r>
    </w:p>
    <w:p w14:paraId="0427D8E1" w14:textId="449DBC06"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selpercatinib was associated with improved PFS outcomes compared to pembrolizumab + PC in both the ITT-pembrolizumab population (HR = 0.465; 95% CI: 0.309, 0.699) and the ITT population (HR = 0.482; 95% CI: 0.331, 0.700). </w:t>
      </w:r>
    </w:p>
    <w:p w14:paraId="14468CC8" w14:textId="1F31BCD3"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OS results were not statistically significant (HR = 0.961; 95% CI: 0.503, 1.879 in the ITT-pembrolizumab population). The PBAC noted that the OS results in the pembrolizumab + PC arm were confounded as 75% of patients who discontinued treatment</w:t>
      </w:r>
      <w:r w:rsidR="00C12212">
        <w:rPr>
          <w:rFonts w:asciiTheme="minorHAnsi" w:hAnsiTheme="minorHAnsi"/>
          <w:snapToGrid w:val="0"/>
          <w:lang w:val="en-GB"/>
        </w:rPr>
        <w:t xml:space="preserve"> (50% of patients randomised</w:t>
      </w:r>
      <w:r w:rsidR="001D2BDD">
        <w:rPr>
          <w:rFonts w:asciiTheme="minorHAnsi" w:hAnsiTheme="minorHAnsi"/>
          <w:snapToGrid w:val="0"/>
          <w:lang w:val="en-GB"/>
        </w:rPr>
        <w:t xml:space="preserve"> to the ITT population</w:t>
      </w:r>
      <w:r w:rsidR="00C12212">
        <w:rPr>
          <w:rFonts w:asciiTheme="minorHAnsi" w:hAnsiTheme="minorHAnsi"/>
          <w:snapToGrid w:val="0"/>
          <w:lang w:val="en-GB"/>
        </w:rPr>
        <w:t>)</w:t>
      </w:r>
      <w:r>
        <w:rPr>
          <w:rFonts w:asciiTheme="minorHAnsi" w:hAnsiTheme="minorHAnsi"/>
          <w:snapToGrid w:val="0"/>
          <w:lang w:val="en-GB"/>
        </w:rPr>
        <w:t xml:space="preserve"> crossed over to receive selpercatinib or a commercially available selective </w:t>
      </w:r>
      <w:r w:rsidRPr="00A776A3">
        <w:rPr>
          <w:rFonts w:asciiTheme="minorHAnsi" w:hAnsiTheme="minorHAnsi"/>
          <w:i/>
          <w:iCs/>
          <w:snapToGrid w:val="0"/>
          <w:lang w:val="en-GB"/>
        </w:rPr>
        <w:t>RET</w:t>
      </w:r>
      <w:r>
        <w:rPr>
          <w:rFonts w:asciiTheme="minorHAnsi" w:hAnsiTheme="minorHAnsi"/>
          <w:snapToGrid w:val="0"/>
          <w:lang w:val="en-GB"/>
        </w:rPr>
        <w:t xml:space="preserve"> inhibitor. Given the immaturity of the OS data (</w:t>
      </w:r>
      <w:r w:rsidR="00C12212">
        <w:t>19.4% of patients in selpercatinib arm and 18.1% of patients in the pembrolizumab + PC arm had died</w:t>
      </w:r>
      <w:r w:rsidR="00C12212">
        <w:rPr>
          <w:rFonts w:asciiTheme="minorHAnsi" w:hAnsiTheme="minorHAnsi"/>
          <w:snapToGrid w:val="0"/>
          <w:lang w:val="en-GB"/>
        </w:rPr>
        <w:t xml:space="preserve">) </w:t>
      </w:r>
      <w:r>
        <w:rPr>
          <w:rFonts w:asciiTheme="minorHAnsi" w:hAnsiTheme="minorHAnsi"/>
          <w:snapToGrid w:val="0"/>
          <w:lang w:val="en-GB"/>
        </w:rPr>
        <w:t xml:space="preserve">the PBAC considered that crossover adjustment would not have provided a reliable estimate of OS. </w:t>
      </w:r>
    </w:p>
    <w:p w14:paraId="6833ED95" w14:textId="77777777"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also presented updated data from the January 2023 data cut from the single arm LIBRETTO-001 study. The PBAC recalled that data from the June 2021 data cut were presented in the July 2023 submission. The PBAC noted that the updated PFS result for treatment-naïve patients who received selpercatinib (median = 22.0 months; 95% CI: 16.5, 24.9) was consistent with that presented in the previous submission (median = 22.0 months; 95% CI: 13.8, NE).</w:t>
      </w:r>
    </w:p>
    <w:p w14:paraId="46C035E5" w14:textId="33B38E6F"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the PBAC considered that the resubmission’s claim that selpercatinib demonstrated superior efficacy compared to pembrolizumab + PC was supported in terms of PFS. In terms of OS, the PBAC considered that the magnitude of the benefit was uncertain due to the immaturity of the LIBRETTO-431 trial and the high rate of crossover</w:t>
      </w:r>
      <w:r w:rsidR="00E2650E">
        <w:rPr>
          <w:rFonts w:asciiTheme="minorHAnsi" w:hAnsiTheme="minorHAnsi"/>
          <w:snapToGrid w:val="0"/>
          <w:lang w:val="en-GB"/>
        </w:rPr>
        <w:t xml:space="preserve"> in the pembrolizumab + PC treatment arm</w:t>
      </w:r>
      <w:r>
        <w:rPr>
          <w:rFonts w:asciiTheme="minorHAnsi" w:hAnsiTheme="minorHAnsi"/>
          <w:snapToGrid w:val="0"/>
          <w:lang w:val="en-GB"/>
        </w:rPr>
        <w:t xml:space="preserve">. </w:t>
      </w:r>
    </w:p>
    <w:p w14:paraId="6072B375" w14:textId="7619DBCF"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selpercatinib was associated with a higher frequency of adverse events compared to pembrolizumab </w:t>
      </w:r>
      <w:r>
        <w:rPr>
          <w:rFonts w:asciiTheme="minorHAnsi" w:hAnsiTheme="minorHAnsi" w:cstheme="minorHAnsi"/>
          <w:snapToGrid w:val="0"/>
          <w:lang w:val="en-GB"/>
        </w:rPr>
        <w:t>±</w:t>
      </w:r>
      <w:r>
        <w:rPr>
          <w:rFonts w:asciiTheme="minorHAnsi" w:hAnsiTheme="minorHAnsi"/>
          <w:snapToGrid w:val="0"/>
          <w:lang w:val="en-GB"/>
        </w:rPr>
        <w:t xml:space="preserve"> PC in the LIBRETTO-431 trial. However, the </w:t>
      </w:r>
      <w:r>
        <w:rPr>
          <w:rFonts w:asciiTheme="minorHAnsi" w:hAnsiTheme="minorHAnsi"/>
          <w:snapToGrid w:val="0"/>
          <w:lang w:val="en-GB"/>
        </w:rPr>
        <w:lastRenderedPageBreak/>
        <w:t>PBAC acknowledged that selpercatinib patients were exposed to treatment for a longer duration</w:t>
      </w:r>
      <w:r w:rsidR="00E2650E">
        <w:rPr>
          <w:rFonts w:asciiTheme="minorHAnsi" w:hAnsiTheme="minorHAnsi"/>
          <w:snapToGrid w:val="0"/>
          <w:lang w:val="en-GB"/>
        </w:rPr>
        <w:t xml:space="preserve"> (median time on treatment 16.7 months vs 9.8 months)</w:t>
      </w:r>
      <w:r>
        <w:rPr>
          <w:rFonts w:asciiTheme="minorHAnsi" w:hAnsiTheme="minorHAnsi"/>
          <w:snapToGrid w:val="0"/>
          <w:lang w:val="en-GB"/>
        </w:rPr>
        <w:t xml:space="preserve">. Overall, in terms of safety, the PBAC noted that the data from the LIBRETTO-431 trial supported its previous decision that selpercatinib had a different, but clinically manageable safety profile compared with pembrolizumab </w:t>
      </w:r>
      <w:r w:rsidR="00E2650E">
        <w:rPr>
          <w:rFonts w:asciiTheme="minorHAnsi" w:hAnsiTheme="minorHAnsi" w:cstheme="minorHAnsi"/>
          <w:snapToGrid w:val="0"/>
          <w:lang w:val="en-GB"/>
        </w:rPr>
        <w:t>±</w:t>
      </w:r>
      <w:r w:rsidR="00AD0583">
        <w:rPr>
          <w:rFonts w:asciiTheme="minorHAnsi" w:hAnsiTheme="minorHAnsi" w:cstheme="minorHAnsi"/>
          <w:snapToGrid w:val="0"/>
          <w:lang w:val="en-GB"/>
        </w:rPr>
        <w:t xml:space="preserve"> </w:t>
      </w:r>
      <w:r>
        <w:rPr>
          <w:rFonts w:asciiTheme="minorHAnsi" w:hAnsiTheme="minorHAnsi"/>
          <w:snapToGrid w:val="0"/>
          <w:lang w:val="en-GB"/>
        </w:rPr>
        <w:t xml:space="preserve">PC. </w:t>
      </w:r>
    </w:p>
    <w:p w14:paraId="4ED92ECE" w14:textId="53D10D37" w:rsidR="00364C6C" w:rsidRDefault="00364C6C" w:rsidP="00861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represented indirect treatment comparisons (ITCs) from the July 2023 submission which compared selpercatinib (from LIBRETTO-001) with pembrolizumab + PC (from the KN-189 and KN-021 studies), as these formed the basis of the economic analysis. The PBAC noted that the updated data from LIBRETTO-001 were not incorporated into the ITCs.</w:t>
      </w:r>
    </w:p>
    <w:p w14:paraId="0322D733" w14:textId="48B691F5" w:rsidR="00364C6C" w:rsidRPr="00BC5A69" w:rsidRDefault="00364C6C" w:rsidP="00364C6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that it </w:t>
      </w:r>
      <w:r w:rsidR="009447B6">
        <w:rPr>
          <w:rFonts w:asciiTheme="minorHAnsi" w:hAnsiTheme="minorHAnsi"/>
          <w:snapToGrid w:val="0"/>
          <w:lang w:val="en-GB"/>
        </w:rPr>
        <w:t xml:space="preserve">had previously </w:t>
      </w:r>
      <w:r>
        <w:rPr>
          <w:rFonts w:asciiTheme="minorHAnsi" w:hAnsiTheme="minorHAnsi"/>
          <w:snapToGrid w:val="0"/>
          <w:lang w:val="en-GB"/>
        </w:rPr>
        <w:t>anticipat</w:t>
      </w:r>
      <w:r w:rsidR="009447B6">
        <w:rPr>
          <w:rFonts w:asciiTheme="minorHAnsi" w:hAnsiTheme="minorHAnsi"/>
          <w:snapToGrid w:val="0"/>
          <w:lang w:val="en-GB"/>
        </w:rPr>
        <w:t xml:space="preserve">ed </w:t>
      </w:r>
      <w:r>
        <w:rPr>
          <w:rFonts w:asciiTheme="minorHAnsi" w:hAnsiTheme="minorHAnsi"/>
          <w:snapToGrid w:val="0"/>
          <w:lang w:val="en-GB"/>
        </w:rPr>
        <w:t>that the results of the LIBRETTO-431 trial would be used to inform the economic model</w:t>
      </w:r>
      <w:r w:rsidR="00AD0583">
        <w:rPr>
          <w:rFonts w:asciiTheme="minorHAnsi" w:hAnsiTheme="minorHAnsi"/>
          <w:snapToGrid w:val="0"/>
          <w:lang w:val="en-GB"/>
        </w:rPr>
        <w:t xml:space="preserve"> and that they would address many of the uncertainties associated with the use of ITCs to inform the estimates of comparative effectiveness. </w:t>
      </w:r>
      <w:r>
        <w:rPr>
          <w:rFonts w:asciiTheme="minorHAnsi" w:hAnsiTheme="minorHAnsi"/>
          <w:snapToGrid w:val="0"/>
          <w:lang w:val="en-GB"/>
        </w:rPr>
        <w:t xml:space="preserve">The PBAC noted that the resubmission stated that due to the immaturity and high rate of crossover in the LIBRETTO-431 trial, the data would not meaningfully inform the economic model. Instead, the resubmission noted that the maturity of the data in the LIBRETTO-001 study and the comparability of the PFS estimates between the LIBRETTO-431 trial (HR = 0.47; 95% CI: 0.31, 0.70) and the ITC using the MAIC 2 model (HR = 0.48; 95% CI: 0.27, 0.84) </w:t>
      </w:r>
      <w:r w:rsidR="00C12212">
        <w:rPr>
          <w:rFonts w:asciiTheme="minorHAnsi" w:hAnsiTheme="minorHAnsi"/>
          <w:snapToGrid w:val="0"/>
          <w:lang w:val="en-GB"/>
        </w:rPr>
        <w:t xml:space="preserve">(see </w:t>
      </w:r>
      <w:r w:rsidR="001D2BDD">
        <w:rPr>
          <w:rFonts w:asciiTheme="minorHAnsi" w:hAnsiTheme="minorHAnsi"/>
          <w:snapToGrid w:val="0"/>
          <w:lang w:val="en-GB"/>
        </w:rPr>
        <w:fldChar w:fldCharType="begin" w:fldLock="1"/>
      </w:r>
      <w:r w:rsidR="001D2BDD">
        <w:rPr>
          <w:rFonts w:asciiTheme="minorHAnsi" w:hAnsiTheme="minorHAnsi"/>
          <w:snapToGrid w:val="0"/>
          <w:lang w:val="en-GB"/>
        </w:rPr>
        <w:instrText xml:space="preserve"> REF _Ref164110367 \h </w:instrText>
      </w:r>
      <w:r w:rsidR="001D2BDD">
        <w:rPr>
          <w:rFonts w:asciiTheme="minorHAnsi" w:hAnsiTheme="minorHAnsi"/>
          <w:snapToGrid w:val="0"/>
          <w:lang w:val="en-GB"/>
        </w:rPr>
      </w:r>
      <w:r w:rsidR="001D2BDD">
        <w:rPr>
          <w:rFonts w:asciiTheme="minorHAnsi" w:hAnsiTheme="minorHAnsi"/>
          <w:snapToGrid w:val="0"/>
          <w:lang w:val="en-GB"/>
        </w:rPr>
        <w:fldChar w:fldCharType="separate"/>
      </w:r>
      <w:r w:rsidR="00F979CE">
        <w:t xml:space="preserve">Figure </w:t>
      </w:r>
      <w:r w:rsidR="00F979CE">
        <w:rPr>
          <w:noProof/>
        </w:rPr>
        <w:t>5</w:t>
      </w:r>
      <w:r w:rsidR="001D2BDD">
        <w:rPr>
          <w:rFonts w:asciiTheme="minorHAnsi" w:hAnsiTheme="minorHAnsi"/>
          <w:snapToGrid w:val="0"/>
          <w:lang w:val="en-GB"/>
        </w:rPr>
        <w:fldChar w:fldCharType="end"/>
      </w:r>
      <w:r w:rsidR="00C12212">
        <w:rPr>
          <w:rFonts w:asciiTheme="minorHAnsi" w:hAnsiTheme="minorHAnsi"/>
          <w:snapToGrid w:val="0"/>
          <w:lang w:val="en-GB"/>
        </w:rPr>
        <w:t xml:space="preserve">) </w:t>
      </w:r>
      <w:r>
        <w:rPr>
          <w:rFonts w:asciiTheme="minorHAnsi" w:hAnsiTheme="minorHAnsi"/>
          <w:snapToGrid w:val="0"/>
          <w:lang w:val="en-GB"/>
        </w:rPr>
        <w:t xml:space="preserve">meant that the original model was reliable to inform the cost effectiveness of selpercatinib compared with pembrolizumab + PC. The PBAC considered that it would have been more appropriate to apply </w:t>
      </w:r>
      <w:r w:rsidRPr="00BC5A69">
        <w:t>the results of the LIBRETTO-431 trial given that it was conducted in the target population</w:t>
      </w:r>
      <w:r w:rsidR="008C575F">
        <w:t xml:space="preserve"> and </w:t>
      </w:r>
      <w:r w:rsidRPr="00BC5A69">
        <w:t>observed and unobserved differences in the patient characteristics were addressed using randomisation.</w:t>
      </w:r>
      <w:r>
        <w:rPr>
          <w:rFonts w:asciiTheme="minorHAnsi" w:hAnsiTheme="minorHAnsi"/>
          <w:snapToGrid w:val="0"/>
          <w:lang w:val="en-GB"/>
        </w:rPr>
        <w:t xml:space="preserve"> </w:t>
      </w:r>
      <w:r w:rsidR="00AD0583">
        <w:t>T</w:t>
      </w:r>
      <w:r>
        <w:t xml:space="preserve">he PBAC </w:t>
      </w:r>
      <w:r w:rsidR="00AD0583">
        <w:t xml:space="preserve">acknowledged </w:t>
      </w:r>
      <w:r>
        <w:t xml:space="preserve">that the data from the LIBRETTO-431 trial provided some external validity for the modelled PFS results and for OS in the selpercatinib arm, but the </w:t>
      </w:r>
      <w:r w:rsidR="00C12212">
        <w:t>OS</w:t>
      </w:r>
      <w:r>
        <w:t xml:space="preserve"> in the pembrolizumab + PC arm</w:t>
      </w:r>
      <w:r w:rsidR="00FB4933">
        <w:t>, and therefore the incremental OS benefit,</w:t>
      </w:r>
      <w:r>
        <w:t xml:space="preserve"> remained highly uncertain. </w:t>
      </w:r>
    </w:p>
    <w:p w14:paraId="64E1E198" w14:textId="675234DF" w:rsidR="00364C6C" w:rsidRDefault="007069C4" w:rsidP="00364C6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a 10-year time horizon was applied to the </w:t>
      </w:r>
      <w:r w:rsidR="00FB4933">
        <w:rPr>
          <w:rFonts w:asciiTheme="minorHAnsi" w:hAnsiTheme="minorHAnsi"/>
          <w:snapToGrid w:val="0"/>
          <w:lang w:val="en-GB"/>
        </w:rPr>
        <w:t xml:space="preserve">base case economic </w:t>
      </w:r>
      <w:r>
        <w:rPr>
          <w:rFonts w:asciiTheme="minorHAnsi" w:hAnsiTheme="minorHAnsi"/>
          <w:snapToGrid w:val="0"/>
          <w:lang w:val="en-GB"/>
        </w:rPr>
        <w:t>model.</w:t>
      </w:r>
      <w:r w:rsidR="00FB4933">
        <w:rPr>
          <w:rFonts w:asciiTheme="minorHAnsi" w:hAnsiTheme="minorHAnsi"/>
          <w:snapToGrid w:val="0"/>
          <w:lang w:val="en-GB"/>
        </w:rPr>
        <w:t xml:space="preserve"> The PBAC noted the ESC considered a 7.5</w:t>
      </w:r>
      <w:r w:rsidR="001D2BDD">
        <w:rPr>
          <w:rFonts w:asciiTheme="minorHAnsi" w:hAnsiTheme="minorHAnsi"/>
          <w:snapToGrid w:val="0"/>
          <w:lang w:val="en-GB"/>
        </w:rPr>
        <w:t>-</w:t>
      </w:r>
      <w:r w:rsidR="00FB4933">
        <w:rPr>
          <w:rFonts w:asciiTheme="minorHAnsi" w:hAnsiTheme="minorHAnsi"/>
          <w:snapToGrid w:val="0"/>
          <w:lang w:val="en-GB"/>
        </w:rPr>
        <w:t xml:space="preserve">year time horizon would be more appropriate and the ICER was sensitive to the time horizon (see paragraph </w:t>
      </w:r>
      <w:r w:rsidR="00FB4933">
        <w:rPr>
          <w:rFonts w:asciiTheme="minorHAnsi" w:hAnsiTheme="minorHAnsi"/>
          <w:snapToGrid w:val="0"/>
          <w:lang w:val="en-GB"/>
        </w:rPr>
        <w:fldChar w:fldCharType="begin" w:fldLock="1"/>
      </w:r>
      <w:r w:rsidR="00FB4933">
        <w:rPr>
          <w:rFonts w:asciiTheme="minorHAnsi" w:hAnsiTheme="minorHAnsi"/>
          <w:snapToGrid w:val="0"/>
          <w:lang w:val="en-GB"/>
        </w:rPr>
        <w:instrText xml:space="preserve"> REF _Ref172708597 \r \h </w:instrText>
      </w:r>
      <w:r w:rsidR="00FB4933">
        <w:rPr>
          <w:rFonts w:asciiTheme="minorHAnsi" w:hAnsiTheme="minorHAnsi"/>
          <w:snapToGrid w:val="0"/>
          <w:lang w:val="en-GB"/>
        </w:rPr>
      </w:r>
      <w:r w:rsidR="00FB4933">
        <w:rPr>
          <w:rFonts w:asciiTheme="minorHAnsi" w:hAnsiTheme="minorHAnsi"/>
          <w:snapToGrid w:val="0"/>
          <w:lang w:val="en-GB"/>
        </w:rPr>
        <w:fldChar w:fldCharType="separate"/>
      </w:r>
      <w:r w:rsidR="00F979CE">
        <w:rPr>
          <w:rFonts w:asciiTheme="minorHAnsi" w:hAnsiTheme="minorHAnsi"/>
          <w:snapToGrid w:val="0"/>
          <w:lang w:val="en-GB"/>
        </w:rPr>
        <w:t>6.56</w:t>
      </w:r>
      <w:r w:rsidR="00FB4933">
        <w:rPr>
          <w:rFonts w:asciiTheme="minorHAnsi" w:hAnsiTheme="minorHAnsi"/>
          <w:snapToGrid w:val="0"/>
          <w:lang w:val="en-GB"/>
        </w:rPr>
        <w:fldChar w:fldCharType="end"/>
      </w:r>
      <w:r w:rsidR="00FB4933">
        <w:rPr>
          <w:rFonts w:asciiTheme="minorHAnsi" w:hAnsiTheme="minorHAnsi"/>
          <w:snapToGrid w:val="0"/>
          <w:lang w:val="en-GB"/>
        </w:rPr>
        <w:t xml:space="preserve">). </w:t>
      </w:r>
      <w:r w:rsidR="00C12212">
        <w:rPr>
          <w:rFonts w:asciiTheme="minorHAnsi" w:hAnsiTheme="minorHAnsi"/>
          <w:snapToGrid w:val="0"/>
          <w:lang w:val="en-GB"/>
        </w:rPr>
        <w:t>T</w:t>
      </w:r>
      <w:r w:rsidR="00FB4933">
        <w:rPr>
          <w:rFonts w:asciiTheme="minorHAnsi" w:hAnsiTheme="minorHAnsi"/>
          <w:snapToGrid w:val="0"/>
          <w:lang w:val="en-GB"/>
        </w:rPr>
        <w:t xml:space="preserve">he PBAC noted </w:t>
      </w:r>
      <w:r w:rsidR="00C12212">
        <w:rPr>
          <w:rFonts w:asciiTheme="minorHAnsi" w:hAnsiTheme="minorHAnsi"/>
          <w:snapToGrid w:val="0"/>
          <w:lang w:val="en-GB"/>
        </w:rPr>
        <w:t xml:space="preserve">the arguments in the pre-PBAC response supporting a </w:t>
      </w:r>
      <w:r w:rsidR="00A91C4E">
        <w:rPr>
          <w:rFonts w:asciiTheme="minorHAnsi" w:hAnsiTheme="minorHAnsi"/>
          <w:snapToGrid w:val="0"/>
          <w:lang w:val="en-GB"/>
        </w:rPr>
        <w:t>10-year</w:t>
      </w:r>
      <w:r w:rsidR="00C12212">
        <w:rPr>
          <w:rFonts w:asciiTheme="minorHAnsi" w:hAnsiTheme="minorHAnsi"/>
          <w:snapToGrid w:val="0"/>
          <w:lang w:val="en-GB"/>
        </w:rPr>
        <w:t xml:space="preserve"> time horizon </w:t>
      </w:r>
      <w:r w:rsidR="00FB4933">
        <w:rPr>
          <w:rFonts w:asciiTheme="minorHAnsi" w:hAnsiTheme="minorHAnsi"/>
          <w:snapToGrid w:val="0"/>
          <w:lang w:val="en-GB"/>
        </w:rPr>
        <w:t xml:space="preserve">and considered that, on balance, a </w:t>
      </w:r>
      <w:r w:rsidR="00CD700B">
        <w:rPr>
          <w:rFonts w:asciiTheme="minorHAnsi" w:hAnsiTheme="minorHAnsi"/>
          <w:snapToGrid w:val="0"/>
          <w:lang w:val="en-GB"/>
        </w:rPr>
        <w:t>10-year</w:t>
      </w:r>
      <w:r w:rsidR="00FB4933">
        <w:rPr>
          <w:rFonts w:asciiTheme="minorHAnsi" w:hAnsiTheme="minorHAnsi"/>
          <w:snapToGrid w:val="0"/>
          <w:lang w:val="en-GB"/>
        </w:rPr>
        <w:t xml:space="preserve"> time horizon was likely to be reasonable.</w:t>
      </w:r>
    </w:p>
    <w:p w14:paraId="325EBE9B" w14:textId="5A024E98" w:rsidR="007069C4" w:rsidRDefault="007069C4" w:rsidP="00364C6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applied a spline knot 1 function to</w:t>
      </w:r>
      <w:r w:rsidR="00FB4933">
        <w:rPr>
          <w:rFonts w:asciiTheme="minorHAnsi" w:hAnsiTheme="minorHAnsi"/>
          <w:snapToGrid w:val="0"/>
          <w:lang w:val="en-GB"/>
        </w:rPr>
        <w:t xml:space="preserve"> </w:t>
      </w:r>
      <w:r w:rsidR="00E2650E">
        <w:rPr>
          <w:rFonts w:asciiTheme="minorHAnsi" w:hAnsiTheme="minorHAnsi"/>
          <w:snapToGrid w:val="0"/>
          <w:lang w:val="en-GB"/>
        </w:rPr>
        <w:t xml:space="preserve">extrapolate OS in the </w:t>
      </w:r>
      <w:r>
        <w:rPr>
          <w:rFonts w:asciiTheme="minorHAnsi" w:hAnsiTheme="minorHAnsi"/>
          <w:snapToGrid w:val="0"/>
          <w:lang w:val="en-GB"/>
        </w:rPr>
        <w:t>selpercatinib arm</w:t>
      </w:r>
      <w:r w:rsidR="00FB4933">
        <w:rPr>
          <w:rFonts w:asciiTheme="minorHAnsi" w:hAnsiTheme="minorHAnsi"/>
          <w:snapToGrid w:val="0"/>
          <w:lang w:val="en-GB"/>
        </w:rPr>
        <w:t xml:space="preserve"> which resulted in 15.7% of patients </w:t>
      </w:r>
      <w:r w:rsidR="0067397C">
        <w:rPr>
          <w:rFonts w:asciiTheme="minorHAnsi" w:hAnsiTheme="minorHAnsi"/>
          <w:snapToGrid w:val="0"/>
          <w:lang w:val="en-GB"/>
        </w:rPr>
        <w:t>remaining</w:t>
      </w:r>
      <w:r w:rsidR="00FB4933">
        <w:rPr>
          <w:rFonts w:asciiTheme="minorHAnsi" w:hAnsiTheme="minorHAnsi"/>
          <w:snapToGrid w:val="0"/>
          <w:lang w:val="en-GB"/>
        </w:rPr>
        <w:t xml:space="preserve"> alive at 10</w:t>
      </w:r>
      <w:r w:rsidR="00A91C4E">
        <w:rPr>
          <w:rFonts w:asciiTheme="minorHAnsi" w:hAnsiTheme="minorHAnsi"/>
          <w:snapToGrid w:val="0"/>
          <w:lang w:val="en-GB"/>
        </w:rPr>
        <w:t> </w:t>
      </w:r>
      <w:r w:rsidR="00FB4933">
        <w:rPr>
          <w:rFonts w:asciiTheme="minorHAnsi" w:hAnsiTheme="minorHAnsi"/>
          <w:snapToGrid w:val="0"/>
          <w:lang w:val="en-GB"/>
        </w:rPr>
        <w:t>years</w:t>
      </w:r>
      <w:r>
        <w:rPr>
          <w:rFonts w:asciiTheme="minorHAnsi" w:hAnsiTheme="minorHAnsi"/>
          <w:snapToGrid w:val="0"/>
          <w:lang w:val="en-GB"/>
        </w:rPr>
        <w:t xml:space="preserve">. </w:t>
      </w:r>
      <w:r w:rsidR="00C12212">
        <w:rPr>
          <w:rFonts w:asciiTheme="minorHAnsi" w:hAnsiTheme="minorHAnsi"/>
          <w:snapToGrid w:val="0"/>
          <w:lang w:val="en-GB"/>
        </w:rPr>
        <w:t>The PBAC considered the use of the spline knot 1 function to extrapolate</w:t>
      </w:r>
      <w:r w:rsidR="00E51BB5">
        <w:rPr>
          <w:rFonts w:asciiTheme="minorHAnsi" w:hAnsiTheme="minorHAnsi"/>
          <w:snapToGrid w:val="0"/>
          <w:lang w:val="en-GB"/>
        </w:rPr>
        <w:t xml:space="preserve"> OS</w:t>
      </w:r>
      <w:r w:rsidR="00C12212">
        <w:rPr>
          <w:rFonts w:asciiTheme="minorHAnsi" w:hAnsiTheme="minorHAnsi"/>
          <w:snapToGrid w:val="0"/>
          <w:lang w:val="en-GB"/>
        </w:rPr>
        <w:t xml:space="preserve"> was not adequately justified, particularly given it had the worst statistical fit (paragraph </w:t>
      </w:r>
      <w:r w:rsidR="00C12212">
        <w:rPr>
          <w:rFonts w:asciiTheme="minorHAnsi" w:hAnsiTheme="minorHAnsi"/>
          <w:snapToGrid w:val="0"/>
          <w:lang w:val="en-GB"/>
        </w:rPr>
        <w:fldChar w:fldCharType="begin" w:fldLock="1"/>
      </w:r>
      <w:r w:rsidR="00C12212">
        <w:rPr>
          <w:rFonts w:asciiTheme="minorHAnsi" w:hAnsiTheme="minorHAnsi"/>
          <w:snapToGrid w:val="0"/>
          <w:lang w:val="en-GB"/>
        </w:rPr>
        <w:instrText xml:space="preserve"> REF _Ref172789930 \r \h </w:instrText>
      </w:r>
      <w:r w:rsidR="00C12212">
        <w:rPr>
          <w:rFonts w:asciiTheme="minorHAnsi" w:hAnsiTheme="minorHAnsi"/>
          <w:snapToGrid w:val="0"/>
          <w:lang w:val="en-GB"/>
        </w:rPr>
      </w:r>
      <w:r w:rsidR="00C12212">
        <w:rPr>
          <w:rFonts w:asciiTheme="minorHAnsi" w:hAnsiTheme="minorHAnsi"/>
          <w:snapToGrid w:val="0"/>
          <w:lang w:val="en-GB"/>
        </w:rPr>
        <w:fldChar w:fldCharType="separate"/>
      </w:r>
      <w:r w:rsidR="00F979CE">
        <w:rPr>
          <w:rFonts w:asciiTheme="minorHAnsi" w:hAnsiTheme="minorHAnsi"/>
          <w:snapToGrid w:val="0"/>
          <w:lang w:val="en-GB"/>
        </w:rPr>
        <w:t>6.62</w:t>
      </w:r>
      <w:r w:rsidR="00C12212">
        <w:rPr>
          <w:rFonts w:asciiTheme="minorHAnsi" w:hAnsiTheme="minorHAnsi"/>
          <w:snapToGrid w:val="0"/>
          <w:lang w:val="en-GB"/>
        </w:rPr>
        <w:fldChar w:fldCharType="end"/>
      </w:r>
      <w:r w:rsidR="00C12212">
        <w:rPr>
          <w:rFonts w:asciiTheme="minorHAnsi" w:hAnsiTheme="minorHAnsi"/>
          <w:snapToGrid w:val="0"/>
          <w:lang w:val="en-GB"/>
        </w:rPr>
        <w:t xml:space="preserve">). </w:t>
      </w:r>
      <w:r>
        <w:rPr>
          <w:rFonts w:asciiTheme="minorHAnsi" w:hAnsiTheme="minorHAnsi"/>
          <w:snapToGrid w:val="0"/>
          <w:lang w:val="en-GB"/>
        </w:rPr>
        <w:t>The PBAC</w:t>
      </w:r>
      <w:r w:rsidR="00FB4933">
        <w:rPr>
          <w:rFonts w:asciiTheme="minorHAnsi" w:hAnsiTheme="minorHAnsi"/>
          <w:snapToGrid w:val="0"/>
          <w:lang w:val="en-GB"/>
        </w:rPr>
        <w:t xml:space="preserve"> considered </w:t>
      </w:r>
      <w:r>
        <w:rPr>
          <w:rFonts w:asciiTheme="minorHAnsi" w:hAnsiTheme="minorHAnsi"/>
          <w:snapToGrid w:val="0"/>
          <w:lang w:val="en-GB"/>
        </w:rPr>
        <w:t>that</w:t>
      </w:r>
      <w:r w:rsidR="00C12212">
        <w:rPr>
          <w:rFonts w:asciiTheme="minorHAnsi" w:hAnsiTheme="minorHAnsi"/>
          <w:snapToGrid w:val="0"/>
          <w:lang w:val="en-GB"/>
        </w:rPr>
        <w:t xml:space="preserve"> </w:t>
      </w:r>
      <w:r w:rsidR="00FB4933">
        <w:rPr>
          <w:rFonts w:asciiTheme="minorHAnsi" w:hAnsiTheme="minorHAnsi"/>
          <w:snapToGrid w:val="0"/>
          <w:lang w:val="en-GB"/>
        </w:rPr>
        <w:t xml:space="preserve">applying </w:t>
      </w:r>
      <w:r>
        <w:rPr>
          <w:rFonts w:asciiTheme="minorHAnsi" w:hAnsiTheme="minorHAnsi"/>
          <w:snapToGrid w:val="0"/>
          <w:lang w:val="en-GB"/>
        </w:rPr>
        <w:t xml:space="preserve">the gamma function </w:t>
      </w:r>
      <w:r w:rsidR="00FB4933">
        <w:rPr>
          <w:rFonts w:asciiTheme="minorHAnsi" w:hAnsiTheme="minorHAnsi"/>
          <w:snapToGrid w:val="0"/>
          <w:lang w:val="en-GB"/>
        </w:rPr>
        <w:t>was more appropriate and resulted in a more conservative estimate of the proportion of patients alive at 10 years (10.0%). The PBAC noted the ICER using the gamma function (and the assumed effective price of pembrolizumab) was $</w:t>
      </w:r>
      <w:r w:rsidR="00CC538B" w:rsidRPr="00CC538B">
        <w:rPr>
          <w:rFonts w:asciiTheme="minorHAnsi" w:hAnsiTheme="minorHAnsi"/>
          <w:snapToGrid w:val="0"/>
          <w:lang w:val="en-GB"/>
        </w:rPr>
        <w:t>75,000 to &lt; $95,000</w:t>
      </w:r>
      <w:r w:rsidR="00196C0C">
        <w:rPr>
          <w:rFonts w:asciiTheme="minorHAnsi" w:hAnsiTheme="minorHAnsi"/>
          <w:snapToGrid w:val="0"/>
          <w:lang w:val="en-GB"/>
        </w:rPr>
        <w:t xml:space="preserve"> </w:t>
      </w:r>
      <w:r w:rsidR="00FB4933">
        <w:rPr>
          <w:rFonts w:asciiTheme="minorHAnsi" w:hAnsiTheme="minorHAnsi"/>
          <w:snapToGrid w:val="0"/>
          <w:lang w:val="en-GB"/>
        </w:rPr>
        <w:t xml:space="preserve">per QALY gained. The PBAC considered selpercatinib would be cost effective with an ICER </w:t>
      </w:r>
      <w:r w:rsidR="00FB4933">
        <w:rPr>
          <w:rFonts w:asciiTheme="minorHAnsi" w:hAnsiTheme="minorHAnsi"/>
          <w:snapToGrid w:val="0"/>
          <w:lang w:val="en-GB"/>
        </w:rPr>
        <w:lastRenderedPageBreak/>
        <w:t>of &lt;$</w:t>
      </w:r>
      <w:r w:rsidR="00272464" w:rsidRPr="00272464">
        <w:rPr>
          <w:rFonts w:asciiTheme="minorHAnsi" w:hAnsiTheme="minorHAnsi"/>
          <w:snapToGrid w:val="0"/>
          <w:lang w:val="en-GB"/>
        </w:rPr>
        <w:t xml:space="preserve">55,000 to &lt; $75,000 </w:t>
      </w:r>
      <w:r w:rsidR="00FB4933">
        <w:rPr>
          <w:rFonts w:asciiTheme="minorHAnsi" w:hAnsiTheme="minorHAnsi"/>
          <w:snapToGrid w:val="0"/>
          <w:lang w:val="en-GB"/>
        </w:rPr>
        <w:t>per QALY gained (using the effective price of pembrolizumab), consistent with other targeted therapies for NSCLC (paragraph 7.5, osimertinib PSD, July 2020 PBAC meeting; paragraph 7.8, mobocertinib PSD, July 2023 PBAC meeting).</w:t>
      </w:r>
    </w:p>
    <w:p w14:paraId="65748F7B" w14:textId="2C7422D6" w:rsidR="007069C4" w:rsidRPr="0033776F" w:rsidRDefault="007069C4" w:rsidP="0033776F">
      <w:pPr>
        <w:widowControl w:val="0"/>
        <w:numPr>
          <w:ilvl w:val="1"/>
          <w:numId w:val="1"/>
        </w:numPr>
        <w:spacing w:after="120"/>
        <w:rPr>
          <w:rFonts w:asciiTheme="minorHAnsi" w:hAnsiTheme="minorHAnsi"/>
          <w:snapToGrid w:val="0"/>
          <w:lang w:val="en-GB"/>
        </w:rPr>
      </w:pPr>
      <w:r w:rsidRPr="007069C4">
        <w:rPr>
          <w:rFonts w:asciiTheme="minorHAnsi" w:hAnsiTheme="minorHAnsi"/>
          <w:snapToGrid w:val="0"/>
          <w:lang w:val="en-GB"/>
        </w:rPr>
        <w:t xml:space="preserve">The PBAC considered that the utilisation estimates provided in the resubmission were appropriate. The PBAC noted that the resubmission applied an estimated prevalence of </w:t>
      </w:r>
      <w:r w:rsidRPr="00A776A3">
        <w:rPr>
          <w:rFonts w:asciiTheme="minorHAnsi" w:hAnsiTheme="minorHAnsi"/>
          <w:i/>
          <w:iCs/>
          <w:snapToGrid w:val="0"/>
          <w:lang w:val="en-GB"/>
        </w:rPr>
        <w:t>RET</w:t>
      </w:r>
      <w:r w:rsidRPr="007069C4">
        <w:rPr>
          <w:rFonts w:asciiTheme="minorHAnsi" w:hAnsiTheme="minorHAnsi"/>
          <w:snapToGrid w:val="0"/>
          <w:lang w:val="en-GB"/>
        </w:rPr>
        <w:t xml:space="preserve"> fusion-positive patients of 1.5% and considered that this was reasonable. </w:t>
      </w:r>
      <w:r w:rsidR="0033776F">
        <w:rPr>
          <w:rFonts w:asciiTheme="minorHAnsi" w:hAnsiTheme="minorHAnsi"/>
          <w:snapToGrid w:val="0"/>
          <w:lang w:val="en-GB"/>
        </w:rPr>
        <w:t xml:space="preserve">However, the PBAC noted some uncertainty remained regarding the treatment duration for </w:t>
      </w:r>
      <w:proofErr w:type="spellStart"/>
      <w:r w:rsidR="0033776F">
        <w:rPr>
          <w:rFonts w:asciiTheme="minorHAnsi" w:hAnsiTheme="minorHAnsi"/>
          <w:snapToGrid w:val="0"/>
          <w:lang w:val="en-GB"/>
        </w:rPr>
        <w:t>selpercatinib</w:t>
      </w:r>
      <w:proofErr w:type="spellEnd"/>
      <w:r w:rsidR="0033776F">
        <w:rPr>
          <w:rFonts w:asciiTheme="minorHAnsi" w:hAnsiTheme="minorHAnsi"/>
          <w:snapToGrid w:val="0"/>
          <w:lang w:val="en-GB"/>
        </w:rPr>
        <w:t xml:space="preserve"> (see </w:t>
      </w:r>
      <w:r w:rsidR="0033776F">
        <w:rPr>
          <w:rFonts w:asciiTheme="minorHAnsi" w:hAnsiTheme="minorHAnsi"/>
          <w:snapToGrid w:val="0"/>
          <w:lang w:val="en-GB"/>
        </w:rPr>
        <w:fldChar w:fldCharType="begin" w:fldLock="1"/>
      </w:r>
      <w:r w:rsidR="0033776F">
        <w:rPr>
          <w:rFonts w:asciiTheme="minorHAnsi" w:hAnsiTheme="minorHAnsi"/>
          <w:snapToGrid w:val="0"/>
          <w:lang w:val="en-GB"/>
        </w:rPr>
        <w:instrText xml:space="preserve"> REF _Ref164204078 \h </w:instrText>
      </w:r>
      <w:r w:rsidR="0033776F">
        <w:rPr>
          <w:rFonts w:asciiTheme="minorHAnsi" w:hAnsiTheme="minorHAnsi"/>
          <w:snapToGrid w:val="0"/>
          <w:lang w:val="en-GB"/>
        </w:rPr>
      </w:r>
      <w:r w:rsidR="0033776F">
        <w:rPr>
          <w:rFonts w:asciiTheme="minorHAnsi" w:hAnsiTheme="minorHAnsi"/>
          <w:snapToGrid w:val="0"/>
          <w:lang w:val="en-GB"/>
        </w:rPr>
        <w:fldChar w:fldCharType="separate"/>
      </w:r>
      <w:r w:rsidR="00F979CE">
        <w:t xml:space="preserve">Table </w:t>
      </w:r>
      <w:r w:rsidR="00F979CE">
        <w:rPr>
          <w:noProof/>
        </w:rPr>
        <w:t>17</w:t>
      </w:r>
      <w:r w:rsidR="0033776F">
        <w:rPr>
          <w:rFonts w:asciiTheme="minorHAnsi" w:hAnsiTheme="minorHAnsi"/>
          <w:snapToGrid w:val="0"/>
          <w:lang w:val="en-GB"/>
        </w:rPr>
        <w:fldChar w:fldCharType="end"/>
      </w:r>
      <w:r w:rsidR="0033776F">
        <w:rPr>
          <w:rFonts w:asciiTheme="minorHAnsi" w:hAnsiTheme="minorHAnsi"/>
          <w:snapToGrid w:val="0"/>
          <w:lang w:val="en-GB"/>
        </w:rPr>
        <w:t xml:space="preserve">). </w:t>
      </w:r>
      <w:r w:rsidR="0033776F" w:rsidRPr="0033776F">
        <w:rPr>
          <w:rFonts w:asciiTheme="minorHAnsi" w:hAnsiTheme="minorHAnsi"/>
          <w:snapToGrid w:val="0"/>
          <w:lang w:val="en-GB"/>
        </w:rPr>
        <w:t xml:space="preserve">The PBAC considered a risk sharing arrangement with expenditure caps based on the financial estimates (incorporating a revised price) with </w:t>
      </w:r>
      <w:r w:rsidR="00DA3714" w:rsidRPr="0086135B">
        <w:rPr>
          <w:rFonts w:asciiTheme="minorHAnsi" w:hAnsiTheme="minorHAnsi"/>
          <w:snapToGrid w:val="0"/>
          <w:color w:val="000000"/>
          <w:w w:val="15"/>
          <w:shd w:val="solid" w:color="000000" w:fill="000000"/>
          <w:fitText w:val="-20" w:id="-893663224"/>
          <w:lang w:val="en-GB"/>
          <w14:textFill>
            <w14:solidFill>
              <w14:srgbClr w14:val="000000">
                <w14:alpha w14:val="100000"/>
              </w14:srgbClr>
            </w14:solidFill>
          </w14:textFill>
        </w:rPr>
        <w:t xml:space="preserve">|  </w:t>
      </w:r>
      <w:r w:rsidR="00DA3714" w:rsidRPr="0086135B">
        <w:rPr>
          <w:rFonts w:asciiTheme="minorHAnsi" w:hAnsiTheme="minorHAnsi"/>
          <w:snapToGrid w:val="0"/>
          <w:color w:val="000000"/>
          <w:spacing w:val="-69"/>
          <w:w w:val="15"/>
          <w:shd w:val="solid" w:color="000000" w:fill="000000"/>
          <w:fitText w:val="-20" w:id="-893663224"/>
          <w:lang w:val="en-GB"/>
          <w14:textFill>
            <w14:solidFill>
              <w14:srgbClr w14:val="000000">
                <w14:alpha w14:val="100000"/>
              </w14:srgbClr>
            </w14:solidFill>
          </w14:textFill>
        </w:rPr>
        <w:t>|</w:t>
      </w:r>
      <w:r w:rsidR="0033776F" w:rsidRPr="0033776F">
        <w:rPr>
          <w:rFonts w:asciiTheme="minorHAnsi" w:hAnsiTheme="minorHAnsi"/>
          <w:snapToGrid w:val="0"/>
          <w:lang w:val="en-GB"/>
        </w:rPr>
        <w:t xml:space="preserve">% rebate over the caps would be reasonable to manage the risk that the duration of treatment is longer than </w:t>
      </w:r>
      <w:r w:rsidR="0033776F">
        <w:rPr>
          <w:rFonts w:asciiTheme="minorHAnsi" w:hAnsiTheme="minorHAnsi"/>
          <w:snapToGrid w:val="0"/>
          <w:lang w:val="en-GB"/>
        </w:rPr>
        <w:t>estimated</w:t>
      </w:r>
      <w:r w:rsidR="0033776F" w:rsidRPr="0033776F">
        <w:rPr>
          <w:rFonts w:asciiTheme="minorHAnsi" w:hAnsiTheme="minorHAnsi"/>
          <w:snapToGrid w:val="0"/>
          <w:lang w:val="en-GB"/>
        </w:rPr>
        <w:t>.</w:t>
      </w:r>
    </w:p>
    <w:p w14:paraId="40CFCF29" w14:textId="236F070B" w:rsidR="00AD0583" w:rsidRPr="00A776A3" w:rsidRDefault="007069C4" w:rsidP="00D47A46">
      <w:pPr>
        <w:pStyle w:val="3-BodyText"/>
        <w:rPr>
          <w:lang w:val="en-GB"/>
        </w:rPr>
      </w:pPr>
      <w:r w:rsidRPr="007069C4">
        <w:rPr>
          <w:lang w:val="en-GB"/>
        </w:rPr>
        <w:t xml:space="preserve">In terms of the proposed restriction, the PBAC considered that the line-agnostic restriction was appropriate. </w:t>
      </w:r>
      <w:r w:rsidR="00782083">
        <w:rPr>
          <w:lang w:val="en-GB"/>
        </w:rPr>
        <w:t xml:space="preserve">The PBAC agreed with the Secretariat suggestion regarding maximum quantities (see paragraph </w:t>
      </w:r>
      <w:r w:rsidR="00782083">
        <w:rPr>
          <w:lang w:val="en-GB"/>
        </w:rPr>
        <w:fldChar w:fldCharType="begin" w:fldLock="1"/>
      </w:r>
      <w:r w:rsidR="00782083">
        <w:rPr>
          <w:lang w:val="en-GB"/>
        </w:rPr>
        <w:instrText xml:space="preserve"> REF _Ref173133589 \r \h </w:instrText>
      </w:r>
      <w:r w:rsidR="00782083">
        <w:rPr>
          <w:lang w:val="en-GB"/>
        </w:rPr>
      </w:r>
      <w:r w:rsidR="00782083">
        <w:rPr>
          <w:lang w:val="en-GB"/>
        </w:rPr>
        <w:fldChar w:fldCharType="separate"/>
      </w:r>
      <w:r w:rsidR="00F979CE">
        <w:rPr>
          <w:lang w:val="en-GB"/>
        </w:rPr>
        <w:t>3.4</w:t>
      </w:r>
      <w:r w:rsidR="00782083">
        <w:rPr>
          <w:lang w:val="en-GB"/>
        </w:rPr>
        <w:fldChar w:fldCharType="end"/>
      </w:r>
      <w:r w:rsidR="00782083">
        <w:rPr>
          <w:lang w:val="en-GB"/>
        </w:rPr>
        <w:t>) and advised</w:t>
      </w:r>
      <w:r w:rsidR="00D47A46">
        <w:rPr>
          <w:lang w:val="en-GB"/>
        </w:rPr>
        <w:t xml:space="preserve"> </w:t>
      </w:r>
      <w:r w:rsidR="00143C78">
        <w:rPr>
          <w:rFonts w:cstheme="minorHAnsi"/>
        </w:rPr>
        <w:t xml:space="preserve">a </w:t>
      </w:r>
      <w:r w:rsidRPr="00A776A3">
        <w:rPr>
          <w:rFonts w:cstheme="minorHAnsi"/>
        </w:rPr>
        <w:t xml:space="preserve">prescribing instruction should </w:t>
      </w:r>
      <w:r w:rsidR="00AD0583">
        <w:rPr>
          <w:rFonts w:cstheme="minorHAnsi"/>
        </w:rPr>
        <w:t xml:space="preserve">be </w:t>
      </w:r>
      <w:r w:rsidRPr="00A776A3">
        <w:rPr>
          <w:rFonts w:cstheme="minorHAnsi"/>
        </w:rPr>
        <w:t xml:space="preserve">added to direct prescribers on prescribing </w:t>
      </w:r>
      <w:proofErr w:type="gramStart"/>
      <w:r w:rsidRPr="00A776A3">
        <w:rPr>
          <w:rFonts w:cstheme="minorHAnsi"/>
        </w:rPr>
        <w:t>the sufficient quantities</w:t>
      </w:r>
      <w:proofErr w:type="gramEnd"/>
      <w:r w:rsidRPr="00A776A3">
        <w:rPr>
          <w:rFonts w:cstheme="minorHAnsi"/>
        </w:rPr>
        <w:t xml:space="preserve"> according to their patient’s need.</w:t>
      </w:r>
      <w:r w:rsidRPr="007069C4">
        <w:rPr>
          <w:rFonts w:cstheme="minorHAnsi"/>
          <w:i/>
        </w:rPr>
        <w:t xml:space="preserve"> </w:t>
      </w:r>
      <w:r w:rsidR="00B41EE5">
        <w:rPr>
          <w:rFonts w:cstheme="minorHAnsi"/>
          <w:iCs/>
        </w:rPr>
        <w:t>The PBAC advised it would be appropriate to remove the administrative note “</w:t>
      </w:r>
      <w:r w:rsidR="00B41EE5" w:rsidRPr="00B41EE5">
        <w:rPr>
          <w:rFonts w:cstheme="minorHAnsi"/>
          <w:iCs/>
        </w:rPr>
        <w:t>No increase in the maximum quantity or number of units may be authorised</w:t>
      </w:r>
      <w:r w:rsidR="00B41EE5">
        <w:rPr>
          <w:rFonts w:cstheme="minorHAnsi"/>
          <w:iCs/>
        </w:rPr>
        <w:t>” from the 40 mg listing to allow clinicians to prescribe sufficient quantity for dose titration</w:t>
      </w:r>
      <w:r w:rsidR="00B41EE5" w:rsidRPr="00B41EE5">
        <w:rPr>
          <w:rFonts w:cstheme="minorHAnsi"/>
          <w:iCs/>
        </w:rPr>
        <w:t>.</w:t>
      </w:r>
      <w:r w:rsidR="00B41EE5">
        <w:rPr>
          <w:rFonts w:cstheme="minorHAnsi"/>
          <w:iCs/>
        </w:rPr>
        <w:t xml:space="preserve"> </w:t>
      </w:r>
      <w:r w:rsidR="00CB048B" w:rsidRPr="00244E87">
        <w:rPr>
          <w:rFonts w:cstheme="minorHAnsi"/>
          <w:iCs/>
        </w:rPr>
        <w:t xml:space="preserve">The PBAC noted that the restriction wording will </w:t>
      </w:r>
      <w:r w:rsidR="00244E87">
        <w:rPr>
          <w:rFonts w:cstheme="minorHAnsi"/>
          <w:iCs/>
        </w:rPr>
        <w:t xml:space="preserve">provide </w:t>
      </w:r>
      <w:r w:rsidR="00CB048B" w:rsidRPr="00244E87">
        <w:rPr>
          <w:rFonts w:cstheme="minorHAnsi"/>
          <w:iCs/>
        </w:rPr>
        <w:t>for initial, continuing and grandfather treatment in one treatment phase.</w:t>
      </w:r>
      <w:r w:rsidR="00B41EE5">
        <w:rPr>
          <w:rFonts w:cstheme="minorHAnsi"/>
          <w:iCs/>
        </w:rPr>
        <w:t xml:space="preserve"> </w:t>
      </w:r>
    </w:p>
    <w:p w14:paraId="0EE83F8C" w14:textId="6BFD7DEE" w:rsidR="00AD0583" w:rsidRPr="00BC5A69" w:rsidRDefault="007069C4" w:rsidP="00A776A3">
      <w:pPr>
        <w:widowControl w:val="0"/>
        <w:numPr>
          <w:ilvl w:val="1"/>
          <w:numId w:val="1"/>
        </w:numPr>
        <w:spacing w:after="120"/>
        <w:rPr>
          <w:lang w:val="en-GB"/>
        </w:rPr>
      </w:pPr>
      <w:r w:rsidRPr="00A776A3">
        <w:rPr>
          <w:rFonts w:asciiTheme="minorHAnsi" w:hAnsiTheme="minorHAnsi"/>
          <w:snapToGrid w:val="0"/>
          <w:lang w:val="en-GB"/>
        </w:rPr>
        <w:t>The PBAC noted that flow on changes to the PBS listing of pembrolizumab would be required to enable its use after selpercatinib.</w:t>
      </w:r>
      <w:r w:rsidR="00AD0583">
        <w:rPr>
          <w:rFonts w:asciiTheme="minorHAnsi" w:hAnsiTheme="minorHAnsi"/>
          <w:snapToGrid w:val="0"/>
          <w:lang w:val="en-GB"/>
        </w:rPr>
        <w:t xml:space="preserve"> </w:t>
      </w:r>
      <w:r w:rsidR="00AD0583">
        <w:t xml:space="preserve">The PBAC considered that the amendment of the pembrolizumab clinical criterion ‘the condition must have progressed after treatment with tepotinib’ to ‘the condition must have progressed after treatment with only one of: (i) tepotinib, (ii) selpercatinib’ was reasonable and should apply to pembrolizumab PBS item numbers: 11492W, 11494Y, 12119W and 12121Y. </w:t>
      </w:r>
    </w:p>
    <w:p w14:paraId="2C5BC54F" w14:textId="4EF5059E" w:rsidR="007069C4" w:rsidRDefault="007069C4" w:rsidP="00364C6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requested that future data from the LIBRETTO-431 be provided to the PBAC should it become available.</w:t>
      </w:r>
    </w:p>
    <w:p w14:paraId="27D75D53" w14:textId="5C87F18A" w:rsidR="007069C4" w:rsidRDefault="007069C4" w:rsidP="00364C6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selpercatinib was not suitable for prescribing by nurse practitioners.</w:t>
      </w:r>
    </w:p>
    <w:p w14:paraId="652FBC02" w14:textId="7B286106" w:rsidR="007069C4" w:rsidRDefault="007069C4" w:rsidP="00364C6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selpercatinib should not be treated as interchangeable with any other drugs.</w:t>
      </w:r>
    </w:p>
    <w:p w14:paraId="1E560BFF" w14:textId="77777777" w:rsidR="007069C4" w:rsidRDefault="007069C4" w:rsidP="007069C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selpercatinib should not be exempt from the Early Supply rule.</w:t>
      </w:r>
    </w:p>
    <w:bookmarkEnd w:id="86"/>
    <w:p w14:paraId="619E11FA" w14:textId="700F782F" w:rsidR="00861BF1" w:rsidRPr="00BC5A69" w:rsidRDefault="00861BF1" w:rsidP="00BC5A69">
      <w:pPr>
        <w:widowControl w:val="0"/>
        <w:numPr>
          <w:ilvl w:val="1"/>
          <w:numId w:val="1"/>
        </w:numPr>
        <w:spacing w:after="120"/>
        <w:rPr>
          <w:rFonts w:asciiTheme="minorHAnsi" w:hAnsiTheme="minorHAnsi"/>
          <w:snapToGrid w:val="0"/>
          <w:lang w:val="en-GB"/>
        </w:rPr>
      </w:pPr>
      <w:r w:rsidRPr="00BC5A69">
        <w:rPr>
          <w:rFonts w:asciiTheme="minorHAnsi" w:hAnsiTheme="minorHAnsi" w:cstheme="minorHAnsi"/>
          <w:lang w:val="en-GB"/>
        </w:rPr>
        <w:t xml:space="preserve">The PBAC found that the criteria prescribed by the </w:t>
      </w:r>
      <w:r w:rsidRPr="00BC5A69">
        <w:rPr>
          <w:rFonts w:asciiTheme="minorHAnsi" w:hAnsiTheme="minorHAnsi" w:cstheme="minorHAnsi"/>
          <w:i/>
          <w:lang w:val="en-GB"/>
        </w:rPr>
        <w:t>National Health (Pharmaceuticals and Vaccines – Cost Recovery) Regulations 2022</w:t>
      </w:r>
      <w:r w:rsidRPr="00BC5A69">
        <w:rPr>
          <w:rFonts w:asciiTheme="minorHAnsi" w:hAnsiTheme="minorHAnsi" w:cstheme="minorHAnsi"/>
          <w:lang w:val="en-GB"/>
        </w:rPr>
        <w:t xml:space="preserve"> for Pricing Pathway A were not] met. Specifically</w:t>
      </w:r>
      <w:r w:rsidR="007069C4">
        <w:rPr>
          <w:rFonts w:asciiTheme="minorHAnsi" w:hAnsiTheme="minorHAnsi" w:cstheme="minorHAnsi"/>
          <w:lang w:val="en-GB"/>
        </w:rPr>
        <w:t>,</w:t>
      </w:r>
      <w:r w:rsidRPr="00BC5A69">
        <w:rPr>
          <w:rFonts w:asciiTheme="minorHAnsi" w:hAnsiTheme="minorHAnsi" w:cstheme="minorHAnsi"/>
          <w:lang w:val="en-GB"/>
        </w:rPr>
        <w:t xml:space="preserve"> the PBAC found that in the circumstances of its recommendation for </w:t>
      </w:r>
      <w:r w:rsidR="007069C4" w:rsidRPr="00BC5A69">
        <w:rPr>
          <w:rFonts w:asciiTheme="minorHAnsi" w:hAnsiTheme="minorHAnsi" w:cstheme="minorHAnsi"/>
          <w:lang w:val="en-GB"/>
        </w:rPr>
        <w:t>selpercatinib</w:t>
      </w:r>
      <w:r w:rsidRPr="00BC5A69">
        <w:rPr>
          <w:rFonts w:asciiTheme="minorHAnsi" w:hAnsiTheme="minorHAnsi" w:cstheme="minorHAnsi"/>
          <w:lang w:val="en-GB"/>
        </w:rPr>
        <w:t>:</w:t>
      </w:r>
    </w:p>
    <w:p w14:paraId="08248E5F" w14:textId="795B3FFA" w:rsidR="00861BF1" w:rsidRPr="00BC5A69" w:rsidRDefault="00CF72AD" w:rsidP="007069C4">
      <w:pPr>
        <w:widowControl w:val="0"/>
        <w:numPr>
          <w:ilvl w:val="1"/>
          <w:numId w:val="29"/>
        </w:numPr>
        <w:spacing w:after="120"/>
        <w:ind w:left="1080"/>
        <w:rPr>
          <w:rFonts w:asciiTheme="minorHAnsi" w:hAnsiTheme="minorHAnsi" w:cstheme="minorHAnsi"/>
          <w:lang w:val="en-GB"/>
        </w:rPr>
      </w:pPr>
      <w:r w:rsidRPr="000C77A2">
        <w:lastRenderedPageBreak/>
        <w:t xml:space="preserve">The treatment is not expected to provide a substantial and clinically relevant improvement in efficacy, over alternative therapies, given the magnitude of </w:t>
      </w:r>
      <w:r>
        <w:t xml:space="preserve">OS </w:t>
      </w:r>
      <w:r w:rsidRPr="000C77A2">
        <w:t>benefit is highly uncertain</w:t>
      </w:r>
      <w:r>
        <w:t>.</w:t>
      </w:r>
    </w:p>
    <w:p w14:paraId="7D769139" w14:textId="065DFDAF" w:rsidR="00861BF1" w:rsidRPr="00BC5A69" w:rsidRDefault="00861BF1" w:rsidP="007069C4">
      <w:pPr>
        <w:widowControl w:val="0"/>
        <w:numPr>
          <w:ilvl w:val="1"/>
          <w:numId w:val="29"/>
        </w:numPr>
        <w:spacing w:after="120"/>
        <w:ind w:left="1080"/>
        <w:rPr>
          <w:rFonts w:asciiTheme="minorHAnsi" w:hAnsiTheme="minorHAnsi" w:cstheme="minorHAnsi"/>
          <w:lang w:val="en-GB"/>
        </w:rPr>
      </w:pPr>
      <w:r w:rsidRPr="00BC5A69">
        <w:rPr>
          <w:rFonts w:asciiTheme="minorHAnsi" w:hAnsiTheme="minorHAnsi" w:cstheme="minorHAnsi"/>
          <w:lang w:val="en-GB"/>
        </w:rPr>
        <w:t>The treatment is not expected to address a high and urgent unmet clinical need</w:t>
      </w:r>
      <w:r w:rsidR="007069C4" w:rsidRPr="00BC5A69">
        <w:rPr>
          <w:rFonts w:asciiTheme="minorHAnsi" w:hAnsiTheme="minorHAnsi" w:cstheme="minorHAnsi"/>
          <w:lang w:val="en-GB"/>
        </w:rPr>
        <w:t xml:space="preserve"> as other therapies for this condition are available on the PBS</w:t>
      </w:r>
      <w:r w:rsidRPr="00BC5A69">
        <w:rPr>
          <w:rFonts w:asciiTheme="minorHAnsi" w:hAnsiTheme="minorHAnsi" w:cstheme="minorHAnsi"/>
          <w:lang w:val="en-GB"/>
        </w:rPr>
        <w:t>;</w:t>
      </w:r>
    </w:p>
    <w:p w14:paraId="5ED4951E" w14:textId="68B1A77B" w:rsidR="00861BF1" w:rsidRPr="00BC5A69" w:rsidRDefault="00861BF1" w:rsidP="007069C4">
      <w:pPr>
        <w:widowControl w:val="0"/>
        <w:numPr>
          <w:ilvl w:val="1"/>
          <w:numId w:val="29"/>
        </w:numPr>
        <w:spacing w:after="120"/>
        <w:ind w:left="1080"/>
        <w:rPr>
          <w:rFonts w:asciiTheme="minorHAnsi" w:hAnsiTheme="minorHAnsi" w:cstheme="minorHAnsi"/>
          <w:lang w:val="en-GB"/>
        </w:rPr>
      </w:pPr>
      <w:r w:rsidRPr="00BC5A69">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7069C4" w:rsidRPr="00BC5A69">
        <w:rPr>
          <w:rFonts w:asciiTheme="minorHAnsi" w:hAnsiTheme="minorHAnsi" w:cstheme="minorHAnsi"/>
          <w:lang w:val="en-GB"/>
        </w:rPr>
        <w:t>.</w:t>
      </w:r>
    </w:p>
    <w:p w14:paraId="0CE42E57" w14:textId="77777777" w:rsidR="007069C4" w:rsidRPr="007069C4" w:rsidRDefault="00861BF1" w:rsidP="00861BF1">
      <w:pPr>
        <w:widowControl w:val="0"/>
        <w:numPr>
          <w:ilvl w:val="1"/>
          <w:numId w:val="1"/>
        </w:numPr>
        <w:spacing w:after="120"/>
        <w:rPr>
          <w:rFonts w:asciiTheme="minorHAnsi" w:hAnsiTheme="minorHAnsi"/>
          <w:bCs/>
          <w:snapToGrid w:val="0"/>
          <w:lang w:val="en-GB"/>
        </w:rPr>
      </w:pPr>
      <w:r w:rsidRPr="007069C4">
        <w:rPr>
          <w:rFonts w:asciiTheme="minorHAnsi" w:hAnsiTheme="minorHAnsi"/>
          <w:bCs/>
          <w:snapToGrid w:val="0"/>
          <w:lang w:val="en-GB"/>
        </w:rPr>
        <w:t>The PBAC noted that this submission is not eligible for an Independent Review</w:t>
      </w:r>
      <w:r w:rsidR="007069C4" w:rsidRPr="007069C4">
        <w:rPr>
          <w:rFonts w:asciiTheme="minorHAnsi" w:hAnsiTheme="minorHAnsi"/>
          <w:bCs/>
          <w:snapToGrid w:val="0"/>
          <w:lang w:val="en-GB"/>
        </w:rPr>
        <w:t xml:space="preserve"> as it received a positive recommendation</w:t>
      </w:r>
      <w:r w:rsidRPr="00BC5A69">
        <w:rPr>
          <w:rFonts w:asciiTheme="minorHAnsi" w:hAnsiTheme="minorHAnsi"/>
          <w:bCs/>
          <w:i/>
          <w:iCs/>
          <w:snapToGrid w:val="0"/>
          <w:lang w:val="en-GB"/>
        </w:rPr>
        <w:t>.</w:t>
      </w:r>
    </w:p>
    <w:p w14:paraId="0436E46F" w14:textId="77777777" w:rsidR="00861BF1" w:rsidRPr="007069C4" w:rsidRDefault="00861BF1" w:rsidP="00861BF1">
      <w:pPr>
        <w:spacing w:before="240"/>
        <w:rPr>
          <w:rFonts w:asciiTheme="minorHAnsi" w:hAnsiTheme="minorHAnsi"/>
          <w:b/>
          <w:bCs/>
          <w:snapToGrid w:val="0"/>
          <w:lang w:val="en-GB"/>
        </w:rPr>
      </w:pPr>
      <w:r w:rsidRPr="007069C4">
        <w:rPr>
          <w:rFonts w:asciiTheme="minorHAnsi" w:hAnsiTheme="minorHAnsi"/>
          <w:b/>
          <w:bCs/>
          <w:snapToGrid w:val="0"/>
          <w:lang w:val="en-GB"/>
        </w:rPr>
        <w:t>Outcome:</w:t>
      </w:r>
    </w:p>
    <w:p w14:paraId="48E61D36" w14:textId="3E845F53" w:rsidR="00861BF1" w:rsidRPr="007069C4" w:rsidRDefault="00861BF1" w:rsidP="00861BF1">
      <w:pPr>
        <w:rPr>
          <w:rFonts w:asciiTheme="minorHAnsi" w:hAnsiTheme="minorHAnsi"/>
          <w:bCs/>
          <w:snapToGrid w:val="0"/>
          <w:lang w:val="en-GB"/>
        </w:rPr>
      </w:pPr>
      <w:r w:rsidRPr="007069C4">
        <w:rPr>
          <w:rFonts w:asciiTheme="minorHAnsi" w:hAnsiTheme="minorHAnsi"/>
          <w:bCs/>
          <w:snapToGrid w:val="0"/>
          <w:lang w:val="en-GB"/>
        </w:rPr>
        <w:t xml:space="preserve">Recommended </w:t>
      </w:r>
    </w:p>
    <w:bookmarkEnd w:id="84"/>
    <w:p w14:paraId="5995C17A" w14:textId="10C6D8FD" w:rsidR="00364C6C" w:rsidRPr="00BC5A69" w:rsidRDefault="00861BF1" w:rsidP="00AD0583">
      <w:pPr>
        <w:pStyle w:val="2-SectionHeading"/>
      </w:pPr>
      <w:r w:rsidRPr="00BC5A69">
        <w:t>Recommended listing</w:t>
      </w:r>
    </w:p>
    <w:p w14:paraId="4399A21F" w14:textId="7840D443" w:rsidR="00861BF1" w:rsidRPr="00BC5A69" w:rsidRDefault="00861BF1" w:rsidP="00BC5A69">
      <w:pPr>
        <w:pStyle w:val="3-BodyText"/>
        <w:rPr>
          <w:rStyle w:val="3-BodyTextChar"/>
          <w:bCs/>
        </w:rPr>
      </w:pPr>
      <w:r w:rsidRPr="00BC5A69">
        <w:rPr>
          <w:rStyle w:val="3-BodyTextChar"/>
          <w:bCs/>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538"/>
        <w:gridCol w:w="2322"/>
        <w:gridCol w:w="1134"/>
        <w:gridCol w:w="993"/>
        <w:gridCol w:w="1134"/>
        <w:gridCol w:w="708"/>
        <w:gridCol w:w="1701"/>
      </w:tblGrid>
      <w:tr w:rsidR="00AD0583" w:rsidRPr="00AD0583" w14:paraId="5E41D6EA" w14:textId="77777777" w:rsidTr="00EB0165">
        <w:trPr>
          <w:cantSplit/>
          <w:trHeight w:val="471"/>
        </w:trPr>
        <w:tc>
          <w:tcPr>
            <w:tcW w:w="3397" w:type="dxa"/>
            <w:gridSpan w:val="3"/>
          </w:tcPr>
          <w:p w14:paraId="3F297EC5" w14:textId="77777777" w:rsidR="00AD0583" w:rsidRPr="00AD0583" w:rsidRDefault="00AD0583" w:rsidP="00EB0165">
            <w:pPr>
              <w:keepNext/>
              <w:ind w:left="-57"/>
              <w:rPr>
                <w:rFonts w:ascii="Arial Narrow" w:eastAsia="Calibri" w:hAnsi="Arial Narrow"/>
                <w:b/>
                <w:bCs/>
                <w:sz w:val="20"/>
                <w:szCs w:val="20"/>
              </w:rPr>
            </w:pPr>
            <w:r w:rsidRPr="00AD0583">
              <w:rPr>
                <w:rFonts w:ascii="Arial Narrow" w:eastAsia="Calibri" w:hAnsi="Arial Narrow"/>
                <w:b/>
                <w:bCs/>
                <w:sz w:val="20"/>
                <w:szCs w:val="20"/>
              </w:rPr>
              <w:t>MEDICINAL PRODUCT</w:t>
            </w:r>
          </w:p>
          <w:p w14:paraId="35F1172C" w14:textId="77777777" w:rsidR="00AD0583" w:rsidRPr="00AD0583" w:rsidRDefault="00AD0583" w:rsidP="00EB0165">
            <w:pPr>
              <w:keepNext/>
              <w:ind w:left="-57"/>
              <w:rPr>
                <w:rFonts w:ascii="Arial Narrow" w:eastAsia="Calibri" w:hAnsi="Arial Narrow"/>
                <w:b/>
                <w:sz w:val="20"/>
                <w:szCs w:val="20"/>
              </w:rPr>
            </w:pPr>
            <w:r w:rsidRPr="00AD0583">
              <w:rPr>
                <w:rFonts w:ascii="Arial Narrow" w:eastAsia="Calibri" w:hAnsi="Arial Narrow"/>
                <w:b/>
                <w:bCs/>
                <w:sz w:val="20"/>
                <w:szCs w:val="20"/>
              </w:rPr>
              <w:t>medicinal product pack</w:t>
            </w:r>
          </w:p>
        </w:tc>
        <w:tc>
          <w:tcPr>
            <w:tcW w:w="1134" w:type="dxa"/>
          </w:tcPr>
          <w:p w14:paraId="7D12B106"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PBS item code</w:t>
            </w:r>
          </w:p>
        </w:tc>
        <w:tc>
          <w:tcPr>
            <w:tcW w:w="993" w:type="dxa"/>
          </w:tcPr>
          <w:p w14:paraId="511E1C4E"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Max. qty packs</w:t>
            </w:r>
          </w:p>
        </w:tc>
        <w:tc>
          <w:tcPr>
            <w:tcW w:w="1134" w:type="dxa"/>
          </w:tcPr>
          <w:p w14:paraId="0B30B02F"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Max. qty units</w:t>
            </w:r>
          </w:p>
        </w:tc>
        <w:tc>
          <w:tcPr>
            <w:tcW w:w="708" w:type="dxa"/>
          </w:tcPr>
          <w:p w14:paraId="65E3B85D"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№.of</w:t>
            </w:r>
          </w:p>
          <w:p w14:paraId="6C24B7F3"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Rpts</w:t>
            </w:r>
          </w:p>
        </w:tc>
        <w:tc>
          <w:tcPr>
            <w:tcW w:w="1701" w:type="dxa"/>
          </w:tcPr>
          <w:p w14:paraId="57B1E242" w14:textId="77777777" w:rsidR="00AD0583" w:rsidRPr="00AD0583" w:rsidRDefault="00AD0583" w:rsidP="00EB0165">
            <w:pPr>
              <w:keepNext/>
              <w:ind w:left="-57"/>
              <w:rPr>
                <w:rFonts w:ascii="Arial Narrow" w:eastAsia="Calibri" w:hAnsi="Arial Narrow"/>
                <w:b/>
                <w:sz w:val="20"/>
                <w:szCs w:val="20"/>
                <w:lang w:val="fr-FR"/>
              </w:rPr>
            </w:pPr>
            <w:r w:rsidRPr="00AD0583">
              <w:rPr>
                <w:rFonts w:ascii="Arial Narrow" w:eastAsia="Calibri" w:hAnsi="Arial Narrow"/>
                <w:b/>
                <w:sz w:val="20"/>
                <w:szCs w:val="20"/>
              </w:rPr>
              <w:t>Available brands</w:t>
            </w:r>
          </w:p>
        </w:tc>
      </w:tr>
      <w:tr w:rsidR="00AD0583" w:rsidRPr="00AD0583" w14:paraId="627E5648" w14:textId="77777777" w:rsidTr="00EB0165">
        <w:trPr>
          <w:cantSplit/>
          <w:trHeight w:val="224"/>
        </w:trPr>
        <w:tc>
          <w:tcPr>
            <w:tcW w:w="9067" w:type="dxa"/>
            <w:gridSpan w:val="8"/>
          </w:tcPr>
          <w:p w14:paraId="1EDEC027" w14:textId="77777777" w:rsidR="00AD0583" w:rsidRPr="00AD0583" w:rsidRDefault="00AD0583" w:rsidP="00EB0165">
            <w:pPr>
              <w:keepNext/>
              <w:ind w:left="-57"/>
              <w:rPr>
                <w:rFonts w:ascii="Arial Narrow" w:eastAsia="Calibri" w:hAnsi="Arial Narrow"/>
                <w:sz w:val="20"/>
                <w:szCs w:val="20"/>
              </w:rPr>
            </w:pPr>
            <w:r w:rsidRPr="00AD0583">
              <w:rPr>
                <w:rFonts w:ascii="Arial Narrow" w:eastAsia="Calibri" w:hAnsi="Arial Narrow"/>
                <w:sz w:val="20"/>
                <w:szCs w:val="20"/>
              </w:rPr>
              <w:t xml:space="preserve">SELPERCATINIB </w:t>
            </w:r>
          </w:p>
        </w:tc>
      </w:tr>
      <w:tr w:rsidR="00AD0583" w:rsidRPr="00AD0583" w14:paraId="3A3006A3" w14:textId="77777777" w:rsidTr="00EB0165">
        <w:trPr>
          <w:cantSplit/>
          <w:trHeight w:val="347"/>
        </w:trPr>
        <w:tc>
          <w:tcPr>
            <w:tcW w:w="3397" w:type="dxa"/>
            <w:gridSpan w:val="3"/>
          </w:tcPr>
          <w:p w14:paraId="23C0F840" w14:textId="77777777" w:rsidR="00AD0583" w:rsidRPr="00AD0583" w:rsidRDefault="00AD0583" w:rsidP="00EB0165">
            <w:pPr>
              <w:keepNext/>
              <w:ind w:left="-57"/>
              <w:jc w:val="left"/>
              <w:rPr>
                <w:rFonts w:ascii="Arial Narrow" w:eastAsia="Calibri" w:hAnsi="Arial Narrow"/>
                <w:sz w:val="20"/>
                <w:szCs w:val="20"/>
              </w:rPr>
            </w:pPr>
            <w:r w:rsidRPr="00AD0583">
              <w:rPr>
                <w:rFonts w:ascii="Arial Narrow" w:eastAsia="Calibri" w:hAnsi="Arial Narrow"/>
                <w:sz w:val="20"/>
                <w:szCs w:val="20"/>
              </w:rPr>
              <w:t>selpercatinib 40 mg modified release capsule, 56</w:t>
            </w:r>
          </w:p>
        </w:tc>
        <w:tc>
          <w:tcPr>
            <w:tcW w:w="1134" w:type="dxa"/>
          </w:tcPr>
          <w:p w14:paraId="3D007EE6" w14:textId="77777777" w:rsidR="00AD0583" w:rsidRPr="00AD0583" w:rsidRDefault="00AD0583" w:rsidP="00EB0165">
            <w:pPr>
              <w:keepNext/>
              <w:ind w:left="-57"/>
              <w:jc w:val="center"/>
              <w:rPr>
                <w:rFonts w:ascii="Arial Narrow" w:eastAsia="Calibri" w:hAnsi="Arial Narrow"/>
                <w:sz w:val="20"/>
                <w:szCs w:val="20"/>
              </w:rPr>
            </w:pPr>
            <w:r w:rsidRPr="00AD0583">
              <w:rPr>
                <w:rFonts w:ascii="Arial Narrow" w:eastAsia="Calibri" w:hAnsi="Arial Narrow"/>
                <w:sz w:val="20"/>
                <w:szCs w:val="20"/>
              </w:rPr>
              <w:t xml:space="preserve">NEW 1 </w:t>
            </w:r>
          </w:p>
          <w:p w14:paraId="57111A9D" w14:textId="77777777" w:rsidR="00AD0583" w:rsidRPr="00AD0583" w:rsidRDefault="00AD0583" w:rsidP="00EB0165">
            <w:pPr>
              <w:keepNext/>
              <w:ind w:left="-57"/>
              <w:jc w:val="center"/>
              <w:rPr>
                <w:rFonts w:ascii="Arial Narrow" w:eastAsia="Calibri" w:hAnsi="Arial Narrow"/>
                <w:sz w:val="20"/>
                <w:szCs w:val="20"/>
                <w:vertAlign w:val="superscript"/>
              </w:rPr>
            </w:pPr>
            <w:r w:rsidRPr="00AD0583">
              <w:rPr>
                <w:rFonts w:ascii="Arial Narrow" w:eastAsia="Calibri" w:hAnsi="Arial Narrow"/>
                <w:sz w:val="20"/>
                <w:szCs w:val="20"/>
                <w:vertAlign w:val="superscript"/>
              </w:rPr>
              <w:t>MP</w:t>
            </w:r>
          </w:p>
        </w:tc>
        <w:tc>
          <w:tcPr>
            <w:tcW w:w="993" w:type="dxa"/>
          </w:tcPr>
          <w:p w14:paraId="4636E9CD" w14:textId="77777777" w:rsidR="00AD0583" w:rsidRPr="00AD0583" w:rsidRDefault="00AD0583" w:rsidP="00EB0165">
            <w:pPr>
              <w:keepNext/>
              <w:ind w:left="-57"/>
              <w:jc w:val="center"/>
              <w:rPr>
                <w:rFonts w:ascii="Arial Narrow" w:eastAsia="Calibri" w:hAnsi="Arial Narrow"/>
                <w:sz w:val="20"/>
                <w:szCs w:val="20"/>
              </w:rPr>
            </w:pPr>
            <w:r w:rsidRPr="00AD0583">
              <w:rPr>
                <w:rFonts w:ascii="Arial Narrow" w:eastAsia="Calibri" w:hAnsi="Arial Narrow"/>
                <w:sz w:val="20"/>
                <w:szCs w:val="20"/>
              </w:rPr>
              <w:t>1</w:t>
            </w:r>
          </w:p>
        </w:tc>
        <w:tc>
          <w:tcPr>
            <w:tcW w:w="1134" w:type="dxa"/>
          </w:tcPr>
          <w:p w14:paraId="43B44579" w14:textId="77777777" w:rsidR="00AD0583" w:rsidRPr="00AD0583" w:rsidRDefault="00AD0583" w:rsidP="00EB0165">
            <w:pPr>
              <w:keepNext/>
              <w:ind w:left="-57"/>
              <w:jc w:val="center"/>
              <w:rPr>
                <w:rFonts w:ascii="Arial Narrow" w:eastAsia="Calibri" w:hAnsi="Arial Narrow"/>
                <w:sz w:val="20"/>
                <w:szCs w:val="20"/>
              </w:rPr>
            </w:pPr>
            <w:r w:rsidRPr="00AD0583">
              <w:rPr>
                <w:rFonts w:ascii="Arial Narrow" w:eastAsia="Calibri" w:hAnsi="Arial Narrow"/>
                <w:sz w:val="20"/>
                <w:szCs w:val="20"/>
              </w:rPr>
              <w:t>56</w:t>
            </w:r>
          </w:p>
        </w:tc>
        <w:tc>
          <w:tcPr>
            <w:tcW w:w="708" w:type="dxa"/>
          </w:tcPr>
          <w:p w14:paraId="75DA114A" w14:textId="77777777" w:rsidR="00AD0583" w:rsidRPr="00AD0583" w:rsidRDefault="00AD0583" w:rsidP="00EB0165">
            <w:pPr>
              <w:keepNext/>
              <w:ind w:left="-57"/>
              <w:jc w:val="center"/>
              <w:rPr>
                <w:rFonts w:ascii="Arial Narrow" w:eastAsia="Calibri" w:hAnsi="Arial Narrow"/>
                <w:sz w:val="20"/>
                <w:szCs w:val="20"/>
              </w:rPr>
            </w:pPr>
            <w:r w:rsidRPr="00AD0583">
              <w:rPr>
                <w:rFonts w:ascii="Arial Narrow" w:eastAsia="Calibri" w:hAnsi="Arial Narrow"/>
                <w:sz w:val="20"/>
                <w:szCs w:val="20"/>
              </w:rPr>
              <w:t>5</w:t>
            </w:r>
          </w:p>
        </w:tc>
        <w:tc>
          <w:tcPr>
            <w:tcW w:w="1701" w:type="dxa"/>
          </w:tcPr>
          <w:p w14:paraId="49D63805" w14:textId="77777777" w:rsidR="00AD0583" w:rsidRPr="00AD0583" w:rsidRDefault="00AD0583" w:rsidP="00EB0165">
            <w:pPr>
              <w:keepNext/>
              <w:ind w:left="-57"/>
              <w:rPr>
                <w:rFonts w:ascii="Arial Narrow" w:eastAsia="Calibri" w:hAnsi="Arial Narrow"/>
                <w:sz w:val="20"/>
                <w:szCs w:val="20"/>
              </w:rPr>
            </w:pPr>
            <w:r w:rsidRPr="00AD0583">
              <w:rPr>
                <w:rFonts w:ascii="Arial Narrow" w:eastAsia="Calibri" w:hAnsi="Arial Narrow"/>
                <w:sz w:val="20"/>
                <w:szCs w:val="20"/>
              </w:rPr>
              <w:t>Retevmo</w:t>
            </w:r>
          </w:p>
        </w:tc>
      </w:tr>
      <w:tr w:rsidR="00AD0583" w:rsidRPr="00AD0583" w14:paraId="1C3E232B" w14:textId="77777777" w:rsidTr="00EB0165">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F7B677E" w14:textId="77777777" w:rsidR="00AD0583" w:rsidRPr="00AD0583" w:rsidRDefault="00AD0583" w:rsidP="00EB0165">
            <w:pPr>
              <w:jc w:val="right"/>
              <w:rPr>
                <w:rFonts w:ascii="Arial Narrow" w:eastAsia="Calibri" w:hAnsi="Arial Narrow"/>
                <w:bCs/>
                <w:sz w:val="20"/>
                <w:szCs w:val="20"/>
              </w:rPr>
            </w:pPr>
            <w:r w:rsidRPr="00AD0583">
              <w:rPr>
                <w:rFonts w:ascii="Arial Narrow" w:eastAsia="Calibri" w:hAnsi="Arial Narrow"/>
                <w:bCs/>
                <w:sz w:val="20"/>
                <w:szCs w:val="20"/>
              </w:rPr>
              <w:t>Safety Net rule penalty applies? Yes</w:t>
            </w:r>
          </w:p>
        </w:tc>
      </w:tr>
      <w:tr w:rsidR="00AD0583" w:rsidRPr="00AD0583" w14:paraId="749EC02C" w14:textId="77777777" w:rsidTr="00EB0165">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tcPr>
          <w:p w14:paraId="16D7ECA9" w14:textId="77777777" w:rsidR="00AD0583" w:rsidRPr="00AD0583" w:rsidRDefault="00AD0583" w:rsidP="00EB0165">
            <w:pPr>
              <w:rPr>
                <w:rFonts w:ascii="Arial Narrow" w:eastAsia="Calibri" w:hAnsi="Arial Narrow"/>
                <w:b/>
                <w:sz w:val="20"/>
                <w:szCs w:val="20"/>
              </w:rPr>
            </w:pPr>
          </w:p>
        </w:tc>
      </w:tr>
      <w:tr w:rsidR="00AD0583" w:rsidRPr="00AD0583" w14:paraId="59D44D0C" w14:textId="77777777" w:rsidTr="00EB0165">
        <w:tblPrEx>
          <w:tblCellMar>
            <w:top w:w="15" w:type="dxa"/>
            <w:left w:w="15" w:type="dxa"/>
            <w:bottom w:w="15" w:type="dxa"/>
            <w:right w:w="15" w:type="dxa"/>
          </w:tblCellMar>
          <w:tblLook w:val="04A0" w:firstRow="1" w:lastRow="0" w:firstColumn="1" w:lastColumn="0" w:noHBand="0" w:noVBand="1"/>
        </w:tblPrEx>
        <w:trPr>
          <w:trHeight w:val="282"/>
        </w:trPr>
        <w:tc>
          <w:tcPr>
            <w:tcW w:w="9067" w:type="dxa"/>
            <w:gridSpan w:val="8"/>
            <w:vAlign w:val="center"/>
          </w:tcPr>
          <w:p w14:paraId="093F3B58" w14:textId="77777777" w:rsidR="00AD0583" w:rsidRPr="00AD0583" w:rsidRDefault="00AD0583" w:rsidP="00EB0165">
            <w:pPr>
              <w:rPr>
                <w:rFonts w:ascii="Arial Narrow" w:hAnsi="Arial Narrow"/>
                <w:b/>
                <w:bCs/>
                <w:color w:val="333333"/>
                <w:sz w:val="20"/>
                <w:szCs w:val="20"/>
              </w:rPr>
            </w:pPr>
            <w:r w:rsidRPr="00AD0583">
              <w:rPr>
                <w:rFonts w:ascii="Arial Narrow" w:hAnsi="Arial Narrow"/>
                <w:b/>
                <w:sz w:val="20"/>
                <w:szCs w:val="20"/>
              </w:rPr>
              <w:t xml:space="preserve">Restriction Summary [new 1] / Treatment of Concept: [new 1.1] </w:t>
            </w:r>
          </w:p>
        </w:tc>
      </w:tr>
      <w:tr w:rsidR="00AD0583" w:rsidRPr="00AD0583" w14:paraId="563B593A"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Merge w:val="restart"/>
            <w:vAlign w:val="center"/>
          </w:tcPr>
          <w:p w14:paraId="409CBA66" w14:textId="77777777" w:rsidR="00AD0583" w:rsidRPr="00AD0583" w:rsidRDefault="00AD0583" w:rsidP="00EB0165">
            <w:pPr>
              <w:jc w:val="center"/>
              <w:rPr>
                <w:rFonts w:ascii="Arial Narrow" w:hAnsi="Arial Narrow"/>
                <w:color w:val="333333"/>
                <w:sz w:val="20"/>
                <w:szCs w:val="20"/>
              </w:rPr>
            </w:pPr>
            <w:r w:rsidRPr="00AD0583">
              <w:rPr>
                <w:rFonts w:ascii="Arial Narrow" w:hAnsi="Arial Narrow"/>
                <w:color w:val="333333"/>
                <w:sz w:val="20"/>
                <w:szCs w:val="20"/>
              </w:rPr>
              <w:t>Concept ID – for internal use only</w:t>
            </w:r>
          </w:p>
        </w:tc>
        <w:tc>
          <w:tcPr>
            <w:tcW w:w="7992" w:type="dxa"/>
            <w:gridSpan w:val="6"/>
            <w:vAlign w:val="center"/>
          </w:tcPr>
          <w:p w14:paraId="57A7AA41" w14:textId="77777777" w:rsidR="00AD0583" w:rsidRPr="00AD0583" w:rsidRDefault="00AD0583" w:rsidP="00EB0165">
            <w:pPr>
              <w:rPr>
                <w:rFonts w:ascii="Arial Narrow" w:hAnsi="Arial Narrow"/>
                <w:b/>
                <w:bCs/>
                <w:color w:val="333333"/>
                <w:sz w:val="20"/>
                <w:szCs w:val="20"/>
              </w:rPr>
            </w:pPr>
            <w:r w:rsidRPr="00AD0583">
              <w:rPr>
                <w:rFonts w:ascii="Arial Narrow" w:hAnsi="Arial Narrow"/>
                <w:b/>
                <w:bCs/>
                <w:color w:val="333333"/>
                <w:sz w:val="20"/>
                <w:szCs w:val="20"/>
              </w:rPr>
              <w:t xml:space="preserve">Category / Program: </w:t>
            </w:r>
            <w:r w:rsidRPr="00AD0583">
              <w:rPr>
                <w:rFonts w:ascii="Arial Narrow" w:eastAsia="Calibri" w:hAnsi="Arial Narrow"/>
                <w:sz w:val="20"/>
                <w:szCs w:val="20"/>
              </w:rPr>
              <w:t>GENERAL – General Schedule (Code GE)</w:t>
            </w:r>
          </w:p>
        </w:tc>
      </w:tr>
      <w:tr w:rsidR="00AD0583" w:rsidRPr="00AD0583" w14:paraId="03EFAA43"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Merge/>
            <w:vAlign w:val="center"/>
          </w:tcPr>
          <w:p w14:paraId="3DDAE933"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12312F48" w14:textId="77777777" w:rsidR="00AD0583" w:rsidRPr="00AD0583" w:rsidRDefault="00AD0583" w:rsidP="00EB0165">
            <w:pPr>
              <w:rPr>
                <w:rFonts w:ascii="Arial Narrow" w:hAnsi="Arial Narrow"/>
                <w:b/>
                <w:bCs/>
                <w:color w:val="333333"/>
                <w:sz w:val="20"/>
                <w:szCs w:val="20"/>
              </w:rPr>
            </w:pPr>
            <w:r w:rsidRPr="00AD0583">
              <w:rPr>
                <w:rFonts w:ascii="Arial Narrow" w:hAnsi="Arial Narrow"/>
                <w:b/>
                <w:bCs/>
                <w:color w:val="333333"/>
                <w:sz w:val="20"/>
                <w:szCs w:val="20"/>
              </w:rPr>
              <w:t xml:space="preserve">Prescriber type: </w:t>
            </w:r>
            <w:r w:rsidRPr="00AD0583">
              <w:rPr>
                <w:rFonts w:ascii="Arial Narrow" w:hAnsi="Arial Narrow"/>
                <w:sz w:val="20"/>
                <w:szCs w:val="20"/>
              </w:rPr>
              <w:fldChar w:fldCharType="begin" w:fldLock="1">
                <w:ffData>
                  <w:name w:val=""/>
                  <w:enabled/>
                  <w:calcOnExit w:val="0"/>
                  <w:checkBox>
                    <w:sizeAuto/>
                    <w:default w:val="1"/>
                  </w:checkBox>
                </w:ffData>
              </w:fldChar>
            </w:r>
            <w:r w:rsidRPr="00AD0583">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AD0583">
              <w:rPr>
                <w:rFonts w:ascii="Arial Narrow" w:hAnsi="Arial Narrow"/>
                <w:sz w:val="20"/>
                <w:szCs w:val="20"/>
              </w:rPr>
              <w:fldChar w:fldCharType="end"/>
            </w:r>
            <w:r w:rsidRPr="00AD0583">
              <w:rPr>
                <w:rFonts w:ascii="Arial Narrow" w:hAnsi="Arial Narrow"/>
                <w:sz w:val="20"/>
                <w:szCs w:val="20"/>
              </w:rPr>
              <w:t>Medical Practitioners</w:t>
            </w:r>
          </w:p>
        </w:tc>
      </w:tr>
      <w:tr w:rsidR="00AD0583" w:rsidRPr="00AD0583" w14:paraId="4852C41C"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Merge/>
            <w:vAlign w:val="center"/>
          </w:tcPr>
          <w:p w14:paraId="1C637C4C"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2FA42CAD" w14:textId="77777777" w:rsidR="00AD0583" w:rsidRPr="00AD0583" w:rsidRDefault="00AD0583" w:rsidP="00EB0165">
            <w:pPr>
              <w:rPr>
                <w:rFonts w:ascii="Arial Narrow" w:hAnsi="Arial Narrow"/>
                <w:b/>
                <w:bCs/>
                <w:color w:val="333333"/>
                <w:sz w:val="20"/>
                <w:szCs w:val="20"/>
              </w:rPr>
            </w:pPr>
            <w:r w:rsidRPr="00AD0583">
              <w:rPr>
                <w:rFonts w:ascii="Arial Narrow" w:hAnsi="Arial Narrow"/>
                <w:b/>
                <w:bCs/>
                <w:color w:val="333333"/>
                <w:sz w:val="20"/>
                <w:szCs w:val="20"/>
              </w:rPr>
              <w:t xml:space="preserve">Restriction type: </w:t>
            </w:r>
            <w:r w:rsidRPr="00AD0583">
              <w:rPr>
                <w:rFonts w:ascii="Arial Narrow" w:hAnsi="Arial Narrow"/>
                <w:sz w:val="20"/>
                <w:szCs w:val="20"/>
              </w:rPr>
              <w:fldChar w:fldCharType="begin" w:fldLock="1">
                <w:ffData>
                  <w:name w:val=""/>
                  <w:enabled/>
                  <w:calcOnExit w:val="0"/>
                  <w:checkBox>
                    <w:sizeAuto/>
                    <w:default w:val="1"/>
                  </w:checkBox>
                </w:ffData>
              </w:fldChar>
            </w:r>
            <w:r w:rsidRPr="00AD0583">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AD0583">
              <w:rPr>
                <w:rFonts w:ascii="Arial Narrow" w:hAnsi="Arial Narrow"/>
                <w:sz w:val="20"/>
                <w:szCs w:val="20"/>
              </w:rPr>
              <w:fldChar w:fldCharType="end"/>
            </w:r>
            <w:r w:rsidRPr="00AD0583">
              <w:rPr>
                <w:rFonts w:ascii="Arial Narrow" w:hAnsi="Arial Narrow"/>
                <w:sz w:val="20"/>
                <w:szCs w:val="20"/>
              </w:rPr>
              <w:t xml:space="preserve">Authority Required – Streamlined </w:t>
            </w:r>
            <w:r w:rsidRPr="000E3402">
              <w:rPr>
                <w:rFonts w:ascii="Arial Narrow" w:hAnsi="Arial Narrow"/>
                <w:i/>
                <w:iCs/>
                <w:sz w:val="20"/>
                <w:szCs w:val="20"/>
              </w:rPr>
              <w:t>(new code 1)</w:t>
            </w:r>
          </w:p>
        </w:tc>
      </w:tr>
      <w:tr w:rsidR="00B41EE5" w:rsidRPr="00AD0583" w14:paraId="6C1ABE5E" w14:textId="77777777" w:rsidTr="00B41EE5">
        <w:tblPrEx>
          <w:tblCellMar>
            <w:top w:w="15" w:type="dxa"/>
            <w:left w:w="15" w:type="dxa"/>
            <w:bottom w:w="15" w:type="dxa"/>
            <w:right w:w="15" w:type="dxa"/>
          </w:tblCellMar>
          <w:tblLook w:val="04A0" w:firstRow="1" w:lastRow="0" w:firstColumn="1" w:lastColumn="0" w:noHBand="0" w:noVBand="1"/>
        </w:tblPrEx>
        <w:trPr>
          <w:trHeight w:val="116"/>
        </w:trPr>
        <w:tc>
          <w:tcPr>
            <w:tcW w:w="537" w:type="dxa"/>
            <w:vMerge w:val="restart"/>
            <w:vAlign w:val="center"/>
          </w:tcPr>
          <w:p w14:paraId="679A2C4B" w14:textId="606FF446" w:rsidR="00B41EE5" w:rsidRPr="00AD0583" w:rsidRDefault="00B41EE5" w:rsidP="000E3402">
            <w:pPr>
              <w:jc w:val="center"/>
              <w:rPr>
                <w:rFonts w:ascii="Arial Narrow" w:hAnsi="Arial Narrow"/>
                <w:color w:val="333333"/>
                <w:sz w:val="20"/>
                <w:szCs w:val="20"/>
              </w:rPr>
            </w:pPr>
          </w:p>
        </w:tc>
        <w:tc>
          <w:tcPr>
            <w:tcW w:w="538" w:type="dxa"/>
            <w:vAlign w:val="center"/>
          </w:tcPr>
          <w:p w14:paraId="39183D3C" w14:textId="41FB0F2A" w:rsidR="00B41EE5" w:rsidRPr="00AD0583" w:rsidRDefault="00B41EE5" w:rsidP="000E3402">
            <w:pPr>
              <w:jc w:val="center"/>
              <w:rPr>
                <w:rFonts w:ascii="Arial Narrow" w:hAnsi="Arial Narrow"/>
                <w:color w:val="333333"/>
                <w:sz w:val="20"/>
                <w:szCs w:val="20"/>
              </w:rPr>
            </w:pPr>
          </w:p>
        </w:tc>
        <w:tc>
          <w:tcPr>
            <w:tcW w:w="7992" w:type="dxa"/>
            <w:gridSpan w:val="6"/>
            <w:vAlign w:val="center"/>
          </w:tcPr>
          <w:p w14:paraId="71F200EF" w14:textId="10A566EE" w:rsidR="00B41EE5" w:rsidRPr="00AD0583" w:rsidRDefault="00B41EE5" w:rsidP="000E3402">
            <w:pPr>
              <w:autoSpaceDE w:val="0"/>
              <w:autoSpaceDN w:val="0"/>
              <w:adjustRightInd w:val="0"/>
              <w:rPr>
                <w:rFonts w:ascii="Arial Narrow" w:eastAsia="Calibri" w:hAnsi="Arial Narrow"/>
                <w:bCs/>
                <w:sz w:val="20"/>
                <w:szCs w:val="20"/>
              </w:rPr>
            </w:pPr>
            <w:r w:rsidRPr="00AD0583">
              <w:rPr>
                <w:rFonts w:ascii="Arial Narrow" w:hAnsi="Arial Narrow"/>
                <w:b/>
                <w:bCs/>
                <w:sz w:val="20"/>
                <w:szCs w:val="20"/>
              </w:rPr>
              <w:t xml:space="preserve">Administrative Advice: </w:t>
            </w:r>
            <w:r w:rsidRPr="00AD0583">
              <w:rPr>
                <w:rFonts w:ascii="Arial Narrow" w:hAnsi="Arial Narrow"/>
                <w:sz w:val="20"/>
                <w:szCs w:val="20"/>
              </w:rPr>
              <w:t>No increase in the maximum number of repeats may be authorised</w:t>
            </w:r>
          </w:p>
        </w:tc>
      </w:tr>
      <w:tr w:rsidR="000E3402" w:rsidRPr="00AD0583" w14:paraId="112898A8" w14:textId="77777777" w:rsidTr="00B74F16">
        <w:tblPrEx>
          <w:tblCellMar>
            <w:top w:w="15" w:type="dxa"/>
            <w:left w:w="15" w:type="dxa"/>
            <w:bottom w:w="15" w:type="dxa"/>
            <w:right w:w="15" w:type="dxa"/>
          </w:tblCellMar>
          <w:tblLook w:val="04A0" w:firstRow="1" w:lastRow="0" w:firstColumn="1" w:lastColumn="0" w:noHBand="0" w:noVBand="1"/>
        </w:tblPrEx>
        <w:tc>
          <w:tcPr>
            <w:tcW w:w="537" w:type="dxa"/>
            <w:vMerge/>
            <w:vAlign w:val="center"/>
          </w:tcPr>
          <w:p w14:paraId="4B4CD121" w14:textId="6864514C" w:rsidR="000E3402" w:rsidRPr="00AD0583" w:rsidRDefault="000E3402" w:rsidP="000E3402">
            <w:pPr>
              <w:jc w:val="center"/>
              <w:rPr>
                <w:rFonts w:ascii="Arial Narrow" w:hAnsi="Arial Narrow"/>
                <w:color w:val="333333"/>
                <w:sz w:val="20"/>
                <w:szCs w:val="20"/>
              </w:rPr>
            </w:pPr>
          </w:p>
        </w:tc>
        <w:tc>
          <w:tcPr>
            <w:tcW w:w="538" w:type="dxa"/>
            <w:vAlign w:val="center"/>
          </w:tcPr>
          <w:p w14:paraId="7B2055D3" w14:textId="57818570" w:rsidR="000E3402" w:rsidRPr="00AD0583" w:rsidRDefault="000E3402" w:rsidP="000E3402">
            <w:pPr>
              <w:jc w:val="center"/>
              <w:rPr>
                <w:rFonts w:ascii="Arial Narrow" w:hAnsi="Arial Narrow"/>
                <w:color w:val="333333"/>
                <w:sz w:val="20"/>
                <w:szCs w:val="20"/>
              </w:rPr>
            </w:pPr>
          </w:p>
        </w:tc>
        <w:tc>
          <w:tcPr>
            <w:tcW w:w="7992" w:type="dxa"/>
            <w:gridSpan w:val="6"/>
            <w:vAlign w:val="center"/>
          </w:tcPr>
          <w:p w14:paraId="228987B9" w14:textId="77777777" w:rsidR="000E3402" w:rsidRPr="00CB048B" w:rsidRDefault="000E3402" w:rsidP="000E3402">
            <w:pPr>
              <w:autoSpaceDE w:val="0"/>
              <w:autoSpaceDN w:val="0"/>
              <w:adjustRightInd w:val="0"/>
              <w:rPr>
                <w:rFonts w:ascii="Arial Narrow" w:hAnsi="Arial Narrow"/>
                <w:sz w:val="20"/>
                <w:szCs w:val="20"/>
              </w:rPr>
            </w:pPr>
            <w:r w:rsidRPr="00CB048B">
              <w:rPr>
                <w:rFonts w:ascii="Arial Narrow" w:hAnsi="Arial Narrow"/>
                <w:b/>
                <w:bCs/>
                <w:sz w:val="20"/>
                <w:szCs w:val="20"/>
              </w:rPr>
              <w:t>Administrative Advice:</w:t>
            </w:r>
            <w:r w:rsidRPr="00CB048B">
              <w:rPr>
                <w:rFonts w:ascii="Arial Narrow" w:hAnsi="Arial Narrow"/>
                <w:sz w:val="20"/>
                <w:szCs w:val="20"/>
              </w:rPr>
              <w:t xml:space="preserve"> Special pricing arrangements apply</w:t>
            </w:r>
          </w:p>
        </w:tc>
      </w:tr>
      <w:tr w:rsidR="000E3402" w:rsidRPr="00AD0583" w14:paraId="0720B15D"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791AF9DA" w14:textId="77777777" w:rsidR="000E3402" w:rsidRPr="00AD0583" w:rsidRDefault="000E3402" w:rsidP="00EB0165">
            <w:pPr>
              <w:jc w:val="center"/>
              <w:rPr>
                <w:rFonts w:ascii="Arial Narrow" w:hAnsi="Arial Narrow"/>
                <w:color w:val="333333"/>
                <w:sz w:val="20"/>
                <w:szCs w:val="20"/>
              </w:rPr>
            </w:pPr>
          </w:p>
        </w:tc>
        <w:tc>
          <w:tcPr>
            <w:tcW w:w="7992" w:type="dxa"/>
            <w:gridSpan w:val="6"/>
            <w:vAlign w:val="center"/>
          </w:tcPr>
          <w:p w14:paraId="1AF0134A" w14:textId="77777777" w:rsidR="000E3402" w:rsidRPr="00AD0583" w:rsidRDefault="000E3402" w:rsidP="00EB0165">
            <w:pPr>
              <w:rPr>
                <w:rFonts w:ascii="Arial Narrow" w:hAnsi="Arial Narrow"/>
                <w:b/>
                <w:bCs/>
                <w:color w:val="333333"/>
                <w:sz w:val="20"/>
                <w:szCs w:val="20"/>
              </w:rPr>
            </w:pPr>
          </w:p>
        </w:tc>
      </w:tr>
      <w:tr w:rsidR="00AD0583" w:rsidRPr="00AD0583" w14:paraId="02114E5F" w14:textId="77777777" w:rsidTr="00D26D6C">
        <w:tblPrEx>
          <w:tblCellMar>
            <w:top w:w="15" w:type="dxa"/>
            <w:left w:w="15" w:type="dxa"/>
            <w:bottom w:w="15" w:type="dxa"/>
            <w:right w:w="15" w:type="dxa"/>
          </w:tblCellMar>
        </w:tblPrEx>
        <w:tc>
          <w:tcPr>
            <w:tcW w:w="1075" w:type="dxa"/>
            <w:gridSpan w:val="2"/>
            <w:vAlign w:val="center"/>
          </w:tcPr>
          <w:p w14:paraId="242A0C66" w14:textId="1EE908F5"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7C2A6929"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Indication:</w:t>
            </w:r>
            <w:r w:rsidRPr="00AD0583">
              <w:rPr>
                <w:rFonts w:ascii="Arial Narrow" w:hAnsi="Arial Narrow"/>
                <w:color w:val="333333"/>
                <w:sz w:val="20"/>
                <w:szCs w:val="20"/>
              </w:rPr>
              <w:t xml:space="preserve"> Locally advanced or metastatic non-small cell lung cancer </w:t>
            </w:r>
          </w:p>
        </w:tc>
      </w:tr>
      <w:tr w:rsidR="00AD0583" w:rsidRPr="00AD0583" w14:paraId="5D0028B9"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6CF84B61"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0C70C347" w14:textId="77777777" w:rsidR="00AD0583" w:rsidRPr="00AD0583" w:rsidRDefault="00AD0583" w:rsidP="00EB0165">
            <w:pPr>
              <w:rPr>
                <w:rFonts w:ascii="Arial Narrow" w:hAnsi="Arial Narrow"/>
                <w:b/>
                <w:bCs/>
                <w:color w:val="333333"/>
                <w:sz w:val="20"/>
                <w:szCs w:val="20"/>
              </w:rPr>
            </w:pPr>
          </w:p>
        </w:tc>
      </w:tr>
      <w:tr w:rsidR="00AD0583" w:rsidRPr="00AD0583" w14:paraId="3623DBF2" w14:textId="77777777" w:rsidTr="00D26D6C">
        <w:tblPrEx>
          <w:tblCellMar>
            <w:top w:w="15" w:type="dxa"/>
            <w:left w:w="15" w:type="dxa"/>
            <w:bottom w:w="15" w:type="dxa"/>
            <w:right w:w="15" w:type="dxa"/>
          </w:tblCellMar>
        </w:tblPrEx>
        <w:tc>
          <w:tcPr>
            <w:tcW w:w="1075" w:type="dxa"/>
            <w:gridSpan w:val="2"/>
            <w:vAlign w:val="center"/>
          </w:tcPr>
          <w:p w14:paraId="6A27284E" w14:textId="6D096EBA"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7B423623"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Clinical criteria:</w:t>
            </w:r>
          </w:p>
        </w:tc>
      </w:tr>
      <w:tr w:rsidR="00AD0583" w:rsidRPr="00AD0583" w14:paraId="34D5E556" w14:textId="77777777" w:rsidTr="00D26D6C">
        <w:tblPrEx>
          <w:tblCellMar>
            <w:top w:w="15" w:type="dxa"/>
            <w:left w:w="15" w:type="dxa"/>
            <w:bottom w:w="15" w:type="dxa"/>
            <w:right w:w="15" w:type="dxa"/>
          </w:tblCellMar>
        </w:tblPrEx>
        <w:tc>
          <w:tcPr>
            <w:tcW w:w="1075" w:type="dxa"/>
            <w:gridSpan w:val="2"/>
            <w:vAlign w:val="center"/>
          </w:tcPr>
          <w:p w14:paraId="18B996E0" w14:textId="1DE9B99A"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22DDDF8D" w14:textId="77777777" w:rsidR="00AD0583" w:rsidRPr="00AD0583" w:rsidRDefault="00AD0583" w:rsidP="00EB0165">
            <w:pPr>
              <w:rPr>
                <w:rFonts w:ascii="Arial Narrow" w:hAnsi="Arial Narrow"/>
                <w:color w:val="333333"/>
                <w:sz w:val="20"/>
                <w:szCs w:val="20"/>
              </w:rPr>
            </w:pPr>
            <w:r w:rsidRPr="00AD0583">
              <w:rPr>
                <w:rFonts w:ascii="Arial Narrow" w:hAnsi="Arial Narrow" w:cs="Arial Narrow"/>
                <w:sz w:val="20"/>
                <w:szCs w:val="20"/>
              </w:rPr>
              <w:t xml:space="preserve">The condition must have evidence of rearranged during transfection (RET) gene fusion in tumour material – this evidence has been obtained prior to commencing treatment with this drug </w:t>
            </w:r>
          </w:p>
        </w:tc>
      </w:tr>
      <w:tr w:rsidR="00AD0583" w:rsidRPr="00AD0583" w14:paraId="73A84EFF" w14:textId="77777777" w:rsidTr="00D26D6C">
        <w:tblPrEx>
          <w:tblCellMar>
            <w:top w:w="15" w:type="dxa"/>
            <w:left w:w="15" w:type="dxa"/>
            <w:bottom w:w="15" w:type="dxa"/>
            <w:right w:w="15" w:type="dxa"/>
          </w:tblCellMar>
        </w:tblPrEx>
        <w:tc>
          <w:tcPr>
            <w:tcW w:w="1075" w:type="dxa"/>
            <w:gridSpan w:val="2"/>
            <w:vAlign w:val="center"/>
          </w:tcPr>
          <w:p w14:paraId="0CCBE82A"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05965785"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AND</w:t>
            </w:r>
          </w:p>
        </w:tc>
      </w:tr>
      <w:tr w:rsidR="00AD0583" w:rsidRPr="00AD0583" w14:paraId="48B904B5"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1AEB89FF" w14:textId="2A820F4E"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5919AAC4"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Clinical criteria:</w:t>
            </w:r>
          </w:p>
        </w:tc>
      </w:tr>
      <w:tr w:rsidR="00AD0583" w:rsidRPr="00AD0583" w14:paraId="5D70251F"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7CF675FB" w14:textId="5A91EC51"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16192369" w14:textId="77777777" w:rsidR="00AD0583" w:rsidRPr="00AD0583" w:rsidRDefault="00AD0583" w:rsidP="00EB0165">
            <w:pPr>
              <w:rPr>
                <w:rFonts w:ascii="Arial Narrow" w:hAnsi="Arial Narrow"/>
                <w:color w:val="333333"/>
                <w:sz w:val="20"/>
                <w:szCs w:val="20"/>
              </w:rPr>
            </w:pPr>
            <w:r w:rsidRPr="00AD0583">
              <w:rPr>
                <w:rFonts w:ascii="Arial Narrow" w:hAnsi="Arial Narrow"/>
                <w:color w:val="333333"/>
                <w:sz w:val="20"/>
                <w:szCs w:val="20"/>
              </w:rPr>
              <w:t xml:space="preserve">Patient must have a World Health Organisation (WHO) Eastern Cooperative Oncology Group (ECOG) performance status score of no higher than 2 at treatment initiation </w:t>
            </w:r>
          </w:p>
        </w:tc>
      </w:tr>
      <w:tr w:rsidR="00AD0583" w:rsidRPr="00AD0583" w14:paraId="4EA0F0A6"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324CF605"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4D86FCE6"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AND</w:t>
            </w:r>
          </w:p>
        </w:tc>
      </w:tr>
      <w:tr w:rsidR="00AD0583" w:rsidRPr="00AD0583" w14:paraId="1223FAB0"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0F3CFC21" w14:textId="2B23B61F"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31A14014"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Clinical criteria:</w:t>
            </w:r>
          </w:p>
        </w:tc>
      </w:tr>
      <w:tr w:rsidR="00AD0583" w:rsidRPr="00AD0583" w14:paraId="1EB89ECF"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0954E6FE" w14:textId="140E7CCF"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192E4277" w14:textId="77777777" w:rsidR="00AD0583" w:rsidRPr="00AD0583" w:rsidRDefault="00AD0583" w:rsidP="00EB0165">
            <w:pPr>
              <w:rPr>
                <w:rFonts w:ascii="Arial Narrow" w:hAnsi="Arial Narrow"/>
                <w:color w:val="333333"/>
                <w:sz w:val="20"/>
                <w:szCs w:val="20"/>
              </w:rPr>
            </w:pPr>
            <w:r w:rsidRPr="00AD0583">
              <w:rPr>
                <w:rFonts w:ascii="Arial Narrow" w:hAnsi="Arial Narrow"/>
                <w:color w:val="333333"/>
                <w:sz w:val="20"/>
                <w:szCs w:val="20"/>
              </w:rPr>
              <w:t>The treatment must be the sole PBS-subsidised systemic anti-cancer therapy for this PBS indication.</w:t>
            </w:r>
          </w:p>
        </w:tc>
      </w:tr>
      <w:tr w:rsidR="00AD0583" w:rsidRPr="00AD0583" w14:paraId="21DDAD2D"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2BB11AEE"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4462EAFC" w14:textId="77777777" w:rsidR="00AD0583" w:rsidRPr="00AD0583" w:rsidRDefault="00AD0583" w:rsidP="00EB0165">
            <w:pPr>
              <w:rPr>
                <w:rFonts w:ascii="Arial Narrow" w:hAnsi="Arial Narrow"/>
                <w:color w:val="333333"/>
                <w:sz w:val="20"/>
                <w:szCs w:val="20"/>
              </w:rPr>
            </w:pPr>
          </w:p>
        </w:tc>
      </w:tr>
      <w:tr w:rsidR="00AD0583" w:rsidRPr="00AD0583" w14:paraId="057955D9"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504952D7" w14:textId="0AD6D7DC"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27FBE47D" w14:textId="77777777" w:rsidR="00AD0583" w:rsidRPr="00AD0583" w:rsidRDefault="00AD0583" w:rsidP="00EB0165">
            <w:pPr>
              <w:rPr>
                <w:rFonts w:ascii="Arial Narrow" w:hAnsi="Arial Narrow"/>
                <w:color w:val="333333"/>
                <w:sz w:val="20"/>
                <w:szCs w:val="20"/>
              </w:rPr>
            </w:pPr>
            <w:r w:rsidRPr="00AD0583">
              <w:rPr>
                <w:rFonts w:ascii="Arial Narrow" w:hAnsi="Arial Narrow"/>
                <w:b/>
                <w:bCs/>
                <w:color w:val="333333"/>
                <w:sz w:val="20"/>
                <w:szCs w:val="20"/>
              </w:rPr>
              <w:t>Treatment criteria:</w:t>
            </w:r>
          </w:p>
        </w:tc>
      </w:tr>
      <w:tr w:rsidR="00AD0583" w:rsidRPr="00AD0583" w14:paraId="35512556"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1ADF0F6B" w14:textId="6F23D169" w:rsidR="00AD0583" w:rsidRPr="00AD0583" w:rsidRDefault="00AD0583" w:rsidP="00EB0165">
            <w:pPr>
              <w:jc w:val="center"/>
              <w:rPr>
                <w:rFonts w:ascii="Arial Narrow" w:hAnsi="Arial Narrow"/>
                <w:color w:val="333333"/>
                <w:sz w:val="20"/>
                <w:szCs w:val="20"/>
              </w:rPr>
            </w:pPr>
          </w:p>
        </w:tc>
        <w:tc>
          <w:tcPr>
            <w:tcW w:w="7992" w:type="dxa"/>
            <w:gridSpan w:val="6"/>
            <w:vAlign w:val="center"/>
            <w:hideMark/>
          </w:tcPr>
          <w:p w14:paraId="7A5F4E70" w14:textId="390258CB" w:rsidR="00AD0583" w:rsidRPr="00AD0583" w:rsidRDefault="00AD0583" w:rsidP="00EB0165">
            <w:pPr>
              <w:autoSpaceDE w:val="0"/>
              <w:autoSpaceDN w:val="0"/>
              <w:adjustRightInd w:val="0"/>
              <w:rPr>
                <w:rFonts w:ascii="Arial Narrow" w:hAnsi="Arial Narrow" w:cs="Arial Narrow"/>
                <w:sz w:val="20"/>
                <w:szCs w:val="20"/>
              </w:rPr>
            </w:pPr>
            <w:r w:rsidRPr="00AD0583">
              <w:rPr>
                <w:rFonts w:ascii="Arial Narrow" w:hAnsi="Arial Narrow" w:cs="Arial Narrow"/>
                <w:sz w:val="20"/>
                <w:szCs w:val="20"/>
              </w:rPr>
              <w:t xml:space="preserve">Patient must be </w:t>
            </w:r>
            <w:r w:rsidRPr="00BC5A69">
              <w:rPr>
                <w:rFonts w:ascii="Arial Narrow" w:hAnsi="Arial Narrow" w:cs="Arial Narrow"/>
                <w:sz w:val="20"/>
                <w:szCs w:val="20"/>
              </w:rPr>
              <w:t xml:space="preserve">initiating </w:t>
            </w:r>
            <w:r w:rsidRPr="00AD0583">
              <w:rPr>
                <w:rFonts w:ascii="Arial Narrow" w:hAnsi="Arial Narrow" w:cs="Arial Narrow"/>
                <w:sz w:val="20"/>
                <w:szCs w:val="20"/>
              </w:rPr>
              <w:t>treatment with this drug; or</w:t>
            </w:r>
          </w:p>
        </w:tc>
      </w:tr>
      <w:tr w:rsidR="00AD0583" w:rsidRPr="00AD0583" w14:paraId="70BA5161"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05121775" w14:textId="4C2595B7"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221A945C" w14:textId="49777C51" w:rsidR="00AD0583" w:rsidRPr="000E3402" w:rsidRDefault="00AD0583" w:rsidP="00EB0165">
            <w:pPr>
              <w:autoSpaceDE w:val="0"/>
              <w:autoSpaceDN w:val="0"/>
              <w:adjustRightInd w:val="0"/>
              <w:rPr>
                <w:rFonts w:ascii="Arial Narrow" w:hAnsi="Arial Narrow" w:cs="Arial Narrow"/>
                <w:sz w:val="20"/>
                <w:szCs w:val="20"/>
              </w:rPr>
            </w:pPr>
            <w:r w:rsidRPr="00AD0583">
              <w:rPr>
                <w:rFonts w:ascii="Arial Narrow" w:hAnsi="Arial Narrow" w:cs="Arial Narrow"/>
                <w:sz w:val="20"/>
                <w:szCs w:val="20"/>
              </w:rPr>
              <w:t xml:space="preserve">Patient must be </w:t>
            </w:r>
            <w:r w:rsidRPr="00BC5A69">
              <w:rPr>
                <w:rFonts w:ascii="Arial Narrow" w:hAnsi="Arial Narrow" w:cs="Arial Narrow"/>
                <w:sz w:val="20"/>
                <w:szCs w:val="20"/>
              </w:rPr>
              <w:t>continuing</w:t>
            </w:r>
            <w:r w:rsidRPr="00AD0583">
              <w:rPr>
                <w:rFonts w:ascii="Arial Narrow" w:hAnsi="Arial Narrow" w:cs="Arial Narrow"/>
                <w:sz w:val="20"/>
                <w:szCs w:val="20"/>
              </w:rPr>
              <w:t xml:space="preserve"> treatment with this drug, with an absence of further disease progression</w:t>
            </w:r>
            <w:r w:rsidR="000E3402">
              <w:rPr>
                <w:rFonts w:ascii="Arial Narrow" w:hAnsi="Arial Narrow" w:cs="Arial Narrow"/>
                <w:sz w:val="20"/>
                <w:szCs w:val="20"/>
              </w:rPr>
              <w:t xml:space="preserve"> </w:t>
            </w:r>
            <w:r w:rsidR="000E3402" w:rsidRPr="00B66A79">
              <w:rPr>
                <w:rFonts w:ascii="Arial Narrow" w:hAnsi="Arial Narrow" w:cs="Arial Narrow"/>
                <w:sz w:val="20"/>
                <w:szCs w:val="20"/>
              </w:rPr>
              <w:t>while being treated with this drug</w:t>
            </w:r>
          </w:p>
        </w:tc>
      </w:tr>
      <w:tr w:rsidR="00AD0583" w:rsidRPr="00AD0583" w14:paraId="27B0DC72"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36D0ECC7" w14:textId="77777777" w:rsidR="00AD0583" w:rsidRPr="00AD0583" w:rsidRDefault="00AD0583" w:rsidP="00EB0165">
            <w:pPr>
              <w:jc w:val="center"/>
              <w:rPr>
                <w:rFonts w:ascii="Arial Narrow" w:hAnsi="Arial Narrow"/>
                <w:color w:val="333333"/>
                <w:sz w:val="20"/>
                <w:szCs w:val="20"/>
              </w:rPr>
            </w:pPr>
          </w:p>
        </w:tc>
        <w:tc>
          <w:tcPr>
            <w:tcW w:w="7992" w:type="dxa"/>
            <w:gridSpan w:val="6"/>
            <w:vAlign w:val="center"/>
          </w:tcPr>
          <w:p w14:paraId="08184F8F" w14:textId="77777777" w:rsidR="00AD0583" w:rsidRPr="00AD0583" w:rsidRDefault="00AD0583" w:rsidP="00EB0165">
            <w:pPr>
              <w:autoSpaceDE w:val="0"/>
              <w:autoSpaceDN w:val="0"/>
              <w:adjustRightInd w:val="0"/>
              <w:rPr>
                <w:rFonts w:ascii="Arial Narrow" w:hAnsi="Arial Narrow" w:cs="Arial Narrow"/>
                <w:sz w:val="20"/>
                <w:szCs w:val="20"/>
              </w:rPr>
            </w:pPr>
          </w:p>
        </w:tc>
      </w:tr>
      <w:tr w:rsidR="00AD0583" w:rsidRPr="00AD0583" w14:paraId="6E839B2B"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4705BD6E" w14:textId="58ED6EF6" w:rsidR="00AD0583" w:rsidRPr="00AD0583" w:rsidRDefault="00AD0583" w:rsidP="00EB0165">
            <w:pPr>
              <w:jc w:val="center"/>
              <w:rPr>
                <w:rFonts w:ascii="Arial Narrow" w:hAnsi="Arial Narrow"/>
                <w:sz w:val="20"/>
                <w:szCs w:val="20"/>
              </w:rPr>
            </w:pPr>
          </w:p>
        </w:tc>
        <w:tc>
          <w:tcPr>
            <w:tcW w:w="7992" w:type="dxa"/>
            <w:gridSpan w:val="6"/>
            <w:vAlign w:val="center"/>
          </w:tcPr>
          <w:p w14:paraId="424111C2" w14:textId="77777777" w:rsidR="00AD0583" w:rsidRPr="00BC5A69" w:rsidRDefault="00AD0583" w:rsidP="00EB0165">
            <w:pPr>
              <w:autoSpaceDE w:val="0"/>
              <w:autoSpaceDN w:val="0"/>
              <w:adjustRightInd w:val="0"/>
              <w:rPr>
                <w:rFonts w:ascii="Arial Narrow" w:hAnsi="Arial Narrow"/>
                <w:b/>
                <w:bCs/>
                <w:sz w:val="20"/>
                <w:szCs w:val="20"/>
              </w:rPr>
            </w:pPr>
            <w:r w:rsidRPr="00BC5A69">
              <w:rPr>
                <w:rFonts w:ascii="Arial Narrow" w:hAnsi="Arial Narrow"/>
                <w:b/>
                <w:bCs/>
                <w:sz w:val="20"/>
                <w:szCs w:val="20"/>
              </w:rPr>
              <w:t>Prescribing instructions:</w:t>
            </w:r>
          </w:p>
          <w:p w14:paraId="55530F6D" w14:textId="43C3DAC1" w:rsidR="00AD0583" w:rsidRPr="00AD0583" w:rsidRDefault="000E3402" w:rsidP="00EB0165">
            <w:pPr>
              <w:autoSpaceDE w:val="0"/>
              <w:autoSpaceDN w:val="0"/>
              <w:adjustRightInd w:val="0"/>
              <w:rPr>
                <w:rFonts w:ascii="Arial Narrow" w:hAnsi="Arial Narrow" w:cs="Arial Narrow"/>
                <w:sz w:val="20"/>
                <w:szCs w:val="20"/>
              </w:rPr>
            </w:pPr>
            <w:r w:rsidRPr="00D62DCB">
              <w:rPr>
                <w:rFonts w:ascii="Arial Narrow" w:hAnsi="Arial Narrow"/>
                <w:sz w:val="20"/>
                <w:szCs w:val="20"/>
              </w:rPr>
              <w:t xml:space="preserve">Medical practitioners must prescribe the appropriate </w:t>
            </w:r>
            <w:r w:rsidR="00BC1AC4">
              <w:rPr>
                <w:rFonts w:ascii="Arial Narrow" w:hAnsi="Arial Narrow"/>
                <w:sz w:val="20"/>
                <w:szCs w:val="20"/>
              </w:rPr>
              <w:t xml:space="preserve">quantities </w:t>
            </w:r>
            <w:r w:rsidRPr="00BC1AC4">
              <w:rPr>
                <w:rFonts w:ascii="Arial Narrow" w:hAnsi="Arial Narrow"/>
                <w:sz w:val="20"/>
                <w:szCs w:val="20"/>
              </w:rPr>
              <w:t>of appropriate strength(s)</w:t>
            </w:r>
            <w:r w:rsidRPr="00D62DCB">
              <w:rPr>
                <w:rFonts w:ascii="Arial Narrow" w:hAnsi="Arial Narrow"/>
                <w:sz w:val="20"/>
                <w:szCs w:val="20"/>
              </w:rPr>
              <w:t xml:space="preserve"> to provide sufficient drug, based on the weight of the patient, adequate for 4 weeks, according to the specified dosage in the Therapeutic Good Administration Approved Product Information. A separate authority prescription form must be completed for each strength requested.</w:t>
            </w:r>
          </w:p>
        </w:tc>
      </w:tr>
    </w:tbl>
    <w:p w14:paraId="38B757B6" w14:textId="77777777" w:rsidR="00AD0583" w:rsidRDefault="00AD0583" w:rsidP="00861BF1">
      <w:pPr>
        <w:rPr>
          <w:rFonts w:asciiTheme="minorHAnsi" w:hAnsiTheme="minorHAnsi"/>
          <w:bCs/>
          <w:snapToGrid w:val="0"/>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538"/>
        <w:gridCol w:w="2280"/>
        <w:gridCol w:w="1200"/>
        <w:gridCol w:w="960"/>
        <w:gridCol w:w="1200"/>
        <w:gridCol w:w="720"/>
        <w:gridCol w:w="1632"/>
      </w:tblGrid>
      <w:tr w:rsidR="00AD0583" w:rsidRPr="00AD0583" w14:paraId="14889173" w14:textId="77777777" w:rsidTr="00EB0165">
        <w:trPr>
          <w:cantSplit/>
          <w:trHeight w:val="471"/>
        </w:trPr>
        <w:tc>
          <w:tcPr>
            <w:tcW w:w="3355" w:type="dxa"/>
            <w:gridSpan w:val="3"/>
          </w:tcPr>
          <w:p w14:paraId="50ECD689" w14:textId="77777777" w:rsidR="00AD0583" w:rsidRPr="00AD0583" w:rsidRDefault="00AD0583" w:rsidP="00EB0165">
            <w:pPr>
              <w:keepNext/>
              <w:ind w:left="-57"/>
              <w:rPr>
                <w:rFonts w:ascii="Arial Narrow" w:eastAsia="Calibri" w:hAnsi="Arial Narrow"/>
                <w:b/>
                <w:bCs/>
                <w:sz w:val="20"/>
                <w:szCs w:val="20"/>
              </w:rPr>
            </w:pPr>
            <w:r w:rsidRPr="00AD0583">
              <w:rPr>
                <w:rFonts w:ascii="Arial Narrow" w:eastAsia="Calibri" w:hAnsi="Arial Narrow"/>
                <w:b/>
                <w:bCs/>
                <w:sz w:val="20"/>
                <w:szCs w:val="20"/>
              </w:rPr>
              <w:t>MEDICINAL PRODUCT</w:t>
            </w:r>
          </w:p>
          <w:p w14:paraId="28EF1AE4" w14:textId="77777777" w:rsidR="00AD0583" w:rsidRPr="00AD0583" w:rsidRDefault="00AD0583" w:rsidP="00EB0165">
            <w:pPr>
              <w:keepNext/>
              <w:ind w:left="-57"/>
              <w:rPr>
                <w:rFonts w:ascii="Arial Narrow" w:eastAsia="Calibri" w:hAnsi="Arial Narrow"/>
                <w:b/>
                <w:bCs/>
                <w:sz w:val="20"/>
                <w:szCs w:val="20"/>
              </w:rPr>
            </w:pPr>
            <w:r w:rsidRPr="00AD0583">
              <w:rPr>
                <w:rFonts w:ascii="Arial Narrow" w:eastAsia="Calibri" w:hAnsi="Arial Narrow"/>
                <w:b/>
                <w:bCs/>
                <w:sz w:val="20"/>
                <w:szCs w:val="20"/>
              </w:rPr>
              <w:t>medicinal product pack</w:t>
            </w:r>
          </w:p>
        </w:tc>
        <w:tc>
          <w:tcPr>
            <w:tcW w:w="1200" w:type="dxa"/>
          </w:tcPr>
          <w:p w14:paraId="77E75D7D"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PBS item code</w:t>
            </w:r>
          </w:p>
        </w:tc>
        <w:tc>
          <w:tcPr>
            <w:tcW w:w="960" w:type="dxa"/>
          </w:tcPr>
          <w:p w14:paraId="01FA7B40"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Max. qty packs</w:t>
            </w:r>
          </w:p>
        </w:tc>
        <w:tc>
          <w:tcPr>
            <w:tcW w:w="1200" w:type="dxa"/>
          </w:tcPr>
          <w:p w14:paraId="0156FD07"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Max. qty units</w:t>
            </w:r>
          </w:p>
        </w:tc>
        <w:tc>
          <w:tcPr>
            <w:tcW w:w="720" w:type="dxa"/>
          </w:tcPr>
          <w:p w14:paraId="0135A08F"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№.of</w:t>
            </w:r>
          </w:p>
          <w:p w14:paraId="015D3C1A" w14:textId="77777777" w:rsidR="00AD0583" w:rsidRPr="00AD0583" w:rsidRDefault="00AD0583" w:rsidP="00EB0165">
            <w:pPr>
              <w:keepNext/>
              <w:ind w:left="-57"/>
              <w:jc w:val="center"/>
              <w:rPr>
                <w:rFonts w:ascii="Arial Narrow" w:eastAsia="Calibri" w:hAnsi="Arial Narrow"/>
                <w:b/>
                <w:sz w:val="20"/>
                <w:szCs w:val="20"/>
              </w:rPr>
            </w:pPr>
            <w:r w:rsidRPr="00AD0583">
              <w:rPr>
                <w:rFonts w:ascii="Arial Narrow" w:eastAsia="Calibri" w:hAnsi="Arial Narrow"/>
                <w:b/>
                <w:sz w:val="20"/>
                <w:szCs w:val="20"/>
              </w:rPr>
              <w:t>Rpts</w:t>
            </w:r>
          </w:p>
        </w:tc>
        <w:tc>
          <w:tcPr>
            <w:tcW w:w="1632" w:type="dxa"/>
          </w:tcPr>
          <w:p w14:paraId="70D773F6" w14:textId="77777777" w:rsidR="00AD0583" w:rsidRPr="00AD0583" w:rsidRDefault="00AD0583" w:rsidP="00EB0165">
            <w:pPr>
              <w:keepNext/>
              <w:ind w:left="-57"/>
              <w:rPr>
                <w:rFonts w:ascii="Arial Narrow" w:eastAsia="Calibri" w:hAnsi="Arial Narrow"/>
                <w:b/>
                <w:sz w:val="20"/>
                <w:szCs w:val="20"/>
              </w:rPr>
            </w:pPr>
            <w:r w:rsidRPr="00AD0583">
              <w:rPr>
                <w:rFonts w:ascii="Arial Narrow" w:eastAsia="Calibri" w:hAnsi="Arial Narrow"/>
                <w:b/>
                <w:sz w:val="20"/>
                <w:szCs w:val="20"/>
              </w:rPr>
              <w:t>Available brands</w:t>
            </w:r>
          </w:p>
        </w:tc>
      </w:tr>
      <w:tr w:rsidR="00AD0583" w:rsidRPr="00AD0583" w14:paraId="0794BCD7" w14:textId="77777777" w:rsidTr="00EB0165">
        <w:trPr>
          <w:cantSplit/>
          <w:trHeight w:val="224"/>
        </w:trPr>
        <w:tc>
          <w:tcPr>
            <w:tcW w:w="9067" w:type="dxa"/>
            <w:gridSpan w:val="8"/>
          </w:tcPr>
          <w:p w14:paraId="56409B5A" w14:textId="77777777" w:rsidR="00AD0583" w:rsidRPr="00BC5A69" w:rsidRDefault="00AD0583" w:rsidP="00EB0165">
            <w:pPr>
              <w:keepNext/>
              <w:ind w:left="-57"/>
              <w:rPr>
                <w:rFonts w:ascii="Arial Narrow" w:eastAsia="Calibri" w:hAnsi="Arial Narrow"/>
                <w:sz w:val="20"/>
                <w:szCs w:val="20"/>
              </w:rPr>
            </w:pPr>
            <w:r w:rsidRPr="00BC5A69">
              <w:rPr>
                <w:rFonts w:ascii="Arial Narrow" w:eastAsia="Calibri" w:hAnsi="Arial Narrow"/>
                <w:sz w:val="20"/>
                <w:szCs w:val="20"/>
              </w:rPr>
              <w:t xml:space="preserve">SELPERCATINIB </w:t>
            </w:r>
          </w:p>
        </w:tc>
      </w:tr>
      <w:tr w:rsidR="00AD0583" w:rsidRPr="00AD0583" w14:paraId="4F8DAD01" w14:textId="77777777" w:rsidTr="00BC5A69">
        <w:trPr>
          <w:cantSplit/>
          <w:trHeight w:val="278"/>
        </w:trPr>
        <w:tc>
          <w:tcPr>
            <w:tcW w:w="3355" w:type="dxa"/>
            <w:gridSpan w:val="3"/>
          </w:tcPr>
          <w:p w14:paraId="701D4238" w14:textId="77777777" w:rsidR="00AD0583" w:rsidRPr="00BC5A69" w:rsidRDefault="00AD0583" w:rsidP="00BC5A69">
            <w:pPr>
              <w:keepNext/>
              <w:jc w:val="left"/>
              <w:rPr>
                <w:rFonts w:ascii="Arial Narrow" w:eastAsia="Calibri" w:hAnsi="Arial Narrow"/>
                <w:sz w:val="20"/>
                <w:szCs w:val="20"/>
              </w:rPr>
            </w:pPr>
            <w:r w:rsidRPr="00BC5A69">
              <w:rPr>
                <w:rFonts w:ascii="Arial Narrow" w:eastAsia="Calibri" w:hAnsi="Arial Narrow"/>
                <w:sz w:val="20"/>
                <w:szCs w:val="20"/>
              </w:rPr>
              <w:t>selpercatinib 80 mg modified release capsule, 56</w:t>
            </w:r>
          </w:p>
        </w:tc>
        <w:tc>
          <w:tcPr>
            <w:tcW w:w="1200" w:type="dxa"/>
          </w:tcPr>
          <w:p w14:paraId="2D824E70"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 xml:space="preserve">NEW 2 </w:t>
            </w:r>
          </w:p>
          <w:p w14:paraId="7B07EE55" w14:textId="77777777" w:rsidR="00AD0583" w:rsidRPr="00BC5A69" w:rsidRDefault="00AD0583" w:rsidP="00EB0165">
            <w:pPr>
              <w:keepNext/>
              <w:ind w:left="-57"/>
              <w:jc w:val="center"/>
              <w:rPr>
                <w:rFonts w:ascii="Arial Narrow" w:eastAsia="Calibri" w:hAnsi="Arial Narrow"/>
                <w:sz w:val="20"/>
                <w:szCs w:val="20"/>
                <w:vertAlign w:val="subscript"/>
              </w:rPr>
            </w:pPr>
            <w:r w:rsidRPr="00BC5A69">
              <w:rPr>
                <w:rFonts w:ascii="Arial Narrow" w:eastAsia="Calibri" w:hAnsi="Arial Narrow"/>
                <w:sz w:val="20"/>
                <w:szCs w:val="20"/>
                <w:vertAlign w:val="subscript"/>
              </w:rPr>
              <w:t>MP</w:t>
            </w:r>
          </w:p>
        </w:tc>
        <w:tc>
          <w:tcPr>
            <w:tcW w:w="960" w:type="dxa"/>
          </w:tcPr>
          <w:p w14:paraId="7A4F364D"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2</w:t>
            </w:r>
          </w:p>
        </w:tc>
        <w:tc>
          <w:tcPr>
            <w:tcW w:w="1200" w:type="dxa"/>
          </w:tcPr>
          <w:p w14:paraId="4BE318E4"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 xml:space="preserve"> 112</w:t>
            </w:r>
          </w:p>
        </w:tc>
        <w:tc>
          <w:tcPr>
            <w:tcW w:w="720" w:type="dxa"/>
          </w:tcPr>
          <w:p w14:paraId="623EB27A"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5</w:t>
            </w:r>
          </w:p>
        </w:tc>
        <w:tc>
          <w:tcPr>
            <w:tcW w:w="1632" w:type="dxa"/>
          </w:tcPr>
          <w:p w14:paraId="1A51CF62" w14:textId="0AC46CF2" w:rsidR="00AD0583" w:rsidRPr="00BC5A69" w:rsidRDefault="00AD0583" w:rsidP="00EB0165">
            <w:pPr>
              <w:keepNext/>
              <w:ind w:left="-57"/>
              <w:rPr>
                <w:rFonts w:ascii="Arial Narrow" w:eastAsia="Calibri" w:hAnsi="Arial Narrow"/>
                <w:sz w:val="20"/>
                <w:szCs w:val="20"/>
              </w:rPr>
            </w:pPr>
            <w:r w:rsidRPr="00BC5A69">
              <w:rPr>
                <w:rFonts w:ascii="Arial Narrow" w:eastAsia="Calibri" w:hAnsi="Arial Narrow"/>
                <w:sz w:val="20"/>
                <w:szCs w:val="20"/>
              </w:rPr>
              <w:t>Retevmo</w:t>
            </w:r>
          </w:p>
        </w:tc>
      </w:tr>
      <w:tr w:rsidR="00AD0583" w:rsidRPr="00AD0583" w14:paraId="5EF7CC43" w14:textId="77777777" w:rsidTr="00BC5A69">
        <w:trPr>
          <w:cantSplit/>
          <w:trHeight w:val="60"/>
        </w:trPr>
        <w:tc>
          <w:tcPr>
            <w:tcW w:w="3355" w:type="dxa"/>
            <w:gridSpan w:val="3"/>
          </w:tcPr>
          <w:p w14:paraId="0932E75E" w14:textId="77777777" w:rsidR="00AD0583" w:rsidRPr="00BC5A69" w:rsidRDefault="00AD0583" w:rsidP="00BC5A69">
            <w:pPr>
              <w:keepNext/>
              <w:jc w:val="left"/>
              <w:rPr>
                <w:rFonts w:ascii="Arial Narrow" w:eastAsia="Calibri" w:hAnsi="Arial Narrow"/>
                <w:sz w:val="20"/>
                <w:szCs w:val="20"/>
              </w:rPr>
            </w:pPr>
            <w:r w:rsidRPr="00BC5A69">
              <w:rPr>
                <w:rFonts w:ascii="Arial Narrow" w:hAnsi="Arial Narrow" w:cstheme="minorHAnsi"/>
                <w:sz w:val="20"/>
                <w:szCs w:val="20"/>
              </w:rPr>
              <w:t>selpercatinib 80 mg modified release capsule, 112</w:t>
            </w:r>
          </w:p>
        </w:tc>
        <w:tc>
          <w:tcPr>
            <w:tcW w:w="1200" w:type="dxa"/>
          </w:tcPr>
          <w:p w14:paraId="00E2B920"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 xml:space="preserve">NEW 3 </w:t>
            </w:r>
          </w:p>
          <w:p w14:paraId="14E4A80A"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vertAlign w:val="superscript"/>
              </w:rPr>
              <w:t>MP</w:t>
            </w:r>
          </w:p>
        </w:tc>
        <w:tc>
          <w:tcPr>
            <w:tcW w:w="960" w:type="dxa"/>
          </w:tcPr>
          <w:p w14:paraId="230F4FF1"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1</w:t>
            </w:r>
          </w:p>
        </w:tc>
        <w:tc>
          <w:tcPr>
            <w:tcW w:w="1200" w:type="dxa"/>
          </w:tcPr>
          <w:p w14:paraId="1D7A9A65"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112</w:t>
            </w:r>
          </w:p>
        </w:tc>
        <w:tc>
          <w:tcPr>
            <w:tcW w:w="720" w:type="dxa"/>
          </w:tcPr>
          <w:p w14:paraId="0381DB9D" w14:textId="77777777" w:rsidR="00AD0583" w:rsidRPr="00BC5A69" w:rsidRDefault="00AD0583" w:rsidP="00EB0165">
            <w:pPr>
              <w:keepNext/>
              <w:ind w:left="-57"/>
              <w:jc w:val="center"/>
              <w:rPr>
                <w:rFonts w:ascii="Arial Narrow" w:eastAsia="Calibri" w:hAnsi="Arial Narrow"/>
                <w:sz w:val="20"/>
                <w:szCs w:val="20"/>
              </w:rPr>
            </w:pPr>
            <w:r w:rsidRPr="00BC5A69">
              <w:rPr>
                <w:rFonts w:ascii="Arial Narrow" w:eastAsia="Calibri" w:hAnsi="Arial Narrow"/>
                <w:sz w:val="20"/>
                <w:szCs w:val="20"/>
              </w:rPr>
              <w:t>5</w:t>
            </w:r>
          </w:p>
        </w:tc>
        <w:tc>
          <w:tcPr>
            <w:tcW w:w="1632" w:type="dxa"/>
          </w:tcPr>
          <w:p w14:paraId="27D2D9BC" w14:textId="2C942AB3" w:rsidR="00AD0583" w:rsidRPr="00BC5A69" w:rsidRDefault="00AD0583" w:rsidP="00EB0165">
            <w:pPr>
              <w:keepNext/>
              <w:ind w:left="-57"/>
              <w:rPr>
                <w:rFonts w:ascii="Arial Narrow" w:eastAsia="Calibri" w:hAnsi="Arial Narrow"/>
                <w:sz w:val="20"/>
                <w:szCs w:val="20"/>
                <w:vertAlign w:val="subscript"/>
              </w:rPr>
            </w:pPr>
            <w:r w:rsidRPr="00BC5A69">
              <w:rPr>
                <w:rFonts w:ascii="Arial Narrow" w:eastAsia="Calibri" w:hAnsi="Arial Narrow"/>
                <w:sz w:val="20"/>
                <w:szCs w:val="20"/>
              </w:rPr>
              <w:t>Retevmo</w:t>
            </w:r>
          </w:p>
        </w:tc>
      </w:tr>
      <w:tr w:rsidR="00AD0583" w:rsidRPr="00AD0583" w14:paraId="0FBC5706" w14:textId="77777777" w:rsidTr="00EB0165">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364090E" w14:textId="77777777" w:rsidR="00AD0583" w:rsidRPr="00AD0583" w:rsidRDefault="00AD0583" w:rsidP="00EB0165">
            <w:pPr>
              <w:jc w:val="right"/>
              <w:rPr>
                <w:rFonts w:ascii="Arial Narrow" w:eastAsia="Calibri" w:hAnsi="Arial Narrow"/>
                <w:bCs/>
                <w:sz w:val="20"/>
                <w:szCs w:val="20"/>
              </w:rPr>
            </w:pPr>
            <w:r w:rsidRPr="00AD0583">
              <w:rPr>
                <w:rFonts w:ascii="Arial Narrow" w:eastAsia="Calibri" w:hAnsi="Arial Narrow"/>
                <w:bCs/>
                <w:sz w:val="20"/>
                <w:szCs w:val="20"/>
              </w:rPr>
              <w:t>Safety Net rule penalty applies? Yes</w:t>
            </w:r>
          </w:p>
        </w:tc>
      </w:tr>
      <w:tr w:rsidR="00AD0583" w:rsidRPr="00AD0583" w14:paraId="44DF1795" w14:textId="77777777" w:rsidTr="00EB0165">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tcPr>
          <w:p w14:paraId="47633B19" w14:textId="77777777" w:rsidR="00AD0583" w:rsidRPr="00AD0583" w:rsidRDefault="00AD0583" w:rsidP="00EB0165">
            <w:pPr>
              <w:rPr>
                <w:rFonts w:ascii="Arial Narrow" w:eastAsia="Calibri" w:hAnsi="Arial Narrow"/>
                <w:b/>
                <w:sz w:val="20"/>
                <w:szCs w:val="20"/>
              </w:rPr>
            </w:pPr>
          </w:p>
        </w:tc>
      </w:tr>
      <w:tr w:rsidR="00AD0583" w:rsidRPr="00AD0583" w14:paraId="1E5B7452" w14:textId="77777777" w:rsidTr="00EB0165">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3D987F61" w14:textId="5AC3AFE8" w:rsidR="00AD0583" w:rsidRPr="00AD0583" w:rsidRDefault="00AD0583" w:rsidP="00EB0165">
            <w:pPr>
              <w:rPr>
                <w:rFonts w:ascii="Arial Narrow" w:hAnsi="Arial Narrow"/>
                <w:b/>
                <w:bCs/>
                <w:color w:val="333333"/>
                <w:sz w:val="20"/>
                <w:szCs w:val="20"/>
              </w:rPr>
            </w:pPr>
            <w:r w:rsidRPr="00AD0583">
              <w:rPr>
                <w:rFonts w:ascii="Arial Narrow" w:hAnsi="Arial Narrow"/>
                <w:b/>
                <w:sz w:val="20"/>
                <w:szCs w:val="20"/>
              </w:rPr>
              <w:t xml:space="preserve">Restriction Summary [new </w:t>
            </w:r>
            <w:r w:rsidR="00BA56FF">
              <w:rPr>
                <w:rFonts w:ascii="Arial Narrow" w:hAnsi="Arial Narrow"/>
                <w:b/>
                <w:sz w:val="20"/>
                <w:szCs w:val="20"/>
              </w:rPr>
              <w:t>2</w:t>
            </w:r>
            <w:r w:rsidRPr="00AD0583">
              <w:rPr>
                <w:rFonts w:ascii="Arial Narrow" w:hAnsi="Arial Narrow"/>
                <w:b/>
                <w:sz w:val="20"/>
                <w:szCs w:val="20"/>
              </w:rPr>
              <w:t xml:space="preserve">] / Treatment of Concept: [new </w:t>
            </w:r>
            <w:r w:rsidR="00BA56FF">
              <w:rPr>
                <w:rFonts w:ascii="Arial Narrow" w:hAnsi="Arial Narrow"/>
                <w:b/>
                <w:sz w:val="20"/>
                <w:szCs w:val="20"/>
              </w:rPr>
              <w:t>2</w:t>
            </w:r>
            <w:r w:rsidRPr="00AD0583">
              <w:rPr>
                <w:rFonts w:ascii="Arial Narrow" w:hAnsi="Arial Narrow"/>
                <w:b/>
                <w:sz w:val="20"/>
                <w:szCs w:val="20"/>
              </w:rPr>
              <w:t xml:space="preserve">.1] </w:t>
            </w:r>
          </w:p>
        </w:tc>
      </w:tr>
      <w:tr w:rsidR="00AD0583" w:rsidRPr="00AD0583" w14:paraId="538C39EF"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Merge w:val="restart"/>
            <w:vAlign w:val="center"/>
          </w:tcPr>
          <w:p w14:paraId="358A3D97" w14:textId="77777777" w:rsidR="00AD0583" w:rsidRPr="00BC5A69" w:rsidRDefault="00AD0583" w:rsidP="00EB0165">
            <w:pPr>
              <w:jc w:val="center"/>
              <w:rPr>
                <w:rFonts w:ascii="Arial Narrow" w:hAnsi="Arial Narrow"/>
                <w:color w:val="333333"/>
                <w:sz w:val="20"/>
                <w:szCs w:val="20"/>
              </w:rPr>
            </w:pPr>
            <w:r w:rsidRPr="00BC5A69">
              <w:rPr>
                <w:rFonts w:ascii="Arial Narrow" w:hAnsi="Arial Narrow"/>
                <w:color w:val="333333"/>
                <w:sz w:val="20"/>
                <w:szCs w:val="20"/>
              </w:rPr>
              <w:t>Concept ID – for internal use only</w:t>
            </w:r>
          </w:p>
        </w:tc>
        <w:tc>
          <w:tcPr>
            <w:tcW w:w="7992" w:type="dxa"/>
            <w:gridSpan w:val="6"/>
            <w:vAlign w:val="center"/>
          </w:tcPr>
          <w:p w14:paraId="13698E7E" w14:textId="77777777" w:rsidR="00AD0583" w:rsidRPr="00BC5A69" w:rsidRDefault="00AD0583" w:rsidP="00EB0165">
            <w:pPr>
              <w:rPr>
                <w:rFonts w:ascii="Arial Narrow" w:hAnsi="Arial Narrow"/>
                <w:b/>
                <w:bCs/>
                <w:color w:val="333333"/>
                <w:sz w:val="20"/>
                <w:szCs w:val="20"/>
              </w:rPr>
            </w:pPr>
            <w:r w:rsidRPr="00BC5A69">
              <w:rPr>
                <w:rFonts w:ascii="Arial Narrow" w:hAnsi="Arial Narrow"/>
                <w:b/>
                <w:bCs/>
                <w:color w:val="333333"/>
                <w:sz w:val="20"/>
                <w:szCs w:val="20"/>
              </w:rPr>
              <w:t xml:space="preserve">Category / Program: </w:t>
            </w:r>
            <w:r w:rsidRPr="00BC5A69">
              <w:rPr>
                <w:rFonts w:ascii="Arial Narrow" w:eastAsia="Calibri" w:hAnsi="Arial Narrow"/>
                <w:sz w:val="20"/>
                <w:szCs w:val="20"/>
              </w:rPr>
              <w:t>GENERAL – General Schedule (Code GE)</w:t>
            </w:r>
          </w:p>
        </w:tc>
      </w:tr>
      <w:tr w:rsidR="00AD0583" w:rsidRPr="00AD0583" w14:paraId="25E17B98"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Merge/>
            <w:vAlign w:val="center"/>
          </w:tcPr>
          <w:p w14:paraId="45976E93"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5D79D4B1" w14:textId="77777777" w:rsidR="00AD0583" w:rsidRPr="00BC5A69" w:rsidRDefault="00AD0583" w:rsidP="00EB0165">
            <w:pPr>
              <w:rPr>
                <w:rFonts w:ascii="Arial Narrow" w:hAnsi="Arial Narrow"/>
                <w:b/>
                <w:bCs/>
                <w:color w:val="333333"/>
                <w:sz w:val="20"/>
                <w:szCs w:val="20"/>
              </w:rPr>
            </w:pPr>
            <w:r w:rsidRPr="00BC5A69">
              <w:rPr>
                <w:rFonts w:ascii="Arial Narrow" w:hAnsi="Arial Narrow"/>
                <w:b/>
                <w:bCs/>
                <w:color w:val="333333"/>
                <w:sz w:val="20"/>
                <w:szCs w:val="20"/>
              </w:rPr>
              <w:t xml:space="preserve">Prescriber type: </w:t>
            </w:r>
            <w:r w:rsidRPr="00BC5A69">
              <w:rPr>
                <w:rFonts w:ascii="Arial Narrow" w:hAnsi="Arial Narrow"/>
                <w:sz w:val="20"/>
                <w:szCs w:val="20"/>
              </w:rPr>
              <w:fldChar w:fldCharType="begin" w:fldLock="1">
                <w:ffData>
                  <w:name w:val=""/>
                  <w:enabled/>
                  <w:calcOnExit w:val="0"/>
                  <w:checkBox>
                    <w:sizeAuto/>
                    <w:default w:val="1"/>
                  </w:checkBox>
                </w:ffData>
              </w:fldChar>
            </w:r>
            <w:r w:rsidRPr="00BC5A69">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BC5A69">
              <w:rPr>
                <w:rFonts w:ascii="Arial Narrow" w:hAnsi="Arial Narrow"/>
                <w:sz w:val="20"/>
                <w:szCs w:val="20"/>
              </w:rPr>
              <w:fldChar w:fldCharType="end"/>
            </w:r>
            <w:r w:rsidRPr="00BC5A69">
              <w:rPr>
                <w:rFonts w:ascii="Arial Narrow" w:hAnsi="Arial Narrow"/>
                <w:sz w:val="20"/>
                <w:szCs w:val="20"/>
              </w:rPr>
              <w:t>Medical Practitioners</w:t>
            </w:r>
          </w:p>
        </w:tc>
      </w:tr>
      <w:tr w:rsidR="00AD0583" w:rsidRPr="00AD0583" w14:paraId="6BCA5FC4"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Merge/>
            <w:vAlign w:val="center"/>
          </w:tcPr>
          <w:p w14:paraId="564F4245"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39AE38EB" w14:textId="77777777" w:rsidR="00AD0583" w:rsidRPr="00BC5A69" w:rsidRDefault="00AD0583" w:rsidP="00EB0165">
            <w:pPr>
              <w:rPr>
                <w:rFonts w:ascii="Arial Narrow" w:hAnsi="Arial Narrow"/>
                <w:b/>
                <w:bCs/>
                <w:color w:val="333333"/>
                <w:sz w:val="20"/>
                <w:szCs w:val="20"/>
              </w:rPr>
            </w:pPr>
            <w:r w:rsidRPr="00BC5A69">
              <w:rPr>
                <w:rFonts w:ascii="Arial Narrow" w:hAnsi="Arial Narrow"/>
                <w:b/>
                <w:bCs/>
                <w:color w:val="333333"/>
                <w:sz w:val="20"/>
                <w:szCs w:val="20"/>
              </w:rPr>
              <w:t xml:space="preserve">Restriction type: </w:t>
            </w:r>
            <w:r w:rsidRPr="00BC5A69">
              <w:rPr>
                <w:rFonts w:ascii="Arial Narrow" w:hAnsi="Arial Narrow"/>
                <w:sz w:val="20"/>
                <w:szCs w:val="20"/>
              </w:rPr>
              <w:fldChar w:fldCharType="begin" w:fldLock="1">
                <w:ffData>
                  <w:name w:val=""/>
                  <w:enabled/>
                  <w:calcOnExit w:val="0"/>
                  <w:checkBox>
                    <w:sizeAuto/>
                    <w:default w:val="1"/>
                  </w:checkBox>
                </w:ffData>
              </w:fldChar>
            </w:r>
            <w:r w:rsidRPr="00BC5A69">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BC5A69">
              <w:rPr>
                <w:rFonts w:ascii="Arial Narrow" w:hAnsi="Arial Narrow"/>
                <w:sz w:val="20"/>
                <w:szCs w:val="20"/>
              </w:rPr>
              <w:fldChar w:fldCharType="end"/>
            </w:r>
            <w:r w:rsidRPr="00BC5A69">
              <w:rPr>
                <w:rFonts w:ascii="Arial Narrow" w:hAnsi="Arial Narrow"/>
                <w:sz w:val="20"/>
                <w:szCs w:val="20"/>
              </w:rPr>
              <w:t>Authority Required – Streamlined (new code 2)</w:t>
            </w:r>
          </w:p>
        </w:tc>
      </w:tr>
      <w:tr w:rsidR="000E3402" w:rsidRPr="00AD0583" w14:paraId="2CE7FEBF" w14:textId="77777777" w:rsidTr="00F1053A">
        <w:tblPrEx>
          <w:tblCellMar>
            <w:top w:w="15" w:type="dxa"/>
            <w:left w:w="15" w:type="dxa"/>
            <w:bottom w:w="15" w:type="dxa"/>
            <w:right w:w="15" w:type="dxa"/>
          </w:tblCellMar>
          <w:tblLook w:val="04A0" w:firstRow="1" w:lastRow="0" w:firstColumn="1" w:lastColumn="0" w:noHBand="0" w:noVBand="1"/>
        </w:tblPrEx>
        <w:tc>
          <w:tcPr>
            <w:tcW w:w="537" w:type="dxa"/>
            <w:vMerge w:val="restart"/>
            <w:vAlign w:val="center"/>
          </w:tcPr>
          <w:p w14:paraId="62DA205A" w14:textId="27C6B945" w:rsidR="000E3402" w:rsidRPr="00AD0583" w:rsidRDefault="000E3402" w:rsidP="00F1053A">
            <w:pPr>
              <w:jc w:val="center"/>
              <w:rPr>
                <w:rFonts w:ascii="Arial Narrow" w:hAnsi="Arial Narrow"/>
                <w:color w:val="333333"/>
                <w:sz w:val="20"/>
                <w:szCs w:val="20"/>
              </w:rPr>
            </w:pPr>
          </w:p>
        </w:tc>
        <w:tc>
          <w:tcPr>
            <w:tcW w:w="538" w:type="dxa"/>
            <w:vAlign w:val="center"/>
          </w:tcPr>
          <w:p w14:paraId="65180358" w14:textId="0DBE671C" w:rsidR="000E3402" w:rsidRPr="00AD0583" w:rsidRDefault="000E3402" w:rsidP="00F1053A">
            <w:pPr>
              <w:jc w:val="center"/>
              <w:rPr>
                <w:rFonts w:ascii="Arial Narrow" w:hAnsi="Arial Narrow"/>
                <w:color w:val="333333"/>
                <w:sz w:val="20"/>
                <w:szCs w:val="20"/>
              </w:rPr>
            </w:pPr>
          </w:p>
        </w:tc>
        <w:tc>
          <w:tcPr>
            <w:tcW w:w="7992" w:type="dxa"/>
            <w:gridSpan w:val="6"/>
            <w:vAlign w:val="center"/>
          </w:tcPr>
          <w:p w14:paraId="65454153" w14:textId="77777777" w:rsidR="000E3402" w:rsidRPr="00AD0583" w:rsidRDefault="000E3402" w:rsidP="00F1053A">
            <w:pPr>
              <w:autoSpaceDE w:val="0"/>
              <w:autoSpaceDN w:val="0"/>
              <w:adjustRightInd w:val="0"/>
              <w:rPr>
                <w:rFonts w:ascii="Arial Narrow" w:eastAsia="Calibri" w:hAnsi="Arial Narrow"/>
                <w:bCs/>
                <w:sz w:val="20"/>
                <w:szCs w:val="20"/>
              </w:rPr>
            </w:pPr>
            <w:r w:rsidRPr="00AD0583">
              <w:rPr>
                <w:rFonts w:ascii="Arial Narrow" w:hAnsi="Arial Narrow"/>
                <w:b/>
                <w:bCs/>
                <w:sz w:val="20"/>
                <w:szCs w:val="20"/>
              </w:rPr>
              <w:t xml:space="preserve">Administrative Advice: </w:t>
            </w:r>
            <w:r w:rsidRPr="00AD0583">
              <w:rPr>
                <w:rFonts w:ascii="Arial Narrow" w:hAnsi="Arial Narrow"/>
                <w:sz w:val="20"/>
                <w:szCs w:val="20"/>
              </w:rPr>
              <w:t>No increase in the maximum quantity or number of units may be authorised.</w:t>
            </w:r>
          </w:p>
        </w:tc>
      </w:tr>
      <w:tr w:rsidR="000E3402" w:rsidRPr="00AD0583" w14:paraId="7B82C609" w14:textId="77777777" w:rsidTr="00F1053A">
        <w:tblPrEx>
          <w:tblCellMar>
            <w:top w:w="15" w:type="dxa"/>
            <w:left w:w="15" w:type="dxa"/>
            <w:bottom w:w="15" w:type="dxa"/>
            <w:right w:w="15" w:type="dxa"/>
          </w:tblCellMar>
          <w:tblLook w:val="04A0" w:firstRow="1" w:lastRow="0" w:firstColumn="1" w:lastColumn="0" w:noHBand="0" w:noVBand="1"/>
        </w:tblPrEx>
        <w:tc>
          <w:tcPr>
            <w:tcW w:w="537" w:type="dxa"/>
            <w:vMerge/>
            <w:vAlign w:val="center"/>
          </w:tcPr>
          <w:p w14:paraId="5B24A6F3" w14:textId="77777777" w:rsidR="000E3402" w:rsidRPr="00AD0583" w:rsidRDefault="000E3402" w:rsidP="00F1053A">
            <w:pPr>
              <w:jc w:val="center"/>
              <w:rPr>
                <w:rFonts w:ascii="Arial Narrow" w:hAnsi="Arial Narrow"/>
                <w:color w:val="333333"/>
                <w:sz w:val="20"/>
                <w:szCs w:val="20"/>
              </w:rPr>
            </w:pPr>
          </w:p>
        </w:tc>
        <w:tc>
          <w:tcPr>
            <w:tcW w:w="538" w:type="dxa"/>
            <w:vAlign w:val="center"/>
          </w:tcPr>
          <w:p w14:paraId="28258FA5" w14:textId="5C8644E2" w:rsidR="000E3402" w:rsidRPr="00AD0583" w:rsidRDefault="000E3402" w:rsidP="00F1053A">
            <w:pPr>
              <w:jc w:val="center"/>
              <w:rPr>
                <w:rFonts w:ascii="Arial Narrow" w:hAnsi="Arial Narrow"/>
                <w:color w:val="333333"/>
                <w:sz w:val="20"/>
                <w:szCs w:val="20"/>
              </w:rPr>
            </w:pPr>
          </w:p>
        </w:tc>
        <w:tc>
          <w:tcPr>
            <w:tcW w:w="7992" w:type="dxa"/>
            <w:gridSpan w:val="6"/>
            <w:vAlign w:val="center"/>
          </w:tcPr>
          <w:p w14:paraId="44047ED7" w14:textId="77777777" w:rsidR="000E3402" w:rsidRPr="00AD0583" w:rsidRDefault="000E3402" w:rsidP="00F1053A">
            <w:pPr>
              <w:autoSpaceDE w:val="0"/>
              <w:autoSpaceDN w:val="0"/>
              <w:adjustRightInd w:val="0"/>
              <w:rPr>
                <w:rFonts w:ascii="Arial Narrow" w:eastAsia="Calibri" w:hAnsi="Arial Narrow"/>
                <w:bCs/>
                <w:sz w:val="20"/>
                <w:szCs w:val="20"/>
              </w:rPr>
            </w:pPr>
            <w:r w:rsidRPr="00AD0583">
              <w:rPr>
                <w:rFonts w:ascii="Arial Narrow" w:hAnsi="Arial Narrow"/>
                <w:b/>
                <w:bCs/>
                <w:sz w:val="20"/>
                <w:szCs w:val="20"/>
              </w:rPr>
              <w:t xml:space="preserve">Administrative Advice: </w:t>
            </w:r>
            <w:r w:rsidRPr="00AD0583">
              <w:rPr>
                <w:rFonts w:ascii="Arial Narrow" w:hAnsi="Arial Narrow"/>
                <w:sz w:val="20"/>
                <w:szCs w:val="20"/>
              </w:rPr>
              <w:t>No increase in the maximum number of repeats may be authorised</w:t>
            </w:r>
          </w:p>
        </w:tc>
      </w:tr>
      <w:tr w:rsidR="000E3402" w:rsidRPr="00AD0583" w14:paraId="006651F9" w14:textId="77777777" w:rsidTr="00F1053A">
        <w:tblPrEx>
          <w:tblCellMar>
            <w:top w:w="15" w:type="dxa"/>
            <w:left w:w="15" w:type="dxa"/>
            <w:bottom w:w="15" w:type="dxa"/>
            <w:right w:w="15" w:type="dxa"/>
          </w:tblCellMar>
          <w:tblLook w:val="04A0" w:firstRow="1" w:lastRow="0" w:firstColumn="1" w:lastColumn="0" w:noHBand="0" w:noVBand="1"/>
        </w:tblPrEx>
        <w:tc>
          <w:tcPr>
            <w:tcW w:w="537" w:type="dxa"/>
            <w:vMerge/>
            <w:vAlign w:val="center"/>
          </w:tcPr>
          <w:p w14:paraId="62F42F7E" w14:textId="77777777" w:rsidR="000E3402" w:rsidRPr="00AD0583" w:rsidRDefault="000E3402" w:rsidP="00F1053A">
            <w:pPr>
              <w:jc w:val="center"/>
              <w:rPr>
                <w:rFonts w:ascii="Arial Narrow" w:hAnsi="Arial Narrow"/>
                <w:color w:val="333333"/>
                <w:sz w:val="20"/>
                <w:szCs w:val="20"/>
              </w:rPr>
            </w:pPr>
          </w:p>
        </w:tc>
        <w:tc>
          <w:tcPr>
            <w:tcW w:w="538" w:type="dxa"/>
            <w:vAlign w:val="center"/>
          </w:tcPr>
          <w:p w14:paraId="4CCEE816" w14:textId="260D7648" w:rsidR="000E3402" w:rsidRPr="00AD0583" w:rsidRDefault="000E3402" w:rsidP="00F1053A">
            <w:pPr>
              <w:jc w:val="center"/>
              <w:rPr>
                <w:rFonts w:ascii="Arial Narrow" w:hAnsi="Arial Narrow"/>
                <w:color w:val="333333"/>
                <w:sz w:val="20"/>
                <w:szCs w:val="20"/>
              </w:rPr>
            </w:pPr>
          </w:p>
        </w:tc>
        <w:tc>
          <w:tcPr>
            <w:tcW w:w="7992" w:type="dxa"/>
            <w:gridSpan w:val="6"/>
            <w:vAlign w:val="center"/>
          </w:tcPr>
          <w:p w14:paraId="38AA82BD" w14:textId="77777777" w:rsidR="000E3402" w:rsidRPr="00CB048B" w:rsidRDefault="000E3402" w:rsidP="00F1053A">
            <w:pPr>
              <w:autoSpaceDE w:val="0"/>
              <w:autoSpaceDN w:val="0"/>
              <w:adjustRightInd w:val="0"/>
              <w:rPr>
                <w:rFonts w:ascii="Arial Narrow" w:hAnsi="Arial Narrow"/>
                <w:sz w:val="20"/>
                <w:szCs w:val="20"/>
              </w:rPr>
            </w:pPr>
            <w:r w:rsidRPr="00CB048B">
              <w:rPr>
                <w:rFonts w:ascii="Arial Narrow" w:hAnsi="Arial Narrow"/>
                <w:b/>
                <w:bCs/>
                <w:sz w:val="20"/>
                <w:szCs w:val="20"/>
              </w:rPr>
              <w:t>Administrative Advice:</w:t>
            </w:r>
            <w:r w:rsidRPr="00CB048B">
              <w:rPr>
                <w:rFonts w:ascii="Arial Narrow" w:hAnsi="Arial Narrow"/>
                <w:sz w:val="20"/>
                <w:szCs w:val="20"/>
              </w:rPr>
              <w:t xml:space="preserve"> Special pricing arrangements apply</w:t>
            </w:r>
          </w:p>
        </w:tc>
      </w:tr>
      <w:tr w:rsidR="000E3402" w:rsidRPr="00AD0583" w14:paraId="4011120A" w14:textId="77777777" w:rsidTr="00EB0165">
        <w:tblPrEx>
          <w:tblCellMar>
            <w:top w:w="15" w:type="dxa"/>
            <w:left w:w="15" w:type="dxa"/>
            <w:bottom w:w="15" w:type="dxa"/>
            <w:right w:w="15" w:type="dxa"/>
          </w:tblCellMar>
        </w:tblPrEx>
        <w:tc>
          <w:tcPr>
            <w:tcW w:w="1075" w:type="dxa"/>
            <w:gridSpan w:val="2"/>
            <w:vAlign w:val="center"/>
          </w:tcPr>
          <w:p w14:paraId="4C137301" w14:textId="77777777" w:rsidR="000E3402" w:rsidRPr="00BC5A69" w:rsidRDefault="000E3402" w:rsidP="00EB0165">
            <w:pPr>
              <w:jc w:val="center"/>
              <w:rPr>
                <w:rFonts w:ascii="Arial Narrow" w:hAnsi="Arial Narrow"/>
                <w:color w:val="333333"/>
                <w:sz w:val="20"/>
                <w:szCs w:val="20"/>
              </w:rPr>
            </w:pPr>
          </w:p>
        </w:tc>
        <w:tc>
          <w:tcPr>
            <w:tcW w:w="7992" w:type="dxa"/>
            <w:gridSpan w:val="6"/>
            <w:vAlign w:val="center"/>
          </w:tcPr>
          <w:p w14:paraId="212FC123" w14:textId="77777777" w:rsidR="000E3402" w:rsidRPr="00BC5A69" w:rsidRDefault="000E3402" w:rsidP="00EB0165">
            <w:pPr>
              <w:rPr>
                <w:rFonts w:ascii="Arial Narrow" w:hAnsi="Arial Narrow"/>
                <w:b/>
                <w:bCs/>
                <w:color w:val="333333"/>
                <w:sz w:val="20"/>
                <w:szCs w:val="20"/>
              </w:rPr>
            </w:pPr>
          </w:p>
        </w:tc>
      </w:tr>
      <w:tr w:rsidR="00AD0583" w:rsidRPr="00AD0583" w14:paraId="3346001B" w14:textId="77777777" w:rsidTr="00EB0165">
        <w:tblPrEx>
          <w:tblCellMar>
            <w:top w:w="15" w:type="dxa"/>
            <w:left w:w="15" w:type="dxa"/>
            <w:bottom w:w="15" w:type="dxa"/>
            <w:right w:w="15" w:type="dxa"/>
          </w:tblCellMar>
        </w:tblPrEx>
        <w:tc>
          <w:tcPr>
            <w:tcW w:w="1075" w:type="dxa"/>
            <w:gridSpan w:val="2"/>
            <w:vAlign w:val="center"/>
          </w:tcPr>
          <w:p w14:paraId="4DC8DE95" w14:textId="6D7F7C60"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2E0FE80D"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Indication:</w:t>
            </w:r>
            <w:r w:rsidRPr="00BC5A69">
              <w:rPr>
                <w:rFonts w:ascii="Arial Narrow" w:hAnsi="Arial Narrow"/>
                <w:color w:val="333333"/>
                <w:sz w:val="20"/>
                <w:szCs w:val="20"/>
              </w:rPr>
              <w:t xml:space="preserve"> Locally advanced or metastatic non-small cell lung cancer</w:t>
            </w:r>
          </w:p>
        </w:tc>
      </w:tr>
      <w:tr w:rsidR="00AD0583" w:rsidRPr="00AD0583" w14:paraId="44EA9B0F"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1F7EED4B"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636215C9" w14:textId="77777777" w:rsidR="00AD0583" w:rsidRPr="00BC5A69" w:rsidRDefault="00AD0583" w:rsidP="00EB0165">
            <w:pPr>
              <w:rPr>
                <w:rFonts w:ascii="Arial Narrow" w:hAnsi="Arial Narrow"/>
                <w:b/>
                <w:bCs/>
                <w:color w:val="333333"/>
                <w:sz w:val="20"/>
                <w:szCs w:val="20"/>
              </w:rPr>
            </w:pPr>
          </w:p>
        </w:tc>
      </w:tr>
      <w:tr w:rsidR="00AD0583" w:rsidRPr="00AD0583" w14:paraId="4C0F2037" w14:textId="77777777" w:rsidTr="00EB0165">
        <w:tblPrEx>
          <w:tblCellMar>
            <w:top w:w="15" w:type="dxa"/>
            <w:left w:w="15" w:type="dxa"/>
            <w:bottom w:w="15" w:type="dxa"/>
            <w:right w:w="15" w:type="dxa"/>
          </w:tblCellMar>
        </w:tblPrEx>
        <w:tc>
          <w:tcPr>
            <w:tcW w:w="1075" w:type="dxa"/>
            <w:gridSpan w:val="2"/>
            <w:vAlign w:val="center"/>
          </w:tcPr>
          <w:p w14:paraId="774B5C85" w14:textId="4ED34F02"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212964DC"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Clinical criteria:</w:t>
            </w:r>
          </w:p>
        </w:tc>
      </w:tr>
      <w:tr w:rsidR="00AD0583" w:rsidRPr="00AD0583" w14:paraId="77A3217A" w14:textId="77777777" w:rsidTr="00EB0165">
        <w:tblPrEx>
          <w:tblCellMar>
            <w:top w:w="15" w:type="dxa"/>
            <w:left w:w="15" w:type="dxa"/>
            <w:bottom w:w="15" w:type="dxa"/>
            <w:right w:w="15" w:type="dxa"/>
          </w:tblCellMar>
        </w:tblPrEx>
        <w:tc>
          <w:tcPr>
            <w:tcW w:w="1075" w:type="dxa"/>
            <w:gridSpan w:val="2"/>
            <w:vAlign w:val="center"/>
          </w:tcPr>
          <w:p w14:paraId="7B53C514" w14:textId="1B8ADB5E"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57BC8E12" w14:textId="77777777" w:rsidR="00AD0583" w:rsidRPr="00BC5A69" w:rsidRDefault="00AD0583" w:rsidP="00EB0165">
            <w:pPr>
              <w:rPr>
                <w:rFonts w:ascii="Arial Narrow" w:hAnsi="Arial Narrow"/>
                <w:color w:val="333333"/>
                <w:sz w:val="20"/>
                <w:szCs w:val="20"/>
              </w:rPr>
            </w:pPr>
            <w:r w:rsidRPr="00BC5A69">
              <w:rPr>
                <w:rFonts w:ascii="Arial Narrow" w:hAnsi="Arial Narrow" w:cs="Arial Narrow"/>
                <w:sz w:val="20"/>
                <w:szCs w:val="20"/>
              </w:rPr>
              <w:t xml:space="preserve">The condition must have evidence of rearranged during transfection (RET) gene fusion in tumour material – this evidence has been obtained prior to commencing treatment with this drug </w:t>
            </w:r>
          </w:p>
        </w:tc>
      </w:tr>
      <w:tr w:rsidR="00AD0583" w:rsidRPr="00AD0583" w14:paraId="599DACCD" w14:textId="77777777" w:rsidTr="00EB0165">
        <w:tblPrEx>
          <w:tblCellMar>
            <w:top w:w="15" w:type="dxa"/>
            <w:left w:w="15" w:type="dxa"/>
            <w:bottom w:w="15" w:type="dxa"/>
            <w:right w:w="15" w:type="dxa"/>
          </w:tblCellMar>
        </w:tblPrEx>
        <w:tc>
          <w:tcPr>
            <w:tcW w:w="1075" w:type="dxa"/>
            <w:gridSpan w:val="2"/>
            <w:vAlign w:val="center"/>
          </w:tcPr>
          <w:p w14:paraId="48483676"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155E3180"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AND</w:t>
            </w:r>
          </w:p>
        </w:tc>
      </w:tr>
      <w:tr w:rsidR="00AD0583" w:rsidRPr="00AD0583" w14:paraId="575DE09A"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10FB223F" w14:textId="390E5E3F"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0D5D8256"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Clinical criteria:</w:t>
            </w:r>
          </w:p>
        </w:tc>
      </w:tr>
      <w:tr w:rsidR="00AD0583" w:rsidRPr="00AD0583" w14:paraId="38EC7A2E"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477E5919" w14:textId="77425A18"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552CF62A" w14:textId="77777777" w:rsidR="00AD0583" w:rsidRPr="00BC5A69" w:rsidRDefault="00AD0583" w:rsidP="00EB0165">
            <w:pPr>
              <w:rPr>
                <w:rFonts w:ascii="Arial Narrow" w:hAnsi="Arial Narrow"/>
                <w:color w:val="333333"/>
                <w:sz w:val="20"/>
                <w:szCs w:val="20"/>
              </w:rPr>
            </w:pPr>
            <w:r w:rsidRPr="00BC5A69">
              <w:rPr>
                <w:rFonts w:ascii="Arial Narrow" w:hAnsi="Arial Narrow"/>
                <w:color w:val="333333"/>
                <w:sz w:val="20"/>
                <w:szCs w:val="20"/>
              </w:rPr>
              <w:t>Patient must have a World Health Organisation (WHO) Eastern Cooperative Oncology Group (ECOG) performance status score of no higher than 2 at treatment initiation</w:t>
            </w:r>
          </w:p>
        </w:tc>
      </w:tr>
      <w:tr w:rsidR="00AD0583" w:rsidRPr="00AD0583" w14:paraId="6A590AF5"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63181724"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2E3CB784"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AND</w:t>
            </w:r>
          </w:p>
        </w:tc>
      </w:tr>
      <w:tr w:rsidR="00AD0583" w:rsidRPr="00AD0583" w14:paraId="36C7D362"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75064832" w14:textId="4787484C"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0D0C9549"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Clinical criteria:</w:t>
            </w:r>
          </w:p>
        </w:tc>
      </w:tr>
      <w:tr w:rsidR="00AD0583" w:rsidRPr="00AD0583" w14:paraId="45647383"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2B05237B" w14:textId="2BED75EF"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7F2EE718" w14:textId="77777777" w:rsidR="00AD0583" w:rsidRPr="00BC5A69" w:rsidRDefault="00AD0583" w:rsidP="00EB0165">
            <w:pPr>
              <w:rPr>
                <w:rFonts w:ascii="Arial Narrow" w:hAnsi="Arial Narrow"/>
                <w:color w:val="333333"/>
                <w:sz w:val="20"/>
                <w:szCs w:val="20"/>
              </w:rPr>
            </w:pPr>
            <w:r w:rsidRPr="00BC5A69">
              <w:rPr>
                <w:rFonts w:ascii="Arial Narrow" w:hAnsi="Arial Narrow"/>
                <w:color w:val="333333"/>
                <w:sz w:val="20"/>
                <w:szCs w:val="20"/>
              </w:rPr>
              <w:t>The treatment must be the sole PBS-subsidised systemic anti-cancer therapy for this PBS indication.</w:t>
            </w:r>
          </w:p>
        </w:tc>
      </w:tr>
      <w:tr w:rsidR="00AD0583" w:rsidRPr="00AD0583" w14:paraId="316F92CE"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39B042BB"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39FCC71E" w14:textId="77777777" w:rsidR="00AD0583" w:rsidRPr="00BC5A69" w:rsidRDefault="00AD0583" w:rsidP="00EB0165">
            <w:pPr>
              <w:rPr>
                <w:rFonts w:ascii="Arial Narrow" w:hAnsi="Arial Narrow"/>
                <w:color w:val="333333"/>
                <w:sz w:val="20"/>
                <w:szCs w:val="20"/>
              </w:rPr>
            </w:pPr>
          </w:p>
        </w:tc>
      </w:tr>
      <w:tr w:rsidR="00AD0583" w:rsidRPr="00AD0583" w14:paraId="6CAF4877" w14:textId="77777777" w:rsidTr="00EB0165">
        <w:tblPrEx>
          <w:tblCellMar>
            <w:top w:w="15" w:type="dxa"/>
            <w:left w:w="15" w:type="dxa"/>
            <w:bottom w:w="15" w:type="dxa"/>
            <w:right w:w="15" w:type="dxa"/>
          </w:tblCellMar>
          <w:tblLook w:val="04A0" w:firstRow="1" w:lastRow="0" w:firstColumn="1" w:lastColumn="0" w:noHBand="0" w:noVBand="1"/>
        </w:tblPrEx>
        <w:trPr>
          <w:trHeight w:val="227"/>
        </w:trPr>
        <w:tc>
          <w:tcPr>
            <w:tcW w:w="1075" w:type="dxa"/>
            <w:gridSpan w:val="2"/>
            <w:vAlign w:val="center"/>
          </w:tcPr>
          <w:p w14:paraId="205FB890" w14:textId="4FD221FF"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133829FB" w14:textId="77777777" w:rsidR="00AD0583" w:rsidRPr="00BC5A69" w:rsidRDefault="00AD0583" w:rsidP="00EB0165">
            <w:pPr>
              <w:rPr>
                <w:rFonts w:ascii="Arial Narrow" w:hAnsi="Arial Narrow"/>
                <w:color w:val="333333"/>
                <w:sz w:val="20"/>
                <w:szCs w:val="20"/>
              </w:rPr>
            </w:pPr>
            <w:r w:rsidRPr="00BC5A69">
              <w:rPr>
                <w:rFonts w:ascii="Arial Narrow" w:hAnsi="Arial Narrow"/>
                <w:b/>
                <w:bCs/>
                <w:color w:val="333333"/>
                <w:sz w:val="20"/>
                <w:szCs w:val="20"/>
              </w:rPr>
              <w:t>Treatment criteria:</w:t>
            </w:r>
          </w:p>
        </w:tc>
      </w:tr>
      <w:tr w:rsidR="00AD0583" w:rsidRPr="00AD0583" w14:paraId="39A5D2AB"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1B7BE59C" w14:textId="4B6F1B1D" w:rsidR="00AD0583" w:rsidRPr="00BC5A69" w:rsidRDefault="00AD0583" w:rsidP="00EB0165">
            <w:pPr>
              <w:jc w:val="center"/>
              <w:rPr>
                <w:rFonts w:ascii="Arial Narrow" w:hAnsi="Arial Narrow"/>
                <w:color w:val="333333"/>
                <w:sz w:val="20"/>
                <w:szCs w:val="20"/>
              </w:rPr>
            </w:pPr>
          </w:p>
        </w:tc>
        <w:tc>
          <w:tcPr>
            <w:tcW w:w="7992" w:type="dxa"/>
            <w:gridSpan w:val="6"/>
            <w:vAlign w:val="center"/>
            <w:hideMark/>
          </w:tcPr>
          <w:p w14:paraId="7B244631" w14:textId="77777777" w:rsidR="00AD0583" w:rsidRPr="00BC5A69" w:rsidRDefault="00AD0583" w:rsidP="00EB0165">
            <w:pPr>
              <w:autoSpaceDE w:val="0"/>
              <w:autoSpaceDN w:val="0"/>
              <w:adjustRightInd w:val="0"/>
              <w:rPr>
                <w:rFonts w:ascii="Arial Narrow" w:hAnsi="Arial Narrow" w:cs="Arial Narrow"/>
                <w:sz w:val="20"/>
                <w:szCs w:val="20"/>
              </w:rPr>
            </w:pPr>
            <w:r w:rsidRPr="00BC5A69">
              <w:rPr>
                <w:rFonts w:ascii="Arial Narrow" w:hAnsi="Arial Narrow" w:cs="Arial Narrow"/>
                <w:sz w:val="20"/>
                <w:szCs w:val="20"/>
              </w:rPr>
              <w:t>Patient must be initiating treatment with this drug; or</w:t>
            </w:r>
          </w:p>
        </w:tc>
      </w:tr>
      <w:tr w:rsidR="00AD0583" w:rsidRPr="00AD0583" w14:paraId="654ED3E3"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298FB02E" w14:textId="006FFB76"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0866A82F" w14:textId="2AE3C135" w:rsidR="00AD0583" w:rsidRPr="00BC5A69" w:rsidRDefault="000E3402" w:rsidP="00EB0165">
            <w:pPr>
              <w:autoSpaceDE w:val="0"/>
              <w:autoSpaceDN w:val="0"/>
              <w:adjustRightInd w:val="0"/>
              <w:rPr>
                <w:rFonts w:ascii="Arial Narrow" w:hAnsi="Arial Narrow" w:cs="Arial Narrow"/>
                <w:sz w:val="20"/>
                <w:szCs w:val="20"/>
              </w:rPr>
            </w:pPr>
            <w:r w:rsidRPr="00A3456D">
              <w:rPr>
                <w:rFonts w:ascii="Arial Narrow" w:hAnsi="Arial Narrow" w:cs="Arial Narrow"/>
                <w:sz w:val="20"/>
                <w:szCs w:val="20"/>
              </w:rPr>
              <w:t xml:space="preserve">Patient must be continuing treatment with this drug with an absence of further disease progression </w:t>
            </w:r>
            <w:r w:rsidRPr="00B66A79">
              <w:rPr>
                <w:rFonts w:ascii="Arial Narrow" w:hAnsi="Arial Narrow" w:cs="Arial Narrow"/>
                <w:sz w:val="20"/>
                <w:szCs w:val="20"/>
              </w:rPr>
              <w:t>while being treated with this drug</w:t>
            </w:r>
          </w:p>
        </w:tc>
      </w:tr>
      <w:tr w:rsidR="00AD0583" w:rsidRPr="00AD0583" w14:paraId="691C0872"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1C2389E1" w14:textId="77777777" w:rsidR="00AD0583" w:rsidRPr="00BC5A69" w:rsidRDefault="00AD0583" w:rsidP="00EB0165">
            <w:pPr>
              <w:jc w:val="center"/>
              <w:rPr>
                <w:rFonts w:ascii="Arial Narrow" w:hAnsi="Arial Narrow"/>
                <w:color w:val="333333"/>
                <w:sz w:val="20"/>
                <w:szCs w:val="20"/>
              </w:rPr>
            </w:pPr>
          </w:p>
        </w:tc>
        <w:tc>
          <w:tcPr>
            <w:tcW w:w="7992" w:type="dxa"/>
            <w:gridSpan w:val="6"/>
            <w:vAlign w:val="center"/>
          </w:tcPr>
          <w:p w14:paraId="1A6D2B1F" w14:textId="77777777" w:rsidR="00AD0583" w:rsidRPr="00BC5A69" w:rsidRDefault="00AD0583" w:rsidP="00EB0165">
            <w:pPr>
              <w:autoSpaceDE w:val="0"/>
              <w:autoSpaceDN w:val="0"/>
              <w:adjustRightInd w:val="0"/>
              <w:rPr>
                <w:rFonts w:ascii="Arial Narrow" w:hAnsi="Arial Narrow" w:cs="Arial Narrow"/>
                <w:sz w:val="20"/>
                <w:szCs w:val="20"/>
              </w:rPr>
            </w:pPr>
          </w:p>
        </w:tc>
      </w:tr>
      <w:tr w:rsidR="00AD0583" w:rsidRPr="00AD0583" w14:paraId="0512364A"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737CE27D" w14:textId="630E7BC3" w:rsidR="00AD0583" w:rsidRPr="00BC5A69" w:rsidRDefault="00AD0583" w:rsidP="00EB0165">
            <w:pPr>
              <w:jc w:val="center"/>
              <w:rPr>
                <w:rFonts w:ascii="Arial Narrow" w:hAnsi="Arial Narrow"/>
                <w:sz w:val="20"/>
                <w:szCs w:val="20"/>
              </w:rPr>
            </w:pPr>
          </w:p>
        </w:tc>
        <w:tc>
          <w:tcPr>
            <w:tcW w:w="7992" w:type="dxa"/>
            <w:gridSpan w:val="6"/>
            <w:vAlign w:val="center"/>
          </w:tcPr>
          <w:p w14:paraId="1909D6E4" w14:textId="77777777" w:rsidR="00AD0583" w:rsidRPr="00BC5A69" w:rsidRDefault="00AD0583" w:rsidP="00EB0165">
            <w:pPr>
              <w:autoSpaceDE w:val="0"/>
              <w:autoSpaceDN w:val="0"/>
              <w:adjustRightInd w:val="0"/>
              <w:rPr>
                <w:rFonts w:ascii="Arial Narrow" w:hAnsi="Arial Narrow"/>
                <w:b/>
                <w:bCs/>
                <w:sz w:val="20"/>
                <w:szCs w:val="20"/>
              </w:rPr>
            </w:pPr>
            <w:r w:rsidRPr="00BC5A69">
              <w:rPr>
                <w:rFonts w:ascii="Arial Narrow" w:hAnsi="Arial Narrow"/>
                <w:b/>
                <w:bCs/>
                <w:sz w:val="20"/>
                <w:szCs w:val="20"/>
              </w:rPr>
              <w:t>Prescribing instructions:</w:t>
            </w:r>
          </w:p>
          <w:p w14:paraId="29859783" w14:textId="20AD26C2" w:rsidR="00AD0583" w:rsidRPr="00BC5A69" w:rsidRDefault="000E3402" w:rsidP="00EB0165">
            <w:pPr>
              <w:autoSpaceDE w:val="0"/>
              <w:autoSpaceDN w:val="0"/>
              <w:adjustRightInd w:val="0"/>
              <w:rPr>
                <w:rFonts w:ascii="Arial Narrow" w:hAnsi="Arial Narrow"/>
                <w:sz w:val="20"/>
                <w:szCs w:val="20"/>
              </w:rPr>
            </w:pPr>
            <w:r w:rsidRPr="00A3456D">
              <w:rPr>
                <w:rFonts w:ascii="Arial Narrow" w:hAnsi="Arial Narrow"/>
                <w:sz w:val="20"/>
                <w:szCs w:val="20"/>
              </w:rPr>
              <w:t xml:space="preserve">Medical practitioners must prescribe the appropriate quantities of appropriate strength(s) to provide sufficient drug, based on the weight of the patient, adequate for 4 weeks per dispensing, according to the specified </w:t>
            </w:r>
            <w:r w:rsidRPr="00A3456D">
              <w:rPr>
                <w:rFonts w:ascii="Arial Narrow" w:hAnsi="Arial Narrow"/>
                <w:sz w:val="20"/>
                <w:szCs w:val="20"/>
              </w:rPr>
              <w:lastRenderedPageBreak/>
              <w:t xml:space="preserve">dosage in the approved </w:t>
            </w:r>
            <w:r w:rsidR="001E68BE">
              <w:rPr>
                <w:rFonts w:ascii="Arial Narrow" w:hAnsi="Arial Narrow"/>
                <w:sz w:val="20"/>
                <w:szCs w:val="20"/>
              </w:rPr>
              <w:t xml:space="preserve">Therapeutic Goods Administration (TGA) </w:t>
            </w:r>
            <w:r w:rsidRPr="00A3456D">
              <w:rPr>
                <w:rFonts w:ascii="Arial Narrow" w:hAnsi="Arial Narrow"/>
                <w:sz w:val="20"/>
                <w:szCs w:val="20"/>
              </w:rPr>
              <w:t>Product Information (PI). A separate authority prescription form must be completed for each strength requested.</w:t>
            </w:r>
          </w:p>
        </w:tc>
      </w:tr>
      <w:tr w:rsidR="00AD0583" w:rsidRPr="00AD0583" w14:paraId="5E4A3734" w14:textId="77777777" w:rsidTr="00EB0165">
        <w:tblPrEx>
          <w:tblCellMar>
            <w:top w:w="15" w:type="dxa"/>
            <w:left w:w="15" w:type="dxa"/>
            <w:bottom w:w="15" w:type="dxa"/>
            <w:right w:w="15" w:type="dxa"/>
          </w:tblCellMar>
          <w:tblLook w:val="04A0" w:firstRow="1" w:lastRow="0" w:firstColumn="1" w:lastColumn="0" w:noHBand="0" w:noVBand="1"/>
        </w:tblPrEx>
        <w:tc>
          <w:tcPr>
            <w:tcW w:w="1075" w:type="dxa"/>
            <w:gridSpan w:val="2"/>
            <w:vAlign w:val="center"/>
          </w:tcPr>
          <w:p w14:paraId="26B9631E" w14:textId="3DAED3E3" w:rsidR="00AD0583" w:rsidRPr="00BC5A69" w:rsidRDefault="00AD0583" w:rsidP="00EB0165">
            <w:pPr>
              <w:jc w:val="center"/>
              <w:rPr>
                <w:rFonts w:ascii="Arial Narrow" w:hAnsi="Arial Narrow"/>
                <w:sz w:val="20"/>
                <w:szCs w:val="20"/>
              </w:rPr>
            </w:pPr>
          </w:p>
        </w:tc>
        <w:tc>
          <w:tcPr>
            <w:tcW w:w="7992" w:type="dxa"/>
            <w:gridSpan w:val="6"/>
            <w:vAlign w:val="center"/>
          </w:tcPr>
          <w:p w14:paraId="311C2C26" w14:textId="77777777" w:rsidR="00AD0583" w:rsidRPr="00BC5A69" w:rsidRDefault="00AD0583" w:rsidP="00EB0165">
            <w:pPr>
              <w:autoSpaceDE w:val="0"/>
              <w:autoSpaceDN w:val="0"/>
              <w:adjustRightInd w:val="0"/>
              <w:rPr>
                <w:rFonts w:ascii="Arial Narrow" w:hAnsi="Arial Narrow"/>
                <w:sz w:val="20"/>
                <w:szCs w:val="20"/>
              </w:rPr>
            </w:pPr>
            <w:r w:rsidRPr="00BC5A69">
              <w:rPr>
                <w:rFonts w:ascii="Arial Narrow" w:hAnsi="Arial Narrow"/>
                <w:b/>
                <w:bCs/>
                <w:sz w:val="20"/>
                <w:szCs w:val="20"/>
              </w:rPr>
              <w:t>Prescribing instructions:</w:t>
            </w:r>
            <w:r w:rsidRPr="00BC5A69">
              <w:rPr>
                <w:rFonts w:ascii="Arial Narrow" w:hAnsi="Arial Narrow"/>
                <w:sz w:val="20"/>
                <w:szCs w:val="20"/>
              </w:rPr>
              <w:t xml:space="preserve"> </w:t>
            </w:r>
          </w:p>
          <w:p w14:paraId="20D674C4" w14:textId="70694BA1" w:rsidR="00AD0583" w:rsidRPr="00BC5A69" w:rsidRDefault="000E3402" w:rsidP="00EB0165">
            <w:pPr>
              <w:autoSpaceDE w:val="0"/>
              <w:autoSpaceDN w:val="0"/>
              <w:adjustRightInd w:val="0"/>
              <w:rPr>
                <w:rFonts w:ascii="Arial Narrow" w:hAnsi="Arial Narrow"/>
                <w:sz w:val="20"/>
                <w:szCs w:val="20"/>
              </w:rPr>
            </w:pPr>
            <w:r w:rsidRPr="66AF3DE6">
              <w:rPr>
                <w:rFonts w:ascii="Arial Narrow" w:hAnsi="Arial Narrow"/>
                <w:sz w:val="20"/>
                <w:szCs w:val="20"/>
              </w:rPr>
              <w:t xml:space="preserve">Medical practitioners </w:t>
            </w:r>
            <w:r w:rsidR="001E68BE">
              <w:rPr>
                <w:rFonts w:ascii="Arial Narrow" w:hAnsi="Arial Narrow"/>
                <w:sz w:val="20"/>
                <w:szCs w:val="20"/>
              </w:rPr>
              <w:t xml:space="preserve">may </w:t>
            </w:r>
            <w:r w:rsidRPr="66AF3DE6">
              <w:rPr>
                <w:rFonts w:ascii="Arial Narrow" w:hAnsi="Arial Narrow"/>
                <w:sz w:val="20"/>
                <w:szCs w:val="20"/>
              </w:rPr>
              <w:t>prescribe selpercatinib 80 mg with a quantity of</w:t>
            </w:r>
            <w:r w:rsidR="00243B14">
              <w:rPr>
                <w:rFonts w:ascii="Arial Narrow" w:hAnsi="Arial Narrow"/>
                <w:sz w:val="20"/>
                <w:szCs w:val="20"/>
              </w:rPr>
              <w:t xml:space="preserve"> up to</w:t>
            </w:r>
            <w:r w:rsidRPr="66AF3DE6">
              <w:rPr>
                <w:rFonts w:ascii="Arial Narrow" w:hAnsi="Arial Narrow"/>
                <w:sz w:val="20"/>
                <w:szCs w:val="20"/>
              </w:rPr>
              <w:t xml:space="preserve"> 56 units where the dose doesn’t exceed 120 mg twice daily (i.e., in combination with selpercatinib 40 mg). Selpercatinib 80 mg with a quantity of 112 units must be prescribed only where the dose </w:t>
            </w:r>
            <w:r>
              <w:rPr>
                <w:rFonts w:ascii="Arial Narrow" w:hAnsi="Arial Narrow"/>
                <w:sz w:val="20"/>
                <w:szCs w:val="20"/>
              </w:rPr>
              <w:t>is 16</w:t>
            </w:r>
            <w:r w:rsidRPr="66AF3DE6">
              <w:rPr>
                <w:rFonts w:ascii="Arial Narrow" w:hAnsi="Arial Narrow"/>
                <w:sz w:val="20"/>
                <w:szCs w:val="20"/>
              </w:rPr>
              <w:t>0 mg twice daily to provide 28 days of treatment per dispensing</w:t>
            </w:r>
            <w:r w:rsidR="001E68BE">
              <w:rPr>
                <w:rFonts w:ascii="Arial Narrow" w:hAnsi="Arial Narrow"/>
                <w:sz w:val="20"/>
                <w:szCs w:val="20"/>
              </w:rPr>
              <w:t xml:space="preserve">. Prescribers should refer to the TGA PI for dosing and dose adjustments’ regimens. </w:t>
            </w:r>
          </w:p>
        </w:tc>
      </w:tr>
    </w:tbl>
    <w:p w14:paraId="4FB9BC8E" w14:textId="77777777" w:rsidR="00AD0583" w:rsidRDefault="00AD0583" w:rsidP="00861BF1">
      <w:pPr>
        <w:rPr>
          <w:rFonts w:asciiTheme="minorHAnsi" w:hAnsiTheme="minorHAnsi"/>
          <w:bCs/>
          <w:snapToGrid w:val="0"/>
          <w:lang w:val="en-GB"/>
        </w:rPr>
      </w:pPr>
    </w:p>
    <w:p w14:paraId="3A8E16B7" w14:textId="35213D9C" w:rsidR="007B0627" w:rsidRDefault="007B0627" w:rsidP="007B0627">
      <w:pPr>
        <w:pStyle w:val="3-BodyText"/>
        <w:rPr>
          <w:lang w:val="en-GB"/>
        </w:rPr>
      </w:pPr>
      <w:r>
        <w:rPr>
          <w:bCs/>
          <w:lang w:val="en-GB"/>
        </w:rPr>
        <w:t xml:space="preserve">Flow on changes to pembrolizumab </w:t>
      </w:r>
      <w:r w:rsidRPr="00A776A3">
        <w:rPr>
          <w:lang w:val="en-GB"/>
        </w:rPr>
        <w:t>to enable its use after selpercatinib</w:t>
      </w:r>
      <w:r w:rsidR="00403818">
        <w:rPr>
          <w:lang w:val="en-GB"/>
        </w:rPr>
        <w:t xml:space="preserve"> (the full restrictions haven’t been populated below, only the changes have been marked in </w:t>
      </w:r>
      <w:r w:rsidR="00403818" w:rsidRPr="00BA56FF">
        <w:rPr>
          <w:i/>
          <w:iCs/>
          <w:lang w:val="en-GB"/>
        </w:rPr>
        <w:t>italics)</w:t>
      </w:r>
    </w:p>
    <w:tbl>
      <w:tblPr>
        <w:tblStyle w:val="TableGrid"/>
        <w:tblW w:w="5028" w:type="pct"/>
        <w:tblLayout w:type="fixed"/>
        <w:tblLook w:val="0000" w:firstRow="0" w:lastRow="0" w:firstColumn="0" w:lastColumn="0" w:noHBand="0" w:noVBand="0"/>
      </w:tblPr>
      <w:tblGrid>
        <w:gridCol w:w="986"/>
        <w:gridCol w:w="1998"/>
        <w:gridCol w:w="1899"/>
        <w:gridCol w:w="1899"/>
        <w:gridCol w:w="2285"/>
      </w:tblGrid>
      <w:tr w:rsidR="007B0627" w:rsidRPr="00BA56FF" w14:paraId="166C16DF" w14:textId="77777777" w:rsidTr="00624DBE">
        <w:trPr>
          <w:trHeight w:val="20"/>
        </w:trPr>
        <w:tc>
          <w:tcPr>
            <w:tcW w:w="1646" w:type="pct"/>
            <w:gridSpan w:val="2"/>
          </w:tcPr>
          <w:p w14:paraId="3083F5A4" w14:textId="77777777" w:rsidR="007B0627" w:rsidRPr="00BA56FF" w:rsidRDefault="007B0627" w:rsidP="00624DBE">
            <w:pPr>
              <w:ind w:left="-57"/>
              <w:rPr>
                <w:rFonts w:ascii="Arial Narrow" w:hAnsi="Arial Narrow"/>
                <w:b/>
                <w:bCs/>
                <w:sz w:val="20"/>
                <w:szCs w:val="20"/>
              </w:rPr>
            </w:pPr>
            <w:r w:rsidRPr="00BA56FF">
              <w:rPr>
                <w:rFonts w:ascii="Arial Narrow" w:hAnsi="Arial Narrow"/>
                <w:b/>
                <w:bCs/>
                <w:sz w:val="20"/>
                <w:szCs w:val="20"/>
              </w:rPr>
              <w:t>MEDICINAL PRODUCT</w:t>
            </w:r>
          </w:p>
          <w:p w14:paraId="5173643A" w14:textId="77777777" w:rsidR="007B0627" w:rsidRPr="00BA56FF" w:rsidRDefault="007B0627" w:rsidP="00624DBE">
            <w:pPr>
              <w:ind w:left="-57"/>
              <w:rPr>
                <w:rFonts w:ascii="Arial Narrow" w:hAnsi="Arial Narrow"/>
                <w:b/>
                <w:bCs/>
                <w:sz w:val="20"/>
                <w:szCs w:val="20"/>
              </w:rPr>
            </w:pPr>
            <w:r w:rsidRPr="00BA56FF">
              <w:rPr>
                <w:rFonts w:ascii="Arial Narrow" w:hAnsi="Arial Narrow"/>
                <w:b/>
                <w:bCs/>
                <w:sz w:val="20"/>
                <w:szCs w:val="20"/>
              </w:rPr>
              <w:t>Form</w:t>
            </w:r>
          </w:p>
        </w:tc>
        <w:tc>
          <w:tcPr>
            <w:tcW w:w="1047" w:type="pct"/>
          </w:tcPr>
          <w:p w14:paraId="52D8E221" w14:textId="77777777" w:rsidR="007B0627" w:rsidRPr="00BA56FF" w:rsidRDefault="007B0627" w:rsidP="00624DBE">
            <w:pPr>
              <w:ind w:left="-57"/>
              <w:jc w:val="center"/>
              <w:rPr>
                <w:rFonts w:ascii="Arial Narrow" w:hAnsi="Arial Narrow"/>
                <w:b/>
                <w:bCs/>
                <w:sz w:val="20"/>
                <w:szCs w:val="20"/>
              </w:rPr>
            </w:pPr>
            <w:r w:rsidRPr="00BA56FF">
              <w:rPr>
                <w:rFonts w:ascii="Arial Narrow" w:hAnsi="Arial Narrow"/>
                <w:b/>
                <w:bCs/>
                <w:sz w:val="20"/>
                <w:szCs w:val="20"/>
              </w:rPr>
              <w:t>PBS item code</w:t>
            </w:r>
          </w:p>
        </w:tc>
        <w:tc>
          <w:tcPr>
            <w:tcW w:w="1047" w:type="pct"/>
          </w:tcPr>
          <w:p w14:paraId="6567FCC1" w14:textId="77777777" w:rsidR="007B0627" w:rsidRPr="00BA56FF" w:rsidRDefault="007B0627" w:rsidP="00624DBE">
            <w:pPr>
              <w:ind w:left="-57"/>
              <w:jc w:val="center"/>
              <w:rPr>
                <w:rFonts w:ascii="Arial Narrow" w:hAnsi="Arial Narrow"/>
                <w:b/>
                <w:bCs/>
                <w:sz w:val="20"/>
                <w:szCs w:val="20"/>
              </w:rPr>
            </w:pPr>
            <w:r w:rsidRPr="00BA56FF">
              <w:rPr>
                <w:rFonts w:ascii="Arial Narrow" w:hAnsi="Arial Narrow"/>
                <w:b/>
                <w:bCs/>
                <w:sz w:val="20"/>
                <w:szCs w:val="20"/>
              </w:rPr>
              <w:t>Max. Amount</w:t>
            </w:r>
          </w:p>
        </w:tc>
        <w:tc>
          <w:tcPr>
            <w:tcW w:w="1260" w:type="pct"/>
          </w:tcPr>
          <w:p w14:paraId="6158601D" w14:textId="77777777" w:rsidR="007B0627" w:rsidRPr="00BA56FF" w:rsidRDefault="007B0627" w:rsidP="00624DBE">
            <w:pPr>
              <w:ind w:left="-57"/>
              <w:jc w:val="center"/>
              <w:rPr>
                <w:rFonts w:ascii="Arial Narrow" w:hAnsi="Arial Narrow"/>
                <w:b/>
                <w:bCs/>
                <w:sz w:val="20"/>
                <w:szCs w:val="20"/>
              </w:rPr>
            </w:pPr>
            <w:r w:rsidRPr="00BA56FF">
              <w:rPr>
                <w:rFonts w:ascii="Arial Narrow" w:hAnsi="Arial Narrow"/>
                <w:b/>
                <w:bCs/>
                <w:sz w:val="20"/>
                <w:szCs w:val="20"/>
              </w:rPr>
              <w:t>№.of Rpts</w:t>
            </w:r>
          </w:p>
        </w:tc>
      </w:tr>
      <w:tr w:rsidR="007B0627" w:rsidRPr="00BA56FF" w14:paraId="322B9669" w14:textId="77777777" w:rsidTr="00BA56FF">
        <w:trPr>
          <w:trHeight w:val="696"/>
        </w:trPr>
        <w:tc>
          <w:tcPr>
            <w:tcW w:w="1646" w:type="pct"/>
            <w:gridSpan w:val="2"/>
          </w:tcPr>
          <w:p w14:paraId="4BB636C9" w14:textId="77777777" w:rsidR="007B0627" w:rsidRPr="00BA56FF" w:rsidRDefault="007B0627" w:rsidP="00624DBE">
            <w:pPr>
              <w:ind w:left="-57"/>
              <w:rPr>
                <w:rFonts w:ascii="Arial Narrow" w:hAnsi="Arial Narrow"/>
                <w:bCs/>
                <w:sz w:val="20"/>
                <w:szCs w:val="20"/>
              </w:rPr>
            </w:pPr>
            <w:r w:rsidRPr="00BA56FF">
              <w:rPr>
                <w:rFonts w:ascii="Arial Narrow" w:hAnsi="Arial Narrow"/>
                <w:bCs/>
                <w:caps/>
                <w:sz w:val="20"/>
                <w:szCs w:val="20"/>
              </w:rPr>
              <w:t>pembrolizumab</w:t>
            </w:r>
            <w:r w:rsidRPr="00BA56FF">
              <w:rPr>
                <w:rFonts w:ascii="Arial Narrow" w:hAnsi="Arial Narrow"/>
                <w:bCs/>
                <w:sz w:val="20"/>
                <w:szCs w:val="20"/>
              </w:rPr>
              <w:t xml:space="preserve"> </w:t>
            </w:r>
          </w:p>
          <w:p w14:paraId="2860ABB1" w14:textId="77777777" w:rsidR="007B0627" w:rsidRPr="00BA56FF" w:rsidRDefault="007B0627" w:rsidP="00624DBE">
            <w:pPr>
              <w:ind w:left="-57"/>
              <w:rPr>
                <w:rFonts w:ascii="Arial Narrow" w:hAnsi="Arial Narrow"/>
                <w:bCs/>
                <w:sz w:val="20"/>
                <w:szCs w:val="20"/>
              </w:rPr>
            </w:pPr>
            <w:r w:rsidRPr="00BA56FF">
              <w:rPr>
                <w:rFonts w:ascii="Arial Narrow" w:hAnsi="Arial Narrow"/>
                <w:bCs/>
                <w:sz w:val="20"/>
                <w:szCs w:val="20"/>
              </w:rPr>
              <w:t>Injection</w:t>
            </w:r>
          </w:p>
        </w:tc>
        <w:tc>
          <w:tcPr>
            <w:tcW w:w="1047" w:type="pct"/>
          </w:tcPr>
          <w:p w14:paraId="1803695F" w14:textId="0D145B89" w:rsidR="007B0627" w:rsidRPr="00BA56FF" w:rsidRDefault="00403818" w:rsidP="007B0627">
            <w:pPr>
              <w:ind w:left="-57"/>
              <w:jc w:val="center"/>
              <w:rPr>
                <w:rFonts w:ascii="Arial Narrow" w:hAnsi="Arial Narrow"/>
                <w:sz w:val="20"/>
                <w:szCs w:val="20"/>
              </w:rPr>
            </w:pPr>
            <w:r w:rsidRPr="00BA56FF">
              <w:rPr>
                <w:rFonts w:ascii="Arial Narrow" w:hAnsi="Arial Narrow"/>
                <w:sz w:val="20"/>
                <w:szCs w:val="20"/>
              </w:rPr>
              <w:t>11494Y (Public)</w:t>
            </w:r>
          </w:p>
          <w:p w14:paraId="4623FCA7" w14:textId="3DF2CDD3" w:rsidR="007B0627" w:rsidRPr="00BA56FF" w:rsidRDefault="007B0627" w:rsidP="007B0627">
            <w:pPr>
              <w:ind w:left="-57"/>
              <w:jc w:val="center"/>
              <w:rPr>
                <w:rFonts w:ascii="Arial Narrow" w:hAnsi="Arial Narrow"/>
                <w:sz w:val="20"/>
                <w:szCs w:val="20"/>
              </w:rPr>
            </w:pPr>
            <w:r w:rsidRPr="00BA56FF">
              <w:rPr>
                <w:rFonts w:ascii="Arial Narrow" w:hAnsi="Arial Narrow"/>
                <w:sz w:val="20"/>
                <w:szCs w:val="20"/>
              </w:rPr>
              <w:t>11492W (Private)</w:t>
            </w:r>
          </w:p>
          <w:p w14:paraId="73A66936" w14:textId="0A7AD161" w:rsidR="007B0627" w:rsidRPr="00BA56FF" w:rsidRDefault="007B0627" w:rsidP="007B0627">
            <w:pPr>
              <w:ind w:left="-57"/>
              <w:jc w:val="center"/>
              <w:rPr>
                <w:rFonts w:ascii="Arial Narrow" w:hAnsi="Arial Narrow"/>
                <w:bCs/>
                <w:sz w:val="20"/>
                <w:szCs w:val="20"/>
              </w:rPr>
            </w:pPr>
            <w:r w:rsidRPr="00BA56FF">
              <w:rPr>
                <w:rFonts w:ascii="Arial Narrow" w:hAnsi="Arial Narrow"/>
                <w:bCs/>
                <w:sz w:val="20"/>
                <w:szCs w:val="20"/>
                <w:vertAlign w:val="subscript"/>
              </w:rPr>
              <w:t>MP</w:t>
            </w:r>
          </w:p>
        </w:tc>
        <w:tc>
          <w:tcPr>
            <w:tcW w:w="1047" w:type="pct"/>
          </w:tcPr>
          <w:p w14:paraId="521F2644" w14:textId="5C004028" w:rsidR="007B0627" w:rsidRPr="00BA56FF" w:rsidRDefault="007B0627" w:rsidP="00624DBE">
            <w:pPr>
              <w:ind w:left="-57"/>
              <w:jc w:val="center"/>
              <w:rPr>
                <w:rFonts w:ascii="Arial Narrow" w:hAnsi="Arial Narrow"/>
                <w:bCs/>
                <w:sz w:val="20"/>
                <w:szCs w:val="20"/>
              </w:rPr>
            </w:pPr>
            <w:r w:rsidRPr="00BA56FF">
              <w:rPr>
                <w:rFonts w:ascii="Arial Narrow" w:hAnsi="Arial Narrow"/>
                <w:bCs/>
                <w:sz w:val="20"/>
                <w:szCs w:val="20"/>
              </w:rPr>
              <w:t>200 mg</w:t>
            </w:r>
          </w:p>
        </w:tc>
        <w:tc>
          <w:tcPr>
            <w:tcW w:w="1260" w:type="pct"/>
          </w:tcPr>
          <w:p w14:paraId="100BDD0B" w14:textId="4AC93D26" w:rsidR="007B0627" w:rsidRPr="00BA56FF" w:rsidRDefault="00403818" w:rsidP="00624DBE">
            <w:pPr>
              <w:ind w:left="-57"/>
              <w:jc w:val="center"/>
              <w:rPr>
                <w:rFonts w:ascii="Arial Narrow" w:hAnsi="Arial Narrow"/>
                <w:bCs/>
                <w:sz w:val="20"/>
                <w:szCs w:val="20"/>
              </w:rPr>
            </w:pPr>
            <w:r w:rsidRPr="00BA56FF">
              <w:rPr>
                <w:rFonts w:ascii="Arial Narrow" w:hAnsi="Arial Narrow"/>
                <w:bCs/>
                <w:sz w:val="20"/>
                <w:szCs w:val="20"/>
              </w:rPr>
              <w:t>6</w:t>
            </w:r>
          </w:p>
        </w:tc>
      </w:tr>
      <w:tr w:rsidR="007B0627" w:rsidRPr="00BA56FF" w14:paraId="2C08DA7C" w14:textId="77777777" w:rsidTr="00624DBE">
        <w:trPr>
          <w:trHeight w:val="20"/>
        </w:trPr>
        <w:tc>
          <w:tcPr>
            <w:tcW w:w="5000" w:type="pct"/>
            <w:gridSpan w:val="5"/>
          </w:tcPr>
          <w:p w14:paraId="4D360273" w14:textId="77777777" w:rsidR="007B0627" w:rsidRPr="00BA56FF" w:rsidRDefault="007B0627" w:rsidP="00624DBE">
            <w:pPr>
              <w:ind w:left="-57"/>
              <w:rPr>
                <w:rFonts w:ascii="Arial Narrow" w:hAnsi="Arial Narrow"/>
                <w:b/>
                <w:bCs/>
                <w:sz w:val="20"/>
                <w:szCs w:val="20"/>
              </w:rPr>
            </w:pPr>
            <w:r w:rsidRPr="00BA56FF">
              <w:rPr>
                <w:rFonts w:ascii="Arial Narrow" w:hAnsi="Arial Narrow"/>
                <w:b/>
                <w:bCs/>
                <w:sz w:val="20"/>
                <w:szCs w:val="20"/>
              </w:rPr>
              <w:t xml:space="preserve">Available brands </w:t>
            </w:r>
          </w:p>
        </w:tc>
      </w:tr>
      <w:tr w:rsidR="007B0627" w:rsidRPr="00BA56FF" w14:paraId="7A002716" w14:textId="77777777" w:rsidTr="00624DBE">
        <w:trPr>
          <w:trHeight w:val="20"/>
        </w:trPr>
        <w:tc>
          <w:tcPr>
            <w:tcW w:w="5000" w:type="pct"/>
            <w:gridSpan w:val="5"/>
          </w:tcPr>
          <w:p w14:paraId="6AB27F51" w14:textId="77777777" w:rsidR="007B0627" w:rsidRPr="00BA56FF" w:rsidRDefault="007B0627" w:rsidP="00624DBE">
            <w:pPr>
              <w:ind w:left="-57"/>
              <w:rPr>
                <w:rFonts w:ascii="Arial Narrow" w:hAnsi="Arial Narrow"/>
                <w:bCs/>
                <w:sz w:val="20"/>
                <w:szCs w:val="20"/>
              </w:rPr>
            </w:pPr>
            <w:r w:rsidRPr="00BA56FF">
              <w:rPr>
                <w:rFonts w:ascii="Arial Narrow" w:hAnsi="Arial Narrow"/>
                <w:bCs/>
                <w:sz w:val="20"/>
                <w:szCs w:val="20"/>
              </w:rPr>
              <w:t xml:space="preserve">Keytruda </w:t>
            </w:r>
          </w:p>
          <w:p w14:paraId="5CCB3013" w14:textId="77777777" w:rsidR="007B0627" w:rsidRPr="00BA56FF" w:rsidRDefault="007B0627" w:rsidP="00624DBE">
            <w:pPr>
              <w:ind w:left="-57"/>
              <w:rPr>
                <w:rFonts w:ascii="Arial Narrow" w:hAnsi="Arial Narrow"/>
                <w:bCs/>
                <w:sz w:val="20"/>
                <w:szCs w:val="20"/>
              </w:rPr>
            </w:pPr>
            <w:r w:rsidRPr="00BA56FF">
              <w:rPr>
                <w:rFonts w:ascii="Arial Narrow" w:hAnsi="Arial Narrow"/>
                <w:bCs/>
                <w:sz w:val="20"/>
                <w:szCs w:val="20"/>
              </w:rPr>
              <w:t>(pembrolizumab 100 mg/4 ml injection, 4 ml vial)</w:t>
            </w:r>
          </w:p>
        </w:tc>
      </w:tr>
      <w:tr w:rsidR="007B0627" w:rsidRPr="00BA56FF" w14:paraId="574C17B6" w14:textId="77777777" w:rsidTr="00624DBE">
        <w:trPr>
          <w:trHeight w:val="20"/>
        </w:trPr>
        <w:tc>
          <w:tcPr>
            <w:tcW w:w="5000" w:type="pct"/>
            <w:gridSpan w:val="5"/>
          </w:tcPr>
          <w:p w14:paraId="72E85D31" w14:textId="77777777" w:rsidR="007B0627" w:rsidRPr="00BA56FF" w:rsidRDefault="007B0627" w:rsidP="00624DBE">
            <w:pPr>
              <w:rPr>
                <w:rFonts w:ascii="Arial Narrow" w:hAnsi="Arial Narrow"/>
                <w:bCs/>
                <w:color w:val="FF0000"/>
                <w:sz w:val="20"/>
                <w:szCs w:val="20"/>
              </w:rPr>
            </w:pPr>
          </w:p>
        </w:tc>
      </w:tr>
      <w:tr w:rsidR="007B0627" w:rsidRPr="00403818" w14:paraId="1995395F" w14:textId="77777777" w:rsidTr="00624DBE">
        <w:trPr>
          <w:trHeight w:val="20"/>
        </w:trPr>
        <w:tc>
          <w:tcPr>
            <w:tcW w:w="5000" w:type="pct"/>
            <w:gridSpan w:val="5"/>
          </w:tcPr>
          <w:p w14:paraId="4F9EC916" w14:textId="5887AC3C" w:rsidR="007B0627" w:rsidRPr="00BA56FF" w:rsidRDefault="007B0627" w:rsidP="00BA56FF">
            <w:pPr>
              <w:ind w:left="-57"/>
              <w:rPr>
                <w:rFonts w:ascii="Arial Narrow" w:hAnsi="Arial Narrow"/>
                <w:b/>
                <w:bCs/>
                <w:sz w:val="20"/>
                <w:szCs w:val="20"/>
              </w:rPr>
            </w:pPr>
            <w:r w:rsidRPr="00BA56FF">
              <w:rPr>
                <w:rFonts w:ascii="Arial Narrow" w:hAnsi="Arial Narrow"/>
                <w:b/>
                <w:bCs/>
                <w:sz w:val="20"/>
                <w:szCs w:val="20"/>
              </w:rPr>
              <w:t xml:space="preserve">Edit of Restriction Summary 13430 / ToC: 13431: Authority Required: Streamlined </w:t>
            </w:r>
          </w:p>
        </w:tc>
      </w:tr>
      <w:tr w:rsidR="00403818" w:rsidRPr="00BA56FF" w14:paraId="5A17BD39" w14:textId="77777777" w:rsidTr="00BA56FF">
        <w:trPr>
          <w:trHeight w:val="20"/>
        </w:trPr>
        <w:tc>
          <w:tcPr>
            <w:tcW w:w="544" w:type="pct"/>
            <w:vMerge w:val="restart"/>
            <w:vAlign w:val="center"/>
          </w:tcPr>
          <w:p w14:paraId="260905F5" w14:textId="53952D43" w:rsidR="00403818" w:rsidRPr="00BA56FF" w:rsidRDefault="00403818" w:rsidP="00403818">
            <w:pPr>
              <w:ind w:left="-57"/>
              <w:rPr>
                <w:rFonts w:ascii="Arial Narrow" w:hAnsi="Arial Narrow"/>
                <w:b/>
                <w:bCs/>
                <w:sz w:val="20"/>
                <w:szCs w:val="20"/>
              </w:rPr>
            </w:pPr>
            <w:r w:rsidRPr="00403818">
              <w:rPr>
                <w:rFonts w:ascii="Arial Narrow" w:hAnsi="Arial Narrow"/>
                <w:color w:val="333333"/>
                <w:sz w:val="20"/>
                <w:szCs w:val="20"/>
              </w:rPr>
              <w:t>Concept ID for internal use only</w:t>
            </w:r>
          </w:p>
        </w:tc>
        <w:tc>
          <w:tcPr>
            <w:tcW w:w="4456" w:type="pct"/>
            <w:gridSpan w:val="4"/>
            <w:vAlign w:val="center"/>
          </w:tcPr>
          <w:p w14:paraId="0A7C355C" w14:textId="78E8EB9E" w:rsidR="00403818" w:rsidRPr="00BA56FF" w:rsidRDefault="00403818" w:rsidP="00403818">
            <w:pPr>
              <w:ind w:left="-57"/>
              <w:rPr>
                <w:rFonts w:ascii="Arial Narrow" w:hAnsi="Arial Narrow"/>
                <w:b/>
                <w:bCs/>
                <w:sz w:val="20"/>
                <w:szCs w:val="20"/>
              </w:rPr>
            </w:pPr>
            <w:r w:rsidRPr="00403818">
              <w:rPr>
                <w:rFonts w:ascii="Arial Narrow" w:hAnsi="Arial Narrow"/>
                <w:b/>
                <w:bCs/>
                <w:color w:val="333333"/>
                <w:sz w:val="20"/>
                <w:szCs w:val="20"/>
              </w:rPr>
              <w:t xml:space="preserve">Category / Program: </w:t>
            </w:r>
            <w:r w:rsidRPr="00624DBE">
              <w:rPr>
                <w:rFonts w:ascii="Arial Narrow" w:hAnsi="Arial Narrow"/>
                <w:bCs/>
                <w:sz w:val="20"/>
                <w:szCs w:val="20"/>
              </w:rPr>
              <w:t>Section 100 – Efficient Funding of Chemotherapy Public/Private hospitals</w:t>
            </w:r>
          </w:p>
        </w:tc>
      </w:tr>
      <w:tr w:rsidR="00403818" w:rsidRPr="00BA56FF" w14:paraId="589727CC" w14:textId="77777777" w:rsidTr="00BA56FF">
        <w:trPr>
          <w:trHeight w:val="20"/>
        </w:trPr>
        <w:tc>
          <w:tcPr>
            <w:tcW w:w="544" w:type="pct"/>
            <w:vMerge/>
            <w:vAlign w:val="center"/>
          </w:tcPr>
          <w:p w14:paraId="11318FF7" w14:textId="77777777" w:rsidR="00403818" w:rsidRPr="00BA56FF" w:rsidRDefault="00403818" w:rsidP="00403818">
            <w:pPr>
              <w:ind w:left="-57"/>
              <w:rPr>
                <w:rFonts w:ascii="Arial Narrow" w:hAnsi="Arial Narrow"/>
                <w:b/>
                <w:bCs/>
                <w:sz w:val="20"/>
                <w:szCs w:val="20"/>
              </w:rPr>
            </w:pPr>
          </w:p>
        </w:tc>
        <w:tc>
          <w:tcPr>
            <w:tcW w:w="4456" w:type="pct"/>
            <w:gridSpan w:val="4"/>
            <w:vAlign w:val="center"/>
          </w:tcPr>
          <w:p w14:paraId="323C9119" w14:textId="0028BA9C" w:rsidR="00403818" w:rsidRPr="00BA56FF" w:rsidRDefault="00403818" w:rsidP="00403818">
            <w:pPr>
              <w:ind w:left="-57"/>
              <w:rPr>
                <w:rFonts w:ascii="Arial Narrow" w:hAnsi="Arial Narrow"/>
                <w:b/>
                <w:bCs/>
                <w:sz w:val="20"/>
                <w:szCs w:val="20"/>
              </w:rPr>
            </w:pPr>
            <w:r w:rsidRPr="00403818">
              <w:rPr>
                <w:rFonts w:ascii="Arial Narrow" w:hAnsi="Arial Narrow"/>
                <w:b/>
                <w:bCs/>
                <w:color w:val="333333"/>
                <w:sz w:val="20"/>
                <w:szCs w:val="20"/>
              </w:rPr>
              <w:t xml:space="preserve">Prescriber type: </w:t>
            </w:r>
            <w:r w:rsidRPr="00403818">
              <w:rPr>
                <w:rFonts w:ascii="Arial Narrow" w:hAnsi="Arial Narrow"/>
                <w:sz w:val="20"/>
                <w:szCs w:val="20"/>
              </w:rPr>
              <w:fldChar w:fldCharType="begin" w:fldLock="1">
                <w:ffData>
                  <w:name w:val=""/>
                  <w:enabled/>
                  <w:calcOnExit w:val="0"/>
                  <w:checkBox>
                    <w:sizeAuto/>
                    <w:default w:val="1"/>
                  </w:checkBox>
                </w:ffData>
              </w:fldChar>
            </w:r>
            <w:r w:rsidRPr="00403818">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403818">
              <w:rPr>
                <w:rFonts w:ascii="Arial Narrow" w:hAnsi="Arial Narrow"/>
                <w:sz w:val="20"/>
                <w:szCs w:val="20"/>
              </w:rPr>
              <w:fldChar w:fldCharType="end"/>
            </w:r>
            <w:r w:rsidRPr="00403818">
              <w:rPr>
                <w:rFonts w:ascii="Arial Narrow" w:hAnsi="Arial Narrow"/>
                <w:sz w:val="20"/>
                <w:szCs w:val="20"/>
              </w:rPr>
              <w:t>Medical Practitioners</w:t>
            </w:r>
          </w:p>
        </w:tc>
      </w:tr>
      <w:tr w:rsidR="00403818" w:rsidRPr="00BA56FF" w14:paraId="3F7B3B44" w14:textId="77777777" w:rsidTr="00BA56FF">
        <w:trPr>
          <w:trHeight w:val="20"/>
        </w:trPr>
        <w:tc>
          <w:tcPr>
            <w:tcW w:w="544" w:type="pct"/>
            <w:vMerge/>
            <w:vAlign w:val="center"/>
          </w:tcPr>
          <w:p w14:paraId="61774836" w14:textId="77777777" w:rsidR="00403818" w:rsidRPr="00BA56FF" w:rsidRDefault="00403818" w:rsidP="00403818">
            <w:pPr>
              <w:ind w:left="-57"/>
              <w:rPr>
                <w:rFonts w:ascii="Arial Narrow" w:hAnsi="Arial Narrow"/>
                <w:b/>
                <w:bCs/>
                <w:sz w:val="20"/>
                <w:szCs w:val="20"/>
              </w:rPr>
            </w:pPr>
          </w:p>
        </w:tc>
        <w:tc>
          <w:tcPr>
            <w:tcW w:w="4456" w:type="pct"/>
            <w:gridSpan w:val="4"/>
            <w:vAlign w:val="center"/>
          </w:tcPr>
          <w:p w14:paraId="20FDB0FA" w14:textId="71851EA4" w:rsidR="00403818" w:rsidRPr="00BA56FF" w:rsidRDefault="00403818" w:rsidP="00403818">
            <w:pPr>
              <w:ind w:left="-57"/>
              <w:rPr>
                <w:rFonts w:ascii="Arial Narrow" w:hAnsi="Arial Narrow"/>
                <w:b/>
                <w:bCs/>
                <w:sz w:val="20"/>
                <w:szCs w:val="20"/>
              </w:rPr>
            </w:pPr>
            <w:r w:rsidRPr="00403818">
              <w:rPr>
                <w:rFonts w:ascii="Arial Narrow" w:hAnsi="Arial Narrow"/>
                <w:b/>
                <w:bCs/>
                <w:color w:val="333333"/>
                <w:sz w:val="20"/>
                <w:szCs w:val="20"/>
              </w:rPr>
              <w:t xml:space="preserve">Restriction type: </w:t>
            </w:r>
            <w:r w:rsidRPr="00403818">
              <w:rPr>
                <w:rFonts w:ascii="Arial Narrow" w:hAnsi="Arial Narrow"/>
                <w:sz w:val="20"/>
                <w:szCs w:val="20"/>
              </w:rPr>
              <w:fldChar w:fldCharType="begin" w:fldLock="1">
                <w:ffData>
                  <w:name w:val=""/>
                  <w:enabled/>
                  <w:calcOnExit w:val="0"/>
                  <w:checkBox>
                    <w:sizeAuto/>
                    <w:default w:val="1"/>
                  </w:checkBox>
                </w:ffData>
              </w:fldChar>
            </w:r>
            <w:r w:rsidRPr="00403818">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403818">
              <w:rPr>
                <w:rFonts w:ascii="Arial Narrow" w:hAnsi="Arial Narrow"/>
                <w:sz w:val="20"/>
                <w:szCs w:val="20"/>
              </w:rPr>
              <w:fldChar w:fldCharType="end"/>
            </w:r>
            <w:r w:rsidRPr="00403818">
              <w:rPr>
                <w:rFonts w:ascii="Arial Narrow" w:hAnsi="Arial Narrow"/>
                <w:sz w:val="20"/>
                <w:szCs w:val="20"/>
              </w:rPr>
              <w:t xml:space="preserve">Authority Required – Streamlined </w:t>
            </w:r>
          </w:p>
        </w:tc>
      </w:tr>
    </w:tbl>
    <w:tbl>
      <w:tblPr>
        <w:tblStyle w:val="TableGrid1"/>
        <w:tblW w:w="5030" w:type="pct"/>
        <w:tblInd w:w="-5" w:type="dxa"/>
        <w:tblLayout w:type="fixed"/>
        <w:tblLook w:val="0000" w:firstRow="0" w:lastRow="0" w:firstColumn="0" w:lastColumn="0" w:noHBand="0" w:noVBand="0"/>
      </w:tblPr>
      <w:tblGrid>
        <w:gridCol w:w="992"/>
        <w:gridCol w:w="8079"/>
      </w:tblGrid>
      <w:tr w:rsidR="00403818" w:rsidRPr="00BA56FF" w14:paraId="464E6C84" w14:textId="77777777" w:rsidTr="00BA56FF">
        <w:trPr>
          <w:trHeight w:val="57"/>
        </w:trPr>
        <w:tc>
          <w:tcPr>
            <w:tcW w:w="547" w:type="pct"/>
          </w:tcPr>
          <w:p w14:paraId="63A5D33B" w14:textId="77038DEB" w:rsidR="00403818" w:rsidRPr="00BA56FF" w:rsidRDefault="00403818" w:rsidP="00624DBE">
            <w:pPr>
              <w:jc w:val="center"/>
              <w:rPr>
                <w:rFonts w:ascii="Arial Narrow" w:eastAsia="Times New Roman" w:hAnsi="Arial Narrow"/>
                <w:bCs/>
                <w:sz w:val="20"/>
                <w:szCs w:val="20"/>
                <w:lang w:eastAsia="en-AU"/>
              </w:rPr>
            </w:pPr>
          </w:p>
        </w:tc>
        <w:tc>
          <w:tcPr>
            <w:tcW w:w="4453" w:type="pct"/>
            <w:hideMark/>
          </w:tcPr>
          <w:p w14:paraId="6BA57A36" w14:textId="4E27C23B" w:rsidR="00403818" w:rsidRPr="00BA56FF" w:rsidRDefault="00403818" w:rsidP="00624DBE">
            <w:pPr>
              <w:ind w:left="-57"/>
              <w:rPr>
                <w:rFonts w:ascii="Arial Narrow" w:eastAsia="Times New Roman" w:hAnsi="Arial Narrow"/>
                <w:bCs/>
                <w:sz w:val="20"/>
                <w:szCs w:val="20"/>
                <w:lang w:eastAsia="en-AU"/>
              </w:rPr>
            </w:pPr>
            <w:r w:rsidRPr="00BA56FF">
              <w:rPr>
                <w:rFonts w:ascii="Arial Narrow" w:eastAsia="Arial" w:hAnsi="Arial Narrow"/>
                <w:b/>
                <w:bCs/>
                <w:sz w:val="20"/>
                <w:szCs w:val="20"/>
                <w:lang w:eastAsia="en-AU"/>
              </w:rPr>
              <w:t>Indication:</w:t>
            </w:r>
            <w:r w:rsidRPr="00BA56FF">
              <w:rPr>
                <w:rFonts w:ascii="Arial Narrow" w:eastAsia="Arial" w:hAnsi="Arial Narrow"/>
                <w:bCs/>
                <w:sz w:val="20"/>
                <w:szCs w:val="20"/>
                <w:lang w:eastAsia="en-AU"/>
              </w:rPr>
              <w:t xml:space="preserve"> </w:t>
            </w:r>
            <w:r w:rsidR="00343B13" w:rsidRPr="00343B13">
              <w:rPr>
                <w:rFonts w:ascii="Arial Narrow" w:eastAsia="Arial" w:hAnsi="Arial Narrow"/>
                <w:sz w:val="20"/>
                <w:szCs w:val="20"/>
              </w:rPr>
              <w:t>Stage IV (metastatic) non-small cell lung cancer (NSCLC)</w:t>
            </w:r>
          </w:p>
        </w:tc>
      </w:tr>
      <w:tr w:rsidR="00403818" w:rsidRPr="00BA56FF" w14:paraId="6D790DE4" w14:textId="77777777" w:rsidTr="00BA56FF">
        <w:trPr>
          <w:trHeight w:val="57"/>
        </w:trPr>
        <w:tc>
          <w:tcPr>
            <w:tcW w:w="547" w:type="pct"/>
          </w:tcPr>
          <w:p w14:paraId="49A5EA61" w14:textId="77777777" w:rsidR="00403818" w:rsidRPr="00BA56FF" w:rsidRDefault="00403818" w:rsidP="00624DBE">
            <w:pPr>
              <w:jc w:val="center"/>
              <w:rPr>
                <w:rFonts w:ascii="Arial Narrow" w:eastAsia="Times New Roman" w:hAnsi="Arial Narrow"/>
                <w:bCs/>
                <w:sz w:val="20"/>
                <w:szCs w:val="20"/>
                <w:lang w:eastAsia="en-AU"/>
              </w:rPr>
            </w:pPr>
          </w:p>
        </w:tc>
        <w:tc>
          <w:tcPr>
            <w:tcW w:w="4453" w:type="pct"/>
          </w:tcPr>
          <w:p w14:paraId="7D1D70B0" w14:textId="51514FDF" w:rsidR="00403818" w:rsidRPr="00BA56FF" w:rsidRDefault="00403818" w:rsidP="00403818">
            <w:pPr>
              <w:ind w:left="-57"/>
              <w:rPr>
                <w:rFonts w:ascii="Arial Narrow" w:eastAsia="Arial" w:hAnsi="Arial Narrow"/>
                <w:b/>
                <w:bCs/>
                <w:sz w:val="20"/>
                <w:szCs w:val="20"/>
                <w:lang w:eastAsia="en-AU"/>
              </w:rPr>
            </w:pPr>
            <w:r w:rsidRPr="00BA56FF">
              <w:rPr>
                <w:rFonts w:ascii="Arial Narrow" w:eastAsia="Arial" w:hAnsi="Arial Narrow"/>
                <w:b/>
                <w:bCs/>
                <w:sz w:val="20"/>
                <w:szCs w:val="20"/>
              </w:rPr>
              <w:t xml:space="preserve">Treatment Phase: </w:t>
            </w:r>
            <w:r w:rsidRPr="00BA56FF">
              <w:rPr>
                <w:rFonts w:ascii="Arial Narrow" w:eastAsia="Arial" w:hAnsi="Arial Narrow"/>
                <w:sz w:val="20"/>
                <w:szCs w:val="20"/>
              </w:rPr>
              <w:t>Initial treatment - 3 weekly treatment regimen</w:t>
            </w:r>
          </w:p>
        </w:tc>
      </w:tr>
      <w:tr w:rsidR="00403818" w:rsidRPr="00BA56FF" w14:paraId="0483A662" w14:textId="77777777" w:rsidTr="00403818">
        <w:trPr>
          <w:trHeight w:val="57"/>
        </w:trPr>
        <w:tc>
          <w:tcPr>
            <w:tcW w:w="547" w:type="pct"/>
          </w:tcPr>
          <w:p w14:paraId="11355197" w14:textId="77777777" w:rsidR="00403818" w:rsidRPr="00BA56FF" w:rsidRDefault="00403818" w:rsidP="00624DBE">
            <w:pPr>
              <w:jc w:val="center"/>
              <w:rPr>
                <w:rFonts w:ascii="Arial Narrow" w:hAnsi="Arial Narrow"/>
                <w:bCs/>
                <w:sz w:val="20"/>
                <w:szCs w:val="20"/>
              </w:rPr>
            </w:pPr>
          </w:p>
        </w:tc>
        <w:tc>
          <w:tcPr>
            <w:tcW w:w="4453" w:type="pct"/>
          </w:tcPr>
          <w:p w14:paraId="4587C454" w14:textId="77777777" w:rsidR="00403818" w:rsidRPr="00BA56FF" w:rsidRDefault="00403818" w:rsidP="00624DBE">
            <w:pPr>
              <w:ind w:left="-57"/>
              <w:rPr>
                <w:rFonts w:ascii="Arial Narrow" w:eastAsia="Arial" w:hAnsi="Arial Narrow"/>
                <w:b/>
                <w:bCs/>
                <w:sz w:val="20"/>
                <w:szCs w:val="20"/>
              </w:rPr>
            </w:pPr>
          </w:p>
        </w:tc>
      </w:tr>
      <w:tr w:rsidR="00403818" w:rsidRPr="00BA56FF" w14:paraId="172A8FFC" w14:textId="77777777" w:rsidTr="00BA56FF">
        <w:trPr>
          <w:trHeight w:val="57"/>
        </w:trPr>
        <w:tc>
          <w:tcPr>
            <w:tcW w:w="547" w:type="pct"/>
          </w:tcPr>
          <w:p w14:paraId="5816CAB4" w14:textId="5E686422" w:rsidR="00403818" w:rsidRPr="00BA56FF" w:rsidRDefault="00403818" w:rsidP="00624DBE">
            <w:pPr>
              <w:jc w:val="center"/>
              <w:rPr>
                <w:rFonts w:ascii="Arial Narrow" w:eastAsia="Times New Roman" w:hAnsi="Arial Narrow"/>
                <w:bCs/>
                <w:sz w:val="20"/>
                <w:szCs w:val="20"/>
                <w:lang w:eastAsia="en-AU"/>
              </w:rPr>
            </w:pPr>
          </w:p>
        </w:tc>
        <w:tc>
          <w:tcPr>
            <w:tcW w:w="4453" w:type="pct"/>
            <w:hideMark/>
          </w:tcPr>
          <w:p w14:paraId="7D6B445D" w14:textId="77777777" w:rsidR="00403818" w:rsidRPr="00BA56FF" w:rsidRDefault="00403818" w:rsidP="00624DBE">
            <w:pPr>
              <w:ind w:left="-57"/>
              <w:rPr>
                <w:rFonts w:ascii="Arial Narrow" w:eastAsia="Times New Roman" w:hAnsi="Arial Narrow"/>
                <w:bCs/>
                <w:sz w:val="20"/>
                <w:szCs w:val="20"/>
                <w:lang w:eastAsia="en-AU"/>
              </w:rPr>
            </w:pPr>
            <w:r w:rsidRPr="00BA56FF">
              <w:rPr>
                <w:rFonts w:ascii="Arial Narrow" w:eastAsia="Times New Roman" w:hAnsi="Arial Narrow"/>
                <w:b/>
                <w:bCs/>
                <w:sz w:val="20"/>
                <w:szCs w:val="20"/>
                <w:lang w:eastAsia="en-AU"/>
              </w:rPr>
              <w:t xml:space="preserve">Clinical criteria: </w:t>
            </w:r>
          </w:p>
        </w:tc>
      </w:tr>
      <w:tr w:rsidR="00403818" w:rsidRPr="00BA56FF" w14:paraId="2F0F7167" w14:textId="77777777" w:rsidTr="00BA56FF">
        <w:trPr>
          <w:trHeight w:val="57"/>
        </w:trPr>
        <w:tc>
          <w:tcPr>
            <w:tcW w:w="547" w:type="pct"/>
          </w:tcPr>
          <w:p w14:paraId="56E2751C" w14:textId="65D65E9D" w:rsidR="00403818" w:rsidRPr="00BA56FF" w:rsidRDefault="00403818" w:rsidP="00624DBE">
            <w:pPr>
              <w:jc w:val="center"/>
              <w:rPr>
                <w:rFonts w:ascii="Arial Narrow" w:eastAsia="Times New Roman" w:hAnsi="Arial Narrow"/>
                <w:bCs/>
                <w:sz w:val="20"/>
                <w:szCs w:val="20"/>
                <w:lang w:eastAsia="en-AU"/>
              </w:rPr>
            </w:pPr>
          </w:p>
        </w:tc>
        <w:tc>
          <w:tcPr>
            <w:tcW w:w="4453" w:type="pct"/>
            <w:hideMark/>
          </w:tcPr>
          <w:p w14:paraId="48B3A6B6" w14:textId="4EF66F94" w:rsidR="00403818" w:rsidRPr="00BA56FF" w:rsidRDefault="00403818" w:rsidP="00624DBE">
            <w:pPr>
              <w:ind w:left="-57"/>
              <w:rPr>
                <w:rFonts w:ascii="Arial Narrow" w:eastAsia="Times New Roman" w:hAnsi="Arial Narrow"/>
                <w:bCs/>
                <w:sz w:val="20"/>
                <w:szCs w:val="20"/>
                <w:lang w:eastAsia="en-AU"/>
              </w:rPr>
            </w:pPr>
            <w:r w:rsidRPr="00403818">
              <w:rPr>
                <w:rFonts w:ascii="Arial Narrow" w:eastAsia="Times New Roman" w:hAnsi="Arial Narrow"/>
                <w:bCs/>
                <w:sz w:val="20"/>
                <w:szCs w:val="20"/>
                <w:lang w:eastAsia="en-AU"/>
              </w:rPr>
              <w:t>Patient must not have previously been treated for this condition in the metastatic setting; or</w:t>
            </w:r>
          </w:p>
        </w:tc>
      </w:tr>
      <w:tr w:rsidR="00403818" w:rsidRPr="00BA56FF" w14:paraId="55177C18" w14:textId="77777777" w:rsidTr="00403818">
        <w:trPr>
          <w:trHeight w:val="57"/>
        </w:trPr>
        <w:tc>
          <w:tcPr>
            <w:tcW w:w="547" w:type="pct"/>
          </w:tcPr>
          <w:p w14:paraId="5B12FFFE" w14:textId="3E1DAEB4" w:rsidR="00403818" w:rsidRPr="00BA56FF" w:rsidRDefault="00403818" w:rsidP="00624DBE">
            <w:pPr>
              <w:jc w:val="center"/>
              <w:rPr>
                <w:rFonts w:ascii="Arial Narrow" w:hAnsi="Arial Narrow"/>
                <w:bCs/>
                <w:sz w:val="20"/>
                <w:szCs w:val="20"/>
              </w:rPr>
            </w:pPr>
          </w:p>
        </w:tc>
        <w:tc>
          <w:tcPr>
            <w:tcW w:w="4453" w:type="pct"/>
          </w:tcPr>
          <w:p w14:paraId="02F3913D" w14:textId="33D7A007" w:rsidR="00403818" w:rsidRPr="00BA56FF" w:rsidRDefault="00403818" w:rsidP="00624DBE">
            <w:pPr>
              <w:ind w:left="-57"/>
              <w:rPr>
                <w:rFonts w:ascii="Arial Narrow" w:hAnsi="Arial Narrow"/>
                <w:bCs/>
                <w:sz w:val="20"/>
                <w:szCs w:val="20"/>
              </w:rPr>
            </w:pPr>
            <w:r w:rsidRPr="00403818">
              <w:rPr>
                <w:rFonts w:ascii="Arial Narrow" w:hAnsi="Arial Narrow"/>
                <w:bCs/>
                <w:sz w:val="20"/>
                <w:szCs w:val="20"/>
              </w:rPr>
              <w:t xml:space="preserve">The condition must have progressed after treatment with </w:t>
            </w:r>
            <w:r w:rsidRPr="00BA56FF">
              <w:rPr>
                <w:rFonts w:ascii="Arial Narrow" w:hAnsi="Arial Narrow"/>
                <w:bCs/>
                <w:i/>
                <w:iCs/>
                <w:sz w:val="20"/>
                <w:szCs w:val="20"/>
              </w:rPr>
              <w:t>only one of (i)</w:t>
            </w:r>
            <w:r>
              <w:rPr>
                <w:rFonts w:ascii="Arial Narrow" w:hAnsi="Arial Narrow"/>
                <w:bCs/>
                <w:sz w:val="20"/>
                <w:szCs w:val="20"/>
              </w:rPr>
              <w:t xml:space="preserve"> </w:t>
            </w:r>
            <w:r w:rsidRPr="00403818">
              <w:rPr>
                <w:rFonts w:ascii="Arial Narrow" w:hAnsi="Arial Narrow"/>
                <w:bCs/>
                <w:sz w:val="20"/>
                <w:szCs w:val="20"/>
              </w:rPr>
              <w:t>tepotinib</w:t>
            </w:r>
            <w:r>
              <w:rPr>
                <w:rFonts w:ascii="Arial Narrow" w:hAnsi="Arial Narrow"/>
                <w:bCs/>
                <w:sz w:val="20"/>
                <w:szCs w:val="20"/>
              </w:rPr>
              <w:t xml:space="preserve">, </w:t>
            </w:r>
            <w:r w:rsidRPr="00BA56FF">
              <w:rPr>
                <w:rFonts w:ascii="Arial Narrow" w:hAnsi="Arial Narrow"/>
                <w:bCs/>
                <w:i/>
                <w:iCs/>
                <w:sz w:val="20"/>
                <w:szCs w:val="20"/>
              </w:rPr>
              <w:t>(ii) selpercatinib</w:t>
            </w:r>
          </w:p>
        </w:tc>
      </w:tr>
    </w:tbl>
    <w:p w14:paraId="6818C4F7" w14:textId="77777777" w:rsidR="007B0627" w:rsidRDefault="007B0627" w:rsidP="00A91C4E">
      <w:pPr>
        <w:pStyle w:val="3-BodyText"/>
        <w:numPr>
          <w:ilvl w:val="0"/>
          <w:numId w:val="0"/>
        </w:numPr>
        <w:spacing w:after="0"/>
        <w:rPr>
          <w:lang w:val="en-GB"/>
        </w:rPr>
      </w:pPr>
    </w:p>
    <w:tbl>
      <w:tblPr>
        <w:tblStyle w:val="TableGrid"/>
        <w:tblW w:w="5028" w:type="pct"/>
        <w:tblLayout w:type="fixed"/>
        <w:tblLook w:val="0000" w:firstRow="0" w:lastRow="0" w:firstColumn="0" w:lastColumn="0" w:noHBand="0" w:noVBand="0"/>
      </w:tblPr>
      <w:tblGrid>
        <w:gridCol w:w="986"/>
        <w:gridCol w:w="1998"/>
        <w:gridCol w:w="1899"/>
        <w:gridCol w:w="1899"/>
        <w:gridCol w:w="2285"/>
      </w:tblGrid>
      <w:tr w:rsidR="009A143B" w:rsidRPr="00624DBE" w14:paraId="50776336" w14:textId="77777777" w:rsidTr="00624DBE">
        <w:trPr>
          <w:trHeight w:val="20"/>
        </w:trPr>
        <w:tc>
          <w:tcPr>
            <w:tcW w:w="1646" w:type="pct"/>
            <w:gridSpan w:val="2"/>
          </w:tcPr>
          <w:p w14:paraId="561D0C0E" w14:textId="77777777" w:rsidR="009A143B" w:rsidRPr="00624DBE" w:rsidRDefault="009A143B" w:rsidP="00624DBE">
            <w:pPr>
              <w:ind w:left="-57"/>
              <w:rPr>
                <w:rFonts w:ascii="Arial Narrow" w:hAnsi="Arial Narrow"/>
                <w:b/>
                <w:bCs/>
                <w:sz w:val="20"/>
                <w:szCs w:val="20"/>
              </w:rPr>
            </w:pPr>
            <w:r w:rsidRPr="00624DBE">
              <w:rPr>
                <w:rFonts w:ascii="Arial Narrow" w:hAnsi="Arial Narrow"/>
                <w:b/>
                <w:bCs/>
                <w:sz w:val="20"/>
                <w:szCs w:val="20"/>
              </w:rPr>
              <w:t>MEDICINAL PRODUCT</w:t>
            </w:r>
          </w:p>
          <w:p w14:paraId="33645FC9" w14:textId="77777777" w:rsidR="009A143B" w:rsidRPr="00624DBE" w:rsidRDefault="009A143B" w:rsidP="00624DBE">
            <w:pPr>
              <w:ind w:left="-57"/>
              <w:rPr>
                <w:rFonts w:ascii="Arial Narrow" w:hAnsi="Arial Narrow"/>
                <w:b/>
                <w:bCs/>
                <w:sz w:val="20"/>
                <w:szCs w:val="20"/>
              </w:rPr>
            </w:pPr>
            <w:r w:rsidRPr="00624DBE">
              <w:rPr>
                <w:rFonts w:ascii="Arial Narrow" w:hAnsi="Arial Narrow"/>
                <w:b/>
                <w:bCs/>
                <w:sz w:val="20"/>
                <w:szCs w:val="20"/>
              </w:rPr>
              <w:t>Form</w:t>
            </w:r>
          </w:p>
        </w:tc>
        <w:tc>
          <w:tcPr>
            <w:tcW w:w="1047" w:type="pct"/>
          </w:tcPr>
          <w:p w14:paraId="2CBB6EAC" w14:textId="77777777" w:rsidR="009A143B" w:rsidRPr="00624DBE" w:rsidRDefault="009A143B" w:rsidP="00624DBE">
            <w:pPr>
              <w:ind w:left="-57"/>
              <w:jc w:val="center"/>
              <w:rPr>
                <w:rFonts w:ascii="Arial Narrow" w:hAnsi="Arial Narrow"/>
                <w:b/>
                <w:bCs/>
                <w:sz w:val="20"/>
                <w:szCs w:val="20"/>
              </w:rPr>
            </w:pPr>
            <w:r w:rsidRPr="00624DBE">
              <w:rPr>
                <w:rFonts w:ascii="Arial Narrow" w:hAnsi="Arial Narrow"/>
                <w:b/>
                <w:bCs/>
                <w:sz w:val="20"/>
                <w:szCs w:val="20"/>
              </w:rPr>
              <w:t>PBS item code</w:t>
            </w:r>
          </w:p>
        </w:tc>
        <w:tc>
          <w:tcPr>
            <w:tcW w:w="1047" w:type="pct"/>
          </w:tcPr>
          <w:p w14:paraId="2D918F5B" w14:textId="77777777" w:rsidR="009A143B" w:rsidRPr="00624DBE" w:rsidRDefault="009A143B" w:rsidP="00624DBE">
            <w:pPr>
              <w:ind w:left="-57"/>
              <w:jc w:val="center"/>
              <w:rPr>
                <w:rFonts w:ascii="Arial Narrow" w:hAnsi="Arial Narrow"/>
                <w:b/>
                <w:bCs/>
                <w:sz w:val="20"/>
                <w:szCs w:val="20"/>
              </w:rPr>
            </w:pPr>
            <w:r w:rsidRPr="00624DBE">
              <w:rPr>
                <w:rFonts w:ascii="Arial Narrow" w:hAnsi="Arial Narrow"/>
                <w:b/>
                <w:bCs/>
                <w:sz w:val="20"/>
                <w:szCs w:val="20"/>
              </w:rPr>
              <w:t>Max. Amount</w:t>
            </w:r>
          </w:p>
        </w:tc>
        <w:tc>
          <w:tcPr>
            <w:tcW w:w="1260" w:type="pct"/>
          </w:tcPr>
          <w:p w14:paraId="44356BDA" w14:textId="77777777" w:rsidR="009A143B" w:rsidRPr="00624DBE" w:rsidRDefault="009A143B" w:rsidP="00624DBE">
            <w:pPr>
              <w:ind w:left="-57"/>
              <w:jc w:val="center"/>
              <w:rPr>
                <w:rFonts w:ascii="Arial Narrow" w:hAnsi="Arial Narrow"/>
                <w:b/>
                <w:bCs/>
                <w:sz w:val="20"/>
                <w:szCs w:val="20"/>
              </w:rPr>
            </w:pPr>
            <w:r w:rsidRPr="00624DBE">
              <w:rPr>
                <w:rFonts w:ascii="Arial Narrow" w:hAnsi="Arial Narrow"/>
                <w:b/>
                <w:bCs/>
                <w:sz w:val="20"/>
                <w:szCs w:val="20"/>
              </w:rPr>
              <w:t>№.of Rpts</w:t>
            </w:r>
          </w:p>
        </w:tc>
      </w:tr>
      <w:tr w:rsidR="009A143B" w:rsidRPr="00624DBE" w14:paraId="05F1D034" w14:textId="77777777" w:rsidTr="00624DBE">
        <w:trPr>
          <w:trHeight w:val="696"/>
        </w:trPr>
        <w:tc>
          <w:tcPr>
            <w:tcW w:w="1646" w:type="pct"/>
            <w:gridSpan w:val="2"/>
          </w:tcPr>
          <w:p w14:paraId="0F25E05E" w14:textId="77777777" w:rsidR="009A143B" w:rsidRPr="00624DBE" w:rsidRDefault="009A143B" w:rsidP="00624DBE">
            <w:pPr>
              <w:ind w:left="-57"/>
              <w:rPr>
                <w:rFonts w:ascii="Arial Narrow" w:hAnsi="Arial Narrow"/>
                <w:bCs/>
                <w:sz w:val="20"/>
                <w:szCs w:val="20"/>
              </w:rPr>
            </w:pPr>
            <w:r w:rsidRPr="00624DBE">
              <w:rPr>
                <w:rFonts w:ascii="Arial Narrow" w:hAnsi="Arial Narrow"/>
                <w:bCs/>
                <w:caps/>
                <w:sz w:val="20"/>
                <w:szCs w:val="20"/>
              </w:rPr>
              <w:t>pembrolizumab</w:t>
            </w:r>
            <w:r w:rsidRPr="00624DBE">
              <w:rPr>
                <w:rFonts w:ascii="Arial Narrow" w:hAnsi="Arial Narrow"/>
                <w:bCs/>
                <w:sz w:val="20"/>
                <w:szCs w:val="20"/>
              </w:rPr>
              <w:t xml:space="preserve"> </w:t>
            </w:r>
          </w:p>
          <w:p w14:paraId="3B1D3025" w14:textId="77777777" w:rsidR="009A143B" w:rsidRPr="00624DBE" w:rsidRDefault="009A143B" w:rsidP="00624DBE">
            <w:pPr>
              <w:ind w:left="-57"/>
              <w:rPr>
                <w:rFonts w:ascii="Arial Narrow" w:hAnsi="Arial Narrow"/>
                <w:bCs/>
                <w:sz w:val="20"/>
                <w:szCs w:val="20"/>
              </w:rPr>
            </w:pPr>
            <w:r w:rsidRPr="00624DBE">
              <w:rPr>
                <w:rFonts w:ascii="Arial Narrow" w:hAnsi="Arial Narrow"/>
                <w:bCs/>
                <w:sz w:val="20"/>
                <w:szCs w:val="20"/>
              </w:rPr>
              <w:t>Injection</w:t>
            </w:r>
          </w:p>
        </w:tc>
        <w:tc>
          <w:tcPr>
            <w:tcW w:w="1047" w:type="pct"/>
          </w:tcPr>
          <w:p w14:paraId="69CCC58B" w14:textId="39BF0291" w:rsidR="009A143B" w:rsidRPr="00624DBE" w:rsidRDefault="009A143B" w:rsidP="00624DBE">
            <w:pPr>
              <w:ind w:left="-57"/>
              <w:jc w:val="center"/>
              <w:rPr>
                <w:rFonts w:ascii="Arial Narrow" w:hAnsi="Arial Narrow"/>
                <w:sz w:val="20"/>
                <w:szCs w:val="20"/>
              </w:rPr>
            </w:pPr>
            <w:r w:rsidRPr="00624DBE">
              <w:rPr>
                <w:rFonts w:ascii="Arial Narrow" w:hAnsi="Arial Narrow"/>
                <w:sz w:val="20"/>
                <w:szCs w:val="20"/>
              </w:rPr>
              <w:t>1</w:t>
            </w:r>
            <w:r>
              <w:rPr>
                <w:rFonts w:ascii="Arial Narrow" w:hAnsi="Arial Narrow"/>
                <w:sz w:val="20"/>
                <w:szCs w:val="20"/>
              </w:rPr>
              <w:t xml:space="preserve">2121Y </w:t>
            </w:r>
            <w:r w:rsidRPr="00624DBE">
              <w:rPr>
                <w:rFonts w:ascii="Arial Narrow" w:hAnsi="Arial Narrow"/>
                <w:sz w:val="20"/>
                <w:szCs w:val="20"/>
              </w:rPr>
              <w:t>(Public)</w:t>
            </w:r>
          </w:p>
          <w:p w14:paraId="6FC357FC" w14:textId="4381CED1" w:rsidR="009A143B" w:rsidRPr="00624DBE" w:rsidRDefault="009A143B" w:rsidP="00624DBE">
            <w:pPr>
              <w:ind w:left="-57"/>
              <w:jc w:val="center"/>
              <w:rPr>
                <w:rFonts w:ascii="Arial Narrow" w:hAnsi="Arial Narrow"/>
                <w:sz w:val="20"/>
                <w:szCs w:val="20"/>
              </w:rPr>
            </w:pPr>
            <w:r>
              <w:rPr>
                <w:rFonts w:ascii="Arial Narrow" w:hAnsi="Arial Narrow"/>
                <w:sz w:val="20"/>
                <w:szCs w:val="20"/>
              </w:rPr>
              <w:t xml:space="preserve">12119W </w:t>
            </w:r>
            <w:r w:rsidRPr="00624DBE">
              <w:rPr>
                <w:rFonts w:ascii="Arial Narrow" w:hAnsi="Arial Narrow"/>
                <w:sz w:val="20"/>
                <w:szCs w:val="20"/>
              </w:rPr>
              <w:t>(Private)</w:t>
            </w:r>
          </w:p>
          <w:p w14:paraId="34134D5E" w14:textId="77777777" w:rsidR="009A143B" w:rsidRPr="00624DBE" w:rsidRDefault="009A143B" w:rsidP="00624DBE">
            <w:pPr>
              <w:ind w:left="-57"/>
              <w:jc w:val="center"/>
              <w:rPr>
                <w:rFonts w:ascii="Arial Narrow" w:hAnsi="Arial Narrow"/>
                <w:bCs/>
                <w:sz w:val="20"/>
                <w:szCs w:val="20"/>
              </w:rPr>
            </w:pPr>
            <w:r w:rsidRPr="00624DBE">
              <w:rPr>
                <w:rFonts w:ascii="Arial Narrow" w:hAnsi="Arial Narrow"/>
                <w:bCs/>
                <w:sz w:val="20"/>
                <w:szCs w:val="20"/>
                <w:vertAlign w:val="subscript"/>
              </w:rPr>
              <w:t>MP</w:t>
            </w:r>
          </w:p>
        </w:tc>
        <w:tc>
          <w:tcPr>
            <w:tcW w:w="1047" w:type="pct"/>
          </w:tcPr>
          <w:p w14:paraId="638BDB80" w14:textId="053D2B30" w:rsidR="009A143B" w:rsidRPr="00624DBE" w:rsidRDefault="009A143B" w:rsidP="00624DBE">
            <w:pPr>
              <w:ind w:left="-57"/>
              <w:jc w:val="center"/>
              <w:rPr>
                <w:rFonts w:ascii="Arial Narrow" w:hAnsi="Arial Narrow"/>
                <w:bCs/>
                <w:sz w:val="20"/>
                <w:szCs w:val="20"/>
              </w:rPr>
            </w:pPr>
            <w:r>
              <w:rPr>
                <w:rFonts w:ascii="Arial Narrow" w:hAnsi="Arial Narrow"/>
                <w:bCs/>
                <w:sz w:val="20"/>
                <w:szCs w:val="20"/>
              </w:rPr>
              <w:t>400mg</w:t>
            </w:r>
          </w:p>
        </w:tc>
        <w:tc>
          <w:tcPr>
            <w:tcW w:w="1260" w:type="pct"/>
          </w:tcPr>
          <w:p w14:paraId="07709ADD" w14:textId="6F77CB02" w:rsidR="009A143B" w:rsidRPr="00624DBE" w:rsidRDefault="009A143B" w:rsidP="00624DBE">
            <w:pPr>
              <w:ind w:left="-57"/>
              <w:jc w:val="center"/>
              <w:rPr>
                <w:rFonts w:ascii="Arial Narrow" w:hAnsi="Arial Narrow"/>
                <w:bCs/>
                <w:sz w:val="20"/>
                <w:szCs w:val="20"/>
              </w:rPr>
            </w:pPr>
            <w:r>
              <w:rPr>
                <w:rFonts w:ascii="Arial Narrow" w:hAnsi="Arial Narrow"/>
                <w:bCs/>
                <w:sz w:val="20"/>
                <w:szCs w:val="20"/>
              </w:rPr>
              <w:t>3</w:t>
            </w:r>
          </w:p>
        </w:tc>
      </w:tr>
      <w:tr w:rsidR="009A143B" w:rsidRPr="00624DBE" w14:paraId="5D53E1D4" w14:textId="77777777" w:rsidTr="00624DBE">
        <w:trPr>
          <w:trHeight w:val="20"/>
        </w:trPr>
        <w:tc>
          <w:tcPr>
            <w:tcW w:w="5000" w:type="pct"/>
            <w:gridSpan w:val="5"/>
          </w:tcPr>
          <w:p w14:paraId="28CD0C0C" w14:textId="77777777" w:rsidR="009A143B" w:rsidRPr="00624DBE" w:rsidRDefault="009A143B" w:rsidP="00624DBE">
            <w:pPr>
              <w:ind w:left="-57"/>
              <w:rPr>
                <w:rFonts w:ascii="Arial Narrow" w:hAnsi="Arial Narrow"/>
                <w:b/>
                <w:bCs/>
                <w:sz w:val="20"/>
                <w:szCs w:val="20"/>
              </w:rPr>
            </w:pPr>
            <w:r w:rsidRPr="00624DBE">
              <w:rPr>
                <w:rFonts w:ascii="Arial Narrow" w:hAnsi="Arial Narrow"/>
                <w:b/>
                <w:bCs/>
                <w:sz w:val="20"/>
                <w:szCs w:val="20"/>
              </w:rPr>
              <w:t xml:space="preserve">Available brands </w:t>
            </w:r>
          </w:p>
        </w:tc>
      </w:tr>
      <w:tr w:rsidR="009A143B" w:rsidRPr="00624DBE" w14:paraId="6DCAC713" w14:textId="77777777" w:rsidTr="00624DBE">
        <w:trPr>
          <w:trHeight w:val="20"/>
        </w:trPr>
        <w:tc>
          <w:tcPr>
            <w:tcW w:w="5000" w:type="pct"/>
            <w:gridSpan w:val="5"/>
          </w:tcPr>
          <w:p w14:paraId="760B6811" w14:textId="77777777" w:rsidR="009A143B" w:rsidRPr="00624DBE" w:rsidRDefault="009A143B" w:rsidP="00624DBE">
            <w:pPr>
              <w:ind w:left="-57"/>
              <w:rPr>
                <w:rFonts w:ascii="Arial Narrow" w:hAnsi="Arial Narrow"/>
                <w:bCs/>
                <w:sz w:val="20"/>
                <w:szCs w:val="20"/>
              </w:rPr>
            </w:pPr>
            <w:r w:rsidRPr="00624DBE">
              <w:rPr>
                <w:rFonts w:ascii="Arial Narrow" w:hAnsi="Arial Narrow"/>
                <w:bCs/>
                <w:sz w:val="20"/>
                <w:szCs w:val="20"/>
              </w:rPr>
              <w:t xml:space="preserve">Keytruda </w:t>
            </w:r>
          </w:p>
          <w:p w14:paraId="2EA43D27" w14:textId="77777777" w:rsidR="009A143B" w:rsidRPr="00624DBE" w:rsidRDefault="009A143B" w:rsidP="00624DBE">
            <w:pPr>
              <w:ind w:left="-57"/>
              <w:rPr>
                <w:rFonts w:ascii="Arial Narrow" w:hAnsi="Arial Narrow"/>
                <w:bCs/>
                <w:sz w:val="20"/>
                <w:szCs w:val="20"/>
              </w:rPr>
            </w:pPr>
            <w:r w:rsidRPr="00624DBE">
              <w:rPr>
                <w:rFonts w:ascii="Arial Narrow" w:hAnsi="Arial Narrow"/>
                <w:bCs/>
                <w:sz w:val="20"/>
                <w:szCs w:val="20"/>
              </w:rPr>
              <w:t>(pembrolizumab 100 mg/4 ml injection, 4 ml vial)</w:t>
            </w:r>
          </w:p>
        </w:tc>
      </w:tr>
      <w:tr w:rsidR="009A143B" w:rsidRPr="00624DBE" w14:paraId="291EF488" w14:textId="77777777" w:rsidTr="00624DBE">
        <w:trPr>
          <w:trHeight w:val="20"/>
        </w:trPr>
        <w:tc>
          <w:tcPr>
            <w:tcW w:w="5000" w:type="pct"/>
            <w:gridSpan w:val="5"/>
          </w:tcPr>
          <w:p w14:paraId="17440FCD" w14:textId="77777777" w:rsidR="009A143B" w:rsidRPr="00624DBE" w:rsidRDefault="009A143B" w:rsidP="00624DBE">
            <w:pPr>
              <w:rPr>
                <w:rFonts w:ascii="Arial Narrow" w:hAnsi="Arial Narrow"/>
                <w:bCs/>
                <w:color w:val="FF0000"/>
                <w:sz w:val="20"/>
                <w:szCs w:val="20"/>
              </w:rPr>
            </w:pPr>
          </w:p>
        </w:tc>
      </w:tr>
      <w:tr w:rsidR="009A143B" w:rsidRPr="00624DBE" w14:paraId="1E18A8BF" w14:textId="77777777" w:rsidTr="00624DBE">
        <w:trPr>
          <w:trHeight w:val="20"/>
        </w:trPr>
        <w:tc>
          <w:tcPr>
            <w:tcW w:w="5000" w:type="pct"/>
            <w:gridSpan w:val="5"/>
          </w:tcPr>
          <w:p w14:paraId="0F2F212E" w14:textId="0889CD15" w:rsidR="009A143B" w:rsidRPr="00BA56FF" w:rsidRDefault="009A143B" w:rsidP="00BA56FF">
            <w:pPr>
              <w:ind w:left="-57"/>
              <w:rPr>
                <w:rFonts w:ascii="Arial Narrow" w:hAnsi="Arial Narrow"/>
                <w:b/>
                <w:bCs/>
                <w:sz w:val="20"/>
                <w:szCs w:val="20"/>
              </w:rPr>
            </w:pPr>
            <w:r w:rsidRPr="00624DBE">
              <w:rPr>
                <w:rFonts w:ascii="Arial Narrow" w:hAnsi="Arial Narrow"/>
                <w:b/>
                <w:bCs/>
                <w:sz w:val="20"/>
                <w:szCs w:val="20"/>
              </w:rPr>
              <w:t xml:space="preserve">Edit of </w:t>
            </w:r>
            <w:r w:rsidR="00343B13" w:rsidRPr="00343B13">
              <w:rPr>
                <w:rFonts w:ascii="Arial Narrow" w:hAnsi="Arial Narrow"/>
                <w:b/>
                <w:bCs/>
                <w:sz w:val="20"/>
                <w:szCs w:val="20"/>
              </w:rPr>
              <w:t>Restriction Summary 13444 / ToC: 13436: Authority Required: Streamlined</w:t>
            </w:r>
          </w:p>
        </w:tc>
      </w:tr>
      <w:tr w:rsidR="009A143B" w:rsidRPr="00624DBE" w14:paraId="34936A76" w14:textId="77777777" w:rsidTr="00624DBE">
        <w:trPr>
          <w:trHeight w:val="20"/>
        </w:trPr>
        <w:tc>
          <w:tcPr>
            <w:tcW w:w="544" w:type="pct"/>
            <w:vMerge w:val="restart"/>
            <w:vAlign w:val="center"/>
          </w:tcPr>
          <w:p w14:paraId="330E625B" w14:textId="77777777" w:rsidR="009A143B" w:rsidRPr="00624DBE" w:rsidRDefault="009A143B" w:rsidP="00624DBE">
            <w:pPr>
              <w:ind w:left="-57"/>
              <w:rPr>
                <w:rFonts w:ascii="Arial Narrow" w:hAnsi="Arial Narrow"/>
                <w:b/>
                <w:bCs/>
                <w:sz w:val="20"/>
                <w:szCs w:val="20"/>
              </w:rPr>
            </w:pPr>
            <w:r w:rsidRPr="00403818">
              <w:rPr>
                <w:rFonts w:ascii="Arial Narrow" w:hAnsi="Arial Narrow"/>
                <w:color w:val="333333"/>
                <w:sz w:val="20"/>
                <w:szCs w:val="20"/>
              </w:rPr>
              <w:t>Concept ID for internal use only</w:t>
            </w:r>
          </w:p>
        </w:tc>
        <w:tc>
          <w:tcPr>
            <w:tcW w:w="4456" w:type="pct"/>
            <w:gridSpan w:val="4"/>
            <w:vAlign w:val="center"/>
          </w:tcPr>
          <w:p w14:paraId="49E01506" w14:textId="77777777" w:rsidR="009A143B" w:rsidRPr="00624DBE" w:rsidRDefault="009A143B" w:rsidP="00624DBE">
            <w:pPr>
              <w:ind w:left="-57"/>
              <w:rPr>
                <w:rFonts w:ascii="Arial Narrow" w:hAnsi="Arial Narrow"/>
                <w:b/>
                <w:bCs/>
                <w:sz w:val="20"/>
                <w:szCs w:val="20"/>
              </w:rPr>
            </w:pPr>
            <w:r w:rsidRPr="00403818">
              <w:rPr>
                <w:rFonts w:ascii="Arial Narrow" w:hAnsi="Arial Narrow"/>
                <w:b/>
                <w:bCs/>
                <w:color w:val="333333"/>
                <w:sz w:val="20"/>
                <w:szCs w:val="20"/>
              </w:rPr>
              <w:t xml:space="preserve">Category / Program: </w:t>
            </w:r>
            <w:r w:rsidRPr="00624DBE">
              <w:rPr>
                <w:rFonts w:ascii="Arial Narrow" w:hAnsi="Arial Narrow"/>
                <w:bCs/>
                <w:sz w:val="20"/>
                <w:szCs w:val="20"/>
              </w:rPr>
              <w:t>Section 100 – Efficient Funding of Chemotherapy Public/Private hospitals</w:t>
            </w:r>
          </w:p>
        </w:tc>
      </w:tr>
      <w:tr w:rsidR="009A143B" w:rsidRPr="00624DBE" w14:paraId="5388823F" w14:textId="77777777" w:rsidTr="00624DBE">
        <w:trPr>
          <w:trHeight w:val="20"/>
        </w:trPr>
        <w:tc>
          <w:tcPr>
            <w:tcW w:w="544" w:type="pct"/>
            <w:vMerge/>
            <w:vAlign w:val="center"/>
          </w:tcPr>
          <w:p w14:paraId="1667FE32" w14:textId="77777777" w:rsidR="009A143B" w:rsidRPr="00624DBE" w:rsidRDefault="009A143B" w:rsidP="00624DBE">
            <w:pPr>
              <w:ind w:left="-57"/>
              <w:rPr>
                <w:rFonts w:ascii="Arial Narrow" w:hAnsi="Arial Narrow"/>
                <w:b/>
                <w:bCs/>
                <w:sz w:val="20"/>
                <w:szCs w:val="20"/>
              </w:rPr>
            </w:pPr>
          </w:p>
        </w:tc>
        <w:tc>
          <w:tcPr>
            <w:tcW w:w="4456" w:type="pct"/>
            <w:gridSpan w:val="4"/>
            <w:vAlign w:val="center"/>
          </w:tcPr>
          <w:p w14:paraId="2E8F8906" w14:textId="77777777" w:rsidR="009A143B" w:rsidRPr="00624DBE" w:rsidRDefault="009A143B" w:rsidP="00624DBE">
            <w:pPr>
              <w:ind w:left="-57"/>
              <w:rPr>
                <w:rFonts w:ascii="Arial Narrow" w:hAnsi="Arial Narrow"/>
                <w:b/>
                <w:bCs/>
                <w:sz w:val="20"/>
                <w:szCs w:val="20"/>
              </w:rPr>
            </w:pPr>
            <w:r w:rsidRPr="00403818">
              <w:rPr>
                <w:rFonts w:ascii="Arial Narrow" w:hAnsi="Arial Narrow"/>
                <w:b/>
                <w:bCs/>
                <w:color w:val="333333"/>
                <w:sz w:val="20"/>
                <w:szCs w:val="20"/>
              </w:rPr>
              <w:t xml:space="preserve">Prescriber type: </w:t>
            </w:r>
            <w:r w:rsidRPr="00403818">
              <w:rPr>
                <w:rFonts w:ascii="Arial Narrow" w:hAnsi="Arial Narrow"/>
                <w:sz w:val="20"/>
                <w:szCs w:val="20"/>
              </w:rPr>
              <w:fldChar w:fldCharType="begin" w:fldLock="1">
                <w:ffData>
                  <w:name w:val=""/>
                  <w:enabled/>
                  <w:calcOnExit w:val="0"/>
                  <w:checkBox>
                    <w:sizeAuto/>
                    <w:default w:val="1"/>
                  </w:checkBox>
                </w:ffData>
              </w:fldChar>
            </w:r>
            <w:r w:rsidRPr="00403818">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403818">
              <w:rPr>
                <w:rFonts w:ascii="Arial Narrow" w:hAnsi="Arial Narrow"/>
                <w:sz w:val="20"/>
                <w:szCs w:val="20"/>
              </w:rPr>
              <w:fldChar w:fldCharType="end"/>
            </w:r>
            <w:r w:rsidRPr="00403818">
              <w:rPr>
                <w:rFonts w:ascii="Arial Narrow" w:hAnsi="Arial Narrow"/>
                <w:sz w:val="20"/>
                <w:szCs w:val="20"/>
              </w:rPr>
              <w:t>Medical Practitioners</w:t>
            </w:r>
          </w:p>
        </w:tc>
      </w:tr>
      <w:tr w:rsidR="009A143B" w:rsidRPr="00624DBE" w14:paraId="04DB2533" w14:textId="77777777" w:rsidTr="00624DBE">
        <w:trPr>
          <w:trHeight w:val="20"/>
        </w:trPr>
        <w:tc>
          <w:tcPr>
            <w:tcW w:w="544" w:type="pct"/>
            <w:vMerge/>
            <w:vAlign w:val="center"/>
          </w:tcPr>
          <w:p w14:paraId="36F98746" w14:textId="77777777" w:rsidR="009A143B" w:rsidRPr="00624DBE" w:rsidRDefault="009A143B" w:rsidP="00624DBE">
            <w:pPr>
              <w:ind w:left="-57"/>
              <w:rPr>
                <w:rFonts w:ascii="Arial Narrow" w:hAnsi="Arial Narrow"/>
                <w:b/>
                <w:bCs/>
                <w:sz w:val="20"/>
                <w:szCs w:val="20"/>
              </w:rPr>
            </w:pPr>
          </w:p>
        </w:tc>
        <w:tc>
          <w:tcPr>
            <w:tcW w:w="4456" w:type="pct"/>
            <w:gridSpan w:val="4"/>
            <w:vAlign w:val="center"/>
          </w:tcPr>
          <w:p w14:paraId="1DC760D9" w14:textId="77777777" w:rsidR="009A143B" w:rsidRPr="00624DBE" w:rsidRDefault="009A143B" w:rsidP="00624DBE">
            <w:pPr>
              <w:ind w:left="-57"/>
              <w:rPr>
                <w:rFonts w:ascii="Arial Narrow" w:hAnsi="Arial Narrow"/>
                <w:b/>
                <w:bCs/>
                <w:sz w:val="20"/>
                <w:szCs w:val="20"/>
              </w:rPr>
            </w:pPr>
            <w:r w:rsidRPr="00403818">
              <w:rPr>
                <w:rFonts w:ascii="Arial Narrow" w:hAnsi="Arial Narrow"/>
                <w:b/>
                <w:bCs/>
                <w:color w:val="333333"/>
                <w:sz w:val="20"/>
                <w:szCs w:val="20"/>
              </w:rPr>
              <w:t xml:space="preserve">Restriction type: </w:t>
            </w:r>
            <w:r w:rsidRPr="00403818">
              <w:rPr>
                <w:rFonts w:ascii="Arial Narrow" w:hAnsi="Arial Narrow"/>
                <w:sz w:val="20"/>
                <w:szCs w:val="20"/>
              </w:rPr>
              <w:fldChar w:fldCharType="begin" w:fldLock="1">
                <w:ffData>
                  <w:name w:val=""/>
                  <w:enabled/>
                  <w:calcOnExit w:val="0"/>
                  <w:checkBox>
                    <w:sizeAuto/>
                    <w:default w:val="1"/>
                  </w:checkBox>
                </w:ffData>
              </w:fldChar>
            </w:r>
            <w:r w:rsidRPr="00403818">
              <w:rPr>
                <w:rFonts w:ascii="Arial Narrow" w:hAnsi="Arial Narrow"/>
                <w:sz w:val="20"/>
                <w:szCs w:val="20"/>
              </w:rPr>
              <w:instrText xml:space="preserve"> FORMCHECKBOX </w:instrText>
            </w:r>
            <w:r w:rsidR="008762F8">
              <w:rPr>
                <w:rFonts w:ascii="Arial Narrow" w:hAnsi="Arial Narrow"/>
                <w:sz w:val="20"/>
                <w:szCs w:val="20"/>
              </w:rPr>
            </w:r>
            <w:r w:rsidR="008762F8">
              <w:rPr>
                <w:rFonts w:ascii="Arial Narrow" w:hAnsi="Arial Narrow"/>
                <w:sz w:val="20"/>
                <w:szCs w:val="20"/>
              </w:rPr>
              <w:fldChar w:fldCharType="separate"/>
            </w:r>
            <w:r w:rsidRPr="00403818">
              <w:rPr>
                <w:rFonts w:ascii="Arial Narrow" w:hAnsi="Arial Narrow"/>
                <w:sz w:val="20"/>
                <w:szCs w:val="20"/>
              </w:rPr>
              <w:fldChar w:fldCharType="end"/>
            </w:r>
            <w:r w:rsidRPr="00403818">
              <w:rPr>
                <w:rFonts w:ascii="Arial Narrow" w:hAnsi="Arial Narrow"/>
                <w:sz w:val="20"/>
                <w:szCs w:val="20"/>
              </w:rPr>
              <w:t xml:space="preserve">Authority Required – Streamlined </w:t>
            </w:r>
          </w:p>
        </w:tc>
      </w:tr>
    </w:tbl>
    <w:tbl>
      <w:tblPr>
        <w:tblStyle w:val="TableGrid1"/>
        <w:tblW w:w="5030" w:type="pct"/>
        <w:tblInd w:w="-5" w:type="dxa"/>
        <w:tblLayout w:type="fixed"/>
        <w:tblLook w:val="0000" w:firstRow="0" w:lastRow="0" w:firstColumn="0" w:lastColumn="0" w:noHBand="0" w:noVBand="0"/>
      </w:tblPr>
      <w:tblGrid>
        <w:gridCol w:w="992"/>
        <w:gridCol w:w="8079"/>
      </w:tblGrid>
      <w:tr w:rsidR="009A143B" w:rsidRPr="00624DBE" w14:paraId="0DD55006" w14:textId="77777777" w:rsidTr="00624DBE">
        <w:trPr>
          <w:trHeight w:val="57"/>
        </w:trPr>
        <w:tc>
          <w:tcPr>
            <w:tcW w:w="547" w:type="pct"/>
          </w:tcPr>
          <w:p w14:paraId="662ECA20" w14:textId="13C404BD" w:rsidR="009A143B" w:rsidRPr="00624DBE" w:rsidRDefault="009A143B" w:rsidP="00624DBE">
            <w:pPr>
              <w:jc w:val="center"/>
              <w:rPr>
                <w:rFonts w:ascii="Arial Narrow" w:eastAsia="Times New Roman" w:hAnsi="Arial Narrow"/>
                <w:bCs/>
                <w:sz w:val="20"/>
                <w:szCs w:val="20"/>
                <w:lang w:eastAsia="en-AU"/>
              </w:rPr>
            </w:pPr>
          </w:p>
        </w:tc>
        <w:tc>
          <w:tcPr>
            <w:tcW w:w="4453" w:type="pct"/>
            <w:hideMark/>
          </w:tcPr>
          <w:p w14:paraId="2C0D1B19" w14:textId="58557731" w:rsidR="009A143B" w:rsidRPr="00624DBE" w:rsidRDefault="009A143B" w:rsidP="00624DBE">
            <w:pPr>
              <w:ind w:left="-57"/>
              <w:rPr>
                <w:rFonts w:ascii="Arial Narrow" w:eastAsia="Times New Roman" w:hAnsi="Arial Narrow"/>
                <w:bCs/>
                <w:sz w:val="20"/>
                <w:szCs w:val="20"/>
                <w:lang w:eastAsia="en-AU"/>
              </w:rPr>
            </w:pPr>
            <w:r w:rsidRPr="00624DBE">
              <w:rPr>
                <w:rFonts w:ascii="Arial Narrow" w:eastAsia="Arial" w:hAnsi="Arial Narrow"/>
                <w:b/>
                <w:bCs/>
                <w:sz w:val="20"/>
                <w:szCs w:val="20"/>
                <w:lang w:eastAsia="en-AU"/>
              </w:rPr>
              <w:t>Indication:</w:t>
            </w:r>
            <w:r w:rsidRPr="00624DBE">
              <w:rPr>
                <w:rFonts w:ascii="Arial Narrow" w:eastAsia="Arial" w:hAnsi="Arial Narrow"/>
                <w:bCs/>
                <w:sz w:val="20"/>
                <w:szCs w:val="20"/>
                <w:lang w:eastAsia="en-AU"/>
              </w:rPr>
              <w:t xml:space="preserve"> </w:t>
            </w:r>
            <w:r w:rsidR="00343B13" w:rsidRPr="00343B13">
              <w:rPr>
                <w:rFonts w:ascii="Arial Narrow" w:eastAsia="Arial" w:hAnsi="Arial Narrow"/>
                <w:sz w:val="20"/>
                <w:szCs w:val="20"/>
              </w:rPr>
              <w:t>Stage IV (metastatic) non-small cell lung cancer (NSCLC)</w:t>
            </w:r>
          </w:p>
        </w:tc>
      </w:tr>
      <w:tr w:rsidR="009A143B" w:rsidRPr="00624DBE" w14:paraId="6FF4B286" w14:textId="77777777" w:rsidTr="00624DBE">
        <w:trPr>
          <w:trHeight w:val="57"/>
        </w:trPr>
        <w:tc>
          <w:tcPr>
            <w:tcW w:w="547" w:type="pct"/>
          </w:tcPr>
          <w:p w14:paraId="4B6BA3A9" w14:textId="77777777" w:rsidR="009A143B" w:rsidRPr="00624DBE" w:rsidRDefault="009A143B" w:rsidP="00624DBE">
            <w:pPr>
              <w:jc w:val="center"/>
              <w:rPr>
                <w:rFonts w:ascii="Arial Narrow" w:eastAsia="Times New Roman" w:hAnsi="Arial Narrow"/>
                <w:bCs/>
                <w:sz w:val="20"/>
                <w:szCs w:val="20"/>
                <w:lang w:eastAsia="en-AU"/>
              </w:rPr>
            </w:pPr>
          </w:p>
        </w:tc>
        <w:tc>
          <w:tcPr>
            <w:tcW w:w="4453" w:type="pct"/>
          </w:tcPr>
          <w:p w14:paraId="7B726E0C" w14:textId="5B0DD733" w:rsidR="009A143B" w:rsidRPr="00624DBE" w:rsidRDefault="009A143B" w:rsidP="00624DBE">
            <w:pPr>
              <w:ind w:left="-57"/>
              <w:rPr>
                <w:rFonts w:ascii="Arial Narrow" w:eastAsia="Arial" w:hAnsi="Arial Narrow"/>
                <w:b/>
                <w:bCs/>
                <w:sz w:val="20"/>
                <w:szCs w:val="20"/>
                <w:lang w:eastAsia="en-AU"/>
              </w:rPr>
            </w:pPr>
            <w:r w:rsidRPr="00624DBE">
              <w:rPr>
                <w:rFonts w:ascii="Arial Narrow" w:eastAsia="Arial" w:hAnsi="Arial Narrow"/>
                <w:b/>
                <w:bCs/>
                <w:sz w:val="20"/>
                <w:szCs w:val="20"/>
              </w:rPr>
              <w:t xml:space="preserve">Treatment Phase: </w:t>
            </w:r>
            <w:r w:rsidR="00343B13" w:rsidRPr="00624DBE">
              <w:rPr>
                <w:rFonts w:ascii="Arial Narrow" w:eastAsia="Arial" w:hAnsi="Arial Narrow"/>
                <w:sz w:val="20"/>
                <w:szCs w:val="20"/>
              </w:rPr>
              <w:t xml:space="preserve">Initial treatment - </w:t>
            </w:r>
            <w:r w:rsidR="00343B13">
              <w:rPr>
                <w:rFonts w:ascii="Arial Narrow" w:eastAsia="Arial" w:hAnsi="Arial Narrow"/>
                <w:sz w:val="20"/>
                <w:szCs w:val="20"/>
              </w:rPr>
              <w:t>6</w:t>
            </w:r>
            <w:r w:rsidR="00343B13" w:rsidRPr="00624DBE">
              <w:rPr>
                <w:rFonts w:ascii="Arial Narrow" w:eastAsia="Arial" w:hAnsi="Arial Narrow"/>
                <w:sz w:val="20"/>
                <w:szCs w:val="20"/>
              </w:rPr>
              <w:t xml:space="preserve"> weekly treatment regimen</w:t>
            </w:r>
          </w:p>
        </w:tc>
      </w:tr>
      <w:tr w:rsidR="009A143B" w:rsidRPr="00624DBE" w14:paraId="0723C6C9" w14:textId="77777777" w:rsidTr="00624DBE">
        <w:trPr>
          <w:trHeight w:val="57"/>
        </w:trPr>
        <w:tc>
          <w:tcPr>
            <w:tcW w:w="547" w:type="pct"/>
          </w:tcPr>
          <w:p w14:paraId="1971BBBD" w14:textId="77777777" w:rsidR="009A143B" w:rsidRPr="00624DBE" w:rsidRDefault="009A143B" w:rsidP="00624DBE">
            <w:pPr>
              <w:jc w:val="center"/>
              <w:rPr>
                <w:rFonts w:ascii="Arial Narrow" w:hAnsi="Arial Narrow"/>
                <w:bCs/>
                <w:sz w:val="20"/>
                <w:szCs w:val="20"/>
              </w:rPr>
            </w:pPr>
          </w:p>
        </w:tc>
        <w:tc>
          <w:tcPr>
            <w:tcW w:w="4453" w:type="pct"/>
          </w:tcPr>
          <w:p w14:paraId="3B3BFB48" w14:textId="77777777" w:rsidR="009A143B" w:rsidRPr="00624DBE" w:rsidRDefault="009A143B" w:rsidP="00624DBE">
            <w:pPr>
              <w:ind w:left="-57"/>
              <w:rPr>
                <w:rFonts w:ascii="Arial Narrow" w:eastAsia="Arial" w:hAnsi="Arial Narrow"/>
                <w:b/>
                <w:bCs/>
                <w:sz w:val="20"/>
                <w:szCs w:val="20"/>
              </w:rPr>
            </w:pPr>
          </w:p>
        </w:tc>
      </w:tr>
      <w:tr w:rsidR="009A143B" w:rsidRPr="00624DBE" w14:paraId="394D8188" w14:textId="77777777" w:rsidTr="00624DBE">
        <w:trPr>
          <w:trHeight w:val="57"/>
        </w:trPr>
        <w:tc>
          <w:tcPr>
            <w:tcW w:w="547" w:type="pct"/>
          </w:tcPr>
          <w:p w14:paraId="028DC765" w14:textId="61F675DD" w:rsidR="009A143B" w:rsidRPr="00624DBE" w:rsidRDefault="009A143B" w:rsidP="00624DBE">
            <w:pPr>
              <w:jc w:val="center"/>
              <w:rPr>
                <w:rFonts w:ascii="Arial Narrow" w:eastAsia="Times New Roman" w:hAnsi="Arial Narrow"/>
                <w:bCs/>
                <w:sz w:val="20"/>
                <w:szCs w:val="20"/>
                <w:lang w:eastAsia="en-AU"/>
              </w:rPr>
            </w:pPr>
          </w:p>
        </w:tc>
        <w:tc>
          <w:tcPr>
            <w:tcW w:w="4453" w:type="pct"/>
            <w:hideMark/>
          </w:tcPr>
          <w:p w14:paraId="14270DEA" w14:textId="77777777" w:rsidR="009A143B" w:rsidRPr="00624DBE" w:rsidRDefault="009A143B" w:rsidP="00624DBE">
            <w:pPr>
              <w:ind w:left="-57"/>
              <w:rPr>
                <w:rFonts w:ascii="Arial Narrow" w:eastAsia="Times New Roman" w:hAnsi="Arial Narrow"/>
                <w:bCs/>
                <w:sz w:val="20"/>
                <w:szCs w:val="20"/>
                <w:lang w:eastAsia="en-AU"/>
              </w:rPr>
            </w:pPr>
            <w:r w:rsidRPr="00624DBE">
              <w:rPr>
                <w:rFonts w:ascii="Arial Narrow" w:eastAsia="Times New Roman" w:hAnsi="Arial Narrow"/>
                <w:b/>
                <w:bCs/>
                <w:sz w:val="20"/>
                <w:szCs w:val="20"/>
                <w:lang w:eastAsia="en-AU"/>
              </w:rPr>
              <w:t xml:space="preserve">Clinical criteria: </w:t>
            </w:r>
          </w:p>
        </w:tc>
      </w:tr>
      <w:tr w:rsidR="009A143B" w:rsidRPr="00624DBE" w14:paraId="2C77768E" w14:textId="77777777" w:rsidTr="00624DBE">
        <w:trPr>
          <w:trHeight w:val="57"/>
        </w:trPr>
        <w:tc>
          <w:tcPr>
            <w:tcW w:w="547" w:type="pct"/>
          </w:tcPr>
          <w:p w14:paraId="6D6F1FBC" w14:textId="471489C2" w:rsidR="009A143B" w:rsidRPr="00624DBE" w:rsidRDefault="009A143B" w:rsidP="00624DBE">
            <w:pPr>
              <w:jc w:val="center"/>
              <w:rPr>
                <w:rFonts w:ascii="Arial Narrow" w:eastAsia="Times New Roman" w:hAnsi="Arial Narrow"/>
                <w:bCs/>
                <w:sz w:val="20"/>
                <w:szCs w:val="20"/>
                <w:lang w:eastAsia="en-AU"/>
              </w:rPr>
            </w:pPr>
          </w:p>
        </w:tc>
        <w:tc>
          <w:tcPr>
            <w:tcW w:w="4453" w:type="pct"/>
            <w:hideMark/>
          </w:tcPr>
          <w:p w14:paraId="5B216DA0" w14:textId="77777777" w:rsidR="009A143B" w:rsidRPr="00624DBE" w:rsidRDefault="009A143B" w:rsidP="00624DBE">
            <w:pPr>
              <w:ind w:left="-57"/>
              <w:rPr>
                <w:rFonts w:ascii="Arial Narrow" w:eastAsia="Times New Roman" w:hAnsi="Arial Narrow"/>
                <w:bCs/>
                <w:sz w:val="20"/>
                <w:szCs w:val="20"/>
                <w:lang w:eastAsia="en-AU"/>
              </w:rPr>
            </w:pPr>
            <w:r w:rsidRPr="00403818">
              <w:rPr>
                <w:rFonts w:ascii="Arial Narrow" w:eastAsia="Times New Roman" w:hAnsi="Arial Narrow"/>
                <w:bCs/>
                <w:sz w:val="20"/>
                <w:szCs w:val="20"/>
                <w:lang w:eastAsia="en-AU"/>
              </w:rPr>
              <w:t>Patient must not have previously been treated for this condition in the metastatic setting; or</w:t>
            </w:r>
          </w:p>
        </w:tc>
      </w:tr>
      <w:tr w:rsidR="009A143B" w:rsidRPr="00624DBE" w14:paraId="0B606E75" w14:textId="77777777" w:rsidTr="00624DBE">
        <w:trPr>
          <w:trHeight w:val="57"/>
        </w:trPr>
        <w:tc>
          <w:tcPr>
            <w:tcW w:w="547" w:type="pct"/>
          </w:tcPr>
          <w:p w14:paraId="7E0C00D8" w14:textId="62441AB9" w:rsidR="009A143B" w:rsidRPr="00624DBE" w:rsidRDefault="009A143B" w:rsidP="00624DBE">
            <w:pPr>
              <w:jc w:val="center"/>
              <w:rPr>
                <w:rFonts w:ascii="Arial Narrow" w:hAnsi="Arial Narrow"/>
                <w:bCs/>
                <w:sz w:val="20"/>
                <w:szCs w:val="20"/>
              </w:rPr>
            </w:pPr>
          </w:p>
        </w:tc>
        <w:tc>
          <w:tcPr>
            <w:tcW w:w="4453" w:type="pct"/>
          </w:tcPr>
          <w:p w14:paraId="2D8967D0" w14:textId="77777777" w:rsidR="009A143B" w:rsidRPr="00624DBE" w:rsidRDefault="009A143B" w:rsidP="00624DBE">
            <w:pPr>
              <w:ind w:left="-57"/>
              <w:rPr>
                <w:rFonts w:ascii="Arial Narrow" w:hAnsi="Arial Narrow"/>
                <w:bCs/>
                <w:sz w:val="20"/>
                <w:szCs w:val="20"/>
              </w:rPr>
            </w:pPr>
            <w:r w:rsidRPr="00403818">
              <w:rPr>
                <w:rFonts w:ascii="Arial Narrow" w:hAnsi="Arial Narrow"/>
                <w:bCs/>
                <w:sz w:val="20"/>
                <w:szCs w:val="20"/>
              </w:rPr>
              <w:t xml:space="preserve">The condition must have progressed after treatment with </w:t>
            </w:r>
            <w:r w:rsidRPr="00624DBE">
              <w:rPr>
                <w:rFonts w:ascii="Arial Narrow" w:hAnsi="Arial Narrow"/>
                <w:bCs/>
                <w:i/>
                <w:iCs/>
                <w:sz w:val="20"/>
                <w:szCs w:val="20"/>
              </w:rPr>
              <w:t>only one of (i)</w:t>
            </w:r>
            <w:r>
              <w:rPr>
                <w:rFonts w:ascii="Arial Narrow" w:hAnsi="Arial Narrow"/>
                <w:bCs/>
                <w:sz w:val="20"/>
                <w:szCs w:val="20"/>
              </w:rPr>
              <w:t xml:space="preserve"> </w:t>
            </w:r>
            <w:r w:rsidRPr="00403818">
              <w:rPr>
                <w:rFonts w:ascii="Arial Narrow" w:hAnsi="Arial Narrow"/>
                <w:bCs/>
                <w:sz w:val="20"/>
                <w:szCs w:val="20"/>
              </w:rPr>
              <w:t>tepotinib</w:t>
            </w:r>
            <w:r>
              <w:rPr>
                <w:rFonts w:ascii="Arial Narrow" w:hAnsi="Arial Narrow"/>
                <w:bCs/>
                <w:sz w:val="20"/>
                <w:szCs w:val="20"/>
              </w:rPr>
              <w:t xml:space="preserve">, </w:t>
            </w:r>
            <w:r w:rsidRPr="00624DBE">
              <w:rPr>
                <w:rFonts w:ascii="Arial Narrow" w:hAnsi="Arial Narrow"/>
                <w:bCs/>
                <w:i/>
                <w:iCs/>
                <w:sz w:val="20"/>
                <w:szCs w:val="20"/>
              </w:rPr>
              <w:t>(ii) selpercatinib</w:t>
            </w:r>
          </w:p>
        </w:tc>
      </w:tr>
    </w:tbl>
    <w:p w14:paraId="7A620555" w14:textId="77777777" w:rsidR="00403818" w:rsidRDefault="00403818" w:rsidP="007B0627">
      <w:pPr>
        <w:pStyle w:val="3-BodyText"/>
        <w:numPr>
          <w:ilvl w:val="0"/>
          <w:numId w:val="0"/>
        </w:numPr>
        <w:rPr>
          <w:lang w:val="en-GB"/>
        </w:rPr>
      </w:pPr>
    </w:p>
    <w:p w14:paraId="3F174CB6" w14:textId="258DF843" w:rsidR="00067E2C" w:rsidRPr="00196C0C" w:rsidRDefault="00861BF1" w:rsidP="00196C0C">
      <w:pPr>
        <w:rPr>
          <w:rFonts w:asciiTheme="minorHAnsi" w:hAnsiTheme="minorHAnsi"/>
          <w:b/>
          <w:i/>
          <w:iCs/>
          <w:snapToGrid w:val="0"/>
          <w:lang w:val="en-GB"/>
        </w:rPr>
      </w:pPr>
      <w:r w:rsidRPr="00907671">
        <w:rPr>
          <w:rFonts w:asciiTheme="minorHAnsi" w:hAnsiTheme="minorHAnsi"/>
          <w:b/>
          <w:i/>
          <w:iCs/>
          <w:snapToGrid w:val="0"/>
          <w:lang w:val="en-GB"/>
        </w:rPr>
        <w:lastRenderedPageBreak/>
        <w:t>These restrictions may be subject to further review. Should there be any changes made to the restriction the sponsor will be informed.</w:t>
      </w:r>
      <w:bookmarkEnd w:id="1"/>
      <w:bookmarkEnd w:id="2"/>
      <w:bookmarkEnd w:id="85"/>
    </w:p>
    <w:p w14:paraId="7BE6BA61" w14:textId="77777777" w:rsidR="00067E2C" w:rsidRPr="006E2A88" w:rsidRDefault="00067E2C" w:rsidP="00067E2C">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Context for Decision</w:t>
      </w:r>
    </w:p>
    <w:p w14:paraId="5D891A64" w14:textId="77777777" w:rsidR="00067E2C" w:rsidRPr="006E2A88" w:rsidRDefault="00067E2C" w:rsidP="00067E2C">
      <w:pPr>
        <w:spacing w:after="120"/>
        <w:ind w:left="720"/>
        <w:rPr>
          <w:rFonts w:asciiTheme="minorHAnsi" w:hAnsiTheme="minorHAnsi"/>
          <w:bCs/>
          <w:lang w:val="en-GB"/>
        </w:rPr>
      </w:pPr>
      <w:r w:rsidRPr="006E2A8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FC6519B" w14:textId="77777777" w:rsidR="00067E2C" w:rsidRPr="006E2A88" w:rsidRDefault="00067E2C" w:rsidP="00067E2C">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Sponsor’s Comment</w:t>
      </w:r>
    </w:p>
    <w:p w14:paraId="58D0713C" w14:textId="1B87F964" w:rsidR="00B61518" w:rsidRPr="00861BF1" w:rsidRDefault="00067E2C" w:rsidP="00AA6D7D">
      <w:pPr>
        <w:spacing w:after="120" w:line="276" w:lineRule="auto"/>
        <w:ind w:left="720"/>
        <w:rPr>
          <w:rFonts w:asciiTheme="minorHAnsi" w:hAnsiTheme="minorHAnsi"/>
          <w:bCs/>
          <w:snapToGrid w:val="0"/>
          <w:lang w:val="en-GB"/>
        </w:rPr>
      </w:pPr>
      <w:r w:rsidRPr="006E2A88">
        <w:rPr>
          <w:rFonts w:asciiTheme="minorHAnsi" w:eastAsiaTheme="minorHAnsi" w:hAnsiTheme="minorHAnsi"/>
          <w:bCs/>
          <w:szCs w:val="22"/>
          <w:lang w:eastAsia="en-US"/>
        </w:rPr>
        <w:t>The sponsor had no comment.</w:t>
      </w:r>
    </w:p>
    <w:sectPr w:rsidR="00B61518" w:rsidRPr="00861BF1" w:rsidSect="00CC68D6">
      <w:headerReference w:type="default" r:id="rId19"/>
      <w:footerReference w:type="defaul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0E784" w14:textId="77777777" w:rsidR="000A3BED" w:rsidRDefault="000A3BED" w:rsidP="00124A51">
      <w:r>
        <w:separator/>
      </w:r>
    </w:p>
    <w:p w14:paraId="207E8620" w14:textId="77777777" w:rsidR="000A3BED" w:rsidRDefault="000A3BED"/>
  </w:endnote>
  <w:endnote w:type="continuationSeparator" w:id="0">
    <w:p w14:paraId="731D26FD" w14:textId="77777777" w:rsidR="000A3BED" w:rsidRDefault="000A3BED" w:rsidP="00124A51">
      <w:r>
        <w:continuationSeparator/>
      </w:r>
    </w:p>
    <w:p w14:paraId="406DB185" w14:textId="77777777" w:rsidR="000A3BED" w:rsidRDefault="000A3BED"/>
  </w:endnote>
  <w:endnote w:type="continuationNotice" w:id="1">
    <w:p w14:paraId="7358FE22" w14:textId="77777777" w:rsidR="000A3BED" w:rsidRDefault="000A3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Narrow">
    <w:altName w:val="Arial"/>
    <w:panose1 w:val="00000000000000000000"/>
    <w:charset w:val="00"/>
    <w:family w:val="swiss"/>
    <w:notTrueType/>
    <w:pitch w:val="default"/>
    <w:sig w:usb0="00000003" w:usb1="08070000" w:usb2="00000010" w:usb3="00000000" w:csb0="00020001" w:csb1="00000000"/>
  </w:font>
  <w:font w:name="ArialNarrow-Italic">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FD869" w14:textId="77777777" w:rsidR="00915220" w:rsidRDefault="00915220">
    <w:pPr>
      <w:pStyle w:val="Footer"/>
      <w:jc w:val="center"/>
    </w:pPr>
  </w:p>
  <w:sdt>
    <w:sdtPr>
      <w:id w:val="-5447170"/>
      <w:docPartObj>
        <w:docPartGallery w:val="Page Numbers (Bottom of Page)"/>
        <w:docPartUnique/>
      </w:docPartObj>
    </w:sdtPr>
    <w:sdtEndPr>
      <w:rPr>
        <w:noProof/>
      </w:rPr>
    </w:sdtEndPr>
    <w:sdtContent>
      <w:p w14:paraId="5DFEB86D" w14:textId="4BFE0EA8" w:rsidR="00915220" w:rsidRDefault="00915220" w:rsidP="00915220">
        <w:pPr>
          <w:pStyle w:val="Footer"/>
          <w:jc w:val="center"/>
        </w:pPr>
        <w:r w:rsidRPr="00915220">
          <w:rPr>
            <w:b/>
            <w:bCs/>
          </w:rPr>
          <w:fldChar w:fldCharType="begin"/>
        </w:r>
        <w:r w:rsidRPr="00915220">
          <w:rPr>
            <w:b/>
            <w:bCs/>
          </w:rPr>
          <w:instrText xml:space="preserve"> PAGE   \* MERGEFORMAT </w:instrText>
        </w:r>
        <w:r w:rsidRPr="00915220">
          <w:rPr>
            <w:b/>
            <w:bCs/>
          </w:rPr>
          <w:fldChar w:fldCharType="separate"/>
        </w:r>
        <w:r w:rsidRPr="00915220">
          <w:rPr>
            <w:b/>
            <w:bCs/>
            <w:noProof/>
          </w:rPr>
          <w:t>2</w:t>
        </w:r>
        <w:r w:rsidRPr="00915220">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BCF1D" w14:textId="77777777" w:rsidR="000A3BED" w:rsidRDefault="000A3BED" w:rsidP="00124A51">
      <w:r>
        <w:separator/>
      </w:r>
    </w:p>
    <w:p w14:paraId="43156EE4" w14:textId="77777777" w:rsidR="000A3BED" w:rsidRDefault="000A3BED"/>
  </w:footnote>
  <w:footnote w:type="continuationSeparator" w:id="0">
    <w:p w14:paraId="05078D5E" w14:textId="77777777" w:rsidR="000A3BED" w:rsidRDefault="000A3BED" w:rsidP="00124A51">
      <w:r>
        <w:continuationSeparator/>
      </w:r>
    </w:p>
    <w:p w14:paraId="0DC7003B" w14:textId="77777777" w:rsidR="000A3BED" w:rsidRDefault="000A3BED"/>
  </w:footnote>
  <w:footnote w:type="continuationNotice" w:id="1">
    <w:p w14:paraId="60987FFF" w14:textId="77777777" w:rsidR="000A3BED" w:rsidRDefault="000A3BED"/>
  </w:footnote>
  <w:footnote w:id="2">
    <w:p w14:paraId="7008FC52" w14:textId="77777777" w:rsidR="002D7804" w:rsidRPr="00BC5A69" w:rsidRDefault="002D7804" w:rsidP="002D7804">
      <w:pPr>
        <w:pStyle w:val="FootnoteText"/>
        <w:rPr>
          <w:lang w:val="en-US"/>
        </w:rPr>
      </w:pPr>
      <w:r w:rsidRPr="00BC5A69">
        <w:rPr>
          <w:rStyle w:val="FootnoteReference"/>
        </w:rPr>
        <w:footnoteRef/>
      </w:r>
      <w:r w:rsidRPr="00BC5A69">
        <w:t xml:space="preserve"> Australian Institute of Health and Welfare, Cancer in Australia 2021. 2021.</w:t>
      </w:r>
    </w:p>
  </w:footnote>
  <w:footnote w:id="3">
    <w:p w14:paraId="23C4CCA1" w14:textId="77777777" w:rsidR="002D7804" w:rsidRPr="00BC5A69" w:rsidRDefault="002D7804" w:rsidP="002D7804">
      <w:pPr>
        <w:pStyle w:val="FootnoteText"/>
        <w:rPr>
          <w:lang w:val="en-US"/>
        </w:rPr>
      </w:pPr>
      <w:r w:rsidRPr="00BC5A69">
        <w:rPr>
          <w:rStyle w:val="FootnoteReference"/>
        </w:rPr>
        <w:footnoteRef/>
      </w:r>
      <w:r w:rsidRPr="00BC5A69">
        <w:t xml:space="preserve"> Luo, Q., et al., Lung cancer mortality in Australia: Projected outcomes to 2040. </w:t>
      </w:r>
      <w:r w:rsidRPr="00BC5A69">
        <w:rPr>
          <w:i/>
          <w:iCs/>
        </w:rPr>
        <w:t>Lung Cancer</w:t>
      </w:r>
      <w:r w:rsidRPr="00BC5A69">
        <w:t>, 2018. 125: p. 68-76.</w:t>
      </w:r>
    </w:p>
  </w:footnote>
  <w:footnote w:id="4">
    <w:p w14:paraId="4FEAF343" w14:textId="77777777" w:rsidR="002D7804" w:rsidRPr="00364C6C" w:rsidRDefault="002D7804" w:rsidP="002D7804">
      <w:pPr>
        <w:pStyle w:val="FootnoteText"/>
        <w:rPr>
          <w:lang w:val="en-US"/>
        </w:rPr>
      </w:pPr>
      <w:r w:rsidRPr="00BC5A69">
        <w:rPr>
          <w:rStyle w:val="FootnoteReference"/>
        </w:rPr>
        <w:footnoteRef/>
      </w:r>
      <w:r w:rsidRPr="00BC5A69">
        <w:t xml:space="preserve"> Ferrara, R., et al., Clinical and Translational Implications of RET Rearrangements in Non-Small Cell Lung Cancer. </w:t>
      </w:r>
      <w:r w:rsidRPr="00BC5A69">
        <w:rPr>
          <w:i/>
          <w:iCs/>
        </w:rPr>
        <w:t>J Thorac Oncol</w:t>
      </w:r>
      <w:r w:rsidRPr="00BC5A69">
        <w:t>, 2018. 13(1): p. 27-45.</w:t>
      </w:r>
    </w:p>
  </w:footnote>
  <w:footnote w:id="5">
    <w:p w14:paraId="107EC278" w14:textId="4AC52DA4" w:rsidR="00157A51" w:rsidRPr="00BC5A69" w:rsidRDefault="00157A51" w:rsidP="00157A51">
      <w:pPr>
        <w:pStyle w:val="FootnoteText"/>
        <w:rPr>
          <w:lang w:val="en-US"/>
        </w:rPr>
      </w:pPr>
      <w:r w:rsidRPr="00BC5A69">
        <w:rPr>
          <w:rStyle w:val="FootnoteReference"/>
        </w:rPr>
        <w:footnoteRef/>
      </w:r>
      <w:r w:rsidRPr="00BC5A69">
        <w:t xml:space="preserve"> Novello</w:t>
      </w:r>
      <w:r w:rsidR="00C55E1B" w:rsidRPr="00BC5A69">
        <w:t>,</w:t>
      </w:r>
      <w:r w:rsidRPr="00BC5A69">
        <w:t xml:space="preserve"> S</w:t>
      </w:r>
      <w:r w:rsidR="00C55E1B" w:rsidRPr="00BC5A69">
        <w:t>.</w:t>
      </w:r>
      <w:r w:rsidRPr="00BC5A69">
        <w:t xml:space="preserve">, </w:t>
      </w:r>
      <w:r w:rsidR="00C55E1B" w:rsidRPr="00BC5A69">
        <w:t>et al</w:t>
      </w:r>
      <w:r w:rsidRPr="00BC5A69">
        <w:t>.</w:t>
      </w:r>
      <w:r w:rsidR="00C55E1B" w:rsidRPr="00BC5A69">
        <w:t>,</w:t>
      </w:r>
      <w:r w:rsidRPr="00BC5A69">
        <w:t xml:space="preserve"> RET Fusion-Positive Non-small Cell Lung Cancer: The Evolving Treatment Landscape. </w:t>
      </w:r>
      <w:r w:rsidRPr="00BC5A69">
        <w:rPr>
          <w:i/>
        </w:rPr>
        <w:t>The Oncologist</w:t>
      </w:r>
      <w:r w:rsidR="00C55E1B" w:rsidRPr="00BC5A69">
        <w:t xml:space="preserve">, </w:t>
      </w:r>
      <w:r w:rsidRPr="00BC5A69">
        <w:t>2023</w:t>
      </w:r>
      <w:r w:rsidR="00C55E1B" w:rsidRPr="00BC5A69">
        <w:t xml:space="preserve">. </w:t>
      </w:r>
      <w:r w:rsidRPr="00BC5A69">
        <w:t>oyac264.</w:t>
      </w:r>
    </w:p>
  </w:footnote>
  <w:footnote w:id="6">
    <w:p w14:paraId="2BB39C96" w14:textId="77777777" w:rsidR="002D7804" w:rsidRPr="00BC5A69" w:rsidRDefault="002D7804" w:rsidP="002D7804">
      <w:pPr>
        <w:pStyle w:val="FootnoteText"/>
        <w:rPr>
          <w:lang w:val="en-US"/>
        </w:rPr>
      </w:pPr>
      <w:r w:rsidRPr="00BC5A69">
        <w:rPr>
          <w:rStyle w:val="FootnoteReference"/>
        </w:rPr>
        <w:footnoteRef/>
      </w:r>
      <w:r w:rsidRPr="00BC5A69">
        <w:t xml:space="preserve"> ESMO, Oncogene-addicted metastatic non-small-cell lung cancer: ESMO Clinical Practice Guideline for diagnosis, treatment and follow-up. 2023.</w:t>
      </w:r>
    </w:p>
  </w:footnote>
  <w:footnote w:id="7">
    <w:p w14:paraId="248B008F" w14:textId="5D89884E" w:rsidR="002D7804" w:rsidRPr="00364C6C" w:rsidRDefault="002D7804" w:rsidP="002D7804">
      <w:pPr>
        <w:pStyle w:val="FootnoteText"/>
        <w:rPr>
          <w:lang w:val="en-US"/>
        </w:rPr>
      </w:pPr>
      <w:r w:rsidRPr="00BC5A69">
        <w:rPr>
          <w:rStyle w:val="FootnoteReference"/>
        </w:rPr>
        <w:footnoteRef/>
      </w:r>
      <w:r w:rsidRPr="00BC5A69">
        <w:t xml:space="preserve"> NCCN, NCCN Clinical Practice Guidelines in Oncology (NCCN Guidelines®) Non-Small Cell Lung Cancer. Version </w:t>
      </w:r>
      <w:r w:rsidR="00163431" w:rsidRPr="00BC5A69">
        <w:t>2</w:t>
      </w:r>
      <w:r w:rsidRPr="00BC5A69">
        <w:t>.2023. 2023.</w:t>
      </w:r>
    </w:p>
  </w:footnote>
  <w:footnote w:id="8">
    <w:p w14:paraId="536A85DF" w14:textId="77777777" w:rsidR="00364C6C" w:rsidRPr="00364C6C" w:rsidRDefault="00364C6C" w:rsidP="00364C6C">
      <w:pPr>
        <w:pStyle w:val="FootnoteText"/>
      </w:pPr>
      <w:r w:rsidRPr="00364C6C">
        <w:rPr>
          <w:rStyle w:val="FootnoteReference"/>
        </w:rPr>
        <w:footnoteRef/>
      </w:r>
      <w:r w:rsidRPr="00364C6C">
        <w:t xml:space="preserve"> </w:t>
      </w:r>
      <w:r w:rsidRPr="00364C6C">
        <w:rPr>
          <w:bCs/>
        </w:rPr>
        <w:t>Cherny NI, et al: ESMO-Magnitude of Clinical Benefit Scale version 1.1. Annals of Oncology 28:2340-2366, 2017</w:t>
      </w:r>
    </w:p>
  </w:footnote>
  <w:footnote w:id="9">
    <w:p w14:paraId="66BA469E" w14:textId="424DCBFC" w:rsidR="00A85496" w:rsidRDefault="00A85496">
      <w:pPr>
        <w:pStyle w:val="FootnoteText"/>
      </w:pPr>
      <w:r>
        <w:rPr>
          <w:rStyle w:val="FootnoteReference"/>
        </w:rPr>
        <w:footnoteRef/>
      </w:r>
      <w:r>
        <w:t xml:space="preserve"> 42/56 = 75%</w:t>
      </w:r>
    </w:p>
  </w:footnote>
  <w:footnote w:id="10">
    <w:p w14:paraId="5D725BB8" w14:textId="634A7DA0" w:rsidR="00A85496" w:rsidRDefault="00A85496">
      <w:pPr>
        <w:pStyle w:val="FootnoteText"/>
      </w:pPr>
      <w:r>
        <w:rPr>
          <w:rStyle w:val="FootnoteReference"/>
        </w:rPr>
        <w:footnoteRef/>
      </w:r>
      <w:r>
        <w:t xml:space="preserve"> 42/83 =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E204" w14:textId="182EF216" w:rsidR="00D843F2" w:rsidRPr="00AA6D7D" w:rsidRDefault="00055C64" w:rsidP="00844F91">
    <w:pPr>
      <w:pStyle w:val="Header"/>
      <w:rPr>
        <w:rFonts w:asciiTheme="minorHAnsi" w:hAnsiTheme="minorHAnsi"/>
        <w:i/>
      </w:rPr>
    </w:pPr>
    <w:bookmarkStart w:id="87" w:name="_Hlk177458301"/>
    <w:r w:rsidRPr="00AA6D7D">
      <w:rPr>
        <w:rFonts w:asciiTheme="minorHAnsi" w:eastAsiaTheme="minorEastAsia" w:hAnsiTheme="minorHAnsi" w:cstheme="minorHAnsi"/>
        <w:i/>
      </w:rPr>
      <w:t>Public Summary Document</w:t>
    </w:r>
    <w:bookmarkEnd w:id="87"/>
    <w:r w:rsidR="00915220" w:rsidRPr="00AA6D7D">
      <w:rPr>
        <w:rFonts w:asciiTheme="minorHAnsi" w:hAnsiTheme="minorHAnsi"/>
        <w:i/>
      </w:rPr>
      <w:t xml:space="preserve">- </w:t>
    </w:r>
    <w:r w:rsidR="00844F91" w:rsidRPr="00AA6D7D">
      <w:rPr>
        <w:rFonts w:asciiTheme="minorHAnsi" w:hAnsiTheme="minorHAnsi"/>
        <w:i/>
      </w:rPr>
      <w:t>July 2024</w:t>
    </w:r>
    <w:r w:rsidR="00D843F2" w:rsidRPr="00AA6D7D">
      <w:rPr>
        <w:rFonts w:asciiTheme="minorHAnsi" w:hAnsiTheme="minorHAnsi"/>
        <w:i/>
      </w:rPr>
      <w:t xml:space="preserve"> PBAC </w:t>
    </w:r>
    <w:r w:rsidR="00E22207" w:rsidRPr="00AA6D7D">
      <w:rPr>
        <w:rFonts w:asciiTheme="minorHAnsi" w:hAnsiTheme="minorHAnsi"/>
        <w:i/>
      </w:rPr>
      <w:t>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56DA7FB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110C5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506429"/>
    <w:multiLevelType w:val="multilevel"/>
    <w:tmpl w:val="37BCA58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31301"/>
    <w:multiLevelType w:val="hybridMultilevel"/>
    <w:tmpl w:val="9446B9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15B063C"/>
    <w:multiLevelType w:val="hybridMultilevel"/>
    <w:tmpl w:val="A274C710"/>
    <w:lvl w:ilvl="0" w:tplc="CD8865C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1F935A7"/>
    <w:multiLevelType w:val="hybridMultilevel"/>
    <w:tmpl w:val="D0D6368A"/>
    <w:lvl w:ilvl="0" w:tplc="5F9EC3C6">
      <w:start w:val="1"/>
      <w:numFmt w:val="bullet"/>
      <w:pStyle w:val="Bullet6"/>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A72C2"/>
    <w:multiLevelType w:val="hybridMultilevel"/>
    <w:tmpl w:val="92FEA61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D24F43"/>
    <w:multiLevelType w:val="hybridMultilevel"/>
    <w:tmpl w:val="BF70C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362FA"/>
    <w:multiLevelType w:val="hybridMultilevel"/>
    <w:tmpl w:val="953486D6"/>
    <w:lvl w:ilvl="0" w:tplc="21201144">
      <w:start w:val="1"/>
      <w:numFmt w:val="bullet"/>
      <w:lvlText w:val=""/>
      <w:lvlJc w:val="left"/>
      <w:pPr>
        <w:ind w:left="1020" w:hanging="360"/>
      </w:pPr>
      <w:rPr>
        <w:rFonts w:ascii="Symbol" w:hAnsi="Symbol"/>
      </w:rPr>
    </w:lvl>
    <w:lvl w:ilvl="1" w:tplc="BE822010">
      <w:start w:val="1"/>
      <w:numFmt w:val="bullet"/>
      <w:lvlText w:val=""/>
      <w:lvlJc w:val="left"/>
      <w:pPr>
        <w:ind w:left="1020" w:hanging="360"/>
      </w:pPr>
      <w:rPr>
        <w:rFonts w:ascii="Symbol" w:hAnsi="Symbol"/>
      </w:rPr>
    </w:lvl>
    <w:lvl w:ilvl="2" w:tplc="8FA2D2A0">
      <w:start w:val="1"/>
      <w:numFmt w:val="bullet"/>
      <w:lvlText w:val=""/>
      <w:lvlJc w:val="left"/>
      <w:pPr>
        <w:ind w:left="1020" w:hanging="360"/>
      </w:pPr>
      <w:rPr>
        <w:rFonts w:ascii="Symbol" w:hAnsi="Symbol"/>
      </w:rPr>
    </w:lvl>
    <w:lvl w:ilvl="3" w:tplc="ED78CD12">
      <w:start w:val="1"/>
      <w:numFmt w:val="bullet"/>
      <w:lvlText w:val=""/>
      <w:lvlJc w:val="left"/>
      <w:pPr>
        <w:ind w:left="1020" w:hanging="360"/>
      </w:pPr>
      <w:rPr>
        <w:rFonts w:ascii="Symbol" w:hAnsi="Symbol"/>
      </w:rPr>
    </w:lvl>
    <w:lvl w:ilvl="4" w:tplc="B9B6FBCA">
      <w:start w:val="1"/>
      <w:numFmt w:val="bullet"/>
      <w:lvlText w:val=""/>
      <w:lvlJc w:val="left"/>
      <w:pPr>
        <w:ind w:left="1020" w:hanging="360"/>
      </w:pPr>
      <w:rPr>
        <w:rFonts w:ascii="Symbol" w:hAnsi="Symbol"/>
      </w:rPr>
    </w:lvl>
    <w:lvl w:ilvl="5" w:tplc="FA46D76E">
      <w:start w:val="1"/>
      <w:numFmt w:val="bullet"/>
      <w:lvlText w:val=""/>
      <w:lvlJc w:val="left"/>
      <w:pPr>
        <w:ind w:left="1020" w:hanging="360"/>
      </w:pPr>
      <w:rPr>
        <w:rFonts w:ascii="Symbol" w:hAnsi="Symbol"/>
      </w:rPr>
    </w:lvl>
    <w:lvl w:ilvl="6" w:tplc="27A2CBC2">
      <w:start w:val="1"/>
      <w:numFmt w:val="bullet"/>
      <w:lvlText w:val=""/>
      <w:lvlJc w:val="left"/>
      <w:pPr>
        <w:ind w:left="1020" w:hanging="360"/>
      </w:pPr>
      <w:rPr>
        <w:rFonts w:ascii="Symbol" w:hAnsi="Symbol"/>
      </w:rPr>
    </w:lvl>
    <w:lvl w:ilvl="7" w:tplc="6EAE6A0A">
      <w:start w:val="1"/>
      <w:numFmt w:val="bullet"/>
      <w:lvlText w:val=""/>
      <w:lvlJc w:val="left"/>
      <w:pPr>
        <w:ind w:left="1020" w:hanging="360"/>
      </w:pPr>
      <w:rPr>
        <w:rFonts w:ascii="Symbol" w:hAnsi="Symbol"/>
      </w:rPr>
    </w:lvl>
    <w:lvl w:ilvl="8" w:tplc="765E75DA">
      <w:start w:val="1"/>
      <w:numFmt w:val="bullet"/>
      <w:lvlText w:val=""/>
      <w:lvlJc w:val="left"/>
      <w:pPr>
        <w:ind w:left="1020" w:hanging="360"/>
      </w:pPr>
      <w:rPr>
        <w:rFonts w:ascii="Symbol" w:hAnsi="Symbol"/>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B6274A"/>
    <w:multiLevelType w:val="hybridMultilevel"/>
    <w:tmpl w:val="399A2208"/>
    <w:lvl w:ilvl="0" w:tplc="CFF6B4E2">
      <w:start w:val="1"/>
      <w:numFmt w:val="decimal"/>
      <w:lvlText w:val="%1."/>
      <w:lvlJc w:val="left"/>
      <w:pPr>
        <w:ind w:left="4754" w:hanging="360"/>
      </w:pPr>
      <w:rPr>
        <w:rFonts w:hint="default"/>
        <w:i w:val="0"/>
        <w:iCs/>
        <w:color w:val="auto"/>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3A0F35"/>
    <w:multiLevelType w:val="hybridMultilevel"/>
    <w:tmpl w:val="11CC2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A67D8A"/>
    <w:multiLevelType w:val="hybridMultilevel"/>
    <w:tmpl w:val="EBCA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F3412A"/>
    <w:multiLevelType w:val="hybridMultilevel"/>
    <w:tmpl w:val="42567178"/>
    <w:lvl w:ilvl="0" w:tplc="77404F3C">
      <w:start w:val="1"/>
      <w:numFmt w:val="bullet"/>
      <w:lvlText w:val="•"/>
      <w:lvlJc w:val="left"/>
      <w:pPr>
        <w:tabs>
          <w:tab w:val="num" w:pos="720"/>
        </w:tabs>
        <w:ind w:left="720" w:hanging="360"/>
      </w:pPr>
      <w:rPr>
        <w:rFonts w:ascii="Arial" w:hAnsi="Arial" w:hint="default"/>
      </w:rPr>
    </w:lvl>
    <w:lvl w:ilvl="1" w:tplc="368ACE3C" w:tentative="1">
      <w:start w:val="1"/>
      <w:numFmt w:val="bullet"/>
      <w:lvlText w:val="•"/>
      <w:lvlJc w:val="left"/>
      <w:pPr>
        <w:tabs>
          <w:tab w:val="num" w:pos="1440"/>
        </w:tabs>
        <w:ind w:left="1440" w:hanging="360"/>
      </w:pPr>
      <w:rPr>
        <w:rFonts w:ascii="Arial" w:hAnsi="Arial" w:hint="default"/>
      </w:rPr>
    </w:lvl>
    <w:lvl w:ilvl="2" w:tplc="71FE864A" w:tentative="1">
      <w:start w:val="1"/>
      <w:numFmt w:val="bullet"/>
      <w:lvlText w:val="•"/>
      <w:lvlJc w:val="left"/>
      <w:pPr>
        <w:tabs>
          <w:tab w:val="num" w:pos="2160"/>
        </w:tabs>
        <w:ind w:left="2160" w:hanging="360"/>
      </w:pPr>
      <w:rPr>
        <w:rFonts w:ascii="Arial" w:hAnsi="Arial" w:hint="default"/>
      </w:rPr>
    </w:lvl>
    <w:lvl w:ilvl="3" w:tplc="5F2A37F8" w:tentative="1">
      <w:start w:val="1"/>
      <w:numFmt w:val="bullet"/>
      <w:lvlText w:val="•"/>
      <w:lvlJc w:val="left"/>
      <w:pPr>
        <w:tabs>
          <w:tab w:val="num" w:pos="2880"/>
        </w:tabs>
        <w:ind w:left="2880" w:hanging="360"/>
      </w:pPr>
      <w:rPr>
        <w:rFonts w:ascii="Arial" w:hAnsi="Arial" w:hint="default"/>
      </w:rPr>
    </w:lvl>
    <w:lvl w:ilvl="4" w:tplc="95CC2254" w:tentative="1">
      <w:start w:val="1"/>
      <w:numFmt w:val="bullet"/>
      <w:lvlText w:val="•"/>
      <w:lvlJc w:val="left"/>
      <w:pPr>
        <w:tabs>
          <w:tab w:val="num" w:pos="3600"/>
        </w:tabs>
        <w:ind w:left="3600" w:hanging="360"/>
      </w:pPr>
      <w:rPr>
        <w:rFonts w:ascii="Arial" w:hAnsi="Arial" w:hint="default"/>
      </w:rPr>
    </w:lvl>
    <w:lvl w:ilvl="5" w:tplc="312254F4" w:tentative="1">
      <w:start w:val="1"/>
      <w:numFmt w:val="bullet"/>
      <w:lvlText w:val="•"/>
      <w:lvlJc w:val="left"/>
      <w:pPr>
        <w:tabs>
          <w:tab w:val="num" w:pos="4320"/>
        </w:tabs>
        <w:ind w:left="4320" w:hanging="360"/>
      </w:pPr>
      <w:rPr>
        <w:rFonts w:ascii="Arial" w:hAnsi="Arial" w:hint="default"/>
      </w:rPr>
    </w:lvl>
    <w:lvl w:ilvl="6" w:tplc="67DE0CA8" w:tentative="1">
      <w:start w:val="1"/>
      <w:numFmt w:val="bullet"/>
      <w:lvlText w:val="•"/>
      <w:lvlJc w:val="left"/>
      <w:pPr>
        <w:tabs>
          <w:tab w:val="num" w:pos="5040"/>
        </w:tabs>
        <w:ind w:left="5040" w:hanging="360"/>
      </w:pPr>
      <w:rPr>
        <w:rFonts w:ascii="Arial" w:hAnsi="Arial" w:hint="default"/>
      </w:rPr>
    </w:lvl>
    <w:lvl w:ilvl="7" w:tplc="D08C2B8C" w:tentative="1">
      <w:start w:val="1"/>
      <w:numFmt w:val="bullet"/>
      <w:lvlText w:val="•"/>
      <w:lvlJc w:val="left"/>
      <w:pPr>
        <w:tabs>
          <w:tab w:val="num" w:pos="5760"/>
        </w:tabs>
        <w:ind w:left="5760" w:hanging="360"/>
      </w:pPr>
      <w:rPr>
        <w:rFonts w:ascii="Arial" w:hAnsi="Arial" w:hint="default"/>
      </w:rPr>
    </w:lvl>
    <w:lvl w:ilvl="8" w:tplc="07500A0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A024FF3E"/>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332AF"/>
    <w:multiLevelType w:val="hybridMultilevel"/>
    <w:tmpl w:val="47285D50"/>
    <w:lvl w:ilvl="0" w:tplc="1A52FD5C">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1F4770"/>
    <w:multiLevelType w:val="hybridMultilevel"/>
    <w:tmpl w:val="C310D152"/>
    <w:lvl w:ilvl="0" w:tplc="D624A180">
      <w:start w:val="1"/>
      <w:numFmt w:val="bullet"/>
      <w:lvlText w:val=""/>
      <w:lvlJc w:val="left"/>
      <w:pPr>
        <w:ind w:left="1020" w:hanging="360"/>
      </w:pPr>
      <w:rPr>
        <w:rFonts w:ascii="Symbol" w:hAnsi="Symbol"/>
      </w:rPr>
    </w:lvl>
    <w:lvl w:ilvl="1" w:tplc="38101A98">
      <w:start w:val="1"/>
      <w:numFmt w:val="bullet"/>
      <w:lvlText w:val=""/>
      <w:lvlJc w:val="left"/>
      <w:pPr>
        <w:ind w:left="1020" w:hanging="360"/>
      </w:pPr>
      <w:rPr>
        <w:rFonts w:ascii="Symbol" w:hAnsi="Symbol"/>
      </w:rPr>
    </w:lvl>
    <w:lvl w:ilvl="2" w:tplc="A16072B8">
      <w:start w:val="1"/>
      <w:numFmt w:val="bullet"/>
      <w:lvlText w:val=""/>
      <w:lvlJc w:val="left"/>
      <w:pPr>
        <w:ind w:left="1020" w:hanging="360"/>
      </w:pPr>
      <w:rPr>
        <w:rFonts w:ascii="Symbol" w:hAnsi="Symbol"/>
      </w:rPr>
    </w:lvl>
    <w:lvl w:ilvl="3" w:tplc="988EFB9E">
      <w:start w:val="1"/>
      <w:numFmt w:val="bullet"/>
      <w:lvlText w:val=""/>
      <w:lvlJc w:val="left"/>
      <w:pPr>
        <w:ind w:left="1020" w:hanging="360"/>
      </w:pPr>
      <w:rPr>
        <w:rFonts w:ascii="Symbol" w:hAnsi="Symbol"/>
      </w:rPr>
    </w:lvl>
    <w:lvl w:ilvl="4" w:tplc="98569204">
      <w:start w:val="1"/>
      <w:numFmt w:val="bullet"/>
      <w:lvlText w:val=""/>
      <w:lvlJc w:val="left"/>
      <w:pPr>
        <w:ind w:left="1020" w:hanging="360"/>
      </w:pPr>
      <w:rPr>
        <w:rFonts w:ascii="Symbol" w:hAnsi="Symbol"/>
      </w:rPr>
    </w:lvl>
    <w:lvl w:ilvl="5" w:tplc="1D42CD50">
      <w:start w:val="1"/>
      <w:numFmt w:val="bullet"/>
      <w:lvlText w:val=""/>
      <w:lvlJc w:val="left"/>
      <w:pPr>
        <w:ind w:left="1020" w:hanging="360"/>
      </w:pPr>
      <w:rPr>
        <w:rFonts w:ascii="Symbol" w:hAnsi="Symbol"/>
      </w:rPr>
    </w:lvl>
    <w:lvl w:ilvl="6" w:tplc="FDA89C98">
      <w:start w:val="1"/>
      <w:numFmt w:val="bullet"/>
      <w:lvlText w:val=""/>
      <w:lvlJc w:val="left"/>
      <w:pPr>
        <w:ind w:left="1020" w:hanging="360"/>
      </w:pPr>
      <w:rPr>
        <w:rFonts w:ascii="Symbol" w:hAnsi="Symbol"/>
      </w:rPr>
    </w:lvl>
    <w:lvl w:ilvl="7" w:tplc="21D08EC0">
      <w:start w:val="1"/>
      <w:numFmt w:val="bullet"/>
      <w:lvlText w:val=""/>
      <w:lvlJc w:val="left"/>
      <w:pPr>
        <w:ind w:left="1020" w:hanging="360"/>
      </w:pPr>
      <w:rPr>
        <w:rFonts w:ascii="Symbol" w:hAnsi="Symbol"/>
      </w:rPr>
    </w:lvl>
    <w:lvl w:ilvl="8" w:tplc="CBCABB9C">
      <w:start w:val="1"/>
      <w:numFmt w:val="bullet"/>
      <w:lvlText w:val=""/>
      <w:lvlJc w:val="left"/>
      <w:pPr>
        <w:ind w:left="1020" w:hanging="360"/>
      </w:pPr>
      <w:rPr>
        <w:rFonts w:ascii="Symbol" w:hAnsi="Symbol"/>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2D41911"/>
    <w:multiLevelType w:val="hybridMultilevel"/>
    <w:tmpl w:val="338613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8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4A6522B"/>
    <w:multiLevelType w:val="multilevel"/>
    <w:tmpl w:val="1F68554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913BD1"/>
    <w:multiLevelType w:val="hybridMultilevel"/>
    <w:tmpl w:val="037E64B8"/>
    <w:lvl w:ilvl="0" w:tplc="56B48A8C">
      <w:start w:val="1"/>
      <w:numFmt w:val="bullet"/>
      <w:lvlText w:val=""/>
      <w:lvlJc w:val="left"/>
      <w:pPr>
        <w:ind w:left="1020" w:hanging="360"/>
      </w:pPr>
      <w:rPr>
        <w:rFonts w:ascii="Symbol" w:hAnsi="Symbol"/>
      </w:rPr>
    </w:lvl>
    <w:lvl w:ilvl="1" w:tplc="C73CCD30">
      <w:start w:val="1"/>
      <w:numFmt w:val="bullet"/>
      <w:lvlText w:val=""/>
      <w:lvlJc w:val="left"/>
      <w:pPr>
        <w:ind w:left="1020" w:hanging="360"/>
      </w:pPr>
      <w:rPr>
        <w:rFonts w:ascii="Symbol" w:hAnsi="Symbol"/>
      </w:rPr>
    </w:lvl>
    <w:lvl w:ilvl="2" w:tplc="52B8C09A">
      <w:start w:val="1"/>
      <w:numFmt w:val="bullet"/>
      <w:lvlText w:val=""/>
      <w:lvlJc w:val="left"/>
      <w:pPr>
        <w:ind w:left="1020" w:hanging="360"/>
      </w:pPr>
      <w:rPr>
        <w:rFonts w:ascii="Symbol" w:hAnsi="Symbol"/>
      </w:rPr>
    </w:lvl>
    <w:lvl w:ilvl="3" w:tplc="8020BA7E">
      <w:start w:val="1"/>
      <w:numFmt w:val="bullet"/>
      <w:lvlText w:val=""/>
      <w:lvlJc w:val="left"/>
      <w:pPr>
        <w:ind w:left="1020" w:hanging="360"/>
      </w:pPr>
      <w:rPr>
        <w:rFonts w:ascii="Symbol" w:hAnsi="Symbol"/>
      </w:rPr>
    </w:lvl>
    <w:lvl w:ilvl="4" w:tplc="E4C28C4A">
      <w:start w:val="1"/>
      <w:numFmt w:val="bullet"/>
      <w:lvlText w:val=""/>
      <w:lvlJc w:val="left"/>
      <w:pPr>
        <w:ind w:left="1020" w:hanging="360"/>
      </w:pPr>
      <w:rPr>
        <w:rFonts w:ascii="Symbol" w:hAnsi="Symbol"/>
      </w:rPr>
    </w:lvl>
    <w:lvl w:ilvl="5" w:tplc="8110A8D6">
      <w:start w:val="1"/>
      <w:numFmt w:val="bullet"/>
      <w:lvlText w:val=""/>
      <w:lvlJc w:val="left"/>
      <w:pPr>
        <w:ind w:left="1020" w:hanging="360"/>
      </w:pPr>
      <w:rPr>
        <w:rFonts w:ascii="Symbol" w:hAnsi="Symbol"/>
      </w:rPr>
    </w:lvl>
    <w:lvl w:ilvl="6" w:tplc="A91AF1AA">
      <w:start w:val="1"/>
      <w:numFmt w:val="bullet"/>
      <w:lvlText w:val=""/>
      <w:lvlJc w:val="left"/>
      <w:pPr>
        <w:ind w:left="1020" w:hanging="360"/>
      </w:pPr>
      <w:rPr>
        <w:rFonts w:ascii="Symbol" w:hAnsi="Symbol"/>
      </w:rPr>
    </w:lvl>
    <w:lvl w:ilvl="7" w:tplc="C89A713E">
      <w:start w:val="1"/>
      <w:numFmt w:val="bullet"/>
      <w:lvlText w:val=""/>
      <w:lvlJc w:val="left"/>
      <w:pPr>
        <w:ind w:left="1020" w:hanging="360"/>
      </w:pPr>
      <w:rPr>
        <w:rFonts w:ascii="Symbol" w:hAnsi="Symbol"/>
      </w:rPr>
    </w:lvl>
    <w:lvl w:ilvl="8" w:tplc="D0A28D80">
      <w:start w:val="1"/>
      <w:numFmt w:val="bullet"/>
      <w:lvlText w:val=""/>
      <w:lvlJc w:val="left"/>
      <w:pPr>
        <w:ind w:left="1020" w:hanging="360"/>
      </w:pPr>
      <w:rPr>
        <w:rFonts w:ascii="Symbol" w:hAnsi="Symbol"/>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424766804">
    <w:abstractNumId w:val="30"/>
  </w:num>
  <w:num w:numId="2" w16cid:durableId="353044437">
    <w:abstractNumId w:val="19"/>
  </w:num>
  <w:num w:numId="3" w16cid:durableId="797801453">
    <w:abstractNumId w:val="20"/>
  </w:num>
  <w:num w:numId="4" w16cid:durableId="2018261838">
    <w:abstractNumId w:val="1"/>
  </w:num>
  <w:num w:numId="5" w16cid:durableId="2102681194">
    <w:abstractNumId w:val="26"/>
  </w:num>
  <w:num w:numId="6" w16cid:durableId="1198161755">
    <w:abstractNumId w:val="0"/>
  </w:num>
  <w:num w:numId="7" w16cid:durableId="942689071">
    <w:abstractNumId w:val="3"/>
  </w:num>
  <w:num w:numId="8" w16cid:durableId="1014503173">
    <w:abstractNumId w:val="21"/>
  </w:num>
  <w:num w:numId="9" w16cid:durableId="1732775304">
    <w:abstractNumId w:val="8"/>
  </w:num>
  <w:num w:numId="10" w16cid:durableId="807480500">
    <w:abstractNumId w:val="7"/>
  </w:num>
  <w:num w:numId="11" w16cid:durableId="1587375949">
    <w:abstractNumId w:val="25"/>
  </w:num>
  <w:num w:numId="12" w16cid:durableId="857277794">
    <w:abstractNumId w:val="17"/>
  </w:num>
  <w:num w:numId="13" w16cid:durableId="151216284">
    <w:abstractNumId w:val="29"/>
  </w:num>
  <w:num w:numId="14" w16cid:durableId="1297681833">
    <w:abstractNumId w:val="9"/>
  </w:num>
  <w:num w:numId="15" w16cid:durableId="1130703848">
    <w:abstractNumId w:val="15"/>
  </w:num>
  <w:num w:numId="16" w16cid:durableId="307905897">
    <w:abstractNumId w:val="6"/>
  </w:num>
  <w:num w:numId="17" w16cid:durableId="1958490512">
    <w:abstractNumId w:val="10"/>
  </w:num>
  <w:num w:numId="18" w16cid:durableId="1346131610">
    <w:abstractNumId w:val="13"/>
  </w:num>
  <w:num w:numId="19" w16cid:durableId="357202807">
    <w:abstractNumId w:val="32"/>
  </w:num>
  <w:num w:numId="20" w16cid:durableId="1709065466">
    <w:abstractNumId w:val="27"/>
  </w:num>
  <w:num w:numId="21" w16cid:durableId="1910773564">
    <w:abstractNumId w:val="4"/>
  </w:num>
  <w:num w:numId="22" w16cid:durableId="1922718144">
    <w:abstractNumId w:val="22"/>
  </w:num>
  <w:num w:numId="23" w16cid:durableId="1808081057">
    <w:abstractNumId w:val="5"/>
  </w:num>
  <w:num w:numId="24" w16cid:durableId="2035304224">
    <w:abstractNumId w:val="2"/>
  </w:num>
  <w:num w:numId="25" w16cid:durableId="1455368920">
    <w:abstractNumId w:val="14"/>
  </w:num>
  <w:num w:numId="26" w16cid:durableId="1416510596">
    <w:abstractNumId w:val="16"/>
  </w:num>
  <w:num w:numId="27" w16cid:durableId="1550068981">
    <w:abstractNumId w:val="12"/>
  </w:num>
  <w:num w:numId="28"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5064720">
    <w:abstractNumId w:val="28"/>
  </w:num>
  <w:num w:numId="30" w16cid:durableId="1891306322">
    <w:abstractNumId w:val="18"/>
  </w:num>
  <w:num w:numId="31" w16cid:durableId="1135179827">
    <w:abstractNumId w:val="11"/>
  </w:num>
  <w:num w:numId="32" w16cid:durableId="85932019">
    <w:abstractNumId w:val="23"/>
  </w:num>
  <w:num w:numId="33" w16cid:durableId="1955405589">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MrY0NTa2MLWwMDBV0lEKTi0uzszPAykwNasFABciKa8tAAAA"/>
  </w:docVars>
  <w:rsids>
    <w:rsidRoot w:val="00E65E79"/>
    <w:rsid w:val="000000DE"/>
    <w:rsid w:val="00000790"/>
    <w:rsid w:val="00000F32"/>
    <w:rsid w:val="0000110B"/>
    <w:rsid w:val="0000113C"/>
    <w:rsid w:val="0000132C"/>
    <w:rsid w:val="00001D5F"/>
    <w:rsid w:val="000032B3"/>
    <w:rsid w:val="00003499"/>
    <w:rsid w:val="000039B7"/>
    <w:rsid w:val="00003A1D"/>
    <w:rsid w:val="000049C6"/>
    <w:rsid w:val="00004DF4"/>
    <w:rsid w:val="00004E13"/>
    <w:rsid w:val="000051F9"/>
    <w:rsid w:val="0000536B"/>
    <w:rsid w:val="00005501"/>
    <w:rsid w:val="000056B9"/>
    <w:rsid w:val="00005B54"/>
    <w:rsid w:val="00005D18"/>
    <w:rsid w:val="00005F87"/>
    <w:rsid w:val="000060AE"/>
    <w:rsid w:val="0000639A"/>
    <w:rsid w:val="00006622"/>
    <w:rsid w:val="0000744C"/>
    <w:rsid w:val="00007BF8"/>
    <w:rsid w:val="00010014"/>
    <w:rsid w:val="00010328"/>
    <w:rsid w:val="00010BF4"/>
    <w:rsid w:val="00010C0E"/>
    <w:rsid w:val="00010D90"/>
    <w:rsid w:val="00012103"/>
    <w:rsid w:val="00012137"/>
    <w:rsid w:val="0001230A"/>
    <w:rsid w:val="000124A1"/>
    <w:rsid w:val="0001266B"/>
    <w:rsid w:val="00012AC4"/>
    <w:rsid w:val="00013247"/>
    <w:rsid w:val="0001351F"/>
    <w:rsid w:val="0001354E"/>
    <w:rsid w:val="00013C5B"/>
    <w:rsid w:val="000141A9"/>
    <w:rsid w:val="000143FC"/>
    <w:rsid w:val="00014AB7"/>
    <w:rsid w:val="00014E80"/>
    <w:rsid w:val="00015045"/>
    <w:rsid w:val="0001521B"/>
    <w:rsid w:val="00015717"/>
    <w:rsid w:val="00015872"/>
    <w:rsid w:val="00015886"/>
    <w:rsid w:val="00016144"/>
    <w:rsid w:val="000162EF"/>
    <w:rsid w:val="0001640D"/>
    <w:rsid w:val="00016541"/>
    <w:rsid w:val="00017334"/>
    <w:rsid w:val="000178AB"/>
    <w:rsid w:val="00017E24"/>
    <w:rsid w:val="0002051A"/>
    <w:rsid w:val="000207C9"/>
    <w:rsid w:val="000208EE"/>
    <w:rsid w:val="00021377"/>
    <w:rsid w:val="0002225F"/>
    <w:rsid w:val="00022602"/>
    <w:rsid w:val="00022B91"/>
    <w:rsid w:val="0002306C"/>
    <w:rsid w:val="00023086"/>
    <w:rsid w:val="00023763"/>
    <w:rsid w:val="00023F82"/>
    <w:rsid w:val="00024DC9"/>
    <w:rsid w:val="00024EB5"/>
    <w:rsid w:val="000251EF"/>
    <w:rsid w:val="000254C7"/>
    <w:rsid w:val="000258AA"/>
    <w:rsid w:val="00026165"/>
    <w:rsid w:val="00026BCF"/>
    <w:rsid w:val="000272E4"/>
    <w:rsid w:val="0002735E"/>
    <w:rsid w:val="000274B8"/>
    <w:rsid w:val="000278B0"/>
    <w:rsid w:val="000279F9"/>
    <w:rsid w:val="00027B5D"/>
    <w:rsid w:val="00027B9F"/>
    <w:rsid w:val="000300A5"/>
    <w:rsid w:val="00031180"/>
    <w:rsid w:val="0003167F"/>
    <w:rsid w:val="000322DE"/>
    <w:rsid w:val="00033863"/>
    <w:rsid w:val="00033ACF"/>
    <w:rsid w:val="00034690"/>
    <w:rsid w:val="00035BC9"/>
    <w:rsid w:val="00035DC0"/>
    <w:rsid w:val="00036413"/>
    <w:rsid w:val="00036829"/>
    <w:rsid w:val="000369C9"/>
    <w:rsid w:val="00036DE4"/>
    <w:rsid w:val="00036ED4"/>
    <w:rsid w:val="00040895"/>
    <w:rsid w:val="0004091F"/>
    <w:rsid w:val="00040F08"/>
    <w:rsid w:val="000410A0"/>
    <w:rsid w:val="00041334"/>
    <w:rsid w:val="00041463"/>
    <w:rsid w:val="0004167A"/>
    <w:rsid w:val="00041FFA"/>
    <w:rsid w:val="000433DB"/>
    <w:rsid w:val="000435B5"/>
    <w:rsid w:val="000435EE"/>
    <w:rsid w:val="000438AD"/>
    <w:rsid w:val="000438B1"/>
    <w:rsid w:val="00043C37"/>
    <w:rsid w:val="00043E62"/>
    <w:rsid w:val="000441E2"/>
    <w:rsid w:val="00045017"/>
    <w:rsid w:val="000450B0"/>
    <w:rsid w:val="000454AB"/>
    <w:rsid w:val="00045A2B"/>
    <w:rsid w:val="00045EA9"/>
    <w:rsid w:val="000467A1"/>
    <w:rsid w:val="0004698F"/>
    <w:rsid w:val="00046B92"/>
    <w:rsid w:val="00046D64"/>
    <w:rsid w:val="00047019"/>
    <w:rsid w:val="00047B22"/>
    <w:rsid w:val="00050183"/>
    <w:rsid w:val="000508C2"/>
    <w:rsid w:val="000513BC"/>
    <w:rsid w:val="00052645"/>
    <w:rsid w:val="00052760"/>
    <w:rsid w:val="00052776"/>
    <w:rsid w:val="00052852"/>
    <w:rsid w:val="00052A06"/>
    <w:rsid w:val="000531A0"/>
    <w:rsid w:val="000535BB"/>
    <w:rsid w:val="00053838"/>
    <w:rsid w:val="000539D0"/>
    <w:rsid w:val="00053C3D"/>
    <w:rsid w:val="00054621"/>
    <w:rsid w:val="000546D7"/>
    <w:rsid w:val="00054A8D"/>
    <w:rsid w:val="00054DD9"/>
    <w:rsid w:val="00054EDD"/>
    <w:rsid w:val="000556D0"/>
    <w:rsid w:val="00055941"/>
    <w:rsid w:val="00055A0F"/>
    <w:rsid w:val="00055C46"/>
    <w:rsid w:val="00055C64"/>
    <w:rsid w:val="00056AB7"/>
    <w:rsid w:val="00056ECF"/>
    <w:rsid w:val="000577BE"/>
    <w:rsid w:val="00057B40"/>
    <w:rsid w:val="000604DF"/>
    <w:rsid w:val="00060F29"/>
    <w:rsid w:val="0006152B"/>
    <w:rsid w:val="00061E73"/>
    <w:rsid w:val="00062FB0"/>
    <w:rsid w:val="000632F6"/>
    <w:rsid w:val="00063E05"/>
    <w:rsid w:val="000646AE"/>
    <w:rsid w:val="00064855"/>
    <w:rsid w:val="00064F35"/>
    <w:rsid w:val="000653B5"/>
    <w:rsid w:val="00065876"/>
    <w:rsid w:val="00066360"/>
    <w:rsid w:val="0006684B"/>
    <w:rsid w:val="00066AF8"/>
    <w:rsid w:val="000678C9"/>
    <w:rsid w:val="00067D93"/>
    <w:rsid w:val="00067E2C"/>
    <w:rsid w:val="00071248"/>
    <w:rsid w:val="00071761"/>
    <w:rsid w:val="00071ACC"/>
    <w:rsid w:val="00071BCC"/>
    <w:rsid w:val="00071C04"/>
    <w:rsid w:val="00071E64"/>
    <w:rsid w:val="000720B9"/>
    <w:rsid w:val="000724F0"/>
    <w:rsid w:val="00072506"/>
    <w:rsid w:val="00072E9B"/>
    <w:rsid w:val="000737F7"/>
    <w:rsid w:val="00073935"/>
    <w:rsid w:val="00073CC7"/>
    <w:rsid w:val="00074236"/>
    <w:rsid w:val="000742BE"/>
    <w:rsid w:val="0007515C"/>
    <w:rsid w:val="00075435"/>
    <w:rsid w:val="00075785"/>
    <w:rsid w:val="00075C1B"/>
    <w:rsid w:val="000764D0"/>
    <w:rsid w:val="0007672F"/>
    <w:rsid w:val="00076B54"/>
    <w:rsid w:val="00076F74"/>
    <w:rsid w:val="00077028"/>
    <w:rsid w:val="000774F0"/>
    <w:rsid w:val="00077CE4"/>
    <w:rsid w:val="00080149"/>
    <w:rsid w:val="0008064E"/>
    <w:rsid w:val="00080909"/>
    <w:rsid w:val="00080D54"/>
    <w:rsid w:val="000812CA"/>
    <w:rsid w:val="000814FB"/>
    <w:rsid w:val="000815B3"/>
    <w:rsid w:val="00081E63"/>
    <w:rsid w:val="0008258D"/>
    <w:rsid w:val="000838BD"/>
    <w:rsid w:val="00083E99"/>
    <w:rsid w:val="000844B7"/>
    <w:rsid w:val="00084AA7"/>
    <w:rsid w:val="00084FA8"/>
    <w:rsid w:val="000856C5"/>
    <w:rsid w:val="00085A24"/>
    <w:rsid w:val="00085C31"/>
    <w:rsid w:val="00085E99"/>
    <w:rsid w:val="00085EF6"/>
    <w:rsid w:val="0008635E"/>
    <w:rsid w:val="000869FC"/>
    <w:rsid w:val="00086C7B"/>
    <w:rsid w:val="00087E4A"/>
    <w:rsid w:val="00090054"/>
    <w:rsid w:val="000902D9"/>
    <w:rsid w:val="00090C7E"/>
    <w:rsid w:val="00090D00"/>
    <w:rsid w:val="000911AC"/>
    <w:rsid w:val="000918F0"/>
    <w:rsid w:val="00091BEE"/>
    <w:rsid w:val="00091F99"/>
    <w:rsid w:val="000923E1"/>
    <w:rsid w:val="00092600"/>
    <w:rsid w:val="0009262B"/>
    <w:rsid w:val="0009275B"/>
    <w:rsid w:val="0009291F"/>
    <w:rsid w:val="00093310"/>
    <w:rsid w:val="00093938"/>
    <w:rsid w:val="00093970"/>
    <w:rsid w:val="00093BE5"/>
    <w:rsid w:val="00093F2A"/>
    <w:rsid w:val="0009445C"/>
    <w:rsid w:val="00094929"/>
    <w:rsid w:val="00094DD2"/>
    <w:rsid w:val="00094F35"/>
    <w:rsid w:val="00095200"/>
    <w:rsid w:val="00095FE5"/>
    <w:rsid w:val="00096284"/>
    <w:rsid w:val="000965AB"/>
    <w:rsid w:val="00096B80"/>
    <w:rsid w:val="0009734B"/>
    <w:rsid w:val="00097604"/>
    <w:rsid w:val="00097E87"/>
    <w:rsid w:val="00097F4D"/>
    <w:rsid w:val="00097FA8"/>
    <w:rsid w:val="000A0009"/>
    <w:rsid w:val="000A0911"/>
    <w:rsid w:val="000A189C"/>
    <w:rsid w:val="000A1BC0"/>
    <w:rsid w:val="000A1C03"/>
    <w:rsid w:val="000A2192"/>
    <w:rsid w:val="000A2647"/>
    <w:rsid w:val="000A2F9E"/>
    <w:rsid w:val="000A3A3C"/>
    <w:rsid w:val="000A3BED"/>
    <w:rsid w:val="000A3D39"/>
    <w:rsid w:val="000A3E47"/>
    <w:rsid w:val="000A3F4E"/>
    <w:rsid w:val="000A522B"/>
    <w:rsid w:val="000A546B"/>
    <w:rsid w:val="000A5B6F"/>
    <w:rsid w:val="000A5D74"/>
    <w:rsid w:val="000A6039"/>
    <w:rsid w:val="000A7168"/>
    <w:rsid w:val="000A7453"/>
    <w:rsid w:val="000A757D"/>
    <w:rsid w:val="000A77B4"/>
    <w:rsid w:val="000A7D08"/>
    <w:rsid w:val="000A7E98"/>
    <w:rsid w:val="000A7F46"/>
    <w:rsid w:val="000B0121"/>
    <w:rsid w:val="000B0670"/>
    <w:rsid w:val="000B0923"/>
    <w:rsid w:val="000B099F"/>
    <w:rsid w:val="000B0E75"/>
    <w:rsid w:val="000B1012"/>
    <w:rsid w:val="000B11A7"/>
    <w:rsid w:val="000B191B"/>
    <w:rsid w:val="000B1BE3"/>
    <w:rsid w:val="000B1DBA"/>
    <w:rsid w:val="000B2079"/>
    <w:rsid w:val="000B2AC3"/>
    <w:rsid w:val="000B2DCB"/>
    <w:rsid w:val="000B305C"/>
    <w:rsid w:val="000B4F17"/>
    <w:rsid w:val="000B557F"/>
    <w:rsid w:val="000B59E2"/>
    <w:rsid w:val="000B5CE0"/>
    <w:rsid w:val="000B6CAC"/>
    <w:rsid w:val="000B70EC"/>
    <w:rsid w:val="000B7612"/>
    <w:rsid w:val="000B78AE"/>
    <w:rsid w:val="000B7E73"/>
    <w:rsid w:val="000C09CB"/>
    <w:rsid w:val="000C127B"/>
    <w:rsid w:val="000C15E9"/>
    <w:rsid w:val="000C1DB1"/>
    <w:rsid w:val="000C2002"/>
    <w:rsid w:val="000C2370"/>
    <w:rsid w:val="000C2974"/>
    <w:rsid w:val="000C2B0F"/>
    <w:rsid w:val="000C2D56"/>
    <w:rsid w:val="000C2EFD"/>
    <w:rsid w:val="000C2F48"/>
    <w:rsid w:val="000C3487"/>
    <w:rsid w:val="000C3775"/>
    <w:rsid w:val="000C3CBC"/>
    <w:rsid w:val="000C3DF9"/>
    <w:rsid w:val="000C3F6E"/>
    <w:rsid w:val="000C444C"/>
    <w:rsid w:val="000C4B90"/>
    <w:rsid w:val="000C4CF2"/>
    <w:rsid w:val="000C53C7"/>
    <w:rsid w:val="000C542B"/>
    <w:rsid w:val="000C55FE"/>
    <w:rsid w:val="000C61D3"/>
    <w:rsid w:val="000C6713"/>
    <w:rsid w:val="000C6782"/>
    <w:rsid w:val="000C7333"/>
    <w:rsid w:val="000C7F24"/>
    <w:rsid w:val="000D000C"/>
    <w:rsid w:val="000D0580"/>
    <w:rsid w:val="000D0679"/>
    <w:rsid w:val="000D0D5A"/>
    <w:rsid w:val="000D1116"/>
    <w:rsid w:val="000D1245"/>
    <w:rsid w:val="000D128D"/>
    <w:rsid w:val="000D1BFC"/>
    <w:rsid w:val="000D1D5D"/>
    <w:rsid w:val="000D2111"/>
    <w:rsid w:val="000D21B1"/>
    <w:rsid w:val="000D24A8"/>
    <w:rsid w:val="000D24D9"/>
    <w:rsid w:val="000D281A"/>
    <w:rsid w:val="000D2848"/>
    <w:rsid w:val="000D286C"/>
    <w:rsid w:val="000D29BF"/>
    <w:rsid w:val="000D2F55"/>
    <w:rsid w:val="000D326A"/>
    <w:rsid w:val="000D38E5"/>
    <w:rsid w:val="000D3C89"/>
    <w:rsid w:val="000D3DB8"/>
    <w:rsid w:val="000D40DB"/>
    <w:rsid w:val="000D51FB"/>
    <w:rsid w:val="000D5775"/>
    <w:rsid w:val="000D5D62"/>
    <w:rsid w:val="000D5FF4"/>
    <w:rsid w:val="000D6BD7"/>
    <w:rsid w:val="000D6C08"/>
    <w:rsid w:val="000D6F0B"/>
    <w:rsid w:val="000D7282"/>
    <w:rsid w:val="000D7575"/>
    <w:rsid w:val="000D76F9"/>
    <w:rsid w:val="000E0640"/>
    <w:rsid w:val="000E0A11"/>
    <w:rsid w:val="000E116F"/>
    <w:rsid w:val="000E135D"/>
    <w:rsid w:val="000E18E5"/>
    <w:rsid w:val="000E1AB7"/>
    <w:rsid w:val="000E1ED8"/>
    <w:rsid w:val="000E205E"/>
    <w:rsid w:val="000E21D3"/>
    <w:rsid w:val="000E21EF"/>
    <w:rsid w:val="000E2CBC"/>
    <w:rsid w:val="000E3402"/>
    <w:rsid w:val="000E3EB7"/>
    <w:rsid w:val="000E43FC"/>
    <w:rsid w:val="000E4884"/>
    <w:rsid w:val="000E4C12"/>
    <w:rsid w:val="000E54AF"/>
    <w:rsid w:val="000E5867"/>
    <w:rsid w:val="000E5E95"/>
    <w:rsid w:val="000E6006"/>
    <w:rsid w:val="000E606F"/>
    <w:rsid w:val="000E65B2"/>
    <w:rsid w:val="000E6CEE"/>
    <w:rsid w:val="000E6FB7"/>
    <w:rsid w:val="000E7A01"/>
    <w:rsid w:val="000E7EB5"/>
    <w:rsid w:val="000F004D"/>
    <w:rsid w:val="000F00BA"/>
    <w:rsid w:val="000F024A"/>
    <w:rsid w:val="000F04A9"/>
    <w:rsid w:val="000F05F3"/>
    <w:rsid w:val="000F0E2F"/>
    <w:rsid w:val="000F0E6B"/>
    <w:rsid w:val="000F159A"/>
    <w:rsid w:val="000F16C3"/>
    <w:rsid w:val="000F1700"/>
    <w:rsid w:val="000F1A43"/>
    <w:rsid w:val="000F316A"/>
    <w:rsid w:val="000F3652"/>
    <w:rsid w:val="000F3C74"/>
    <w:rsid w:val="000F3F7B"/>
    <w:rsid w:val="000F4568"/>
    <w:rsid w:val="000F46D0"/>
    <w:rsid w:val="000F4BB8"/>
    <w:rsid w:val="000F4EB5"/>
    <w:rsid w:val="000F4FA9"/>
    <w:rsid w:val="000F514C"/>
    <w:rsid w:val="000F53FB"/>
    <w:rsid w:val="000F54B9"/>
    <w:rsid w:val="000F5EC8"/>
    <w:rsid w:val="000F6268"/>
    <w:rsid w:val="000F6394"/>
    <w:rsid w:val="000F69C8"/>
    <w:rsid w:val="000F7127"/>
    <w:rsid w:val="000F7315"/>
    <w:rsid w:val="000F7B54"/>
    <w:rsid w:val="001000B3"/>
    <w:rsid w:val="00100EF1"/>
    <w:rsid w:val="00100F8A"/>
    <w:rsid w:val="00100FE0"/>
    <w:rsid w:val="001010A0"/>
    <w:rsid w:val="00102326"/>
    <w:rsid w:val="00102784"/>
    <w:rsid w:val="00102ADA"/>
    <w:rsid w:val="00103163"/>
    <w:rsid w:val="00103C56"/>
    <w:rsid w:val="0010452E"/>
    <w:rsid w:val="00104D32"/>
    <w:rsid w:val="00105AE2"/>
    <w:rsid w:val="00105BDA"/>
    <w:rsid w:val="001060C6"/>
    <w:rsid w:val="00106A79"/>
    <w:rsid w:val="00106A8D"/>
    <w:rsid w:val="00106B80"/>
    <w:rsid w:val="001077AF"/>
    <w:rsid w:val="0011004D"/>
    <w:rsid w:val="0011032E"/>
    <w:rsid w:val="0011050E"/>
    <w:rsid w:val="0011190C"/>
    <w:rsid w:val="00111E0E"/>
    <w:rsid w:val="00112153"/>
    <w:rsid w:val="001126DE"/>
    <w:rsid w:val="00112C3F"/>
    <w:rsid w:val="00113013"/>
    <w:rsid w:val="0011348B"/>
    <w:rsid w:val="001140C9"/>
    <w:rsid w:val="00114158"/>
    <w:rsid w:val="001141EE"/>
    <w:rsid w:val="0011463A"/>
    <w:rsid w:val="001152D2"/>
    <w:rsid w:val="00115500"/>
    <w:rsid w:val="00115812"/>
    <w:rsid w:val="00115982"/>
    <w:rsid w:val="00115DA9"/>
    <w:rsid w:val="0011620F"/>
    <w:rsid w:val="001162B1"/>
    <w:rsid w:val="00116C53"/>
    <w:rsid w:val="00117039"/>
    <w:rsid w:val="001176D7"/>
    <w:rsid w:val="00117EDE"/>
    <w:rsid w:val="00117FBA"/>
    <w:rsid w:val="00120013"/>
    <w:rsid w:val="0012003D"/>
    <w:rsid w:val="0012035B"/>
    <w:rsid w:val="00120374"/>
    <w:rsid w:val="00120423"/>
    <w:rsid w:val="00120E36"/>
    <w:rsid w:val="00121799"/>
    <w:rsid w:val="00121E35"/>
    <w:rsid w:val="00121E39"/>
    <w:rsid w:val="0012212B"/>
    <w:rsid w:val="001222FC"/>
    <w:rsid w:val="00122875"/>
    <w:rsid w:val="0012289C"/>
    <w:rsid w:val="00122F24"/>
    <w:rsid w:val="00122FA2"/>
    <w:rsid w:val="001235A6"/>
    <w:rsid w:val="00123902"/>
    <w:rsid w:val="00123989"/>
    <w:rsid w:val="00123CF1"/>
    <w:rsid w:val="00124A51"/>
    <w:rsid w:val="00124EE6"/>
    <w:rsid w:val="00124FA6"/>
    <w:rsid w:val="001255A6"/>
    <w:rsid w:val="001255B7"/>
    <w:rsid w:val="001258B5"/>
    <w:rsid w:val="001265F8"/>
    <w:rsid w:val="00126621"/>
    <w:rsid w:val="00126A58"/>
    <w:rsid w:val="00126B1D"/>
    <w:rsid w:val="00127A49"/>
    <w:rsid w:val="00127B85"/>
    <w:rsid w:val="00127BF4"/>
    <w:rsid w:val="001301E9"/>
    <w:rsid w:val="001301F1"/>
    <w:rsid w:val="001303D2"/>
    <w:rsid w:val="00131BC0"/>
    <w:rsid w:val="00131D82"/>
    <w:rsid w:val="00132B22"/>
    <w:rsid w:val="00133706"/>
    <w:rsid w:val="00133D36"/>
    <w:rsid w:val="00133E23"/>
    <w:rsid w:val="00133F13"/>
    <w:rsid w:val="00134FE0"/>
    <w:rsid w:val="00135D72"/>
    <w:rsid w:val="00135E84"/>
    <w:rsid w:val="00136D3D"/>
    <w:rsid w:val="00136EED"/>
    <w:rsid w:val="001375ED"/>
    <w:rsid w:val="00137645"/>
    <w:rsid w:val="001377CA"/>
    <w:rsid w:val="00137A4B"/>
    <w:rsid w:val="00140031"/>
    <w:rsid w:val="0014015A"/>
    <w:rsid w:val="00140558"/>
    <w:rsid w:val="001407EC"/>
    <w:rsid w:val="00140907"/>
    <w:rsid w:val="00140E99"/>
    <w:rsid w:val="0014195E"/>
    <w:rsid w:val="0014197B"/>
    <w:rsid w:val="00141D7C"/>
    <w:rsid w:val="00141EDF"/>
    <w:rsid w:val="00142681"/>
    <w:rsid w:val="001427E6"/>
    <w:rsid w:val="00143066"/>
    <w:rsid w:val="00143479"/>
    <w:rsid w:val="00143C78"/>
    <w:rsid w:val="00143C7A"/>
    <w:rsid w:val="00143D69"/>
    <w:rsid w:val="00143F67"/>
    <w:rsid w:val="001449E2"/>
    <w:rsid w:val="00145234"/>
    <w:rsid w:val="001454EE"/>
    <w:rsid w:val="00145540"/>
    <w:rsid w:val="001456B0"/>
    <w:rsid w:val="001465A5"/>
    <w:rsid w:val="001465C4"/>
    <w:rsid w:val="00146DAB"/>
    <w:rsid w:val="00147099"/>
    <w:rsid w:val="001471BD"/>
    <w:rsid w:val="001471E1"/>
    <w:rsid w:val="00147502"/>
    <w:rsid w:val="00147AFF"/>
    <w:rsid w:val="001510F5"/>
    <w:rsid w:val="001514CD"/>
    <w:rsid w:val="00151D0F"/>
    <w:rsid w:val="00152406"/>
    <w:rsid w:val="00152769"/>
    <w:rsid w:val="0015307C"/>
    <w:rsid w:val="001543BC"/>
    <w:rsid w:val="001547AB"/>
    <w:rsid w:val="0015549E"/>
    <w:rsid w:val="00155748"/>
    <w:rsid w:val="00156169"/>
    <w:rsid w:val="00156175"/>
    <w:rsid w:val="00156578"/>
    <w:rsid w:val="00156F8F"/>
    <w:rsid w:val="00157130"/>
    <w:rsid w:val="001576B1"/>
    <w:rsid w:val="00157A51"/>
    <w:rsid w:val="001602CE"/>
    <w:rsid w:val="0016044A"/>
    <w:rsid w:val="0016047B"/>
    <w:rsid w:val="00160A4C"/>
    <w:rsid w:val="00160C16"/>
    <w:rsid w:val="00160F99"/>
    <w:rsid w:val="001610A9"/>
    <w:rsid w:val="0016128A"/>
    <w:rsid w:val="00161BDB"/>
    <w:rsid w:val="00161D42"/>
    <w:rsid w:val="00161EDC"/>
    <w:rsid w:val="00162913"/>
    <w:rsid w:val="00162C8D"/>
    <w:rsid w:val="00163431"/>
    <w:rsid w:val="00163717"/>
    <w:rsid w:val="001637E8"/>
    <w:rsid w:val="00163EFF"/>
    <w:rsid w:val="00163F4C"/>
    <w:rsid w:val="00163F66"/>
    <w:rsid w:val="0016478E"/>
    <w:rsid w:val="00164C34"/>
    <w:rsid w:val="00165EC4"/>
    <w:rsid w:val="00165F9D"/>
    <w:rsid w:val="00165FD7"/>
    <w:rsid w:val="001661FB"/>
    <w:rsid w:val="001663C3"/>
    <w:rsid w:val="00166C00"/>
    <w:rsid w:val="00166C72"/>
    <w:rsid w:val="00166D24"/>
    <w:rsid w:val="00166DA9"/>
    <w:rsid w:val="001670CC"/>
    <w:rsid w:val="001671A0"/>
    <w:rsid w:val="0016767F"/>
    <w:rsid w:val="001709ED"/>
    <w:rsid w:val="00170C7D"/>
    <w:rsid w:val="00171A1C"/>
    <w:rsid w:val="001721F3"/>
    <w:rsid w:val="0017330E"/>
    <w:rsid w:val="00173565"/>
    <w:rsid w:val="00173A35"/>
    <w:rsid w:val="00173B07"/>
    <w:rsid w:val="00174521"/>
    <w:rsid w:val="00174802"/>
    <w:rsid w:val="00174E9D"/>
    <w:rsid w:val="001751FA"/>
    <w:rsid w:val="00175AD7"/>
    <w:rsid w:val="00175AF2"/>
    <w:rsid w:val="00175BB5"/>
    <w:rsid w:val="00175D4A"/>
    <w:rsid w:val="00176AB9"/>
    <w:rsid w:val="00176C64"/>
    <w:rsid w:val="00176FE8"/>
    <w:rsid w:val="00180370"/>
    <w:rsid w:val="001810E1"/>
    <w:rsid w:val="00181B6C"/>
    <w:rsid w:val="00181C10"/>
    <w:rsid w:val="00181D9C"/>
    <w:rsid w:val="00182DAC"/>
    <w:rsid w:val="00182F19"/>
    <w:rsid w:val="001837FF"/>
    <w:rsid w:val="00184283"/>
    <w:rsid w:val="0018499C"/>
    <w:rsid w:val="00184B0E"/>
    <w:rsid w:val="00185917"/>
    <w:rsid w:val="00186102"/>
    <w:rsid w:val="0018629E"/>
    <w:rsid w:val="001872D3"/>
    <w:rsid w:val="0018752F"/>
    <w:rsid w:val="00187E4C"/>
    <w:rsid w:val="0019036B"/>
    <w:rsid w:val="00190420"/>
    <w:rsid w:val="00190DFA"/>
    <w:rsid w:val="00191798"/>
    <w:rsid w:val="00191920"/>
    <w:rsid w:val="00191AF2"/>
    <w:rsid w:val="00192588"/>
    <w:rsid w:val="0019267B"/>
    <w:rsid w:val="001927D3"/>
    <w:rsid w:val="00192F93"/>
    <w:rsid w:val="001931B3"/>
    <w:rsid w:val="0019330F"/>
    <w:rsid w:val="00193508"/>
    <w:rsid w:val="00193838"/>
    <w:rsid w:val="00194AD8"/>
    <w:rsid w:val="00194CEC"/>
    <w:rsid w:val="00194F04"/>
    <w:rsid w:val="00195131"/>
    <w:rsid w:val="00195222"/>
    <w:rsid w:val="00195452"/>
    <w:rsid w:val="00195557"/>
    <w:rsid w:val="00195CD2"/>
    <w:rsid w:val="00195F39"/>
    <w:rsid w:val="001960D6"/>
    <w:rsid w:val="00196956"/>
    <w:rsid w:val="00196977"/>
    <w:rsid w:val="00196C0C"/>
    <w:rsid w:val="001971E6"/>
    <w:rsid w:val="001975D8"/>
    <w:rsid w:val="001A0066"/>
    <w:rsid w:val="001A178E"/>
    <w:rsid w:val="001A1934"/>
    <w:rsid w:val="001A2085"/>
    <w:rsid w:val="001A2A95"/>
    <w:rsid w:val="001A3185"/>
    <w:rsid w:val="001A41D4"/>
    <w:rsid w:val="001A43FA"/>
    <w:rsid w:val="001A45B5"/>
    <w:rsid w:val="001A465B"/>
    <w:rsid w:val="001A47C5"/>
    <w:rsid w:val="001A4B43"/>
    <w:rsid w:val="001A506D"/>
    <w:rsid w:val="001A57D3"/>
    <w:rsid w:val="001A59FB"/>
    <w:rsid w:val="001A5A1C"/>
    <w:rsid w:val="001A5E9E"/>
    <w:rsid w:val="001A620D"/>
    <w:rsid w:val="001A6354"/>
    <w:rsid w:val="001A6366"/>
    <w:rsid w:val="001A682D"/>
    <w:rsid w:val="001A6877"/>
    <w:rsid w:val="001A6A73"/>
    <w:rsid w:val="001A76B0"/>
    <w:rsid w:val="001A7894"/>
    <w:rsid w:val="001A7AE8"/>
    <w:rsid w:val="001B040E"/>
    <w:rsid w:val="001B0764"/>
    <w:rsid w:val="001B0B36"/>
    <w:rsid w:val="001B0D00"/>
    <w:rsid w:val="001B1180"/>
    <w:rsid w:val="001B1387"/>
    <w:rsid w:val="001B1622"/>
    <w:rsid w:val="001B1EEB"/>
    <w:rsid w:val="001B204E"/>
    <w:rsid w:val="001B2372"/>
    <w:rsid w:val="001B24B7"/>
    <w:rsid w:val="001B2611"/>
    <w:rsid w:val="001B3443"/>
    <w:rsid w:val="001B34F0"/>
    <w:rsid w:val="001B37FD"/>
    <w:rsid w:val="001B3ADA"/>
    <w:rsid w:val="001B43C9"/>
    <w:rsid w:val="001B4B0F"/>
    <w:rsid w:val="001B4B80"/>
    <w:rsid w:val="001B4CB3"/>
    <w:rsid w:val="001B4D20"/>
    <w:rsid w:val="001B591B"/>
    <w:rsid w:val="001B5A84"/>
    <w:rsid w:val="001B635D"/>
    <w:rsid w:val="001B6687"/>
    <w:rsid w:val="001B6BB1"/>
    <w:rsid w:val="001B73CC"/>
    <w:rsid w:val="001B7DAE"/>
    <w:rsid w:val="001B7F84"/>
    <w:rsid w:val="001C01B7"/>
    <w:rsid w:val="001C046A"/>
    <w:rsid w:val="001C0736"/>
    <w:rsid w:val="001C0CFE"/>
    <w:rsid w:val="001C0E5A"/>
    <w:rsid w:val="001C1970"/>
    <w:rsid w:val="001C1FB1"/>
    <w:rsid w:val="001C20AD"/>
    <w:rsid w:val="001C2719"/>
    <w:rsid w:val="001C2A10"/>
    <w:rsid w:val="001C2A9B"/>
    <w:rsid w:val="001C2D3A"/>
    <w:rsid w:val="001C2E9A"/>
    <w:rsid w:val="001C3042"/>
    <w:rsid w:val="001C340F"/>
    <w:rsid w:val="001C3721"/>
    <w:rsid w:val="001C3DD6"/>
    <w:rsid w:val="001C4016"/>
    <w:rsid w:val="001C4299"/>
    <w:rsid w:val="001C4874"/>
    <w:rsid w:val="001C4898"/>
    <w:rsid w:val="001C4B2C"/>
    <w:rsid w:val="001C4D09"/>
    <w:rsid w:val="001C4DC7"/>
    <w:rsid w:val="001C50A7"/>
    <w:rsid w:val="001C525B"/>
    <w:rsid w:val="001C57F9"/>
    <w:rsid w:val="001C59AD"/>
    <w:rsid w:val="001C5F94"/>
    <w:rsid w:val="001C62BC"/>
    <w:rsid w:val="001C663C"/>
    <w:rsid w:val="001C67C9"/>
    <w:rsid w:val="001C6E15"/>
    <w:rsid w:val="001C6E66"/>
    <w:rsid w:val="001C7932"/>
    <w:rsid w:val="001D0732"/>
    <w:rsid w:val="001D0BA2"/>
    <w:rsid w:val="001D0CBC"/>
    <w:rsid w:val="001D1100"/>
    <w:rsid w:val="001D1107"/>
    <w:rsid w:val="001D1391"/>
    <w:rsid w:val="001D180F"/>
    <w:rsid w:val="001D1D5B"/>
    <w:rsid w:val="001D1FF7"/>
    <w:rsid w:val="001D2203"/>
    <w:rsid w:val="001D2316"/>
    <w:rsid w:val="001D25D7"/>
    <w:rsid w:val="001D2BDD"/>
    <w:rsid w:val="001D2DF7"/>
    <w:rsid w:val="001D2E82"/>
    <w:rsid w:val="001D3BE3"/>
    <w:rsid w:val="001D44EF"/>
    <w:rsid w:val="001D5082"/>
    <w:rsid w:val="001D50B2"/>
    <w:rsid w:val="001D569C"/>
    <w:rsid w:val="001D5CFA"/>
    <w:rsid w:val="001D5E3D"/>
    <w:rsid w:val="001D68FB"/>
    <w:rsid w:val="001D6FD1"/>
    <w:rsid w:val="001D71F4"/>
    <w:rsid w:val="001D7645"/>
    <w:rsid w:val="001D769C"/>
    <w:rsid w:val="001E05A5"/>
    <w:rsid w:val="001E0824"/>
    <w:rsid w:val="001E0C2E"/>
    <w:rsid w:val="001E11D8"/>
    <w:rsid w:val="001E12DE"/>
    <w:rsid w:val="001E18EF"/>
    <w:rsid w:val="001E1C72"/>
    <w:rsid w:val="001E1E86"/>
    <w:rsid w:val="001E1F3E"/>
    <w:rsid w:val="001E1F82"/>
    <w:rsid w:val="001E238E"/>
    <w:rsid w:val="001E2483"/>
    <w:rsid w:val="001E2AB6"/>
    <w:rsid w:val="001E2B1E"/>
    <w:rsid w:val="001E2CFF"/>
    <w:rsid w:val="001E2F24"/>
    <w:rsid w:val="001E30D4"/>
    <w:rsid w:val="001E3197"/>
    <w:rsid w:val="001E34DF"/>
    <w:rsid w:val="001E3590"/>
    <w:rsid w:val="001E3E3A"/>
    <w:rsid w:val="001E4271"/>
    <w:rsid w:val="001E43BB"/>
    <w:rsid w:val="001E44E5"/>
    <w:rsid w:val="001E50C9"/>
    <w:rsid w:val="001E52EB"/>
    <w:rsid w:val="001E5430"/>
    <w:rsid w:val="001E5587"/>
    <w:rsid w:val="001E5CCD"/>
    <w:rsid w:val="001E5EA2"/>
    <w:rsid w:val="001E61D2"/>
    <w:rsid w:val="001E65E0"/>
    <w:rsid w:val="001E68BE"/>
    <w:rsid w:val="001E740C"/>
    <w:rsid w:val="001E75D1"/>
    <w:rsid w:val="001E77EF"/>
    <w:rsid w:val="001F09AA"/>
    <w:rsid w:val="001F1235"/>
    <w:rsid w:val="001F17E0"/>
    <w:rsid w:val="001F1BB1"/>
    <w:rsid w:val="001F1CB3"/>
    <w:rsid w:val="001F29DF"/>
    <w:rsid w:val="001F324F"/>
    <w:rsid w:val="001F38B5"/>
    <w:rsid w:val="001F3CC5"/>
    <w:rsid w:val="001F3DA7"/>
    <w:rsid w:val="001F4081"/>
    <w:rsid w:val="001F4145"/>
    <w:rsid w:val="001F42BA"/>
    <w:rsid w:val="001F47CC"/>
    <w:rsid w:val="001F6A5E"/>
    <w:rsid w:val="001F6D66"/>
    <w:rsid w:val="001F7361"/>
    <w:rsid w:val="0020097E"/>
    <w:rsid w:val="00200D23"/>
    <w:rsid w:val="002010A8"/>
    <w:rsid w:val="002011B0"/>
    <w:rsid w:val="00201467"/>
    <w:rsid w:val="00201A31"/>
    <w:rsid w:val="00201A95"/>
    <w:rsid w:val="00201F8C"/>
    <w:rsid w:val="002021C4"/>
    <w:rsid w:val="002024C3"/>
    <w:rsid w:val="00202C1B"/>
    <w:rsid w:val="00203181"/>
    <w:rsid w:val="00203783"/>
    <w:rsid w:val="0020385F"/>
    <w:rsid w:val="002045AF"/>
    <w:rsid w:val="002045D7"/>
    <w:rsid w:val="0020484F"/>
    <w:rsid w:val="00204ED4"/>
    <w:rsid w:val="00205767"/>
    <w:rsid w:val="002062C8"/>
    <w:rsid w:val="002068A0"/>
    <w:rsid w:val="00206AB7"/>
    <w:rsid w:val="00206E19"/>
    <w:rsid w:val="00206F20"/>
    <w:rsid w:val="00206F64"/>
    <w:rsid w:val="00207021"/>
    <w:rsid w:val="002070EC"/>
    <w:rsid w:val="0020732F"/>
    <w:rsid w:val="002077EE"/>
    <w:rsid w:val="00207C68"/>
    <w:rsid w:val="00207D00"/>
    <w:rsid w:val="00207EF4"/>
    <w:rsid w:val="00210499"/>
    <w:rsid w:val="002105C1"/>
    <w:rsid w:val="00210B3B"/>
    <w:rsid w:val="00211133"/>
    <w:rsid w:val="002116FD"/>
    <w:rsid w:val="0021188A"/>
    <w:rsid w:val="00211D31"/>
    <w:rsid w:val="00211D43"/>
    <w:rsid w:val="00212146"/>
    <w:rsid w:val="00212ECF"/>
    <w:rsid w:val="00213881"/>
    <w:rsid w:val="00213EF5"/>
    <w:rsid w:val="00214513"/>
    <w:rsid w:val="002146E4"/>
    <w:rsid w:val="00214FC7"/>
    <w:rsid w:val="002153E5"/>
    <w:rsid w:val="00215816"/>
    <w:rsid w:val="00215A38"/>
    <w:rsid w:val="00215E23"/>
    <w:rsid w:val="00215E9C"/>
    <w:rsid w:val="00216330"/>
    <w:rsid w:val="002164AA"/>
    <w:rsid w:val="002164B1"/>
    <w:rsid w:val="00216753"/>
    <w:rsid w:val="00216BF5"/>
    <w:rsid w:val="00217540"/>
    <w:rsid w:val="0021770F"/>
    <w:rsid w:val="0022039D"/>
    <w:rsid w:val="0022042D"/>
    <w:rsid w:val="002208D9"/>
    <w:rsid w:val="00220C5A"/>
    <w:rsid w:val="00221122"/>
    <w:rsid w:val="00221162"/>
    <w:rsid w:val="0022165F"/>
    <w:rsid w:val="0022182D"/>
    <w:rsid w:val="00221E34"/>
    <w:rsid w:val="0022229D"/>
    <w:rsid w:val="0022383D"/>
    <w:rsid w:val="00223B49"/>
    <w:rsid w:val="00223D5A"/>
    <w:rsid w:val="00224525"/>
    <w:rsid w:val="002246E4"/>
    <w:rsid w:val="00224CFA"/>
    <w:rsid w:val="00224DD4"/>
    <w:rsid w:val="002266E3"/>
    <w:rsid w:val="00226CB6"/>
    <w:rsid w:val="00226D21"/>
    <w:rsid w:val="002278A0"/>
    <w:rsid w:val="002309CC"/>
    <w:rsid w:val="0023106C"/>
    <w:rsid w:val="00231156"/>
    <w:rsid w:val="00231BA9"/>
    <w:rsid w:val="00231F3F"/>
    <w:rsid w:val="0023209F"/>
    <w:rsid w:val="00232762"/>
    <w:rsid w:val="00232DFA"/>
    <w:rsid w:val="00233C01"/>
    <w:rsid w:val="00233C5B"/>
    <w:rsid w:val="00233D0C"/>
    <w:rsid w:val="00233D1B"/>
    <w:rsid w:val="0023413C"/>
    <w:rsid w:val="002346F0"/>
    <w:rsid w:val="00234FF6"/>
    <w:rsid w:val="0023532A"/>
    <w:rsid w:val="00235FD4"/>
    <w:rsid w:val="0023629D"/>
    <w:rsid w:val="00236962"/>
    <w:rsid w:val="002371AC"/>
    <w:rsid w:val="00237255"/>
    <w:rsid w:val="00237FB0"/>
    <w:rsid w:val="00240A95"/>
    <w:rsid w:val="00241431"/>
    <w:rsid w:val="002415A7"/>
    <w:rsid w:val="00241953"/>
    <w:rsid w:val="00241D24"/>
    <w:rsid w:val="002420A0"/>
    <w:rsid w:val="002422BD"/>
    <w:rsid w:val="002424AF"/>
    <w:rsid w:val="002425E2"/>
    <w:rsid w:val="00242BAB"/>
    <w:rsid w:val="002439DC"/>
    <w:rsid w:val="00243B14"/>
    <w:rsid w:val="00243F8B"/>
    <w:rsid w:val="00244063"/>
    <w:rsid w:val="002441D2"/>
    <w:rsid w:val="002444E1"/>
    <w:rsid w:val="00244DC8"/>
    <w:rsid w:val="00244E87"/>
    <w:rsid w:val="002453D0"/>
    <w:rsid w:val="002458BA"/>
    <w:rsid w:val="00245CE9"/>
    <w:rsid w:val="002462A9"/>
    <w:rsid w:val="0024636C"/>
    <w:rsid w:val="00247269"/>
    <w:rsid w:val="00247925"/>
    <w:rsid w:val="00251006"/>
    <w:rsid w:val="00251021"/>
    <w:rsid w:val="0025132E"/>
    <w:rsid w:val="00251680"/>
    <w:rsid w:val="00251775"/>
    <w:rsid w:val="00251FA4"/>
    <w:rsid w:val="00252370"/>
    <w:rsid w:val="002524D5"/>
    <w:rsid w:val="00252963"/>
    <w:rsid w:val="00252FB4"/>
    <w:rsid w:val="00253B1D"/>
    <w:rsid w:val="002548D9"/>
    <w:rsid w:val="00254AC8"/>
    <w:rsid w:val="00254DCF"/>
    <w:rsid w:val="00254FD1"/>
    <w:rsid w:val="0025534B"/>
    <w:rsid w:val="00255BB7"/>
    <w:rsid w:val="00256084"/>
    <w:rsid w:val="0025650A"/>
    <w:rsid w:val="00256AD6"/>
    <w:rsid w:val="0025743E"/>
    <w:rsid w:val="00257541"/>
    <w:rsid w:val="002575BD"/>
    <w:rsid w:val="00257A39"/>
    <w:rsid w:val="00257AC4"/>
    <w:rsid w:val="00257BBE"/>
    <w:rsid w:val="002607BA"/>
    <w:rsid w:val="00260897"/>
    <w:rsid w:val="00260E9C"/>
    <w:rsid w:val="00261395"/>
    <w:rsid w:val="002618AC"/>
    <w:rsid w:val="00261EEF"/>
    <w:rsid w:val="00262A1A"/>
    <w:rsid w:val="00262A87"/>
    <w:rsid w:val="002630AA"/>
    <w:rsid w:val="00263B09"/>
    <w:rsid w:val="002641C2"/>
    <w:rsid w:val="00264340"/>
    <w:rsid w:val="00264384"/>
    <w:rsid w:val="002647F7"/>
    <w:rsid w:val="002647FA"/>
    <w:rsid w:val="00264D26"/>
    <w:rsid w:val="00264EFA"/>
    <w:rsid w:val="002656D8"/>
    <w:rsid w:val="00265700"/>
    <w:rsid w:val="00265BAD"/>
    <w:rsid w:val="002665D2"/>
    <w:rsid w:val="0026678C"/>
    <w:rsid w:val="00266D49"/>
    <w:rsid w:val="00267642"/>
    <w:rsid w:val="00267AEA"/>
    <w:rsid w:val="002700E6"/>
    <w:rsid w:val="002701E0"/>
    <w:rsid w:val="002702F4"/>
    <w:rsid w:val="002707AF"/>
    <w:rsid w:val="002710AA"/>
    <w:rsid w:val="002711A3"/>
    <w:rsid w:val="00271925"/>
    <w:rsid w:val="00271F8F"/>
    <w:rsid w:val="00272464"/>
    <w:rsid w:val="0027294B"/>
    <w:rsid w:val="00272CA7"/>
    <w:rsid w:val="00273184"/>
    <w:rsid w:val="002732E5"/>
    <w:rsid w:val="00273EB4"/>
    <w:rsid w:val="00274682"/>
    <w:rsid w:val="0027477E"/>
    <w:rsid w:val="00275101"/>
    <w:rsid w:val="00275158"/>
    <w:rsid w:val="00275331"/>
    <w:rsid w:val="00275384"/>
    <w:rsid w:val="00275BB4"/>
    <w:rsid w:val="00275C5A"/>
    <w:rsid w:val="002760FB"/>
    <w:rsid w:val="00276665"/>
    <w:rsid w:val="002776C4"/>
    <w:rsid w:val="00277B59"/>
    <w:rsid w:val="0028064F"/>
    <w:rsid w:val="0028070A"/>
    <w:rsid w:val="00280997"/>
    <w:rsid w:val="002809C6"/>
    <w:rsid w:val="00281014"/>
    <w:rsid w:val="002810CA"/>
    <w:rsid w:val="00281450"/>
    <w:rsid w:val="00281F4A"/>
    <w:rsid w:val="00282141"/>
    <w:rsid w:val="002824D3"/>
    <w:rsid w:val="00282BE7"/>
    <w:rsid w:val="00283D57"/>
    <w:rsid w:val="00283F0E"/>
    <w:rsid w:val="00284207"/>
    <w:rsid w:val="002849D2"/>
    <w:rsid w:val="00285BCE"/>
    <w:rsid w:val="0028665D"/>
    <w:rsid w:val="002869D5"/>
    <w:rsid w:val="002869FF"/>
    <w:rsid w:val="00286C2D"/>
    <w:rsid w:val="00286D5C"/>
    <w:rsid w:val="002871A5"/>
    <w:rsid w:val="00287BA1"/>
    <w:rsid w:val="002902E9"/>
    <w:rsid w:val="00290A64"/>
    <w:rsid w:val="002910AC"/>
    <w:rsid w:val="00291B0D"/>
    <w:rsid w:val="00292E1C"/>
    <w:rsid w:val="0029389A"/>
    <w:rsid w:val="00293B5A"/>
    <w:rsid w:val="00294861"/>
    <w:rsid w:val="002953D6"/>
    <w:rsid w:val="0029545A"/>
    <w:rsid w:val="002958D8"/>
    <w:rsid w:val="002958E2"/>
    <w:rsid w:val="002958FF"/>
    <w:rsid w:val="002967D3"/>
    <w:rsid w:val="00296E52"/>
    <w:rsid w:val="002973DC"/>
    <w:rsid w:val="0029769A"/>
    <w:rsid w:val="00297F20"/>
    <w:rsid w:val="00297F25"/>
    <w:rsid w:val="002A01AF"/>
    <w:rsid w:val="002A054F"/>
    <w:rsid w:val="002A071C"/>
    <w:rsid w:val="002A14AB"/>
    <w:rsid w:val="002A1FA3"/>
    <w:rsid w:val="002A21E8"/>
    <w:rsid w:val="002A2ADE"/>
    <w:rsid w:val="002A2F50"/>
    <w:rsid w:val="002A31B6"/>
    <w:rsid w:val="002A379A"/>
    <w:rsid w:val="002A48F7"/>
    <w:rsid w:val="002A49AE"/>
    <w:rsid w:val="002A5133"/>
    <w:rsid w:val="002A6193"/>
    <w:rsid w:val="002A66BD"/>
    <w:rsid w:val="002A6911"/>
    <w:rsid w:val="002A6912"/>
    <w:rsid w:val="002A6946"/>
    <w:rsid w:val="002A695F"/>
    <w:rsid w:val="002A6AAE"/>
    <w:rsid w:val="002A6B53"/>
    <w:rsid w:val="002A6C21"/>
    <w:rsid w:val="002A6FB2"/>
    <w:rsid w:val="002A708F"/>
    <w:rsid w:val="002A7790"/>
    <w:rsid w:val="002A7943"/>
    <w:rsid w:val="002B05A1"/>
    <w:rsid w:val="002B09A4"/>
    <w:rsid w:val="002B0CEC"/>
    <w:rsid w:val="002B0ECE"/>
    <w:rsid w:val="002B1312"/>
    <w:rsid w:val="002B1C1F"/>
    <w:rsid w:val="002B2C6B"/>
    <w:rsid w:val="002B2F8B"/>
    <w:rsid w:val="002B3B73"/>
    <w:rsid w:val="002B3FC7"/>
    <w:rsid w:val="002B40D8"/>
    <w:rsid w:val="002B412E"/>
    <w:rsid w:val="002B432F"/>
    <w:rsid w:val="002B44EF"/>
    <w:rsid w:val="002B4D1C"/>
    <w:rsid w:val="002B4DD6"/>
    <w:rsid w:val="002B5235"/>
    <w:rsid w:val="002B5A23"/>
    <w:rsid w:val="002B60CE"/>
    <w:rsid w:val="002B62B3"/>
    <w:rsid w:val="002B642F"/>
    <w:rsid w:val="002B6754"/>
    <w:rsid w:val="002B6CCE"/>
    <w:rsid w:val="002B71EF"/>
    <w:rsid w:val="002B7393"/>
    <w:rsid w:val="002B79D4"/>
    <w:rsid w:val="002B7CD4"/>
    <w:rsid w:val="002B7D42"/>
    <w:rsid w:val="002C131F"/>
    <w:rsid w:val="002C150B"/>
    <w:rsid w:val="002C15E6"/>
    <w:rsid w:val="002C1B08"/>
    <w:rsid w:val="002C1BFF"/>
    <w:rsid w:val="002C2510"/>
    <w:rsid w:val="002C2775"/>
    <w:rsid w:val="002C27C1"/>
    <w:rsid w:val="002C2E98"/>
    <w:rsid w:val="002C36E3"/>
    <w:rsid w:val="002C4B27"/>
    <w:rsid w:val="002C5099"/>
    <w:rsid w:val="002C5830"/>
    <w:rsid w:val="002C5889"/>
    <w:rsid w:val="002C59F2"/>
    <w:rsid w:val="002C5A1E"/>
    <w:rsid w:val="002C5D9C"/>
    <w:rsid w:val="002C61D9"/>
    <w:rsid w:val="002C6306"/>
    <w:rsid w:val="002C6A2D"/>
    <w:rsid w:val="002C71CE"/>
    <w:rsid w:val="002C77C1"/>
    <w:rsid w:val="002C7D24"/>
    <w:rsid w:val="002D05EA"/>
    <w:rsid w:val="002D0678"/>
    <w:rsid w:val="002D07DC"/>
    <w:rsid w:val="002D07E4"/>
    <w:rsid w:val="002D08F8"/>
    <w:rsid w:val="002D0A18"/>
    <w:rsid w:val="002D0F62"/>
    <w:rsid w:val="002D169B"/>
    <w:rsid w:val="002D20A4"/>
    <w:rsid w:val="002D2230"/>
    <w:rsid w:val="002D2450"/>
    <w:rsid w:val="002D28CA"/>
    <w:rsid w:val="002D2996"/>
    <w:rsid w:val="002D3781"/>
    <w:rsid w:val="002D3E9C"/>
    <w:rsid w:val="002D4489"/>
    <w:rsid w:val="002D4582"/>
    <w:rsid w:val="002D47E8"/>
    <w:rsid w:val="002D4AB7"/>
    <w:rsid w:val="002D521E"/>
    <w:rsid w:val="002D577C"/>
    <w:rsid w:val="002D5BAD"/>
    <w:rsid w:val="002D5BDE"/>
    <w:rsid w:val="002D5C02"/>
    <w:rsid w:val="002D6324"/>
    <w:rsid w:val="002D6417"/>
    <w:rsid w:val="002D66B1"/>
    <w:rsid w:val="002D7804"/>
    <w:rsid w:val="002D7823"/>
    <w:rsid w:val="002D7832"/>
    <w:rsid w:val="002D7A49"/>
    <w:rsid w:val="002E0057"/>
    <w:rsid w:val="002E06B5"/>
    <w:rsid w:val="002E106A"/>
    <w:rsid w:val="002E1071"/>
    <w:rsid w:val="002E1335"/>
    <w:rsid w:val="002E15B9"/>
    <w:rsid w:val="002E1D29"/>
    <w:rsid w:val="002E1E88"/>
    <w:rsid w:val="002E1EAE"/>
    <w:rsid w:val="002E2158"/>
    <w:rsid w:val="002E2692"/>
    <w:rsid w:val="002E2A1E"/>
    <w:rsid w:val="002E3186"/>
    <w:rsid w:val="002E3AD2"/>
    <w:rsid w:val="002E3B03"/>
    <w:rsid w:val="002E41FB"/>
    <w:rsid w:val="002E4554"/>
    <w:rsid w:val="002E4577"/>
    <w:rsid w:val="002E47B9"/>
    <w:rsid w:val="002E4920"/>
    <w:rsid w:val="002E4F02"/>
    <w:rsid w:val="002E54A2"/>
    <w:rsid w:val="002E5577"/>
    <w:rsid w:val="002E56CC"/>
    <w:rsid w:val="002E5836"/>
    <w:rsid w:val="002E58C7"/>
    <w:rsid w:val="002E65AA"/>
    <w:rsid w:val="002E67EB"/>
    <w:rsid w:val="002E6830"/>
    <w:rsid w:val="002E685A"/>
    <w:rsid w:val="002E6A84"/>
    <w:rsid w:val="002E73C3"/>
    <w:rsid w:val="002E759E"/>
    <w:rsid w:val="002E7722"/>
    <w:rsid w:val="002F00A7"/>
    <w:rsid w:val="002F07BA"/>
    <w:rsid w:val="002F0C5C"/>
    <w:rsid w:val="002F0D6A"/>
    <w:rsid w:val="002F0DA9"/>
    <w:rsid w:val="002F1014"/>
    <w:rsid w:val="002F134F"/>
    <w:rsid w:val="002F1D05"/>
    <w:rsid w:val="002F1E3B"/>
    <w:rsid w:val="002F1E68"/>
    <w:rsid w:val="002F2F89"/>
    <w:rsid w:val="002F4A07"/>
    <w:rsid w:val="002F5030"/>
    <w:rsid w:val="002F5152"/>
    <w:rsid w:val="002F5C7C"/>
    <w:rsid w:val="002F6036"/>
    <w:rsid w:val="002F643C"/>
    <w:rsid w:val="002F696F"/>
    <w:rsid w:val="002F71C0"/>
    <w:rsid w:val="002F74F1"/>
    <w:rsid w:val="002F7696"/>
    <w:rsid w:val="002F7BE7"/>
    <w:rsid w:val="00301017"/>
    <w:rsid w:val="0030151C"/>
    <w:rsid w:val="0030155F"/>
    <w:rsid w:val="00301AA2"/>
    <w:rsid w:val="00301B5A"/>
    <w:rsid w:val="003028C4"/>
    <w:rsid w:val="00302C7A"/>
    <w:rsid w:val="00302C7E"/>
    <w:rsid w:val="0030441D"/>
    <w:rsid w:val="0030490E"/>
    <w:rsid w:val="00304E96"/>
    <w:rsid w:val="00305102"/>
    <w:rsid w:val="003053D4"/>
    <w:rsid w:val="0030569A"/>
    <w:rsid w:val="0030587B"/>
    <w:rsid w:val="00306528"/>
    <w:rsid w:val="00306D98"/>
    <w:rsid w:val="00307686"/>
    <w:rsid w:val="0030776A"/>
    <w:rsid w:val="0030786C"/>
    <w:rsid w:val="00307994"/>
    <w:rsid w:val="00307C20"/>
    <w:rsid w:val="00307D56"/>
    <w:rsid w:val="0031031A"/>
    <w:rsid w:val="00310823"/>
    <w:rsid w:val="00310981"/>
    <w:rsid w:val="00310B16"/>
    <w:rsid w:val="00311760"/>
    <w:rsid w:val="00311B5E"/>
    <w:rsid w:val="00311D9B"/>
    <w:rsid w:val="003121B7"/>
    <w:rsid w:val="003121D0"/>
    <w:rsid w:val="003123B8"/>
    <w:rsid w:val="003124D9"/>
    <w:rsid w:val="00312594"/>
    <w:rsid w:val="00312D81"/>
    <w:rsid w:val="003132DA"/>
    <w:rsid w:val="0031395E"/>
    <w:rsid w:val="00313AF6"/>
    <w:rsid w:val="00314203"/>
    <w:rsid w:val="003147FF"/>
    <w:rsid w:val="00314C59"/>
    <w:rsid w:val="00314E41"/>
    <w:rsid w:val="00315436"/>
    <w:rsid w:val="00315498"/>
    <w:rsid w:val="003158A2"/>
    <w:rsid w:val="00315B96"/>
    <w:rsid w:val="00316474"/>
    <w:rsid w:val="00316877"/>
    <w:rsid w:val="00316D7F"/>
    <w:rsid w:val="0031788D"/>
    <w:rsid w:val="00317E1A"/>
    <w:rsid w:val="00317F08"/>
    <w:rsid w:val="00320415"/>
    <w:rsid w:val="0032076D"/>
    <w:rsid w:val="00320C95"/>
    <w:rsid w:val="00320C9D"/>
    <w:rsid w:val="00320E70"/>
    <w:rsid w:val="0032144C"/>
    <w:rsid w:val="00321674"/>
    <w:rsid w:val="00321F88"/>
    <w:rsid w:val="00322107"/>
    <w:rsid w:val="0032229B"/>
    <w:rsid w:val="00322355"/>
    <w:rsid w:val="003226D9"/>
    <w:rsid w:val="00322846"/>
    <w:rsid w:val="00323525"/>
    <w:rsid w:val="00323699"/>
    <w:rsid w:val="00323722"/>
    <w:rsid w:val="00323C7D"/>
    <w:rsid w:val="003241C1"/>
    <w:rsid w:val="00324817"/>
    <w:rsid w:val="0032572B"/>
    <w:rsid w:val="00325852"/>
    <w:rsid w:val="00325C55"/>
    <w:rsid w:val="00326875"/>
    <w:rsid w:val="00326DA7"/>
    <w:rsid w:val="003270E4"/>
    <w:rsid w:val="00327161"/>
    <w:rsid w:val="00330362"/>
    <w:rsid w:val="003303CC"/>
    <w:rsid w:val="0033044F"/>
    <w:rsid w:val="00330871"/>
    <w:rsid w:val="00330DAA"/>
    <w:rsid w:val="00330F5C"/>
    <w:rsid w:val="00331423"/>
    <w:rsid w:val="0033167B"/>
    <w:rsid w:val="00331D5A"/>
    <w:rsid w:val="00331F44"/>
    <w:rsid w:val="00333E5F"/>
    <w:rsid w:val="00333F15"/>
    <w:rsid w:val="003345F8"/>
    <w:rsid w:val="00334A17"/>
    <w:rsid w:val="003366C9"/>
    <w:rsid w:val="00336952"/>
    <w:rsid w:val="00336AA8"/>
    <w:rsid w:val="003371B0"/>
    <w:rsid w:val="00337272"/>
    <w:rsid w:val="003374FF"/>
    <w:rsid w:val="003376D5"/>
    <w:rsid w:val="0033776F"/>
    <w:rsid w:val="00337B09"/>
    <w:rsid w:val="0034019B"/>
    <w:rsid w:val="00340581"/>
    <w:rsid w:val="003407F8"/>
    <w:rsid w:val="00340802"/>
    <w:rsid w:val="00340DF1"/>
    <w:rsid w:val="00341110"/>
    <w:rsid w:val="00341794"/>
    <w:rsid w:val="0034248E"/>
    <w:rsid w:val="0034257F"/>
    <w:rsid w:val="0034287C"/>
    <w:rsid w:val="00342899"/>
    <w:rsid w:val="0034311E"/>
    <w:rsid w:val="003431AB"/>
    <w:rsid w:val="00343B13"/>
    <w:rsid w:val="003441B9"/>
    <w:rsid w:val="003445C8"/>
    <w:rsid w:val="003450DB"/>
    <w:rsid w:val="0034555A"/>
    <w:rsid w:val="00345EF4"/>
    <w:rsid w:val="00346749"/>
    <w:rsid w:val="00346966"/>
    <w:rsid w:val="003472AE"/>
    <w:rsid w:val="003473F7"/>
    <w:rsid w:val="003476E9"/>
    <w:rsid w:val="003513F1"/>
    <w:rsid w:val="003517F9"/>
    <w:rsid w:val="00351BA9"/>
    <w:rsid w:val="00351BB3"/>
    <w:rsid w:val="00351D6E"/>
    <w:rsid w:val="0035379E"/>
    <w:rsid w:val="00353AF5"/>
    <w:rsid w:val="00354B03"/>
    <w:rsid w:val="00354F64"/>
    <w:rsid w:val="0035620E"/>
    <w:rsid w:val="003575BE"/>
    <w:rsid w:val="0035794C"/>
    <w:rsid w:val="00357A6B"/>
    <w:rsid w:val="003601AB"/>
    <w:rsid w:val="0036030A"/>
    <w:rsid w:val="00360345"/>
    <w:rsid w:val="0036059D"/>
    <w:rsid w:val="00361196"/>
    <w:rsid w:val="003612E4"/>
    <w:rsid w:val="0036172F"/>
    <w:rsid w:val="00361A05"/>
    <w:rsid w:val="00362269"/>
    <w:rsid w:val="0036247D"/>
    <w:rsid w:val="003624C4"/>
    <w:rsid w:val="0036266E"/>
    <w:rsid w:val="00362A2C"/>
    <w:rsid w:val="00362A9C"/>
    <w:rsid w:val="00362BAC"/>
    <w:rsid w:val="00362E3E"/>
    <w:rsid w:val="00363B00"/>
    <w:rsid w:val="00364947"/>
    <w:rsid w:val="00364B32"/>
    <w:rsid w:val="00364C6C"/>
    <w:rsid w:val="003654AC"/>
    <w:rsid w:val="0036668E"/>
    <w:rsid w:val="003668DB"/>
    <w:rsid w:val="00366966"/>
    <w:rsid w:val="00366ED0"/>
    <w:rsid w:val="003678A8"/>
    <w:rsid w:val="00367C2D"/>
    <w:rsid w:val="003700F6"/>
    <w:rsid w:val="003702AF"/>
    <w:rsid w:val="0037092E"/>
    <w:rsid w:val="0037096B"/>
    <w:rsid w:val="00370FCD"/>
    <w:rsid w:val="003710CF"/>
    <w:rsid w:val="00372A9A"/>
    <w:rsid w:val="0037358A"/>
    <w:rsid w:val="003735F9"/>
    <w:rsid w:val="00373B56"/>
    <w:rsid w:val="00373E2D"/>
    <w:rsid w:val="00374195"/>
    <w:rsid w:val="00374946"/>
    <w:rsid w:val="00374AB1"/>
    <w:rsid w:val="00374AE2"/>
    <w:rsid w:val="003750B2"/>
    <w:rsid w:val="003750F6"/>
    <w:rsid w:val="003755B6"/>
    <w:rsid w:val="00375958"/>
    <w:rsid w:val="003760FC"/>
    <w:rsid w:val="0037637C"/>
    <w:rsid w:val="003766BC"/>
    <w:rsid w:val="003766CB"/>
    <w:rsid w:val="00376876"/>
    <w:rsid w:val="00376B3A"/>
    <w:rsid w:val="00376B58"/>
    <w:rsid w:val="0037740B"/>
    <w:rsid w:val="00377BB2"/>
    <w:rsid w:val="00380270"/>
    <w:rsid w:val="00381148"/>
    <w:rsid w:val="003818FE"/>
    <w:rsid w:val="00381A87"/>
    <w:rsid w:val="00381D64"/>
    <w:rsid w:val="00382231"/>
    <w:rsid w:val="00382563"/>
    <w:rsid w:val="003826E4"/>
    <w:rsid w:val="00382DC9"/>
    <w:rsid w:val="00382E05"/>
    <w:rsid w:val="0038344A"/>
    <w:rsid w:val="0038365C"/>
    <w:rsid w:val="0038369B"/>
    <w:rsid w:val="003838FE"/>
    <w:rsid w:val="00383B78"/>
    <w:rsid w:val="00384CB0"/>
    <w:rsid w:val="00385A9D"/>
    <w:rsid w:val="00385EB9"/>
    <w:rsid w:val="00385FE6"/>
    <w:rsid w:val="00386599"/>
    <w:rsid w:val="003869EE"/>
    <w:rsid w:val="00386DDD"/>
    <w:rsid w:val="00387121"/>
    <w:rsid w:val="00387C9F"/>
    <w:rsid w:val="00387F31"/>
    <w:rsid w:val="003902B1"/>
    <w:rsid w:val="00390814"/>
    <w:rsid w:val="00391596"/>
    <w:rsid w:val="0039179C"/>
    <w:rsid w:val="00391C75"/>
    <w:rsid w:val="00391E8C"/>
    <w:rsid w:val="00392260"/>
    <w:rsid w:val="00392B05"/>
    <w:rsid w:val="0039330B"/>
    <w:rsid w:val="0039354D"/>
    <w:rsid w:val="00393622"/>
    <w:rsid w:val="00393CB0"/>
    <w:rsid w:val="00394F49"/>
    <w:rsid w:val="003960EF"/>
    <w:rsid w:val="00396896"/>
    <w:rsid w:val="00396B0E"/>
    <w:rsid w:val="00396FD0"/>
    <w:rsid w:val="0039718A"/>
    <w:rsid w:val="003A067F"/>
    <w:rsid w:val="003A0918"/>
    <w:rsid w:val="003A0BC8"/>
    <w:rsid w:val="003A1A7A"/>
    <w:rsid w:val="003A1C4A"/>
    <w:rsid w:val="003A2392"/>
    <w:rsid w:val="003A2831"/>
    <w:rsid w:val="003A29E6"/>
    <w:rsid w:val="003A2DEB"/>
    <w:rsid w:val="003A3CB6"/>
    <w:rsid w:val="003A3ED1"/>
    <w:rsid w:val="003A3F03"/>
    <w:rsid w:val="003A3FB4"/>
    <w:rsid w:val="003A44DB"/>
    <w:rsid w:val="003A4753"/>
    <w:rsid w:val="003A4C14"/>
    <w:rsid w:val="003A5244"/>
    <w:rsid w:val="003A534F"/>
    <w:rsid w:val="003A5A42"/>
    <w:rsid w:val="003A5DCC"/>
    <w:rsid w:val="003A64F2"/>
    <w:rsid w:val="003A6A37"/>
    <w:rsid w:val="003A726D"/>
    <w:rsid w:val="003A72E6"/>
    <w:rsid w:val="003A731A"/>
    <w:rsid w:val="003A74BD"/>
    <w:rsid w:val="003A7866"/>
    <w:rsid w:val="003A7FE7"/>
    <w:rsid w:val="003B096F"/>
    <w:rsid w:val="003B0A71"/>
    <w:rsid w:val="003B0D60"/>
    <w:rsid w:val="003B0D88"/>
    <w:rsid w:val="003B1074"/>
    <w:rsid w:val="003B12C6"/>
    <w:rsid w:val="003B1EF0"/>
    <w:rsid w:val="003B2577"/>
    <w:rsid w:val="003B3971"/>
    <w:rsid w:val="003B3CE9"/>
    <w:rsid w:val="003B4741"/>
    <w:rsid w:val="003B488A"/>
    <w:rsid w:val="003B55D1"/>
    <w:rsid w:val="003B5B61"/>
    <w:rsid w:val="003B615F"/>
    <w:rsid w:val="003B61C7"/>
    <w:rsid w:val="003B6E3C"/>
    <w:rsid w:val="003B6F8A"/>
    <w:rsid w:val="003C0651"/>
    <w:rsid w:val="003C1654"/>
    <w:rsid w:val="003C2729"/>
    <w:rsid w:val="003C2DDF"/>
    <w:rsid w:val="003C3C93"/>
    <w:rsid w:val="003C46BC"/>
    <w:rsid w:val="003C46F1"/>
    <w:rsid w:val="003C474B"/>
    <w:rsid w:val="003C4C25"/>
    <w:rsid w:val="003C4D97"/>
    <w:rsid w:val="003C4E3C"/>
    <w:rsid w:val="003C518E"/>
    <w:rsid w:val="003C5542"/>
    <w:rsid w:val="003C6F28"/>
    <w:rsid w:val="003C79D3"/>
    <w:rsid w:val="003C7C15"/>
    <w:rsid w:val="003C7CAB"/>
    <w:rsid w:val="003C7D19"/>
    <w:rsid w:val="003C7D2F"/>
    <w:rsid w:val="003C7E36"/>
    <w:rsid w:val="003D0C5A"/>
    <w:rsid w:val="003D0DD8"/>
    <w:rsid w:val="003D0F7D"/>
    <w:rsid w:val="003D110A"/>
    <w:rsid w:val="003D1110"/>
    <w:rsid w:val="003D1707"/>
    <w:rsid w:val="003D1828"/>
    <w:rsid w:val="003D187D"/>
    <w:rsid w:val="003D198D"/>
    <w:rsid w:val="003D1DE4"/>
    <w:rsid w:val="003D1E9A"/>
    <w:rsid w:val="003D2422"/>
    <w:rsid w:val="003D2700"/>
    <w:rsid w:val="003D28E3"/>
    <w:rsid w:val="003D2DA9"/>
    <w:rsid w:val="003D39A1"/>
    <w:rsid w:val="003D3B0F"/>
    <w:rsid w:val="003D3FBF"/>
    <w:rsid w:val="003D4382"/>
    <w:rsid w:val="003D4953"/>
    <w:rsid w:val="003D4A30"/>
    <w:rsid w:val="003D4A88"/>
    <w:rsid w:val="003D5816"/>
    <w:rsid w:val="003D5AFA"/>
    <w:rsid w:val="003D5B6D"/>
    <w:rsid w:val="003D6390"/>
    <w:rsid w:val="003D6858"/>
    <w:rsid w:val="003D6BA6"/>
    <w:rsid w:val="003D6C18"/>
    <w:rsid w:val="003D7452"/>
    <w:rsid w:val="003D747E"/>
    <w:rsid w:val="003D788E"/>
    <w:rsid w:val="003D79BB"/>
    <w:rsid w:val="003D7C98"/>
    <w:rsid w:val="003D7D9D"/>
    <w:rsid w:val="003E0070"/>
    <w:rsid w:val="003E0543"/>
    <w:rsid w:val="003E10B1"/>
    <w:rsid w:val="003E119D"/>
    <w:rsid w:val="003E162E"/>
    <w:rsid w:val="003E2B53"/>
    <w:rsid w:val="003E2E69"/>
    <w:rsid w:val="003E4F0E"/>
    <w:rsid w:val="003E5603"/>
    <w:rsid w:val="003E5828"/>
    <w:rsid w:val="003E6335"/>
    <w:rsid w:val="003E66B3"/>
    <w:rsid w:val="003E67B5"/>
    <w:rsid w:val="003E6E3E"/>
    <w:rsid w:val="003E749E"/>
    <w:rsid w:val="003E7773"/>
    <w:rsid w:val="003F0C9E"/>
    <w:rsid w:val="003F1364"/>
    <w:rsid w:val="003F1851"/>
    <w:rsid w:val="003F19BA"/>
    <w:rsid w:val="003F1AFB"/>
    <w:rsid w:val="003F1CC2"/>
    <w:rsid w:val="003F2777"/>
    <w:rsid w:val="003F3184"/>
    <w:rsid w:val="003F4156"/>
    <w:rsid w:val="003F437B"/>
    <w:rsid w:val="003F52B8"/>
    <w:rsid w:val="003F59CD"/>
    <w:rsid w:val="003F5ADF"/>
    <w:rsid w:val="003F672E"/>
    <w:rsid w:val="003F6A88"/>
    <w:rsid w:val="003F6B55"/>
    <w:rsid w:val="003F775A"/>
    <w:rsid w:val="00400B29"/>
    <w:rsid w:val="00400E40"/>
    <w:rsid w:val="004011B8"/>
    <w:rsid w:val="0040183E"/>
    <w:rsid w:val="0040192F"/>
    <w:rsid w:val="00401D2C"/>
    <w:rsid w:val="00402812"/>
    <w:rsid w:val="00402894"/>
    <w:rsid w:val="00403818"/>
    <w:rsid w:val="0040400F"/>
    <w:rsid w:val="004041C8"/>
    <w:rsid w:val="00404920"/>
    <w:rsid w:val="0040504B"/>
    <w:rsid w:val="004051F1"/>
    <w:rsid w:val="004059F4"/>
    <w:rsid w:val="00405D21"/>
    <w:rsid w:val="004060A2"/>
    <w:rsid w:val="00406641"/>
    <w:rsid w:val="00406865"/>
    <w:rsid w:val="00407166"/>
    <w:rsid w:val="0040727A"/>
    <w:rsid w:val="00407AE5"/>
    <w:rsid w:val="00407FDD"/>
    <w:rsid w:val="00407FE5"/>
    <w:rsid w:val="004101AD"/>
    <w:rsid w:val="004101B0"/>
    <w:rsid w:val="00410326"/>
    <w:rsid w:val="00410708"/>
    <w:rsid w:val="00410B12"/>
    <w:rsid w:val="00410EC7"/>
    <w:rsid w:val="00411745"/>
    <w:rsid w:val="00411B39"/>
    <w:rsid w:val="004127A7"/>
    <w:rsid w:val="00412B9A"/>
    <w:rsid w:val="00412EEF"/>
    <w:rsid w:val="00413160"/>
    <w:rsid w:val="0041396F"/>
    <w:rsid w:val="004139E0"/>
    <w:rsid w:val="00413A1E"/>
    <w:rsid w:val="00414476"/>
    <w:rsid w:val="00414577"/>
    <w:rsid w:val="00414708"/>
    <w:rsid w:val="004147D8"/>
    <w:rsid w:val="00414A31"/>
    <w:rsid w:val="00414C2E"/>
    <w:rsid w:val="00414E30"/>
    <w:rsid w:val="004151CF"/>
    <w:rsid w:val="004154B6"/>
    <w:rsid w:val="00415880"/>
    <w:rsid w:val="00416364"/>
    <w:rsid w:val="0041643D"/>
    <w:rsid w:val="0041684F"/>
    <w:rsid w:val="00416E45"/>
    <w:rsid w:val="00417351"/>
    <w:rsid w:val="00417982"/>
    <w:rsid w:val="00417D1B"/>
    <w:rsid w:val="0042047F"/>
    <w:rsid w:val="004209D0"/>
    <w:rsid w:val="00420AA6"/>
    <w:rsid w:val="00420B9F"/>
    <w:rsid w:val="00420C48"/>
    <w:rsid w:val="00420DE4"/>
    <w:rsid w:val="00421207"/>
    <w:rsid w:val="0042192C"/>
    <w:rsid w:val="00421B10"/>
    <w:rsid w:val="00422260"/>
    <w:rsid w:val="004223BE"/>
    <w:rsid w:val="00422F8E"/>
    <w:rsid w:val="0042312B"/>
    <w:rsid w:val="004232EB"/>
    <w:rsid w:val="004234FC"/>
    <w:rsid w:val="00423DC9"/>
    <w:rsid w:val="0042413F"/>
    <w:rsid w:val="00424301"/>
    <w:rsid w:val="00424D12"/>
    <w:rsid w:val="00424D96"/>
    <w:rsid w:val="00425C02"/>
    <w:rsid w:val="00426797"/>
    <w:rsid w:val="00426CA0"/>
    <w:rsid w:val="0042761D"/>
    <w:rsid w:val="0042784B"/>
    <w:rsid w:val="0043108A"/>
    <w:rsid w:val="00431200"/>
    <w:rsid w:val="00431278"/>
    <w:rsid w:val="004319F8"/>
    <w:rsid w:val="00431E55"/>
    <w:rsid w:val="004321F6"/>
    <w:rsid w:val="00432EE6"/>
    <w:rsid w:val="00432F98"/>
    <w:rsid w:val="00433044"/>
    <w:rsid w:val="00433201"/>
    <w:rsid w:val="0043357B"/>
    <w:rsid w:val="00433712"/>
    <w:rsid w:val="00433ABE"/>
    <w:rsid w:val="00434088"/>
    <w:rsid w:val="00434ADF"/>
    <w:rsid w:val="00435EFD"/>
    <w:rsid w:val="00436428"/>
    <w:rsid w:val="00436532"/>
    <w:rsid w:val="00436DA8"/>
    <w:rsid w:val="00436FDB"/>
    <w:rsid w:val="004370CF"/>
    <w:rsid w:val="004371F5"/>
    <w:rsid w:val="0043758F"/>
    <w:rsid w:val="004375B9"/>
    <w:rsid w:val="004377D0"/>
    <w:rsid w:val="004378D4"/>
    <w:rsid w:val="00437A72"/>
    <w:rsid w:val="004406C0"/>
    <w:rsid w:val="00440A70"/>
    <w:rsid w:val="00440D50"/>
    <w:rsid w:val="00440E37"/>
    <w:rsid w:val="0044111A"/>
    <w:rsid w:val="004411A2"/>
    <w:rsid w:val="00441903"/>
    <w:rsid w:val="004421E3"/>
    <w:rsid w:val="004427E3"/>
    <w:rsid w:val="004428D0"/>
    <w:rsid w:val="00442FFF"/>
    <w:rsid w:val="0044331E"/>
    <w:rsid w:val="00443FD7"/>
    <w:rsid w:val="00444185"/>
    <w:rsid w:val="004443A7"/>
    <w:rsid w:val="0044442C"/>
    <w:rsid w:val="0044487F"/>
    <w:rsid w:val="00445527"/>
    <w:rsid w:val="004456BF"/>
    <w:rsid w:val="004458C7"/>
    <w:rsid w:val="00445941"/>
    <w:rsid w:val="00445BF3"/>
    <w:rsid w:val="00445CB6"/>
    <w:rsid w:val="00446371"/>
    <w:rsid w:val="004464EB"/>
    <w:rsid w:val="00446801"/>
    <w:rsid w:val="00447D26"/>
    <w:rsid w:val="00447DCA"/>
    <w:rsid w:val="00447DFC"/>
    <w:rsid w:val="00450576"/>
    <w:rsid w:val="00450589"/>
    <w:rsid w:val="004509DF"/>
    <w:rsid w:val="00450EF4"/>
    <w:rsid w:val="004512A3"/>
    <w:rsid w:val="00451CF6"/>
    <w:rsid w:val="004525D0"/>
    <w:rsid w:val="004526A6"/>
    <w:rsid w:val="004527E5"/>
    <w:rsid w:val="00453182"/>
    <w:rsid w:val="004532F7"/>
    <w:rsid w:val="00453465"/>
    <w:rsid w:val="00453830"/>
    <w:rsid w:val="00453CCE"/>
    <w:rsid w:val="0045439B"/>
    <w:rsid w:val="00454473"/>
    <w:rsid w:val="004553C1"/>
    <w:rsid w:val="0045578E"/>
    <w:rsid w:val="004559A2"/>
    <w:rsid w:val="00455D45"/>
    <w:rsid w:val="00456024"/>
    <w:rsid w:val="0045644B"/>
    <w:rsid w:val="00456884"/>
    <w:rsid w:val="00456EDA"/>
    <w:rsid w:val="00456F4C"/>
    <w:rsid w:val="00456F84"/>
    <w:rsid w:val="004573F3"/>
    <w:rsid w:val="004574D1"/>
    <w:rsid w:val="00457B55"/>
    <w:rsid w:val="00457D06"/>
    <w:rsid w:val="00460118"/>
    <w:rsid w:val="00460786"/>
    <w:rsid w:val="004612FA"/>
    <w:rsid w:val="00461792"/>
    <w:rsid w:val="00462A6C"/>
    <w:rsid w:val="00462B1D"/>
    <w:rsid w:val="00463B8B"/>
    <w:rsid w:val="00464104"/>
    <w:rsid w:val="004641A1"/>
    <w:rsid w:val="00464595"/>
    <w:rsid w:val="004649CD"/>
    <w:rsid w:val="00464BF3"/>
    <w:rsid w:val="00465378"/>
    <w:rsid w:val="004658B5"/>
    <w:rsid w:val="004675B4"/>
    <w:rsid w:val="0046778E"/>
    <w:rsid w:val="00467C16"/>
    <w:rsid w:val="00467CF8"/>
    <w:rsid w:val="00467D7E"/>
    <w:rsid w:val="00470CA7"/>
    <w:rsid w:val="004713B2"/>
    <w:rsid w:val="00471594"/>
    <w:rsid w:val="00471EA5"/>
    <w:rsid w:val="004724FE"/>
    <w:rsid w:val="00472A79"/>
    <w:rsid w:val="00473169"/>
    <w:rsid w:val="00473F19"/>
    <w:rsid w:val="00474168"/>
    <w:rsid w:val="004744F2"/>
    <w:rsid w:val="00474E03"/>
    <w:rsid w:val="0047504E"/>
    <w:rsid w:val="0047509D"/>
    <w:rsid w:val="00475870"/>
    <w:rsid w:val="00475DE0"/>
    <w:rsid w:val="00475E22"/>
    <w:rsid w:val="00476CD7"/>
    <w:rsid w:val="00476ED1"/>
    <w:rsid w:val="004772F1"/>
    <w:rsid w:val="00480457"/>
    <w:rsid w:val="0048088E"/>
    <w:rsid w:val="00480EAE"/>
    <w:rsid w:val="00480F2B"/>
    <w:rsid w:val="004816DC"/>
    <w:rsid w:val="004818F4"/>
    <w:rsid w:val="00481921"/>
    <w:rsid w:val="004821EC"/>
    <w:rsid w:val="004821F3"/>
    <w:rsid w:val="00482720"/>
    <w:rsid w:val="00482830"/>
    <w:rsid w:val="00482D23"/>
    <w:rsid w:val="00482F10"/>
    <w:rsid w:val="004835E4"/>
    <w:rsid w:val="004835E7"/>
    <w:rsid w:val="00483713"/>
    <w:rsid w:val="0048417F"/>
    <w:rsid w:val="00484545"/>
    <w:rsid w:val="004845F1"/>
    <w:rsid w:val="004859E1"/>
    <w:rsid w:val="00485A76"/>
    <w:rsid w:val="00486488"/>
    <w:rsid w:val="004867E2"/>
    <w:rsid w:val="00487DEF"/>
    <w:rsid w:val="00487FF7"/>
    <w:rsid w:val="004901AA"/>
    <w:rsid w:val="0049042C"/>
    <w:rsid w:val="004904A1"/>
    <w:rsid w:val="00490B17"/>
    <w:rsid w:val="00490C79"/>
    <w:rsid w:val="00490FDA"/>
    <w:rsid w:val="00491598"/>
    <w:rsid w:val="00491B3A"/>
    <w:rsid w:val="00491C7F"/>
    <w:rsid w:val="0049231A"/>
    <w:rsid w:val="00492CFD"/>
    <w:rsid w:val="004933C9"/>
    <w:rsid w:val="004936DC"/>
    <w:rsid w:val="00493772"/>
    <w:rsid w:val="0049382B"/>
    <w:rsid w:val="00494207"/>
    <w:rsid w:val="00494215"/>
    <w:rsid w:val="004945A6"/>
    <w:rsid w:val="0049495F"/>
    <w:rsid w:val="00494A0E"/>
    <w:rsid w:val="00494D09"/>
    <w:rsid w:val="00494DD5"/>
    <w:rsid w:val="0049585D"/>
    <w:rsid w:val="004962D2"/>
    <w:rsid w:val="00496D8C"/>
    <w:rsid w:val="00497388"/>
    <w:rsid w:val="00497898"/>
    <w:rsid w:val="004A0B8B"/>
    <w:rsid w:val="004A0DA1"/>
    <w:rsid w:val="004A1106"/>
    <w:rsid w:val="004A13D6"/>
    <w:rsid w:val="004A2186"/>
    <w:rsid w:val="004A24FD"/>
    <w:rsid w:val="004A2679"/>
    <w:rsid w:val="004A2A41"/>
    <w:rsid w:val="004A30D2"/>
    <w:rsid w:val="004A385D"/>
    <w:rsid w:val="004A52E9"/>
    <w:rsid w:val="004A6040"/>
    <w:rsid w:val="004A6597"/>
    <w:rsid w:val="004A6E94"/>
    <w:rsid w:val="004A7848"/>
    <w:rsid w:val="004A793B"/>
    <w:rsid w:val="004A7E90"/>
    <w:rsid w:val="004B0A9B"/>
    <w:rsid w:val="004B103B"/>
    <w:rsid w:val="004B10E2"/>
    <w:rsid w:val="004B159B"/>
    <w:rsid w:val="004B1BD0"/>
    <w:rsid w:val="004B1C55"/>
    <w:rsid w:val="004B1CB4"/>
    <w:rsid w:val="004B2F18"/>
    <w:rsid w:val="004B35EB"/>
    <w:rsid w:val="004B3B6C"/>
    <w:rsid w:val="004B3DDB"/>
    <w:rsid w:val="004B3E50"/>
    <w:rsid w:val="004B44FD"/>
    <w:rsid w:val="004B476B"/>
    <w:rsid w:val="004B4853"/>
    <w:rsid w:val="004B4869"/>
    <w:rsid w:val="004B515A"/>
    <w:rsid w:val="004B5CFC"/>
    <w:rsid w:val="004B6484"/>
    <w:rsid w:val="004B6C05"/>
    <w:rsid w:val="004B6F79"/>
    <w:rsid w:val="004B774D"/>
    <w:rsid w:val="004B7772"/>
    <w:rsid w:val="004B7924"/>
    <w:rsid w:val="004B7FCB"/>
    <w:rsid w:val="004C03C6"/>
    <w:rsid w:val="004C05B6"/>
    <w:rsid w:val="004C0CE7"/>
    <w:rsid w:val="004C107D"/>
    <w:rsid w:val="004C1175"/>
    <w:rsid w:val="004C1476"/>
    <w:rsid w:val="004C1F1B"/>
    <w:rsid w:val="004C2AC2"/>
    <w:rsid w:val="004C3B96"/>
    <w:rsid w:val="004C40EB"/>
    <w:rsid w:val="004C4AED"/>
    <w:rsid w:val="004C4EF2"/>
    <w:rsid w:val="004C503C"/>
    <w:rsid w:val="004C629D"/>
    <w:rsid w:val="004C6B19"/>
    <w:rsid w:val="004C7944"/>
    <w:rsid w:val="004D0E16"/>
    <w:rsid w:val="004D10CD"/>
    <w:rsid w:val="004D1BE2"/>
    <w:rsid w:val="004D1E7A"/>
    <w:rsid w:val="004D1F48"/>
    <w:rsid w:val="004D249E"/>
    <w:rsid w:val="004D2C2D"/>
    <w:rsid w:val="004D3040"/>
    <w:rsid w:val="004D417C"/>
    <w:rsid w:val="004D41B6"/>
    <w:rsid w:val="004D49A8"/>
    <w:rsid w:val="004D4E11"/>
    <w:rsid w:val="004D5314"/>
    <w:rsid w:val="004D534F"/>
    <w:rsid w:val="004D5989"/>
    <w:rsid w:val="004D69B5"/>
    <w:rsid w:val="004D703A"/>
    <w:rsid w:val="004D7227"/>
    <w:rsid w:val="004D7A2B"/>
    <w:rsid w:val="004D7B5E"/>
    <w:rsid w:val="004D7E50"/>
    <w:rsid w:val="004E096A"/>
    <w:rsid w:val="004E0E7F"/>
    <w:rsid w:val="004E0EB8"/>
    <w:rsid w:val="004E18E9"/>
    <w:rsid w:val="004E2370"/>
    <w:rsid w:val="004E2ADC"/>
    <w:rsid w:val="004E3454"/>
    <w:rsid w:val="004E43B2"/>
    <w:rsid w:val="004E456E"/>
    <w:rsid w:val="004E458E"/>
    <w:rsid w:val="004E4880"/>
    <w:rsid w:val="004E684A"/>
    <w:rsid w:val="004E6E71"/>
    <w:rsid w:val="004E71F2"/>
    <w:rsid w:val="004E7398"/>
    <w:rsid w:val="004E7B25"/>
    <w:rsid w:val="004F0115"/>
    <w:rsid w:val="004F055E"/>
    <w:rsid w:val="004F0F48"/>
    <w:rsid w:val="004F1D02"/>
    <w:rsid w:val="004F1ED0"/>
    <w:rsid w:val="004F2143"/>
    <w:rsid w:val="004F22DD"/>
    <w:rsid w:val="004F2679"/>
    <w:rsid w:val="004F2F21"/>
    <w:rsid w:val="004F3DE5"/>
    <w:rsid w:val="004F3E8D"/>
    <w:rsid w:val="004F4125"/>
    <w:rsid w:val="004F4158"/>
    <w:rsid w:val="004F438C"/>
    <w:rsid w:val="004F50DC"/>
    <w:rsid w:val="004F5730"/>
    <w:rsid w:val="004F60D6"/>
    <w:rsid w:val="004F619D"/>
    <w:rsid w:val="004F6913"/>
    <w:rsid w:val="004F7865"/>
    <w:rsid w:val="004F7CBD"/>
    <w:rsid w:val="004F7F4C"/>
    <w:rsid w:val="005002A6"/>
    <w:rsid w:val="00500B49"/>
    <w:rsid w:val="0050118C"/>
    <w:rsid w:val="005012A2"/>
    <w:rsid w:val="005012D0"/>
    <w:rsid w:val="0050174E"/>
    <w:rsid w:val="005017A1"/>
    <w:rsid w:val="00501854"/>
    <w:rsid w:val="00501A1A"/>
    <w:rsid w:val="00501A2A"/>
    <w:rsid w:val="0050219B"/>
    <w:rsid w:val="0050224F"/>
    <w:rsid w:val="00502610"/>
    <w:rsid w:val="00502CFE"/>
    <w:rsid w:val="00503490"/>
    <w:rsid w:val="00503C1B"/>
    <w:rsid w:val="00503F17"/>
    <w:rsid w:val="00503F3A"/>
    <w:rsid w:val="0050444C"/>
    <w:rsid w:val="00506229"/>
    <w:rsid w:val="00506928"/>
    <w:rsid w:val="00506C2F"/>
    <w:rsid w:val="00506E7F"/>
    <w:rsid w:val="005072DD"/>
    <w:rsid w:val="005077EF"/>
    <w:rsid w:val="005079D0"/>
    <w:rsid w:val="00507F79"/>
    <w:rsid w:val="00507F91"/>
    <w:rsid w:val="0051005C"/>
    <w:rsid w:val="00510B9E"/>
    <w:rsid w:val="005110CD"/>
    <w:rsid w:val="005113A8"/>
    <w:rsid w:val="005113B4"/>
    <w:rsid w:val="00511542"/>
    <w:rsid w:val="00511AD5"/>
    <w:rsid w:val="00511DC7"/>
    <w:rsid w:val="00512CA1"/>
    <w:rsid w:val="00512CCF"/>
    <w:rsid w:val="00512EC9"/>
    <w:rsid w:val="00513235"/>
    <w:rsid w:val="005134E4"/>
    <w:rsid w:val="0051356D"/>
    <w:rsid w:val="0051408A"/>
    <w:rsid w:val="005142C5"/>
    <w:rsid w:val="00514C12"/>
    <w:rsid w:val="00514CA8"/>
    <w:rsid w:val="00514D2E"/>
    <w:rsid w:val="00514E5F"/>
    <w:rsid w:val="0051501B"/>
    <w:rsid w:val="005152B5"/>
    <w:rsid w:val="005153E8"/>
    <w:rsid w:val="00515886"/>
    <w:rsid w:val="00515ABE"/>
    <w:rsid w:val="00515EF2"/>
    <w:rsid w:val="00516326"/>
    <w:rsid w:val="0051644E"/>
    <w:rsid w:val="0051678E"/>
    <w:rsid w:val="00516E25"/>
    <w:rsid w:val="00516FA5"/>
    <w:rsid w:val="00517AA4"/>
    <w:rsid w:val="00517EAD"/>
    <w:rsid w:val="0052083D"/>
    <w:rsid w:val="00521044"/>
    <w:rsid w:val="005211AA"/>
    <w:rsid w:val="0052123C"/>
    <w:rsid w:val="00521319"/>
    <w:rsid w:val="00522BC8"/>
    <w:rsid w:val="00522D2F"/>
    <w:rsid w:val="00522E8A"/>
    <w:rsid w:val="00522E90"/>
    <w:rsid w:val="00522FFA"/>
    <w:rsid w:val="005238FA"/>
    <w:rsid w:val="00523C28"/>
    <w:rsid w:val="00523E3C"/>
    <w:rsid w:val="0052428D"/>
    <w:rsid w:val="005244BE"/>
    <w:rsid w:val="00524A6A"/>
    <w:rsid w:val="00526134"/>
    <w:rsid w:val="00527065"/>
    <w:rsid w:val="00527E00"/>
    <w:rsid w:val="005305EE"/>
    <w:rsid w:val="0053072A"/>
    <w:rsid w:val="00530B79"/>
    <w:rsid w:val="00530DA3"/>
    <w:rsid w:val="005312C4"/>
    <w:rsid w:val="005315A2"/>
    <w:rsid w:val="0053176B"/>
    <w:rsid w:val="00531967"/>
    <w:rsid w:val="005319EB"/>
    <w:rsid w:val="0053207A"/>
    <w:rsid w:val="00532C22"/>
    <w:rsid w:val="00533018"/>
    <w:rsid w:val="0053326F"/>
    <w:rsid w:val="00533380"/>
    <w:rsid w:val="0053395E"/>
    <w:rsid w:val="005341B3"/>
    <w:rsid w:val="00534D13"/>
    <w:rsid w:val="00535399"/>
    <w:rsid w:val="00535A4A"/>
    <w:rsid w:val="00536457"/>
    <w:rsid w:val="00536939"/>
    <w:rsid w:val="00536DE7"/>
    <w:rsid w:val="00536F42"/>
    <w:rsid w:val="00537182"/>
    <w:rsid w:val="00537606"/>
    <w:rsid w:val="00537B41"/>
    <w:rsid w:val="00537C85"/>
    <w:rsid w:val="00537EA2"/>
    <w:rsid w:val="0054024F"/>
    <w:rsid w:val="0054053F"/>
    <w:rsid w:val="00540E22"/>
    <w:rsid w:val="005413B7"/>
    <w:rsid w:val="00541EDD"/>
    <w:rsid w:val="00542220"/>
    <w:rsid w:val="005422FA"/>
    <w:rsid w:val="0054239D"/>
    <w:rsid w:val="00542743"/>
    <w:rsid w:val="00542C2D"/>
    <w:rsid w:val="005434DD"/>
    <w:rsid w:val="005439CA"/>
    <w:rsid w:val="00543EA6"/>
    <w:rsid w:val="0054431D"/>
    <w:rsid w:val="0054479D"/>
    <w:rsid w:val="00544906"/>
    <w:rsid w:val="00544CC2"/>
    <w:rsid w:val="00545D2B"/>
    <w:rsid w:val="005462E8"/>
    <w:rsid w:val="005474FE"/>
    <w:rsid w:val="005477CB"/>
    <w:rsid w:val="005478A5"/>
    <w:rsid w:val="005478BD"/>
    <w:rsid w:val="005479E3"/>
    <w:rsid w:val="0055180C"/>
    <w:rsid w:val="00551985"/>
    <w:rsid w:val="00551F63"/>
    <w:rsid w:val="00552BD3"/>
    <w:rsid w:val="005532A0"/>
    <w:rsid w:val="0055370B"/>
    <w:rsid w:val="005538E1"/>
    <w:rsid w:val="00553C91"/>
    <w:rsid w:val="00554929"/>
    <w:rsid w:val="00554DEB"/>
    <w:rsid w:val="00555109"/>
    <w:rsid w:val="0055538C"/>
    <w:rsid w:val="0055611A"/>
    <w:rsid w:val="005563CF"/>
    <w:rsid w:val="005564E4"/>
    <w:rsid w:val="00556B35"/>
    <w:rsid w:val="0055741A"/>
    <w:rsid w:val="005577B7"/>
    <w:rsid w:val="0055791B"/>
    <w:rsid w:val="00557E4A"/>
    <w:rsid w:val="00560FBB"/>
    <w:rsid w:val="005611B7"/>
    <w:rsid w:val="005618D4"/>
    <w:rsid w:val="00561D35"/>
    <w:rsid w:val="00562BF1"/>
    <w:rsid w:val="00562DFA"/>
    <w:rsid w:val="00563B31"/>
    <w:rsid w:val="00564100"/>
    <w:rsid w:val="00564867"/>
    <w:rsid w:val="005653EF"/>
    <w:rsid w:val="00565B08"/>
    <w:rsid w:val="00565C79"/>
    <w:rsid w:val="00565DF0"/>
    <w:rsid w:val="005660C8"/>
    <w:rsid w:val="005665D6"/>
    <w:rsid w:val="0056696F"/>
    <w:rsid w:val="005672B0"/>
    <w:rsid w:val="00567670"/>
    <w:rsid w:val="00567A14"/>
    <w:rsid w:val="0057046B"/>
    <w:rsid w:val="00570551"/>
    <w:rsid w:val="00571246"/>
    <w:rsid w:val="005713F9"/>
    <w:rsid w:val="00572269"/>
    <w:rsid w:val="0057244A"/>
    <w:rsid w:val="005724DE"/>
    <w:rsid w:val="00572F26"/>
    <w:rsid w:val="005732B0"/>
    <w:rsid w:val="0057334A"/>
    <w:rsid w:val="00573D8A"/>
    <w:rsid w:val="00573DED"/>
    <w:rsid w:val="00573ED3"/>
    <w:rsid w:val="00574426"/>
    <w:rsid w:val="005744D0"/>
    <w:rsid w:val="00574AAF"/>
    <w:rsid w:val="00574FF7"/>
    <w:rsid w:val="005750C5"/>
    <w:rsid w:val="005752DE"/>
    <w:rsid w:val="005759F4"/>
    <w:rsid w:val="00575D60"/>
    <w:rsid w:val="00575D8D"/>
    <w:rsid w:val="005760EB"/>
    <w:rsid w:val="0057612A"/>
    <w:rsid w:val="00576972"/>
    <w:rsid w:val="00577248"/>
    <w:rsid w:val="00577942"/>
    <w:rsid w:val="00580113"/>
    <w:rsid w:val="00580392"/>
    <w:rsid w:val="005807F0"/>
    <w:rsid w:val="00580866"/>
    <w:rsid w:val="00580988"/>
    <w:rsid w:val="00581033"/>
    <w:rsid w:val="005811BD"/>
    <w:rsid w:val="005818CB"/>
    <w:rsid w:val="00581A8B"/>
    <w:rsid w:val="005827CD"/>
    <w:rsid w:val="00582D9C"/>
    <w:rsid w:val="005833A8"/>
    <w:rsid w:val="00583699"/>
    <w:rsid w:val="0058430D"/>
    <w:rsid w:val="00585A71"/>
    <w:rsid w:val="00585CDD"/>
    <w:rsid w:val="0058610A"/>
    <w:rsid w:val="00586515"/>
    <w:rsid w:val="005868E1"/>
    <w:rsid w:val="00587058"/>
    <w:rsid w:val="005873D1"/>
    <w:rsid w:val="00587ABA"/>
    <w:rsid w:val="00587CE1"/>
    <w:rsid w:val="00590C67"/>
    <w:rsid w:val="00590CEB"/>
    <w:rsid w:val="0059133D"/>
    <w:rsid w:val="00591957"/>
    <w:rsid w:val="00592332"/>
    <w:rsid w:val="00593E3A"/>
    <w:rsid w:val="00594491"/>
    <w:rsid w:val="0059477D"/>
    <w:rsid w:val="0059511B"/>
    <w:rsid w:val="005955D3"/>
    <w:rsid w:val="005958DD"/>
    <w:rsid w:val="005960D4"/>
    <w:rsid w:val="005960F8"/>
    <w:rsid w:val="005967AE"/>
    <w:rsid w:val="0059693B"/>
    <w:rsid w:val="00597BF9"/>
    <w:rsid w:val="00597F44"/>
    <w:rsid w:val="005A00AE"/>
    <w:rsid w:val="005A0566"/>
    <w:rsid w:val="005A0836"/>
    <w:rsid w:val="005A0C11"/>
    <w:rsid w:val="005A0D55"/>
    <w:rsid w:val="005A1354"/>
    <w:rsid w:val="005A17FC"/>
    <w:rsid w:val="005A1A5D"/>
    <w:rsid w:val="005A1B7D"/>
    <w:rsid w:val="005A215E"/>
    <w:rsid w:val="005A2934"/>
    <w:rsid w:val="005A309A"/>
    <w:rsid w:val="005A35FB"/>
    <w:rsid w:val="005A373D"/>
    <w:rsid w:val="005A3B40"/>
    <w:rsid w:val="005A3F23"/>
    <w:rsid w:val="005A4967"/>
    <w:rsid w:val="005A5BC5"/>
    <w:rsid w:val="005A5D0E"/>
    <w:rsid w:val="005A6B42"/>
    <w:rsid w:val="005A77DB"/>
    <w:rsid w:val="005B00D8"/>
    <w:rsid w:val="005B0B58"/>
    <w:rsid w:val="005B16CC"/>
    <w:rsid w:val="005B1820"/>
    <w:rsid w:val="005B1BDC"/>
    <w:rsid w:val="005B240C"/>
    <w:rsid w:val="005B279A"/>
    <w:rsid w:val="005B33D1"/>
    <w:rsid w:val="005B3538"/>
    <w:rsid w:val="005B369A"/>
    <w:rsid w:val="005B3AA1"/>
    <w:rsid w:val="005B4233"/>
    <w:rsid w:val="005B4287"/>
    <w:rsid w:val="005B4A5C"/>
    <w:rsid w:val="005B4C3C"/>
    <w:rsid w:val="005B4E53"/>
    <w:rsid w:val="005B5857"/>
    <w:rsid w:val="005B61F1"/>
    <w:rsid w:val="005B6708"/>
    <w:rsid w:val="005B6A6A"/>
    <w:rsid w:val="005B6D53"/>
    <w:rsid w:val="005B6D89"/>
    <w:rsid w:val="005C091E"/>
    <w:rsid w:val="005C19C4"/>
    <w:rsid w:val="005C1B83"/>
    <w:rsid w:val="005C1C1E"/>
    <w:rsid w:val="005C215B"/>
    <w:rsid w:val="005C25FF"/>
    <w:rsid w:val="005C2B45"/>
    <w:rsid w:val="005C2D55"/>
    <w:rsid w:val="005C346B"/>
    <w:rsid w:val="005C35B2"/>
    <w:rsid w:val="005C44D8"/>
    <w:rsid w:val="005C459E"/>
    <w:rsid w:val="005C5092"/>
    <w:rsid w:val="005C53EF"/>
    <w:rsid w:val="005C5400"/>
    <w:rsid w:val="005C54CF"/>
    <w:rsid w:val="005C5ABC"/>
    <w:rsid w:val="005C67DB"/>
    <w:rsid w:val="005C6ECB"/>
    <w:rsid w:val="005C73E8"/>
    <w:rsid w:val="005C7F0C"/>
    <w:rsid w:val="005D0009"/>
    <w:rsid w:val="005D044D"/>
    <w:rsid w:val="005D0ABD"/>
    <w:rsid w:val="005D13D4"/>
    <w:rsid w:val="005D1403"/>
    <w:rsid w:val="005D1549"/>
    <w:rsid w:val="005D15DF"/>
    <w:rsid w:val="005D1619"/>
    <w:rsid w:val="005D1852"/>
    <w:rsid w:val="005D18AD"/>
    <w:rsid w:val="005D1DA9"/>
    <w:rsid w:val="005D2022"/>
    <w:rsid w:val="005D26B4"/>
    <w:rsid w:val="005D2839"/>
    <w:rsid w:val="005D2F6E"/>
    <w:rsid w:val="005D3554"/>
    <w:rsid w:val="005D38DF"/>
    <w:rsid w:val="005D3B3B"/>
    <w:rsid w:val="005D3D94"/>
    <w:rsid w:val="005D42C3"/>
    <w:rsid w:val="005D55ED"/>
    <w:rsid w:val="005D5B48"/>
    <w:rsid w:val="005D6334"/>
    <w:rsid w:val="005D6B22"/>
    <w:rsid w:val="005D7123"/>
    <w:rsid w:val="005D74C8"/>
    <w:rsid w:val="005D7790"/>
    <w:rsid w:val="005D79A6"/>
    <w:rsid w:val="005D7D46"/>
    <w:rsid w:val="005E08CB"/>
    <w:rsid w:val="005E0C17"/>
    <w:rsid w:val="005E183B"/>
    <w:rsid w:val="005E197A"/>
    <w:rsid w:val="005E1995"/>
    <w:rsid w:val="005E19DA"/>
    <w:rsid w:val="005E1C88"/>
    <w:rsid w:val="005E2020"/>
    <w:rsid w:val="005E26D5"/>
    <w:rsid w:val="005E3358"/>
    <w:rsid w:val="005E367F"/>
    <w:rsid w:val="005E3901"/>
    <w:rsid w:val="005E3A42"/>
    <w:rsid w:val="005E3F88"/>
    <w:rsid w:val="005E4835"/>
    <w:rsid w:val="005E4E9F"/>
    <w:rsid w:val="005E5641"/>
    <w:rsid w:val="005E58FD"/>
    <w:rsid w:val="005E63FB"/>
    <w:rsid w:val="005E6CBC"/>
    <w:rsid w:val="005E6CE0"/>
    <w:rsid w:val="005E72FF"/>
    <w:rsid w:val="005E73C0"/>
    <w:rsid w:val="005E7586"/>
    <w:rsid w:val="005F02AD"/>
    <w:rsid w:val="005F07ED"/>
    <w:rsid w:val="005F17C6"/>
    <w:rsid w:val="005F1DE5"/>
    <w:rsid w:val="005F2706"/>
    <w:rsid w:val="005F3228"/>
    <w:rsid w:val="005F37B2"/>
    <w:rsid w:val="005F4186"/>
    <w:rsid w:val="005F559F"/>
    <w:rsid w:val="005F56BE"/>
    <w:rsid w:val="005F5F63"/>
    <w:rsid w:val="005F6A8F"/>
    <w:rsid w:val="005F6BB7"/>
    <w:rsid w:val="005F7588"/>
    <w:rsid w:val="005F7861"/>
    <w:rsid w:val="005F7B6E"/>
    <w:rsid w:val="005F7E26"/>
    <w:rsid w:val="005F7EB6"/>
    <w:rsid w:val="005F7F13"/>
    <w:rsid w:val="006000AD"/>
    <w:rsid w:val="0060029C"/>
    <w:rsid w:val="0060144B"/>
    <w:rsid w:val="006014B1"/>
    <w:rsid w:val="006019CE"/>
    <w:rsid w:val="00601CC7"/>
    <w:rsid w:val="006021BB"/>
    <w:rsid w:val="006027A9"/>
    <w:rsid w:val="00602815"/>
    <w:rsid w:val="006039A6"/>
    <w:rsid w:val="00603DB9"/>
    <w:rsid w:val="00604331"/>
    <w:rsid w:val="006048A5"/>
    <w:rsid w:val="0060490E"/>
    <w:rsid w:val="00604BCA"/>
    <w:rsid w:val="00604DCD"/>
    <w:rsid w:val="00605E37"/>
    <w:rsid w:val="00605F8D"/>
    <w:rsid w:val="00606519"/>
    <w:rsid w:val="00606ED3"/>
    <w:rsid w:val="00606FBA"/>
    <w:rsid w:val="0060709A"/>
    <w:rsid w:val="006074C8"/>
    <w:rsid w:val="00607669"/>
    <w:rsid w:val="006076B2"/>
    <w:rsid w:val="006076F1"/>
    <w:rsid w:val="006076F4"/>
    <w:rsid w:val="00607AA7"/>
    <w:rsid w:val="00607AFD"/>
    <w:rsid w:val="00607DC3"/>
    <w:rsid w:val="00607F59"/>
    <w:rsid w:val="006105A9"/>
    <w:rsid w:val="00610B56"/>
    <w:rsid w:val="00611B12"/>
    <w:rsid w:val="0061283B"/>
    <w:rsid w:val="00612C7A"/>
    <w:rsid w:val="00612F97"/>
    <w:rsid w:val="0061345D"/>
    <w:rsid w:val="0061416C"/>
    <w:rsid w:val="006147B1"/>
    <w:rsid w:val="00614A71"/>
    <w:rsid w:val="00614A83"/>
    <w:rsid w:val="00615401"/>
    <w:rsid w:val="0061549B"/>
    <w:rsid w:val="00615D02"/>
    <w:rsid w:val="00616802"/>
    <w:rsid w:val="00616A96"/>
    <w:rsid w:val="00616CF5"/>
    <w:rsid w:val="006178FE"/>
    <w:rsid w:val="00617E12"/>
    <w:rsid w:val="0062048D"/>
    <w:rsid w:val="0062057A"/>
    <w:rsid w:val="00620C25"/>
    <w:rsid w:val="00621477"/>
    <w:rsid w:val="006214B7"/>
    <w:rsid w:val="00621ADA"/>
    <w:rsid w:val="00622665"/>
    <w:rsid w:val="00622ECD"/>
    <w:rsid w:val="006237FB"/>
    <w:rsid w:val="00623F6E"/>
    <w:rsid w:val="00623F7B"/>
    <w:rsid w:val="00624BD4"/>
    <w:rsid w:val="00624E9A"/>
    <w:rsid w:val="00625C7B"/>
    <w:rsid w:val="00625D46"/>
    <w:rsid w:val="00626222"/>
    <w:rsid w:val="006262CF"/>
    <w:rsid w:val="0062752E"/>
    <w:rsid w:val="00627927"/>
    <w:rsid w:val="00627B59"/>
    <w:rsid w:val="00627F14"/>
    <w:rsid w:val="006307A8"/>
    <w:rsid w:val="00631243"/>
    <w:rsid w:val="0063158F"/>
    <w:rsid w:val="006319EB"/>
    <w:rsid w:val="00631D6B"/>
    <w:rsid w:val="00632183"/>
    <w:rsid w:val="00632303"/>
    <w:rsid w:val="00632553"/>
    <w:rsid w:val="006330A1"/>
    <w:rsid w:val="006330FF"/>
    <w:rsid w:val="00633FBC"/>
    <w:rsid w:val="0063444A"/>
    <w:rsid w:val="0063479F"/>
    <w:rsid w:val="00634E78"/>
    <w:rsid w:val="00634F13"/>
    <w:rsid w:val="006353F0"/>
    <w:rsid w:val="006357B5"/>
    <w:rsid w:val="006364A1"/>
    <w:rsid w:val="0063678E"/>
    <w:rsid w:val="0063695E"/>
    <w:rsid w:val="00636B29"/>
    <w:rsid w:val="00636DDF"/>
    <w:rsid w:val="00636F57"/>
    <w:rsid w:val="006376C0"/>
    <w:rsid w:val="00637A57"/>
    <w:rsid w:val="00637BFD"/>
    <w:rsid w:val="00637C5C"/>
    <w:rsid w:val="00637CB0"/>
    <w:rsid w:val="00640270"/>
    <w:rsid w:val="006404F6"/>
    <w:rsid w:val="00640841"/>
    <w:rsid w:val="00640ADC"/>
    <w:rsid w:val="00640CF0"/>
    <w:rsid w:val="006411CC"/>
    <w:rsid w:val="00641836"/>
    <w:rsid w:val="0064187F"/>
    <w:rsid w:val="0064195A"/>
    <w:rsid w:val="00641C4E"/>
    <w:rsid w:val="00641D97"/>
    <w:rsid w:val="00641FB3"/>
    <w:rsid w:val="0064235F"/>
    <w:rsid w:val="00642563"/>
    <w:rsid w:val="0064260E"/>
    <w:rsid w:val="00642B3F"/>
    <w:rsid w:val="00642E95"/>
    <w:rsid w:val="00643047"/>
    <w:rsid w:val="006437C8"/>
    <w:rsid w:val="00643F92"/>
    <w:rsid w:val="0064434C"/>
    <w:rsid w:val="006451F3"/>
    <w:rsid w:val="006452A7"/>
    <w:rsid w:val="00646C4D"/>
    <w:rsid w:val="006471CC"/>
    <w:rsid w:val="006472FE"/>
    <w:rsid w:val="006478A6"/>
    <w:rsid w:val="00647A29"/>
    <w:rsid w:val="00647B48"/>
    <w:rsid w:val="00647B6E"/>
    <w:rsid w:val="00650473"/>
    <w:rsid w:val="0065079F"/>
    <w:rsid w:val="00651BCA"/>
    <w:rsid w:val="00651E97"/>
    <w:rsid w:val="00651F04"/>
    <w:rsid w:val="0065236C"/>
    <w:rsid w:val="00652383"/>
    <w:rsid w:val="0065273C"/>
    <w:rsid w:val="00652A28"/>
    <w:rsid w:val="00652C9F"/>
    <w:rsid w:val="00652CCB"/>
    <w:rsid w:val="00652FEA"/>
    <w:rsid w:val="00653205"/>
    <w:rsid w:val="0065379F"/>
    <w:rsid w:val="00653805"/>
    <w:rsid w:val="0065398E"/>
    <w:rsid w:val="00653F64"/>
    <w:rsid w:val="0065416E"/>
    <w:rsid w:val="00654789"/>
    <w:rsid w:val="00654801"/>
    <w:rsid w:val="0065494E"/>
    <w:rsid w:val="00654AB5"/>
    <w:rsid w:val="00654ACE"/>
    <w:rsid w:val="0065542F"/>
    <w:rsid w:val="0065566A"/>
    <w:rsid w:val="00656188"/>
    <w:rsid w:val="00656414"/>
    <w:rsid w:val="00657130"/>
    <w:rsid w:val="0065715A"/>
    <w:rsid w:val="00657A20"/>
    <w:rsid w:val="00657D99"/>
    <w:rsid w:val="006610F1"/>
    <w:rsid w:val="006614C8"/>
    <w:rsid w:val="00661C6B"/>
    <w:rsid w:val="00662616"/>
    <w:rsid w:val="00662733"/>
    <w:rsid w:val="00662D3E"/>
    <w:rsid w:val="00662ED7"/>
    <w:rsid w:val="006632AA"/>
    <w:rsid w:val="00663397"/>
    <w:rsid w:val="00663ACC"/>
    <w:rsid w:val="006647EF"/>
    <w:rsid w:val="00664E63"/>
    <w:rsid w:val="00664EAB"/>
    <w:rsid w:val="00664F91"/>
    <w:rsid w:val="00665BBD"/>
    <w:rsid w:val="00665FEF"/>
    <w:rsid w:val="00666202"/>
    <w:rsid w:val="00666530"/>
    <w:rsid w:val="00666C32"/>
    <w:rsid w:val="00667632"/>
    <w:rsid w:val="00667AA3"/>
    <w:rsid w:val="00667BE3"/>
    <w:rsid w:val="00667FFC"/>
    <w:rsid w:val="00670810"/>
    <w:rsid w:val="00671004"/>
    <w:rsid w:val="00671377"/>
    <w:rsid w:val="006717BC"/>
    <w:rsid w:val="00671F1B"/>
    <w:rsid w:val="006722B0"/>
    <w:rsid w:val="006725DD"/>
    <w:rsid w:val="00672646"/>
    <w:rsid w:val="00673393"/>
    <w:rsid w:val="0067397C"/>
    <w:rsid w:val="00673F65"/>
    <w:rsid w:val="00674794"/>
    <w:rsid w:val="00674BEB"/>
    <w:rsid w:val="00674DA3"/>
    <w:rsid w:val="00674E42"/>
    <w:rsid w:val="0067525F"/>
    <w:rsid w:val="006755F9"/>
    <w:rsid w:val="00675CAE"/>
    <w:rsid w:val="00675E2D"/>
    <w:rsid w:val="00675E8D"/>
    <w:rsid w:val="00676563"/>
    <w:rsid w:val="00676572"/>
    <w:rsid w:val="00676A6A"/>
    <w:rsid w:val="00676AEE"/>
    <w:rsid w:val="006771D4"/>
    <w:rsid w:val="0067766B"/>
    <w:rsid w:val="0067774E"/>
    <w:rsid w:val="00680091"/>
    <w:rsid w:val="006800B0"/>
    <w:rsid w:val="00680EA8"/>
    <w:rsid w:val="006813F8"/>
    <w:rsid w:val="0068158E"/>
    <w:rsid w:val="00681E74"/>
    <w:rsid w:val="00682112"/>
    <w:rsid w:val="00682BA6"/>
    <w:rsid w:val="00682FDB"/>
    <w:rsid w:val="0068312F"/>
    <w:rsid w:val="00683281"/>
    <w:rsid w:val="006834A6"/>
    <w:rsid w:val="00684100"/>
    <w:rsid w:val="00684A04"/>
    <w:rsid w:val="00684FCD"/>
    <w:rsid w:val="00686413"/>
    <w:rsid w:val="00686957"/>
    <w:rsid w:val="006872BA"/>
    <w:rsid w:val="006879AE"/>
    <w:rsid w:val="00690250"/>
    <w:rsid w:val="00690795"/>
    <w:rsid w:val="00690B8E"/>
    <w:rsid w:val="00690E85"/>
    <w:rsid w:val="00691648"/>
    <w:rsid w:val="006917D7"/>
    <w:rsid w:val="00693218"/>
    <w:rsid w:val="0069434C"/>
    <w:rsid w:val="00694F44"/>
    <w:rsid w:val="00695411"/>
    <w:rsid w:val="006956DA"/>
    <w:rsid w:val="006963E5"/>
    <w:rsid w:val="00696EF9"/>
    <w:rsid w:val="00696F51"/>
    <w:rsid w:val="006979A5"/>
    <w:rsid w:val="006A016F"/>
    <w:rsid w:val="006A0423"/>
    <w:rsid w:val="006A0680"/>
    <w:rsid w:val="006A0924"/>
    <w:rsid w:val="006A0AA6"/>
    <w:rsid w:val="006A0DF7"/>
    <w:rsid w:val="006A10EF"/>
    <w:rsid w:val="006A1862"/>
    <w:rsid w:val="006A1D2A"/>
    <w:rsid w:val="006A2425"/>
    <w:rsid w:val="006A2639"/>
    <w:rsid w:val="006A28AC"/>
    <w:rsid w:val="006A2D26"/>
    <w:rsid w:val="006A4321"/>
    <w:rsid w:val="006A43D9"/>
    <w:rsid w:val="006A4604"/>
    <w:rsid w:val="006A4E47"/>
    <w:rsid w:val="006A5643"/>
    <w:rsid w:val="006A5840"/>
    <w:rsid w:val="006A6819"/>
    <w:rsid w:val="006A6B99"/>
    <w:rsid w:val="006A6D43"/>
    <w:rsid w:val="006A7A8B"/>
    <w:rsid w:val="006A7D5B"/>
    <w:rsid w:val="006A7E5F"/>
    <w:rsid w:val="006B0586"/>
    <w:rsid w:val="006B0DFE"/>
    <w:rsid w:val="006B1539"/>
    <w:rsid w:val="006B182C"/>
    <w:rsid w:val="006B1831"/>
    <w:rsid w:val="006B1A87"/>
    <w:rsid w:val="006B1B69"/>
    <w:rsid w:val="006B1D12"/>
    <w:rsid w:val="006B261B"/>
    <w:rsid w:val="006B2C90"/>
    <w:rsid w:val="006B35E6"/>
    <w:rsid w:val="006B39DD"/>
    <w:rsid w:val="006B3C7D"/>
    <w:rsid w:val="006B424B"/>
    <w:rsid w:val="006B465A"/>
    <w:rsid w:val="006B46AC"/>
    <w:rsid w:val="006B504D"/>
    <w:rsid w:val="006B57B1"/>
    <w:rsid w:val="006B6DD0"/>
    <w:rsid w:val="006B7DF6"/>
    <w:rsid w:val="006C0399"/>
    <w:rsid w:val="006C1076"/>
    <w:rsid w:val="006C239E"/>
    <w:rsid w:val="006C2A8E"/>
    <w:rsid w:val="006C2EDE"/>
    <w:rsid w:val="006C3255"/>
    <w:rsid w:val="006C3F26"/>
    <w:rsid w:val="006C41CD"/>
    <w:rsid w:val="006C4484"/>
    <w:rsid w:val="006C45E5"/>
    <w:rsid w:val="006C49E4"/>
    <w:rsid w:val="006C4E14"/>
    <w:rsid w:val="006C5978"/>
    <w:rsid w:val="006C597E"/>
    <w:rsid w:val="006C6437"/>
    <w:rsid w:val="006C644E"/>
    <w:rsid w:val="006C6CCE"/>
    <w:rsid w:val="006C70B0"/>
    <w:rsid w:val="006C77A4"/>
    <w:rsid w:val="006C7C36"/>
    <w:rsid w:val="006D06FA"/>
    <w:rsid w:val="006D076B"/>
    <w:rsid w:val="006D0D17"/>
    <w:rsid w:val="006D15DE"/>
    <w:rsid w:val="006D3A90"/>
    <w:rsid w:val="006D3C7D"/>
    <w:rsid w:val="006D4101"/>
    <w:rsid w:val="006D4114"/>
    <w:rsid w:val="006D4626"/>
    <w:rsid w:val="006D4659"/>
    <w:rsid w:val="006D47ED"/>
    <w:rsid w:val="006D4F83"/>
    <w:rsid w:val="006D52B4"/>
    <w:rsid w:val="006D546D"/>
    <w:rsid w:val="006D5494"/>
    <w:rsid w:val="006D5C8B"/>
    <w:rsid w:val="006D5D5F"/>
    <w:rsid w:val="006D5EFF"/>
    <w:rsid w:val="006D60E3"/>
    <w:rsid w:val="006D68FB"/>
    <w:rsid w:val="006D6C17"/>
    <w:rsid w:val="006D6C72"/>
    <w:rsid w:val="006D7C06"/>
    <w:rsid w:val="006D7CBA"/>
    <w:rsid w:val="006D7EC2"/>
    <w:rsid w:val="006E0D60"/>
    <w:rsid w:val="006E0D91"/>
    <w:rsid w:val="006E12B4"/>
    <w:rsid w:val="006E1538"/>
    <w:rsid w:val="006E1AE9"/>
    <w:rsid w:val="006E1EB7"/>
    <w:rsid w:val="006E1F9F"/>
    <w:rsid w:val="006E1FD6"/>
    <w:rsid w:val="006E2868"/>
    <w:rsid w:val="006E2A31"/>
    <w:rsid w:val="006E2C5F"/>
    <w:rsid w:val="006E2DC9"/>
    <w:rsid w:val="006E3527"/>
    <w:rsid w:val="006E3673"/>
    <w:rsid w:val="006E3C06"/>
    <w:rsid w:val="006E3CE1"/>
    <w:rsid w:val="006E4790"/>
    <w:rsid w:val="006E5740"/>
    <w:rsid w:val="006E5FC4"/>
    <w:rsid w:val="006E698C"/>
    <w:rsid w:val="006E72D1"/>
    <w:rsid w:val="006E7395"/>
    <w:rsid w:val="006E73B0"/>
    <w:rsid w:val="006E751E"/>
    <w:rsid w:val="006E771D"/>
    <w:rsid w:val="006E7797"/>
    <w:rsid w:val="006E7ACA"/>
    <w:rsid w:val="006E7F49"/>
    <w:rsid w:val="006F1C07"/>
    <w:rsid w:val="006F2440"/>
    <w:rsid w:val="006F2671"/>
    <w:rsid w:val="006F2769"/>
    <w:rsid w:val="006F306C"/>
    <w:rsid w:val="006F37AD"/>
    <w:rsid w:val="006F39CC"/>
    <w:rsid w:val="006F3E6C"/>
    <w:rsid w:val="006F3ED3"/>
    <w:rsid w:val="006F40B4"/>
    <w:rsid w:val="006F44E2"/>
    <w:rsid w:val="006F450E"/>
    <w:rsid w:val="006F588D"/>
    <w:rsid w:val="006F5AAB"/>
    <w:rsid w:val="006F610B"/>
    <w:rsid w:val="006F62EC"/>
    <w:rsid w:val="006F63A5"/>
    <w:rsid w:val="006F6886"/>
    <w:rsid w:val="00700664"/>
    <w:rsid w:val="00700685"/>
    <w:rsid w:val="0070142B"/>
    <w:rsid w:val="0070167E"/>
    <w:rsid w:val="00701AE6"/>
    <w:rsid w:val="0070276E"/>
    <w:rsid w:val="007029EA"/>
    <w:rsid w:val="00702F8F"/>
    <w:rsid w:val="00703D8B"/>
    <w:rsid w:val="00703F81"/>
    <w:rsid w:val="00704698"/>
    <w:rsid w:val="007047B9"/>
    <w:rsid w:val="00704883"/>
    <w:rsid w:val="007048E9"/>
    <w:rsid w:val="00704A52"/>
    <w:rsid w:val="00705775"/>
    <w:rsid w:val="007058CD"/>
    <w:rsid w:val="00705F59"/>
    <w:rsid w:val="007062C0"/>
    <w:rsid w:val="007069C4"/>
    <w:rsid w:val="00707057"/>
    <w:rsid w:val="007079FC"/>
    <w:rsid w:val="00707AE0"/>
    <w:rsid w:val="00707FDF"/>
    <w:rsid w:val="00710695"/>
    <w:rsid w:val="00710B4C"/>
    <w:rsid w:val="00710EC8"/>
    <w:rsid w:val="00711A36"/>
    <w:rsid w:val="007125D3"/>
    <w:rsid w:val="00713068"/>
    <w:rsid w:val="00713241"/>
    <w:rsid w:val="00713B57"/>
    <w:rsid w:val="0071408C"/>
    <w:rsid w:val="00714679"/>
    <w:rsid w:val="00714840"/>
    <w:rsid w:val="00714C26"/>
    <w:rsid w:val="0071529C"/>
    <w:rsid w:val="00715A1F"/>
    <w:rsid w:val="00715B1D"/>
    <w:rsid w:val="00716B0B"/>
    <w:rsid w:val="007170DA"/>
    <w:rsid w:val="007172AD"/>
    <w:rsid w:val="00717546"/>
    <w:rsid w:val="00717552"/>
    <w:rsid w:val="007177B3"/>
    <w:rsid w:val="00717847"/>
    <w:rsid w:val="00717BD7"/>
    <w:rsid w:val="007202E8"/>
    <w:rsid w:val="00720424"/>
    <w:rsid w:val="00720801"/>
    <w:rsid w:val="007209A9"/>
    <w:rsid w:val="00721A00"/>
    <w:rsid w:val="0072212E"/>
    <w:rsid w:val="007225F3"/>
    <w:rsid w:val="00722B01"/>
    <w:rsid w:val="00722B1B"/>
    <w:rsid w:val="0072416F"/>
    <w:rsid w:val="0072442D"/>
    <w:rsid w:val="00724431"/>
    <w:rsid w:val="00724F07"/>
    <w:rsid w:val="007254A2"/>
    <w:rsid w:val="0072592E"/>
    <w:rsid w:val="00725EF2"/>
    <w:rsid w:val="007260EE"/>
    <w:rsid w:val="00726424"/>
    <w:rsid w:val="007268C7"/>
    <w:rsid w:val="007279EB"/>
    <w:rsid w:val="00727AA7"/>
    <w:rsid w:val="00727C94"/>
    <w:rsid w:val="007302B2"/>
    <w:rsid w:val="00730928"/>
    <w:rsid w:val="007309A2"/>
    <w:rsid w:val="00730B4C"/>
    <w:rsid w:val="00730F28"/>
    <w:rsid w:val="00730FDD"/>
    <w:rsid w:val="0073181E"/>
    <w:rsid w:val="00731B0A"/>
    <w:rsid w:val="00731B2D"/>
    <w:rsid w:val="00731EAE"/>
    <w:rsid w:val="0073271B"/>
    <w:rsid w:val="007329FF"/>
    <w:rsid w:val="00733073"/>
    <w:rsid w:val="00733314"/>
    <w:rsid w:val="00733498"/>
    <w:rsid w:val="00733D78"/>
    <w:rsid w:val="00733E2C"/>
    <w:rsid w:val="00735033"/>
    <w:rsid w:val="00735328"/>
    <w:rsid w:val="007353BC"/>
    <w:rsid w:val="00735503"/>
    <w:rsid w:val="00735777"/>
    <w:rsid w:val="00736006"/>
    <w:rsid w:val="00736378"/>
    <w:rsid w:val="0073671A"/>
    <w:rsid w:val="0073685B"/>
    <w:rsid w:val="00736CCE"/>
    <w:rsid w:val="00736D69"/>
    <w:rsid w:val="00736FCB"/>
    <w:rsid w:val="007371EC"/>
    <w:rsid w:val="00737A7E"/>
    <w:rsid w:val="00740398"/>
    <w:rsid w:val="007409A9"/>
    <w:rsid w:val="007409B7"/>
    <w:rsid w:val="00740B02"/>
    <w:rsid w:val="00740DEE"/>
    <w:rsid w:val="00740F0B"/>
    <w:rsid w:val="00741170"/>
    <w:rsid w:val="00741188"/>
    <w:rsid w:val="00741517"/>
    <w:rsid w:val="00741917"/>
    <w:rsid w:val="00741FEB"/>
    <w:rsid w:val="00742E0C"/>
    <w:rsid w:val="00742FD0"/>
    <w:rsid w:val="0074451E"/>
    <w:rsid w:val="007449BF"/>
    <w:rsid w:val="00744C55"/>
    <w:rsid w:val="00745F0C"/>
    <w:rsid w:val="007463FE"/>
    <w:rsid w:val="007465A0"/>
    <w:rsid w:val="007467B8"/>
    <w:rsid w:val="00746BC0"/>
    <w:rsid w:val="00747485"/>
    <w:rsid w:val="00750B6C"/>
    <w:rsid w:val="00750FA1"/>
    <w:rsid w:val="007510B4"/>
    <w:rsid w:val="007514E3"/>
    <w:rsid w:val="00752142"/>
    <w:rsid w:val="007523F9"/>
    <w:rsid w:val="0075332B"/>
    <w:rsid w:val="0075343A"/>
    <w:rsid w:val="0075357E"/>
    <w:rsid w:val="00753AB4"/>
    <w:rsid w:val="00753B29"/>
    <w:rsid w:val="00753F11"/>
    <w:rsid w:val="00754591"/>
    <w:rsid w:val="007551C8"/>
    <w:rsid w:val="00755275"/>
    <w:rsid w:val="00755D17"/>
    <w:rsid w:val="007567FC"/>
    <w:rsid w:val="00756FC4"/>
    <w:rsid w:val="007573E8"/>
    <w:rsid w:val="007579FC"/>
    <w:rsid w:val="00760670"/>
    <w:rsid w:val="00760C4E"/>
    <w:rsid w:val="00760F9E"/>
    <w:rsid w:val="00761499"/>
    <w:rsid w:val="007616E6"/>
    <w:rsid w:val="007627BE"/>
    <w:rsid w:val="00762B11"/>
    <w:rsid w:val="00762C6E"/>
    <w:rsid w:val="00762F19"/>
    <w:rsid w:val="00762F2F"/>
    <w:rsid w:val="00764481"/>
    <w:rsid w:val="00764CD8"/>
    <w:rsid w:val="00764F03"/>
    <w:rsid w:val="0076505E"/>
    <w:rsid w:val="0076535E"/>
    <w:rsid w:val="00765B1A"/>
    <w:rsid w:val="00765DC1"/>
    <w:rsid w:val="007665D9"/>
    <w:rsid w:val="00767936"/>
    <w:rsid w:val="00767D58"/>
    <w:rsid w:val="00770015"/>
    <w:rsid w:val="00770A33"/>
    <w:rsid w:val="00770A59"/>
    <w:rsid w:val="00770F2C"/>
    <w:rsid w:val="0077127B"/>
    <w:rsid w:val="00771398"/>
    <w:rsid w:val="00771429"/>
    <w:rsid w:val="00772053"/>
    <w:rsid w:val="00772629"/>
    <w:rsid w:val="00772EB1"/>
    <w:rsid w:val="007739D5"/>
    <w:rsid w:val="00773EF1"/>
    <w:rsid w:val="007750F7"/>
    <w:rsid w:val="007760A1"/>
    <w:rsid w:val="00776E9C"/>
    <w:rsid w:val="00777335"/>
    <w:rsid w:val="007800BF"/>
    <w:rsid w:val="00780744"/>
    <w:rsid w:val="00780CFD"/>
    <w:rsid w:val="00780EFE"/>
    <w:rsid w:val="00781BB9"/>
    <w:rsid w:val="00782083"/>
    <w:rsid w:val="00783437"/>
    <w:rsid w:val="007843F2"/>
    <w:rsid w:val="007846FA"/>
    <w:rsid w:val="00785363"/>
    <w:rsid w:val="007859AC"/>
    <w:rsid w:val="00785A9F"/>
    <w:rsid w:val="00785C44"/>
    <w:rsid w:val="00786A9A"/>
    <w:rsid w:val="0078789B"/>
    <w:rsid w:val="00787A33"/>
    <w:rsid w:val="00787ADF"/>
    <w:rsid w:val="00787F1A"/>
    <w:rsid w:val="00790722"/>
    <w:rsid w:val="00790BCB"/>
    <w:rsid w:val="00790D08"/>
    <w:rsid w:val="00791142"/>
    <w:rsid w:val="00791470"/>
    <w:rsid w:val="0079168F"/>
    <w:rsid w:val="00791758"/>
    <w:rsid w:val="00791D17"/>
    <w:rsid w:val="00792477"/>
    <w:rsid w:val="007925DF"/>
    <w:rsid w:val="0079271E"/>
    <w:rsid w:val="00793A9C"/>
    <w:rsid w:val="00793CE7"/>
    <w:rsid w:val="0079465D"/>
    <w:rsid w:val="007947D2"/>
    <w:rsid w:val="0079567C"/>
    <w:rsid w:val="00795C12"/>
    <w:rsid w:val="00795E96"/>
    <w:rsid w:val="00796EDC"/>
    <w:rsid w:val="007976E6"/>
    <w:rsid w:val="00797AD6"/>
    <w:rsid w:val="007A000B"/>
    <w:rsid w:val="007A08AA"/>
    <w:rsid w:val="007A0A12"/>
    <w:rsid w:val="007A1021"/>
    <w:rsid w:val="007A11EA"/>
    <w:rsid w:val="007A132D"/>
    <w:rsid w:val="007A1345"/>
    <w:rsid w:val="007A16E9"/>
    <w:rsid w:val="007A1D95"/>
    <w:rsid w:val="007A2CEA"/>
    <w:rsid w:val="007A2DDB"/>
    <w:rsid w:val="007A43C0"/>
    <w:rsid w:val="007A4401"/>
    <w:rsid w:val="007A4506"/>
    <w:rsid w:val="007A4B2A"/>
    <w:rsid w:val="007A649D"/>
    <w:rsid w:val="007A66E5"/>
    <w:rsid w:val="007A70BA"/>
    <w:rsid w:val="007A7173"/>
    <w:rsid w:val="007A7229"/>
    <w:rsid w:val="007A754F"/>
    <w:rsid w:val="007A76D0"/>
    <w:rsid w:val="007A7973"/>
    <w:rsid w:val="007B00F3"/>
    <w:rsid w:val="007B020F"/>
    <w:rsid w:val="007B0249"/>
    <w:rsid w:val="007B043E"/>
    <w:rsid w:val="007B0445"/>
    <w:rsid w:val="007B0627"/>
    <w:rsid w:val="007B0A03"/>
    <w:rsid w:val="007B0D68"/>
    <w:rsid w:val="007B1EF8"/>
    <w:rsid w:val="007B251D"/>
    <w:rsid w:val="007B2680"/>
    <w:rsid w:val="007B2765"/>
    <w:rsid w:val="007B2FA9"/>
    <w:rsid w:val="007B350A"/>
    <w:rsid w:val="007B3533"/>
    <w:rsid w:val="007B3B62"/>
    <w:rsid w:val="007B3CAB"/>
    <w:rsid w:val="007B3D4C"/>
    <w:rsid w:val="007B3E21"/>
    <w:rsid w:val="007B4F58"/>
    <w:rsid w:val="007B528D"/>
    <w:rsid w:val="007B59A2"/>
    <w:rsid w:val="007B62BD"/>
    <w:rsid w:val="007B63CA"/>
    <w:rsid w:val="007B77D1"/>
    <w:rsid w:val="007C07C7"/>
    <w:rsid w:val="007C0A1E"/>
    <w:rsid w:val="007C17E3"/>
    <w:rsid w:val="007C1CD9"/>
    <w:rsid w:val="007C1CE1"/>
    <w:rsid w:val="007C219B"/>
    <w:rsid w:val="007C268F"/>
    <w:rsid w:val="007C2C81"/>
    <w:rsid w:val="007C32EF"/>
    <w:rsid w:val="007C3514"/>
    <w:rsid w:val="007C361D"/>
    <w:rsid w:val="007C3893"/>
    <w:rsid w:val="007C3B3F"/>
    <w:rsid w:val="007C4082"/>
    <w:rsid w:val="007C41DB"/>
    <w:rsid w:val="007C44E8"/>
    <w:rsid w:val="007C4B84"/>
    <w:rsid w:val="007C52AC"/>
    <w:rsid w:val="007C5BEC"/>
    <w:rsid w:val="007C6290"/>
    <w:rsid w:val="007C6691"/>
    <w:rsid w:val="007C6692"/>
    <w:rsid w:val="007C6A86"/>
    <w:rsid w:val="007C6A96"/>
    <w:rsid w:val="007C70FF"/>
    <w:rsid w:val="007C7C25"/>
    <w:rsid w:val="007C7CFD"/>
    <w:rsid w:val="007C7FCF"/>
    <w:rsid w:val="007D004F"/>
    <w:rsid w:val="007D032F"/>
    <w:rsid w:val="007D035F"/>
    <w:rsid w:val="007D0479"/>
    <w:rsid w:val="007D06B2"/>
    <w:rsid w:val="007D0B38"/>
    <w:rsid w:val="007D0D2A"/>
    <w:rsid w:val="007D18C9"/>
    <w:rsid w:val="007D22BA"/>
    <w:rsid w:val="007D2980"/>
    <w:rsid w:val="007D2E6E"/>
    <w:rsid w:val="007D3D85"/>
    <w:rsid w:val="007D42ED"/>
    <w:rsid w:val="007D4658"/>
    <w:rsid w:val="007D5089"/>
    <w:rsid w:val="007D5440"/>
    <w:rsid w:val="007D5C32"/>
    <w:rsid w:val="007D6650"/>
    <w:rsid w:val="007D685C"/>
    <w:rsid w:val="007D68F7"/>
    <w:rsid w:val="007D69EB"/>
    <w:rsid w:val="007D7974"/>
    <w:rsid w:val="007E128F"/>
    <w:rsid w:val="007E13EE"/>
    <w:rsid w:val="007E1950"/>
    <w:rsid w:val="007E1C32"/>
    <w:rsid w:val="007E1FF2"/>
    <w:rsid w:val="007E2204"/>
    <w:rsid w:val="007E39F9"/>
    <w:rsid w:val="007E4909"/>
    <w:rsid w:val="007E568D"/>
    <w:rsid w:val="007E592C"/>
    <w:rsid w:val="007E65B4"/>
    <w:rsid w:val="007E7D69"/>
    <w:rsid w:val="007F0206"/>
    <w:rsid w:val="007F0EEF"/>
    <w:rsid w:val="007F1017"/>
    <w:rsid w:val="007F20D7"/>
    <w:rsid w:val="007F2359"/>
    <w:rsid w:val="007F260B"/>
    <w:rsid w:val="007F3527"/>
    <w:rsid w:val="007F403B"/>
    <w:rsid w:val="007F416D"/>
    <w:rsid w:val="007F4336"/>
    <w:rsid w:val="007F43FC"/>
    <w:rsid w:val="007F47BD"/>
    <w:rsid w:val="007F4A3F"/>
    <w:rsid w:val="007F4A61"/>
    <w:rsid w:val="007F5255"/>
    <w:rsid w:val="007F5577"/>
    <w:rsid w:val="007F5626"/>
    <w:rsid w:val="007F56CC"/>
    <w:rsid w:val="007F60D0"/>
    <w:rsid w:val="007F60D8"/>
    <w:rsid w:val="007F61C2"/>
    <w:rsid w:val="007F63B4"/>
    <w:rsid w:val="007F6C47"/>
    <w:rsid w:val="007F7A4C"/>
    <w:rsid w:val="008004C0"/>
    <w:rsid w:val="00800AC3"/>
    <w:rsid w:val="00801623"/>
    <w:rsid w:val="008020C3"/>
    <w:rsid w:val="00802A38"/>
    <w:rsid w:val="008034AE"/>
    <w:rsid w:val="008038FC"/>
    <w:rsid w:val="00803C0F"/>
    <w:rsid w:val="008041C3"/>
    <w:rsid w:val="00805142"/>
    <w:rsid w:val="0080567C"/>
    <w:rsid w:val="008058BC"/>
    <w:rsid w:val="00805A40"/>
    <w:rsid w:val="00805B82"/>
    <w:rsid w:val="00805D56"/>
    <w:rsid w:val="00805E81"/>
    <w:rsid w:val="00805FCE"/>
    <w:rsid w:val="00806735"/>
    <w:rsid w:val="008067B4"/>
    <w:rsid w:val="00807167"/>
    <w:rsid w:val="008074ED"/>
    <w:rsid w:val="00807A8B"/>
    <w:rsid w:val="008100F0"/>
    <w:rsid w:val="00810379"/>
    <w:rsid w:val="00810431"/>
    <w:rsid w:val="00810AEA"/>
    <w:rsid w:val="00811383"/>
    <w:rsid w:val="00811777"/>
    <w:rsid w:val="00811847"/>
    <w:rsid w:val="008119A9"/>
    <w:rsid w:val="00811E6E"/>
    <w:rsid w:val="00812149"/>
    <w:rsid w:val="008125E4"/>
    <w:rsid w:val="00812879"/>
    <w:rsid w:val="00812CAC"/>
    <w:rsid w:val="00813591"/>
    <w:rsid w:val="00813F4C"/>
    <w:rsid w:val="00814B4C"/>
    <w:rsid w:val="008158A8"/>
    <w:rsid w:val="00815AA8"/>
    <w:rsid w:val="00815F08"/>
    <w:rsid w:val="0081601A"/>
    <w:rsid w:val="0081616C"/>
    <w:rsid w:val="0081631E"/>
    <w:rsid w:val="00816361"/>
    <w:rsid w:val="0081658D"/>
    <w:rsid w:val="008166EF"/>
    <w:rsid w:val="00816FEF"/>
    <w:rsid w:val="00817568"/>
    <w:rsid w:val="008208B2"/>
    <w:rsid w:val="00820A8C"/>
    <w:rsid w:val="00820C97"/>
    <w:rsid w:val="00820CA2"/>
    <w:rsid w:val="008215FB"/>
    <w:rsid w:val="008220CC"/>
    <w:rsid w:val="00822750"/>
    <w:rsid w:val="00822A1F"/>
    <w:rsid w:val="00822F06"/>
    <w:rsid w:val="00823174"/>
    <w:rsid w:val="0082351D"/>
    <w:rsid w:val="008235C8"/>
    <w:rsid w:val="00823B55"/>
    <w:rsid w:val="00823D34"/>
    <w:rsid w:val="00825751"/>
    <w:rsid w:val="008264EB"/>
    <w:rsid w:val="008265D6"/>
    <w:rsid w:val="008267C6"/>
    <w:rsid w:val="00826824"/>
    <w:rsid w:val="008268CE"/>
    <w:rsid w:val="00827107"/>
    <w:rsid w:val="00827339"/>
    <w:rsid w:val="00827C23"/>
    <w:rsid w:val="008301F4"/>
    <w:rsid w:val="00830778"/>
    <w:rsid w:val="0083092D"/>
    <w:rsid w:val="00830E36"/>
    <w:rsid w:val="00831203"/>
    <w:rsid w:val="00832143"/>
    <w:rsid w:val="00832450"/>
    <w:rsid w:val="00832CBE"/>
    <w:rsid w:val="008335DF"/>
    <w:rsid w:val="008337EC"/>
    <w:rsid w:val="00833B05"/>
    <w:rsid w:val="00833BAF"/>
    <w:rsid w:val="00834404"/>
    <w:rsid w:val="00834B7F"/>
    <w:rsid w:val="00834D3A"/>
    <w:rsid w:val="00834EB4"/>
    <w:rsid w:val="00835049"/>
    <w:rsid w:val="0083560E"/>
    <w:rsid w:val="00835F86"/>
    <w:rsid w:val="008362B4"/>
    <w:rsid w:val="00836C6D"/>
    <w:rsid w:val="008371CE"/>
    <w:rsid w:val="00837472"/>
    <w:rsid w:val="008377CC"/>
    <w:rsid w:val="00840850"/>
    <w:rsid w:val="00840CA2"/>
    <w:rsid w:val="00840FAF"/>
    <w:rsid w:val="00841022"/>
    <w:rsid w:val="00842829"/>
    <w:rsid w:val="00842F66"/>
    <w:rsid w:val="0084374F"/>
    <w:rsid w:val="00843D08"/>
    <w:rsid w:val="0084404E"/>
    <w:rsid w:val="008444FA"/>
    <w:rsid w:val="00844A22"/>
    <w:rsid w:val="00844A92"/>
    <w:rsid w:val="00844F91"/>
    <w:rsid w:val="0084515B"/>
    <w:rsid w:val="00845530"/>
    <w:rsid w:val="0084553C"/>
    <w:rsid w:val="00847703"/>
    <w:rsid w:val="00847DF5"/>
    <w:rsid w:val="008509C0"/>
    <w:rsid w:val="00850D3D"/>
    <w:rsid w:val="00850DFD"/>
    <w:rsid w:val="00851A0A"/>
    <w:rsid w:val="008520D8"/>
    <w:rsid w:val="0085309D"/>
    <w:rsid w:val="008534BD"/>
    <w:rsid w:val="008542F5"/>
    <w:rsid w:val="00854383"/>
    <w:rsid w:val="008544B3"/>
    <w:rsid w:val="00854F00"/>
    <w:rsid w:val="008553C8"/>
    <w:rsid w:val="008556EB"/>
    <w:rsid w:val="00855752"/>
    <w:rsid w:val="00855B01"/>
    <w:rsid w:val="00855C1E"/>
    <w:rsid w:val="00856647"/>
    <w:rsid w:val="00856897"/>
    <w:rsid w:val="00856E9A"/>
    <w:rsid w:val="008578DA"/>
    <w:rsid w:val="008579C0"/>
    <w:rsid w:val="0086075D"/>
    <w:rsid w:val="0086076F"/>
    <w:rsid w:val="00860F1C"/>
    <w:rsid w:val="0086135B"/>
    <w:rsid w:val="00861373"/>
    <w:rsid w:val="00861BF1"/>
    <w:rsid w:val="00862502"/>
    <w:rsid w:val="0086297A"/>
    <w:rsid w:val="00862CC1"/>
    <w:rsid w:val="00863142"/>
    <w:rsid w:val="00863855"/>
    <w:rsid w:val="00863C28"/>
    <w:rsid w:val="00863EBA"/>
    <w:rsid w:val="00863F83"/>
    <w:rsid w:val="008641BB"/>
    <w:rsid w:val="008642A7"/>
    <w:rsid w:val="008643B4"/>
    <w:rsid w:val="00864622"/>
    <w:rsid w:val="00864A1D"/>
    <w:rsid w:val="00865195"/>
    <w:rsid w:val="0086547F"/>
    <w:rsid w:val="0086556E"/>
    <w:rsid w:val="00865CB0"/>
    <w:rsid w:val="008660D4"/>
    <w:rsid w:val="00866196"/>
    <w:rsid w:val="00866457"/>
    <w:rsid w:val="00866B8B"/>
    <w:rsid w:val="00866CA8"/>
    <w:rsid w:val="00866E82"/>
    <w:rsid w:val="00870045"/>
    <w:rsid w:val="008701EB"/>
    <w:rsid w:val="00870363"/>
    <w:rsid w:val="008707C2"/>
    <w:rsid w:val="00870968"/>
    <w:rsid w:val="00871FA9"/>
    <w:rsid w:val="008727E1"/>
    <w:rsid w:val="0087280B"/>
    <w:rsid w:val="008728E9"/>
    <w:rsid w:val="00872B1D"/>
    <w:rsid w:val="00872C3D"/>
    <w:rsid w:val="00872CD0"/>
    <w:rsid w:val="00872D20"/>
    <w:rsid w:val="0087327D"/>
    <w:rsid w:val="0087333F"/>
    <w:rsid w:val="00873FE4"/>
    <w:rsid w:val="00874759"/>
    <w:rsid w:val="00874A1F"/>
    <w:rsid w:val="00874D9E"/>
    <w:rsid w:val="00874DCA"/>
    <w:rsid w:val="0087558B"/>
    <w:rsid w:val="00875A76"/>
    <w:rsid w:val="00875CC1"/>
    <w:rsid w:val="008762F8"/>
    <w:rsid w:val="00876BF0"/>
    <w:rsid w:val="008770F7"/>
    <w:rsid w:val="008771C9"/>
    <w:rsid w:val="00880707"/>
    <w:rsid w:val="008808F1"/>
    <w:rsid w:val="00881740"/>
    <w:rsid w:val="008819E7"/>
    <w:rsid w:val="00882874"/>
    <w:rsid w:val="00882B31"/>
    <w:rsid w:val="00882C2B"/>
    <w:rsid w:val="00882E3C"/>
    <w:rsid w:val="0088308A"/>
    <w:rsid w:val="008835EB"/>
    <w:rsid w:val="00883787"/>
    <w:rsid w:val="00883FB0"/>
    <w:rsid w:val="00883FC9"/>
    <w:rsid w:val="00884951"/>
    <w:rsid w:val="0088555B"/>
    <w:rsid w:val="008855E4"/>
    <w:rsid w:val="00885CBE"/>
    <w:rsid w:val="00885D5B"/>
    <w:rsid w:val="00885DAC"/>
    <w:rsid w:val="00886050"/>
    <w:rsid w:val="00886CD2"/>
    <w:rsid w:val="00886E00"/>
    <w:rsid w:val="008874D7"/>
    <w:rsid w:val="00887701"/>
    <w:rsid w:val="00887EFE"/>
    <w:rsid w:val="00890352"/>
    <w:rsid w:val="00891E6F"/>
    <w:rsid w:val="00892317"/>
    <w:rsid w:val="008925AA"/>
    <w:rsid w:val="0089275D"/>
    <w:rsid w:val="00892A36"/>
    <w:rsid w:val="00892AE3"/>
    <w:rsid w:val="00892F92"/>
    <w:rsid w:val="0089320E"/>
    <w:rsid w:val="00893239"/>
    <w:rsid w:val="0089436A"/>
    <w:rsid w:val="00894489"/>
    <w:rsid w:val="0089473C"/>
    <w:rsid w:val="00894CD6"/>
    <w:rsid w:val="00895676"/>
    <w:rsid w:val="008959C1"/>
    <w:rsid w:val="00895F15"/>
    <w:rsid w:val="00896001"/>
    <w:rsid w:val="008963A5"/>
    <w:rsid w:val="00896408"/>
    <w:rsid w:val="00896D5D"/>
    <w:rsid w:val="00896EAC"/>
    <w:rsid w:val="008A0B86"/>
    <w:rsid w:val="008A1BED"/>
    <w:rsid w:val="008A1DE0"/>
    <w:rsid w:val="008A270B"/>
    <w:rsid w:val="008A3158"/>
    <w:rsid w:val="008A3363"/>
    <w:rsid w:val="008A3371"/>
    <w:rsid w:val="008A37F1"/>
    <w:rsid w:val="008A384D"/>
    <w:rsid w:val="008A3C3E"/>
    <w:rsid w:val="008A4A67"/>
    <w:rsid w:val="008A4BEF"/>
    <w:rsid w:val="008A5015"/>
    <w:rsid w:val="008A67B1"/>
    <w:rsid w:val="008A6922"/>
    <w:rsid w:val="008A69F5"/>
    <w:rsid w:val="008A79DE"/>
    <w:rsid w:val="008A7F43"/>
    <w:rsid w:val="008B05B4"/>
    <w:rsid w:val="008B06F8"/>
    <w:rsid w:val="008B09C6"/>
    <w:rsid w:val="008B0BFB"/>
    <w:rsid w:val="008B1745"/>
    <w:rsid w:val="008B1757"/>
    <w:rsid w:val="008B1A2D"/>
    <w:rsid w:val="008B1A3E"/>
    <w:rsid w:val="008B1C33"/>
    <w:rsid w:val="008B29A2"/>
    <w:rsid w:val="008B2A24"/>
    <w:rsid w:val="008B2E27"/>
    <w:rsid w:val="008B39B3"/>
    <w:rsid w:val="008B49B8"/>
    <w:rsid w:val="008B4B6F"/>
    <w:rsid w:val="008B4F92"/>
    <w:rsid w:val="008B5DDE"/>
    <w:rsid w:val="008B7992"/>
    <w:rsid w:val="008B7BA0"/>
    <w:rsid w:val="008B7D7E"/>
    <w:rsid w:val="008B7FF0"/>
    <w:rsid w:val="008C008D"/>
    <w:rsid w:val="008C01F9"/>
    <w:rsid w:val="008C0264"/>
    <w:rsid w:val="008C0B56"/>
    <w:rsid w:val="008C0B6A"/>
    <w:rsid w:val="008C0F0A"/>
    <w:rsid w:val="008C1285"/>
    <w:rsid w:val="008C2240"/>
    <w:rsid w:val="008C257E"/>
    <w:rsid w:val="008C27C1"/>
    <w:rsid w:val="008C4D91"/>
    <w:rsid w:val="008C55C2"/>
    <w:rsid w:val="008C5610"/>
    <w:rsid w:val="008C5739"/>
    <w:rsid w:val="008C575F"/>
    <w:rsid w:val="008C5A78"/>
    <w:rsid w:val="008C62B3"/>
    <w:rsid w:val="008C6C97"/>
    <w:rsid w:val="008C6F7C"/>
    <w:rsid w:val="008C7282"/>
    <w:rsid w:val="008C7B91"/>
    <w:rsid w:val="008C7D99"/>
    <w:rsid w:val="008C7ECB"/>
    <w:rsid w:val="008D00F2"/>
    <w:rsid w:val="008D0F82"/>
    <w:rsid w:val="008D0FB5"/>
    <w:rsid w:val="008D1073"/>
    <w:rsid w:val="008D1080"/>
    <w:rsid w:val="008D1434"/>
    <w:rsid w:val="008D153C"/>
    <w:rsid w:val="008D15D0"/>
    <w:rsid w:val="008D1A1B"/>
    <w:rsid w:val="008D253E"/>
    <w:rsid w:val="008D35C9"/>
    <w:rsid w:val="008D3B7A"/>
    <w:rsid w:val="008D3B86"/>
    <w:rsid w:val="008D43FD"/>
    <w:rsid w:val="008D4755"/>
    <w:rsid w:val="008D4C3D"/>
    <w:rsid w:val="008D56D1"/>
    <w:rsid w:val="008D5C7E"/>
    <w:rsid w:val="008D64E1"/>
    <w:rsid w:val="008D6993"/>
    <w:rsid w:val="008D70CC"/>
    <w:rsid w:val="008D743C"/>
    <w:rsid w:val="008D74E6"/>
    <w:rsid w:val="008D7869"/>
    <w:rsid w:val="008D7921"/>
    <w:rsid w:val="008D7DD6"/>
    <w:rsid w:val="008D7E02"/>
    <w:rsid w:val="008E0744"/>
    <w:rsid w:val="008E0AE4"/>
    <w:rsid w:val="008E0D3C"/>
    <w:rsid w:val="008E0E89"/>
    <w:rsid w:val="008E127C"/>
    <w:rsid w:val="008E153E"/>
    <w:rsid w:val="008E1912"/>
    <w:rsid w:val="008E1B26"/>
    <w:rsid w:val="008E1B9E"/>
    <w:rsid w:val="008E1DBD"/>
    <w:rsid w:val="008E214F"/>
    <w:rsid w:val="008E2B23"/>
    <w:rsid w:val="008E2D4D"/>
    <w:rsid w:val="008E3B10"/>
    <w:rsid w:val="008E3C59"/>
    <w:rsid w:val="008E3D2E"/>
    <w:rsid w:val="008E4E1B"/>
    <w:rsid w:val="008E4EE5"/>
    <w:rsid w:val="008E55AB"/>
    <w:rsid w:val="008E59B7"/>
    <w:rsid w:val="008E5DE2"/>
    <w:rsid w:val="008E66F7"/>
    <w:rsid w:val="008E6C01"/>
    <w:rsid w:val="008E73D5"/>
    <w:rsid w:val="008E757A"/>
    <w:rsid w:val="008E7A52"/>
    <w:rsid w:val="008F06D2"/>
    <w:rsid w:val="008F120A"/>
    <w:rsid w:val="008F13D6"/>
    <w:rsid w:val="008F145E"/>
    <w:rsid w:val="008F1765"/>
    <w:rsid w:val="008F1878"/>
    <w:rsid w:val="008F1925"/>
    <w:rsid w:val="008F1E0D"/>
    <w:rsid w:val="008F21FF"/>
    <w:rsid w:val="008F2218"/>
    <w:rsid w:val="008F2569"/>
    <w:rsid w:val="008F27E0"/>
    <w:rsid w:val="008F292C"/>
    <w:rsid w:val="008F29D0"/>
    <w:rsid w:val="008F40CA"/>
    <w:rsid w:val="008F4419"/>
    <w:rsid w:val="008F471C"/>
    <w:rsid w:val="008F4785"/>
    <w:rsid w:val="008F48EB"/>
    <w:rsid w:val="008F4A1B"/>
    <w:rsid w:val="008F4C75"/>
    <w:rsid w:val="008F4F0B"/>
    <w:rsid w:val="008F56F3"/>
    <w:rsid w:val="008F5D6E"/>
    <w:rsid w:val="008F6401"/>
    <w:rsid w:val="008F6B61"/>
    <w:rsid w:val="008F6D18"/>
    <w:rsid w:val="008F77DA"/>
    <w:rsid w:val="00901232"/>
    <w:rsid w:val="00901E87"/>
    <w:rsid w:val="009028B5"/>
    <w:rsid w:val="009033ED"/>
    <w:rsid w:val="00904235"/>
    <w:rsid w:val="009043BF"/>
    <w:rsid w:val="009046C4"/>
    <w:rsid w:val="00904A82"/>
    <w:rsid w:val="0090510C"/>
    <w:rsid w:val="0090574B"/>
    <w:rsid w:val="00906281"/>
    <w:rsid w:val="009062A5"/>
    <w:rsid w:val="00906349"/>
    <w:rsid w:val="009066EA"/>
    <w:rsid w:val="0090731F"/>
    <w:rsid w:val="00907699"/>
    <w:rsid w:val="00907A33"/>
    <w:rsid w:val="00910257"/>
    <w:rsid w:val="009104F9"/>
    <w:rsid w:val="0091068C"/>
    <w:rsid w:val="00910FA7"/>
    <w:rsid w:val="00911137"/>
    <w:rsid w:val="00911272"/>
    <w:rsid w:val="00911339"/>
    <w:rsid w:val="009115AA"/>
    <w:rsid w:val="009116C8"/>
    <w:rsid w:val="009119D4"/>
    <w:rsid w:val="009129AC"/>
    <w:rsid w:val="00912FDE"/>
    <w:rsid w:val="009135D6"/>
    <w:rsid w:val="00913842"/>
    <w:rsid w:val="00913F84"/>
    <w:rsid w:val="00913F9F"/>
    <w:rsid w:val="009144D9"/>
    <w:rsid w:val="009148FE"/>
    <w:rsid w:val="00914C77"/>
    <w:rsid w:val="00914EA7"/>
    <w:rsid w:val="00915220"/>
    <w:rsid w:val="00915C49"/>
    <w:rsid w:val="00915FBE"/>
    <w:rsid w:val="00917173"/>
    <w:rsid w:val="009204A0"/>
    <w:rsid w:val="0092060C"/>
    <w:rsid w:val="00920BF1"/>
    <w:rsid w:val="00920D77"/>
    <w:rsid w:val="00921165"/>
    <w:rsid w:val="00921ACB"/>
    <w:rsid w:val="009225DC"/>
    <w:rsid w:val="00922865"/>
    <w:rsid w:val="00922BE1"/>
    <w:rsid w:val="00922BF9"/>
    <w:rsid w:val="00923372"/>
    <w:rsid w:val="0092369B"/>
    <w:rsid w:val="00923BEC"/>
    <w:rsid w:val="009241AE"/>
    <w:rsid w:val="0092452E"/>
    <w:rsid w:val="0092488E"/>
    <w:rsid w:val="009249FD"/>
    <w:rsid w:val="00924DC5"/>
    <w:rsid w:val="00924E00"/>
    <w:rsid w:val="00926204"/>
    <w:rsid w:val="009262B7"/>
    <w:rsid w:val="009268F6"/>
    <w:rsid w:val="00926968"/>
    <w:rsid w:val="00927566"/>
    <w:rsid w:val="0092776F"/>
    <w:rsid w:val="0092782C"/>
    <w:rsid w:val="009278EE"/>
    <w:rsid w:val="00927964"/>
    <w:rsid w:val="00927D18"/>
    <w:rsid w:val="009301A7"/>
    <w:rsid w:val="00930264"/>
    <w:rsid w:val="00930D97"/>
    <w:rsid w:val="00931275"/>
    <w:rsid w:val="009312BD"/>
    <w:rsid w:val="00931DFD"/>
    <w:rsid w:val="00932040"/>
    <w:rsid w:val="00932B14"/>
    <w:rsid w:val="009332D1"/>
    <w:rsid w:val="00933342"/>
    <w:rsid w:val="009337DE"/>
    <w:rsid w:val="00933CC9"/>
    <w:rsid w:val="00933D94"/>
    <w:rsid w:val="009348BE"/>
    <w:rsid w:val="00934988"/>
    <w:rsid w:val="00934B1B"/>
    <w:rsid w:val="009351A2"/>
    <w:rsid w:val="009364D8"/>
    <w:rsid w:val="00936B66"/>
    <w:rsid w:val="00936D5C"/>
    <w:rsid w:val="00937089"/>
    <w:rsid w:val="0093738F"/>
    <w:rsid w:val="00937425"/>
    <w:rsid w:val="009375A2"/>
    <w:rsid w:val="009376B7"/>
    <w:rsid w:val="0093796D"/>
    <w:rsid w:val="00937B73"/>
    <w:rsid w:val="00940A1D"/>
    <w:rsid w:val="00940C2E"/>
    <w:rsid w:val="00940C71"/>
    <w:rsid w:val="00940E72"/>
    <w:rsid w:val="00940FAD"/>
    <w:rsid w:val="0094115A"/>
    <w:rsid w:val="009415C7"/>
    <w:rsid w:val="00941995"/>
    <w:rsid w:val="00941EB4"/>
    <w:rsid w:val="00942473"/>
    <w:rsid w:val="009424E0"/>
    <w:rsid w:val="00943EE3"/>
    <w:rsid w:val="009447B6"/>
    <w:rsid w:val="00944952"/>
    <w:rsid w:val="00944DE7"/>
    <w:rsid w:val="00944F8A"/>
    <w:rsid w:val="0094546E"/>
    <w:rsid w:val="00945922"/>
    <w:rsid w:val="00945BBC"/>
    <w:rsid w:val="00945CF3"/>
    <w:rsid w:val="00945F30"/>
    <w:rsid w:val="00946664"/>
    <w:rsid w:val="009475DA"/>
    <w:rsid w:val="009507BF"/>
    <w:rsid w:val="009507CE"/>
    <w:rsid w:val="009510A2"/>
    <w:rsid w:val="0095189A"/>
    <w:rsid w:val="00951A8C"/>
    <w:rsid w:val="009520E1"/>
    <w:rsid w:val="009528C0"/>
    <w:rsid w:val="009529EB"/>
    <w:rsid w:val="0095314F"/>
    <w:rsid w:val="00953257"/>
    <w:rsid w:val="00953896"/>
    <w:rsid w:val="00954412"/>
    <w:rsid w:val="0095474C"/>
    <w:rsid w:val="009551CC"/>
    <w:rsid w:val="00955649"/>
    <w:rsid w:val="00955A34"/>
    <w:rsid w:val="00955FF3"/>
    <w:rsid w:val="00956A50"/>
    <w:rsid w:val="00957D92"/>
    <w:rsid w:val="00957E82"/>
    <w:rsid w:val="009614F7"/>
    <w:rsid w:val="00961665"/>
    <w:rsid w:val="0096244C"/>
    <w:rsid w:val="0096265B"/>
    <w:rsid w:val="00962B24"/>
    <w:rsid w:val="00962CB9"/>
    <w:rsid w:val="00964312"/>
    <w:rsid w:val="00964E95"/>
    <w:rsid w:val="00965B8A"/>
    <w:rsid w:val="00967807"/>
    <w:rsid w:val="0096780E"/>
    <w:rsid w:val="0097071F"/>
    <w:rsid w:val="00970870"/>
    <w:rsid w:val="009709A0"/>
    <w:rsid w:val="00970C47"/>
    <w:rsid w:val="009717AC"/>
    <w:rsid w:val="00971817"/>
    <w:rsid w:val="009725C0"/>
    <w:rsid w:val="0097328C"/>
    <w:rsid w:val="00973349"/>
    <w:rsid w:val="00973E20"/>
    <w:rsid w:val="009742E5"/>
    <w:rsid w:val="009749A7"/>
    <w:rsid w:val="00974E58"/>
    <w:rsid w:val="009751C1"/>
    <w:rsid w:val="00975274"/>
    <w:rsid w:val="009754E5"/>
    <w:rsid w:val="00976C2B"/>
    <w:rsid w:val="00976EB8"/>
    <w:rsid w:val="00976F07"/>
    <w:rsid w:val="009806D3"/>
    <w:rsid w:val="00980C5E"/>
    <w:rsid w:val="009811F1"/>
    <w:rsid w:val="00981A2B"/>
    <w:rsid w:val="00981F9F"/>
    <w:rsid w:val="0098211E"/>
    <w:rsid w:val="009821C9"/>
    <w:rsid w:val="00982282"/>
    <w:rsid w:val="009825A0"/>
    <w:rsid w:val="00983040"/>
    <w:rsid w:val="00983786"/>
    <w:rsid w:val="00983BEC"/>
    <w:rsid w:val="00983E57"/>
    <w:rsid w:val="009841EC"/>
    <w:rsid w:val="009843EB"/>
    <w:rsid w:val="009858AB"/>
    <w:rsid w:val="0098590D"/>
    <w:rsid w:val="00985DE2"/>
    <w:rsid w:val="00986027"/>
    <w:rsid w:val="0098675D"/>
    <w:rsid w:val="009869E8"/>
    <w:rsid w:val="009872C3"/>
    <w:rsid w:val="00987AE9"/>
    <w:rsid w:val="00987BA4"/>
    <w:rsid w:val="00987EB5"/>
    <w:rsid w:val="00990112"/>
    <w:rsid w:val="009903C4"/>
    <w:rsid w:val="00990A1F"/>
    <w:rsid w:val="00990C2D"/>
    <w:rsid w:val="00990DE6"/>
    <w:rsid w:val="009910E2"/>
    <w:rsid w:val="00991303"/>
    <w:rsid w:val="009917D3"/>
    <w:rsid w:val="00991AAA"/>
    <w:rsid w:val="00991B74"/>
    <w:rsid w:val="00991D49"/>
    <w:rsid w:val="009920FB"/>
    <w:rsid w:val="00992112"/>
    <w:rsid w:val="00992586"/>
    <w:rsid w:val="009926E0"/>
    <w:rsid w:val="009928EF"/>
    <w:rsid w:val="00992965"/>
    <w:rsid w:val="009929B5"/>
    <w:rsid w:val="00993253"/>
    <w:rsid w:val="009933B3"/>
    <w:rsid w:val="0099361C"/>
    <w:rsid w:val="0099362A"/>
    <w:rsid w:val="00993BA3"/>
    <w:rsid w:val="0099426F"/>
    <w:rsid w:val="0099451E"/>
    <w:rsid w:val="00994B9A"/>
    <w:rsid w:val="00995D21"/>
    <w:rsid w:val="009967FA"/>
    <w:rsid w:val="00996B1A"/>
    <w:rsid w:val="0099774D"/>
    <w:rsid w:val="009A0589"/>
    <w:rsid w:val="009A0677"/>
    <w:rsid w:val="009A08EA"/>
    <w:rsid w:val="009A0AE5"/>
    <w:rsid w:val="009A0B3B"/>
    <w:rsid w:val="009A12BC"/>
    <w:rsid w:val="009A143B"/>
    <w:rsid w:val="009A14D9"/>
    <w:rsid w:val="009A1813"/>
    <w:rsid w:val="009A18F6"/>
    <w:rsid w:val="009A2596"/>
    <w:rsid w:val="009A25AF"/>
    <w:rsid w:val="009A28A8"/>
    <w:rsid w:val="009A2DCC"/>
    <w:rsid w:val="009A2EF7"/>
    <w:rsid w:val="009A31ED"/>
    <w:rsid w:val="009A3251"/>
    <w:rsid w:val="009A37D8"/>
    <w:rsid w:val="009A4203"/>
    <w:rsid w:val="009A42F0"/>
    <w:rsid w:val="009A4703"/>
    <w:rsid w:val="009A5ABC"/>
    <w:rsid w:val="009A6D0E"/>
    <w:rsid w:val="009A7061"/>
    <w:rsid w:val="009A7929"/>
    <w:rsid w:val="009A7F10"/>
    <w:rsid w:val="009B019D"/>
    <w:rsid w:val="009B079D"/>
    <w:rsid w:val="009B08AC"/>
    <w:rsid w:val="009B0E49"/>
    <w:rsid w:val="009B10CB"/>
    <w:rsid w:val="009B11BC"/>
    <w:rsid w:val="009B153A"/>
    <w:rsid w:val="009B15EA"/>
    <w:rsid w:val="009B1B70"/>
    <w:rsid w:val="009B1DFC"/>
    <w:rsid w:val="009B319C"/>
    <w:rsid w:val="009B37DE"/>
    <w:rsid w:val="009B389B"/>
    <w:rsid w:val="009B3E26"/>
    <w:rsid w:val="009B5347"/>
    <w:rsid w:val="009B5BF7"/>
    <w:rsid w:val="009B5D3C"/>
    <w:rsid w:val="009B64C4"/>
    <w:rsid w:val="009B6A4F"/>
    <w:rsid w:val="009B7449"/>
    <w:rsid w:val="009B7647"/>
    <w:rsid w:val="009B7A79"/>
    <w:rsid w:val="009C05E8"/>
    <w:rsid w:val="009C0B60"/>
    <w:rsid w:val="009C0F63"/>
    <w:rsid w:val="009C1271"/>
    <w:rsid w:val="009C1F46"/>
    <w:rsid w:val="009C2514"/>
    <w:rsid w:val="009C3041"/>
    <w:rsid w:val="009C3706"/>
    <w:rsid w:val="009C3A3A"/>
    <w:rsid w:val="009C4214"/>
    <w:rsid w:val="009C430C"/>
    <w:rsid w:val="009C43A2"/>
    <w:rsid w:val="009C530D"/>
    <w:rsid w:val="009C5467"/>
    <w:rsid w:val="009C5586"/>
    <w:rsid w:val="009C59FC"/>
    <w:rsid w:val="009C69DC"/>
    <w:rsid w:val="009C6CEA"/>
    <w:rsid w:val="009C7780"/>
    <w:rsid w:val="009C7B85"/>
    <w:rsid w:val="009C7DFF"/>
    <w:rsid w:val="009D011A"/>
    <w:rsid w:val="009D0254"/>
    <w:rsid w:val="009D0704"/>
    <w:rsid w:val="009D0924"/>
    <w:rsid w:val="009D0CDB"/>
    <w:rsid w:val="009D0F34"/>
    <w:rsid w:val="009D1A64"/>
    <w:rsid w:val="009D1E6D"/>
    <w:rsid w:val="009D2D0F"/>
    <w:rsid w:val="009D4037"/>
    <w:rsid w:val="009D492F"/>
    <w:rsid w:val="009D4A0A"/>
    <w:rsid w:val="009D5059"/>
    <w:rsid w:val="009D555B"/>
    <w:rsid w:val="009D56E2"/>
    <w:rsid w:val="009D5B91"/>
    <w:rsid w:val="009D5C3A"/>
    <w:rsid w:val="009D637E"/>
    <w:rsid w:val="009D6737"/>
    <w:rsid w:val="009D6792"/>
    <w:rsid w:val="009D6E5E"/>
    <w:rsid w:val="009D6E66"/>
    <w:rsid w:val="009D7820"/>
    <w:rsid w:val="009D792E"/>
    <w:rsid w:val="009D798F"/>
    <w:rsid w:val="009D7DC5"/>
    <w:rsid w:val="009E0DFE"/>
    <w:rsid w:val="009E1371"/>
    <w:rsid w:val="009E16E7"/>
    <w:rsid w:val="009E1E29"/>
    <w:rsid w:val="009E2031"/>
    <w:rsid w:val="009E31F6"/>
    <w:rsid w:val="009E34CD"/>
    <w:rsid w:val="009E392D"/>
    <w:rsid w:val="009E4488"/>
    <w:rsid w:val="009E475E"/>
    <w:rsid w:val="009E4C07"/>
    <w:rsid w:val="009E4DCB"/>
    <w:rsid w:val="009E5203"/>
    <w:rsid w:val="009E69AC"/>
    <w:rsid w:val="009E74AE"/>
    <w:rsid w:val="009E777F"/>
    <w:rsid w:val="009F0915"/>
    <w:rsid w:val="009F0A73"/>
    <w:rsid w:val="009F1224"/>
    <w:rsid w:val="009F1706"/>
    <w:rsid w:val="009F1727"/>
    <w:rsid w:val="009F18E2"/>
    <w:rsid w:val="009F30D1"/>
    <w:rsid w:val="009F3418"/>
    <w:rsid w:val="009F4102"/>
    <w:rsid w:val="009F50CB"/>
    <w:rsid w:val="009F533F"/>
    <w:rsid w:val="009F566B"/>
    <w:rsid w:val="009F605A"/>
    <w:rsid w:val="009F6120"/>
    <w:rsid w:val="009F6349"/>
    <w:rsid w:val="009F65C9"/>
    <w:rsid w:val="009F661B"/>
    <w:rsid w:val="009F69A4"/>
    <w:rsid w:val="009F71E4"/>
    <w:rsid w:val="009F7601"/>
    <w:rsid w:val="00A0048A"/>
    <w:rsid w:val="00A00D76"/>
    <w:rsid w:val="00A01184"/>
    <w:rsid w:val="00A01357"/>
    <w:rsid w:val="00A01449"/>
    <w:rsid w:val="00A018F2"/>
    <w:rsid w:val="00A01F3E"/>
    <w:rsid w:val="00A01F60"/>
    <w:rsid w:val="00A02276"/>
    <w:rsid w:val="00A026E3"/>
    <w:rsid w:val="00A02BE9"/>
    <w:rsid w:val="00A03589"/>
    <w:rsid w:val="00A037C2"/>
    <w:rsid w:val="00A03975"/>
    <w:rsid w:val="00A03D43"/>
    <w:rsid w:val="00A040B2"/>
    <w:rsid w:val="00A04380"/>
    <w:rsid w:val="00A04786"/>
    <w:rsid w:val="00A04ACB"/>
    <w:rsid w:val="00A04F05"/>
    <w:rsid w:val="00A053AF"/>
    <w:rsid w:val="00A05472"/>
    <w:rsid w:val="00A05A4E"/>
    <w:rsid w:val="00A05C32"/>
    <w:rsid w:val="00A0653F"/>
    <w:rsid w:val="00A067FD"/>
    <w:rsid w:val="00A06B40"/>
    <w:rsid w:val="00A06F27"/>
    <w:rsid w:val="00A071CB"/>
    <w:rsid w:val="00A07A88"/>
    <w:rsid w:val="00A07B39"/>
    <w:rsid w:val="00A101CA"/>
    <w:rsid w:val="00A10EBF"/>
    <w:rsid w:val="00A1103C"/>
    <w:rsid w:val="00A11644"/>
    <w:rsid w:val="00A118B8"/>
    <w:rsid w:val="00A11CD0"/>
    <w:rsid w:val="00A1203F"/>
    <w:rsid w:val="00A1297D"/>
    <w:rsid w:val="00A12AE0"/>
    <w:rsid w:val="00A12E52"/>
    <w:rsid w:val="00A131D5"/>
    <w:rsid w:val="00A133AE"/>
    <w:rsid w:val="00A13777"/>
    <w:rsid w:val="00A13948"/>
    <w:rsid w:val="00A13FBA"/>
    <w:rsid w:val="00A14436"/>
    <w:rsid w:val="00A1463E"/>
    <w:rsid w:val="00A14642"/>
    <w:rsid w:val="00A14E35"/>
    <w:rsid w:val="00A14F0F"/>
    <w:rsid w:val="00A1555B"/>
    <w:rsid w:val="00A155C5"/>
    <w:rsid w:val="00A159B4"/>
    <w:rsid w:val="00A15CB8"/>
    <w:rsid w:val="00A16AD8"/>
    <w:rsid w:val="00A17044"/>
    <w:rsid w:val="00A171FC"/>
    <w:rsid w:val="00A17330"/>
    <w:rsid w:val="00A17621"/>
    <w:rsid w:val="00A17A4A"/>
    <w:rsid w:val="00A17D01"/>
    <w:rsid w:val="00A2011D"/>
    <w:rsid w:val="00A2021E"/>
    <w:rsid w:val="00A20261"/>
    <w:rsid w:val="00A20BA9"/>
    <w:rsid w:val="00A20DC7"/>
    <w:rsid w:val="00A21564"/>
    <w:rsid w:val="00A21C95"/>
    <w:rsid w:val="00A21CF3"/>
    <w:rsid w:val="00A21DDC"/>
    <w:rsid w:val="00A223F0"/>
    <w:rsid w:val="00A2256A"/>
    <w:rsid w:val="00A2277B"/>
    <w:rsid w:val="00A22B7C"/>
    <w:rsid w:val="00A24681"/>
    <w:rsid w:val="00A24813"/>
    <w:rsid w:val="00A25069"/>
    <w:rsid w:val="00A25D6A"/>
    <w:rsid w:val="00A26226"/>
    <w:rsid w:val="00A269BE"/>
    <w:rsid w:val="00A272ED"/>
    <w:rsid w:val="00A27777"/>
    <w:rsid w:val="00A27AEC"/>
    <w:rsid w:val="00A30554"/>
    <w:rsid w:val="00A307FD"/>
    <w:rsid w:val="00A3086C"/>
    <w:rsid w:val="00A30874"/>
    <w:rsid w:val="00A30925"/>
    <w:rsid w:val="00A30ADC"/>
    <w:rsid w:val="00A30C06"/>
    <w:rsid w:val="00A316ED"/>
    <w:rsid w:val="00A320DB"/>
    <w:rsid w:val="00A32161"/>
    <w:rsid w:val="00A33304"/>
    <w:rsid w:val="00A333CD"/>
    <w:rsid w:val="00A33844"/>
    <w:rsid w:val="00A34C10"/>
    <w:rsid w:val="00A34FE1"/>
    <w:rsid w:val="00A350A3"/>
    <w:rsid w:val="00A35283"/>
    <w:rsid w:val="00A35805"/>
    <w:rsid w:val="00A35BAC"/>
    <w:rsid w:val="00A35D16"/>
    <w:rsid w:val="00A35E83"/>
    <w:rsid w:val="00A36432"/>
    <w:rsid w:val="00A37BCD"/>
    <w:rsid w:val="00A41682"/>
    <w:rsid w:val="00A41689"/>
    <w:rsid w:val="00A4175B"/>
    <w:rsid w:val="00A42343"/>
    <w:rsid w:val="00A42592"/>
    <w:rsid w:val="00A4327E"/>
    <w:rsid w:val="00A43637"/>
    <w:rsid w:val="00A43C59"/>
    <w:rsid w:val="00A445FD"/>
    <w:rsid w:val="00A45100"/>
    <w:rsid w:val="00A45CF4"/>
    <w:rsid w:val="00A46DD3"/>
    <w:rsid w:val="00A47309"/>
    <w:rsid w:val="00A50ECD"/>
    <w:rsid w:val="00A51222"/>
    <w:rsid w:val="00A51714"/>
    <w:rsid w:val="00A518F3"/>
    <w:rsid w:val="00A5198D"/>
    <w:rsid w:val="00A51B6B"/>
    <w:rsid w:val="00A51FC0"/>
    <w:rsid w:val="00A52729"/>
    <w:rsid w:val="00A528EE"/>
    <w:rsid w:val="00A52A9F"/>
    <w:rsid w:val="00A535E9"/>
    <w:rsid w:val="00A53675"/>
    <w:rsid w:val="00A54AC2"/>
    <w:rsid w:val="00A54B6D"/>
    <w:rsid w:val="00A55287"/>
    <w:rsid w:val="00A557FE"/>
    <w:rsid w:val="00A55E6B"/>
    <w:rsid w:val="00A564D7"/>
    <w:rsid w:val="00A56896"/>
    <w:rsid w:val="00A56B6A"/>
    <w:rsid w:val="00A577CE"/>
    <w:rsid w:val="00A578DC"/>
    <w:rsid w:val="00A57A27"/>
    <w:rsid w:val="00A6008E"/>
    <w:rsid w:val="00A61304"/>
    <w:rsid w:val="00A61324"/>
    <w:rsid w:val="00A6132F"/>
    <w:rsid w:val="00A61C23"/>
    <w:rsid w:val="00A6258F"/>
    <w:rsid w:val="00A628E0"/>
    <w:rsid w:val="00A62BF7"/>
    <w:rsid w:val="00A62F53"/>
    <w:rsid w:val="00A63DB0"/>
    <w:rsid w:val="00A63F36"/>
    <w:rsid w:val="00A64073"/>
    <w:rsid w:val="00A640DF"/>
    <w:rsid w:val="00A640E2"/>
    <w:rsid w:val="00A64713"/>
    <w:rsid w:val="00A64D65"/>
    <w:rsid w:val="00A650B9"/>
    <w:rsid w:val="00A65367"/>
    <w:rsid w:val="00A65C07"/>
    <w:rsid w:val="00A6725B"/>
    <w:rsid w:val="00A67D4A"/>
    <w:rsid w:val="00A70605"/>
    <w:rsid w:val="00A70679"/>
    <w:rsid w:val="00A71CBB"/>
    <w:rsid w:val="00A71E9E"/>
    <w:rsid w:val="00A71EE3"/>
    <w:rsid w:val="00A73134"/>
    <w:rsid w:val="00A7365A"/>
    <w:rsid w:val="00A73984"/>
    <w:rsid w:val="00A739E2"/>
    <w:rsid w:val="00A73A77"/>
    <w:rsid w:val="00A74C53"/>
    <w:rsid w:val="00A759A6"/>
    <w:rsid w:val="00A759F0"/>
    <w:rsid w:val="00A75EAA"/>
    <w:rsid w:val="00A76001"/>
    <w:rsid w:val="00A76639"/>
    <w:rsid w:val="00A7664B"/>
    <w:rsid w:val="00A768FD"/>
    <w:rsid w:val="00A776A3"/>
    <w:rsid w:val="00A777B2"/>
    <w:rsid w:val="00A77A97"/>
    <w:rsid w:val="00A77C9E"/>
    <w:rsid w:val="00A8022B"/>
    <w:rsid w:val="00A81201"/>
    <w:rsid w:val="00A81296"/>
    <w:rsid w:val="00A81B7C"/>
    <w:rsid w:val="00A82580"/>
    <w:rsid w:val="00A825D4"/>
    <w:rsid w:val="00A828F6"/>
    <w:rsid w:val="00A82B53"/>
    <w:rsid w:val="00A82B73"/>
    <w:rsid w:val="00A830C0"/>
    <w:rsid w:val="00A83488"/>
    <w:rsid w:val="00A83955"/>
    <w:rsid w:val="00A84177"/>
    <w:rsid w:val="00A841D4"/>
    <w:rsid w:val="00A8487D"/>
    <w:rsid w:val="00A850E8"/>
    <w:rsid w:val="00A85496"/>
    <w:rsid w:val="00A86874"/>
    <w:rsid w:val="00A86B53"/>
    <w:rsid w:val="00A86E8B"/>
    <w:rsid w:val="00A87164"/>
    <w:rsid w:val="00A873C3"/>
    <w:rsid w:val="00A8742C"/>
    <w:rsid w:val="00A87F88"/>
    <w:rsid w:val="00A87FDE"/>
    <w:rsid w:val="00A90093"/>
    <w:rsid w:val="00A9073E"/>
    <w:rsid w:val="00A911F4"/>
    <w:rsid w:val="00A914E4"/>
    <w:rsid w:val="00A91627"/>
    <w:rsid w:val="00A91828"/>
    <w:rsid w:val="00A91C4E"/>
    <w:rsid w:val="00A9245E"/>
    <w:rsid w:val="00A92DDE"/>
    <w:rsid w:val="00A93072"/>
    <w:rsid w:val="00A934A4"/>
    <w:rsid w:val="00A938BD"/>
    <w:rsid w:val="00A93953"/>
    <w:rsid w:val="00A93CF7"/>
    <w:rsid w:val="00A93F2C"/>
    <w:rsid w:val="00A9404C"/>
    <w:rsid w:val="00A94735"/>
    <w:rsid w:val="00A94B57"/>
    <w:rsid w:val="00A94EDB"/>
    <w:rsid w:val="00A9531D"/>
    <w:rsid w:val="00A9579F"/>
    <w:rsid w:val="00A958F7"/>
    <w:rsid w:val="00A9596B"/>
    <w:rsid w:val="00A959D8"/>
    <w:rsid w:val="00A96439"/>
    <w:rsid w:val="00A96B6F"/>
    <w:rsid w:val="00A973BA"/>
    <w:rsid w:val="00A97843"/>
    <w:rsid w:val="00A97A9A"/>
    <w:rsid w:val="00A97F57"/>
    <w:rsid w:val="00AA0390"/>
    <w:rsid w:val="00AA064F"/>
    <w:rsid w:val="00AA07A2"/>
    <w:rsid w:val="00AA113D"/>
    <w:rsid w:val="00AA130B"/>
    <w:rsid w:val="00AA1355"/>
    <w:rsid w:val="00AA1CD8"/>
    <w:rsid w:val="00AA1EC3"/>
    <w:rsid w:val="00AA28AE"/>
    <w:rsid w:val="00AA4B6E"/>
    <w:rsid w:val="00AA57AE"/>
    <w:rsid w:val="00AA57D3"/>
    <w:rsid w:val="00AA6977"/>
    <w:rsid w:val="00AA6BD5"/>
    <w:rsid w:val="00AA6BD8"/>
    <w:rsid w:val="00AA6C7D"/>
    <w:rsid w:val="00AA6D7D"/>
    <w:rsid w:val="00AA6F33"/>
    <w:rsid w:val="00AA6FFB"/>
    <w:rsid w:val="00AA7FD6"/>
    <w:rsid w:val="00AB042A"/>
    <w:rsid w:val="00AB0DD9"/>
    <w:rsid w:val="00AB11AD"/>
    <w:rsid w:val="00AB166B"/>
    <w:rsid w:val="00AB19EF"/>
    <w:rsid w:val="00AB2370"/>
    <w:rsid w:val="00AB2495"/>
    <w:rsid w:val="00AB2C75"/>
    <w:rsid w:val="00AB2D34"/>
    <w:rsid w:val="00AB3430"/>
    <w:rsid w:val="00AB37B9"/>
    <w:rsid w:val="00AB395D"/>
    <w:rsid w:val="00AB3F4D"/>
    <w:rsid w:val="00AB4AD1"/>
    <w:rsid w:val="00AB4BFE"/>
    <w:rsid w:val="00AB5345"/>
    <w:rsid w:val="00AB5A62"/>
    <w:rsid w:val="00AB5E07"/>
    <w:rsid w:val="00AB6103"/>
    <w:rsid w:val="00AB628D"/>
    <w:rsid w:val="00AB73E3"/>
    <w:rsid w:val="00AB7CFA"/>
    <w:rsid w:val="00AB7E37"/>
    <w:rsid w:val="00AC0F87"/>
    <w:rsid w:val="00AC12C3"/>
    <w:rsid w:val="00AC20A6"/>
    <w:rsid w:val="00AC229E"/>
    <w:rsid w:val="00AC22D1"/>
    <w:rsid w:val="00AC3FB5"/>
    <w:rsid w:val="00AC4149"/>
    <w:rsid w:val="00AC448F"/>
    <w:rsid w:val="00AC4B91"/>
    <w:rsid w:val="00AC5B42"/>
    <w:rsid w:val="00AC5B48"/>
    <w:rsid w:val="00AC5CF4"/>
    <w:rsid w:val="00AC6413"/>
    <w:rsid w:val="00AC6DE1"/>
    <w:rsid w:val="00AC72E5"/>
    <w:rsid w:val="00AC7334"/>
    <w:rsid w:val="00AC7A42"/>
    <w:rsid w:val="00AD028A"/>
    <w:rsid w:val="00AD0531"/>
    <w:rsid w:val="00AD0570"/>
    <w:rsid w:val="00AD0583"/>
    <w:rsid w:val="00AD058D"/>
    <w:rsid w:val="00AD10F4"/>
    <w:rsid w:val="00AD1450"/>
    <w:rsid w:val="00AD15E8"/>
    <w:rsid w:val="00AD1D2F"/>
    <w:rsid w:val="00AD1EFC"/>
    <w:rsid w:val="00AD2721"/>
    <w:rsid w:val="00AD30CD"/>
    <w:rsid w:val="00AD356D"/>
    <w:rsid w:val="00AD358F"/>
    <w:rsid w:val="00AD4AC9"/>
    <w:rsid w:val="00AD4D91"/>
    <w:rsid w:val="00AD518A"/>
    <w:rsid w:val="00AD6502"/>
    <w:rsid w:val="00AD6506"/>
    <w:rsid w:val="00AD650C"/>
    <w:rsid w:val="00AD6895"/>
    <w:rsid w:val="00AD6A0F"/>
    <w:rsid w:val="00AD6F72"/>
    <w:rsid w:val="00AD71EC"/>
    <w:rsid w:val="00AD7530"/>
    <w:rsid w:val="00AD7B0B"/>
    <w:rsid w:val="00AD7D4C"/>
    <w:rsid w:val="00AD7DBB"/>
    <w:rsid w:val="00AE0695"/>
    <w:rsid w:val="00AE1376"/>
    <w:rsid w:val="00AE1676"/>
    <w:rsid w:val="00AE1B97"/>
    <w:rsid w:val="00AE219D"/>
    <w:rsid w:val="00AE2FE7"/>
    <w:rsid w:val="00AE30F1"/>
    <w:rsid w:val="00AE3498"/>
    <w:rsid w:val="00AE3E7E"/>
    <w:rsid w:val="00AE4216"/>
    <w:rsid w:val="00AE440B"/>
    <w:rsid w:val="00AE4974"/>
    <w:rsid w:val="00AE5541"/>
    <w:rsid w:val="00AE56E4"/>
    <w:rsid w:val="00AE5C7A"/>
    <w:rsid w:val="00AE640A"/>
    <w:rsid w:val="00AE71F3"/>
    <w:rsid w:val="00AE737A"/>
    <w:rsid w:val="00AE7E53"/>
    <w:rsid w:val="00AE7FBF"/>
    <w:rsid w:val="00AF0123"/>
    <w:rsid w:val="00AF10D7"/>
    <w:rsid w:val="00AF129B"/>
    <w:rsid w:val="00AF1315"/>
    <w:rsid w:val="00AF1802"/>
    <w:rsid w:val="00AF1926"/>
    <w:rsid w:val="00AF19BF"/>
    <w:rsid w:val="00AF19FB"/>
    <w:rsid w:val="00AF1E3C"/>
    <w:rsid w:val="00AF1FD5"/>
    <w:rsid w:val="00AF2DC3"/>
    <w:rsid w:val="00AF404E"/>
    <w:rsid w:val="00AF4CCF"/>
    <w:rsid w:val="00AF58D7"/>
    <w:rsid w:val="00AF5F7D"/>
    <w:rsid w:val="00AF6127"/>
    <w:rsid w:val="00AF6965"/>
    <w:rsid w:val="00AF6C09"/>
    <w:rsid w:val="00AF762E"/>
    <w:rsid w:val="00AF7D14"/>
    <w:rsid w:val="00B0025C"/>
    <w:rsid w:val="00B00687"/>
    <w:rsid w:val="00B009C3"/>
    <w:rsid w:val="00B01B8E"/>
    <w:rsid w:val="00B028A0"/>
    <w:rsid w:val="00B02E15"/>
    <w:rsid w:val="00B02E5F"/>
    <w:rsid w:val="00B030A8"/>
    <w:rsid w:val="00B031E2"/>
    <w:rsid w:val="00B033E5"/>
    <w:rsid w:val="00B03841"/>
    <w:rsid w:val="00B03A63"/>
    <w:rsid w:val="00B03F39"/>
    <w:rsid w:val="00B04981"/>
    <w:rsid w:val="00B050C4"/>
    <w:rsid w:val="00B0664C"/>
    <w:rsid w:val="00B06901"/>
    <w:rsid w:val="00B071A3"/>
    <w:rsid w:val="00B07C3D"/>
    <w:rsid w:val="00B07E60"/>
    <w:rsid w:val="00B107C7"/>
    <w:rsid w:val="00B11124"/>
    <w:rsid w:val="00B11AE8"/>
    <w:rsid w:val="00B129A4"/>
    <w:rsid w:val="00B12A4F"/>
    <w:rsid w:val="00B1374C"/>
    <w:rsid w:val="00B13A57"/>
    <w:rsid w:val="00B13E10"/>
    <w:rsid w:val="00B1472E"/>
    <w:rsid w:val="00B14BDA"/>
    <w:rsid w:val="00B14FBA"/>
    <w:rsid w:val="00B1508C"/>
    <w:rsid w:val="00B158FB"/>
    <w:rsid w:val="00B15948"/>
    <w:rsid w:val="00B15949"/>
    <w:rsid w:val="00B15D13"/>
    <w:rsid w:val="00B1609A"/>
    <w:rsid w:val="00B160B0"/>
    <w:rsid w:val="00B160CD"/>
    <w:rsid w:val="00B16A8C"/>
    <w:rsid w:val="00B16D9E"/>
    <w:rsid w:val="00B175B3"/>
    <w:rsid w:val="00B201A4"/>
    <w:rsid w:val="00B201D1"/>
    <w:rsid w:val="00B20B00"/>
    <w:rsid w:val="00B20C71"/>
    <w:rsid w:val="00B20EB7"/>
    <w:rsid w:val="00B213A6"/>
    <w:rsid w:val="00B22699"/>
    <w:rsid w:val="00B235B0"/>
    <w:rsid w:val="00B235B4"/>
    <w:rsid w:val="00B23B5F"/>
    <w:rsid w:val="00B2483D"/>
    <w:rsid w:val="00B24844"/>
    <w:rsid w:val="00B24AAD"/>
    <w:rsid w:val="00B24DF6"/>
    <w:rsid w:val="00B24E50"/>
    <w:rsid w:val="00B256EA"/>
    <w:rsid w:val="00B25B08"/>
    <w:rsid w:val="00B26A39"/>
    <w:rsid w:val="00B2702A"/>
    <w:rsid w:val="00B27520"/>
    <w:rsid w:val="00B27A61"/>
    <w:rsid w:val="00B27FF4"/>
    <w:rsid w:val="00B30A0D"/>
    <w:rsid w:val="00B30CF5"/>
    <w:rsid w:val="00B3125D"/>
    <w:rsid w:val="00B32343"/>
    <w:rsid w:val="00B34CB4"/>
    <w:rsid w:val="00B34CBA"/>
    <w:rsid w:val="00B34DAD"/>
    <w:rsid w:val="00B34FE2"/>
    <w:rsid w:val="00B35166"/>
    <w:rsid w:val="00B35243"/>
    <w:rsid w:val="00B35729"/>
    <w:rsid w:val="00B357D8"/>
    <w:rsid w:val="00B360F4"/>
    <w:rsid w:val="00B36A00"/>
    <w:rsid w:val="00B36D86"/>
    <w:rsid w:val="00B3708D"/>
    <w:rsid w:val="00B3792B"/>
    <w:rsid w:val="00B37952"/>
    <w:rsid w:val="00B37B56"/>
    <w:rsid w:val="00B37BFC"/>
    <w:rsid w:val="00B40358"/>
    <w:rsid w:val="00B40A6D"/>
    <w:rsid w:val="00B40D58"/>
    <w:rsid w:val="00B40E81"/>
    <w:rsid w:val="00B41614"/>
    <w:rsid w:val="00B417B0"/>
    <w:rsid w:val="00B41C3B"/>
    <w:rsid w:val="00B41CE6"/>
    <w:rsid w:val="00B41EE5"/>
    <w:rsid w:val="00B42851"/>
    <w:rsid w:val="00B429F6"/>
    <w:rsid w:val="00B42F80"/>
    <w:rsid w:val="00B435CB"/>
    <w:rsid w:val="00B43BDE"/>
    <w:rsid w:val="00B43DDA"/>
    <w:rsid w:val="00B43F73"/>
    <w:rsid w:val="00B4445A"/>
    <w:rsid w:val="00B44616"/>
    <w:rsid w:val="00B44871"/>
    <w:rsid w:val="00B44EC0"/>
    <w:rsid w:val="00B44FA2"/>
    <w:rsid w:val="00B455DA"/>
    <w:rsid w:val="00B45839"/>
    <w:rsid w:val="00B45900"/>
    <w:rsid w:val="00B45C36"/>
    <w:rsid w:val="00B45F0B"/>
    <w:rsid w:val="00B465EC"/>
    <w:rsid w:val="00B4755A"/>
    <w:rsid w:val="00B4797C"/>
    <w:rsid w:val="00B502D5"/>
    <w:rsid w:val="00B505C8"/>
    <w:rsid w:val="00B505F5"/>
    <w:rsid w:val="00B50BE4"/>
    <w:rsid w:val="00B50DB8"/>
    <w:rsid w:val="00B50E27"/>
    <w:rsid w:val="00B50FE9"/>
    <w:rsid w:val="00B51F67"/>
    <w:rsid w:val="00B521BC"/>
    <w:rsid w:val="00B53654"/>
    <w:rsid w:val="00B53905"/>
    <w:rsid w:val="00B54390"/>
    <w:rsid w:val="00B546DB"/>
    <w:rsid w:val="00B54874"/>
    <w:rsid w:val="00B54B01"/>
    <w:rsid w:val="00B54B5B"/>
    <w:rsid w:val="00B54EC5"/>
    <w:rsid w:val="00B5524D"/>
    <w:rsid w:val="00B553E7"/>
    <w:rsid w:val="00B5562E"/>
    <w:rsid w:val="00B55862"/>
    <w:rsid w:val="00B558CD"/>
    <w:rsid w:val="00B559BE"/>
    <w:rsid w:val="00B55B2B"/>
    <w:rsid w:val="00B55D65"/>
    <w:rsid w:val="00B5617D"/>
    <w:rsid w:val="00B56305"/>
    <w:rsid w:val="00B56DE2"/>
    <w:rsid w:val="00B57000"/>
    <w:rsid w:val="00B60939"/>
    <w:rsid w:val="00B60AFD"/>
    <w:rsid w:val="00B60B65"/>
    <w:rsid w:val="00B61518"/>
    <w:rsid w:val="00B61EA7"/>
    <w:rsid w:val="00B62591"/>
    <w:rsid w:val="00B62715"/>
    <w:rsid w:val="00B627DF"/>
    <w:rsid w:val="00B62CA6"/>
    <w:rsid w:val="00B631A0"/>
    <w:rsid w:val="00B6324A"/>
    <w:rsid w:val="00B63736"/>
    <w:rsid w:val="00B64434"/>
    <w:rsid w:val="00B65611"/>
    <w:rsid w:val="00B6564B"/>
    <w:rsid w:val="00B65E89"/>
    <w:rsid w:val="00B6629E"/>
    <w:rsid w:val="00B663E6"/>
    <w:rsid w:val="00B66A79"/>
    <w:rsid w:val="00B66D36"/>
    <w:rsid w:val="00B66DAF"/>
    <w:rsid w:val="00B675F9"/>
    <w:rsid w:val="00B67641"/>
    <w:rsid w:val="00B70025"/>
    <w:rsid w:val="00B708A9"/>
    <w:rsid w:val="00B70BE6"/>
    <w:rsid w:val="00B70E8E"/>
    <w:rsid w:val="00B71337"/>
    <w:rsid w:val="00B7165A"/>
    <w:rsid w:val="00B7175D"/>
    <w:rsid w:val="00B72177"/>
    <w:rsid w:val="00B73D24"/>
    <w:rsid w:val="00B74268"/>
    <w:rsid w:val="00B7475A"/>
    <w:rsid w:val="00B749EB"/>
    <w:rsid w:val="00B74CDF"/>
    <w:rsid w:val="00B74F99"/>
    <w:rsid w:val="00B750C9"/>
    <w:rsid w:val="00B75199"/>
    <w:rsid w:val="00B7526F"/>
    <w:rsid w:val="00B75D93"/>
    <w:rsid w:val="00B76769"/>
    <w:rsid w:val="00B76C92"/>
    <w:rsid w:val="00B776F0"/>
    <w:rsid w:val="00B80C2A"/>
    <w:rsid w:val="00B80EFD"/>
    <w:rsid w:val="00B81803"/>
    <w:rsid w:val="00B818A4"/>
    <w:rsid w:val="00B82287"/>
    <w:rsid w:val="00B825A6"/>
    <w:rsid w:val="00B82D22"/>
    <w:rsid w:val="00B835B7"/>
    <w:rsid w:val="00B83739"/>
    <w:rsid w:val="00B83D9E"/>
    <w:rsid w:val="00B84117"/>
    <w:rsid w:val="00B843B0"/>
    <w:rsid w:val="00B84916"/>
    <w:rsid w:val="00B84B8A"/>
    <w:rsid w:val="00B84D8B"/>
    <w:rsid w:val="00B851F0"/>
    <w:rsid w:val="00B858F0"/>
    <w:rsid w:val="00B85AA2"/>
    <w:rsid w:val="00B85B7C"/>
    <w:rsid w:val="00B85D42"/>
    <w:rsid w:val="00B862B7"/>
    <w:rsid w:val="00B8649C"/>
    <w:rsid w:val="00B868D7"/>
    <w:rsid w:val="00B8695D"/>
    <w:rsid w:val="00B87126"/>
    <w:rsid w:val="00B8796B"/>
    <w:rsid w:val="00B87E52"/>
    <w:rsid w:val="00B87F0A"/>
    <w:rsid w:val="00B90028"/>
    <w:rsid w:val="00B90346"/>
    <w:rsid w:val="00B9044E"/>
    <w:rsid w:val="00B91096"/>
    <w:rsid w:val="00B92A13"/>
    <w:rsid w:val="00B92D0B"/>
    <w:rsid w:val="00B92E9A"/>
    <w:rsid w:val="00B932BF"/>
    <w:rsid w:val="00B93308"/>
    <w:rsid w:val="00B9341D"/>
    <w:rsid w:val="00B9374F"/>
    <w:rsid w:val="00B93911"/>
    <w:rsid w:val="00B93C76"/>
    <w:rsid w:val="00B94075"/>
    <w:rsid w:val="00B94945"/>
    <w:rsid w:val="00B94DD6"/>
    <w:rsid w:val="00B963F0"/>
    <w:rsid w:val="00B9710B"/>
    <w:rsid w:val="00B9772C"/>
    <w:rsid w:val="00B97D05"/>
    <w:rsid w:val="00BA0284"/>
    <w:rsid w:val="00BA08D6"/>
    <w:rsid w:val="00BA1533"/>
    <w:rsid w:val="00BA1806"/>
    <w:rsid w:val="00BA1A59"/>
    <w:rsid w:val="00BA1C15"/>
    <w:rsid w:val="00BA1D27"/>
    <w:rsid w:val="00BA1E25"/>
    <w:rsid w:val="00BA23E3"/>
    <w:rsid w:val="00BA25A3"/>
    <w:rsid w:val="00BA25A9"/>
    <w:rsid w:val="00BA2B92"/>
    <w:rsid w:val="00BA2E54"/>
    <w:rsid w:val="00BA3217"/>
    <w:rsid w:val="00BA322D"/>
    <w:rsid w:val="00BA362B"/>
    <w:rsid w:val="00BA393D"/>
    <w:rsid w:val="00BA3980"/>
    <w:rsid w:val="00BA4481"/>
    <w:rsid w:val="00BA505E"/>
    <w:rsid w:val="00BA56F8"/>
    <w:rsid w:val="00BA56FF"/>
    <w:rsid w:val="00BA5C6A"/>
    <w:rsid w:val="00BA5E9C"/>
    <w:rsid w:val="00BA63FA"/>
    <w:rsid w:val="00BA6CDD"/>
    <w:rsid w:val="00BA7E0F"/>
    <w:rsid w:val="00BB00B3"/>
    <w:rsid w:val="00BB0178"/>
    <w:rsid w:val="00BB022E"/>
    <w:rsid w:val="00BB0BDD"/>
    <w:rsid w:val="00BB1031"/>
    <w:rsid w:val="00BB176C"/>
    <w:rsid w:val="00BB19BD"/>
    <w:rsid w:val="00BB19FE"/>
    <w:rsid w:val="00BB1D5C"/>
    <w:rsid w:val="00BB2A73"/>
    <w:rsid w:val="00BB2E62"/>
    <w:rsid w:val="00BB314B"/>
    <w:rsid w:val="00BB32D6"/>
    <w:rsid w:val="00BB351D"/>
    <w:rsid w:val="00BB3A45"/>
    <w:rsid w:val="00BB43EB"/>
    <w:rsid w:val="00BB4896"/>
    <w:rsid w:val="00BB4ACC"/>
    <w:rsid w:val="00BB52E3"/>
    <w:rsid w:val="00BB5BB2"/>
    <w:rsid w:val="00BB645D"/>
    <w:rsid w:val="00BB64E0"/>
    <w:rsid w:val="00BB6632"/>
    <w:rsid w:val="00BB6A4A"/>
    <w:rsid w:val="00BB6C3B"/>
    <w:rsid w:val="00BB6E3C"/>
    <w:rsid w:val="00BB6FA7"/>
    <w:rsid w:val="00BB703E"/>
    <w:rsid w:val="00BB732D"/>
    <w:rsid w:val="00BB7405"/>
    <w:rsid w:val="00BB78B2"/>
    <w:rsid w:val="00BB7D7E"/>
    <w:rsid w:val="00BC0D28"/>
    <w:rsid w:val="00BC0DB4"/>
    <w:rsid w:val="00BC1422"/>
    <w:rsid w:val="00BC1AC4"/>
    <w:rsid w:val="00BC1C87"/>
    <w:rsid w:val="00BC2DA5"/>
    <w:rsid w:val="00BC2FCA"/>
    <w:rsid w:val="00BC35E8"/>
    <w:rsid w:val="00BC3631"/>
    <w:rsid w:val="00BC591F"/>
    <w:rsid w:val="00BC5A69"/>
    <w:rsid w:val="00BC63A0"/>
    <w:rsid w:val="00BC6821"/>
    <w:rsid w:val="00BC6C74"/>
    <w:rsid w:val="00BC7C81"/>
    <w:rsid w:val="00BC7D6D"/>
    <w:rsid w:val="00BD000C"/>
    <w:rsid w:val="00BD035E"/>
    <w:rsid w:val="00BD0362"/>
    <w:rsid w:val="00BD0939"/>
    <w:rsid w:val="00BD1D4A"/>
    <w:rsid w:val="00BD1DEB"/>
    <w:rsid w:val="00BD2108"/>
    <w:rsid w:val="00BD221F"/>
    <w:rsid w:val="00BD29B1"/>
    <w:rsid w:val="00BD2A88"/>
    <w:rsid w:val="00BD2B0F"/>
    <w:rsid w:val="00BD2E5C"/>
    <w:rsid w:val="00BD3F76"/>
    <w:rsid w:val="00BD4212"/>
    <w:rsid w:val="00BD4A17"/>
    <w:rsid w:val="00BD61D8"/>
    <w:rsid w:val="00BD68A3"/>
    <w:rsid w:val="00BD6938"/>
    <w:rsid w:val="00BD6B1B"/>
    <w:rsid w:val="00BD6B89"/>
    <w:rsid w:val="00BD6CF3"/>
    <w:rsid w:val="00BD7783"/>
    <w:rsid w:val="00BD78B2"/>
    <w:rsid w:val="00BD7F72"/>
    <w:rsid w:val="00BE0A59"/>
    <w:rsid w:val="00BE0BB9"/>
    <w:rsid w:val="00BE0ECA"/>
    <w:rsid w:val="00BE2180"/>
    <w:rsid w:val="00BE21B6"/>
    <w:rsid w:val="00BE21F2"/>
    <w:rsid w:val="00BE229F"/>
    <w:rsid w:val="00BE2510"/>
    <w:rsid w:val="00BE2668"/>
    <w:rsid w:val="00BE3ECA"/>
    <w:rsid w:val="00BE4275"/>
    <w:rsid w:val="00BE5063"/>
    <w:rsid w:val="00BE5610"/>
    <w:rsid w:val="00BE57F9"/>
    <w:rsid w:val="00BE5DA4"/>
    <w:rsid w:val="00BE5F6D"/>
    <w:rsid w:val="00BE616A"/>
    <w:rsid w:val="00BE61A4"/>
    <w:rsid w:val="00BE633A"/>
    <w:rsid w:val="00BE6790"/>
    <w:rsid w:val="00BE70F5"/>
    <w:rsid w:val="00BE71E6"/>
    <w:rsid w:val="00BE7663"/>
    <w:rsid w:val="00BE7A0A"/>
    <w:rsid w:val="00BF067D"/>
    <w:rsid w:val="00BF06AE"/>
    <w:rsid w:val="00BF0979"/>
    <w:rsid w:val="00BF0F95"/>
    <w:rsid w:val="00BF1556"/>
    <w:rsid w:val="00BF2433"/>
    <w:rsid w:val="00BF249C"/>
    <w:rsid w:val="00BF2E6E"/>
    <w:rsid w:val="00BF3261"/>
    <w:rsid w:val="00BF3499"/>
    <w:rsid w:val="00BF4927"/>
    <w:rsid w:val="00BF4B09"/>
    <w:rsid w:val="00BF4F5F"/>
    <w:rsid w:val="00BF534D"/>
    <w:rsid w:val="00BF5551"/>
    <w:rsid w:val="00BF59D4"/>
    <w:rsid w:val="00BF5D0B"/>
    <w:rsid w:val="00BF61C9"/>
    <w:rsid w:val="00BF6C94"/>
    <w:rsid w:val="00BF78A0"/>
    <w:rsid w:val="00C00137"/>
    <w:rsid w:val="00C0033C"/>
    <w:rsid w:val="00C00424"/>
    <w:rsid w:val="00C00BB0"/>
    <w:rsid w:val="00C00CF4"/>
    <w:rsid w:val="00C01642"/>
    <w:rsid w:val="00C0283F"/>
    <w:rsid w:val="00C02B67"/>
    <w:rsid w:val="00C03347"/>
    <w:rsid w:val="00C04330"/>
    <w:rsid w:val="00C04342"/>
    <w:rsid w:val="00C04472"/>
    <w:rsid w:val="00C04573"/>
    <w:rsid w:val="00C04690"/>
    <w:rsid w:val="00C046A9"/>
    <w:rsid w:val="00C04832"/>
    <w:rsid w:val="00C05129"/>
    <w:rsid w:val="00C0561D"/>
    <w:rsid w:val="00C057A3"/>
    <w:rsid w:val="00C0583A"/>
    <w:rsid w:val="00C05B38"/>
    <w:rsid w:val="00C05D34"/>
    <w:rsid w:val="00C0616E"/>
    <w:rsid w:val="00C064A6"/>
    <w:rsid w:val="00C067DD"/>
    <w:rsid w:val="00C06959"/>
    <w:rsid w:val="00C06D9E"/>
    <w:rsid w:val="00C06DE5"/>
    <w:rsid w:val="00C07243"/>
    <w:rsid w:val="00C072A7"/>
    <w:rsid w:val="00C076B2"/>
    <w:rsid w:val="00C07E20"/>
    <w:rsid w:val="00C07F01"/>
    <w:rsid w:val="00C10306"/>
    <w:rsid w:val="00C10484"/>
    <w:rsid w:val="00C109A6"/>
    <w:rsid w:val="00C10D57"/>
    <w:rsid w:val="00C10E72"/>
    <w:rsid w:val="00C1154C"/>
    <w:rsid w:val="00C1179F"/>
    <w:rsid w:val="00C11EA4"/>
    <w:rsid w:val="00C12212"/>
    <w:rsid w:val="00C1273C"/>
    <w:rsid w:val="00C127B9"/>
    <w:rsid w:val="00C128FA"/>
    <w:rsid w:val="00C12A6B"/>
    <w:rsid w:val="00C12B62"/>
    <w:rsid w:val="00C12C14"/>
    <w:rsid w:val="00C13122"/>
    <w:rsid w:val="00C13556"/>
    <w:rsid w:val="00C13893"/>
    <w:rsid w:val="00C143AC"/>
    <w:rsid w:val="00C1461F"/>
    <w:rsid w:val="00C14ECC"/>
    <w:rsid w:val="00C1519B"/>
    <w:rsid w:val="00C15F04"/>
    <w:rsid w:val="00C167A4"/>
    <w:rsid w:val="00C16EC4"/>
    <w:rsid w:val="00C179B3"/>
    <w:rsid w:val="00C179CF"/>
    <w:rsid w:val="00C17E3F"/>
    <w:rsid w:val="00C200AA"/>
    <w:rsid w:val="00C20A28"/>
    <w:rsid w:val="00C20C8D"/>
    <w:rsid w:val="00C217D6"/>
    <w:rsid w:val="00C218F9"/>
    <w:rsid w:val="00C22324"/>
    <w:rsid w:val="00C22339"/>
    <w:rsid w:val="00C225E8"/>
    <w:rsid w:val="00C229D3"/>
    <w:rsid w:val="00C22A89"/>
    <w:rsid w:val="00C22D49"/>
    <w:rsid w:val="00C22DF8"/>
    <w:rsid w:val="00C232AF"/>
    <w:rsid w:val="00C237ED"/>
    <w:rsid w:val="00C23D40"/>
    <w:rsid w:val="00C24632"/>
    <w:rsid w:val="00C24D86"/>
    <w:rsid w:val="00C25418"/>
    <w:rsid w:val="00C25A37"/>
    <w:rsid w:val="00C25D9C"/>
    <w:rsid w:val="00C26198"/>
    <w:rsid w:val="00C2778B"/>
    <w:rsid w:val="00C27864"/>
    <w:rsid w:val="00C27E2A"/>
    <w:rsid w:val="00C27F39"/>
    <w:rsid w:val="00C27F85"/>
    <w:rsid w:val="00C27FA4"/>
    <w:rsid w:val="00C305AA"/>
    <w:rsid w:val="00C313A4"/>
    <w:rsid w:val="00C313D7"/>
    <w:rsid w:val="00C31649"/>
    <w:rsid w:val="00C31C24"/>
    <w:rsid w:val="00C31C81"/>
    <w:rsid w:val="00C32192"/>
    <w:rsid w:val="00C334DA"/>
    <w:rsid w:val="00C33E8F"/>
    <w:rsid w:val="00C3434C"/>
    <w:rsid w:val="00C34859"/>
    <w:rsid w:val="00C35357"/>
    <w:rsid w:val="00C3543B"/>
    <w:rsid w:val="00C355BC"/>
    <w:rsid w:val="00C359CE"/>
    <w:rsid w:val="00C37941"/>
    <w:rsid w:val="00C40385"/>
    <w:rsid w:val="00C41768"/>
    <w:rsid w:val="00C426D7"/>
    <w:rsid w:val="00C43381"/>
    <w:rsid w:val="00C43AB7"/>
    <w:rsid w:val="00C43C5A"/>
    <w:rsid w:val="00C44BB6"/>
    <w:rsid w:val="00C45CB4"/>
    <w:rsid w:val="00C45E81"/>
    <w:rsid w:val="00C46322"/>
    <w:rsid w:val="00C4633E"/>
    <w:rsid w:val="00C46C17"/>
    <w:rsid w:val="00C47205"/>
    <w:rsid w:val="00C474D1"/>
    <w:rsid w:val="00C475AA"/>
    <w:rsid w:val="00C47673"/>
    <w:rsid w:val="00C47875"/>
    <w:rsid w:val="00C47AA0"/>
    <w:rsid w:val="00C47C1F"/>
    <w:rsid w:val="00C51012"/>
    <w:rsid w:val="00C527C7"/>
    <w:rsid w:val="00C52BC8"/>
    <w:rsid w:val="00C53722"/>
    <w:rsid w:val="00C53C98"/>
    <w:rsid w:val="00C53ED0"/>
    <w:rsid w:val="00C54133"/>
    <w:rsid w:val="00C54412"/>
    <w:rsid w:val="00C55372"/>
    <w:rsid w:val="00C55E1B"/>
    <w:rsid w:val="00C560D1"/>
    <w:rsid w:val="00C56125"/>
    <w:rsid w:val="00C568A3"/>
    <w:rsid w:val="00C56FCF"/>
    <w:rsid w:val="00C57B6C"/>
    <w:rsid w:val="00C6080C"/>
    <w:rsid w:val="00C60BC0"/>
    <w:rsid w:val="00C61A59"/>
    <w:rsid w:val="00C62643"/>
    <w:rsid w:val="00C62711"/>
    <w:rsid w:val="00C628A6"/>
    <w:rsid w:val="00C6351F"/>
    <w:rsid w:val="00C63D59"/>
    <w:rsid w:val="00C64344"/>
    <w:rsid w:val="00C64B3C"/>
    <w:rsid w:val="00C64B7A"/>
    <w:rsid w:val="00C65108"/>
    <w:rsid w:val="00C653FD"/>
    <w:rsid w:val="00C65576"/>
    <w:rsid w:val="00C658E0"/>
    <w:rsid w:val="00C66165"/>
    <w:rsid w:val="00C663BB"/>
    <w:rsid w:val="00C66BC4"/>
    <w:rsid w:val="00C677EB"/>
    <w:rsid w:val="00C678A3"/>
    <w:rsid w:val="00C7060A"/>
    <w:rsid w:val="00C709AC"/>
    <w:rsid w:val="00C70E22"/>
    <w:rsid w:val="00C7151A"/>
    <w:rsid w:val="00C717E3"/>
    <w:rsid w:val="00C71D20"/>
    <w:rsid w:val="00C71F60"/>
    <w:rsid w:val="00C72241"/>
    <w:rsid w:val="00C72B53"/>
    <w:rsid w:val="00C72D51"/>
    <w:rsid w:val="00C73B09"/>
    <w:rsid w:val="00C742F5"/>
    <w:rsid w:val="00C7437C"/>
    <w:rsid w:val="00C74587"/>
    <w:rsid w:val="00C745BA"/>
    <w:rsid w:val="00C74827"/>
    <w:rsid w:val="00C74A83"/>
    <w:rsid w:val="00C74CDA"/>
    <w:rsid w:val="00C750C8"/>
    <w:rsid w:val="00C7560F"/>
    <w:rsid w:val="00C76643"/>
    <w:rsid w:val="00C76C3D"/>
    <w:rsid w:val="00C770A7"/>
    <w:rsid w:val="00C77779"/>
    <w:rsid w:val="00C80205"/>
    <w:rsid w:val="00C80A0E"/>
    <w:rsid w:val="00C81151"/>
    <w:rsid w:val="00C81207"/>
    <w:rsid w:val="00C81456"/>
    <w:rsid w:val="00C818B4"/>
    <w:rsid w:val="00C81902"/>
    <w:rsid w:val="00C81AEE"/>
    <w:rsid w:val="00C81DF8"/>
    <w:rsid w:val="00C8213F"/>
    <w:rsid w:val="00C8303F"/>
    <w:rsid w:val="00C839DD"/>
    <w:rsid w:val="00C83D29"/>
    <w:rsid w:val="00C84150"/>
    <w:rsid w:val="00C84CEC"/>
    <w:rsid w:val="00C85154"/>
    <w:rsid w:val="00C851CE"/>
    <w:rsid w:val="00C858D9"/>
    <w:rsid w:val="00C85A70"/>
    <w:rsid w:val="00C8625D"/>
    <w:rsid w:val="00C86CD2"/>
    <w:rsid w:val="00C86D26"/>
    <w:rsid w:val="00C86F6C"/>
    <w:rsid w:val="00C87205"/>
    <w:rsid w:val="00C8770C"/>
    <w:rsid w:val="00C8789B"/>
    <w:rsid w:val="00C87912"/>
    <w:rsid w:val="00C8797A"/>
    <w:rsid w:val="00C87C70"/>
    <w:rsid w:val="00C87D86"/>
    <w:rsid w:val="00C87FB9"/>
    <w:rsid w:val="00C900B8"/>
    <w:rsid w:val="00C90197"/>
    <w:rsid w:val="00C902F1"/>
    <w:rsid w:val="00C90C71"/>
    <w:rsid w:val="00C90FCB"/>
    <w:rsid w:val="00C91159"/>
    <w:rsid w:val="00C916A7"/>
    <w:rsid w:val="00C918D7"/>
    <w:rsid w:val="00C91A29"/>
    <w:rsid w:val="00C91D38"/>
    <w:rsid w:val="00C91EC3"/>
    <w:rsid w:val="00C91FD1"/>
    <w:rsid w:val="00C9212E"/>
    <w:rsid w:val="00C92469"/>
    <w:rsid w:val="00C92BCD"/>
    <w:rsid w:val="00C9304E"/>
    <w:rsid w:val="00C93156"/>
    <w:rsid w:val="00C931CF"/>
    <w:rsid w:val="00C931DC"/>
    <w:rsid w:val="00C937ED"/>
    <w:rsid w:val="00C938CF"/>
    <w:rsid w:val="00C94053"/>
    <w:rsid w:val="00C94726"/>
    <w:rsid w:val="00C949F4"/>
    <w:rsid w:val="00C95059"/>
    <w:rsid w:val="00C95708"/>
    <w:rsid w:val="00C9581E"/>
    <w:rsid w:val="00C95A3C"/>
    <w:rsid w:val="00C9600E"/>
    <w:rsid w:val="00C9624D"/>
    <w:rsid w:val="00C969DA"/>
    <w:rsid w:val="00C96AA6"/>
    <w:rsid w:val="00C96DDB"/>
    <w:rsid w:val="00C976B9"/>
    <w:rsid w:val="00C977B8"/>
    <w:rsid w:val="00CA1189"/>
    <w:rsid w:val="00CA158B"/>
    <w:rsid w:val="00CA15FA"/>
    <w:rsid w:val="00CA1DD1"/>
    <w:rsid w:val="00CA205C"/>
    <w:rsid w:val="00CA2C77"/>
    <w:rsid w:val="00CA444F"/>
    <w:rsid w:val="00CA4F08"/>
    <w:rsid w:val="00CA5245"/>
    <w:rsid w:val="00CA58B2"/>
    <w:rsid w:val="00CA5D9D"/>
    <w:rsid w:val="00CA71F4"/>
    <w:rsid w:val="00CA7B09"/>
    <w:rsid w:val="00CA7C2C"/>
    <w:rsid w:val="00CB048B"/>
    <w:rsid w:val="00CB12A5"/>
    <w:rsid w:val="00CB14C7"/>
    <w:rsid w:val="00CB1CAC"/>
    <w:rsid w:val="00CB1E41"/>
    <w:rsid w:val="00CB26E0"/>
    <w:rsid w:val="00CB2F2A"/>
    <w:rsid w:val="00CB4011"/>
    <w:rsid w:val="00CB4722"/>
    <w:rsid w:val="00CB4A5B"/>
    <w:rsid w:val="00CB4B6E"/>
    <w:rsid w:val="00CB4BD5"/>
    <w:rsid w:val="00CB4EA3"/>
    <w:rsid w:val="00CB50E2"/>
    <w:rsid w:val="00CB58E2"/>
    <w:rsid w:val="00CB5B1A"/>
    <w:rsid w:val="00CB626C"/>
    <w:rsid w:val="00CB6882"/>
    <w:rsid w:val="00CB6B22"/>
    <w:rsid w:val="00CB6E6A"/>
    <w:rsid w:val="00CB71D9"/>
    <w:rsid w:val="00CB7EEE"/>
    <w:rsid w:val="00CB7F5F"/>
    <w:rsid w:val="00CC18BC"/>
    <w:rsid w:val="00CC1B39"/>
    <w:rsid w:val="00CC1BFA"/>
    <w:rsid w:val="00CC1E20"/>
    <w:rsid w:val="00CC22A0"/>
    <w:rsid w:val="00CC24D8"/>
    <w:rsid w:val="00CC2AB4"/>
    <w:rsid w:val="00CC2E9F"/>
    <w:rsid w:val="00CC35EA"/>
    <w:rsid w:val="00CC3848"/>
    <w:rsid w:val="00CC42EF"/>
    <w:rsid w:val="00CC45D8"/>
    <w:rsid w:val="00CC4D2D"/>
    <w:rsid w:val="00CC538B"/>
    <w:rsid w:val="00CC5B83"/>
    <w:rsid w:val="00CC61E0"/>
    <w:rsid w:val="00CC68D6"/>
    <w:rsid w:val="00CC698F"/>
    <w:rsid w:val="00CC6BC2"/>
    <w:rsid w:val="00CC6D5E"/>
    <w:rsid w:val="00CC7EA5"/>
    <w:rsid w:val="00CD0200"/>
    <w:rsid w:val="00CD0B17"/>
    <w:rsid w:val="00CD195E"/>
    <w:rsid w:val="00CD3706"/>
    <w:rsid w:val="00CD373D"/>
    <w:rsid w:val="00CD3A0C"/>
    <w:rsid w:val="00CD3F77"/>
    <w:rsid w:val="00CD40F1"/>
    <w:rsid w:val="00CD4182"/>
    <w:rsid w:val="00CD4220"/>
    <w:rsid w:val="00CD4548"/>
    <w:rsid w:val="00CD4E66"/>
    <w:rsid w:val="00CD4EDE"/>
    <w:rsid w:val="00CD5A4E"/>
    <w:rsid w:val="00CD5F0F"/>
    <w:rsid w:val="00CD62DB"/>
    <w:rsid w:val="00CD64BF"/>
    <w:rsid w:val="00CD6547"/>
    <w:rsid w:val="00CD672B"/>
    <w:rsid w:val="00CD6ADC"/>
    <w:rsid w:val="00CD700B"/>
    <w:rsid w:val="00CD707F"/>
    <w:rsid w:val="00CD7193"/>
    <w:rsid w:val="00CD7C45"/>
    <w:rsid w:val="00CD7F29"/>
    <w:rsid w:val="00CE0425"/>
    <w:rsid w:val="00CE0F7D"/>
    <w:rsid w:val="00CE1C99"/>
    <w:rsid w:val="00CE27F3"/>
    <w:rsid w:val="00CE379E"/>
    <w:rsid w:val="00CE38C8"/>
    <w:rsid w:val="00CE3BD0"/>
    <w:rsid w:val="00CE5113"/>
    <w:rsid w:val="00CE524F"/>
    <w:rsid w:val="00CE5851"/>
    <w:rsid w:val="00CE58CC"/>
    <w:rsid w:val="00CE5A5C"/>
    <w:rsid w:val="00CE5E98"/>
    <w:rsid w:val="00CE6274"/>
    <w:rsid w:val="00CE68FB"/>
    <w:rsid w:val="00CE6E63"/>
    <w:rsid w:val="00CE6F4A"/>
    <w:rsid w:val="00CE70D9"/>
    <w:rsid w:val="00CE7445"/>
    <w:rsid w:val="00CE77B6"/>
    <w:rsid w:val="00CF0D2C"/>
    <w:rsid w:val="00CF13EB"/>
    <w:rsid w:val="00CF14DE"/>
    <w:rsid w:val="00CF211A"/>
    <w:rsid w:val="00CF2381"/>
    <w:rsid w:val="00CF2531"/>
    <w:rsid w:val="00CF28B6"/>
    <w:rsid w:val="00CF2903"/>
    <w:rsid w:val="00CF2B8D"/>
    <w:rsid w:val="00CF39AD"/>
    <w:rsid w:val="00CF3A1B"/>
    <w:rsid w:val="00CF3BD3"/>
    <w:rsid w:val="00CF3C03"/>
    <w:rsid w:val="00CF3EB6"/>
    <w:rsid w:val="00CF4005"/>
    <w:rsid w:val="00CF405C"/>
    <w:rsid w:val="00CF41C7"/>
    <w:rsid w:val="00CF4389"/>
    <w:rsid w:val="00CF456B"/>
    <w:rsid w:val="00CF499E"/>
    <w:rsid w:val="00CF4A06"/>
    <w:rsid w:val="00CF4C85"/>
    <w:rsid w:val="00CF50CE"/>
    <w:rsid w:val="00CF5A22"/>
    <w:rsid w:val="00CF6766"/>
    <w:rsid w:val="00CF72AD"/>
    <w:rsid w:val="00D00A7F"/>
    <w:rsid w:val="00D0113B"/>
    <w:rsid w:val="00D01270"/>
    <w:rsid w:val="00D0262E"/>
    <w:rsid w:val="00D03513"/>
    <w:rsid w:val="00D03679"/>
    <w:rsid w:val="00D04718"/>
    <w:rsid w:val="00D049E2"/>
    <w:rsid w:val="00D0557D"/>
    <w:rsid w:val="00D05B33"/>
    <w:rsid w:val="00D05E3D"/>
    <w:rsid w:val="00D05FCF"/>
    <w:rsid w:val="00D06139"/>
    <w:rsid w:val="00D0671E"/>
    <w:rsid w:val="00D06C73"/>
    <w:rsid w:val="00D06F48"/>
    <w:rsid w:val="00D079D5"/>
    <w:rsid w:val="00D07A4A"/>
    <w:rsid w:val="00D07AE1"/>
    <w:rsid w:val="00D07BF1"/>
    <w:rsid w:val="00D07DFD"/>
    <w:rsid w:val="00D10BD4"/>
    <w:rsid w:val="00D110BD"/>
    <w:rsid w:val="00D112EB"/>
    <w:rsid w:val="00D11444"/>
    <w:rsid w:val="00D1155A"/>
    <w:rsid w:val="00D1249F"/>
    <w:rsid w:val="00D12C81"/>
    <w:rsid w:val="00D13049"/>
    <w:rsid w:val="00D13675"/>
    <w:rsid w:val="00D136F3"/>
    <w:rsid w:val="00D13973"/>
    <w:rsid w:val="00D13D1B"/>
    <w:rsid w:val="00D141E1"/>
    <w:rsid w:val="00D14265"/>
    <w:rsid w:val="00D15269"/>
    <w:rsid w:val="00D15314"/>
    <w:rsid w:val="00D15B48"/>
    <w:rsid w:val="00D15F43"/>
    <w:rsid w:val="00D16275"/>
    <w:rsid w:val="00D16576"/>
    <w:rsid w:val="00D1685E"/>
    <w:rsid w:val="00D17720"/>
    <w:rsid w:val="00D17A75"/>
    <w:rsid w:val="00D17D6C"/>
    <w:rsid w:val="00D20497"/>
    <w:rsid w:val="00D20D34"/>
    <w:rsid w:val="00D212C0"/>
    <w:rsid w:val="00D21451"/>
    <w:rsid w:val="00D2155B"/>
    <w:rsid w:val="00D21908"/>
    <w:rsid w:val="00D219D8"/>
    <w:rsid w:val="00D21A0F"/>
    <w:rsid w:val="00D21A1C"/>
    <w:rsid w:val="00D21D49"/>
    <w:rsid w:val="00D221DD"/>
    <w:rsid w:val="00D225CB"/>
    <w:rsid w:val="00D22C6C"/>
    <w:rsid w:val="00D22F23"/>
    <w:rsid w:val="00D237C0"/>
    <w:rsid w:val="00D23964"/>
    <w:rsid w:val="00D2399C"/>
    <w:rsid w:val="00D23D11"/>
    <w:rsid w:val="00D244B6"/>
    <w:rsid w:val="00D2453F"/>
    <w:rsid w:val="00D25238"/>
    <w:rsid w:val="00D25A7F"/>
    <w:rsid w:val="00D25C4C"/>
    <w:rsid w:val="00D2604A"/>
    <w:rsid w:val="00D26D6C"/>
    <w:rsid w:val="00D2754D"/>
    <w:rsid w:val="00D27B27"/>
    <w:rsid w:val="00D30C97"/>
    <w:rsid w:val="00D30D5B"/>
    <w:rsid w:val="00D31C39"/>
    <w:rsid w:val="00D32795"/>
    <w:rsid w:val="00D3301B"/>
    <w:rsid w:val="00D332F1"/>
    <w:rsid w:val="00D3347E"/>
    <w:rsid w:val="00D339C3"/>
    <w:rsid w:val="00D33BE9"/>
    <w:rsid w:val="00D33C9A"/>
    <w:rsid w:val="00D33F93"/>
    <w:rsid w:val="00D343F5"/>
    <w:rsid w:val="00D344FD"/>
    <w:rsid w:val="00D3470E"/>
    <w:rsid w:val="00D34EDA"/>
    <w:rsid w:val="00D350E6"/>
    <w:rsid w:val="00D357FF"/>
    <w:rsid w:val="00D36089"/>
    <w:rsid w:val="00D3614D"/>
    <w:rsid w:val="00D3627C"/>
    <w:rsid w:val="00D362B0"/>
    <w:rsid w:val="00D3692A"/>
    <w:rsid w:val="00D37997"/>
    <w:rsid w:val="00D4029B"/>
    <w:rsid w:val="00D40611"/>
    <w:rsid w:val="00D41042"/>
    <w:rsid w:val="00D41EDF"/>
    <w:rsid w:val="00D424C7"/>
    <w:rsid w:val="00D428E4"/>
    <w:rsid w:val="00D42963"/>
    <w:rsid w:val="00D42BCD"/>
    <w:rsid w:val="00D42DF1"/>
    <w:rsid w:val="00D4380C"/>
    <w:rsid w:val="00D43B2A"/>
    <w:rsid w:val="00D43CF1"/>
    <w:rsid w:val="00D43D83"/>
    <w:rsid w:val="00D445C7"/>
    <w:rsid w:val="00D446B0"/>
    <w:rsid w:val="00D446ED"/>
    <w:rsid w:val="00D45616"/>
    <w:rsid w:val="00D45F89"/>
    <w:rsid w:val="00D4600C"/>
    <w:rsid w:val="00D46294"/>
    <w:rsid w:val="00D463C2"/>
    <w:rsid w:val="00D46959"/>
    <w:rsid w:val="00D472C9"/>
    <w:rsid w:val="00D47313"/>
    <w:rsid w:val="00D4744B"/>
    <w:rsid w:val="00D47575"/>
    <w:rsid w:val="00D47A46"/>
    <w:rsid w:val="00D501AD"/>
    <w:rsid w:val="00D5049E"/>
    <w:rsid w:val="00D5061F"/>
    <w:rsid w:val="00D512CA"/>
    <w:rsid w:val="00D51C4C"/>
    <w:rsid w:val="00D52391"/>
    <w:rsid w:val="00D5243B"/>
    <w:rsid w:val="00D52917"/>
    <w:rsid w:val="00D52AB1"/>
    <w:rsid w:val="00D52C8A"/>
    <w:rsid w:val="00D530C4"/>
    <w:rsid w:val="00D533EC"/>
    <w:rsid w:val="00D541AA"/>
    <w:rsid w:val="00D54575"/>
    <w:rsid w:val="00D54684"/>
    <w:rsid w:val="00D54A5F"/>
    <w:rsid w:val="00D55698"/>
    <w:rsid w:val="00D562AE"/>
    <w:rsid w:val="00D569D4"/>
    <w:rsid w:val="00D56A67"/>
    <w:rsid w:val="00D56A95"/>
    <w:rsid w:val="00D56EB4"/>
    <w:rsid w:val="00D57507"/>
    <w:rsid w:val="00D5757A"/>
    <w:rsid w:val="00D5770C"/>
    <w:rsid w:val="00D57A2D"/>
    <w:rsid w:val="00D57A36"/>
    <w:rsid w:val="00D57C1F"/>
    <w:rsid w:val="00D57C5F"/>
    <w:rsid w:val="00D57D70"/>
    <w:rsid w:val="00D57DBE"/>
    <w:rsid w:val="00D57EAF"/>
    <w:rsid w:val="00D6076E"/>
    <w:rsid w:val="00D613AC"/>
    <w:rsid w:val="00D628DD"/>
    <w:rsid w:val="00D631CF"/>
    <w:rsid w:val="00D63B99"/>
    <w:rsid w:val="00D6407D"/>
    <w:rsid w:val="00D6440E"/>
    <w:rsid w:val="00D64DDA"/>
    <w:rsid w:val="00D6516B"/>
    <w:rsid w:val="00D6517D"/>
    <w:rsid w:val="00D65672"/>
    <w:rsid w:val="00D6589E"/>
    <w:rsid w:val="00D65A90"/>
    <w:rsid w:val="00D66609"/>
    <w:rsid w:val="00D6688E"/>
    <w:rsid w:val="00D66D0C"/>
    <w:rsid w:val="00D702D5"/>
    <w:rsid w:val="00D7056C"/>
    <w:rsid w:val="00D70BBB"/>
    <w:rsid w:val="00D70F16"/>
    <w:rsid w:val="00D7103B"/>
    <w:rsid w:val="00D711E6"/>
    <w:rsid w:val="00D71372"/>
    <w:rsid w:val="00D722D5"/>
    <w:rsid w:val="00D72617"/>
    <w:rsid w:val="00D72F57"/>
    <w:rsid w:val="00D73511"/>
    <w:rsid w:val="00D7359D"/>
    <w:rsid w:val="00D73940"/>
    <w:rsid w:val="00D73D62"/>
    <w:rsid w:val="00D73F2E"/>
    <w:rsid w:val="00D7443C"/>
    <w:rsid w:val="00D74C9D"/>
    <w:rsid w:val="00D7527F"/>
    <w:rsid w:val="00D76027"/>
    <w:rsid w:val="00D76302"/>
    <w:rsid w:val="00D76397"/>
    <w:rsid w:val="00D76A44"/>
    <w:rsid w:val="00D77378"/>
    <w:rsid w:val="00D77426"/>
    <w:rsid w:val="00D77F1E"/>
    <w:rsid w:val="00D80BED"/>
    <w:rsid w:val="00D80E56"/>
    <w:rsid w:val="00D8109E"/>
    <w:rsid w:val="00D81474"/>
    <w:rsid w:val="00D815EF"/>
    <w:rsid w:val="00D81732"/>
    <w:rsid w:val="00D81949"/>
    <w:rsid w:val="00D81D25"/>
    <w:rsid w:val="00D81F26"/>
    <w:rsid w:val="00D820B6"/>
    <w:rsid w:val="00D82257"/>
    <w:rsid w:val="00D822E2"/>
    <w:rsid w:val="00D8250D"/>
    <w:rsid w:val="00D82DB9"/>
    <w:rsid w:val="00D82E62"/>
    <w:rsid w:val="00D82FCD"/>
    <w:rsid w:val="00D843F2"/>
    <w:rsid w:val="00D8464F"/>
    <w:rsid w:val="00D84C13"/>
    <w:rsid w:val="00D84DBB"/>
    <w:rsid w:val="00D85320"/>
    <w:rsid w:val="00D855C4"/>
    <w:rsid w:val="00D85AEF"/>
    <w:rsid w:val="00D85CF0"/>
    <w:rsid w:val="00D86231"/>
    <w:rsid w:val="00D86275"/>
    <w:rsid w:val="00D8628F"/>
    <w:rsid w:val="00D862AA"/>
    <w:rsid w:val="00D864A4"/>
    <w:rsid w:val="00D86EC9"/>
    <w:rsid w:val="00D875B9"/>
    <w:rsid w:val="00D905C5"/>
    <w:rsid w:val="00D912AB"/>
    <w:rsid w:val="00D917EE"/>
    <w:rsid w:val="00D91923"/>
    <w:rsid w:val="00D91B0C"/>
    <w:rsid w:val="00D91DFA"/>
    <w:rsid w:val="00D91EF7"/>
    <w:rsid w:val="00D91F4E"/>
    <w:rsid w:val="00D92546"/>
    <w:rsid w:val="00D92F98"/>
    <w:rsid w:val="00D9313F"/>
    <w:rsid w:val="00D93510"/>
    <w:rsid w:val="00D93753"/>
    <w:rsid w:val="00D93C92"/>
    <w:rsid w:val="00D94C87"/>
    <w:rsid w:val="00D9552C"/>
    <w:rsid w:val="00D95BFE"/>
    <w:rsid w:val="00D9634E"/>
    <w:rsid w:val="00D9639E"/>
    <w:rsid w:val="00D96638"/>
    <w:rsid w:val="00D97765"/>
    <w:rsid w:val="00D97B67"/>
    <w:rsid w:val="00DA0A0A"/>
    <w:rsid w:val="00DA0D5B"/>
    <w:rsid w:val="00DA0F1A"/>
    <w:rsid w:val="00DA0FB0"/>
    <w:rsid w:val="00DA17BA"/>
    <w:rsid w:val="00DA1EEE"/>
    <w:rsid w:val="00DA25B4"/>
    <w:rsid w:val="00DA2B87"/>
    <w:rsid w:val="00DA3167"/>
    <w:rsid w:val="00DA3402"/>
    <w:rsid w:val="00DA3714"/>
    <w:rsid w:val="00DA3815"/>
    <w:rsid w:val="00DA3BF0"/>
    <w:rsid w:val="00DA40C9"/>
    <w:rsid w:val="00DA427C"/>
    <w:rsid w:val="00DA4803"/>
    <w:rsid w:val="00DA4913"/>
    <w:rsid w:val="00DA4C73"/>
    <w:rsid w:val="00DA4DC3"/>
    <w:rsid w:val="00DA77A5"/>
    <w:rsid w:val="00DA77D9"/>
    <w:rsid w:val="00DA7A9F"/>
    <w:rsid w:val="00DA7C68"/>
    <w:rsid w:val="00DA7FC0"/>
    <w:rsid w:val="00DB060E"/>
    <w:rsid w:val="00DB09CB"/>
    <w:rsid w:val="00DB0E36"/>
    <w:rsid w:val="00DB10C3"/>
    <w:rsid w:val="00DB1220"/>
    <w:rsid w:val="00DB1288"/>
    <w:rsid w:val="00DB1AFA"/>
    <w:rsid w:val="00DB1FFE"/>
    <w:rsid w:val="00DB2182"/>
    <w:rsid w:val="00DB223B"/>
    <w:rsid w:val="00DB3145"/>
    <w:rsid w:val="00DB31DC"/>
    <w:rsid w:val="00DB34CE"/>
    <w:rsid w:val="00DB3ADC"/>
    <w:rsid w:val="00DB3DBF"/>
    <w:rsid w:val="00DB3FE5"/>
    <w:rsid w:val="00DB4733"/>
    <w:rsid w:val="00DB484F"/>
    <w:rsid w:val="00DB4B1F"/>
    <w:rsid w:val="00DB515A"/>
    <w:rsid w:val="00DB562C"/>
    <w:rsid w:val="00DB57A9"/>
    <w:rsid w:val="00DB6818"/>
    <w:rsid w:val="00DB6B01"/>
    <w:rsid w:val="00DB7106"/>
    <w:rsid w:val="00DB73EC"/>
    <w:rsid w:val="00DC011D"/>
    <w:rsid w:val="00DC02E2"/>
    <w:rsid w:val="00DC04F6"/>
    <w:rsid w:val="00DC0607"/>
    <w:rsid w:val="00DC0690"/>
    <w:rsid w:val="00DC077D"/>
    <w:rsid w:val="00DC07D9"/>
    <w:rsid w:val="00DC116A"/>
    <w:rsid w:val="00DC13F9"/>
    <w:rsid w:val="00DC167C"/>
    <w:rsid w:val="00DC1D65"/>
    <w:rsid w:val="00DC1F06"/>
    <w:rsid w:val="00DC233F"/>
    <w:rsid w:val="00DC2835"/>
    <w:rsid w:val="00DC2A95"/>
    <w:rsid w:val="00DC31BF"/>
    <w:rsid w:val="00DC325C"/>
    <w:rsid w:val="00DC37A0"/>
    <w:rsid w:val="00DC3A6D"/>
    <w:rsid w:val="00DC3C52"/>
    <w:rsid w:val="00DC3C57"/>
    <w:rsid w:val="00DC404C"/>
    <w:rsid w:val="00DC4059"/>
    <w:rsid w:val="00DC422D"/>
    <w:rsid w:val="00DC4807"/>
    <w:rsid w:val="00DC50BC"/>
    <w:rsid w:val="00DC5357"/>
    <w:rsid w:val="00DC5501"/>
    <w:rsid w:val="00DC566D"/>
    <w:rsid w:val="00DC5B9C"/>
    <w:rsid w:val="00DC5DD4"/>
    <w:rsid w:val="00DC5DE4"/>
    <w:rsid w:val="00DC6081"/>
    <w:rsid w:val="00DC679B"/>
    <w:rsid w:val="00DC7154"/>
    <w:rsid w:val="00DC7479"/>
    <w:rsid w:val="00DC7731"/>
    <w:rsid w:val="00DC7CAD"/>
    <w:rsid w:val="00DC7E8A"/>
    <w:rsid w:val="00DC7F89"/>
    <w:rsid w:val="00DD0C60"/>
    <w:rsid w:val="00DD0F78"/>
    <w:rsid w:val="00DD24CA"/>
    <w:rsid w:val="00DD2515"/>
    <w:rsid w:val="00DD26EB"/>
    <w:rsid w:val="00DD273C"/>
    <w:rsid w:val="00DD295E"/>
    <w:rsid w:val="00DD3F28"/>
    <w:rsid w:val="00DD4446"/>
    <w:rsid w:val="00DD4537"/>
    <w:rsid w:val="00DD4E15"/>
    <w:rsid w:val="00DD53D5"/>
    <w:rsid w:val="00DD6404"/>
    <w:rsid w:val="00DD64A1"/>
    <w:rsid w:val="00DD72AD"/>
    <w:rsid w:val="00DD75B2"/>
    <w:rsid w:val="00DD7C55"/>
    <w:rsid w:val="00DE006B"/>
    <w:rsid w:val="00DE093F"/>
    <w:rsid w:val="00DE0AB3"/>
    <w:rsid w:val="00DE1233"/>
    <w:rsid w:val="00DE2004"/>
    <w:rsid w:val="00DE222C"/>
    <w:rsid w:val="00DE2304"/>
    <w:rsid w:val="00DE2987"/>
    <w:rsid w:val="00DE311C"/>
    <w:rsid w:val="00DE3138"/>
    <w:rsid w:val="00DE37F8"/>
    <w:rsid w:val="00DE3F04"/>
    <w:rsid w:val="00DE4273"/>
    <w:rsid w:val="00DE4279"/>
    <w:rsid w:val="00DE4FCB"/>
    <w:rsid w:val="00DE5281"/>
    <w:rsid w:val="00DE5D07"/>
    <w:rsid w:val="00DE60BC"/>
    <w:rsid w:val="00DE6233"/>
    <w:rsid w:val="00DE62C8"/>
    <w:rsid w:val="00DE694C"/>
    <w:rsid w:val="00DE6DD8"/>
    <w:rsid w:val="00DE72A7"/>
    <w:rsid w:val="00DE7693"/>
    <w:rsid w:val="00DE7832"/>
    <w:rsid w:val="00DF0D4D"/>
    <w:rsid w:val="00DF18FC"/>
    <w:rsid w:val="00DF1B9D"/>
    <w:rsid w:val="00DF1D18"/>
    <w:rsid w:val="00DF1F42"/>
    <w:rsid w:val="00DF2313"/>
    <w:rsid w:val="00DF2391"/>
    <w:rsid w:val="00DF2500"/>
    <w:rsid w:val="00DF2943"/>
    <w:rsid w:val="00DF2F59"/>
    <w:rsid w:val="00DF3540"/>
    <w:rsid w:val="00DF49BF"/>
    <w:rsid w:val="00DF5D2B"/>
    <w:rsid w:val="00DF6341"/>
    <w:rsid w:val="00DF679E"/>
    <w:rsid w:val="00DF72BB"/>
    <w:rsid w:val="00DF774B"/>
    <w:rsid w:val="00DFC3EE"/>
    <w:rsid w:val="00E00E8E"/>
    <w:rsid w:val="00E00F16"/>
    <w:rsid w:val="00E013CE"/>
    <w:rsid w:val="00E013FB"/>
    <w:rsid w:val="00E01A8C"/>
    <w:rsid w:val="00E01B3D"/>
    <w:rsid w:val="00E01B87"/>
    <w:rsid w:val="00E01FC8"/>
    <w:rsid w:val="00E0228B"/>
    <w:rsid w:val="00E02618"/>
    <w:rsid w:val="00E02747"/>
    <w:rsid w:val="00E02E9D"/>
    <w:rsid w:val="00E03AA6"/>
    <w:rsid w:val="00E03C21"/>
    <w:rsid w:val="00E043A7"/>
    <w:rsid w:val="00E047A9"/>
    <w:rsid w:val="00E0494A"/>
    <w:rsid w:val="00E04A63"/>
    <w:rsid w:val="00E05630"/>
    <w:rsid w:val="00E06131"/>
    <w:rsid w:val="00E06255"/>
    <w:rsid w:val="00E06443"/>
    <w:rsid w:val="00E06876"/>
    <w:rsid w:val="00E06AB6"/>
    <w:rsid w:val="00E06DBB"/>
    <w:rsid w:val="00E0763E"/>
    <w:rsid w:val="00E07803"/>
    <w:rsid w:val="00E10149"/>
    <w:rsid w:val="00E1031F"/>
    <w:rsid w:val="00E10D1D"/>
    <w:rsid w:val="00E10F6A"/>
    <w:rsid w:val="00E11340"/>
    <w:rsid w:val="00E11BA9"/>
    <w:rsid w:val="00E11EDB"/>
    <w:rsid w:val="00E11FE2"/>
    <w:rsid w:val="00E12086"/>
    <w:rsid w:val="00E122A1"/>
    <w:rsid w:val="00E12D77"/>
    <w:rsid w:val="00E14627"/>
    <w:rsid w:val="00E146D5"/>
    <w:rsid w:val="00E14C9A"/>
    <w:rsid w:val="00E14F26"/>
    <w:rsid w:val="00E15062"/>
    <w:rsid w:val="00E15175"/>
    <w:rsid w:val="00E1518C"/>
    <w:rsid w:val="00E1633B"/>
    <w:rsid w:val="00E16372"/>
    <w:rsid w:val="00E16551"/>
    <w:rsid w:val="00E16AD8"/>
    <w:rsid w:val="00E16CE6"/>
    <w:rsid w:val="00E174CD"/>
    <w:rsid w:val="00E17FFA"/>
    <w:rsid w:val="00E20C16"/>
    <w:rsid w:val="00E20C40"/>
    <w:rsid w:val="00E20E4D"/>
    <w:rsid w:val="00E20ED6"/>
    <w:rsid w:val="00E20F82"/>
    <w:rsid w:val="00E210CD"/>
    <w:rsid w:val="00E21358"/>
    <w:rsid w:val="00E21635"/>
    <w:rsid w:val="00E21AA4"/>
    <w:rsid w:val="00E21C76"/>
    <w:rsid w:val="00E21CE5"/>
    <w:rsid w:val="00E22004"/>
    <w:rsid w:val="00E22207"/>
    <w:rsid w:val="00E2249B"/>
    <w:rsid w:val="00E22A0D"/>
    <w:rsid w:val="00E231E1"/>
    <w:rsid w:val="00E232EF"/>
    <w:rsid w:val="00E2338C"/>
    <w:rsid w:val="00E23AA3"/>
    <w:rsid w:val="00E2432E"/>
    <w:rsid w:val="00E244F6"/>
    <w:rsid w:val="00E258DB"/>
    <w:rsid w:val="00E2650E"/>
    <w:rsid w:val="00E26A9C"/>
    <w:rsid w:val="00E26D64"/>
    <w:rsid w:val="00E271B4"/>
    <w:rsid w:val="00E2749C"/>
    <w:rsid w:val="00E2771E"/>
    <w:rsid w:val="00E278CE"/>
    <w:rsid w:val="00E30016"/>
    <w:rsid w:val="00E3019F"/>
    <w:rsid w:val="00E30DF9"/>
    <w:rsid w:val="00E31171"/>
    <w:rsid w:val="00E311EF"/>
    <w:rsid w:val="00E31874"/>
    <w:rsid w:val="00E31D5B"/>
    <w:rsid w:val="00E32180"/>
    <w:rsid w:val="00E32299"/>
    <w:rsid w:val="00E32350"/>
    <w:rsid w:val="00E323D8"/>
    <w:rsid w:val="00E328F2"/>
    <w:rsid w:val="00E32CC5"/>
    <w:rsid w:val="00E332B8"/>
    <w:rsid w:val="00E336F8"/>
    <w:rsid w:val="00E33700"/>
    <w:rsid w:val="00E33802"/>
    <w:rsid w:val="00E3390F"/>
    <w:rsid w:val="00E33E36"/>
    <w:rsid w:val="00E34280"/>
    <w:rsid w:val="00E34347"/>
    <w:rsid w:val="00E34791"/>
    <w:rsid w:val="00E348A7"/>
    <w:rsid w:val="00E34948"/>
    <w:rsid w:val="00E349E3"/>
    <w:rsid w:val="00E3516B"/>
    <w:rsid w:val="00E3522B"/>
    <w:rsid w:val="00E359F4"/>
    <w:rsid w:val="00E36CBD"/>
    <w:rsid w:val="00E372E7"/>
    <w:rsid w:val="00E37569"/>
    <w:rsid w:val="00E37D63"/>
    <w:rsid w:val="00E401B2"/>
    <w:rsid w:val="00E40349"/>
    <w:rsid w:val="00E4041A"/>
    <w:rsid w:val="00E40E5C"/>
    <w:rsid w:val="00E41E30"/>
    <w:rsid w:val="00E4201C"/>
    <w:rsid w:val="00E427F7"/>
    <w:rsid w:val="00E42B81"/>
    <w:rsid w:val="00E42C93"/>
    <w:rsid w:val="00E42F73"/>
    <w:rsid w:val="00E437A7"/>
    <w:rsid w:val="00E43D70"/>
    <w:rsid w:val="00E444B6"/>
    <w:rsid w:val="00E452FA"/>
    <w:rsid w:val="00E45D9A"/>
    <w:rsid w:val="00E46609"/>
    <w:rsid w:val="00E466F3"/>
    <w:rsid w:val="00E47312"/>
    <w:rsid w:val="00E47B2C"/>
    <w:rsid w:val="00E47BC1"/>
    <w:rsid w:val="00E51347"/>
    <w:rsid w:val="00E51560"/>
    <w:rsid w:val="00E5176B"/>
    <w:rsid w:val="00E51821"/>
    <w:rsid w:val="00E51B90"/>
    <w:rsid w:val="00E51BB5"/>
    <w:rsid w:val="00E52D5F"/>
    <w:rsid w:val="00E53F2B"/>
    <w:rsid w:val="00E53FC8"/>
    <w:rsid w:val="00E541DC"/>
    <w:rsid w:val="00E54347"/>
    <w:rsid w:val="00E548EE"/>
    <w:rsid w:val="00E55424"/>
    <w:rsid w:val="00E557F7"/>
    <w:rsid w:val="00E55915"/>
    <w:rsid w:val="00E55BB5"/>
    <w:rsid w:val="00E56139"/>
    <w:rsid w:val="00E570C1"/>
    <w:rsid w:val="00E57524"/>
    <w:rsid w:val="00E60E38"/>
    <w:rsid w:val="00E611DF"/>
    <w:rsid w:val="00E61567"/>
    <w:rsid w:val="00E63170"/>
    <w:rsid w:val="00E639B2"/>
    <w:rsid w:val="00E64100"/>
    <w:rsid w:val="00E64624"/>
    <w:rsid w:val="00E658C1"/>
    <w:rsid w:val="00E65A7E"/>
    <w:rsid w:val="00E65E79"/>
    <w:rsid w:val="00E6655E"/>
    <w:rsid w:val="00E6669F"/>
    <w:rsid w:val="00E66BA2"/>
    <w:rsid w:val="00E67416"/>
    <w:rsid w:val="00E67601"/>
    <w:rsid w:val="00E67711"/>
    <w:rsid w:val="00E70BAA"/>
    <w:rsid w:val="00E70D45"/>
    <w:rsid w:val="00E71795"/>
    <w:rsid w:val="00E718B6"/>
    <w:rsid w:val="00E72219"/>
    <w:rsid w:val="00E723BA"/>
    <w:rsid w:val="00E73581"/>
    <w:rsid w:val="00E737C3"/>
    <w:rsid w:val="00E73CB2"/>
    <w:rsid w:val="00E73D1B"/>
    <w:rsid w:val="00E73F6B"/>
    <w:rsid w:val="00E747F7"/>
    <w:rsid w:val="00E748F3"/>
    <w:rsid w:val="00E74E5D"/>
    <w:rsid w:val="00E75CBC"/>
    <w:rsid w:val="00E75DAF"/>
    <w:rsid w:val="00E76C9E"/>
    <w:rsid w:val="00E7759A"/>
    <w:rsid w:val="00E81FB9"/>
    <w:rsid w:val="00E820B2"/>
    <w:rsid w:val="00E8240E"/>
    <w:rsid w:val="00E82F55"/>
    <w:rsid w:val="00E82FD5"/>
    <w:rsid w:val="00E833F7"/>
    <w:rsid w:val="00E8352D"/>
    <w:rsid w:val="00E83A05"/>
    <w:rsid w:val="00E83BDF"/>
    <w:rsid w:val="00E843EB"/>
    <w:rsid w:val="00E84E17"/>
    <w:rsid w:val="00E84E5A"/>
    <w:rsid w:val="00E85536"/>
    <w:rsid w:val="00E85714"/>
    <w:rsid w:val="00E85C32"/>
    <w:rsid w:val="00E8646A"/>
    <w:rsid w:val="00E867A6"/>
    <w:rsid w:val="00E86C34"/>
    <w:rsid w:val="00E86FCC"/>
    <w:rsid w:val="00E872C2"/>
    <w:rsid w:val="00E87A1D"/>
    <w:rsid w:val="00E87B3E"/>
    <w:rsid w:val="00E90443"/>
    <w:rsid w:val="00E90661"/>
    <w:rsid w:val="00E9094A"/>
    <w:rsid w:val="00E90CA9"/>
    <w:rsid w:val="00E91019"/>
    <w:rsid w:val="00E91479"/>
    <w:rsid w:val="00E9177C"/>
    <w:rsid w:val="00E91B06"/>
    <w:rsid w:val="00E91D35"/>
    <w:rsid w:val="00E926A5"/>
    <w:rsid w:val="00E92E48"/>
    <w:rsid w:val="00E936CE"/>
    <w:rsid w:val="00E93715"/>
    <w:rsid w:val="00E93DBB"/>
    <w:rsid w:val="00E93F6C"/>
    <w:rsid w:val="00E9530E"/>
    <w:rsid w:val="00E9569F"/>
    <w:rsid w:val="00E956CD"/>
    <w:rsid w:val="00E95871"/>
    <w:rsid w:val="00E95A6B"/>
    <w:rsid w:val="00E95AEB"/>
    <w:rsid w:val="00E95F4C"/>
    <w:rsid w:val="00E962CC"/>
    <w:rsid w:val="00E964E1"/>
    <w:rsid w:val="00E9696C"/>
    <w:rsid w:val="00E96D96"/>
    <w:rsid w:val="00E96DE7"/>
    <w:rsid w:val="00E9782F"/>
    <w:rsid w:val="00E978F4"/>
    <w:rsid w:val="00E97C56"/>
    <w:rsid w:val="00E97E02"/>
    <w:rsid w:val="00E97F93"/>
    <w:rsid w:val="00EA0167"/>
    <w:rsid w:val="00EA0170"/>
    <w:rsid w:val="00EA0424"/>
    <w:rsid w:val="00EA06A3"/>
    <w:rsid w:val="00EA121F"/>
    <w:rsid w:val="00EA169B"/>
    <w:rsid w:val="00EA17A3"/>
    <w:rsid w:val="00EA17C3"/>
    <w:rsid w:val="00EA1CE6"/>
    <w:rsid w:val="00EA20B6"/>
    <w:rsid w:val="00EA281D"/>
    <w:rsid w:val="00EA2C5C"/>
    <w:rsid w:val="00EA2CAA"/>
    <w:rsid w:val="00EA2CFC"/>
    <w:rsid w:val="00EA3376"/>
    <w:rsid w:val="00EA3574"/>
    <w:rsid w:val="00EA3689"/>
    <w:rsid w:val="00EA37DA"/>
    <w:rsid w:val="00EA3864"/>
    <w:rsid w:val="00EA400A"/>
    <w:rsid w:val="00EA4189"/>
    <w:rsid w:val="00EA4A5B"/>
    <w:rsid w:val="00EA4A81"/>
    <w:rsid w:val="00EA4F80"/>
    <w:rsid w:val="00EA500E"/>
    <w:rsid w:val="00EA512B"/>
    <w:rsid w:val="00EA5560"/>
    <w:rsid w:val="00EA56DA"/>
    <w:rsid w:val="00EA5819"/>
    <w:rsid w:val="00EA5979"/>
    <w:rsid w:val="00EA6C69"/>
    <w:rsid w:val="00EA7307"/>
    <w:rsid w:val="00EA7341"/>
    <w:rsid w:val="00EA7522"/>
    <w:rsid w:val="00EA78A6"/>
    <w:rsid w:val="00EA7F1C"/>
    <w:rsid w:val="00EB072F"/>
    <w:rsid w:val="00EB0D02"/>
    <w:rsid w:val="00EB0FB2"/>
    <w:rsid w:val="00EB15B6"/>
    <w:rsid w:val="00EB28CD"/>
    <w:rsid w:val="00EB2D68"/>
    <w:rsid w:val="00EB2F71"/>
    <w:rsid w:val="00EB390E"/>
    <w:rsid w:val="00EB3D06"/>
    <w:rsid w:val="00EB3F17"/>
    <w:rsid w:val="00EB4916"/>
    <w:rsid w:val="00EB4DF8"/>
    <w:rsid w:val="00EB4E86"/>
    <w:rsid w:val="00EB590D"/>
    <w:rsid w:val="00EB5EE2"/>
    <w:rsid w:val="00EB6889"/>
    <w:rsid w:val="00EB6BB4"/>
    <w:rsid w:val="00EB7411"/>
    <w:rsid w:val="00EC00C9"/>
    <w:rsid w:val="00EC0A22"/>
    <w:rsid w:val="00EC0DD9"/>
    <w:rsid w:val="00EC130C"/>
    <w:rsid w:val="00EC173E"/>
    <w:rsid w:val="00EC194E"/>
    <w:rsid w:val="00EC2649"/>
    <w:rsid w:val="00EC2779"/>
    <w:rsid w:val="00EC31ED"/>
    <w:rsid w:val="00EC3782"/>
    <w:rsid w:val="00EC39C3"/>
    <w:rsid w:val="00EC4378"/>
    <w:rsid w:val="00EC481F"/>
    <w:rsid w:val="00EC4F31"/>
    <w:rsid w:val="00EC4FEC"/>
    <w:rsid w:val="00EC520D"/>
    <w:rsid w:val="00EC582C"/>
    <w:rsid w:val="00EC5836"/>
    <w:rsid w:val="00EC6814"/>
    <w:rsid w:val="00EC688C"/>
    <w:rsid w:val="00EC68C9"/>
    <w:rsid w:val="00EC68D4"/>
    <w:rsid w:val="00EC77AD"/>
    <w:rsid w:val="00EC7953"/>
    <w:rsid w:val="00EC7F37"/>
    <w:rsid w:val="00ED0A94"/>
    <w:rsid w:val="00ED12E3"/>
    <w:rsid w:val="00ED14C9"/>
    <w:rsid w:val="00ED14D3"/>
    <w:rsid w:val="00ED168D"/>
    <w:rsid w:val="00ED1929"/>
    <w:rsid w:val="00ED19B9"/>
    <w:rsid w:val="00ED1B23"/>
    <w:rsid w:val="00ED1E1E"/>
    <w:rsid w:val="00ED22DC"/>
    <w:rsid w:val="00ED2A6A"/>
    <w:rsid w:val="00ED2BAA"/>
    <w:rsid w:val="00ED2F06"/>
    <w:rsid w:val="00ED37EB"/>
    <w:rsid w:val="00ED38B8"/>
    <w:rsid w:val="00ED416D"/>
    <w:rsid w:val="00ED42CF"/>
    <w:rsid w:val="00ED4881"/>
    <w:rsid w:val="00ED4B04"/>
    <w:rsid w:val="00ED57EA"/>
    <w:rsid w:val="00ED5BD4"/>
    <w:rsid w:val="00ED5C44"/>
    <w:rsid w:val="00ED5F20"/>
    <w:rsid w:val="00ED78F8"/>
    <w:rsid w:val="00EE06CA"/>
    <w:rsid w:val="00EE07D3"/>
    <w:rsid w:val="00EE155F"/>
    <w:rsid w:val="00EE170A"/>
    <w:rsid w:val="00EE1996"/>
    <w:rsid w:val="00EE1C01"/>
    <w:rsid w:val="00EE2108"/>
    <w:rsid w:val="00EE22AF"/>
    <w:rsid w:val="00EE2525"/>
    <w:rsid w:val="00EE4C66"/>
    <w:rsid w:val="00EE4CB1"/>
    <w:rsid w:val="00EE5738"/>
    <w:rsid w:val="00EE5A17"/>
    <w:rsid w:val="00EE60CA"/>
    <w:rsid w:val="00EE62AA"/>
    <w:rsid w:val="00EE71E0"/>
    <w:rsid w:val="00EE7CE6"/>
    <w:rsid w:val="00EF00F0"/>
    <w:rsid w:val="00EF0171"/>
    <w:rsid w:val="00EF03F9"/>
    <w:rsid w:val="00EF0955"/>
    <w:rsid w:val="00EF1B25"/>
    <w:rsid w:val="00EF1C3A"/>
    <w:rsid w:val="00EF1C5F"/>
    <w:rsid w:val="00EF1DA0"/>
    <w:rsid w:val="00EF1F3B"/>
    <w:rsid w:val="00EF1FA7"/>
    <w:rsid w:val="00EF2837"/>
    <w:rsid w:val="00EF283F"/>
    <w:rsid w:val="00EF2AF9"/>
    <w:rsid w:val="00EF3D53"/>
    <w:rsid w:val="00EF3EE7"/>
    <w:rsid w:val="00EF4609"/>
    <w:rsid w:val="00EF4747"/>
    <w:rsid w:val="00EF493C"/>
    <w:rsid w:val="00EF4BF8"/>
    <w:rsid w:val="00EF52B9"/>
    <w:rsid w:val="00EF6138"/>
    <w:rsid w:val="00EF64AE"/>
    <w:rsid w:val="00EF68EE"/>
    <w:rsid w:val="00EF742A"/>
    <w:rsid w:val="00EF751E"/>
    <w:rsid w:val="00EF7886"/>
    <w:rsid w:val="00F00BA3"/>
    <w:rsid w:val="00F017C0"/>
    <w:rsid w:val="00F01FF5"/>
    <w:rsid w:val="00F02253"/>
    <w:rsid w:val="00F0295C"/>
    <w:rsid w:val="00F03612"/>
    <w:rsid w:val="00F03C2E"/>
    <w:rsid w:val="00F042EA"/>
    <w:rsid w:val="00F04A66"/>
    <w:rsid w:val="00F04B4B"/>
    <w:rsid w:val="00F04F3C"/>
    <w:rsid w:val="00F0516C"/>
    <w:rsid w:val="00F0524E"/>
    <w:rsid w:val="00F057A5"/>
    <w:rsid w:val="00F06559"/>
    <w:rsid w:val="00F067A2"/>
    <w:rsid w:val="00F07B9E"/>
    <w:rsid w:val="00F10A8A"/>
    <w:rsid w:val="00F10AF9"/>
    <w:rsid w:val="00F1116F"/>
    <w:rsid w:val="00F11A7B"/>
    <w:rsid w:val="00F1263A"/>
    <w:rsid w:val="00F12BAF"/>
    <w:rsid w:val="00F134DE"/>
    <w:rsid w:val="00F13699"/>
    <w:rsid w:val="00F139C5"/>
    <w:rsid w:val="00F150A6"/>
    <w:rsid w:val="00F150EA"/>
    <w:rsid w:val="00F1549F"/>
    <w:rsid w:val="00F156B7"/>
    <w:rsid w:val="00F157D1"/>
    <w:rsid w:val="00F15B77"/>
    <w:rsid w:val="00F16102"/>
    <w:rsid w:val="00F16139"/>
    <w:rsid w:val="00F162BE"/>
    <w:rsid w:val="00F1640A"/>
    <w:rsid w:val="00F167F1"/>
    <w:rsid w:val="00F17223"/>
    <w:rsid w:val="00F17DF3"/>
    <w:rsid w:val="00F20547"/>
    <w:rsid w:val="00F20A19"/>
    <w:rsid w:val="00F20D37"/>
    <w:rsid w:val="00F20E1A"/>
    <w:rsid w:val="00F21236"/>
    <w:rsid w:val="00F213CB"/>
    <w:rsid w:val="00F21A7C"/>
    <w:rsid w:val="00F21FBE"/>
    <w:rsid w:val="00F2334B"/>
    <w:rsid w:val="00F233DE"/>
    <w:rsid w:val="00F2388B"/>
    <w:rsid w:val="00F23A0F"/>
    <w:rsid w:val="00F23B21"/>
    <w:rsid w:val="00F23CEE"/>
    <w:rsid w:val="00F24837"/>
    <w:rsid w:val="00F24BE1"/>
    <w:rsid w:val="00F24E37"/>
    <w:rsid w:val="00F251BF"/>
    <w:rsid w:val="00F2575F"/>
    <w:rsid w:val="00F258F8"/>
    <w:rsid w:val="00F25A0A"/>
    <w:rsid w:val="00F262FD"/>
    <w:rsid w:val="00F26319"/>
    <w:rsid w:val="00F26582"/>
    <w:rsid w:val="00F26602"/>
    <w:rsid w:val="00F27074"/>
    <w:rsid w:val="00F27565"/>
    <w:rsid w:val="00F277BF"/>
    <w:rsid w:val="00F27B21"/>
    <w:rsid w:val="00F310D4"/>
    <w:rsid w:val="00F31CD0"/>
    <w:rsid w:val="00F31D5A"/>
    <w:rsid w:val="00F31FDC"/>
    <w:rsid w:val="00F32792"/>
    <w:rsid w:val="00F32E66"/>
    <w:rsid w:val="00F32ED0"/>
    <w:rsid w:val="00F33975"/>
    <w:rsid w:val="00F33DE9"/>
    <w:rsid w:val="00F33DFE"/>
    <w:rsid w:val="00F341BC"/>
    <w:rsid w:val="00F3479D"/>
    <w:rsid w:val="00F34F0B"/>
    <w:rsid w:val="00F351DC"/>
    <w:rsid w:val="00F352BA"/>
    <w:rsid w:val="00F35A4D"/>
    <w:rsid w:val="00F35D01"/>
    <w:rsid w:val="00F35E6D"/>
    <w:rsid w:val="00F35F84"/>
    <w:rsid w:val="00F3619A"/>
    <w:rsid w:val="00F36216"/>
    <w:rsid w:val="00F36562"/>
    <w:rsid w:val="00F36C1A"/>
    <w:rsid w:val="00F36CF1"/>
    <w:rsid w:val="00F37015"/>
    <w:rsid w:val="00F37849"/>
    <w:rsid w:val="00F37C84"/>
    <w:rsid w:val="00F37D3F"/>
    <w:rsid w:val="00F37D54"/>
    <w:rsid w:val="00F4095E"/>
    <w:rsid w:val="00F40AAA"/>
    <w:rsid w:val="00F40BA7"/>
    <w:rsid w:val="00F40D3E"/>
    <w:rsid w:val="00F40F9D"/>
    <w:rsid w:val="00F410BA"/>
    <w:rsid w:val="00F411E9"/>
    <w:rsid w:val="00F416D7"/>
    <w:rsid w:val="00F41ACD"/>
    <w:rsid w:val="00F42690"/>
    <w:rsid w:val="00F426C0"/>
    <w:rsid w:val="00F42732"/>
    <w:rsid w:val="00F42A70"/>
    <w:rsid w:val="00F430DC"/>
    <w:rsid w:val="00F43827"/>
    <w:rsid w:val="00F43A7C"/>
    <w:rsid w:val="00F43EDD"/>
    <w:rsid w:val="00F43FA7"/>
    <w:rsid w:val="00F44AB6"/>
    <w:rsid w:val="00F44D9D"/>
    <w:rsid w:val="00F44DD7"/>
    <w:rsid w:val="00F46331"/>
    <w:rsid w:val="00F4680C"/>
    <w:rsid w:val="00F46CB6"/>
    <w:rsid w:val="00F4756D"/>
    <w:rsid w:val="00F475BD"/>
    <w:rsid w:val="00F476C2"/>
    <w:rsid w:val="00F47DE8"/>
    <w:rsid w:val="00F47FD8"/>
    <w:rsid w:val="00F505B6"/>
    <w:rsid w:val="00F50872"/>
    <w:rsid w:val="00F51E4C"/>
    <w:rsid w:val="00F520ED"/>
    <w:rsid w:val="00F53ABF"/>
    <w:rsid w:val="00F53D73"/>
    <w:rsid w:val="00F54264"/>
    <w:rsid w:val="00F542C1"/>
    <w:rsid w:val="00F54FBD"/>
    <w:rsid w:val="00F550E3"/>
    <w:rsid w:val="00F556A1"/>
    <w:rsid w:val="00F55CDF"/>
    <w:rsid w:val="00F55E73"/>
    <w:rsid w:val="00F55EDA"/>
    <w:rsid w:val="00F56014"/>
    <w:rsid w:val="00F56C80"/>
    <w:rsid w:val="00F56CA0"/>
    <w:rsid w:val="00F60092"/>
    <w:rsid w:val="00F60B91"/>
    <w:rsid w:val="00F6136C"/>
    <w:rsid w:val="00F6142E"/>
    <w:rsid w:val="00F61A69"/>
    <w:rsid w:val="00F61C18"/>
    <w:rsid w:val="00F61C59"/>
    <w:rsid w:val="00F61D4E"/>
    <w:rsid w:val="00F6307E"/>
    <w:rsid w:val="00F643CC"/>
    <w:rsid w:val="00F647C7"/>
    <w:rsid w:val="00F649C5"/>
    <w:rsid w:val="00F65805"/>
    <w:rsid w:val="00F65E24"/>
    <w:rsid w:val="00F65F4B"/>
    <w:rsid w:val="00F661CD"/>
    <w:rsid w:val="00F66307"/>
    <w:rsid w:val="00F665BB"/>
    <w:rsid w:val="00F666F4"/>
    <w:rsid w:val="00F67167"/>
    <w:rsid w:val="00F678ED"/>
    <w:rsid w:val="00F67A69"/>
    <w:rsid w:val="00F67C25"/>
    <w:rsid w:val="00F67C2F"/>
    <w:rsid w:val="00F7042D"/>
    <w:rsid w:val="00F70BFF"/>
    <w:rsid w:val="00F70C9D"/>
    <w:rsid w:val="00F70DF5"/>
    <w:rsid w:val="00F71C2C"/>
    <w:rsid w:val="00F71CAE"/>
    <w:rsid w:val="00F723C7"/>
    <w:rsid w:val="00F72A5F"/>
    <w:rsid w:val="00F73382"/>
    <w:rsid w:val="00F733DE"/>
    <w:rsid w:val="00F73978"/>
    <w:rsid w:val="00F73E08"/>
    <w:rsid w:val="00F74215"/>
    <w:rsid w:val="00F744D5"/>
    <w:rsid w:val="00F747E7"/>
    <w:rsid w:val="00F74CC4"/>
    <w:rsid w:val="00F74CD9"/>
    <w:rsid w:val="00F757AD"/>
    <w:rsid w:val="00F75A81"/>
    <w:rsid w:val="00F75AA3"/>
    <w:rsid w:val="00F75B68"/>
    <w:rsid w:val="00F76EA4"/>
    <w:rsid w:val="00F7763A"/>
    <w:rsid w:val="00F800EE"/>
    <w:rsid w:val="00F802D3"/>
    <w:rsid w:val="00F8076E"/>
    <w:rsid w:val="00F80A7B"/>
    <w:rsid w:val="00F80E5D"/>
    <w:rsid w:val="00F8166C"/>
    <w:rsid w:val="00F81CFF"/>
    <w:rsid w:val="00F81DED"/>
    <w:rsid w:val="00F81E74"/>
    <w:rsid w:val="00F81E78"/>
    <w:rsid w:val="00F82674"/>
    <w:rsid w:val="00F8285F"/>
    <w:rsid w:val="00F82901"/>
    <w:rsid w:val="00F83916"/>
    <w:rsid w:val="00F84175"/>
    <w:rsid w:val="00F84D6E"/>
    <w:rsid w:val="00F851CE"/>
    <w:rsid w:val="00F856FE"/>
    <w:rsid w:val="00F85C5B"/>
    <w:rsid w:val="00F8669A"/>
    <w:rsid w:val="00F86ED7"/>
    <w:rsid w:val="00F872BF"/>
    <w:rsid w:val="00F873BA"/>
    <w:rsid w:val="00F87CDC"/>
    <w:rsid w:val="00F9032A"/>
    <w:rsid w:val="00F90CDA"/>
    <w:rsid w:val="00F91219"/>
    <w:rsid w:val="00F91CD4"/>
    <w:rsid w:val="00F92295"/>
    <w:rsid w:val="00F92444"/>
    <w:rsid w:val="00F92C23"/>
    <w:rsid w:val="00F93420"/>
    <w:rsid w:val="00F9393E"/>
    <w:rsid w:val="00F9565D"/>
    <w:rsid w:val="00F95918"/>
    <w:rsid w:val="00F96711"/>
    <w:rsid w:val="00F96FD0"/>
    <w:rsid w:val="00F97659"/>
    <w:rsid w:val="00F979CE"/>
    <w:rsid w:val="00F97A78"/>
    <w:rsid w:val="00FA0463"/>
    <w:rsid w:val="00FA081F"/>
    <w:rsid w:val="00FA0B20"/>
    <w:rsid w:val="00FA0D7D"/>
    <w:rsid w:val="00FA0F34"/>
    <w:rsid w:val="00FA107D"/>
    <w:rsid w:val="00FA1401"/>
    <w:rsid w:val="00FA1B07"/>
    <w:rsid w:val="00FA1F99"/>
    <w:rsid w:val="00FA24E7"/>
    <w:rsid w:val="00FA250B"/>
    <w:rsid w:val="00FA258C"/>
    <w:rsid w:val="00FA2591"/>
    <w:rsid w:val="00FA4016"/>
    <w:rsid w:val="00FA52AF"/>
    <w:rsid w:val="00FA52FD"/>
    <w:rsid w:val="00FA5473"/>
    <w:rsid w:val="00FA550B"/>
    <w:rsid w:val="00FA5AA5"/>
    <w:rsid w:val="00FA5DC4"/>
    <w:rsid w:val="00FA5DF5"/>
    <w:rsid w:val="00FA5EE6"/>
    <w:rsid w:val="00FA6764"/>
    <w:rsid w:val="00FA70B6"/>
    <w:rsid w:val="00FA7956"/>
    <w:rsid w:val="00FA7CEF"/>
    <w:rsid w:val="00FB0148"/>
    <w:rsid w:val="00FB0824"/>
    <w:rsid w:val="00FB0F27"/>
    <w:rsid w:val="00FB1169"/>
    <w:rsid w:val="00FB150D"/>
    <w:rsid w:val="00FB1A42"/>
    <w:rsid w:val="00FB1B4C"/>
    <w:rsid w:val="00FB1BC7"/>
    <w:rsid w:val="00FB1EAF"/>
    <w:rsid w:val="00FB1F18"/>
    <w:rsid w:val="00FB2FCB"/>
    <w:rsid w:val="00FB30FD"/>
    <w:rsid w:val="00FB4933"/>
    <w:rsid w:val="00FB4C9C"/>
    <w:rsid w:val="00FB53FC"/>
    <w:rsid w:val="00FB5B3B"/>
    <w:rsid w:val="00FB60E1"/>
    <w:rsid w:val="00FB6357"/>
    <w:rsid w:val="00FB6A25"/>
    <w:rsid w:val="00FB77AF"/>
    <w:rsid w:val="00FB79D6"/>
    <w:rsid w:val="00FB7C55"/>
    <w:rsid w:val="00FB7CC5"/>
    <w:rsid w:val="00FC0368"/>
    <w:rsid w:val="00FC1074"/>
    <w:rsid w:val="00FC1513"/>
    <w:rsid w:val="00FC152B"/>
    <w:rsid w:val="00FC1884"/>
    <w:rsid w:val="00FC1A2E"/>
    <w:rsid w:val="00FC1C1D"/>
    <w:rsid w:val="00FC1C83"/>
    <w:rsid w:val="00FC1D2F"/>
    <w:rsid w:val="00FC2DC3"/>
    <w:rsid w:val="00FC371D"/>
    <w:rsid w:val="00FC4E2A"/>
    <w:rsid w:val="00FC54B2"/>
    <w:rsid w:val="00FC576A"/>
    <w:rsid w:val="00FC5B61"/>
    <w:rsid w:val="00FC5EE3"/>
    <w:rsid w:val="00FC5F0B"/>
    <w:rsid w:val="00FC6103"/>
    <w:rsid w:val="00FC6141"/>
    <w:rsid w:val="00FC65A2"/>
    <w:rsid w:val="00FC7922"/>
    <w:rsid w:val="00FC7FE5"/>
    <w:rsid w:val="00FD0AB6"/>
    <w:rsid w:val="00FD1A43"/>
    <w:rsid w:val="00FD1B6C"/>
    <w:rsid w:val="00FD1C35"/>
    <w:rsid w:val="00FD2100"/>
    <w:rsid w:val="00FD2841"/>
    <w:rsid w:val="00FD2DD3"/>
    <w:rsid w:val="00FD324E"/>
    <w:rsid w:val="00FD3E4D"/>
    <w:rsid w:val="00FD3FA8"/>
    <w:rsid w:val="00FD4134"/>
    <w:rsid w:val="00FD436C"/>
    <w:rsid w:val="00FD43C2"/>
    <w:rsid w:val="00FD446D"/>
    <w:rsid w:val="00FD4A20"/>
    <w:rsid w:val="00FD4F2C"/>
    <w:rsid w:val="00FD625C"/>
    <w:rsid w:val="00FD6394"/>
    <w:rsid w:val="00FD71DD"/>
    <w:rsid w:val="00FD7A30"/>
    <w:rsid w:val="00FE05D2"/>
    <w:rsid w:val="00FE072B"/>
    <w:rsid w:val="00FE07B5"/>
    <w:rsid w:val="00FE0E6C"/>
    <w:rsid w:val="00FE0F23"/>
    <w:rsid w:val="00FE1602"/>
    <w:rsid w:val="00FE1CDC"/>
    <w:rsid w:val="00FE3E97"/>
    <w:rsid w:val="00FE4320"/>
    <w:rsid w:val="00FE438E"/>
    <w:rsid w:val="00FE443E"/>
    <w:rsid w:val="00FE44ED"/>
    <w:rsid w:val="00FE50A3"/>
    <w:rsid w:val="00FE5D0F"/>
    <w:rsid w:val="00FE5F40"/>
    <w:rsid w:val="00FE601A"/>
    <w:rsid w:val="00FE6420"/>
    <w:rsid w:val="00FE64D2"/>
    <w:rsid w:val="00FE6889"/>
    <w:rsid w:val="00FE70C3"/>
    <w:rsid w:val="00FE7901"/>
    <w:rsid w:val="00FE7C33"/>
    <w:rsid w:val="00FF08BB"/>
    <w:rsid w:val="00FF18DF"/>
    <w:rsid w:val="00FF1A8B"/>
    <w:rsid w:val="00FF1FBF"/>
    <w:rsid w:val="00FF2585"/>
    <w:rsid w:val="00FF2AB1"/>
    <w:rsid w:val="00FF2AD9"/>
    <w:rsid w:val="00FF2CF6"/>
    <w:rsid w:val="00FF2D4A"/>
    <w:rsid w:val="00FF3035"/>
    <w:rsid w:val="00FF359F"/>
    <w:rsid w:val="00FF3659"/>
    <w:rsid w:val="00FF3C58"/>
    <w:rsid w:val="00FF3D97"/>
    <w:rsid w:val="00FF3DCF"/>
    <w:rsid w:val="00FF3F55"/>
    <w:rsid w:val="00FF4581"/>
    <w:rsid w:val="00FF492C"/>
    <w:rsid w:val="00FF498F"/>
    <w:rsid w:val="00FF4A21"/>
    <w:rsid w:val="00FF4F99"/>
    <w:rsid w:val="00FF4FA7"/>
    <w:rsid w:val="00FF5287"/>
    <w:rsid w:val="00FF555B"/>
    <w:rsid w:val="00FF56D0"/>
    <w:rsid w:val="00FF5AA3"/>
    <w:rsid w:val="00FF5AD8"/>
    <w:rsid w:val="00FF5DBF"/>
    <w:rsid w:val="00FF6EA4"/>
    <w:rsid w:val="00FF74B2"/>
    <w:rsid w:val="00FF784B"/>
    <w:rsid w:val="0195AD1C"/>
    <w:rsid w:val="01D09B3E"/>
    <w:rsid w:val="0273FF84"/>
    <w:rsid w:val="030D84E3"/>
    <w:rsid w:val="0314F55D"/>
    <w:rsid w:val="048D857A"/>
    <w:rsid w:val="04B40278"/>
    <w:rsid w:val="04C4BF0A"/>
    <w:rsid w:val="0537BAC8"/>
    <w:rsid w:val="058B096E"/>
    <w:rsid w:val="05D5BF0C"/>
    <w:rsid w:val="05E3165F"/>
    <w:rsid w:val="065F1572"/>
    <w:rsid w:val="06F5503B"/>
    <w:rsid w:val="08829E1D"/>
    <w:rsid w:val="08FEB4AD"/>
    <w:rsid w:val="0AC60DD4"/>
    <w:rsid w:val="0B7EE66B"/>
    <w:rsid w:val="0CB6B38A"/>
    <w:rsid w:val="0ED9FF01"/>
    <w:rsid w:val="0F83C48F"/>
    <w:rsid w:val="114D53E1"/>
    <w:rsid w:val="11ED0344"/>
    <w:rsid w:val="157956ED"/>
    <w:rsid w:val="15C23084"/>
    <w:rsid w:val="162AFB80"/>
    <w:rsid w:val="16637812"/>
    <w:rsid w:val="166DF0F1"/>
    <w:rsid w:val="19567567"/>
    <w:rsid w:val="19E2C95F"/>
    <w:rsid w:val="1A865679"/>
    <w:rsid w:val="1AA75858"/>
    <w:rsid w:val="1BFA3458"/>
    <w:rsid w:val="1CA94E25"/>
    <w:rsid w:val="1D37DC27"/>
    <w:rsid w:val="1D408834"/>
    <w:rsid w:val="1D422E78"/>
    <w:rsid w:val="1D9870C8"/>
    <w:rsid w:val="1F11DDAD"/>
    <w:rsid w:val="2105F8B1"/>
    <w:rsid w:val="21713CD9"/>
    <w:rsid w:val="219C19E4"/>
    <w:rsid w:val="21A2DCDA"/>
    <w:rsid w:val="223B736B"/>
    <w:rsid w:val="22D84543"/>
    <w:rsid w:val="2364FAE2"/>
    <w:rsid w:val="2503C76C"/>
    <w:rsid w:val="255022AB"/>
    <w:rsid w:val="259D9795"/>
    <w:rsid w:val="25D1C144"/>
    <w:rsid w:val="2A78F543"/>
    <w:rsid w:val="2B4CD1A8"/>
    <w:rsid w:val="2C550C92"/>
    <w:rsid w:val="2C9A2259"/>
    <w:rsid w:val="2D907502"/>
    <w:rsid w:val="2DBEC7EA"/>
    <w:rsid w:val="2E7E7EB3"/>
    <w:rsid w:val="2FC051F5"/>
    <w:rsid w:val="312FEB28"/>
    <w:rsid w:val="331C0075"/>
    <w:rsid w:val="33D4ACBE"/>
    <w:rsid w:val="346C3180"/>
    <w:rsid w:val="355B0DBB"/>
    <w:rsid w:val="35AC3A4A"/>
    <w:rsid w:val="372BD5F5"/>
    <w:rsid w:val="38F470C5"/>
    <w:rsid w:val="3AAB6AF6"/>
    <w:rsid w:val="3AB5779C"/>
    <w:rsid w:val="3ACEE75B"/>
    <w:rsid w:val="3AFF7C49"/>
    <w:rsid w:val="3C9B0EF1"/>
    <w:rsid w:val="3FD12DD8"/>
    <w:rsid w:val="3FF15730"/>
    <w:rsid w:val="40353001"/>
    <w:rsid w:val="403CB7E5"/>
    <w:rsid w:val="40897646"/>
    <w:rsid w:val="40F82102"/>
    <w:rsid w:val="4127394B"/>
    <w:rsid w:val="41B3D3DF"/>
    <w:rsid w:val="41D181EE"/>
    <w:rsid w:val="448FF483"/>
    <w:rsid w:val="46054CC1"/>
    <w:rsid w:val="4682DAFE"/>
    <w:rsid w:val="492E5BDF"/>
    <w:rsid w:val="49AF768D"/>
    <w:rsid w:val="4AFD3F9D"/>
    <w:rsid w:val="4B0FC3F0"/>
    <w:rsid w:val="4D1948AE"/>
    <w:rsid w:val="4E534EAE"/>
    <w:rsid w:val="4F9E9792"/>
    <w:rsid w:val="50D8A7CD"/>
    <w:rsid w:val="519188E3"/>
    <w:rsid w:val="5218DED1"/>
    <w:rsid w:val="5273420E"/>
    <w:rsid w:val="560B0AA7"/>
    <w:rsid w:val="56777AFE"/>
    <w:rsid w:val="56B59032"/>
    <w:rsid w:val="5A996E42"/>
    <w:rsid w:val="5AA467C3"/>
    <w:rsid w:val="5BE8BFD0"/>
    <w:rsid w:val="5D06C8B2"/>
    <w:rsid w:val="606A727E"/>
    <w:rsid w:val="60C19833"/>
    <w:rsid w:val="60D5962A"/>
    <w:rsid w:val="61E62D11"/>
    <w:rsid w:val="62F01743"/>
    <w:rsid w:val="65FC34DD"/>
    <w:rsid w:val="665648DF"/>
    <w:rsid w:val="682196E4"/>
    <w:rsid w:val="6C28551B"/>
    <w:rsid w:val="6CBC0756"/>
    <w:rsid w:val="6CCE6980"/>
    <w:rsid w:val="6F34D96A"/>
    <w:rsid w:val="717E3758"/>
    <w:rsid w:val="71A81115"/>
    <w:rsid w:val="72588531"/>
    <w:rsid w:val="72AD9F9F"/>
    <w:rsid w:val="72CD88E6"/>
    <w:rsid w:val="738B0E9C"/>
    <w:rsid w:val="73D124EF"/>
    <w:rsid w:val="74836FAA"/>
    <w:rsid w:val="77096564"/>
    <w:rsid w:val="78520C0F"/>
    <w:rsid w:val="7A435CAE"/>
    <w:rsid w:val="7A98C854"/>
    <w:rsid w:val="7AA24EFD"/>
    <w:rsid w:val="7AE58583"/>
    <w:rsid w:val="7C7FB66B"/>
    <w:rsid w:val="7DC60B4A"/>
    <w:rsid w:val="7EA97ECB"/>
    <w:rsid w:val="7EB84108"/>
    <w:rsid w:val="7F0463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aliases w:val="- H33,Header 1"/>
    <w:basedOn w:val="Normal"/>
    <w:next w:val="Normal"/>
    <w:link w:val="Heading1Char"/>
    <w:uiPriority w:val="1"/>
    <w:qFormat/>
    <w:rsid w:val="001B204E"/>
    <w:pPr>
      <w:ind w:left="720" w:hanging="720"/>
      <w:outlineLvl w:val="0"/>
    </w:pPr>
    <w:rPr>
      <w:b/>
      <w:caps/>
      <w:sz w:val="32"/>
    </w:rPr>
  </w:style>
  <w:style w:type="paragraph" w:styleId="Heading2">
    <w:name w:val="heading 2"/>
    <w:aliases w:val="- H34"/>
    <w:basedOn w:val="Normal"/>
    <w:next w:val="Normal"/>
    <w:link w:val="Heading2Char"/>
    <w:qFormat/>
    <w:rsid w:val="001B204E"/>
    <w:pPr>
      <w:outlineLvl w:val="1"/>
    </w:pPr>
    <w:rPr>
      <w:b/>
      <w:i/>
      <w:sz w:val="28"/>
    </w:rPr>
  </w:style>
  <w:style w:type="paragraph" w:styleId="Heading3">
    <w:name w:val="heading 3"/>
    <w:aliases w:val="- H35"/>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H34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2"/>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2 Char"/>
    <w:link w:val="Caption"/>
    <w:uiPriority w:val="99"/>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Table Grid nm,new style,HTAtableplain,RTI AMCP Table,HealthConsult,Dossier table,Section 3- footnotes,Summary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3390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104F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table" w:styleId="PlainTable2">
    <w:name w:val="Plain Table 2"/>
    <w:basedOn w:val="TableNormal"/>
    <w:uiPriority w:val="42"/>
    <w:rsid w:val="00426CA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2776C4"/>
    <w:rPr>
      <w:sz w:val="20"/>
      <w:szCs w:val="20"/>
    </w:rPr>
  </w:style>
  <w:style w:type="character" w:customStyle="1" w:styleId="EndnoteTextChar">
    <w:name w:val="Endnote Text Char"/>
    <w:basedOn w:val="DefaultParagraphFont"/>
    <w:link w:val="EndnoteText"/>
    <w:uiPriority w:val="99"/>
    <w:semiHidden/>
    <w:rsid w:val="002776C4"/>
    <w:rPr>
      <w:rFonts w:ascii="Calibri" w:hAnsi="Calibri" w:cs="Arial"/>
    </w:rPr>
  </w:style>
  <w:style w:type="character" w:styleId="EndnoteReference">
    <w:name w:val="endnote reference"/>
    <w:basedOn w:val="DefaultParagraphFont"/>
    <w:semiHidden/>
    <w:unhideWhenUsed/>
    <w:rsid w:val="002776C4"/>
    <w:rPr>
      <w:vertAlign w:val="superscript"/>
    </w:rPr>
  </w:style>
  <w:style w:type="paragraph" w:styleId="FootnoteText">
    <w:name w:val="footnote text"/>
    <w:basedOn w:val="Normal"/>
    <w:link w:val="FootnoteTextChar"/>
    <w:semiHidden/>
    <w:unhideWhenUsed/>
    <w:rsid w:val="002776C4"/>
    <w:rPr>
      <w:sz w:val="20"/>
      <w:szCs w:val="20"/>
    </w:rPr>
  </w:style>
  <w:style w:type="character" w:customStyle="1" w:styleId="FootnoteTextChar">
    <w:name w:val="Footnote Text Char"/>
    <w:basedOn w:val="DefaultParagraphFont"/>
    <w:link w:val="FootnoteText"/>
    <w:semiHidden/>
    <w:rsid w:val="002776C4"/>
    <w:rPr>
      <w:rFonts w:ascii="Calibri" w:hAnsi="Calibri" w:cs="Arial"/>
    </w:rPr>
  </w:style>
  <w:style w:type="character" w:styleId="FootnoteReference">
    <w:name w:val="footnote reference"/>
    <w:basedOn w:val="DefaultParagraphFont"/>
    <w:unhideWhenUsed/>
    <w:rsid w:val="002776C4"/>
    <w:rPr>
      <w:vertAlign w:val="superscript"/>
    </w:rPr>
  </w:style>
  <w:style w:type="paragraph" w:customStyle="1" w:styleId="Tabletextleft">
    <w:name w:val="Table text left"/>
    <w:basedOn w:val="Normal"/>
    <w:link w:val="TabletextleftChar"/>
    <w:qFormat/>
    <w:rsid w:val="001B37FD"/>
    <w:pPr>
      <w:spacing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1B37FD"/>
    <w:rPr>
      <w:rFonts w:asciiTheme="minorHAnsi" w:hAnsiTheme="minorHAnsi"/>
      <w:sz w:val="18"/>
    </w:rPr>
  </w:style>
  <w:style w:type="paragraph" w:customStyle="1" w:styleId="TableHeadingleft">
    <w:name w:val="Table Heading left"/>
    <w:basedOn w:val="Normal"/>
    <w:next w:val="Tabletextleft"/>
    <w:qFormat/>
    <w:rsid w:val="001B37FD"/>
    <w:pPr>
      <w:spacing w:before="40" w:after="40"/>
      <w:jc w:val="left"/>
    </w:pPr>
    <w:rPr>
      <w:rFonts w:asciiTheme="minorHAnsi" w:eastAsiaTheme="minorHAnsi" w:hAnsiTheme="minorHAnsi" w:cs="Tahoma"/>
      <w:b/>
      <w:sz w:val="18"/>
      <w:szCs w:val="18"/>
      <w:lang w:val="de-DE" w:eastAsia="en-US"/>
    </w:rPr>
  </w:style>
  <w:style w:type="paragraph" w:customStyle="1" w:styleId="TableFigNotes18">
    <w:name w:val="TableFigNotes+18"/>
    <w:basedOn w:val="ListParagraph"/>
    <w:next w:val="BodyText"/>
    <w:link w:val="TableFigNotes18Char"/>
    <w:uiPriority w:val="4"/>
    <w:qFormat/>
    <w:rsid w:val="0049585D"/>
    <w:pPr>
      <w:numPr>
        <w:numId w:val="0"/>
      </w:numPr>
      <w:spacing w:before="60" w:after="360" w:line="276" w:lineRule="auto"/>
      <w:contextualSpacing/>
      <w:jc w:val="left"/>
    </w:pPr>
    <w:rPr>
      <w:rFonts w:ascii="Montserrat" w:eastAsia="Calibri" w:hAnsi="Montserrat" w:cs="Calibri"/>
      <w:snapToGrid/>
      <w:sz w:val="14"/>
      <w:szCs w:val="20"/>
      <w:lang w:eastAsia="en-US"/>
    </w:rPr>
  </w:style>
  <w:style w:type="character" w:customStyle="1" w:styleId="TableFigNotes18Char">
    <w:name w:val="TableFigNotes+18 Char"/>
    <w:basedOn w:val="DefaultParagraphFont"/>
    <w:link w:val="TableFigNotes18"/>
    <w:uiPriority w:val="4"/>
    <w:locked/>
    <w:rsid w:val="0049585D"/>
    <w:rPr>
      <w:rFonts w:ascii="Montserrat" w:eastAsia="Calibri" w:hAnsi="Montserrat" w:cs="Calibri"/>
      <w:sz w:val="14"/>
      <w:lang w:eastAsia="en-US"/>
    </w:rPr>
  </w:style>
  <w:style w:type="paragraph" w:customStyle="1" w:styleId="TableH28pt">
    <w:name w:val="Table H2 8pt"/>
    <w:basedOn w:val="Normal"/>
    <w:qFormat/>
    <w:rsid w:val="00386599"/>
    <w:pPr>
      <w:keepNext/>
      <w:keepLines/>
      <w:spacing w:before="20" w:after="20"/>
      <w:contextualSpacing/>
      <w:jc w:val="left"/>
    </w:pPr>
    <w:rPr>
      <w:rFonts w:ascii="Montserrat" w:eastAsia="Calibri" w:hAnsi="Montserrat" w:cs="Calibri"/>
      <w:b/>
      <w:sz w:val="16"/>
      <w:szCs w:val="20"/>
      <w:lang w:eastAsia="en-US"/>
    </w:rPr>
  </w:style>
  <w:style w:type="character" w:styleId="Mention">
    <w:name w:val="Mention"/>
    <w:basedOn w:val="DefaultParagraphFont"/>
    <w:uiPriority w:val="99"/>
    <w:unhideWhenUsed/>
    <w:rsid w:val="002371AC"/>
    <w:rPr>
      <w:color w:val="2B579A"/>
      <w:shd w:val="clear" w:color="auto" w:fill="E1DFDD"/>
    </w:rPr>
  </w:style>
  <w:style w:type="character" w:customStyle="1" w:styleId="normaltextrun">
    <w:name w:val="normaltextrun"/>
    <w:basedOn w:val="DefaultParagraphFont"/>
    <w:rsid w:val="00CB4722"/>
  </w:style>
  <w:style w:type="character" w:customStyle="1" w:styleId="eop">
    <w:name w:val="eop"/>
    <w:basedOn w:val="DefaultParagraphFont"/>
    <w:rsid w:val="003513F1"/>
  </w:style>
  <w:style w:type="paragraph" w:customStyle="1" w:styleId="TableLeft">
    <w:name w:val="Table Left"/>
    <w:basedOn w:val="Normal"/>
    <w:link w:val="TableLeftChar"/>
    <w:uiPriority w:val="99"/>
    <w:qFormat/>
    <w:rsid w:val="00E14F26"/>
    <w:rPr>
      <w:rFonts w:eastAsiaTheme="majorEastAsia" w:cstheme="majorBidi"/>
      <w:color w:val="000000" w:themeColor="text1"/>
      <w:sz w:val="18"/>
      <w:szCs w:val="22"/>
      <w:lang w:eastAsia="en-US" w:bidi="en-US"/>
    </w:rPr>
  </w:style>
  <w:style w:type="character" w:customStyle="1" w:styleId="TableLeftChar">
    <w:name w:val="Table Left Char"/>
    <w:basedOn w:val="DefaultParagraphFont"/>
    <w:link w:val="TableLeft"/>
    <w:uiPriority w:val="99"/>
    <w:locked/>
    <w:rsid w:val="00E14F26"/>
    <w:rPr>
      <w:rFonts w:ascii="Calibri" w:eastAsiaTheme="majorEastAsia" w:hAnsi="Calibri" w:cstheme="majorBidi"/>
      <w:color w:val="000000" w:themeColor="text1"/>
      <w:sz w:val="18"/>
      <w:szCs w:val="22"/>
      <w:lang w:eastAsia="en-US" w:bidi="en-US"/>
    </w:rPr>
  </w:style>
  <w:style w:type="character" w:customStyle="1" w:styleId="Heading3Char">
    <w:name w:val="Heading 3 Char"/>
    <w:aliases w:val="- H35 Char1"/>
    <w:basedOn w:val="DefaultParagraphFont"/>
    <w:link w:val="Heading3"/>
    <w:uiPriority w:val="1"/>
    <w:rsid w:val="00E14F26"/>
    <w:rPr>
      <w:rFonts w:ascii="Calibri" w:hAnsi="Calibri" w:cs="Arial"/>
      <w:sz w:val="24"/>
      <w:szCs w:val="24"/>
      <w:u w:val="single"/>
    </w:rPr>
  </w:style>
  <w:style w:type="character" w:customStyle="1" w:styleId="cf01">
    <w:name w:val="cf01"/>
    <w:basedOn w:val="DefaultParagraphFont"/>
    <w:rsid w:val="00E14F26"/>
    <w:rPr>
      <w:rFonts w:ascii="Segoe UI" w:hAnsi="Segoe UI" w:cs="Segoe UI" w:hint="default"/>
      <w:sz w:val="18"/>
      <w:szCs w:val="18"/>
    </w:rPr>
  </w:style>
  <w:style w:type="character" w:styleId="Strong">
    <w:name w:val="Strong"/>
    <w:uiPriority w:val="22"/>
    <w:qFormat/>
    <w:rsid w:val="00F84175"/>
    <w:rPr>
      <w:rFonts w:ascii="Montserrat" w:hAnsi="Montserrat"/>
    </w:rPr>
  </w:style>
  <w:style w:type="paragraph" w:customStyle="1" w:styleId="Tabletext8pt">
    <w:name w:val="Table text 8pt"/>
    <w:basedOn w:val="BodyText"/>
    <w:qFormat/>
    <w:rsid w:val="00F84175"/>
    <w:pPr>
      <w:keepLines/>
      <w:framePr w:hSpace="180" w:wrap="around" w:vAnchor="text" w:hAnchor="text" w:y="1"/>
      <w:spacing w:before="40" w:after="80"/>
    </w:pPr>
    <w:rPr>
      <w:rFonts w:ascii="Montserrat" w:eastAsia="MS Mincho" w:hAnsi="Montserrat" w:cs="Calibri"/>
      <w:sz w:val="16"/>
      <w:szCs w:val="20"/>
    </w:rPr>
  </w:style>
  <w:style w:type="paragraph" w:styleId="ListBullet2">
    <w:name w:val="List Bullet 2"/>
    <w:basedOn w:val="Normal"/>
    <w:uiPriority w:val="99"/>
    <w:semiHidden/>
    <w:unhideWhenUsed/>
    <w:rsid w:val="00F84175"/>
    <w:pPr>
      <w:numPr>
        <w:numId w:val="6"/>
      </w:numPr>
      <w:contextualSpacing/>
    </w:pPr>
  </w:style>
  <w:style w:type="paragraph" w:customStyle="1" w:styleId="Tabletext9pt">
    <w:name w:val="Table text 9pt"/>
    <w:basedOn w:val="Normal"/>
    <w:uiPriority w:val="99"/>
    <w:qFormat/>
    <w:rsid w:val="00F84175"/>
    <w:pPr>
      <w:keepNext/>
      <w:keepLines/>
      <w:spacing w:before="40" w:after="80"/>
      <w:jc w:val="left"/>
    </w:pPr>
    <w:rPr>
      <w:rFonts w:ascii="Montserrat" w:eastAsia="Calibri" w:hAnsi="Montserrat" w:cs="Calibri"/>
      <w:sz w:val="16"/>
      <w:szCs w:val="16"/>
      <w:lang w:eastAsia="en-US"/>
    </w:rPr>
  </w:style>
  <w:style w:type="paragraph" w:customStyle="1" w:styleId="EndNoteBibliography">
    <w:name w:val="EndNote Bibliography"/>
    <w:basedOn w:val="Normal"/>
    <w:link w:val="EndNoteBibliographyChar"/>
    <w:rsid w:val="00F84175"/>
    <w:pPr>
      <w:spacing w:after="200"/>
      <w:jc w:val="left"/>
    </w:pPr>
    <w:rPr>
      <w:rFonts w:ascii="Montserrat" w:eastAsia="Calibri" w:hAnsi="Montserrat" w:cs="Calibri"/>
      <w:noProof/>
      <w:sz w:val="18"/>
      <w:szCs w:val="20"/>
      <w:lang w:val="en-US" w:eastAsia="en-US"/>
    </w:rPr>
  </w:style>
  <w:style w:type="character" w:customStyle="1" w:styleId="EndNoteBibliographyChar">
    <w:name w:val="EndNote Bibliography Char"/>
    <w:basedOn w:val="BodyTextChar"/>
    <w:link w:val="EndNoteBibliography"/>
    <w:rsid w:val="00F84175"/>
    <w:rPr>
      <w:rFonts w:ascii="Montserrat" w:eastAsia="Calibri" w:hAnsi="Montserrat" w:cs="Calibri"/>
      <w:noProof/>
      <w:snapToGrid/>
      <w:sz w:val="18"/>
      <w:lang w:val="en-US" w:eastAsia="en-US"/>
    </w:rPr>
  </w:style>
  <w:style w:type="paragraph" w:customStyle="1" w:styleId="pf0">
    <w:name w:val="pf0"/>
    <w:basedOn w:val="Normal"/>
    <w:rsid w:val="00F84175"/>
    <w:pPr>
      <w:spacing w:before="100" w:beforeAutospacing="1" w:after="100" w:afterAutospacing="1"/>
      <w:ind w:left="300"/>
      <w:jc w:val="left"/>
    </w:pPr>
    <w:rPr>
      <w:rFonts w:ascii="Times New Roman" w:hAnsi="Times New Roman" w:cs="Times New Roman"/>
    </w:rPr>
  </w:style>
  <w:style w:type="character" w:customStyle="1" w:styleId="cf11">
    <w:name w:val="cf11"/>
    <w:basedOn w:val="DefaultParagraphFont"/>
    <w:rsid w:val="00F84175"/>
    <w:rPr>
      <w:rFonts w:ascii="Segoe UI" w:hAnsi="Segoe UI" w:cs="Segoe UI" w:hint="default"/>
      <w:sz w:val="18"/>
      <w:szCs w:val="18"/>
      <w:shd w:val="clear" w:color="auto" w:fill="FFFF00"/>
    </w:rPr>
  </w:style>
  <w:style w:type="character" w:customStyle="1" w:styleId="cf31">
    <w:name w:val="cf31"/>
    <w:basedOn w:val="DefaultParagraphFont"/>
    <w:rsid w:val="00F84175"/>
    <w:rPr>
      <w:rFonts w:ascii="Segoe UI" w:hAnsi="Segoe UI" w:cs="Segoe UI" w:hint="default"/>
      <w:i/>
      <w:iCs/>
      <w:sz w:val="18"/>
      <w:szCs w:val="18"/>
    </w:rPr>
  </w:style>
  <w:style w:type="character" w:customStyle="1" w:styleId="Heading1Char">
    <w:name w:val="Heading 1 Char"/>
    <w:aliases w:val="- H33 Char1,Header 1 Char1"/>
    <w:basedOn w:val="DefaultParagraphFont"/>
    <w:link w:val="Heading1"/>
    <w:uiPriority w:val="1"/>
    <w:rsid w:val="00F84175"/>
    <w:rPr>
      <w:rFonts w:ascii="Calibri" w:hAnsi="Calibri" w:cs="Arial"/>
      <w:b/>
      <w:caps/>
      <w:sz w:val="32"/>
      <w:szCs w:val="24"/>
    </w:rPr>
  </w:style>
  <w:style w:type="character" w:customStyle="1" w:styleId="Heading4Char">
    <w:name w:val="Heading 4 Char"/>
    <w:basedOn w:val="DefaultParagraphFont"/>
    <w:link w:val="Heading4"/>
    <w:uiPriority w:val="1"/>
    <w:rsid w:val="00F84175"/>
    <w:rPr>
      <w:rFonts w:ascii="Calibri" w:hAnsi="Calibri" w:cs="Arial"/>
      <w:b/>
      <w:bCs/>
      <w:i/>
      <w:sz w:val="26"/>
      <w:szCs w:val="28"/>
    </w:rPr>
  </w:style>
  <w:style w:type="character" w:customStyle="1" w:styleId="Heading5Char">
    <w:name w:val="Heading 5 Char"/>
    <w:basedOn w:val="DefaultParagraphFont"/>
    <w:link w:val="Heading5"/>
    <w:rsid w:val="00F84175"/>
    <w:rPr>
      <w:rFonts w:ascii="Calibri" w:hAnsi="Calibri" w:cs="Arial"/>
      <w:b/>
      <w:bCs/>
      <w:iCs/>
      <w:sz w:val="26"/>
      <w:szCs w:val="26"/>
    </w:rPr>
  </w:style>
  <w:style w:type="character" w:customStyle="1" w:styleId="Heading6Char">
    <w:name w:val="Heading 6 Char"/>
    <w:basedOn w:val="DefaultParagraphFont"/>
    <w:link w:val="Heading6"/>
    <w:rsid w:val="00F84175"/>
    <w:rPr>
      <w:rFonts w:ascii="Calibri" w:hAnsi="Calibri" w:cs="Arial"/>
      <w:b/>
      <w:bCs/>
      <w:i/>
      <w:sz w:val="24"/>
      <w:szCs w:val="24"/>
    </w:rPr>
  </w:style>
  <w:style w:type="character" w:customStyle="1" w:styleId="Heading1Char1">
    <w:name w:val="Heading 1 Char1"/>
    <w:aliases w:val="- H33 Char,Header 1 Char"/>
    <w:basedOn w:val="DefaultParagraphFont"/>
    <w:uiPriority w:val="1"/>
    <w:rsid w:val="00F84175"/>
    <w:rPr>
      <w:rFonts w:asciiTheme="majorHAnsi" w:eastAsiaTheme="majorEastAsia" w:hAnsiTheme="majorHAnsi" w:cstheme="majorBidi"/>
      <w:color w:val="365F91" w:themeColor="accent1" w:themeShade="BF"/>
      <w:sz w:val="40"/>
      <w:szCs w:val="40"/>
    </w:rPr>
  </w:style>
  <w:style w:type="character" w:customStyle="1" w:styleId="Heading2Char1">
    <w:name w:val="Heading 2 Char1"/>
    <w:aliases w:val="- H34 Char1"/>
    <w:basedOn w:val="DefaultParagraphFont"/>
    <w:uiPriority w:val="1"/>
    <w:semiHidden/>
    <w:rsid w:val="00F84175"/>
    <w:rPr>
      <w:rFonts w:asciiTheme="majorHAnsi" w:eastAsiaTheme="majorEastAsia" w:hAnsiTheme="majorHAnsi" w:cstheme="majorBidi"/>
      <w:color w:val="365F91" w:themeColor="accent1" w:themeShade="BF"/>
      <w:sz w:val="32"/>
      <w:szCs w:val="32"/>
    </w:rPr>
  </w:style>
  <w:style w:type="character" w:customStyle="1" w:styleId="Heading3Char1">
    <w:name w:val="Heading 3 Char1"/>
    <w:aliases w:val="- H35 Char"/>
    <w:basedOn w:val="DefaultParagraphFont"/>
    <w:uiPriority w:val="1"/>
    <w:semiHidden/>
    <w:rsid w:val="00F84175"/>
    <w:rPr>
      <w:rFonts w:asciiTheme="minorHAnsi" w:eastAsiaTheme="majorEastAsia" w:hAnsiTheme="minorHAnsi" w:cstheme="majorBidi"/>
      <w:color w:val="365F91" w:themeColor="accent1" w:themeShade="BF"/>
      <w:sz w:val="28"/>
      <w:szCs w:val="28"/>
    </w:rPr>
  </w:style>
  <w:style w:type="paragraph" w:customStyle="1" w:styleId="msonormal0">
    <w:name w:val="msonormal"/>
    <w:basedOn w:val="Normal"/>
    <w:uiPriority w:val="99"/>
    <w:rsid w:val="00F84175"/>
    <w:pPr>
      <w:snapToGrid w:val="0"/>
      <w:spacing w:before="100" w:after="100"/>
      <w:jc w:val="left"/>
    </w:pPr>
    <w:rPr>
      <w:rFonts w:ascii="Times New Roma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F84175"/>
    <w:rPr>
      <w:rFonts w:ascii="Calibri" w:hAnsi="Calibri" w:cs="Arial"/>
    </w:rPr>
  </w:style>
  <w:style w:type="character" w:customStyle="1" w:styleId="HeaderChar1">
    <w:name w:val="Header Char1"/>
    <w:aliases w:val="Page Header Char1,Header title Char1,he=header Char1,cntr/bld Char1"/>
    <w:basedOn w:val="DefaultParagraphFont"/>
    <w:semiHidden/>
    <w:rsid w:val="00F84175"/>
    <w:rPr>
      <w:rFonts w:ascii="Calibri" w:hAnsi="Calibri" w:cs="Arial"/>
      <w:sz w:val="24"/>
      <w:szCs w:val="24"/>
    </w:rPr>
  </w:style>
  <w:style w:type="paragraph" w:styleId="PlainText">
    <w:name w:val="Plain Text"/>
    <w:basedOn w:val="Normal"/>
    <w:link w:val="PlainTextChar"/>
    <w:uiPriority w:val="99"/>
    <w:semiHidden/>
    <w:unhideWhenUsed/>
    <w:rsid w:val="00F84175"/>
    <w:pPr>
      <w:spacing w:before="14" w:after="144" w:line="300" w:lineRule="atLeast"/>
      <w:jc w:val="left"/>
    </w:pPr>
    <w:rPr>
      <w:rFonts w:ascii="Consolas" w:eastAsiaTheme="minorEastAsia" w:hAnsi="Consolas" w:cs="Times New Roman"/>
      <w:szCs w:val="20"/>
      <w:lang w:val="en-US" w:eastAsia="en-US"/>
    </w:rPr>
  </w:style>
  <w:style w:type="character" w:customStyle="1" w:styleId="PlainTextChar">
    <w:name w:val="Plain Text Char"/>
    <w:basedOn w:val="DefaultParagraphFont"/>
    <w:link w:val="PlainText"/>
    <w:uiPriority w:val="99"/>
    <w:semiHidden/>
    <w:rsid w:val="00F84175"/>
    <w:rPr>
      <w:rFonts w:ascii="Consolas" w:eastAsiaTheme="minorEastAsia" w:hAnsi="Consolas"/>
      <w:sz w:val="24"/>
      <w:lang w:val="en-US" w:eastAsia="en-US"/>
    </w:rPr>
  </w:style>
  <w:style w:type="character" w:customStyle="1" w:styleId="mdTblEntryChar">
    <w:name w:val="md_Tbl Entry Char"/>
    <w:basedOn w:val="DefaultParagraphFont"/>
    <w:link w:val="mdTblEntry"/>
    <w:uiPriority w:val="99"/>
    <w:locked/>
    <w:rsid w:val="00F84175"/>
    <w:rPr>
      <w:rFonts w:ascii="MS Mincho" w:eastAsiaTheme="minorEastAsia" w:hAnsi="MS Mincho"/>
      <w:lang w:val="en-US" w:eastAsia="en-US"/>
    </w:rPr>
  </w:style>
  <w:style w:type="paragraph" w:customStyle="1" w:styleId="mdTblEntry">
    <w:name w:val="md_Tbl Entry"/>
    <w:basedOn w:val="Normal"/>
    <w:link w:val="mdTblEntryChar"/>
    <w:uiPriority w:val="99"/>
    <w:qFormat/>
    <w:rsid w:val="00F84175"/>
    <w:pPr>
      <w:keepLines/>
      <w:spacing w:line="259" w:lineRule="atLeast"/>
      <w:jc w:val="left"/>
    </w:pPr>
    <w:rPr>
      <w:rFonts w:ascii="MS Mincho" w:eastAsiaTheme="minorEastAsia" w:hAnsi="MS Mincho" w:cs="Times New Roman"/>
      <w:sz w:val="20"/>
      <w:szCs w:val="20"/>
      <w:lang w:val="en-US" w:eastAsia="en-US"/>
    </w:rPr>
  </w:style>
  <w:style w:type="paragraph" w:customStyle="1" w:styleId="Tablebullet">
    <w:name w:val="Table bullet"/>
    <w:uiPriority w:val="4"/>
    <w:qFormat/>
    <w:rsid w:val="00F84175"/>
    <w:pPr>
      <w:numPr>
        <w:numId w:val="8"/>
      </w:numPr>
      <w:spacing w:before="40" w:after="60"/>
      <w:ind w:left="426" w:hanging="357"/>
    </w:pPr>
    <w:rPr>
      <w:rFonts w:ascii="Montserrat" w:hAnsi="Montserrat" w:cs="Calibri"/>
      <w:bCs/>
      <w:color w:val="000000"/>
      <w:sz w:val="16"/>
      <w:szCs w:val="26"/>
      <w:lang w:eastAsia="en-US"/>
    </w:rPr>
  </w:style>
  <w:style w:type="paragraph" w:customStyle="1" w:styleId="Bullet6">
    <w:name w:val="Bullet+6"/>
    <w:basedOn w:val="Normal"/>
    <w:next w:val="BodyText"/>
    <w:uiPriority w:val="2"/>
    <w:qFormat/>
    <w:rsid w:val="00F84175"/>
    <w:pPr>
      <w:keepLines/>
      <w:numPr>
        <w:numId w:val="9"/>
      </w:numPr>
      <w:tabs>
        <w:tab w:val="left" w:pos="765"/>
      </w:tabs>
      <w:spacing w:after="120" w:line="288" w:lineRule="auto"/>
      <w:jc w:val="left"/>
    </w:pPr>
    <w:rPr>
      <w:rFonts w:ascii="Montserrat" w:eastAsia="Calibri" w:hAnsi="Montserrat" w:cs="Calibri"/>
      <w:sz w:val="18"/>
      <w:szCs w:val="20"/>
      <w:lang w:eastAsia="en-US"/>
    </w:rPr>
  </w:style>
  <w:style w:type="paragraph" w:customStyle="1" w:styleId="Tabletext8ptCentered">
    <w:name w:val="Table text 8pt + Centered"/>
    <w:basedOn w:val="Tabletext8pt"/>
    <w:qFormat/>
    <w:rsid w:val="00F84175"/>
    <w:pPr>
      <w:framePr w:wrap="around"/>
    </w:pPr>
  </w:style>
  <w:style w:type="paragraph" w:customStyle="1" w:styleId="FigFootnote">
    <w:name w:val="Fig Footnote"/>
    <w:basedOn w:val="Normal"/>
    <w:next w:val="Normal"/>
    <w:uiPriority w:val="99"/>
    <w:rsid w:val="00F84175"/>
    <w:pPr>
      <w:keepNext/>
      <w:keepLines/>
      <w:spacing w:line="259" w:lineRule="atLeast"/>
      <w:ind w:left="2304"/>
      <w:jc w:val="left"/>
    </w:pPr>
    <w:rPr>
      <w:rFonts w:ascii="Times New Roman" w:eastAsiaTheme="minorEastAsia" w:hAnsi="Times New Roman" w:cs="Times New Roman"/>
      <w:sz w:val="20"/>
      <w:szCs w:val="20"/>
      <w:lang w:val="en-US" w:eastAsia="en-US"/>
    </w:rPr>
  </w:style>
  <w:style w:type="paragraph" w:customStyle="1" w:styleId="mdFigure">
    <w:name w:val="md_Figure"/>
    <w:basedOn w:val="Normal"/>
    <w:uiPriority w:val="99"/>
    <w:rsid w:val="00F84175"/>
    <w:pPr>
      <w:keepNext/>
      <w:keepLines/>
      <w:tabs>
        <w:tab w:val="left" w:pos="2880"/>
        <w:tab w:val="left" w:pos="3240"/>
      </w:tabs>
      <w:spacing w:line="299" w:lineRule="atLeast"/>
      <w:jc w:val="center"/>
    </w:pPr>
    <w:rPr>
      <w:rFonts w:ascii="Times New Roman" w:eastAsiaTheme="minorEastAsia" w:hAnsi="Times New Roman" w:cs="Times New Roman"/>
      <w:szCs w:val="20"/>
      <w:lang w:val="en-US" w:eastAsia="en-US"/>
    </w:rPr>
  </w:style>
  <w:style w:type="paragraph" w:customStyle="1" w:styleId="Pic">
    <w:name w:val="Pic"/>
    <w:next w:val="ListParagraph"/>
    <w:uiPriority w:val="9"/>
    <w:qFormat/>
    <w:rsid w:val="00F84175"/>
    <w:pPr>
      <w:keepNext/>
    </w:pPr>
    <w:rPr>
      <w:rFonts w:ascii="Montserrat" w:eastAsia="Calibri" w:hAnsi="Montserrat" w:cs="Calibri"/>
      <w:lang w:eastAsia="en-US"/>
    </w:rPr>
  </w:style>
  <w:style w:type="paragraph" w:customStyle="1" w:styleId="mdTAFFY">
    <w:name w:val="md_TAFFY"/>
    <w:rsid w:val="00F84175"/>
    <w:pPr>
      <w:autoSpaceDE w:val="0"/>
      <w:autoSpaceDN w:val="0"/>
    </w:pPr>
    <w:rPr>
      <w:rFonts w:eastAsiaTheme="minorEastAsia"/>
      <w:lang w:val="en-US" w:eastAsia="en-US"/>
      <w14:ligatures w14:val="standardContextual"/>
    </w:rPr>
  </w:style>
  <w:style w:type="table" w:customStyle="1" w:styleId="MSDTableGrid1">
    <w:name w:val="MSD Table Grid1"/>
    <w:basedOn w:val="TableNormal"/>
    <w:uiPriority w:val="39"/>
    <w:rsid w:val="00F84175"/>
    <w:rPr>
      <w:rFonts w:asciiTheme="minorHAnsi" w:eastAsia="Calibri" w:hAnsiTheme="minorHAns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uiPriority w:val="39"/>
    <w:rsid w:val="00F84175"/>
    <w:rPr>
      <w:rFonts w:asciiTheme="minorHAnsi" w:eastAsia="Calibri" w:hAnsiTheme="minorHAns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2D78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
    <w:uiPriority w:val="42"/>
    <w:rsid w:val="002D78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BC1C87"/>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861BF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61BF1"/>
    <w:rPr>
      <w:rFonts w:asciiTheme="minorHAnsi" w:eastAsiaTheme="majorEastAsia" w:hAnsiTheme="minorHAnsi" w:cstheme="majorBidi"/>
      <w:b/>
      <w:i/>
      <w:snapToGrid/>
      <w:spacing w:val="5"/>
      <w:kern w:val="28"/>
      <w:sz w:val="28"/>
      <w:szCs w:val="36"/>
      <w:lang w:eastAsia="en-US"/>
    </w:rPr>
  </w:style>
  <w:style w:type="table" w:customStyle="1" w:styleId="TableGrid1">
    <w:name w:val="Table Grid1"/>
    <w:basedOn w:val="TableNormal"/>
    <w:next w:val="TableGrid"/>
    <w:uiPriority w:val="39"/>
    <w:rsid w:val="00403818"/>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8924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274286813">
      <w:bodyDiv w:val="1"/>
      <w:marLeft w:val="0"/>
      <w:marRight w:val="0"/>
      <w:marTop w:val="0"/>
      <w:marBottom w:val="0"/>
      <w:divBdr>
        <w:top w:val="none" w:sz="0" w:space="0" w:color="auto"/>
        <w:left w:val="none" w:sz="0" w:space="0" w:color="auto"/>
        <w:bottom w:val="none" w:sz="0" w:space="0" w:color="auto"/>
        <w:right w:val="none" w:sz="0" w:space="0" w:color="auto"/>
      </w:divBdr>
    </w:div>
    <w:div w:id="277839715">
      <w:bodyDiv w:val="1"/>
      <w:marLeft w:val="0"/>
      <w:marRight w:val="0"/>
      <w:marTop w:val="0"/>
      <w:marBottom w:val="0"/>
      <w:divBdr>
        <w:top w:val="none" w:sz="0" w:space="0" w:color="auto"/>
        <w:left w:val="none" w:sz="0" w:space="0" w:color="auto"/>
        <w:bottom w:val="none" w:sz="0" w:space="0" w:color="auto"/>
        <w:right w:val="none" w:sz="0" w:space="0" w:color="auto"/>
      </w:divBdr>
    </w:div>
    <w:div w:id="315647265">
      <w:bodyDiv w:val="1"/>
      <w:marLeft w:val="0"/>
      <w:marRight w:val="0"/>
      <w:marTop w:val="0"/>
      <w:marBottom w:val="0"/>
      <w:divBdr>
        <w:top w:val="none" w:sz="0" w:space="0" w:color="auto"/>
        <w:left w:val="none" w:sz="0" w:space="0" w:color="auto"/>
        <w:bottom w:val="none" w:sz="0" w:space="0" w:color="auto"/>
        <w:right w:val="none" w:sz="0" w:space="0" w:color="auto"/>
      </w:divBdr>
      <w:divsChild>
        <w:div w:id="1084030986">
          <w:marLeft w:val="0"/>
          <w:marRight w:val="0"/>
          <w:marTop w:val="0"/>
          <w:marBottom w:val="0"/>
          <w:divBdr>
            <w:top w:val="none" w:sz="0" w:space="0" w:color="auto"/>
            <w:left w:val="none" w:sz="0" w:space="0" w:color="auto"/>
            <w:bottom w:val="none" w:sz="0" w:space="0" w:color="auto"/>
            <w:right w:val="none" w:sz="0" w:space="0" w:color="auto"/>
          </w:divBdr>
          <w:divsChild>
            <w:div w:id="1278684542">
              <w:marLeft w:val="0"/>
              <w:marRight w:val="0"/>
              <w:marTop w:val="0"/>
              <w:marBottom w:val="0"/>
              <w:divBdr>
                <w:top w:val="none" w:sz="0" w:space="0" w:color="auto"/>
                <w:left w:val="none" w:sz="0" w:space="0" w:color="auto"/>
                <w:bottom w:val="none" w:sz="0" w:space="0" w:color="auto"/>
                <w:right w:val="none" w:sz="0" w:space="0" w:color="auto"/>
              </w:divBdr>
              <w:divsChild>
                <w:div w:id="12978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422917">
      <w:bodyDiv w:val="1"/>
      <w:marLeft w:val="0"/>
      <w:marRight w:val="0"/>
      <w:marTop w:val="0"/>
      <w:marBottom w:val="0"/>
      <w:divBdr>
        <w:top w:val="none" w:sz="0" w:space="0" w:color="auto"/>
        <w:left w:val="none" w:sz="0" w:space="0" w:color="auto"/>
        <w:bottom w:val="none" w:sz="0" w:space="0" w:color="auto"/>
        <w:right w:val="none" w:sz="0" w:space="0" w:color="auto"/>
      </w:divBdr>
    </w:div>
    <w:div w:id="317467142">
      <w:bodyDiv w:val="1"/>
      <w:marLeft w:val="0"/>
      <w:marRight w:val="0"/>
      <w:marTop w:val="0"/>
      <w:marBottom w:val="0"/>
      <w:divBdr>
        <w:top w:val="none" w:sz="0" w:space="0" w:color="auto"/>
        <w:left w:val="none" w:sz="0" w:space="0" w:color="auto"/>
        <w:bottom w:val="none" w:sz="0" w:space="0" w:color="auto"/>
        <w:right w:val="none" w:sz="0" w:space="0" w:color="auto"/>
      </w:divBdr>
    </w:div>
    <w:div w:id="327442531">
      <w:bodyDiv w:val="1"/>
      <w:marLeft w:val="0"/>
      <w:marRight w:val="0"/>
      <w:marTop w:val="0"/>
      <w:marBottom w:val="0"/>
      <w:divBdr>
        <w:top w:val="none" w:sz="0" w:space="0" w:color="auto"/>
        <w:left w:val="none" w:sz="0" w:space="0" w:color="auto"/>
        <w:bottom w:val="none" w:sz="0" w:space="0" w:color="auto"/>
        <w:right w:val="none" w:sz="0" w:space="0" w:color="auto"/>
      </w:divBdr>
    </w:div>
    <w:div w:id="418478370">
      <w:bodyDiv w:val="1"/>
      <w:marLeft w:val="0"/>
      <w:marRight w:val="0"/>
      <w:marTop w:val="0"/>
      <w:marBottom w:val="0"/>
      <w:divBdr>
        <w:top w:val="none" w:sz="0" w:space="0" w:color="auto"/>
        <w:left w:val="none" w:sz="0" w:space="0" w:color="auto"/>
        <w:bottom w:val="none" w:sz="0" w:space="0" w:color="auto"/>
        <w:right w:val="none" w:sz="0" w:space="0" w:color="auto"/>
      </w:divBdr>
    </w:div>
    <w:div w:id="617563164">
      <w:bodyDiv w:val="1"/>
      <w:marLeft w:val="0"/>
      <w:marRight w:val="0"/>
      <w:marTop w:val="0"/>
      <w:marBottom w:val="0"/>
      <w:divBdr>
        <w:top w:val="none" w:sz="0" w:space="0" w:color="auto"/>
        <w:left w:val="none" w:sz="0" w:space="0" w:color="auto"/>
        <w:bottom w:val="none" w:sz="0" w:space="0" w:color="auto"/>
        <w:right w:val="none" w:sz="0" w:space="0" w:color="auto"/>
      </w:divBdr>
    </w:div>
    <w:div w:id="622924560">
      <w:bodyDiv w:val="1"/>
      <w:marLeft w:val="0"/>
      <w:marRight w:val="0"/>
      <w:marTop w:val="0"/>
      <w:marBottom w:val="0"/>
      <w:divBdr>
        <w:top w:val="none" w:sz="0" w:space="0" w:color="auto"/>
        <w:left w:val="none" w:sz="0" w:space="0" w:color="auto"/>
        <w:bottom w:val="none" w:sz="0" w:space="0" w:color="auto"/>
        <w:right w:val="none" w:sz="0" w:space="0" w:color="auto"/>
      </w:divBdr>
    </w:div>
    <w:div w:id="642657379">
      <w:bodyDiv w:val="1"/>
      <w:marLeft w:val="0"/>
      <w:marRight w:val="0"/>
      <w:marTop w:val="0"/>
      <w:marBottom w:val="0"/>
      <w:divBdr>
        <w:top w:val="none" w:sz="0" w:space="0" w:color="auto"/>
        <w:left w:val="none" w:sz="0" w:space="0" w:color="auto"/>
        <w:bottom w:val="none" w:sz="0" w:space="0" w:color="auto"/>
        <w:right w:val="none" w:sz="0" w:space="0" w:color="auto"/>
      </w:divBdr>
    </w:div>
    <w:div w:id="668873744">
      <w:bodyDiv w:val="1"/>
      <w:marLeft w:val="0"/>
      <w:marRight w:val="0"/>
      <w:marTop w:val="0"/>
      <w:marBottom w:val="0"/>
      <w:divBdr>
        <w:top w:val="none" w:sz="0" w:space="0" w:color="auto"/>
        <w:left w:val="none" w:sz="0" w:space="0" w:color="auto"/>
        <w:bottom w:val="none" w:sz="0" w:space="0" w:color="auto"/>
        <w:right w:val="none" w:sz="0" w:space="0" w:color="auto"/>
      </w:divBdr>
    </w:div>
    <w:div w:id="698747224">
      <w:bodyDiv w:val="1"/>
      <w:marLeft w:val="0"/>
      <w:marRight w:val="0"/>
      <w:marTop w:val="0"/>
      <w:marBottom w:val="0"/>
      <w:divBdr>
        <w:top w:val="none" w:sz="0" w:space="0" w:color="auto"/>
        <w:left w:val="none" w:sz="0" w:space="0" w:color="auto"/>
        <w:bottom w:val="none" w:sz="0" w:space="0" w:color="auto"/>
        <w:right w:val="none" w:sz="0" w:space="0" w:color="auto"/>
      </w:divBdr>
    </w:div>
    <w:div w:id="699547480">
      <w:bodyDiv w:val="1"/>
      <w:marLeft w:val="0"/>
      <w:marRight w:val="0"/>
      <w:marTop w:val="0"/>
      <w:marBottom w:val="0"/>
      <w:divBdr>
        <w:top w:val="none" w:sz="0" w:space="0" w:color="auto"/>
        <w:left w:val="none" w:sz="0" w:space="0" w:color="auto"/>
        <w:bottom w:val="none" w:sz="0" w:space="0" w:color="auto"/>
        <w:right w:val="none" w:sz="0" w:space="0" w:color="auto"/>
      </w:divBdr>
    </w:div>
    <w:div w:id="741803600">
      <w:bodyDiv w:val="1"/>
      <w:marLeft w:val="0"/>
      <w:marRight w:val="0"/>
      <w:marTop w:val="0"/>
      <w:marBottom w:val="0"/>
      <w:divBdr>
        <w:top w:val="none" w:sz="0" w:space="0" w:color="auto"/>
        <w:left w:val="none" w:sz="0" w:space="0" w:color="auto"/>
        <w:bottom w:val="none" w:sz="0" w:space="0" w:color="auto"/>
        <w:right w:val="none" w:sz="0" w:space="0" w:color="auto"/>
      </w:divBdr>
    </w:div>
    <w:div w:id="743407201">
      <w:bodyDiv w:val="1"/>
      <w:marLeft w:val="0"/>
      <w:marRight w:val="0"/>
      <w:marTop w:val="0"/>
      <w:marBottom w:val="0"/>
      <w:divBdr>
        <w:top w:val="none" w:sz="0" w:space="0" w:color="auto"/>
        <w:left w:val="none" w:sz="0" w:space="0" w:color="auto"/>
        <w:bottom w:val="none" w:sz="0" w:space="0" w:color="auto"/>
        <w:right w:val="none" w:sz="0" w:space="0" w:color="auto"/>
      </w:divBdr>
    </w:div>
    <w:div w:id="765662469">
      <w:bodyDiv w:val="1"/>
      <w:marLeft w:val="0"/>
      <w:marRight w:val="0"/>
      <w:marTop w:val="0"/>
      <w:marBottom w:val="0"/>
      <w:divBdr>
        <w:top w:val="none" w:sz="0" w:space="0" w:color="auto"/>
        <w:left w:val="none" w:sz="0" w:space="0" w:color="auto"/>
        <w:bottom w:val="none" w:sz="0" w:space="0" w:color="auto"/>
        <w:right w:val="none" w:sz="0" w:space="0" w:color="auto"/>
      </w:divBdr>
    </w:div>
    <w:div w:id="80623836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3228776">
      <w:bodyDiv w:val="1"/>
      <w:marLeft w:val="0"/>
      <w:marRight w:val="0"/>
      <w:marTop w:val="0"/>
      <w:marBottom w:val="0"/>
      <w:divBdr>
        <w:top w:val="none" w:sz="0" w:space="0" w:color="auto"/>
        <w:left w:val="none" w:sz="0" w:space="0" w:color="auto"/>
        <w:bottom w:val="none" w:sz="0" w:space="0" w:color="auto"/>
        <w:right w:val="none" w:sz="0" w:space="0" w:color="auto"/>
      </w:divBdr>
    </w:div>
    <w:div w:id="834880560">
      <w:bodyDiv w:val="1"/>
      <w:marLeft w:val="0"/>
      <w:marRight w:val="0"/>
      <w:marTop w:val="0"/>
      <w:marBottom w:val="0"/>
      <w:divBdr>
        <w:top w:val="none" w:sz="0" w:space="0" w:color="auto"/>
        <w:left w:val="none" w:sz="0" w:space="0" w:color="auto"/>
        <w:bottom w:val="none" w:sz="0" w:space="0" w:color="auto"/>
        <w:right w:val="none" w:sz="0" w:space="0" w:color="auto"/>
      </w:divBdr>
    </w:div>
    <w:div w:id="892543872">
      <w:bodyDiv w:val="1"/>
      <w:marLeft w:val="0"/>
      <w:marRight w:val="0"/>
      <w:marTop w:val="0"/>
      <w:marBottom w:val="0"/>
      <w:divBdr>
        <w:top w:val="none" w:sz="0" w:space="0" w:color="auto"/>
        <w:left w:val="none" w:sz="0" w:space="0" w:color="auto"/>
        <w:bottom w:val="none" w:sz="0" w:space="0" w:color="auto"/>
        <w:right w:val="none" w:sz="0" w:space="0" w:color="auto"/>
      </w:divBdr>
    </w:div>
    <w:div w:id="1000308695">
      <w:bodyDiv w:val="1"/>
      <w:marLeft w:val="0"/>
      <w:marRight w:val="0"/>
      <w:marTop w:val="0"/>
      <w:marBottom w:val="0"/>
      <w:divBdr>
        <w:top w:val="none" w:sz="0" w:space="0" w:color="auto"/>
        <w:left w:val="none" w:sz="0" w:space="0" w:color="auto"/>
        <w:bottom w:val="none" w:sz="0" w:space="0" w:color="auto"/>
        <w:right w:val="none" w:sz="0" w:space="0" w:color="auto"/>
      </w:divBdr>
    </w:div>
    <w:div w:id="1064832539">
      <w:bodyDiv w:val="1"/>
      <w:marLeft w:val="0"/>
      <w:marRight w:val="0"/>
      <w:marTop w:val="0"/>
      <w:marBottom w:val="0"/>
      <w:divBdr>
        <w:top w:val="none" w:sz="0" w:space="0" w:color="auto"/>
        <w:left w:val="none" w:sz="0" w:space="0" w:color="auto"/>
        <w:bottom w:val="none" w:sz="0" w:space="0" w:color="auto"/>
        <w:right w:val="none" w:sz="0" w:space="0" w:color="auto"/>
      </w:divBdr>
      <w:divsChild>
        <w:div w:id="564069014">
          <w:marLeft w:val="0"/>
          <w:marRight w:val="0"/>
          <w:marTop w:val="0"/>
          <w:marBottom w:val="0"/>
          <w:divBdr>
            <w:top w:val="none" w:sz="0" w:space="0" w:color="auto"/>
            <w:left w:val="none" w:sz="0" w:space="0" w:color="auto"/>
            <w:bottom w:val="none" w:sz="0" w:space="0" w:color="auto"/>
            <w:right w:val="none" w:sz="0" w:space="0" w:color="auto"/>
          </w:divBdr>
        </w:div>
        <w:div w:id="1022051133">
          <w:marLeft w:val="0"/>
          <w:marRight w:val="0"/>
          <w:marTop w:val="0"/>
          <w:marBottom w:val="0"/>
          <w:divBdr>
            <w:top w:val="none" w:sz="0" w:space="0" w:color="auto"/>
            <w:left w:val="none" w:sz="0" w:space="0" w:color="auto"/>
            <w:bottom w:val="none" w:sz="0" w:space="0" w:color="auto"/>
            <w:right w:val="none" w:sz="0" w:space="0" w:color="auto"/>
          </w:divBdr>
        </w:div>
      </w:divsChild>
    </w:div>
    <w:div w:id="1097680762">
      <w:bodyDiv w:val="1"/>
      <w:marLeft w:val="0"/>
      <w:marRight w:val="0"/>
      <w:marTop w:val="0"/>
      <w:marBottom w:val="0"/>
      <w:divBdr>
        <w:top w:val="none" w:sz="0" w:space="0" w:color="auto"/>
        <w:left w:val="none" w:sz="0" w:space="0" w:color="auto"/>
        <w:bottom w:val="none" w:sz="0" w:space="0" w:color="auto"/>
        <w:right w:val="none" w:sz="0" w:space="0" w:color="auto"/>
      </w:divBdr>
    </w:div>
    <w:div w:id="1152139517">
      <w:bodyDiv w:val="1"/>
      <w:marLeft w:val="0"/>
      <w:marRight w:val="0"/>
      <w:marTop w:val="0"/>
      <w:marBottom w:val="0"/>
      <w:divBdr>
        <w:top w:val="none" w:sz="0" w:space="0" w:color="auto"/>
        <w:left w:val="none" w:sz="0" w:space="0" w:color="auto"/>
        <w:bottom w:val="none" w:sz="0" w:space="0" w:color="auto"/>
        <w:right w:val="none" w:sz="0" w:space="0" w:color="auto"/>
      </w:divBdr>
    </w:div>
    <w:div w:id="116308763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8975823">
      <w:bodyDiv w:val="1"/>
      <w:marLeft w:val="0"/>
      <w:marRight w:val="0"/>
      <w:marTop w:val="0"/>
      <w:marBottom w:val="0"/>
      <w:divBdr>
        <w:top w:val="none" w:sz="0" w:space="0" w:color="auto"/>
        <w:left w:val="none" w:sz="0" w:space="0" w:color="auto"/>
        <w:bottom w:val="none" w:sz="0" w:space="0" w:color="auto"/>
        <w:right w:val="none" w:sz="0" w:space="0" w:color="auto"/>
      </w:divBdr>
    </w:div>
    <w:div w:id="1261832721">
      <w:bodyDiv w:val="1"/>
      <w:marLeft w:val="0"/>
      <w:marRight w:val="0"/>
      <w:marTop w:val="0"/>
      <w:marBottom w:val="0"/>
      <w:divBdr>
        <w:top w:val="none" w:sz="0" w:space="0" w:color="auto"/>
        <w:left w:val="none" w:sz="0" w:space="0" w:color="auto"/>
        <w:bottom w:val="none" w:sz="0" w:space="0" w:color="auto"/>
        <w:right w:val="none" w:sz="0" w:space="0" w:color="auto"/>
      </w:divBdr>
    </w:div>
    <w:div w:id="1315138864">
      <w:bodyDiv w:val="1"/>
      <w:marLeft w:val="0"/>
      <w:marRight w:val="0"/>
      <w:marTop w:val="0"/>
      <w:marBottom w:val="0"/>
      <w:divBdr>
        <w:top w:val="none" w:sz="0" w:space="0" w:color="auto"/>
        <w:left w:val="none" w:sz="0" w:space="0" w:color="auto"/>
        <w:bottom w:val="none" w:sz="0" w:space="0" w:color="auto"/>
        <w:right w:val="none" w:sz="0" w:space="0" w:color="auto"/>
      </w:divBdr>
    </w:div>
    <w:div w:id="1369332168">
      <w:bodyDiv w:val="1"/>
      <w:marLeft w:val="0"/>
      <w:marRight w:val="0"/>
      <w:marTop w:val="0"/>
      <w:marBottom w:val="0"/>
      <w:divBdr>
        <w:top w:val="none" w:sz="0" w:space="0" w:color="auto"/>
        <w:left w:val="none" w:sz="0" w:space="0" w:color="auto"/>
        <w:bottom w:val="none" w:sz="0" w:space="0" w:color="auto"/>
        <w:right w:val="none" w:sz="0" w:space="0" w:color="auto"/>
      </w:divBdr>
    </w:div>
    <w:div w:id="1384670428">
      <w:bodyDiv w:val="1"/>
      <w:marLeft w:val="0"/>
      <w:marRight w:val="0"/>
      <w:marTop w:val="0"/>
      <w:marBottom w:val="0"/>
      <w:divBdr>
        <w:top w:val="none" w:sz="0" w:space="0" w:color="auto"/>
        <w:left w:val="none" w:sz="0" w:space="0" w:color="auto"/>
        <w:bottom w:val="none" w:sz="0" w:space="0" w:color="auto"/>
        <w:right w:val="none" w:sz="0" w:space="0" w:color="auto"/>
      </w:divBdr>
    </w:div>
    <w:div w:id="1391685717">
      <w:bodyDiv w:val="1"/>
      <w:marLeft w:val="0"/>
      <w:marRight w:val="0"/>
      <w:marTop w:val="0"/>
      <w:marBottom w:val="0"/>
      <w:divBdr>
        <w:top w:val="none" w:sz="0" w:space="0" w:color="auto"/>
        <w:left w:val="none" w:sz="0" w:space="0" w:color="auto"/>
        <w:bottom w:val="none" w:sz="0" w:space="0" w:color="auto"/>
        <w:right w:val="none" w:sz="0" w:space="0" w:color="auto"/>
      </w:divBdr>
    </w:div>
    <w:div w:id="1393850223">
      <w:bodyDiv w:val="1"/>
      <w:marLeft w:val="0"/>
      <w:marRight w:val="0"/>
      <w:marTop w:val="0"/>
      <w:marBottom w:val="0"/>
      <w:divBdr>
        <w:top w:val="none" w:sz="0" w:space="0" w:color="auto"/>
        <w:left w:val="none" w:sz="0" w:space="0" w:color="auto"/>
        <w:bottom w:val="none" w:sz="0" w:space="0" w:color="auto"/>
        <w:right w:val="none" w:sz="0" w:space="0" w:color="auto"/>
      </w:divBdr>
    </w:div>
    <w:div w:id="1476338229">
      <w:bodyDiv w:val="1"/>
      <w:marLeft w:val="0"/>
      <w:marRight w:val="0"/>
      <w:marTop w:val="0"/>
      <w:marBottom w:val="0"/>
      <w:divBdr>
        <w:top w:val="none" w:sz="0" w:space="0" w:color="auto"/>
        <w:left w:val="none" w:sz="0" w:space="0" w:color="auto"/>
        <w:bottom w:val="none" w:sz="0" w:space="0" w:color="auto"/>
        <w:right w:val="none" w:sz="0" w:space="0" w:color="auto"/>
      </w:divBdr>
    </w:div>
    <w:div w:id="1561594048">
      <w:bodyDiv w:val="1"/>
      <w:marLeft w:val="0"/>
      <w:marRight w:val="0"/>
      <w:marTop w:val="0"/>
      <w:marBottom w:val="0"/>
      <w:divBdr>
        <w:top w:val="none" w:sz="0" w:space="0" w:color="auto"/>
        <w:left w:val="none" w:sz="0" w:space="0" w:color="auto"/>
        <w:bottom w:val="none" w:sz="0" w:space="0" w:color="auto"/>
        <w:right w:val="none" w:sz="0" w:space="0" w:color="auto"/>
      </w:divBdr>
    </w:div>
    <w:div w:id="1619680527">
      <w:bodyDiv w:val="1"/>
      <w:marLeft w:val="0"/>
      <w:marRight w:val="0"/>
      <w:marTop w:val="0"/>
      <w:marBottom w:val="0"/>
      <w:divBdr>
        <w:top w:val="none" w:sz="0" w:space="0" w:color="auto"/>
        <w:left w:val="none" w:sz="0" w:space="0" w:color="auto"/>
        <w:bottom w:val="none" w:sz="0" w:space="0" w:color="auto"/>
        <w:right w:val="none" w:sz="0" w:space="0" w:color="auto"/>
      </w:divBdr>
    </w:div>
    <w:div w:id="1621036792">
      <w:bodyDiv w:val="1"/>
      <w:marLeft w:val="0"/>
      <w:marRight w:val="0"/>
      <w:marTop w:val="0"/>
      <w:marBottom w:val="0"/>
      <w:divBdr>
        <w:top w:val="none" w:sz="0" w:space="0" w:color="auto"/>
        <w:left w:val="none" w:sz="0" w:space="0" w:color="auto"/>
        <w:bottom w:val="none" w:sz="0" w:space="0" w:color="auto"/>
        <w:right w:val="none" w:sz="0" w:space="0" w:color="auto"/>
      </w:divBdr>
    </w:div>
    <w:div w:id="1668709628">
      <w:bodyDiv w:val="1"/>
      <w:marLeft w:val="0"/>
      <w:marRight w:val="0"/>
      <w:marTop w:val="0"/>
      <w:marBottom w:val="0"/>
      <w:divBdr>
        <w:top w:val="none" w:sz="0" w:space="0" w:color="auto"/>
        <w:left w:val="none" w:sz="0" w:space="0" w:color="auto"/>
        <w:bottom w:val="none" w:sz="0" w:space="0" w:color="auto"/>
        <w:right w:val="none" w:sz="0" w:space="0" w:color="auto"/>
      </w:divBdr>
    </w:div>
    <w:div w:id="1694961892">
      <w:bodyDiv w:val="1"/>
      <w:marLeft w:val="0"/>
      <w:marRight w:val="0"/>
      <w:marTop w:val="0"/>
      <w:marBottom w:val="0"/>
      <w:divBdr>
        <w:top w:val="none" w:sz="0" w:space="0" w:color="auto"/>
        <w:left w:val="none" w:sz="0" w:space="0" w:color="auto"/>
        <w:bottom w:val="none" w:sz="0" w:space="0" w:color="auto"/>
        <w:right w:val="none" w:sz="0" w:space="0" w:color="auto"/>
      </w:divBdr>
    </w:div>
    <w:div w:id="1757094171">
      <w:bodyDiv w:val="1"/>
      <w:marLeft w:val="0"/>
      <w:marRight w:val="0"/>
      <w:marTop w:val="0"/>
      <w:marBottom w:val="0"/>
      <w:divBdr>
        <w:top w:val="none" w:sz="0" w:space="0" w:color="auto"/>
        <w:left w:val="none" w:sz="0" w:space="0" w:color="auto"/>
        <w:bottom w:val="none" w:sz="0" w:space="0" w:color="auto"/>
        <w:right w:val="none" w:sz="0" w:space="0" w:color="auto"/>
      </w:divBdr>
    </w:div>
    <w:div w:id="1797791938">
      <w:bodyDiv w:val="1"/>
      <w:marLeft w:val="0"/>
      <w:marRight w:val="0"/>
      <w:marTop w:val="0"/>
      <w:marBottom w:val="0"/>
      <w:divBdr>
        <w:top w:val="none" w:sz="0" w:space="0" w:color="auto"/>
        <w:left w:val="none" w:sz="0" w:space="0" w:color="auto"/>
        <w:bottom w:val="none" w:sz="0" w:space="0" w:color="auto"/>
        <w:right w:val="none" w:sz="0" w:space="0" w:color="auto"/>
      </w:divBdr>
    </w:div>
    <w:div w:id="1814789469">
      <w:bodyDiv w:val="1"/>
      <w:marLeft w:val="0"/>
      <w:marRight w:val="0"/>
      <w:marTop w:val="0"/>
      <w:marBottom w:val="0"/>
      <w:divBdr>
        <w:top w:val="none" w:sz="0" w:space="0" w:color="auto"/>
        <w:left w:val="none" w:sz="0" w:space="0" w:color="auto"/>
        <w:bottom w:val="none" w:sz="0" w:space="0" w:color="auto"/>
        <w:right w:val="none" w:sz="0" w:space="0" w:color="auto"/>
      </w:divBdr>
    </w:div>
    <w:div w:id="1827700352">
      <w:bodyDiv w:val="1"/>
      <w:marLeft w:val="0"/>
      <w:marRight w:val="0"/>
      <w:marTop w:val="0"/>
      <w:marBottom w:val="0"/>
      <w:divBdr>
        <w:top w:val="none" w:sz="0" w:space="0" w:color="auto"/>
        <w:left w:val="none" w:sz="0" w:space="0" w:color="auto"/>
        <w:bottom w:val="none" w:sz="0" w:space="0" w:color="auto"/>
        <w:right w:val="none" w:sz="0" w:space="0" w:color="auto"/>
      </w:divBdr>
    </w:div>
    <w:div w:id="1855681850">
      <w:bodyDiv w:val="1"/>
      <w:marLeft w:val="0"/>
      <w:marRight w:val="0"/>
      <w:marTop w:val="0"/>
      <w:marBottom w:val="0"/>
      <w:divBdr>
        <w:top w:val="none" w:sz="0" w:space="0" w:color="auto"/>
        <w:left w:val="none" w:sz="0" w:space="0" w:color="auto"/>
        <w:bottom w:val="none" w:sz="0" w:space="0" w:color="auto"/>
        <w:right w:val="none" w:sz="0" w:space="0" w:color="auto"/>
      </w:divBdr>
    </w:div>
    <w:div w:id="1884100237">
      <w:bodyDiv w:val="1"/>
      <w:marLeft w:val="0"/>
      <w:marRight w:val="0"/>
      <w:marTop w:val="0"/>
      <w:marBottom w:val="0"/>
      <w:divBdr>
        <w:top w:val="none" w:sz="0" w:space="0" w:color="auto"/>
        <w:left w:val="none" w:sz="0" w:space="0" w:color="auto"/>
        <w:bottom w:val="none" w:sz="0" w:space="0" w:color="auto"/>
        <w:right w:val="none" w:sz="0" w:space="0" w:color="auto"/>
      </w:divBdr>
    </w:div>
    <w:div w:id="191373564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0990668">
      <w:bodyDiv w:val="1"/>
      <w:marLeft w:val="0"/>
      <w:marRight w:val="0"/>
      <w:marTop w:val="0"/>
      <w:marBottom w:val="0"/>
      <w:divBdr>
        <w:top w:val="none" w:sz="0" w:space="0" w:color="auto"/>
        <w:left w:val="none" w:sz="0" w:space="0" w:color="auto"/>
        <w:bottom w:val="none" w:sz="0" w:space="0" w:color="auto"/>
        <w:right w:val="none" w:sz="0" w:space="0" w:color="auto"/>
      </w:divBdr>
    </w:div>
    <w:div w:id="2031294444">
      <w:bodyDiv w:val="1"/>
      <w:marLeft w:val="0"/>
      <w:marRight w:val="0"/>
      <w:marTop w:val="0"/>
      <w:marBottom w:val="0"/>
      <w:divBdr>
        <w:top w:val="none" w:sz="0" w:space="0" w:color="auto"/>
        <w:left w:val="none" w:sz="0" w:space="0" w:color="auto"/>
        <w:bottom w:val="none" w:sz="0" w:space="0" w:color="auto"/>
        <w:right w:val="none" w:sz="0" w:space="0" w:color="auto"/>
      </w:divBdr>
    </w:div>
    <w:div w:id="2057773259">
      <w:bodyDiv w:val="1"/>
      <w:marLeft w:val="0"/>
      <w:marRight w:val="0"/>
      <w:marTop w:val="0"/>
      <w:marBottom w:val="0"/>
      <w:divBdr>
        <w:top w:val="none" w:sz="0" w:space="0" w:color="auto"/>
        <w:left w:val="none" w:sz="0" w:space="0" w:color="auto"/>
        <w:bottom w:val="none" w:sz="0" w:space="0" w:color="auto"/>
        <w:right w:val="none" w:sz="0" w:space="0" w:color="auto"/>
      </w:divBdr>
    </w:div>
    <w:div w:id="2100329971">
      <w:bodyDiv w:val="1"/>
      <w:marLeft w:val="0"/>
      <w:marRight w:val="0"/>
      <w:marTop w:val="0"/>
      <w:marBottom w:val="0"/>
      <w:divBdr>
        <w:top w:val="none" w:sz="0" w:space="0" w:color="auto"/>
        <w:left w:val="none" w:sz="0" w:space="0" w:color="auto"/>
        <w:bottom w:val="none" w:sz="0" w:space="0" w:color="auto"/>
        <w:right w:val="none" w:sz="0" w:space="0" w:color="auto"/>
      </w:divBdr>
    </w:div>
    <w:div w:id="2105607790">
      <w:bodyDiv w:val="1"/>
      <w:marLeft w:val="0"/>
      <w:marRight w:val="0"/>
      <w:marTop w:val="0"/>
      <w:marBottom w:val="0"/>
      <w:divBdr>
        <w:top w:val="none" w:sz="0" w:space="0" w:color="auto"/>
        <w:left w:val="none" w:sz="0" w:space="0" w:color="auto"/>
        <w:bottom w:val="none" w:sz="0" w:space="0" w:color="auto"/>
        <w:right w:val="none" w:sz="0" w:space="0" w:color="auto"/>
      </w:divBdr>
      <w:divsChild>
        <w:div w:id="1928995936">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18107</Words>
  <Characters>103214</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2024-10-25T04:33:00Z</dcterms:created>
  <dcterms:modified xsi:type="dcterms:W3CDTF">2024-10-25T09:00:00Z</dcterms:modified>
</cp:coreProperties>
</file>