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CC71A" w14:textId="7C35C9CE" w:rsidR="003146C9" w:rsidRPr="00EA2A44" w:rsidRDefault="000C11F2" w:rsidP="004A3609">
      <w:pPr>
        <w:pStyle w:val="1-MainHeading"/>
        <w:ind w:left="851" w:hanging="851"/>
        <w:rPr>
          <w:b w:val="0"/>
          <w:bCs/>
        </w:rPr>
      </w:pPr>
      <w:bookmarkStart w:id="0" w:name="_Toc167269190"/>
      <w:bookmarkStart w:id="1" w:name="_Toc155769110"/>
      <w:bookmarkStart w:id="2" w:name="_Toc155769115"/>
      <w:bookmarkStart w:id="3" w:name="_Toc380746195"/>
      <w:bookmarkStart w:id="4" w:name="_Toc380746321"/>
      <w:bookmarkStart w:id="5" w:name="_Toc380746602"/>
      <w:r>
        <w:t>5.10</w:t>
      </w:r>
      <w:r w:rsidR="003146C9" w:rsidRPr="00482A36">
        <w:tab/>
        <w:t>LINZAGOLIX,</w:t>
      </w:r>
      <w:bookmarkEnd w:id="0"/>
      <w:r w:rsidR="00FD5102">
        <w:t xml:space="preserve"> </w:t>
      </w:r>
      <w:r w:rsidR="004A3609">
        <w:br/>
      </w:r>
      <w:r w:rsidR="00312EC1" w:rsidRPr="00EA2A44">
        <w:rPr>
          <w:bCs/>
        </w:rPr>
        <w:t>Tablet 100 mg (as choline),</w:t>
      </w:r>
      <w:r w:rsidR="004A3609">
        <w:rPr>
          <w:bCs/>
        </w:rPr>
        <w:br/>
      </w:r>
      <w:r w:rsidR="00312EC1" w:rsidRPr="00EA2A44">
        <w:rPr>
          <w:bCs/>
        </w:rPr>
        <w:t>Tablet 200 mg (as choline),</w:t>
      </w:r>
      <w:r w:rsidR="004A3609">
        <w:rPr>
          <w:bCs/>
        </w:rPr>
        <w:br/>
      </w:r>
      <w:r w:rsidR="002362C6" w:rsidRPr="00EA2A44">
        <w:rPr>
          <w:bCs/>
        </w:rPr>
        <w:t>Yselty</w:t>
      </w:r>
      <w:r w:rsidR="003146C9" w:rsidRPr="00EA2A44">
        <w:rPr>
          <w:bCs/>
        </w:rPr>
        <w:t>®</w:t>
      </w:r>
      <w:r w:rsidR="00312EC1" w:rsidRPr="00EA2A44">
        <w:rPr>
          <w:bCs/>
        </w:rPr>
        <w:t>,</w:t>
      </w:r>
      <w:r w:rsidR="004A3609">
        <w:rPr>
          <w:bCs/>
        </w:rPr>
        <w:br/>
      </w:r>
      <w:r w:rsidR="003146C9" w:rsidRPr="00EA2A44">
        <w:rPr>
          <w:bCs/>
        </w:rPr>
        <w:t>Theramex</w:t>
      </w:r>
      <w:r w:rsidR="00325F01" w:rsidRPr="00EA2A44">
        <w:rPr>
          <w:bCs/>
        </w:rPr>
        <w:t xml:space="preserve"> Australia Pt</w:t>
      </w:r>
      <w:r w:rsidR="00277159" w:rsidRPr="00EA2A44">
        <w:rPr>
          <w:bCs/>
        </w:rPr>
        <w:t>y Ltd</w:t>
      </w:r>
      <w:r w:rsidR="003146C9" w:rsidRPr="00EA2A44">
        <w:rPr>
          <w:bCs/>
        </w:rPr>
        <w:t>.</w:t>
      </w:r>
    </w:p>
    <w:p w14:paraId="60D42311" w14:textId="77777777" w:rsidR="003146C9" w:rsidRPr="00482A36" w:rsidRDefault="003146C9" w:rsidP="003146C9">
      <w:pPr>
        <w:pStyle w:val="2-SectionHeading"/>
      </w:pPr>
      <w:bookmarkStart w:id="6" w:name="_Toc167269192"/>
      <w:r w:rsidRPr="00482A36">
        <w:t>Purpose of submission</w:t>
      </w:r>
      <w:bookmarkEnd w:id="6"/>
    </w:p>
    <w:p w14:paraId="45522F39" w14:textId="3012C42D" w:rsidR="003146C9" w:rsidRPr="00482A36" w:rsidRDefault="00246611" w:rsidP="003146C9">
      <w:pPr>
        <w:pStyle w:val="3-BodyText"/>
      </w:pPr>
      <w:r w:rsidRPr="00482A36">
        <w:t xml:space="preserve">The Category </w:t>
      </w:r>
      <w:r w:rsidR="00360E30">
        <w:t>2</w:t>
      </w:r>
      <w:r w:rsidRPr="00482A36">
        <w:t xml:space="preserve"> submission requested a Section 85 General Schedule, Authority Required (telephone/online) listing of</w:t>
      </w:r>
      <w:r w:rsidR="003146C9" w:rsidRPr="00482A36">
        <w:t xml:space="preserve"> </w:t>
      </w:r>
      <w:r w:rsidR="0053125C" w:rsidRPr="00482A36">
        <w:t>linzagolix</w:t>
      </w:r>
      <w:r w:rsidR="003146C9" w:rsidRPr="00482A36">
        <w:t xml:space="preserve"> for </w:t>
      </w:r>
      <w:r w:rsidRPr="00482A36">
        <w:t xml:space="preserve">the treatment of </w:t>
      </w:r>
      <w:r w:rsidR="0053125C" w:rsidRPr="00482A36">
        <w:t>symptomatic uterine fibroids</w:t>
      </w:r>
      <w:r w:rsidR="00E02C91" w:rsidRPr="00482A36">
        <w:t xml:space="preserve"> in adult</w:t>
      </w:r>
      <w:r w:rsidR="00844B9C" w:rsidRPr="00482A36">
        <w:t xml:space="preserve"> premenopausal women</w:t>
      </w:r>
      <w:r w:rsidR="003146C9" w:rsidRPr="00482A36">
        <w:t>.</w:t>
      </w:r>
    </w:p>
    <w:p w14:paraId="7CEA74B2" w14:textId="621F3D94" w:rsidR="003146C9" w:rsidRPr="00482A36" w:rsidRDefault="003146C9" w:rsidP="003146C9">
      <w:pPr>
        <w:pStyle w:val="3-BodyText"/>
      </w:pPr>
      <w:r w:rsidRPr="00482A36">
        <w:t xml:space="preserve">Listing was requested </w:t>
      </w:r>
      <w:proofErr w:type="gramStart"/>
      <w:r w:rsidRPr="00482A36">
        <w:t>on the basis of</w:t>
      </w:r>
      <w:proofErr w:type="gramEnd"/>
      <w:r w:rsidRPr="00482A36">
        <w:t xml:space="preserve"> a cost-</w:t>
      </w:r>
      <w:r w:rsidR="00246611" w:rsidRPr="00482A36">
        <w:t>utility</w:t>
      </w:r>
      <w:r w:rsidRPr="00482A36">
        <w:t xml:space="preserve"> analysis versus </w:t>
      </w:r>
      <w:r w:rsidR="0053125C" w:rsidRPr="00482A36">
        <w:t>best supportive care (BSC)</w:t>
      </w:r>
      <w:r w:rsidRPr="00482A36">
        <w:t xml:space="preserve">. </w:t>
      </w:r>
    </w:p>
    <w:p w14:paraId="498BCC72" w14:textId="2022A0B4" w:rsidR="003146C9" w:rsidRPr="00482A36" w:rsidRDefault="003146C9" w:rsidP="00E159E4">
      <w:pPr>
        <w:pStyle w:val="TableFigureHeading"/>
        <w:rPr>
          <w:rStyle w:val="CommentReference"/>
          <w:b/>
          <w:szCs w:val="24"/>
        </w:rPr>
      </w:pPr>
      <w:bookmarkStart w:id="7" w:name="_Ref166484489"/>
      <w:r w:rsidRPr="00482A36">
        <w:t xml:space="preserve">Table </w:t>
      </w:r>
      <w:r w:rsidR="00747D8C">
        <w:fldChar w:fldCharType="begin"/>
      </w:r>
      <w:r w:rsidR="00747D8C">
        <w:instrText xml:space="preserve"> SEQ Table \* ARABIC </w:instrText>
      </w:r>
      <w:r w:rsidR="00747D8C">
        <w:fldChar w:fldCharType="separate"/>
      </w:r>
      <w:r w:rsidR="003E4FD0">
        <w:rPr>
          <w:noProof/>
        </w:rPr>
        <w:t>1</w:t>
      </w:r>
      <w:r w:rsidR="00747D8C">
        <w:rPr>
          <w:noProof/>
        </w:rPr>
        <w:fldChar w:fldCharType="end"/>
      </w:r>
      <w:bookmarkEnd w:id="7"/>
      <w:r w:rsidRPr="00482A36">
        <w:t>:</w:t>
      </w:r>
      <w:r w:rsidRPr="00482A36">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3146C9" w:rsidRPr="00482A36" w14:paraId="4D7943F9" w14:textId="77777777" w:rsidTr="00383D29">
        <w:trPr>
          <w:cantSplit/>
          <w:tblHeader/>
        </w:trPr>
        <w:tc>
          <w:tcPr>
            <w:tcW w:w="924" w:type="pct"/>
            <w:shd w:val="clear" w:color="auto" w:fill="auto"/>
          </w:tcPr>
          <w:p w14:paraId="132F0DF4" w14:textId="77777777" w:rsidR="003146C9" w:rsidRPr="00482A36" w:rsidRDefault="003146C9" w:rsidP="00E159E4">
            <w:pPr>
              <w:pStyle w:val="Tabletext"/>
              <w:keepNext/>
              <w:rPr>
                <w:b/>
                <w:bCs/>
                <w:szCs w:val="20"/>
              </w:rPr>
            </w:pPr>
            <w:r w:rsidRPr="00482A36">
              <w:rPr>
                <w:b/>
                <w:bCs/>
              </w:rPr>
              <w:t>Component</w:t>
            </w:r>
          </w:p>
        </w:tc>
        <w:tc>
          <w:tcPr>
            <w:tcW w:w="4076" w:type="pct"/>
            <w:shd w:val="clear" w:color="auto" w:fill="auto"/>
          </w:tcPr>
          <w:p w14:paraId="0F3709A2" w14:textId="77777777" w:rsidR="003146C9" w:rsidRPr="00482A36" w:rsidRDefault="003146C9" w:rsidP="00E159E4">
            <w:pPr>
              <w:pStyle w:val="Tabletext"/>
              <w:keepNext/>
              <w:rPr>
                <w:b/>
                <w:bCs/>
              </w:rPr>
            </w:pPr>
            <w:r w:rsidRPr="00482A36">
              <w:rPr>
                <w:b/>
                <w:bCs/>
              </w:rPr>
              <w:t>Description</w:t>
            </w:r>
          </w:p>
        </w:tc>
      </w:tr>
      <w:tr w:rsidR="003146C9" w:rsidRPr="00482A36" w14:paraId="383FF728" w14:textId="77777777" w:rsidTr="00383D29">
        <w:trPr>
          <w:cantSplit/>
        </w:trPr>
        <w:tc>
          <w:tcPr>
            <w:tcW w:w="924" w:type="pct"/>
            <w:shd w:val="clear" w:color="auto" w:fill="auto"/>
          </w:tcPr>
          <w:p w14:paraId="4031832B" w14:textId="77777777" w:rsidR="003146C9" w:rsidRPr="00482A36" w:rsidRDefault="003146C9" w:rsidP="00E159E4">
            <w:pPr>
              <w:pStyle w:val="Tabletext"/>
              <w:keepNext/>
            </w:pPr>
            <w:r w:rsidRPr="00482A36">
              <w:t>Population</w:t>
            </w:r>
          </w:p>
        </w:tc>
        <w:tc>
          <w:tcPr>
            <w:tcW w:w="4076" w:type="pct"/>
            <w:shd w:val="clear" w:color="auto" w:fill="auto"/>
          </w:tcPr>
          <w:p w14:paraId="01BC84D1" w14:textId="3FC7A248" w:rsidR="00DA63B6" w:rsidRPr="00DA63B6" w:rsidRDefault="0053125C" w:rsidP="00E159E4">
            <w:pPr>
              <w:pStyle w:val="Tabletext"/>
              <w:keepNext/>
            </w:pPr>
            <w:r w:rsidRPr="00482A36">
              <w:t>Women of reproductive age with symptomatic uterine fibroids of moderate severity, who are unsuitable for, or have had an inadequate response to prior hormonal therapies</w:t>
            </w:r>
            <w:r w:rsidR="00912061">
              <w:t>.</w:t>
            </w:r>
          </w:p>
        </w:tc>
      </w:tr>
      <w:tr w:rsidR="003146C9" w:rsidRPr="00482A36" w14:paraId="49DF1C27" w14:textId="77777777" w:rsidTr="00383D29">
        <w:trPr>
          <w:cantSplit/>
        </w:trPr>
        <w:tc>
          <w:tcPr>
            <w:tcW w:w="924" w:type="pct"/>
            <w:shd w:val="clear" w:color="auto" w:fill="auto"/>
          </w:tcPr>
          <w:p w14:paraId="08F979FA" w14:textId="77777777" w:rsidR="003146C9" w:rsidRPr="00482A36" w:rsidRDefault="003146C9" w:rsidP="00E159E4">
            <w:pPr>
              <w:pStyle w:val="Tabletext"/>
              <w:keepNext/>
            </w:pPr>
            <w:r w:rsidRPr="00482A36">
              <w:t>Intervention</w:t>
            </w:r>
          </w:p>
        </w:tc>
        <w:tc>
          <w:tcPr>
            <w:tcW w:w="4076" w:type="pct"/>
            <w:shd w:val="clear" w:color="auto" w:fill="auto"/>
          </w:tcPr>
          <w:p w14:paraId="726E0C45" w14:textId="77777777" w:rsidR="0053125C" w:rsidRPr="00482A36" w:rsidRDefault="0053125C" w:rsidP="00E159E4">
            <w:pPr>
              <w:pStyle w:val="Tabletext"/>
              <w:keepNext/>
            </w:pPr>
            <w:r w:rsidRPr="00482A36">
              <w:t>Linzagolix 100 mg</w:t>
            </w:r>
          </w:p>
          <w:p w14:paraId="02D9ACE7" w14:textId="77777777" w:rsidR="0053125C" w:rsidRPr="00482A36" w:rsidRDefault="0053125C" w:rsidP="00E159E4">
            <w:pPr>
              <w:pStyle w:val="Tabletext"/>
              <w:keepNext/>
            </w:pPr>
            <w:r w:rsidRPr="00482A36">
              <w:t>Linzagolix 100 mg + ABT</w:t>
            </w:r>
          </w:p>
          <w:p w14:paraId="73CADAE1" w14:textId="77777777" w:rsidR="0053125C" w:rsidRPr="00482A36" w:rsidRDefault="0053125C" w:rsidP="00E159E4">
            <w:pPr>
              <w:pStyle w:val="Tabletext"/>
              <w:keepNext/>
            </w:pPr>
            <w:r w:rsidRPr="00482A36">
              <w:t>Linzagolix 200 mg</w:t>
            </w:r>
          </w:p>
          <w:p w14:paraId="6EABA4D3" w14:textId="483BD616" w:rsidR="003146C9" w:rsidRPr="00482A36" w:rsidRDefault="0053125C" w:rsidP="00E159E4">
            <w:pPr>
              <w:pStyle w:val="Tabletext"/>
              <w:keepNext/>
            </w:pPr>
            <w:r w:rsidRPr="00482A36">
              <w:t>Linzagolix 200 mg + ABT</w:t>
            </w:r>
          </w:p>
        </w:tc>
      </w:tr>
      <w:tr w:rsidR="0053125C" w:rsidRPr="00482A36" w14:paraId="358407B0" w14:textId="77777777" w:rsidTr="00383D29">
        <w:trPr>
          <w:cantSplit/>
        </w:trPr>
        <w:tc>
          <w:tcPr>
            <w:tcW w:w="924" w:type="pct"/>
            <w:shd w:val="clear" w:color="auto" w:fill="auto"/>
          </w:tcPr>
          <w:p w14:paraId="0F47D46B" w14:textId="77777777" w:rsidR="0053125C" w:rsidRPr="00482A36" w:rsidRDefault="0053125C" w:rsidP="00E159E4">
            <w:pPr>
              <w:pStyle w:val="Tabletext"/>
              <w:keepNext/>
            </w:pPr>
            <w:r w:rsidRPr="00482A36">
              <w:t>Comparator</w:t>
            </w:r>
          </w:p>
        </w:tc>
        <w:tc>
          <w:tcPr>
            <w:tcW w:w="4076" w:type="pct"/>
            <w:shd w:val="clear" w:color="auto" w:fill="auto"/>
          </w:tcPr>
          <w:p w14:paraId="6E726470" w14:textId="356E0D14" w:rsidR="0053125C" w:rsidRPr="00482A36" w:rsidRDefault="0053125C" w:rsidP="00E159E4">
            <w:pPr>
              <w:pStyle w:val="Tabletext"/>
              <w:keepNext/>
            </w:pPr>
            <w:r w:rsidRPr="00482A36">
              <w:t>Best supportive care</w:t>
            </w:r>
          </w:p>
        </w:tc>
      </w:tr>
      <w:tr w:rsidR="0053125C" w:rsidRPr="00482A36" w14:paraId="13818B7E" w14:textId="77777777" w:rsidTr="00383D29">
        <w:trPr>
          <w:cantSplit/>
        </w:trPr>
        <w:tc>
          <w:tcPr>
            <w:tcW w:w="924" w:type="pct"/>
            <w:shd w:val="clear" w:color="auto" w:fill="auto"/>
          </w:tcPr>
          <w:p w14:paraId="2527AD1A" w14:textId="77777777" w:rsidR="0053125C" w:rsidRPr="00482A36" w:rsidRDefault="0053125C" w:rsidP="00E159E4">
            <w:pPr>
              <w:pStyle w:val="Tabletext"/>
              <w:keepNext/>
            </w:pPr>
            <w:r w:rsidRPr="00482A36">
              <w:t>Outcomes</w:t>
            </w:r>
          </w:p>
        </w:tc>
        <w:tc>
          <w:tcPr>
            <w:tcW w:w="4076" w:type="pct"/>
            <w:shd w:val="clear" w:color="auto" w:fill="auto"/>
          </w:tcPr>
          <w:p w14:paraId="2E1B7DBA" w14:textId="77777777" w:rsidR="0053125C" w:rsidRPr="00482A36" w:rsidRDefault="0053125C" w:rsidP="00666AB0">
            <w:pPr>
              <w:pStyle w:val="TableText0"/>
              <w:numPr>
                <w:ilvl w:val="0"/>
                <w:numId w:val="11"/>
              </w:numPr>
              <w:ind w:left="114" w:hanging="142"/>
            </w:pPr>
            <w:r w:rsidRPr="00482A36">
              <w:t>Reduced MBL</w:t>
            </w:r>
          </w:p>
          <w:p w14:paraId="6FB30DE0" w14:textId="77777777" w:rsidR="0053125C" w:rsidRPr="00482A36" w:rsidRDefault="0053125C" w:rsidP="00666AB0">
            <w:pPr>
              <w:pStyle w:val="TableText0"/>
              <w:numPr>
                <w:ilvl w:val="0"/>
                <w:numId w:val="11"/>
              </w:numPr>
              <w:ind w:left="114" w:hanging="142"/>
            </w:pPr>
            <w:r w:rsidRPr="00482A36">
              <w:t>Amenorrhea</w:t>
            </w:r>
          </w:p>
          <w:p w14:paraId="43284B40" w14:textId="77777777" w:rsidR="0053125C" w:rsidRPr="00482A36" w:rsidRDefault="0053125C" w:rsidP="00666AB0">
            <w:pPr>
              <w:pStyle w:val="TableText0"/>
              <w:numPr>
                <w:ilvl w:val="0"/>
                <w:numId w:val="11"/>
              </w:numPr>
              <w:ind w:left="114" w:hanging="142"/>
            </w:pPr>
            <w:r w:rsidRPr="00482A36">
              <w:t>Number of days with uterine bleeding</w:t>
            </w:r>
          </w:p>
          <w:p w14:paraId="7BDBC045" w14:textId="77777777" w:rsidR="0053125C" w:rsidRPr="00482A36" w:rsidRDefault="0053125C" w:rsidP="00666AB0">
            <w:pPr>
              <w:pStyle w:val="TableText0"/>
              <w:numPr>
                <w:ilvl w:val="0"/>
                <w:numId w:val="11"/>
              </w:numPr>
              <w:ind w:left="114" w:hanging="142"/>
            </w:pPr>
            <w:r w:rsidRPr="00482A36">
              <w:t>Haemoglobin/anaemia</w:t>
            </w:r>
          </w:p>
          <w:p w14:paraId="386C1818" w14:textId="77777777" w:rsidR="0053125C" w:rsidRPr="00482A36" w:rsidRDefault="0053125C" w:rsidP="00666AB0">
            <w:pPr>
              <w:pStyle w:val="TableText0"/>
              <w:numPr>
                <w:ilvl w:val="0"/>
                <w:numId w:val="11"/>
              </w:numPr>
              <w:ind w:left="114" w:hanging="142"/>
            </w:pPr>
            <w:r w:rsidRPr="00482A36">
              <w:t>Pain</w:t>
            </w:r>
          </w:p>
          <w:p w14:paraId="25E52278" w14:textId="77777777" w:rsidR="0053125C" w:rsidRPr="00482A36" w:rsidRDefault="0053125C" w:rsidP="00666AB0">
            <w:pPr>
              <w:pStyle w:val="TableText0"/>
              <w:numPr>
                <w:ilvl w:val="0"/>
                <w:numId w:val="11"/>
              </w:numPr>
              <w:ind w:left="114" w:hanging="142"/>
            </w:pPr>
            <w:r w:rsidRPr="00482A36">
              <w:t>Uterine volume</w:t>
            </w:r>
          </w:p>
          <w:p w14:paraId="62680F96" w14:textId="77777777" w:rsidR="0053125C" w:rsidRPr="00482A36" w:rsidRDefault="0053125C" w:rsidP="00666AB0">
            <w:pPr>
              <w:pStyle w:val="TableText0"/>
              <w:numPr>
                <w:ilvl w:val="0"/>
                <w:numId w:val="11"/>
              </w:numPr>
              <w:ind w:left="114" w:hanging="142"/>
            </w:pPr>
            <w:r w:rsidRPr="00482A36">
              <w:t>Uterine fibroid volume</w:t>
            </w:r>
          </w:p>
          <w:p w14:paraId="72E342AB" w14:textId="4D2ADDF6" w:rsidR="0053125C" w:rsidRPr="00482A36" w:rsidRDefault="0053125C" w:rsidP="00666AB0">
            <w:pPr>
              <w:pStyle w:val="TableText0"/>
              <w:numPr>
                <w:ilvl w:val="0"/>
                <w:numId w:val="11"/>
              </w:numPr>
              <w:ind w:left="114" w:hanging="142"/>
              <w:rPr>
                <w:rFonts w:cs="Arial"/>
                <w:bCs w:val="0"/>
                <w:color w:val="0066FF"/>
                <w:szCs w:val="20"/>
              </w:rPr>
            </w:pPr>
            <w:r w:rsidRPr="00482A36">
              <w:t>Quality of life and symptom severity</w:t>
            </w:r>
          </w:p>
        </w:tc>
      </w:tr>
      <w:tr w:rsidR="0053125C" w:rsidRPr="00482A36" w14:paraId="51006E9A" w14:textId="77777777" w:rsidTr="00383D29">
        <w:trPr>
          <w:cantSplit/>
        </w:trPr>
        <w:tc>
          <w:tcPr>
            <w:tcW w:w="924" w:type="pct"/>
            <w:shd w:val="clear" w:color="auto" w:fill="auto"/>
          </w:tcPr>
          <w:p w14:paraId="6BD10D81" w14:textId="77777777" w:rsidR="0053125C" w:rsidRPr="00482A36" w:rsidRDefault="0053125C" w:rsidP="00E159E4">
            <w:pPr>
              <w:pStyle w:val="Tabletext"/>
              <w:keepNext/>
            </w:pPr>
            <w:r w:rsidRPr="00482A36">
              <w:t>Clinical claim</w:t>
            </w:r>
          </w:p>
        </w:tc>
        <w:tc>
          <w:tcPr>
            <w:tcW w:w="4076" w:type="pct"/>
            <w:shd w:val="clear" w:color="auto" w:fill="auto"/>
          </w:tcPr>
          <w:p w14:paraId="7A10BA97" w14:textId="401D4919" w:rsidR="0053125C" w:rsidRPr="00482A36" w:rsidRDefault="0053125C" w:rsidP="00E159E4">
            <w:pPr>
              <w:pStyle w:val="Tabletext"/>
              <w:keepNext/>
            </w:pPr>
            <w:r w:rsidRPr="00482A36">
              <w:t xml:space="preserve">Linzagolix is superior to </w:t>
            </w:r>
            <w:r w:rsidR="00E02C91" w:rsidRPr="00482A36">
              <w:t xml:space="preserve">BSC </w:t>
            </w:r>
            <w:r w:rsidRPr="00482A36">
              <w:t>in terms of effectiveness</w:t>
            </w:r>
          </w:p>
          <w:p w14:paraId="6FEF78F6" w14:textId="3E8A2604" w:rsidR="0053125C" w:rsidRPr="00482A36" w:rsidRDefault="0053125C" w:rsidP="00E159E4">
            <w:pPr>
              <w:pStyle w:val="Tabletext"/>
              <w:keepNext/>
              <w:rPr>
                <w:rFonts w:cs="Arial"/>
                <w:bCs/>
                <w:color w:val="0066FF"/>
                <w:szCs w:val="20"/>
              </w:rPr>
            </w:pPr>
            <w:r w:rsidRPr="00482A36">
              <w:t xml:space="preserve">Linzagolix is inferior to </w:t>
            </w:r>
            <w:r w:rsidR="00E02C91" w:rsidRPr="00482A36">
              <w:t xml:space="preserve">BSC </w:t>
            </w:r>
            <w:r w:rsidRPr="00482A36">
              <w:t>in terms of safety</w:t>
            </w:r>
          </w:p>
        </w:tc>
      </w:tr>
    </w:tbl>
    <w:p w14:paraId="4BCD0A0F" w14:textId="0AAB34E6" w:rsidR="00246611" w:rsidRPr="00482A36" w:rsidRDefault="003146C9" w:rsidP="00E159E4">
      <w:pPr>
        <w:pStyle w:val="TableFigureFooter"/>
        <w:keepNext/>
      </w:pPr>
      <w:r w:rsidRPr="00482A36">
        <w:t>Source: Table</w:t>
      </w:r>
      <w:r w:rsidR="0053125C" w:rsidRPr="00482A36">
        <w:t xml:space="preserve"> 1</w:t>
      </w:r>
      <w:r w:rsidRPr="00482A36">
        <w:t xml:space="preserve">, </w:t>
      </w:r>
      <w:r w:rsidR="0053125C" w:rsidRPr="00482A36">
        <w:t>p32</w:t>
      </w:r>
      <w:r w:rsidRPr="00482A36">
        <w:t xml:space="preserve"> of the submission.</w:t>
      </w:r>
    </w:p>
    <w:p w14:paraId="651916AC" w14:textId="22CC855C" w:rsidR="00246611" w:rsidRDefault="00246611" w:rsidP="00DC6753">
      <w:pPr>
        <w:pStyle w:val="TableFigureFooter"/>
      </w:pPr>
      <w:r w:rsidRPr="00482A36">
        <w:t>ABT=add-back therapy</w:t>
      </w:r>
      <w:r w:rsidR="00A13297" w:rsidRPr="00482A36">
        <w:t>;</w:t>
      </w:r>
      <w:r w:rsidR="00E02C91" w:rsidRPr="00482A36">
        <w:t xml:space="preserve"> BSC=best supportive care</w:t>
      </w:r>
      <w:r w:rsidR="00A13297" w:rsidRPr="00482A36">
        <w:t>; MBL=menstrual blood loss</w:t>
      </w:r>
    </w:p>
    <w:p w14:paraId="783B240C" w14:textId="764434F3" w:rsidR="00DA63B6" w:rsidRPr="00FD5102" w:rsidRDefault="00DA63B6" w:rsidP="00DA63B6">
      <w:pPr>
        <w:pStyle w:val="3-BodyText"/>
        <w:rPr>
          <w:iCs/>
        </w:rPr>
      </w:pPr>
      <w:bookmarkStart w:id="8" w:name="_Toc167269193"/>
      <w:r w:rsidRPr="00FD5102">
        <w:rPr>
          <w:iCs/>
        </w:rPr>
        <w:t xml:space="preserve">The ESC noted the submission’s proposed target population included ‘women of reproductive age’, which </w:t>
      </w:r>
      <w:r w:rsidR="00941628" w:rsidRPr="00FD5102">
        <w:rPr>
          <w:iCs/>
        </w:rPr>
        <w:t>would include</w:t>
      </w:r>
      <w:r w:rsidRPr="00FD5102">
        <w:rPr>
          <w:iCs/>
        </w:rPr>
        <w:t xml:space="preserve"> women </w:t>
      </w:r>
      <w:r w:rsidR="00941628" w:rsidRPr="00FD5102">
        <w:rPr>
          <w:iCs/>
        </w:rPr>
        <w:t>less than</w:t>
      </w:r>
      <w:r w:rsidRPr="00FD5102">
        <w:rPr>
          <w:iCs/>
        </w:rPr>
        <w:t xml:space="preserve"> 18 years </w:t>
      </w:r>
      <w:r w:rsidR="003D0A0D" w:rsidRPr="00FD5102">
        <w:rPr>
          <w:iCs/>
        </w:rPr>
        <w:t>old</w:t>
      </w:r>
      <w:r w:rsidRPr="00FD5102">
        <w:rPr>
          <w:iCs/>
        </w:rPr>
        <w:t xml:space="preserve">. </w:t>
      </w:r>
      <w:r w:rsidR="00941628" w:rsidRPr="00FD5102">
        <w:rPr>
          <w:iCs/>
        </w:rPr>
        <w:t>This was inconsistent with the</w:t>
      </w:r>
      <w:r w:rsidRPr="00FD5102">
        <w:rPr>
          <w:iCs/>
        </w:rPr>
        <w:t xml:space="preserve"> proposed listing </w:t>
      </w:r>
      <w:r w:rsidR="00941628" w:rsidRPr="00FD5102">
        <w:rPr>
          <w:iCs/>
        </w:rPr>
        <w:t xml:space="preserve">which </w:t>
      </w:r>
      <w:r w:rsidRPr="00FD5102">
        <w:rPr>
          <w:iCs/>
        </w:rPr>
        <w:t xml:space="preserve">restricts treatment to patients ‘at least 18 years and premenopausal’. The ESC advised further clarification with regards to the </w:t>
      </w:r>
      <w:r w:rsidR="00941628" w:rsidRPr="00FD5102">
        <w:rPr>
          <w:iCs/>
        </w:rPr>
        <w:t>age</w:t>
      </w:r>
      <w:r w:rsidR="00611082" w:rsidRPr="00FD5102">
        <w:rPr>
          <w:iCs/>
        </w:rPr>
        <w:t xml:space="preserve"> of the proposed population</w:t>
      </w:r>
      <w:r w:rsidR="00941628" w:rsidRPr="00FD5102">
        <w:rPr>
          <w:iCs/>
        </w:rPr>
        <w:t xml:space="preserve"> was</w:t>
      </w:r>
      <w:r w:rsidRPr="00FD5102">
        <w:rPr>
          <w:iCs/>
        </w:rPr>
        <w:t xml:space="preserve"> required</w:t>
      </w:r>
      <w:r w:rsidR="00941628" w:rsidRPr="00FD5102">
        <w:rPr>
          <w:iCs/>
        </w:rPr>
        <w:t xml:space="preserve"> from the sponsor</w:t>
      </w:r>
      <w:r w:rsidR="00943412" w:rsidRPr="00FD5102">
        <w:rPr>
          <w:iCs/>
        </w:rPr>
        <w:t>.</w:t>
      </w:r>
    </w:p>
    <w:p w14:paraId="30334861" w14:textId="3B9257B2" w:rsidR="003146C9" w:rsidRPr="00482A36" w:rsidRDefault="003146C9" w:rsidP="003146C9">
      <w:pPr>
        <w:pStyle w:val="2-SectionHeading"/>
      </w:pPr>
      <w:r w:rsidRPr="00482A36">
        <w:lastRenderedPageBreak/>
        <w:t>Background</w:t>
      </w:r>
      <w:bookmarkEnd w:id="8"/>
    </w:p>
    <w:p w14:paraId="3A6C6BFC" w14:textId="77777777" w:rsidR="003146C9" w:rsidRPr="00482A36" w:rsidRDefault="003146C9" w:rsidP="003146C9">
      <w:pPr>
        <w:pStyle w:val="4-SubsectionHeading"/>
      </w:pPr>
      <w:bookmarkStart w:id="9" w:name="_Toc22897638"/>
      <w:bookmarkStart w:id="10" w:name="_Toc167269194"/>
      <w:r w:rsidRPr="00482A36">
        <w:t>Registration status</w:t>
      </w:r>
      <w:bookmarkEnd w:id="9"/>
      <w:bookmarkEnd w:id="10"/>
    </w:p>
    <w:p w14:paraId="23D7CD07" w14:textId="7CC3E633" w:rsidR="00E96FBD" w:rsidRPr="00E96FBD" w:rsidRDefault="00BC69D9" w:rsidP="008D421D">
      <w:pPr>
        <w:pStyle w:val="3-BodyText"/>
      </w:pPr>
      <w:r w:rsidRPr="00E96FBD">
        <w:t xml:space="preserve">The submission was made under the TGA/PBAC Parallel Process. An application </w:t>
      </w:r>
      <w:r w:rsidR="00BF7C2C" w:rsidRPr="00E96FBD">
        <w:t xml:space="preserve">for </w:t>
      </w:r>
      <w:r w:rsidRPr="00E96FBD">
        <w:t xml:space="preserve">linzagolix was submitted to the TGA </w:t>
      </w:r>
      <w:r w:rsidR="00E10532" w:rsidRPr="00E96FBD">
        <w:t>i</w:t>
      </w:r>
      <w:r w:rsidRPr="00E96FBD">
        <w:t xml:space="preserve">n July 2023 via a </w:t>
      </w:r>
      <w:r w:rsidR="00DC6753" w:rsidRPr="00DC6753">
        <w:t xml:space="preserve">Comparable overseas regulator </w:t>
      </w:r>
      <w:r w:rsidR="00DC6753">
        <w:t>approach B (</w:t>
      </w:r>
      <w:r w:rsidRPr="00E96FBD">
        <w:t>COR-B</w:t>
      </w:r>
      <w:r w:rsidR="00DC6753">
        <w:t>)</w:t>
      </w:r>
      <w:r w:rsidRPr="00E96FBD">
        <w:t xml:space="preserve"> processing pathway</w:t>
      </w:r>
      <w:r w:rsidR="005C33E9" w:rsidRPr="00E96FBD">
        <w:t xml:space="preserve">. </w:t>
      </w:r>
      <w:r w:rsidR="00E96FBD">
        <w:t>At the time of PBAC consideration t</w:t>
      </w:r>
      <w:r w:rsidR="002E64AF" w:rsidRPr="00E96FBD">
        <w:t xml:space="preserve">he </w:t>
      </w:r>
      <w:r w:rsidR="00E10532" w:rsidRPr="00E96FBD">
        <w:t xml:space="preserve">TGA </w:t>
      </w:r>
      <w:r w:rsidR="0099122D" w:rsidRPr="00E96FBD">
        <w:t>D</w:t>
      </w:r>
      <w:r w:rsidR="00E10532" w:rsidRPr="00E96FBD">
        <w:t>elegate</w:t>
      </w:r>
      <w:r w:rsidR="0099122D" w:rsidRPr="00E96FBD">
        <w:t>’s</w:t>
      </w:r>
      <w:r w:rsidR="00E10532" w:rsidRPr="00E96FBD">
        <w:t xml:space="preserve"> </w:t>
      </w:r>
      <w:r w:rsidR="0099122D" w:rsidRPr="00E96FBD">
        <w:t>O</w:t>
      </w:r>
      <w:r w:rsidR="00E10532" w:rsidRPr="00E96FBD">
        <w:t xml:space="preserve">verview </w:t>
      </w:r>
      <w:r w:rsidR="008F5B1F">
        <w:t xml:space="preserve">and </w:t>
      </w:r>
      <w:r w:rsidR="00DC6753" w:rsidRPr="00F44750">
        <w:t>Advisory Committee on Medicines</w:t>
      </w:r>
      <w:r w:rsidR="00DC6753" w:rsidRPr="00E96FBD">
        <w:t xml:space="preserve"> </w:t>
      </w:r>
      <w:r w:rsidR="00DC6753">
        <w:t>(</w:t>
      </w:r>
      <w:r w:rsidR="00DE3785" w:rsidRPr="00E96FBD">
        <w:t>ACM</w:t>
      </w:r>
      <w:r w:rsidR="00DE3785">
        <w:t>)</w:t>
      </w:r>
      <w:r w:rsidR="00DE3785" w:rsidRPr="00E96FBD">
        <w:t xml:space="preserve"> </w:t>
      </w:r>
      <w:r w:rsidR="00DE3785">
        <w:t>minutes</w:t>
      </w:r>
      <w:r w:rsidR="008F5B1F">
        <w:t xml:space="preserve"> were </w:t>
      </w:r>
      <w:r w:rsidR="00135E95">
        <w:t xml:space="preserve">available. </w:t>
      </w:r>
      <w:r w:rsidR="00E96FBD">
        <w:t xml:space="preserve">The Delegate </w:t>
      </w:r>
      <w:r w:rsidR="008D421D">
        <w:t>concluded</w:t>
      </w:r>
      <w:r w:rsidR="00E96FBD">
        <w:t xml:space="preserve"> that w</w:t>
      </w:r>
      <w:r w:rsidR="00E96FBD" w:rsidRPr="00E96FBD">
        <w:t xml:space="preserve">hilst linzagolix with or without </w:t>
      </w:r>
      <w:r w:rsidR="00E96FBD">
        <w:t>add-back therapy (</w:t>
      </w:r>
      <w:r w:rsidR="00E96FBD" w:rsidRPr="00E96FBD">
        <w:t>ABT</w:t>
      </w:r>
      <w:r w:rsidR="00E96FBD">
        <w:t>)</w:t>
      </w:r>
      <w:r w:rsidR="00E96FBD" w:rsidRPr="00E96FBD">
        <w:t xml:space="preserve"> result</w:t>
      </w:r>
      <w:r w:rsidR="00603D2A">
        <w:t>s</w:t>
      </w:r>
      <w:r w:rsidR="00E96FBD" w:rsidRPr="00E96FBD">
        <w:t xml:space="preserve"> in reduced </w:t>
      </w:r>
      <w:r w:rsidR="00E96FBD">
        <w:t>menstrual blood loss (</w:t>
      </w:r>
      <w:r w:rsidR="00E96FBD" w:rsidRPr="00E96FBD">
        <w:t>MBL</w:t>
      </w:r>
      <w:r w:rsidR="00E96FBD">
        <w:t>)</w:t>
      </w:r>
      <w:r w:rsidR="00E96FBD" w:rsidRPr="00E96FBD">
        <w:t xml:space="preserve"> in women with heavy menstrual bleeding in association with fibroids the potential for adverse events is significant and warrants consideration. </w:t>
      </w:r>
      <w:r w:rsidR="008D421D">
        <w:t xml:space="preserve">The Delegate considered that the </w:t>
      </w:r>
      <w:r w:rsidR="00E96FBD" w:rsidRPr="00E96FBD">
        <w:t>benefit risk in the Australian population</w:t>
      </w:r>
      <w:r w:rsidR="008D421D">
        <w:t xml:space="preserve"> was unclear and that for </w:t>
      </w:r>
      <w:r w:rsidR="00E96FBD" w:rsidRPr="00E96FBD">
        <w:t xml:space="preserve">other possible fibroid related symptoms there </w:t>
      </w:r>
      <w:r w:rsidR="008D421D">
        <w:t>was a</w:t>
      </w:r>
      <w:r w:rsidR="00E96FBD" w:rsidRPr="00E96FBD">
        <w:t xml:space="preserve"> lack of evidence for a positive risk benefit.</w:t>
      </w:r>
      <w:r w:rsidR="008D421D">
        <w:t xml:space="preserve"> The Delegate stated that t</w:t>
      </w:r>
      <w:r w:rsidR="00E96FBD" w:rsidRPr="00E96FBD">
        <w:t xml:space="preserve">he current risk benefit analysis for the use of </w:t>
      </w:r>
      <w:r w:rsidR="008F5B1F">
        <w:t>l</w:t>
      </w:r>
      <w:r w:rsidR="00E96FBD" w:rsidRPr="00E96FBD">
        <w:t xml:space="preserve">inzagolix </w:t>
      </w:r>
      <w:r w:rsidR="008D421D">
        <w:t>wa</w:t>
      </w:r>
      <w:r w:rsidR="00E96FBD" w:rsidRPr="00E96FBD">
        <w:t xml:space="preserve">s uncertain and the delegate </w:t>
      </w:r>
      <w:r w:rsidR="008D421D">
        <w:t>would</w:t>
      </w:r>
      <w:r w:rsidR="00E96FBD" w:rsidRPr="00E96FBD">
        <w:t xml:space="preserve"> seek advice from the ACM prior to </w:t>
      </w:r>
      <w:proofErr w:type="gramStart"/>
      <w:r w:rsidR="00E96FBD" w:rsidRPr="00E96FBD">
        <w:t>making a decision</w:t>
      </w:r>
      <w:proofErr w:type="gramEnd"/>
      <w:r w:rsidR="00E96FBD" w:rsidRPr="00E96FBD">
        <w:t xml:space="preserve">. </w:t>
      </w:r>
      <w:r w:rsidR="008F5B1F">
        <w:t xml:space="preserve">The PBAC noted that the ACM were of the view that linzagolix has an overall positive benefit-risk profile and the registration of linzagolix should be approved. </w:t>
      </w:r>
      <w:r w:rsidR="00E96FBD" w:rsidRPr="00E96FBD">
        <w:t xml:space="preserve">Approval will also depend on satisfactory negotiation of the </w:t>
      </w:r>
      <w:r w:rsidR="008D421D">
        <w:t>product information (</w:t>
      </w:r>
      <w:r w:rsidR="00E96FBD" w:rsidRPr="00E96FBD">
        <w:t>PI</w:t>
      </w:r>
      <w:r w:rsidR="008D421D">
        <w:t>), consumer medicines information</w:t>
      </w:r>
      <w:r w:rsidR="00E96FBD" w:rsidRPr="00E96FBD">
        <w:t xml:space="preserve"> </w:t>
      </w:r>
      <w:r w:rsidR="008D421D">
        <w:t>(</w:t>
      </w:r>
      <w:r w:rsidR="00E96FBD" w:rsidRPr="00E96FBD">
        <w:t>CMI</w:t>
      </w:r>
      <w:r w:rsidR="008D421D">
        <w:t>)</w:t>
      </w:r>
      <w:r w:rsidR="00E96FBD" w:rsidRPr="00E96FBD">
        <w:t xml:space="preserve"> and the conditions of registration. </w:t>
      </w:r>
    </w:p>
    <w:p w14:paraId="28E144DC" w14:textId="74D4D971" w:rsidR="00E96FBD" w:rsidRPr="00E96FBD" w:rsidRDefault="00E96FBD" w:rsidP="00E96FBD">
      <w:pPr>
        <w:pStyle w:val="3-BodyText"/>
      </w:pPr>
      <w:r w:rsidRPr="00E96FBD">
        <w:t>If approved the</w:t>
      </w:r>
      <w:r w:rsidR="008F5B1F">
        <w:t xml:space="preserve"> ACM’s</w:t>
      </w:r>
      <w:r w:rsidRPr="00E96FBD">
        <w:t xml:space="preserve"> recommended indication is</w:t>
      </w:r>
      <w:r w:rsidR="008D421D">
        <w:t>:</w:t>
      </w:r>
    </w:p>
    <w:p w14:paraId="66B7E87D" w14:textId="579308BA" w:rsidR="00CD353C" w:rsidRDefault="008D421D" w:rsidP="00DC6753">
      <w:pPr>
        <w:pStyle w:val="3-BodyText"/>
        <w:numPr>
          <w:ilvl w:val="0"/>
          <w:numId w:val="0"/>
        </w:numPr>
        <w:ind w:left="851"/>
      </w:pPr>
      <w:r>
        <w:t>YSELTY</w:t>
      </w:r>
      <w:r>
        <w:rPr>
          <w:rFonts w:cstheme="minorHAnsi"/>
        </w:rPr>
        <w:t>®</w:t>
      </w:r>
      <w:r w:rsidR="00E96FBD" w:rsidRPr="008D421D">
        <w:t xml:space="preserve"> is indicated for the management of heavy menstrual bleeding (HMB) associated with uterine fibroids.</w:t>
      </w:r>
      <w:bookmarkStart w:id="11" w:name="_Hlk76375324"/>
    </w:p>
    <w:p w14:paraId="72027C52" w14:textId="6F027B63" w:rsidR="00F27EC9" w:rsidRPr="00044B09" w:rsidRDefault="00CD353C" w:rsidP="00044B09">
      <w:pPr>
        <w:pStyle w:val="3-BodyText"/>
        <w:numPr>
          <w:ilvl w:val="0"/>
          <w:numId w:val="0"/>
        </w:numPr>
        <w:ind w:left="851"/>
        <w:rPr>
          <w:i/>
        </w:rPr>
      </w:pPr>
      <w:r w:rsidRPr="00C33D30">
        <w:rPr>
          <w:i/>
        </w:rPr>
        <w:t>For more detail on PBAC’s view, see section 7 PBAC outcome.</w:t>
      </w:r>
      <w:bookmarkEnd w:id="11"/>
    </w:p>
    <w:p w14:paraId="70D34EC7" w14:textId="3D6762B6" w:rsidR="003146C9" w:rsidRDefault="003146C9" w:rsidP="00342D01">
      <w:pPr>
        <w:pStyle w:val="2-SectionHeading"/>
      </w:pPr>
      <w:bookmarkStart w:id="12" w:name="_Toc167269195"/>
      <w:r w:rsidRPr="00482A36">
        <w:t>Requested listing</w:t>
      </w:r>
      <w:bookmarkEnd w:id="12"/>
    </w:p>
    <w:p w14:paraId="696D7F7B" w14:textId="56F755AF" w:rsidR="009E4289" w:rsidRPr="00482A36" w:rsidRDefault="009E4289" w:rsidP="009E4289">
      <w:pPr>
        <w:pStyle w:val="3-BodyText"/>
      </w:pPr>
      <w:r>
        <w:t>The requested listing, with Secretariat proposed changes is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72"/>
        <w:gridCol w:w="1701"/>
        <w:gridCol w:w="1134"/>
        <w:gridCol w:w="992"/>
        <w:gridCol w:w="851"/>
        <w:gridCol w:w="1367"/>
      </w:tblGrid>
      <w:tr w:rsidR="00FA0197" w:rsidRPr="00482A36" w14:paraId="02B1D59C" w14:textId="77777777" w:rsidTr="00E159E4">
        <w:trPr>
          <w:cantSplit/>
          <w:trHeight w:val="20"/>
        </w:trPr>
        <w:tc>
          <w:tcPr>
            <w:tcW w:w="1648" w:type="pct"/>
            <w:vAlign w:val="center"/>
          </w:tcPr>
          <w:p w14:paraId="75CCFFC0" w14:textId="77777777" w:rsidR="00FA0197" w:rsidRPr="00482A36" w:rsidRDefault="00FA0197" w:rsidP="009E4289">
            <w:pPr>
              <w:pStyle w:val="Tabletext"/>
              <w:widowControl w:val="0"/>
              <w:rPr>
                <w:b/>
                <w:bCs/>
              </w:rPr>
            </w:pPr>
            <w:r w:rsidRPr="00482A36">
              <w:rPr>
                <w:b/>
                <w:bCs/>
              </w:rPr>
              <w:t>MEDICINAL PRODUCT</w:t>
            </w:r>
          </w:p>
          <w:p w14:paraId="47815528" w14:textId="547C5D7D" w:rsidR="00FA0197" w:rsidRPr="00482A36" w:rsidRDefault="00FA0197" w:rsidP="009E4289">
            <w:pPr>
              <w:pStyle w:val="TableText0"/>
              <w:keepNext w:val="0"/>
              <w:widowControl w:val="0"/>
              <w:rPr>
                <w:b/>
              </w:rPr>
            </w:pPr>
            <w:r w:rsidRPr="00482A36">
              <w:rPr>
                <w:b/>
                <w:bCs w:val="0"/>
              </w:rPr>
              <w:t>medicinal product pack</w:t>
            </w:r>
          </w:p>
        </w:tc>
        <w:tc>
          <w:tcPr>
            <w:tcW w:w="943" w:type="pct"/>
            <w:vAlign w:val="center"/>
          </w:tcPr>
          <w:p w14:paraId="47ACC343" w14:textId="421B5E40" w:rsidR="00FA0197" w:rsidRPr="00482A36" w:rsidRDefault="00FA0197" w:rsidP="009E4289">
            <w:pPr>
              <w:pStyle w:val="TableText0"/>
              <w:keepNext w:val="0"/>
              <w:widowControl w:val="0"/>
              <w:jc w:val="center"/>
              <w:rPr>
                <w:b/>
              </w:rPr>
            </w:pPr>
            <w:r w:rsidRPr="00482A36">
              <w:rPr>
                <w:b/>
                <w:bCs w:val="0"/>
                <w:snapToGrid w:val="0"/>
              </w:rPr>
              <w:t>Dispensed Price for Max. Qty</w:t>
            </w:r>
          </w:p>
        </w:tc>
        <w:tc>
          <w:tcPr>
            <w:tcW w:w="629" w:type="pct"/>
            <w:vAlign w:val="center"/>
          </w:tcPr>
          <w:p w14:paraId="49CBB21D" w14:textId="2EFB8EEC" w:rsidR="00FA0197" w:rsidRPr="00482A36" w:rsidRDefault="00FA0197" w:rsidP="009E4289">
            <w:pPr>
              <w:pStyle w:val="TableText0"/>
              <w:keepNext w:val="0"/>
              <w:widowControl w:val="0"/>
              <w:jc w:val="center"/>
              <w:rPr>
                <w:b/>
              </w:rPr>
            </w:pPr>
            <w:r w:rsidRPr="00482A36">
              <w:rPr>
                <w:b/>
                <w:bCs w:val="0"/>
              </w:rPr>
              <w:t>Max. qty packs</w:t>
            </w:r>
          </w:p>
        </w:tc>
        <w:tc>
          <w:tcPr>
            <w:tcW w:w="550" w:type="pct"/>
            <w:vAlign w:val="center"/>
          </w:tcPr>
          <w:p w14:paraId="267CD508" w14:textId="03A6CD21" w:rsidR="00FA0197" w:rsidRPr="00482A36" w:rsidRDefault="00FA0197" w:rsidP="009E4289">
            <w:pPr>
              <w:pStyle w:val="TableText0"/>
              <w:keepNext w:val="0"/>
              <w:widowControl w:val="0"/>
              <w:jc w:val="center"/>
              <w:rPr>
                <w:b/>
              </w:rPr>
            </w:pPr>
            <w:r w:rsidRPr="00482A36">
              <w:rPr>
                <w:b/>
                <w:bCs w:val="0"/>
              </w:rPr>
              <w:t>Max. qty units</w:t>
            </w:r>
          </w:p>
        </w:tc>
        <w:tc>
          <w:tcPr>
            <w:tcW w:w="472" w:type="pct"/>
            <w:vAlign w:val="center"/>
          </w:tcPr>
          <w:p w14:paraId="311812DA" w14:textId="77777777" w:rsidR="00FA0197" w:rsidRPr="00482A36" w:rsidRDefault="00FA0197" w:rsidP="009E4289">
            <w:pPr>
              <w:pStyle w:val="Tabletext"/>
              <w:widowControl w:val="0"/>
              <w:jc w:val="center"/>
              <w:rPr>
                <w:b/>
                <w:bCs/>
              </w:rPr>
            </w:pPr>
            <w:r w:rsidRPr="00482A36">
              <w:rPr>
                <w:b/>
                <w:bCs/>
              </w:rPr>
              <w:t>№.of</w:t>
            </w:r>
          </w:p>
          <w:p w14:paraId="1E056D39" w14:textId="039800F4" w:rsidR="00FA0197" w:rsidRPr="00482A36" w:rsidRDefault="00FA0197" w:rsidP="009E4289">
            <w:pPr>
              <w:pStyle w:val="TableText0"/>
              <w:keepNext w:val="0"/>
              <w:widowControl w:val="0"/>
              <w:jc w:val="center"/>
              <w:rPr>
                <w:b/>
              </w:rPr>
            </w:pPr>
            <w:r w:rsidRPr="00482A36">
              <w:rPr>
                <w:b/>
                <w:bCs w:val="0"/>
              </w:rPr>
              <w:t>Rpts</w:t>
            </w:r>
          </w:p>
        </w:tc>
        <w:tc>
          <w:tcPr>
            <w:tcW w:w="758" w:type="pct"/>
            <w:vAlign w:val="center"/>
          </w:tcPr>
          <w:p w14:paraId="513BEAF7" w14:textId="79693640" w:rsidR="00FA0197" w:rsidRPr="00482A36" w:rsidRDefault="00FA0197" w:rsidP="009E4289">
            <w:pPr>
              <w:pStyle w:val="TableText0"/>
              <w:keepNext w:val="0"/>
              <w:widowControl w:val="0"/>
              <w:jc w:val="center"/>
              <w:rPr>
                <w:b/>
              </w:rPr>
            </w:pPr>
            <w:r w:rsidRPr="00482A36">
              <w:rPr>
                <w:b/>
                <w:bCs w:val="0"/>
              </w:rPr>
              <w:t>Available brands</w:t>
            </w:r>
          </w:p>
        </w:tc>
      </w:tr>
      <w:tr w:rsidR="00FA0197" w:rsidRPr="00482A36" w14:paraId="04592ED1" w14:textId="77777777" w:rsidTr="00E159E4">
        <w:trPr>
          <w:cantSplit/>
          <w:trHeight w:val="20"/>
        </w:trPr>
        <w:tc>
          <w:tcPr>
            <w:tcW w:w="1648" w:type="pct"/>
          </w:tcPr>
          <w:p w14:paraId="54533C7F" w14:textId="5B51DBB0" w:rsidR="00FA0197" w:rsidRPr="00482A36" w:rsidRDefault="00FA0197" w:rsidP="009E4289">
            <w:pPr>
              <w:pStyle w:val="Tabletext"/>
              <w:widowControl w:val="0"/>
            </w:pPr>
            <w:r w:rsidRPr="00482A36">
              <w:t>LINZAGOLIX, Initial treatment</w:t>
            </w:r>
          </w:p>
          <w:p w14:paraId="1844A8BC" w14:textId="77777777" w:rsidR="00FA0197" w:rsidRPr="00482A36" w:rsidRDefault="00FA0197" w:rsidP="009E4289">
            <w:pPr>
              <w:pStyle w:val="Tabletext"/>
              <w:widowControl w:val="0"/>
            </w:pPr>
            <w:r w:rsidRPr="00482A36">
              <w:t>Tablet, 100 mg, 28</w:t>
            </w:r>
          </w:p>
          <w:p w14:paraId="05EF56DB" w14:textId="2B0BEA6E" w:rsidR="00FA0197" w:rsidRPr="00482A36" w:rsidRDefault="00FA0197" w:rsidP="009E4289">
            <w:pPr>
              <w:pStyle w:val="Tabletext"/>
              <w:widowControl w:val="0"/>
            </w:pPr>
            <w:r w:rsidRPr="00482A36">
              <w:t>Tablet, 200 mg, 28</w:t>
            </w:r>
          </w:p>
        </w:tc>
        <w:tc>
          <w:tcPr>
            <w:tcW w:w="943" w:type="pct"/>
            <w:vAlign w:val="center"/>
          </w:tcPr>
          <w:p w14:paraId="49E3C50F" w14:textId="038B3E1F" w:rsidR="00FA0197" w:rsidRPr="00482A36" w:rsidRDefault="00FA0197" w:rsidP="009E4289">
            <w:pPr>
              <w:pStyle w:val="TableText0"/>
              <w:keepNext w:val="0"/>
              <w:widowControl w:val="0"/>
              <w:jc w:val="center"/>
              <w:rPr>
                <w:b/>
              </w:rPr>
            </w:pPr>
            <w:r w:rsidRPr="00482A36">
              <w:t>$</w:t>
            </w:r>
            <w:r w:rsidR="00474E21" w:rsidRPr="00474E21">
              <w:rPr>
                <w:color w:val="000000"/>
                <w:shd w:val="solid" w:color="000000" w:fill="000000"/>
                <w14:textFill>
                  <w14:solidFill>
                    <w14:srgbClr w14:val="000000">
                      <w14:alpha w14:val="100000"/>
                    </w14:srgbClr>
                  </w14:solidFill>
                </w14:textFill>
              </w:rPr>
              <w:t>|</w:t>
            </w:r>
          </w:p>
        </w:tc>
        <w:tc>
          <w:tcPr>
            <w:tcW w:w="629" w:type="pct"/>
            <w:vAlign w:val="center"/>
          </w:tcPr>
          <w:p w14:paraId="420B9E73" w14:textId="6EAB09F8" w:rsidR="00FA0197" w:rsidRPr="00482A36" w:rsidRDefault="00FA0197" w:rsidP="009E4289">
            <w:pPr>
              <w:pStyle w:val="TableText0"/>
              <w:keepNext w:val="0"/>
              <w:widowControl w:val="0"/>
              <w:jc w:val="center"/>
              <w:rPr>
                <w:b/>
              </w:rPr>
            </w:pPr>
            <w:r w:rsidRPr="00482A36">
              <w:t>1</w:t>
            </w:r>
          </w:p>
        </w:tc>
        <w:tc>
          <w:tcPr>
            <w:tcW w:w="550" w:type="pct"/>
            <w:vAlign w:val="center"/>
          </w:tcPr>
          <w:p w14:paraId="52CA7EFD" w14:textId="32AA5200" w:rsidR="00FA0197" w:rsidRPr="00482A36" w:rsidRDefault="00FA0197" w:rsidP="009E4289">
            <w:pPr>
              <w:pStyle w:val="TableText0"/>
              <w:keepNext w:val="0"/>
              <w:widowControl w:val="0"/>
              <w:jc w:val="center"/>
              <w:rPr>
                <w:b/>
              </w:rPr>
            </w:pPr>
            <w:r w:rsidRPr="00482A36">
              <w:t>28</w:t>
            </w:r>
          </w:p>
        </w:tc>
        <w:tc>
          <w:tcPr>
            <w:tcW w:w="472" w:type="pct"/>
            <w:vAlign w:val="center"/>
          </w:tcPr>
          <w:p w14:paraId="3D768840" w14:textId="4B189AD9" w:rsidR="00FA0197" w:rsidRPr="00482A36" w:rsidRDefault="00FA0197" w:rsidP="009E4289">
            <w:pPr>
              <w:pStyle w:val="TableText0"/>
              <w:keepNext w:val="0"/>
              <w:widowControl w:val="0"/>
              <w:jc w:val="center"/>
              <w:rPr>
                <w:b/>
              </w:rPr>
            </w:pPr>
            <w:r w:rsidRPr="00482A36">
              <w:t>5</w:t>
            </w:r>
          </w:p>
        </w:tc>
        <w:tc>
          <w:tcPr>
            <w:tcW w:w="758" w:type="pct"/>
            <w:vAlign w:val="center"/>
          </w:tcPr>
          <w:p w14:paraId="0755DF03" w14:textId="33A7790C" w:rsidR="00FA0197" w:rsidRPr="00482A36" w:rsidRDefault="00FA0197" w:rsidP="009E4289">
            <w:pPr>
              <w:pStyle w:val="TableText0"/>
              <w:keepNext w:val="0"/>
              <w:widowControl w:val="0"/>
              <w:jc w:val="center"/>
              <w:rPr>
                <w:b/>
              </w:rPr>
            </w:pPr>
            <w:r w:rsidRPr="00482A36">
              <w:t xml:space="preserve">Yselty </w:t>
            </w:r>
          </w:p>
        </w:tc>
      </w:tr>
      <w:tr w:rsidR="00FA0197" w:rsidRPr="00482A36" w14:paraId="23050FEB" w14:textId="77777777" w:rsidTr="00E159E4">
        <w:trPr>
          <w:cantSplit/>
          <w:trHeight w:val="20"/>
        </w:trPr>
        <w:tc>
          <w:tcPr>
            <w:tcW w:w="1648" w:type="pct"/>
          </w:tcPr>
          <w:p w14:paraId="3C8A48CE" w14:textId="1B39CCEF" w:rsidR="00FA0197" w:rsidRPr="00482A36" w:rsidRDefault="00FA0197" w:rsidP="009E4289">
            <w:pPr>
              <w:pStyle w:val="Tabletext"/>
              <w:widowControl w:val="0"/>
            </w:pPr>
            <w:r w:rsidRPr="00482A36">
              <w:t>LINZAGOLIX, Continuing treatment</w:t>
            </w:r>
          </w:p>
          <w:p w14:paraId="2017CE78" w14:textId="77777777" w:rsidR="00FA0197" w:rsidRPr="00482A36" w:rsidRDefault="00FA0197" w:rsidP="009E4289">
            <w:pPr>
              <w:pStyle w:val="Tabletext"/>
              <w:widowControl w:val="0"/>
            </w:pPr>
            <w:r w:rsidRPr="00482A36">
              <w:t>Tablet, 100 mg, 28</w:t>
            </w:r>
          </w:p>
          <w:p w14:paraId="3CDB0154" w14:textId="0D2D9311" w:rsidR="00FA0197" w:rsidRPr="00482A36" w:rsidRDefault="00FA0197" w:rsidP="009E4289">
            <w:pPr>
              <w:pStyle w:val="Tabletext"/>
              <w:widowControl w:val="0"/>
            </w:pPr>
            <w:r w:rsidRPr="00482A36">
              <w:t>Tablet, 200 mg, 28</w:t>
            </w:r>
          </w:p>
        </w:tc>
        <w:tc>
          <w:tcPr>
            <w:tcW w:w="943" w:type="pct"/>
            <w:vAlign w:val="center"/>
          </w:tcPr>
          <w:p w14:paraId="38CECCD5" w14:textId="74610E7D" w:rsidR="00FA0197" w:rsidRPr="00482A36" w:rsidRDefault="00FA0197" w:rsidP="009E4289">
            <w:pPr>
              <w:pStyle w:val="TableText0"/>
              <w:keepNext w:val="0"/>
              <w:widowControl w:val="0"/>
              <w:jc w:val="center"/>
              <w:rPr>
                <w:b/>
              </w:rPr>
            </w:pPr>
            <w:r w:rsidRPr="00482A36">
              <w:t>$</w:t>
            </w:r>
            <w:r w:rsidR="00474E21" w:rsidRPr="00474E21">
              <w:rPr>
                <w:color w:val="000000"/>
                <w:shd w:val="solid" w:color="000000" w:fill="000000"/>
                <w14:textFill>
                  <w14:solidFill>
                    <w14:srgbClr w14:val="000000">
                      <w14:alpha w14:val="100000"/>
                    </w14:srgbClr>
                  </w14:solidFill>
                </w14:textFill>
              </w:rPr>
              <w:t>|</w:t>
            </w:r>
          </w:p>
        </w:tc>
        <w:tc>
          <w:tcPr>
            <w:tcW w:w="629" w:type="pct"/>
            <w:vAlign w:val="center"/>
          </w:tcPr>
          <w:p w14:paraId="7094CEA2" w14:textId="48ABE858" w:rsidR="00FA0197" w:rsidRPr="00482A36" w:rsidRDefault="00FA0197" w:rsidP="009E4289">
            <w:pPr>
              <w:pStyle w:val="TableText0"/>
              <w:keepNext w:val="0"/>
              <w:widowControl w:val="0"/>
              <w:jc w:val="center"/>
              <w:rPr>
                <w:b/>
              </w:rPr>
            </w:pPr>
            <w:r w:rsidRPr="00482A36">
              <w:t>1</w:t>
            </w:r>
          </w:p>
        </w:tc>
        <w:tc>
          <w:tcPr>
            <w:tcW w:w="550" w:type="pct"/>
            <w:vAlign w:val="center"/>
          </w:tcPr>
          <w:p w14:paraId="17C81317" w14:textId="05FD5EC6" w:rsidR="00FA0197" w:rsidRPr="00482A36" w:rsidRDefault="00FA0197" w:rsidP="009E4289">
            <w:pPr>
              <w:pStyle w:val="TableText0"/>
              <w:keepNext w:val="0"/>
              <w:widowControl w:val="0"/>
              <w:jc w:val="center"/>
              <w:rPr>
                <w:b/>
              </w:rPr>
            </w:pPr>
            <w:r w:rsidRPr="00482A36">
              <w:t>28</w:t>
            </w:r>
          </w:p>
        </w:tc>
        <w:tc>
          <w:tcPr>
            <w:tcW w:w="472" w:type="pct"/>
            <w:vAlign w:val="center"/>
          </w:tcPr>
          <w:p w14:paraId="7191251B" w14:textId="64298D7F" w:rsidR="00FA0197" w:rsidRPr="00482A36" w:rsidRDefault="00FA0197" w:rsidP="009E4289">
            <w:pPr>
              <w:pStyle w:val="TableText0"/>
              <w:keepNext w:val="0"/>
              <w:widowControl w:val="0"/>
              <w:jc w:val="center"/>
              <w:rPr>
                <w:b/>
              </w:rPr>
            </w:pPr>
            <w:r w:rsidRPr="00482A36">
              <w:t>5</w:t>
            </w:r>
          </w:p>
        </w:tc>
        <w:tc>
          <w:tcPr>
            <w:tcW w:w="758" w:type="pct"/>
            <w:vAlign w:val="center"/>
          </w:tcPr>
          <w:p w14:paraId="05D6F86D" w14:textId="3ADB852C" w:rsidR="00FA0197" w:rsidRPr="00482A36" w:rsidRDefault="00FA0197" w:rsidP="009E4289">
            <w:pPr>
              <w:pStyle w:val="TableText0"/>
              <w:keepNext w:val="0"/>
              <w:widowControl w:val="0"/>
              <w:jc w:val="center"/>
              <w:rPr>
                <w:b/>
              </w:rPr>
            </w:pPr>
            <w:r w:rsidRPr="00482A36">
              <w:t>Yselty</w:t>
            </w:r>
          </w:p>
        </w:tc>
      </w:tr>
      <w:tr w:rsidR="003146C9" w:rsidRPr="00482A36" w14:paraId="2395D286" w14:textId="77777777" w:rsidTr="00E159E4">
        <w:trPr>
          <w:cantSplit/>
          <w:trHeight w:val="20"/>
        </w:trPr>
        <w:tc>
          <w:tcPr>
            <w:tcW w:w="5000" w:type="pct"/>
            <w:gridSpan w:val="6"/>
          </w:tcPr>
          <w:p w14:paraId="7524E5EE" w14:textId="5F1128DC" w:rsidR="003146C9" w:rsidRPr="00482A36" w:rsidRDefault="003146C9" w:rsidP="009E4289">
            <w:pPr>
              <w:pStyle w:val="TableText0"/>
              <w:keepNext w:val="0"/>
              <w:widowControl w:val="0"/>
            </w:pPr>
            <w:bookmarkStart w:id="13" w:name="_Hlk104809470"/>
            <w:r w:rsidRPr="00482A36">
              <w:rPr>
                <w:b/>
              </w:rPr>
              <w:t xml:space="preserve">Category / Program: </w:t>
            </w:r>
            <w:r w:rsidR="00FA0197" w:rsidRPr="00482A36">
              <w:t>Section 85 – General Schedule</w:t>
            </w:r>
          </w:p>
        </w:tc>
      </w:tr>
      <w:tr w:rsidR="003146C9" w:rsidRPr="00482A36" w14:paraId="11F4F090" w14:textId="77777777" w:rsidTr="00E159E4">
        <w:trPr>
          <w:cantSplit/>
          <w:trHeight w:val="20"/>
        </w:trPr>
        <w:tc>
          <w:tcPr>
            <w:tcW w:w="5000" w:type="pct"/>
            <w:gridSpan w:val="6"/>
          </w:tcPr>
          <w:p w14:paraId="45BA2A48" w14:textId="419DCF38" w:rsidR="003146C9" w:rsidRPr="00482A36" w:rsidRDefault="003146C9" w:rsidP="009E4289">
            <w:pPr>
              <w:pStyle w:val="TableText0"/>
              <w:keepNext w:val="0"/>
              <w:widowControl w:val="0"/>
              <w:rPr>
                <w:b/>
              </w:rPr>
            </w:pPr>
            <w:r w:rsidRPr="00482A36">
              <w:rPr>
                <w:b/>
              </w:rPr>
              <w:t xml:space="preserve">Prescriber type: </w:t>
            </w:r>
            <w:r w:rsidR="00FA0197" w:rsidRPr="00482A36">
              <w:fldChar w:fldCharType="begin">
                <w:ffData>
                  <w:name w:val=""/>
                  <w:enabled/>
                  <w:calcOnExit w:val="0"/>
                  <w:checkBox>
                    <w:sizeAuto/>
                    <w:default w:val="1"/>
                  </w:checkBox>
                </w:ffData>
              </w:fldChar>
            </w:r>
            <w:r w:rsidR="00FA0197" w:rsidRPr="00482A36">
              <w:instrText xml:space="preserve"> FORMCHECKBOX </w:instrText>
            </w:r>
            <w:r w:rsidR="003E4FD0">
              <w:fldChar w:fldCharType="separate"/>
            </w:r>
            <w:r w:rsidR="00FA0197" w:rsidRPr="00482A36">
              <w:fldChar w:fldCharType="end"/>
            </w:r>
            <w:r w:rsidRPr="00482A36">
              <w:t xml:space="preserve">Medical Practitioners </w:t>
            </w:r>
          </w:p>
        </w:tc>
      </w:tr>
      <w:tr w:rsidR="003146C9" w:rsidRPr="00482A36" w14:paraId="6A1E2454" w14:textId="77777777" w:rsidTr="00E159E4">
        <w:trPr>
          <w:cantSplit/>
          <w:trHeight w:val="20"/>
        </w:trPr>
        <w:tc>
          <w:tcPr>
            <w:tcW w:w="5000" w:type="pct"/>
            <w:gridSpan w:val="6"/>
            <w:vAlign w:val="center"/>
          </w:tcPr>
          <w:p w14:paraId="252DD3AC" w14:textId="61A0A7E0" w:rsidR="003146C9" w:rsidRPr="00482A36" w:rsidRDefault="003146C9" w:rsidP="009E4289">
            <w:pPr>
              <w:pStyle w:val="TableText0"/>
              <w:keepNext w:val="0"/>
              <w:widowControl w:val="0"/>
            </w:pPr>
            <w:r w:rsidRPr="00482A36">
              <w:rPr>
                <w:b/>
              </w:rPr>
              <w:t xml:space="preserve">Episodicity: </w:t>
            </w:r>
            <w:r w:rsidR="00FA0197" w:rsidRPr="00482A36">
              <w:rPr>
                <w:bCs w:val="0"/>
              </w:rPr>
              <w:t>Chronic</w:t>
            </w:r>
          </w:p>
        </w:tc>
      </w:tr>
      <w:tr w:rsidR="003146C9" w:rsidRPr="00482A36" w14:paraId="2DBCA91B" w14:textId="77777777" w:rsidTr="00E159E4">
        <w:trPr>
          <w:cantSplit/>
          <w:trHeight w:val="20"/>
        </w:trPr>
        <w:tc>
          <w:tcPr>
            <w:tcW w:w="5000" w:type="pct"/>
            <w:gridSpan w:val="6"/>
            <w:vAlign w:val="center"/>
          </w:tcPr>
          <w:p w14:paraId="2164A939" w14:textId="57ECA11D" w:rsidR="003146C9" w:rsidRPr="00482A36" w:rsidRDefault="003146C9" w:rsidP="009E4289">
            <w:pPr>
              <w:pStyle w:val="TableText0"/>
              <w:keepNext w:val="0"/>
              <w:widowControl w:val="0"/>
              <w:rPr>
                <w:b/>
              </w:rPr>
            </w:pPr>
            <w:r w:rsidRPr="00482A36">
              <w:rPr>
                <w:b/>
              </w:rPr>
              <w:t xml:space="preserve">Severity: </w:t>
            </w:r>
            <w:r w:rsidR="00FA0197" w:rsidRPr="00482A36">
              <w:rPr>
                <w:iCs/>
                <w:szCs w:val="20"/>
              </w:rPr>
              <w:t>Moderate to severe</w:t>
            </w:r>
          </w:p>
        </w:tc>
      </w:tr>
      <w:tr w:rsidR="003146C9" w:rsidRPr="00482A36" w14:paraId="36360D24" w14:textId="77777777" w:rsidTr="00E159E4">
        <w:trPr>
          <w:cantSplit/>
          <w:trHeight w:val="20"/>
        </w:trPr>
        <w:tc>
          <w:tcPr>
            <w:tcW w:w="5000" w:type="pct"/>
            <w:gridSpan w:val="6"/>
            <w:vAlign w:val="center"/>
          </w:tcPr>
          <w:p w14:paraId="39B02988" w14:textId="653FB9A0" w:rsidR="003146C9" w:rsidRPr="00482A36" w:rsidRDefault="003146C9" w:rsidP="009E4289">
            <w:pPr>
              <w:pStyle w:val="TableText0"/>
              <w:keepNext w:val="0"/>
              <w:widowControl w:val="0"/>
              <w:rPr>
                <w:b/>
              </w:rPr>
            </w:pPr>
            <w:r w:rsidRPr="00482A36">
              <w:rPr>
                <w:b/>
              </w:rPr>
              <w:t xml:space="preserve">Condition: </w:t>
            </w:r>
            <w:r w:rsidR="00FA0197" w:rsidRPr="00482A36">
              <w:rPr>
                <w:rFonts w:cs="Arial"/>
                <w:szCs w:val="20"/>
              </w:rPr>
              <w:t>Symptomatic uterine fibroids</w:t>
            </w:r>
          </w:p>
        </w:tc>
      </w:tr>
      <w:tr w:rsidR="003146C9" w:rsidRPr="00482A36" w14:paraId="4DFFE738" w14:textId="77777777" w:rsidTr="00E159E4">
        <w:trPr>
          <w:cantSplit/>
          <w:trHeight w:val="20"/>
        </w:trPr>
        <w:tc>
          <w:tcPr>
            <w:tcW w:w="5000" w:type="pct"/>
            <w:gridSpan w:val="6"/>
            <w:vAlign w:val="center"/>
            <w:hideMark/>
          </w:tcPr>
          <w:p w14:paraId="52A2E389" w14:textId="4F7F01ED" w:rsidR="003146C9" w:rsidRPr="00482A36" w:rsidRDefault="003146C9" w:rsidP="009E4289">
            <w:pPr>
              <w:pStyle w:val="TableText0"/>
              <w:keepNext w:val="0"/>
              <w:widowControl w:val="0"/>
            </w:pPr>
            <w:r w:rsidRPr="00482A36">
              <w:rPr>
                <w:b/>
              </w:rPr>
              <w:t>Indication</w:t>
            </w:r>
            <w:r w:rsidR="00FA0197" w:rsidRPr="00482A36">
              <w:rPr>
                <w:b/>
              </w:rPr>
              <w:t xml:space="preserve">: </w:t>
            </w:r>
            <w:r w:rsidR="00FA0197" w:rsidRPr="00482A36">
              <w:t>Moderate to severe symptomatic uterine fibroids</w:t>
            </w:r>
          </w:p>
        </w:tc>
      </w:tr>
      <w:tr w:rsidR="003146C9" w:rsidRPr="00482A36" w14:paraId="1EA7740A" w14:textId="77777777" w:rsidTr="00E159E4">
        <w:trPr>
          <w:cantSplit/>
          <w:trHeight w:val="20"/>
        </w:trPr>
        <w:tc>
          <w:tcPr>
            <w:tcW w:w="5000" w:type="pct"/>
            <w:gridSpan w:val="6"/>
            <w:vAlign w:val="center"/>
            <w:hideMark/>
          </w:tcPr>
          <w:p w14:paraId="6D56311F" w14:textId="6A4EC187" w:rsidR="003146C9" w:rsidRPr="00482A36" w:rsidRDefault="003146C9" w:rsidP="009E4289">
            <w:pPr>
              <w:pStyle w:val="TableText0"/>
              <w:keepNext w:val="0"/>
              <w:widowControl w:val="0"/>
            </w:pPr>
            <w:r w:rsidRPr="00482A36">
              <w:rPr>
                <w:b/>
              </w:rPr>
              <w:t>Treatment Phase:</w:t>
            </w:r>
            <w:r w:rsidRPr="00482A36">
              <w:t xml:space="preserve"> </w:t>
            </w:r>
            <w:r w:rsidR="00FA0197" w:rsidRPr="00482A36">
              <w:rPr>
                <w:rFonts w:cs="Arial"/>
                <w:szCs w:val="20"/>
              </w:rPr>
              <w:t>Initial</w:t>
            </w:r>
          </w:p>
        </w:tc>
      </w:tr>
      <w:tr w:rsidR="00FA0197" w:rsidRPr="00482A36" w14:paraId="1A509544" w14:textId="77777777" w:rsidTr="00E159E4">
        <w:trPr>
          <w:cantSplit/>
          <w:trHeight w:val="20"/>
        </w:trPr>
        <w:tc>
          <w:tcPr>
            <w:tcW w:w="5000" w:type="pct"/>
            <w:gridSpan w:val="6"/>
          </w:tcPr>
          <w:p w14:paraId="49DC0FA2" w14:textId="6D36106E" w:rsidR="00FA0197" w:rsidRPr="00482A36" w:rsidRDefault="00FA0197" w:rsidP="009E4289">
            <w:pPr>
              <w:pStyle w:val="TableText0"/>
              <w:keepNext w:val="0"/>
              <w:widowControl w:val="0"/>
              <w:rPr>
                <w:b/>
              </w:rPr>
            </w:pPr>
            <w:r w:rsidRPr="00482A36">
              <w:rPr>
                <w:b/>
              </w:rPr>
              <w:t xml:space="preserve">Restriction type: </w:t>
            </w:r>
            <w:r w:rsidRPr="00482A36">
              <w:rPr>
                <w:rFonts w:eastAsia="Times New Roman"/>
              </w:rPr>
              <w:fldChar w:fldCharType="begin">
                <w:ffData>
                  <w:name w:val="Check3"/>
                  <w:enabled/>
                  <w:calcOnExit w:val="0"/>
                  <w:checkBox>
                    <w:sizeAuto/>
                    <w:default w:val="1"/>
                  </w:checkBox>
                </w:ffData>
              </w:fldChar>
            </w:r>
            <w:r w:rsidRPr="00482A36">
              <w:rPr>
                <w:rFonts w:eastAsia="Times New Roman"/>
              </w:rPr>
              <w:instrText xml:space="preserve"> FORMCHECKBOX </w:instrText>
            </w:r>
            <w:r w:rsidR="003E4FD0">
              <w:rPr>
                <w:rFonts w:eastAsia="Times New Roman"/>
              </w:rPr>
            </w:r>
            <w:r w:rsidR="003E4FD0">
              <w:rPr>
                <w:rFonts w:eastAsia="Times New Roman"/>
              </w:rPr>
              <w:fldChar w:fldCharType="separate"/>
            </w:r>
            <w:r w:rsidRPr="00482A36">
              <w:rPr>
                <w:rFonts w:eastAsia="Times New Roman"/>
              </w:rPr>
              <w:fldChar w:fldCharType="end"/>
            </w:r>
            <w:r w:rsidRPr="00482A36">
              <w:rPr>
                <w:rFonts w:eastAsia="Times New Roman"/>
              </w:rPr>
              <w:t>Authority Required (telephone)</w:t>
            </w:r>
          </w:p>
        </w:tc>
      </w:tr>
      <w:tr w:rsidR="005F345F" w:rsidRPr="00482A36" w14:paraId="182437B7" w14:textId="77777777" w:rsidTr="00E159E4">
        <w:trPr>
          <w:cantSplit/>
          <w:trHeight w:val="20"/>
        </w:trPr>
        <w:tc>
          <w:tcPr>
            <w:tcW w:w="5000" w:type="pct"/>
            <w:gridSpan w:val="6"/>
          </w:tcPr>
          <w:p w14:paraId="411B36BA" w14:textId="53F29B12" w:rsidR="005F345F" w:rsidRDefault="005C0863" w:rsidP="009E4289">
            <w:pPr>
              <w:pStyle w:val="TableText0"/>
              <w:keepNext w:val="0"/>
              <w:widowControl w:val="0"/>
              <w:rPr>
                <w:bCs w:val="0"/>
                <w:strike/>
              </w:rPr>
            </w:pPr>
            <w:r w:rsidRPr="005C0863">
              <w:rPr>
                <w:b/>
              </w:rPr>
              <w:lastRenderedPageBreak/>
              <w:t>Treatment criteria:</w:t>
            </w:r>
            <w:r>
              <w:rPr>
                <w:b/>
              </w:rPr>
              <w:t xml:space="preserve"> </w:t>
            </w:r>
            <w:r w:rsidRPr="005C0863">
              <w:rPr>
                <w:bCs w:val="0"/>
              </w:rPr>
              <w:t xml:space="preserve">Must be treated by a </w:t>
            </w:r>
            <w:r w:rsidR="009E4289" w:rsidRPr="009E4289">
              <w:rPr>
                <w:bCs w:val="0"/>
                <w:i/>
                <w:iCs/>
              </w:rPr>
              <w:t>specialist</w:t>
            </w:r>
            <w:r w:rsidR="009E4289">
              <w:rPr>
                <w:bCs w:val="0"/>
              </w:rPr>
              <w:t xml:space="preserve"> </w:t>
            </w:r>
            <w:r w:rsidRPr="009E4289">
              <w:rPr>
                <w:bCs w:val="0"/>
                <w:i/>
                <w:iCs/>
              </w:rPr>
              <w:t>obstetrician</w:t>
            </w:r>
            <w:r w:rsidR="009E4289" w:rsidRPr="009E4289">
              <w:rPr>
                <w:bCs w:val="0"/>
                <w:i/>
                <w:iCs/>
              </w:rPr>
              <w:t xml:space="preserve"> and gynaecologist</w:t>
            </w:r>
            <w:r w:rsidRPr="005C0863">
              <w:rPr>
                <w:bCs w:val="0"/>
              </w:rPr>
              <w:t xml:space="preserve">, </w:t>
            </w:r>
            <w:r w:rsidRPr="009E4289">
              <w:rPr>
                <w:bCs w:val="0"/>
                <w:strike/>
              </w:rPr>
              <w:t>or a GP specialising in women’s health</w:t>
            </w:r>
            <w:r w:rsidR="009E4289">
              <w:rPr>
                <w:bCs w:val="0"/>
                <w:strike/>
              </w:rPr>
              <w:t xml:space="preserve">, </w:t>
            </w:r>
            <w:r w:rsidR="009E4289" w:rsidRPr="00DE53A5">
              <w:rPr>
                <w:bCs w:val="0"/>
              </w:rPr>
              <w:t>OR</w:t>
            </w:r>
          </w:p>
          <w:p w14:paraId="1913655C" w14:textId="66EE7514" w:rsidR="009E4289" w:rsidRPr="00482A36" w:rsidRDefault="009E4289" w:rsidP="009E4289">
            <w:pPr>
              <w:pStyle w:val="TableText0"/>
              <w:keepNext w:val="0"/>
              <w:widowControl w:val="0"/>
              <w:rPr>
                <w:b/>
              </w:rPr>
            </w:pPr>
            <w:r w:rsidRPr="006F644F">
              <w:rPr>
                <w:rFonts w:cstheme="minorHAnsi"/>
                <w:i/>
                <w:iCs/>
                <w:szCs w:val="20"/>
              </w:rPr>
              <w:t>Must be treated by a medical practitioner in consultation with a specialist obstetrician and gynaecologist</w:t>
            </w:r>
          </w:p>
        </w:tc>
      </w:tr>
      <w:tr w:rsidR="005C0863" w:rsidRPr="00482A36" w14:paraId="4C5EF703" w14:textId="77777777" w:rsidTr="00E159E4">
        <w:trPr>
          <w:cantSplit/>
          <w:trHeight w:val="20"/>
        </w:trPr>
        <w:tc>
          <w:tcPr>
            <w:tcW w:w="5000" w:type="pct"/>
            <w:gridSpan w:val="6"/>
            <w:vAlign w:val="center"/>
            <w:hideMark/>
          </w:tcPr>
          <w:p w14:paraId="191B6E30" w14:textId="77777777" w:rsidR="005C0863" w:rsidRPr="00482A36" w:rsidRDefault="005C0863" w:rsidP="009E4289">
            <w:pPr>
              <w:pStyle w:val="TableText0"/>
              <w:keepNext w:val="0"/>
              <w:widowControl w:val="0"/>
            </w:pPr>
            <w:r w:rsidRPr="00482A36">
              <w:rPr>
                <w:b/>
              </w:rPr>
              <w:t>Clinical criteria:</w:t>
            </w:r>
          </w:p>
        </w:tc>
      </w:tr>
      <w:tr w:rsidR="005C0863" w:rsidRPr="00482A36" w14:paraId="43A84D99" w14:textId="77777777" w:rsidTr="00E159E4">
        <w:trPr>
          <w:cantSplit/>
          <w:trHeight w:val="20"/>
        </w:trPr>
        <w:tc>
          <w:tcPr>
            <w:tcW w:w="5000" w:type="pct"/>
            <w:gridSpan w:val="6"/>
            <w:vAlign w:val="center"/>
            <w:hideMark/>
          </w:tcPr>
          <w:p w14:paraId="4B0CC158" w14:textId="1696899F" w:rsidR="005C0863" w:rsidRPr="00482A36" w:rsidRDefault="005C0863" w:rsidP="009E4289">
            <w:pPr>
              <w:pStyle w:val="TableText0"/>
              <w:keepNext w:val="0"/>
              <w:widowControl w:val="0"/>
              <w:rPr>
                <w:szCs w:val="20"/>
              </w:rPr>
            </w:pPr>
            <w:r w:rsidRPr="00482A36">
              <w:rPr>
                <w:szCs w:val="20"/>
              </w:rPr>
              <w:t xml:space="preserve">Patient must have at least 1 fibroid </w:t>
            </w:r>
            <w:r w:rsidRPr="00DE53A5">
              <w:rPr>
                <w:strike/>
                <w:szCs w:val="20"/>
              </w:rPr>
              <w:t>≥</w:t>
            </w:r>
            <w:r w:rsidR="00DE53A5" w:rsidRPr="00DE53A5">
              <w:rPr>
                <w:i/>
                <w:iCs/>
                <w:szCs w:val="20"/>
              </w:rPr>
              <w:t>at least</w:t>
            </w:r>
            <w:r w:rsidR="00DE53A5">
              <w:rPr>
                <w:szCs w:val="20"/>
              </w:rPr>
              <w:t xml:space="preserve"> </w:t>
            </w:r>
            <w:r w:rsidRPr="00482A36">
              <w:rPr>
                <w:szCs w:val="20"/>
              </w:rPr>
              <w:t>2 cm in diameter confirmed by ultrasound,</w:t>
            </w:r>
          </w:p>
          <w:p w14:paraId="436219EC" w14:textId="77777777" w:rsidR="005C0863" w:rsidRPr="00482A36" w:rsidRDefault="005C0863" w:rsidP="009E4289">
            <w:pPr>
              <w:pStyle w:val="TableText0"/>
              <w:keepNext w:val="0"/>
              <w:widowControl w:val="0"/>
              <w:rPr>
                <w:b/>
                <w:bCs w:val="0"/>
                <w:szCs w:val="20"/>
              </w:rPr>
            </w:pPr>
            <w:r w:rsidRPr="00482A36">
              <w:rPr>
                <w:b/>
                <w:bCs w:val="0"/>
                <w:szCs w:val="20"/>
              </w:rPr>
              <w:t>OR</w:t>
            </w:r>
          </w:p>
          <w:p w14:paraId="25893B1E" w14:textId="5E237899" w:rsidR="005C0863" w:rsidRPr="00482A36" w:rsidRDefault="005C0863" w:rsidP="009E4289">
            <w:pPr>
              <w:pStyle w:val="TableText0"/>
              <w:keepNext w:val="0"/>
              <w:widowControl w:val="0"/>
              <w:rPr>
                <w:szCs w:val="20"/>
              </w:rPr>
            </w:pPr>
            <w:r w:rsidRPr="00482A36">
              <w:rPr>
                <w:szCs w:val="20"/>
              </w:rPr>
              <w:t>Patient must have multiple fibroids confirmed by ultrasound</w:t>
            </w:r>
          </w:p>
          <w:p w14:paraId="1CADB336" w14:textId="77777777" w:rsidR="005C0863" w:rsidRPr="00482A36" w:rsidRDefault="005C0863" w:rsidP="009E4289">
            <w:pPr>
              <w:pStyle w:val="TableText0"/>
              <w:keepNext w:val="0"/>
              <w:widowControl w:val="0"/>
              <w:rPr>
                <w:b/>
                <w:bCs w:val="0"/>
                <w:szCs w:val="20"/>
              </w:rPr>
            </w:pPr>
            <w:r w:rsidRPr="00482A36">
              <w:rPr>
                <w:b/>
                <w:bCs w:val="0"/>
                <w:szCs w:val="20"/>
              </w:rPr>
              <w:t>AND</w:t>
            </w:r>
          </w:p>
          <w:p w14:paraId="4EC0D2C4" w14:textId="77777777" w:rsidR="005C0863" w:rsidRPr="00482A36" w:rsidRDefault="005C0863" w:rsidP="009E4289">
            <w:pPr>
              <w:pStyle w:val="TableText0"/>
              <w:keepNext w:val="0"/>
              <w:widowControl w:val="0"/>
              <w:rPr>
                <w:szCs w:val="20"/>
              </w:rPr>
            </w:pPr>
            <w:r w:rsidRPr="00482A36">
              <w:rPr>
                <w:szCs w:val="20"/>
              </w:rPr>
              <w:t>Patient must have significant heavy menstrual bleeding that negatively affects quality of life</w:t>
            </w:r>
          </w:p>
          <w:p w14:paraId="5662933A" w14:textId="77777777" w:rsidR="005C0863" w:rsidRPr="00482A36" w:rsidRDefault="005C0863" w:rsidP="009E4289">
            <w:pPr>
              <w:pStyle w:val="TableText0"/>
              <w:keepNext w:val="0"/>
              <w:widowControl w:val="0"/>
              <w:rPr>
                <w:b/>
                <w:bCs w:val="0"/>
                <w:szCs w:val="20"/>
              </w:rPr>
            </w:pPr>
            <w:r w:rsidRPr="00482A36">
              <w:rPr>
                <w:b/>
                <w:bCs w:val="0"/>
                <w:szCs w:val="20"/>
              </w:rPr>
              <w:t>AND</w:t>
            </w:r>
          </w:p>
          <w:p w14:paraId="1FB0C41A" w14:textId="77777777" w:rsidR="009E4289" w:rsidRDefault="005C0863" w:rsidP="009E4289">
            <w:pPr>
              <w:pStyle w:val="TableText0"/>
              <w:keepNext w:val="0"/>
              <w:widowControl w:val="0"/>
              <w:rPr>
                <w:szCs w:val="20"/>
              </w:rPr>
            </w:pPr>
            <w:r w:rsidRPr="00482A36">
              <w:rPr>
                <w:szCs w:val="20"/>
              </w:rPr>
              <w:t xml:space="preserve">Patient must be </w:t>
            </w:r>
            <w:bookmarkStart w:id="14" w:name="_Hlk166358414"/>
            <w:r w:rsidRPr="00482A36">
              <w:rPr>
                <w:szCs w:val="20"/>
              </w:rPr>
              <w:t xml:space="preserve">unsuitable for, </w:t>
            </w:r>
            <w:r w:rsidRPr="009E4289">
              <w:rPr>
                <w:strike/>
                <w:szCs w:val="20"/>
              </w:rPr>
              <w:t>or have had an inadequate response to prior</w:t>
            </w:r>
            <w:r w:rsidRPr="00482A36">
              <w:rPr>
                <w:szCs w:val="20"/>
              </w:rPr>
              <w:t xml:space="preserve"> hormonal therapies</w:t>
            </w:r>
            <w:bookmarkEnd w:id="14"/>
            <w:r w:rsidR="009E4289">
              <w:rPr>
                <w:szCs w:val="20"/>
              </w:rPr>
              <w:t xml:space="preserve"> </w:t>
            </w:r>
            <w:r w:rsidR="009E4289" w:rsidRPr="009E4289">
              <w:rPr>
                <w:i/>
                <w:iCs/>
                <w:szCs w:val="20"/>
              </w:rPr>
              <w:t>OR</w:t>
            </w:r>
          </w:p>
          <w:p w14:paraId="7237042E" w14:textId="50330F87" w:rsidR="005C0863" w:rsidRPr="00482A36" w:rsidRDefault="009E4289" w:rsidP="009E4289">
            <w:pPr>
              <w:pStyle w:val="TableText0"/>
              <w:keepNext w:val="0"/>
              <w:widowControl w:val="0"/>
            </w:pPr>
            <w:r w:rsidRPr="006F644F">
              <w:rPr>
                <w:i/>
                <w:iCs/>
                <w:szCs w:val="20"/>
              </w:rPr>
              <w:t>Patient must have had an inadequate response to hormonal therapies</w:t>
            </w:r>
            <w:r w:rsidR="005C0863" w:rsidRPr="00482A36">
              <w:rPr>
                <w:szCs w:val="20"/>
              </w:rPr>
              <w:t>.</w:t>
            </w:r>
          </w:p>
        </w:tc>
      </w:tr>
      <w:tr w:rsidR="005C0863" w:rsidRPr="00482A36" w14:paraId="1DCA55C6" w14:textId="77777777" w:rsidTr="00E159E4">
        <w:trPr>
          <w:cantSplit/>
          <w:trHeight w:val="20"/>
        </w:trPr>
        <w:tc>
          <w:tcPr>
            <w:tcW w:w="5000" w:type="pct"/>
            <w:gridSpan w:val="6"/>
            <w:vAlign w:val="center"/>
            <w:hideMark/>
          </w:tcPr>
          <w:p w14:paraId="0B502C90" w14:textId="30DDD7BE" w:rsidR="005C0863" w:rsidRPr="00482A36" w:rsidRDefault="005C0863" w:rsidP="009E4289">
            <w:pPr>
              <w:pStyle w:val="TableText0"/>
              <w:keepNext w:val="0"/>
              <w:widowControl w:val="0"/>
            </w:pPr>
            <w:r w:rsidRPr="00482A36">
              <w:rPr>
                <w:b/>
              </w:rPr>
              <w:t>Population criteria:</w:t>
            </w:r>
            <w:r w:rsidRPr="00482A36">
              <w:rPr>
                <w:bCs w:val="0"/>
                <w:szCs w:val="20"/>
              </w:rPr>
              <w:t xml:space="preserve"> Patient must be at least 18 years </w:t>
            </w:r>
            <w:r w:rsidR="00AA6384" w:rsidRPr="00AA6384">
              <w:rPr>
                <w:bCs w:val="0"/>
                <w:i/>
                <w:iCs/>
                <w:szCs w:val="20"/>
              </w:rPr>
              <w:t>of age</w:t>
            </w:r>
            <w:r w:rsidR="00AA6384">
              <w:rPr>
                <w:bCs w:val="0"/>
                <w:i/>
                <w:iCs/>
                <w:szCs w:val="20"/>
              </w:rPr>
              <w:t xml:space="preserve"> </w:t>
            </w:r>
            <w:r w:rsidRPr="00AA6384">
              <w:rPr>
                <w:bCs w:val="0"/>
                <w:i/>
                <w:iCs/>
                <w:strike/>
                <w:szCs w:val="20"/>
              </w:rPr>
              <w:t>and</w:t>
            </w:r>
            <w:r w:rsidRPr="009E4289">
              <w:rPr>
                <w:bCs w:val="0"/>
                <w:strike/>
                <w:szCs w:val="20"/>
              </w:rPr>
              <w:t xml:space="preserve"> premenopausal</w:t>
            </w:r>
          </w:p>
        </w:tc>
      </w:tr>
      <w:tr w:rsidR="009E4289" w:rsidRPr="009E4289" w14:paraId="39BFBCB4" w14:textId="77777777" w:rsidTr="00E159E4">
        <w:trPr>
          <w:cantSplit/>
          <w:trHeight w:val="20"/>
        </w:trPr>
        <w:tc>
          <w:tcPr>
            <w:tcW w:w="5000" w:type="pct"/>
            <w:gridSpan w:val="6"/>
            <w:vAlign w:val="center"/>
          </w:tcPr>
          <w:p w14:paraId="1423BABE" w14:textId="045E35D7" w:rsidR="009E4289" w:rsidRPr="009E4289" w:rsidRDefault="009E4289" w:rsidP="009E4289">
            <w:pPr>
              <w:pStyle w:val="TableText0"/>
              <w:keepNext w:val="0"/>
              <w:widowControl w:val="0"/>
              <w:rPr>
                <w:b/>
                <w:i/>
                <w:iCs/>
              </w:rPr>
            </w:pPr>
            <w:r w:rsidRPr="009E4289">
              <w:rPr>
                <w:b/>
                <w:i/>
                <w:iCs/>
              </w:rPr>
              <w:t>Population criteria:</w:t>
            </w:r>
            <w:r w:rsidRPr="009E4289">
              <w:rPr>
                <w:bCs w:val="0"/>
                <w:i/>
                <w:iCs/>
                <w:szCs w:val="20"/>
              </w:rPr>
              <w:t xml:space="preserve"> Patient must be premenopausal</w:t>
            </w:r>
          </w:p>
        </w:tc>
      </w:tr>
      <w:tr w:rsidR="005C0863" w:rsidRPr="00482A36" w14:paraId="0C8F52F5" w14:textId="77777777" w:rsidTr="00E159E4">
        <w:trPr>
          <w:cantSplit/>
          <w:trHeight w:val="20"/>
        </w:trPr>
        <w:tc>
          <w:tcPr>
            <w:tcW w:w="5000" w:type="pct"/>
            <w:gridSpan w:val="6"/>
            <w:vAlign w:val="center"/>
          </w:tcPr>
          <w:p w14:paraId="5ADDF3DE" w14:textId="726AE931" w:rsidR="005C0863" w:rsidRPr="005C0863" w:rsidRDefault="005C0863" w:rsidP="009E4289">
            <w:pPr>
              <w:pStyle w:val="TableText0"/>
              <w:keepNext w:val="0"/>
              <w:widowControl w:val="0"/>
              <w:rPr>
                <w:b/>
              </w:rPr>
            </w:pPr>
            <w:r w:rsidRPr="00AA6384">
              <w:rPr>
                <w:b/>
                <w:i/>
                <w:iCs/>
                <w:strike/>
              </w:rPr>
              <w:t>Note</w:t>
            </w:r>
            <w:r w:rsidR="00AA6384">
              <w:rPr>
                <w:b/>
                <w:i/>
                <w:iCs/>
                <w:strike/>
              </w:rPr>
              <w:t xml:space="preserve"> </w:t>
            </w:r>
            <w:r w:rsidR="00AA6384" w:rsidRPr="00AA6384">
              <w:rPr>
                <w:b/>
                <w:i/>
                <w:iCs/>
              </w:rPr>
              <w:t>Administrative Advice</w:t>
            </w:r>
            <w:r>
              <w:rPr>
                <w:b/>
              </w:rPr>
              <w:t xml:space="preserve">: </w:t>
            </w:r>
            <w:r>
              <w:t>Hormonal therapies may include any of the following:</w:t>
            </w:r>
          </w:p>
          <w:p w14:paraId="4D3BE51F" w14:textId="77777777" w:rsidR="005C0863" w:rsidRDefault="005C0863" w:rsidP="009E4289">
            <w:pPr>
              <w:pStyle w:val="PBACTabletext"/>
              <w:keepNext w:val="0"/>
              <w:keepLines w:val="0"/>
              <w:widowControl w:val="0"/>
              <w:numPr>
                <w:ilvl w:val="0"/>
                <w:numId w:val="17"/>
              </w:numPr>
            </w:pPr>
            <w:r>
              <w:t>Progestins (hormonal intrauterine systems and progestin-only pills)</w:t>
            </w:r>
          </w:p>
          <w:p w14:paraId="21E29588" w14:textId="7DE820B6" w:rsidR="005C0863" w:rsidRPr="005C0863" w:rsidRDefault="005C0863" w:rsidP="009E4289">
            <w:pPr>
              <w:pStyle w:val="PBACTabletext"/>
              <w:keepNext w:val="0"/>
              <w:keepLines w:val="0"/>
              <w:widowControl w:val="0"/>
              <w:numPr>
                <w:ilvl w:val="0"/>
                <w:numId w:val="17"/>
              </w:numPr>
            </w:pPr>
            <w:r>
              <w:t>Progestin and estrogen combinations (combination birth control pills)</w:t>
            </w:r>
          </w:p>
        </w:tc>
      </w:tr>
      <w:tr w:rsidR="005C0863" w:rsidRPr="00482A36" w14:paraId="1F9AD376" w14:textId="77777777" w:rsidTr="00E159E4">
        <w:trPr>
          <w:cantSplit/>
          <w:trHeight w:val="20"/>
        </w:trPr>
        <w:tc>
          <w:tcPr>
            <w:tcW w:w="5000" w:type="pct"/>
            <w:gridSpan w:val="6"/>
            <w:vAlign w:val="center"/>
          </w:tcPr>
          <w:p w14:paraId="6C1FEB82" w14:textId="2235BEB5" w:rsidR="005C0863" w:rsidRPr="00482A36" w:rsidRDefault="005C0863" w:rsidP="009E4289">
            <w:pPr>
              <w:pStyle w:val="TableText0"/>
              <w:keepNext w:val="0"/>
              <w:widowControl w:val="0"/>
              <w:rPr>
                <w:bCs w:val="0"/>
                <w:szCs w:val="20"/>
              </w:rPr>
            </w:pPr>
            <w:r w:rsidRPr="00482A36">
              <w:rPr>
                <w:b/>
              </w:rPr>
              <w:t>Treatment Phase:</w:t>
            </w:r>
            <w:r w:rsidRPr="00482A36">
              <w:rPr>
                <w:rFonts w:cs="Arial"/>
                <w:szCs w:val="20"/>
              </w:rPr>
              <w:t xml:space="preserve"> Continuing</w:t>
            </w:r>
            <w:r w:rsidR="00DE53A5">
              <w:rPr>
                <w:rFonts w:cs="Arial"/>
                <w:szCs w:val="20"/>
              </w:rPr>
              <w:t xml:space="preserve"> </w:t>
            </w:r>
            <w:r w:rsidR="00DE53A5" w:rsidRPr="00DE53A5">
              <w:rPr>
                <w:rFonts w:cs="Arial"/>
                <w:i/>
                <w:iCs/>
                <w:szCs w:val="20"/>
              </w:rPr>
              <w:t>treatment</w:t>
            </w:r>
          </w:p>
        </w:tc>
      </w:tr>
      <w:tr w:rsidR="005C0863" w:rsidRPr="00482A36" w14:paraId="495720AC" w14:textId="77777777" w:rsidTr="00E159E4">
        <w:trPr>
          <w:cantSplit/>
          <w:trHeight w:val="20"/>
        </w:trPr>
        <w:tc>
          <w:tcPr>
            <w:tcW w:w="5000" w:type="pct"/>
            <w:gridSpan w:val="6"/>
            <w:vAlign w:val="center"/>
          </w:tcPr>
          <w:p w14:paraId="08308B28" w14:textId="314EF703" w:rsidR="005C0863" w:rsidRPr="00482A36" w:rsidRDefault="005C0863" w:rsidP="009E4289">
            <w:pPr>
              <w:pStyle w:val="TableText0"/>
              <w:keepNext w:val="0"/>
              <w:widowControl w:val="0"/>
              <w:rPr>
                <w:bCs w:val="0"/>
                <w:szCs w:val="20"/>
              </w:rPr>
            </w:pPr>
            <w:r w:rsidRPr="00482A36">
              <w:rPr>
                <w:b/>
              </w:rPr>
              <w:t xml:space="preserve">Restriction type: </w:t>
            </w:r>
            <w:r w:rsidRPr="00482A36">
              <w:rPr>
                <w:rFonts w:eastAsia="Times New Roman"/>
              </w:rPr>
              <w:fldChar w:fldCharType="begin">
                <w:ffData>
                  <w:name w:val="Check3"/>
                  <w:enabled/>
                  <w:calcOnExit w:val="0"/>
                  <w:checkBox>
                    <w:sizeAuto/>
                    <w:default w:val="1"/>
                  </w:checkBox>
                </w:ffData>
              </w:fldChar>
            </w:r>
            <w:r w:rsidRPr="00482A36">
              <w:rPr>
                <w:rFonts w:eastAsia="Times New Roman"/>
              </w:rPr>
              <w:instrText xml:space="preserve"> FORMCHECKBOX </w:instrText>
            </w:r>
            <w:r w:rsidR="003E4FD0">
              <w:rPr>
                <w:rFonts w:eastAsia="Times New Roman"/>
              </w:rPr>
            </w:r>
            <w:r w:rsidR="003E4FD0">
              <w:rPr>
                <w:rFonts w:eastAsia="Times New Roman"/>
              </w:rPr>
              <w:fldChar w:fldCharType="separate"/>
            </w:r>
            <w:r w:rsidRPr="00482A36">
              <w:rPr>
                <w:rFonts w:eastAsia="Times New Roman"/>
              </w:rPr>
              <w:fldChar w:fldCharType="end"/>
            </w:r>
            <w:r w:rsidRPr="00482A36">
              <w:t xml:space="preserve"> </w:t>
            </w:r>
            <w:r w:rsidRPr="00482A36">
              <w:rPr>
                <w:rFonts w:eastAsia="Times New Roman"/>
              </w:rPr>
              <w:t>Streamlined</w:t>
            </w:r>
          </w:p>
        </w:tc>
      </w:tr>
      <w:tr w:rsidR="005C0863" w:rsidRPr="00482A36" w14:paraId="10D47470" w14:textId="77777777" w:rsidTr="00E159E4">
        <w:trPr>
          <w:cantSplit/>
          <w:trHeight w:val="20"/>
        </w:trPr>
        <w:tc>
          <w:tcPr>
            <w:tcW w:w="5000" w:type="pct"/>
            <w:gridSpan w:val="6"/>
            <w:vAlign w:val="center"/>
          </w:tcPr>
          <w:p w14:paraId="7D005547" w14:textId="3D66F25A" w:rsidR="005C0863" w:rsidRPr="00482A36" w:rsidRDefault="005C0863" w:rsidP="009E4289">
            <w:pPr>
              <w:pStyle w:val="TableText0"/>
              <w:keepNext w:val="0"/>
              <w:widowControl w:val="0"/>
              <w:rPr>
                <w:bCs w:val="0"/>
                <w:szCs w:val="20"/>
              </w:rPr>
            </w:pPr>
            <w:r w:rsidRPr="00482A36">
              <w:rPr>
                <w:b/>
              </w:rPr>
              <w:t>Clinical criteria:</w:t>
            </w:r>
          </w:p>
        </w:tc>
      </w:tr>
      <w:tr w:rsidR="005C0863" w:rsidRPr="00482A36" w14:paraId="4813A38D" w14:textId="77777777" w:rsidTr="00E159E4">
        <w:trPr>
          <w:cantSplit/>
          <w:trHeight w:val="20"/>
        </w:trPr>
        <w:tc>
          <w:tcPr>
            <w:tcW w:w="5000" w:type="pct"/>
            <w:gridSpan w:val="6"/>
            <w:vAlign w:val="center"/>
          </w:tcPr>
          <w:p w14:paraId="5D7FDEDD" w14:textId="77777777" w:rsidR="005C0863" w:rsidRDefault="005C0863" w:rsidP="009E4289">
            <w:pPr>
              <w:pStyle w:val="TableText0"/>
              <w:keepNext w:val="0"/>
              <w:widowControl w:val="0"/>
              <w:rPr>
                <w:bCs w:val="0"/>
                <w:strike/>
              </w:rPr>
            </w:pPr>
            <w:r w:rsidRPr="00AA6384">
              <w:rPr>
                <w:bCs w:val="0"/>
                <w:strike/>
              </w:rPr>
              <w:t>Patient must have previously been issued with an authority prescription for this drug, and demonstrate an improvement in symptoms following treatment with linzagolix</w:t>
            </w:r>
          </w:p>
          <w:p w14:paraId="7BF9FC08" w14:textId="77777777" w:rsidR="00AA6384" w:rsidRDefault="00AA6384" w:rsidP="009E4289">
            <w:pPr>
              <w:pStyle w:val="TableText0"/>
              <w:keepNext w:val="0"/>
              <w:widowControl w:val="0"/>
              <w:rPr>
                <w:rFonts w:cstheme="minorHAnsi"/>
                <w:i/>
                <w:iCs/>
                <w:color w:val="333333"/>
                <w:szCs w:val="20"/>
              </w:rPr>
            </w:pPr>
            <w:r w:rsidRPr="006F644F">
              <w:rPr>
                <w:rFonts w:cstheme="minorHAnsi"/>
                <w:i/>
                <w:iCs/>
                <w:color w:val="333333"/>
                <w:szCs w:val="20"/>
              </w:rPr>
              <w:t>Patient must have previously been treated with this drug for this condition</w:t>
            </w:r>
          </w:p>
          <w:p w14:paraId="19ABCD01" w14:textId="77777777" w:rsidR="00AA6384" w:rsidRPr="00AA6384" w:rsidRDefault="00AA6384" w:rsidP="009E4289">
            <w:pPr>
              <w:pStyle w:val="TableText0"/>
              <w:keepNext w:val="0"/>
              <w:widowControl w:val="0"/>
              <w:rPr>
                <w:rFonts w:cstheme="minorHAnsi"/>
                <w:i/>
                <w:iCs/>
                <w:color w:val="333333"/>
                <w:szCs w:val="20"/>
              </w:rPr>
            </w:pPr>
            <w:r w:rsidRPr="00AA6384">
              <w:rPr>
                <w:rFonts w:cstheme="minorHAnsi"/>
                <w:i/>
                <w:iCs/>
                <w:color w:val="333333"/>
                <w:szCs w:val="20"/>
              </w:rPr>
              <w:t>AND</w:t>
            </w:r>
          </w:p>
          <w:p w14:paraId="755E91FE" w14:textId="2E12166D" w:rsidR="00AA6384" w:rsidRPr="00AA6384" w:rsidRDefault="00AA6384" w:rsidP="009E4289">
            <w:pPr>
              <w:pStyle w:val="TableText0"/>
              <w:keepNext w:val="0"/>
              <w:widowControl w:val="0"/>
              <w:rPr>
                <w:bCs w:val="0"/>
                <w:strike/>
                <w:szCs w:val="20"/>
              </w:rPr>
            </w:pPr>
            <w:r w:rsidRPr="006F644F">
              <w:rPr>
                <w:rFonts w:cstheme="minorHAnsi"/>
                <w:i/>
                <w:iCs/>
                <w:szCs w:val="20"/>
              </w:rPr>
              <w:t xml:space="preserve">Patient must have experienced clinical improvement </w:t>
            </w:r>
            <w:proofErr w:type="gramStart"/>
            <w:r w:rsidRPr="006F644F">
              <w:rPr>
                <w:rFonts w:cstheme="minorHAnsi"/>
                <w:i/>
                <w:iCs/>
                <w:szCs w:val="20"/>
              </w:rPr>
              <w:t>as a result of</w:t>
            </w:r>
            <w:proofErr w:type="gramEnd"/>
            <w:r w:rsidRPr="006F644F">
              <w:rPr>
                <w:rFonts w:cstheme="minorHAnsi"/>
                <w:i/>
                <w:iCs/>
                <w:szCs w:val="20"/>
              </w:rPr>
              <w:t xml:space="preserve"> treatment with this drug</w:t>
            </w:r>
          </w:p>
        </w:tc>
      </w:tr>
      <w:tr w:rsidR="005C0863" w:rsidRPr="00482A36" w14:paraId="05703FBC" w14:textId="77777777" w:rsidTr="00E159E4">
        <w:trPr>
          <w:cantSplit/>
          <w:trHeight w:val="20"/>
        </w:trPr>
        <w:tc>
          <w:tcPr>
            <w:tcW w:w="5000" w:type="pct"/>
            <w:gridSpan w:val="6"/>
            <w:vAlign w:val="center"/>
          </w:tcPr>
          <w:p w14:paraId="02B218DB" w14:textId="1D33EAAA" w:rsidR="005C0863" w:rsidRPr="00AA6384" w:rsidRDefault="005C0863" w:rsidP="009E4289">
            <w:pPr>
              <w:pStyle w:val="TableText0"/>
              <w:keepNext w:val="0"/>
              <w:widowControl w:val="0"/>
              <w:rPr>
                <w:szCs w:val="20"/>
              </w:rPr>
            </w:pPr>
            <w:r w:rsidRPr="00482A36">
              <w:rPr>
                <w:b/>
                <w:bCs w:val="0"/>
                <w:szCs w:val="20"/>
              </w:rPr>
              <w:t>Population criteria:</w:t>
            </w:r>
            <w:r w:rsidRPr="00482A36">
              <w:rPr>
                <w:szCs w:val="20"/>
              </w:rPr>
              <w:t xml:space="preserve"> Patient must be at least 18 years </w:t>
            </w:r>
            <w:r w:rsidR="00AA6384">
              <w:rPr>
                <w:szCs w:val="20"/>
              </w:rPr>
              <w:t>of age</w:t>
            </w:r>
          </w:p>
        </w:tc>
      </w:tr>
      <w:tr w:rsidR="00AA6384" w:rsidRPr="009E4289" w14:paraId="1438CF01" w14:textId="77777777" w:rsidTr="00E14B80">
        <w:trPr>
          <w:cantSplit/>
          <w:trHeight w:val="20"/>
        </w:trPr>
        <w:tc>
          <w:tcPr>
            <w:tcW w:w="5000" w:type="pct"/>
            <w:gridSpan w:val="6"/>
            <w:vAlign w:val="center"/>
          </w:tcPr>
          <w:p w14:paraId="2ADA4FEC" w14:textId="77777777" w:rsidR="00AA6384" w:rsidRPr="009E4289" w:rsidRDefault="00AA6384" w:rsidP="00E14B80">
            <w:pPr>
              <w:pStyle w:val="TableText0"/>
              <w:keepNext w:val="0"/>
              <w:widowControl w:val="0"/>
              <w:rPr>
                <w:b/>
                <w:i/>
                <w:iCs/>
              </w:rPr>
            </w:pPr>
            <w:r w:rsidRPr="009E4289">
              <w:rPr>
                <w:b/>
                <w:i/>
                <w:iCs/>
              </w:rPr>
              <w:t>Population criteria:</w:t>
            </w:r>
            <w:r w:rsidRPr="009E4289">
              <w:rPr>
                <w:bCs w:val="0"/>
                <w:i/>
                <w:iCs/>
                <w:szCs w:val="20"/>
              </w:rPr>
              <w:t xml:space="preserve"> Patient must be premenopausal</w:t>
            </w:r>
          </w:p>
        </w:tc>
      </w:tr>
    </w:tbl>
    <w:bookmarkEnd w:id="13"/>
    <w:p w14:paraId="6EDFD335" w14:textId="0EF77D4E" w:rsidR="003146C9" w:rsidRDefault="00FA0197" w:rsidP="003146C9">
      <w:pPr>
        <w:pStyle w:val="TableFigureFooter"/>
        <w:rPr>
          <w:rStyle w:val="CommentReference"/>
          <w:b w:val="0"/>
          <w:bCs/>
          <w:sz w:val="18"/>
          <w:szCs w:val="18"/>
        </w:rPr>
      </w:pPr>
      <w:r w:rsidRPr="00482A36">
        <w:rPr>
          <w:rStyle w:val="CommentReference"/>
          <w:b w:val="0"/>
          <w:bCs/>
          <w:sz w:val="18"/>
          <w:szCs w:val="18"/>
        </w:rPr>
        <w:t>Source: Table 7, p49, Table 8, p51 and Table 9, p51 of the submission</w:t>
      </w:r>
      <w:r w:rsidR="003146C9" w:rsidRPr="00482A36">
        <w:rPr>
          <w:rStyle w:val="CommentReference"/>
          <w:b w:val="0"/>
          <w:bCs/>
          <w:sz w:val="18"/>
          <w:szCs w:val="18"/>
        </w:rPr>
        <w:t xml:space="preserve">. </w:t>
      </w:r>
    </w:p>
    <w:p w14:paraId="3A6B4247" w14:textId="032C7B0D" w:rsidR="00AA6384" w:rsidRPr="00AA6384" w:rsidRDefault="00A47305" w:rsidP="00DE1122">
      <w:pPr>
        <w:pStyle w:val="3-BodyText"/>
        <w:rPr>
          <w:iCs/>
        </w:rPr>
      </w:pPr>
      <w:r w:rsidRPr="00482A36">
        <w:t xml:space="preserve">The recommended dose of linzagolix is one tablet (100 mg or 200 mg) taken daily with or without ABT. </w:t>
      </w:r>
      <w:r w:rsidR="007E6237" w:rsidRPr="00482A36">
        <w:t>The</w:t>
      </w:r>
      <w:r w:rsidR="00DE1122">
        <w:t xml:space="preserve"> </w:t>
      </w:r>
      <w:r w:rsidR="00DE1122" w:rsidRPr="00FD5102">
        <w:rPr>
          <w:iCs/>
        </w:rPr>
        <w:t>ESC noted that the</w:t>
      </w:r>
      <w:r w:rsidR="007E6237" w:rsidRPr="00482A36">
        <w:t xml:space="preserve"> draft PI indicated that linzagolix 200</w:t>
      </w:r>
      <w:r w:rsidR="00A13297" w:rsidRPr="00482A36">
        <w:t xml:space="preserve"> </w:t>
      </w:r>
      <w:r w:rsidR="007E6237" w:rsidRPr="00482A36">
        <w:t xml:space="preserve">mg is intended to induce full suppression of serum estradiol </w:t>
      </w:r>
      <w:r w:rsidR="008132DE" w:rsidRPr="00482A36">
        <w:t xml:space="preserve">(E2) </w:t>
      </w:r>
      <w:r w:rsidR="007E6237" w:rsidRPr="00482A36">
        <w:t>and thus must be administered with ABT beyond 6 months, whereas linzagolix 100</w:t>
      </w:r>
      <w:r w:rsidR="00A13297" w:rsidRPr="00482A36">
        <w:t xml:space="preserve"> </w:t>
      </w:r>
      <w:r w:rsidR="007E6237" w:rsidRPr="00482A36">
        <w:t>mg causes only partial suppression of E2 so can be administered without ABT long term (&gt;</w:t>
      </w:r>
      <w:r w:rsidR="00A64DAA">
        <w:t xml:space="preserve"> </w:t>
      </w:r>
      <w:r w:rsidR="007E6237" w:rsidRPr="00482A36">
        <w:t>6 months).</w:t>
      </w:r>
      <w:r w:rsidR="002D52CA">
        <w:t xml:space="preserve"> </w:t>
      </w:r>
      <w:r w:rsidR="002E5243">
        <w:t xml:space="preserve">The draft </w:t>
      </w:r>
      <w:r w:rsidR="008D421D">
        <w:t>PI</w:t>
      </w:r>
      <w:r w:rsidR="002E5243">
        <w:t xml:space="preserve"> indicated linzagolix 200</w:t>
      </w:r>
      <w:r w:rsidR="00743076">
        <w:t xml:space="preserve"> </w:t>
      </w:r>
      <w:r w:rsidR="002E5243">
        <w:t xml:space="preserve">mg alone is only considered suitable for short term treatment (&lt; 6 months) when reduction in uterine and fibroid volume is desired (e.g., prior to surgery). </w:t>
      </w:r>
      <w:r w:rsidR="00AA6384">
        <w:t xml:space="preserve">The PBAC considered it would be appropriate to have separate restrictions for the doses given the differences in </w:t>
      </w:r>
      <w:r w:rsidR="00803C47">
        <w:t xml:space="preserve">recommended treatment durations, to alert prescribers to the increased risk of </w:t>
      </w:r>
      <w:r w:rsidR="004F3200">
        <w:t>bone mineral density (</w:t>
      </w:r>
      <w:r w:rsidR="00803C47">
        <w:t>BMD</w:t>
      </w:r>
      <w:r w:rsidR="004F3200">
        <w:t>)</w:t>
      </w:r>
      <w:r w:rsidR="00803C47">
        <w:t xml:space="preserve"> reductions.</w:t>
      </w:r>
      <w:r w:rsidR="00AA6384">
        <w:t xml:space="preserve"> </w:t>
      </w:r>
    </w:p>
    <w:p w14:paraId="707B5F21" w14:textId="74C43A9B" w:rsidR="00A47305" w:rsidRPr="00FD5102" w:rsidRDefault="002D52CA" w:rsidP="00DE1122">
      <w:pPr>
        <w:pStyle w:val="3-BodyText"/>
        <w:rPr>
          <w:iCs/>
        </w:rPr>
      </w:pPr>
      <w:r w:rsidRPr="002D52CA">
        <w:t xml:space="preserve">ABT in the PRIMROSE trials consisted of 1 mg of estradiol and 0.5 mg of norethisterone in a capsule form. </w:t>
      </w:r>
      <w:r>
        <w:t>The submission state</w:t>
      </w:r>
      <w:r w:rsidR="006D644A">
        <w:t>d</w:t>
      </w:r>
      <w:r w:rsidR="003C261E">
        <w:t xml:space="preserve"> </w:t>
      </w:r>
      <w:r>
        <w:t>that</w:t>
      </w:r>
      <w:r w:rsidRPr="002D52CA">
        <w:t xml:space="preserve"> </w:t>
      </w:r>
      <w:r>
        <w:t xml:space="preserve">the choice of </w:t>
      </w:r>
      <w:r w:rsidRPr="002D52CA">
        <w:t xml:space="preserve">ABT is likely </w:t>
      </w:r>
      <w:r>
        <w:t>to be tailored</w:t>
      </w:r>
      <w:r w:rsidRPr="002D52CA">
        <w:t xml:space="preserve"> to the individual needs of each patient </w:t>
      </w:r>
      <w:r>
        <w:t>by the</w:t>
      </w:r>
      <w:r w:rsidRPr="002D52CA">
        <w:t xml:space="preserve"> clinicians</w:t>
      </w:r>
      <w:r>
        <w:t xml:space="preserve"> in Australia</w:t>
      </w:r>
      <w:r w:rsidRPr="002D52CA">
        <w:t>.</w:t>
      </w:r>
      <w:r w:rsidR="00DE1122">
        <w:t xml:space="preserve"> </w:t>
      </w:r>
      <w:r w:rsidR="00616F6F" w:rsidRPr="00FD5102">
        <w:rPr>
          <w:iCs/>
        </w:rPr>
        <w:t>The ESC advised that further clarification of the role and form of ABT in the clinical algorithm was required</w:t>
      </w:r>
      <w:r w:rsidR="007D0D79">
        <w:rPr>
          <w:iCs/>
        </w:rPr>
        <w:t xml:space="preserve"> to prevent confusion or prescribing errors</w:t>
      </w:r>
      <w:r w:rsidR="00943412" w:rsidRPr="00FD5102">
        <w:rPr>
          <w:iCs/>
        </w:rPr>
        <w:t>, p</w:t>
      </w:r>
      <w:r w:rsidR="00616F6F" w:rsidRPr="00FD5102">
        <w:rPr>
          <w:iCs/>
        </w:rPr>
        <w:t xml:space="preserve">articularly for those ‘unsuitable’ for hormonal therapy. Furthermore, the ESC advised </w:t>
      </w:r>
      <w:r w:rsidR="00943412" w:rsidRPr="00FD5102">
        <w:rPr>
          <w:iCs/>
        </w:rPr>
        <w:t xml:space="preserve">that the </w:t>
      </w:r>
      <w:r w:rsidR="00616F6F" w:rsidRPr="00FD5102">
        <w:rPr>
          <w:iCs/>
        </w:rPr>
        <w:t>long term use of linzagolix 100 mg without ABT required further consideration as BMD loss was evident at this dose (see paragraph</w:t>
      </w:r>
      <w:r w:rsidR="00BF7413" w:rsidRPr="00FD5102">
        <w:rPr>
          <w:iCs/>
        </w:rPr>
        <w:t xml:space="preserve">s </w:t>
      </w:r>
      <w:r w:rsidR="00BF7413" w:rsidRPr="00FD5102">
        <w:rPr>
          <w:iCs/>
        </w:rPr>
        <w:fldChar w:fldCharType="begin"/>
      </w:r>
      <w:r w:rsidR="00BF7413" w:rsidRPr="00FD5102">
        <w:rPr>
          <w:iCs/>
        </w:rPr>
        <w:instrText xml:space="preserve"> REF _Ref169778715 \r \h </w:instrText>
      </w:r>
      <w:r w:rsidR="00BF7413" w:rsidRPr="00FD5102">
        <w:rPr>
          <w:iCs/>
        </w:rPr>
      </w:r>
      <w:r w:rsidR="00BF7413" w:rsidRPr="00FD5102">
        <w:rPr>
          <w:iCs/>
        </w:rPr>
        <w:fldChar w:fldCharType="separate"/>
      </w:r>
      <w:r w:rsidR="003E4FD0">
        <w:rPr>
          <w:iCs/>
        </w:rPr>
        <w:t>6.31</w:t>
      </w:r>
      <w:r w:rsidR="00BF7413" w:rsidRPr="00FD5102">
        <w:rPr>
          <w:iCs/>
        </w:rPr>
        <w:fldChar w:fldCharType="end"/>
      </w:r>
      <w:r w:rsidR="00BF7413" w:rsidRPr="00FD5102">
        <w:rPr>
          <w:rFonts w:cstheme="minorHAnsi"/>
          <w:iCs/>
        </w:rPr>
        <w:t>−</w:t>
      </w:r>
      <w:r w:rsidR="00BF7413" w:rsidRPr="00FD5102">
        <w:rPr>
          <w:iCs/>
        </w:rPr>
        <w:fldChar w:fldCharType="begin"/>
      </w:r>
      <w:r w:rsidR="00BF7413" w:rsidRPr="00FD5102">
        <w:rPr>
          <w:rFonts w:cstheme="minorHAnsi"/>
          <w:iCs/>
        </w:rPr>
        <w:instrText xml:space="preserve"> REF _Ref169778755 \r \h </w:instrText>
      </w:r>
      <w:r w:rsidR="00BF7413" w:rsidRPr="00FD5102">
        <w:rPr>
          <w:iCs/>
        </w:rPr>
      </w:r>
      <w:r w:rsidR="00BF7413" w:rsidRPr="00FD5102">
        <w:rPr>
          <w:iCs/>
        </w:rPr>
        <w:fldChar w:fldCharType="separate"/>
      </w:r>
      <w:r w:rsidR="003E4FD0">
        <w:rPr>
          <w:rFonts w:cstheme="minorHAnsi"/>
          <w:iCs/>
        </w:rPr>
        <w:t>6.41</w:t>
      </w:r>
      <w:r w:rsidR="00BF7413" w:rsidRPr="00FD5102">
        <w:rPr>
          <w:iCs/>
        </w:rPr>
        <w:fldChar w:fldCharType="end"/>
      </w:r>
      <w:r w:rsidR="00616F6F" w:rsidRPr="00FD5102">
        <w:rPr>
          <w:iCs/>
        </w:rPr>
        <w:t>)</w:t>
      </w:r>
      <w:r w:rsidR="00943412" w:rsidRPr="00FD5102">
        <w:rPr>
          <w:iCs/>
        </w:rPr>
        <w:t>, and therefore may not be appropriate</w:t>
      </w:r>
      <w:r w:rsidR="00616F6F" w:rsidRPr="00FD5102">
        <w:rPr>
          <w:iCs/>
        </w:rPr>
        <w:t>.</w:t>
      </w:r>
    </w:p>
    <w:p w14:paraId="21C9AF1A" w14:textId="080A7313" w:rsidR="0062401C" w:rsidRPr="00482A36" w:rsidRDefault="00A47305" w:rsidP="0062401C">
      <w:pPr>
        <w:pStyle w:val="3-BodyText"/>
      </w:pPr>
      <w:r w:rsidRPr="00482A36">
        <w:lastRenderedPageBreak/>
        <w:t xml:space="preserve">A flat pricing structure was requested by the submission. </w:t>
      </w:r>
      <w:r w:rsidRPr="00AB6295">
        <w:rPr>
          <w:iCs/>
        </w:rPr>
        <w:t xml:space="preserve">A similar cost per day for the different dosages would only be achieved when ABT is not required (e.g. in those unsuitable for hormone therapy). Given linzagolix 200 mg must be administered with ABT beyond 6 months, it will have a higher cost per day compared to linzagolix </w:t>
      </w:r>
      <w:r w:rsidR="00FF0DA4" w:rsidRPr="00AB6295">
        <w:rPr>
          <w:iCs/>
        </w:rPr>
        <w:t>100</w:t>
      </w:r>
      <w:r w:rsidR="00FF0DA4">
        <w:rPr>
          <w:iCs/>
        </w:rPr>
        <w:t> </w:t>
      </w:r>
      <w:r w:rsidRPr="00AB6295">
        <w:rPr>
          <w:iCs/>
        </w:rPr>
        <w:t xml:space="preserve">mg which can be taken with </w:t>
      </w:r>
      <w:r w:rsidR="008132DE" w:rsidRPr="00AB6295">
        <w:rPr>
          <w:iCs/>
        </w:rPr>
        <w:t xml:space="preserve">or </w:t>
      </w:r>
      <w:r w:rsidRPr="00AB6295">
        <w:rPr>
          <w:iCs/>
        </w:rPr>
        <w:t>without ABT.</w:t>
      </w:r>
    </w:p>
    <w:p w14:paraId="705315A0" w14:textId="60F11D43" w:rsidR="00347F8C" w:rsidRPr="00AB6295" w:rsidRDefault="00347F8C" w:rsidP="00347F8C">
      <w:pPr>
        <w:pStyle w:val="3-BodyText"/>
        <w:rPr>
          <w:iCs/>
        </w:rPr>
      </w:pPr>
      <w:r w:rsidRPr="00AB6295">
        <w:rPr>
          <w:iCs/>
        </w:rPr>
        <w:t xml:space="preserve">Based on the requested restrictions, patients </w:t>
      </w:r>
      <w:proofErr w:type="gramStart"/>
      <w:r w:rsidRPr="00AB6295">
        <w:rPr>
          <w:iCs/>
        </w:rPr>
        <w:t>are able to</w:t>
      </w:r>
      <w:proofErr w:type="gramEnd"/>
      <w:r w:rsidRPr="00AB6295">
        <w:rPr>
          <w:iCs/>
        </w:rPr>
        <w:t xml:space="preserve"> continue PBS treatment as long as ‘an improvement in symptoms following treatment with linzagolix’ was observed, no objective criteria were proposed in the submission. </w:t>
      </w:r>
      <w:r w:rsidRPr="00AB6295">
        <w:t>The requested restrictions did not specify a maximum treatment duration, and trial data for long-term efficacy and safety of linzagolix was limited, with a maximum treatment duration of one year.</w:t>
      </w:r>
      <w:r w:rsidR="004E0A10">
        <w:t xml:space="preserve"> </w:t>
      </w:r>
      <w:r w:rsidRPr="00AB6295">
        <w:t xml:space="preserve">As a class effect, long term use of gonadotropin releasing </w:t>
      </w:r>
      <w:r w:rsidR="00F77B7C">
        <w:t xml:space="preserve">hormone </w:t>
      </w:r>
      <w:r w:rsidRPr="00AB6295">
        <w:t>(GnRH) analogues is associated with a loss of BMD</w:t>
      </w:r>
      <w:r w:rsidRPr="00AB6295">
        <w:rPr>
          <w:rStyle w:val="FootnoteReference"/>
        </w:rPr>
        <w:footnoteReference w:id="2"/>
      </w:r>
      <w:r w:rsidRPr="00AB6295">
        <w:t xml:space="preserve">. </w:t>
      </w:r>
      <w:r w:rsidRPr="00FD5102">
        <w:rPr>
          <w:iCs/>
        </w:rPr>
        <w:t xml:space="preserve">The ESC noted the </w:t>
      </w:r>
      <w:r w:rsidR="004F3200">
        <w:rPr>
          <w:iCs/>
        </w:rPr>
        <w:t>Pre-Sub-Committee Response (</w:t>
      </w:r>
      <w:r w:rsidRPr="00FD5102">
        <w:rPr>
          <w:iCs/>
        </w:rPr>
        <w:t>PSCR</w:t>
      </w:r>
      <w:r w:rsidR="004F3200">
        <w:rPr>
          <w:iCs/>
        </w:rPr>
        <w:t>)</w:t>
      </w:r>
      <w:r w:rsidRPr="00FD5102">
        <w:rPr>
          <w:iCs/>
        </w:rPr>
        <w:t xml:space="preserve"> acknowledged that due to the chronic nature of the condition, many patients may require continued treatment with linzagolix for over 12</w:t>
      </w:r>
      <w:r w:rsidR="00EB5519">
        <w:rPr>
          <w:iCs/>
        </w:rPr>
        <w:t> </w:t>
      </w:r>
      <w:r w:rsidRPr="00FD5102">
        <w:rPr>
          <w:iCs/>
        </w:rPr>
        <w:t xml:space="preserve">months. The PSCR claimed that BMD loss ‘can be accurately, and relatively inexpensively, monitored allowing patients and clinicians to make informed risk benefit treatment decisions over time’. </w:t>
      </w:r>
    </w:p>
    <w:p w14:paraId="0E8277B1" w14:textId="4327A10E" w:rsidR="007E6237" w:rsidRPr="005541D1" w:rsidRDefault="007E6237" w:rsidP="00347F8C">
      <w:pPr>
        <w:pStyle w:val="3-BodyText"/>
      </w:pPr>
      <w:r w:rsidRPr="005541D1">
        <w:t xml:space="preserve">The draft PI recommended BMD monitoring with Dual-energy X-ray absorptiometry (DXA) scans both prior to the commencement of therapy in patients with risk factors for osteoporosis or bone loss and once yearly in all patients treated with linzagolix. </w:t>
      </w:r>
      <w:r w:rsidR="00347F8C" w:rsidRPr="00AB6295">
        <w:t xml:space="preserve">The requested restrictions did not include a requirement for BMD testing either prior to treatment or with continued use. </w:t>
      </w:r>
      <w:r w:rsidRPr="005541D1">
        <w:t>The sponsor acknowledged that a co</w:t>
      </w:r>
      <w:r w:rsidR="00A463DF">
        <w:t>-</w:t>
      </w:r>
      <w:r w:rsidRPr="005541D1">
        <w:t xml:space="preserve">dependent application to MSAC may be required to expand the current MBS items to also include BMD testing for ongoing safety monitoring with linzagolix treatment and welcomes any advice from the PBAC and the Department of Health. </w:t>
      </w:r>
      <w:r w:rsidR="00347F8C" w:rsidRPr="00AB6295">
        <w:t>In March 2024 the PBAC recommended relugolix fixed dose combination (Ryeqo®) for endometriosis on the PBS</w:t>
      </w:r>
      <w:r w:rsidR="00347F8C" w:rsidRPr="00AB6295">
        <w:rPr>
          <w:rStyle w:val="FootnoteReference"/>
        </w:rPr>
        <w:footnoteReference w:id="3"/>
      </w:r>
      <w:r w:rsidR="00347F8C" w:rsidRPr="00AB6295">
        <w:t xml:space="preserve">. Relugolix has a similar mechanism of action to linzagolix. In making its recommendation, the PBAC noted that there were significant safety concerns regarding BMD loss, particularly for younger women, and where patients receive ongoing treatment with GnRH therapy, including Ryeqo, for more than 1-2 years. </w:t>
      </w:r>
      <w:r w:rsidR="002556FB">
        <w:t>With regards to relugolix, t</w:t>
      </w:r>
      <w:r w:rsidR="00347F8C" w:rsidRPr="00AB6295">
        <w:t>he PBAC noted this could be monitored for in at-risk patients using BMD testing.</w:t>
      </w:r>
      <w:r w:rsidR="00803C47">
        <w:t xml:space="preserve"> </w:t>
      </w:r>
    </w:p>
    <w:p w14:paraId="1D9C1444" w14:textId="249FFB78" w:rsidR="000E7372" w:rsidRPr="00FD5102" w:rsidRDefault="0062401C" w:rsidP="00347F8C">
      <w:pPr>
        <w:pStyle w:val="3-BodyText"/>
      </w:pPr>
      <w:r w:rsidRPr="00AB6295">
        <w:rPr>
          <w:iCs/>
        </w:rPr>
        <w:t>The requested</w:t>
      </w:r>
      <w:r w:rsidR="00DB70D2" w:rsidRPr="00AB6295">
        <w:rPr>
          <w:iCs/>
          <w:vertAlign w:val="superscript"/>
        </w:rPr>
        <w:t xml:space="preserve"> </w:t>
      </w:r>
      <w:r w:rsidR="000E7372" w:rsidRPr="00AB6295">
        <w:rPr>
          <w:iCs/>
        </w:rPr>
        <w:t xml:space="preserve">setting </w:t>
      </w:r>
      <w:r w:rsidRPr="00AB6295">
        <w:rPr>
          <w:iCs/>
        </w:rPr>
        <w:t>for linzagolix, following unsuitability or inadequate response to hormonal therap</w:t>
      </w:r>
      <w:r w:rsidR="000E7372" w:rsidRPr="00AB6295">
        <w:rPr>
          <w:iCs/>
        </w:rPr>
        <w:t>ies</w:t>
      </w:r>
      <w:r w:rsidR="00B65B1B">
        <w:rPr>
          <w:iCs/>
        </w:rPr>
        <w:t xml:space="preserve"> </w:t>
      </w:r>
      <w:r w:rsidR="00B65B1B" w:rsidRPr="00FD5102">
        <w:rPr>
          <w:rFonts w:eastAsia="Calibri"/>
        </w:rPr>
        <w:t xml:space="preserve">represents use in </w:t>
      </w:r>
      <w:r w:rsidR="00975C29" w:rsidRPr="00FD5102">
        <w:rPr>
          <w:rFonts w:eastAsia="Calibri"/>
        </w:rPr>
        <w:t xml:space="preserve">the </w:t>
      </w:r>
      <w:r w:rsidR="00B65B1B" w:rsidRPr="00FD5102">
        <w:rPr>
          <w:rFonts w:eastAsia="Calibri"/>
        </w:rPr>
        <w:t xml:space="preserve">first- and second-line settings respectively. </w:t>
      </w:r>
      <w:r w:rsidR="00B65B1B" w:rsidRPr="00347F8C">
        <w:rPr>
          <w:iCs/>
        </w:rPr>
        <w:t>This</w:t>
      </w:r>
      <w:r w:rsidR="00B65B1B" w:rsidRPr="00FD5102">
        <w:t xml:space="preserve"> </w:t>
      </w:r>
      <w:r w:rsidRPr="00AB6295">
        <w:rPr>
          <w:iCs/>
        </w:rPr>
        <w:t>deviate</w:t>
      </w:r>
      <w:r w:rsidR="008132DE" w:rsidRPr="00AB6295">
        <w:rPr>
          <w:iCs/>
        </w:rPr>
        <w:t>d</w:t>
      </w:r>
      <w:r w:rsidRPr="00AB6295">
        <w:rPr>
          <w:iCs/>
        </w:rPr>
        <w:t xml:space="preserve"> from</w:t>
      </w:r>
      <w:r w:rsidR="00B65B1B">
        <w:rPr>
          <w:iCs/>
        </w:rPr>
        <w:t xml:space="preserve"> the</w:t>
      </w:r>
      <w:r w:rsidRPr="00AB6295">
        <w:rPr>
          <w:iCs/>
        </w:rPr>
        <w:t xml:space="preserve"> PRIMROSE 1 and 2 clinical trial evidence, where patients were recruited irrespective of prior treatments</w:t>
      </w:r>
      <w:r w:rsidR="000E7372" w:rsidRPr="00AB6295">
        <w:rPr>
          <w:iCs/>
        </w:rPr>
        <w:t xml:space="preserve"> or suitability for hormone treatments</w:t>
      </w:r>
      <w:r w:rsidR="009C5024">
        <w:rPr>
          <w:iCs/>
        </w:rPr>
        <w:t>.</w:t>
      </w:r>
      <w:r w:rsidR="001C7524">
        <w:rPr>
          <w:iCs/>
        </w:rPr>
        <w:t xml:space="preserve"> The evidence presented did not compare linzagolix against the comparator most likely to </w:t>
      </w:r>
      <w:r w:rsidR="001C7524">
        <w:rPr>
          <w:iCs/>
        </w:rPr>
        <w:lastRenderedPageBreak/>
        <w:t xml:space="preserve">be used in Australian clinical practice in the second line setting (see paragraph </w:t>
      </w:r>
      <w:r w:rsidR="00B21350">
        <w:rPr>
          <w:iCs/>
        </w:rPr>
        <w:fldChar w:fldCharType="begin"/>
      </w:r>
      <w:r w:rsidR="00B21350">
        <w:rPr>
          <w:iCs/>
        </w:rPr>
        <w:instrText xml:space="preserve"> REF _Ref169854993 \r \h </w:instrText>
      </w:r>
      <w:r w:rsidR="00B21350">
        <w:rPr>
          <w:iCs/>
        </w:rPr>
      </w:r>
      <w:r w:rsidR="00B21350">
        <w:rPr>
          <w:iCs/>
        </w:rPr>
        <w:fldChar w:fldCharType="separate"/>
      </w:r>
      <w:r w:rsidR="003E4FD0">
        <w:rPr>
          <w:iCs/>
        </w:rPr>
        <w:t>5.1</w:t>
      </w:r>
      <w:r w:rsidR="00B21350">
        <w:rPr>
          <w:iCs/>
        </w:rPr>
        <w:fldChar w:fldCharType="end"/>
      </w:r>
      <w:r w:rsidR="001C7524">
        <w:rPr>
          <w:iCs/>
        </w:rPr>
        <w:t>) and</w:t>
      </w:r>
      <w:r w:rsidR="009C5024">
        <w:rPr>
          <w:iCs/>
        </w:rPr>
        <w:t xml:space="preserve"> </w:t>
      </w:r>
      <w:r w:rsidR="001C7524">
        <w:t>o</w:t>
      </w:r>
      <w:r w:rsidR="00B65B1B" w:rsidRPr="00FD5102">
        <w:rPr>
          <w:rFonts w:eastAsia="Calibri"/>
        </w:rPr>
        <w:t>nly 16% of the trial populations had a history of prior uterine fibroid medications</w:t>
      </w:r>
      <w:r w:rsidRPr="00FD5102">
        <w:t>.</w:t>
      </w:r>
      <w:r w:rsidRPr="00AB6295">
        <w:rPr>
          <w:iCs/>
        </w:rPr>
        <w:t xml:space="preserve"> </w:t>
      </w:r>
      <w:r w:rsidR="00114D18" w:rsidRPr="00FD5102">
        <w:t xml:space="preserve">The </w:t>
      </w:r>
      <w:r w:rsidR="00DE3785" w:rsidRPr="00FD5102">
        <w:t>PSCR acknowledged</w:t>
      </w:r>
      <w:r w:rsidR="007D614D" w:rsidRPr="00FD5102">
        <w:t xml:space="preserve"> that the</w:t>
      </w:r>
      <w:r w:rsidR="00114D18" w:rsidRPr="00FD5102">
        <w:t xml:space="preserve"> PRIMROSE trials </w:t>
      </w:r>
      <w:r w:rsidR="007D614D" w:rsidRPr="00FD5102">
        <w:t>were</w:t>
      </w:r>
      <w:r w:rsidR="00114D18" w:rsidRPr="00FD5102">
        <w:t xml:space="preserve"> primarily</w:t>
      </w:r>
      <w:r w:rsidR="007D614D" w:rsidRPr="00FD5102">
        <w:t xml:space="preserve"> conducted</w:t>
      </w:r>
      <w:r w:rsidR="00114D18" w:rsidRPr="00FD5102">
        <w:t xml:space="preserve"> in the first-line setting</w:t>
      </w:r>
      <w:r w:rsidR="007D614D" w:rsidRPr="00FD5102">
        <w:t xml:space="preserve">. However, claimed that since the mechanism of action of hormonal therapies and linzagolix differs, the lack of response to hormonal therapies would </w:t>
      </w:r>
      <w:r w:rsidR="00347F8C" w:rsidRPr="00FD5102">
        <w:t xml:space="preserve">be </w:t>
      </w:r>
      <w:r w:rsidR="007D614D" w:rsidRPr="00FD5102">
        <w:t xml:space="preserve">unlikely </w:t>
      </w:r>
      <w:r w:rsidR="00347F8C" w:rsidRPr="00FD5102">
        <w:t xml:space="preserve">to </w:t>
      </w:r>
      <w:r w:rsidR="007D614D" w:rsidRPr="00FD5102">
        <w:t xml:space="preserve">affect the response to linzagolix. </w:t>
      </w:r>
    </w:p>
    <w:p w14:paraId="4A9036FA" w14:textId="2BA850EC" w:rsidR="00347F8C" w:rsidRPr="00F9216E" w:rsidRDefault="00C908FB" w:rsidP="00F9216E">
      <w:pPr>
        <w:pStyle w:val="3-BodyText"/>
        <w:rPr>
          <w:snapToGrid/>
        </w:rPr>
      </w:pPr>
      <w:r w:rsidRPr="00AB6295">
        <w:rPr>
          <w:iCs/>
        </w:rPr>
        <w:t>‘</w:t>
      </w:r>
      <w:r w:rsidR="000625B8" w:rsidRPr="00AB6295">
        <w:rPr>
          <w:iCs/>
        </w:rPr>
        <w:t>U</w:t>
      </w:r>
      <w:r w:rsidRPr="00AB6295">
        <w:rPr>
          <w:iCs/>
        </w:rPr>
        <w:t>nsuitability</w:t>
      </w:r>
      <w:r w:rsidR="000625B8" w:rsidRPr="00AB6295">
        <w:rPr>
          <w:iCs/>
        </w:rPr>
        <w:t>’ for hormone therapies was left to clinician discretion in the restrictions. While this was not unreasonable, it is important to note there are also non-medical reasons why patients may prefer to avoid hormone therapies.</w:t>
      </w:r>
      <w:r w:rsidR="006D644A" w:rsidRPr="00AB6295">
        <w:rPr>
          <w:iCs/>
        </w:rPr>
        <w:t xml:space="preserve"> </w:t>
      </w:r>
      <w:r w:rsidR="00520F0E" w:rsidRPr="00A0736B">
        <w:rPr>
          <w:iCs/>
        </w:rPr>
        <w:t xml:space="preserve">The </w:t>
      </w:r>
      <w:r w:rsidR="00520F0E">
        <w:rPr>
          <w:iCs/>
        </w:rPr>
        <w:t>pre-PBAC response</w:t>
      </w:r>
      <w:r w:rsidR="00F9216E">
        <w:rPr>
          <w:iCs/>
        </w:rPr>
        <w:t xml:space="preserve"> stated that the </w:t>
      </w:r>
      <w:r w:rsidR="00520F0E" w:rsidRPr="00A0736B">
        <w:rPr>
          <w:iCs/>
        </w:rPr>
        <w:t xml:space="preserve">proposed restriction does not specify which conditions qualify a patient as </w:t>
      </w:r>
      <w:r w:rsidR="00F9216E">
        <w:rPr>
          <w:iCs/>
        </w:rPr>
        <w:t>‘</w:t>
      </w:r>
      <w:r w:rsidR="00520F0E" w:rsidRPr="00A0736B">
        <w:rPr>
          <w:iCs/>
        </w:rPr>
        <w:t>unsuitable</w:t>
      </w:r>
      <w:r w:rsidR="00F9216E">
        <w:rPr>
          <w:iCs/>
        </w:rPr>
        <w:t>’</w:t>
      </w:r>
      <w:r w:rsidR="00520F0E" w:rsidRPr="00A0736B">
        <w:rPr>
          <w:iCs/>
        </w:rPr>
        <w:t xml:space="preserve"> for hormone therapy because the list of qualifying conditions is lengthy and patient</w:t>
      </w:r>
      <w:r w:rsidR="002556FB">
        <w:rPr>
          <w:iCs/>
        </w:rPr>
        <w:t>-</w:t>
      </w:r>
      <w:r w:rsidR="00520F0E" w:rsidRPr="00A0736B">
        <w:rPr>
          <w:iCs/>
        </w:rPr>
        <w:t>specific. The</w:t>
      </w:r>
      <w:r w:rsidR="00F9216E">
        <w:rPr>
          <w:iCs/>
        </w:rPr>
        <w:t xml:space="preserve"> response stated that the list</w:t>
      </w:r>
      <w:r w:rsidR="00520F0E" w:rsidRPr="00A0736B">
        <w:rPr>
          <w:iCs/>
        </w:rPr>
        <w:t xml:space="preserve"> include</w:t>
      </w:r>
      <w:r w:rsidR="00F9216E">
        <w:rPr>
          <w:iCs/>
        </w:rPr>
        <w:t>d</w:t>
      </w:r>
      <w:r w:rsidR="00520F0E" w:rsidRPr="00A0736B">
        <w:rPr>
          <w:iCs/>
        </w:rPr>
        <w:t xml:space="preserve"> undiagnosed vaginal bleeding or amenorrhea, history of thromboembolic or cerebral vascular accidents, severe cardiopathy or hypertension, hyperlipidaemia, hepatopathy, hormone-dependent cancer, pituitary tumours, porphyria, and severe mental problems (Serfaty, 2019)</w:t>
      </w:r>
      <w:r w:rsidR="00F9216E">
        <w:rPr>
          <w:rStyle w:val="FootnoteReference"/>
          <w:iCs/>
        </w:rPr>
        <w:footnoteReference w:id="4"/>
      </w:r>
      <w:r w:rsidR="00520F0E" w:rsidRPr="00A0736B">
        <w:rPr>
          <w:iCs/>
        </w:rPr>
        <w:t xml:space="preserve">. </w:t>
      </w:r>
      <w:r w:rsidR="002556FB">
        <w:rPr>
          <w:iCs/>
        </w:rPr>
        <w:t>The pre-PBAC response</w:t>
      </w:r>
      <w:r w:rsidR="00520F0E" w:rsidRPr="00A0736B">
        <w:rPr>
          <w:iCs/>
        </w:rPr>
        <w:t xml:space="preserve"> considered</w:t>
      </w:r>
      <w:r w:rsidR="002556FB">
        <w:rPr>
          <w:iCs/>
        </w:rPr>
        <w:t xml:space="preserve"> it was</w:t>
      </w:r>
      <w:r w:rsidR="00520F0E" w:rsidRPr="00A0736B">
        <w:rPr>
          <w:iCs/>
        </w:rPr>
        <w:t xml:space="preserve"> more clinically appropriate to allow prescribers the discretion to establish </w:t>
      </w:r>
      <w:r w:rsidR="00F9216E">
        <w:rPr>
          <w:iCs/>
        </w:rPr>
        <w:t>‘</w:t>
      </w:r>
      <w:r w:rsidR="00520F0E" w:rsidRPr="00A0736B">
        <w:rPr>
          <w:iCs/>
        </w:rPr>
        <w:t>suitability</w:t>
      </w:r>
      <w:r w:rsidR="00F9216E">
        <w:rPr>
          <w:iCs/>
        </w:rPr>
        <w:t>’</w:t>
      </w:r>
      <w:r w:rsidR="00520F0E" w:rsidRPr="00A0736B">
        <w:rPr>
          <w:iCs/>
        </w:rPr>
        <w:t xml:space="preserve">; however, if required, </w:t>
      </w:r>
      <w:r w:rsidR="00F9216E">
        <w:rPr>
          <w:iCs/>
        </w:rPr>
        <w:t>the sponsor noted it was</w:t>
      </w:r>
      <w:r w:rsidR="00520F0E" w:rsidRPr="00A0736B">
        <w:rPr>
          <w:iCs/>
        </w:rPr>
        <w:t xml:space="preserve"> willing to work with the PBAC Secretariat to develop more precise wording for the restriction.</w:t>
      </w:r>
    </w:p>
    <w:p w14:paraId="22682939" w14:textId="3A93938C" w:rsidR="00AB6679" w:rsidRPr="00AB6295" w:rsidRDefault="00AB6679" w:rsidP="00347F8C">
      <w:pPr>
        <w:pStyle w:val="3-BodyText"/>
        <w:rPr>
          <w:iCs/>
        </w:rPr>
      </w:pPr>
      <w:r w:rsidRPr="00AB6295">
        <w:rPr>
          <w:iCs/>
        </w:rPr>
        <w:t>The requested restriction was for women with moderate to severe uterine fibroids, however PRIMROSE 1 and 2 appeared to have excluded patients with the most severe fibroids, including:</w:t>
      </w:r>
    </w:p>
    <w:p w14:paraId="7712D422" w14:textId="73353AD5" w:rsidR="00AB6679" w:rsidRPr="004F3200" w:rsidRDefault="00AB6679" w:rsidP="004F3200">
      <w:pPr>
        <w:pStyle w:val="Bulletpoints"/>
      </w:pPr>
      <w:r w:rsidRPr="004F3200">
        <w:t>patients whose condition was so severe that they required surgery within 6</w:t>
      </w:r>
      <w:r w:rsidR="004F3200">
        <w:t> </w:t>
      </w:r>
      <w:r w:rsidRPr="004F3200">
        <w:t>months, regardless of the treatment provided,</w:t>
      </w:r>
    </w:p>
    <w:p w14:paraId="0EDC085D" w14:textId="492515C2" w:rsidR="00AB6679" w:rsidRPr="004F3200" w:rsidRDefault="00AB6679" w:rsidP="004F3200">
      <w:pPr>
        <w:pStyle w:val="Bulletpoints"/>
      </w:pPr>
      <w:r w:rsidRPr="004F3200">
        <w:t>patients with only subserosal fibroids (International Federation of Gynaecology and Obstetrics [FIGO] classification type 7),</w:t>
      </w:r>
    </w:p>
    <w:p w14:paraId="4BF0E9CD" w14:textId="311833F3" w:rsidR="00AB6679" w:rsidRPr="004F3200" w:rsidRDefault="00AB6679" w:rsidP="004F3200">
      <w:pPr>
        <w:pStyle w:val="Bulletpoints"/>
      </w:pPr>
      <w:r w:rsidRPr="004F3200">
        <w:t>patients with the presence of clinically significant gynaecological conditions (i.e., large uterine polyps, calcified fibroids and/or uterus),</w:t>
      </w:r>
    </w:p>
    <w:p w14:paraId="6996F05E" w14:textId="0E4E1FBB" w:rsidR="00AB6679" w:rsidRPr="004F3200" w:rsidRDefault="00AB6679" w:rsidP="004F3200">
      <w:pPr>
        <w:pStyle w:val="Bulletpoints"/>
      </w:pPr>
      <w:r w:rsidRPr="004F3200">
        <w:t xml:space="preserve">patients </w:t>
      </w:r>
      <w:r w:rsidR="00CB6A45" w:rsidRPr="004F3200">
        <w:t>with</w:t>
      </w:r>
      <w:r w:rsidRPr="004F3200">
        <w:t xml:space="preserve"> haemoglobin levels below 6</w:t>
      </w:r>
      <w:r w:rsidR="004B47E2" w:rsidRPr="004F3200">
        <w:t>0</w:t>
      </w:r>
      <w:r w:rsidRPr="004F3200">
        <w:t xml:space="preserve"> g/L, resulting from severe menstrual blood loss.</w:t>
      </w:r>
    </w:p>
    <w:p w14:paraId="7BC8A162" w14:textId="5C1EFA0F" w:rsidR="000877E8" w:rsidRPr="00AB6295" w:rsidRDefault="000877E8" w:rsidP="004F3200">
      <w:pPr>
        <w:pStyle w:val="ListBullet"/>
        <w:spacing w:after="120"/>
        <w:ind w:left="709"/>
        <w:rPr>
          <w:iCs/>
        </w:rPr>
      </w:pPr>
      <w:r w:rsidRPr="00AB6295">
        <w:rPr>
          <w:iCs/>
        </w:rPr>
        <w:t>Contrary to the trials, the requested restrictions d</w:t>
      </w:r>
      <w:r w:rsidR="009B5390" w:rsidRPr="00AB6295">
        <w:rPr>
          <w:iCs/>
        </w:rPr>
        <w:t>id</w:t>
      </w:r>
      <w:r w:rsidRPr="00AB6295">
        <w:rPr>
          <w:iCs/>
        </w:rPr>
        <w:t xml:space="preserve"> not specifically preclude these patients from accessing linzagolix. </w:t>
      </w:r>
      <w:r w:rsidR="00A30C33" w:rsidRPr="00FD5102">
        <w:t>The</w:t>
      </w:r>
      <w:r w:rsidR="00CC1D90" w:rsidRPr="00FD5102">
        <w:t xml:space="preserve"> </w:t>
      </w:r>
      <w:r w:rsidR="00A30C33" w:rsidRPr="00FD5102">
        <w:t xml:space="preserve">PSCR </w:t>
      </w:r>
      <w:r w:rsidR="00206C6A" w:rsidRPr="00FD5102">
        <w:t>clarifi</w:t>
      </w:r>
      <w:r w:rsidR="002556FB">
        <w:t>ed</w:t>
      </w:r>
      <w:r w:rsidR="00206C6A" w:rsidRPr="00FD5102">
        <w:t xml:space="preserve"> that the proposed PBS restriction for ‘moderate to severe’ describes the severity of symptoms, which may not align with the FIGO classification</w:t>
      </w:r>
      <w:r w:rsidR="009C5024" w:rsidRPr="00FD5102">
        <w:t xml:space="preserve"> that </w:t>
      </w:r>
      <w:r w:rsidR="00206C6A" w:rsidRPr="00FD5102">
        <w:t xml:space="preserve">is based on fibroid location. </w:t>
      </w:r>
      <w:r w:rsidR="00D04BF4" w:rsidRPr="00FD5102">
        <w:t xml:space="preserve">The PSCR emphasised that patients with calcified fibroids are not necessarily ‘severe’ but were excluded </w:t>
      </w:r>
      <w:r w:rsidR="00206C6A" w:rsidRPr="00FD5102">
        <w:t xml:space="preserve">from the trials </w:t>
      </w:r>
      <w:r w:rsidR="00D04BF4" w:rsidRPr="00FD5102">
        <w:t xml:space="preserve">as these fibroids are not typically responsive to medical therapy. Similarly, women with subserosal fibroids were excluded as these are located outside the uterus </w:t>
      </w:r>
      <w:r w:rsidR="00D04BF4" w:rsidRPr="00FD5102">
        <w:lastRenderedPageBreak/>
        <w:t>and less likely to cause HMB.</w:t>
      </w:r>
      <w:r w:rsidR="00D04BF4">
        <w:rPr>
          <w:iCs/>
        </w:rPr>
        <w:t xml:space="preserve"> </w:t>
      </w:r>
      <w:r w:rsidR="00404928" w:rsidRPr="00FD5102">
        <w:t>The ESC considered addition</w:t>
      </w:r>
      <w:r w:rsidR="009C5024" w:rsidRPr="00FD5102">
        <w:t xml:space="preserve">al criteria defining </w:t>
      </w:r>
      <w:r w:rsidR="00404928" w:rsidRPr="00FD5102">
        <w:t>‘moderate to severe’ symptom</w:t>
      </w:r>
      <w:r w:rsidR="009C5024" w:rsidRPr="00FD5102">
        <w:t>s may be required.</w:t>
      </w:r>
    </w:p>
    <w:p w14:paraId="5800119F" w14:textId="0B40BE01" w:rsidR="0062401C" w:rsidRPr="00AB6295" w:rsidRDefault="0062401C" w:rsidP="00347F8C">
      <w:pPr>
        <w:pStyle w:val="3-BodyText"/>
        <w:rPr>
          <w:iCs/>
        </w:rPr>
      </w:pPr>
      <w:r w:rsidRPr="00AB6295">
        <w:rPr>
          <w:iCs/>
        </w:rPr>
        <w:t xml:space="preserve">For </w:t>
      </w:r>
      <w:r w:rsidR="00A830D7" w:rsidRPr="00AB6295">
        <w:rPr>
          <w:iCs/>
        </w:rPr>
        <w:t xml:space="preserve">patients </w:t>
      </w:r>
      <w:r w:rsidRPr="00AB6295">
        <w:rPr>
          <w:iCs/>
        </w:rPr>
        <w:t xml:space="preserve">with multiple fibroids, PRIMROSE 1 and 2 also required the combined uterine volume to be </w:t>
      </w:r>
      <w:r w:rsidR="004F3200" w:rsidRPr="00AB6295">
        <w:rPr>
          <w:iCs/>
        </w:rPr>
        <w:t>≥</w:t>
      </w:r>
      <w:r w:rsidR="004F3200">
        <w:rPr>
          <w:iCs/>
        </w:rPr>
        <w:t> </w:t>
      </w:r>
      <w:r w:rsidRPr="00AB6295">
        <w:rPr>
          <w:iCs/>
        </w:rPr>
        <w:t>200</w:t>
      </w:r>
      <w:r w:rsidR="004F3200">
        <w:rPr>
          <w:iCs/>
        </w:rPr>
        <w:t> </w:t>
      </w:r>
      <w:r w:rsidRPr="00AB6295">
        <w:rPr>
          <w:iCs/>
        </w:rPr>
        <w:t>cm</w:t>
      </w:r>
      <w:r w:rsidRPr="00AB6295">
        <w:rPr>
          <w:iCs/>
          <w:vertAlign w:val="superscript"/>
        </w:rPr>
        <w:t>3</w:t>
      </w:r>
      <w:r w:rsidRPr="00AB6295">
        <w:rPr>
          <w:iCs/>
        </w:rPr>
        <w:t xml:space="preserve"> (documented by pelvic ultrasound) and no single fibroid to be larger than </w:t>
      </w:r>
      <w:r w:rsidR="004F3200" w:rsidRPr="00AB6295">
        <w:rPr>
          <w:iCs/>
        </w:rPr>
        <w:t>12</w:t>
      </w:r>
      <w:r w:rsidR="004F3200">
        <w:rPr>
          <w:iCs/>
        </w:rPr>
        <w:t> </w:t>
      </w:r>
      <w:r w:rsidRPr="00AB6295">
        <w:rPr>
          <w:iCs/>
        </w:rPr>
        <w:t xml:space="preserve">cm diameter. The requested restriction did not </w:t>
      </w:r>
      <w:r w:rsidR="00A830D7" w:rsidRPr="00AB6295">
        <w:rPr>
          <w:iCs/>
        </w:rPr>
        <w:t xml:space="preserve">include </w:t>
      </w:r>
      <w:r w:rsidRPr="00AB6295">
        <w:rPr>
          <w:iCs/>
        </w:rPr>
        <w:t>these requirements.</w:t>
      </w:r>
    </w:p>
    <w:p w14:paraId="13323FD7" w14:textId="4A228232" w:rsidR="00007EC7" w:rsidRPr="00FD5102" w:rsidRDefault="00404928" w:rsidP="00347F8C">
      <w:pPr>
        <w:pStyle w:val="3-BodyText"/>
        <w:rPr>
          <w:iCs/>
        </w:rPr>
      </w:pPr>
      <w:r w:rsidRPr="00FD5102">
        <w:rPr>
          <w:iCs/>
        </w:rPr>
        <w:t xml:space="preserve">The ESC considered </w:t>
      </w:r>
      <w:r w:rsidR="00B118A4" w:rsidRPr="00FD5102">
        <w:rPr>
          <w:iCs/>
        </w:rPr>
        <w:t>the</w:t>
      </w:r>
      <w:r w:rsidRPr="00FD5102">
        <w:rPr>
          <w:iCs/>
        </w:rPr>
        <w:t xml:space="preserve"> </w:t>
      </w:r>
      <w:r w:rsidR="00B118A4" w:rsidRPr="00FD5102">
        <w:rPr>
          <w:iCs/>
        </w:rPr>
        <w:t xml:space="preserve">treatment criterion specifying that linzagolix must be treated by a gynaecologist, </w:t>
      </w:r>
      <w:proofErr w:type="gramStart"/>
      <w:r w:rsidR="007819F1">
        <w:rPr>
          <w:iCs/>
        </w:rPr>
        <w:t>obstetrician</w:t>
      </w:r>
      <w:proofErr w:type="gramEnd"/>
      <w:r w:rsidR="007819F1">
        <w:rPr>
          <w:iCs/>
        </w:rPr>
        <w:t xml:space="preserve"> </w:t>
      </w:r>
      <w:r w:rsidR="00B118A4" w:rsidRPr="00FD5102">
        <w:rPr>
          <w:iCs/>
        </w:rPr>
        <w:t>or a general practitioner (GP) ‘specialising in women’s health’</w:t>
      </w:r>
      <w:r w:rsidR="00007EC7" w:rsidRPr="00FD5102">
        <w:rPr>
          <w:iCs/>
        </w:rPr>
        <w:t xml:space="preserve"> was unclear </w:t>
      </w:r>
      <w:r w:rsidR="00B118A4" w:rsidRPr="00FD5102">
        <w:rPr>
          <w:iCs/>
        </w:rPr>
        <w:t xml:space="preserve">as </w:t>
      </w:r>
      <w:r w:rsidR="00EA7158" w:rsidRPr="00FD5102">
        <w:rPr>
          <w:iCs/>
        </w:rPr>
        <w:t xml:space="preserve">many </w:t>
      </w:r>
      <w:r w:rsidR="00B118A4" w:rsidRPr="00FD5102">
        <w:rPr>
          <w:iCs/>
        </w:rPr>
        <w:t>GPs specialise in the health of women</w:t>
      </w:r>
      <w:r w:rsidR="00007EC7" w:rsidRPr="00FD5102">
        <w:rPr>
          <w:iCs/>
        </w:rPr>
        <w:t>.</w:t>
      </w:r>
      <w:r w:rsidR="00242CC5" w:rsidRPr="00FD5102">
        <w:rPr>
          <w:iCs/>
        </w:rPr>
        <w:t xml:space="preserve"> </w:t>
      </w:r>
    </w:p>
    <w:p w14:paraId="5B0FC039" w14:textId="2A1140BA" w:rsidR="00007EC7" w:rsidRDefault="00007EC7" w:rsidP="00347F8C">
      <w:pPr>
        <w:pStyle w:val="3-BodyText"/>
        <w:rPr>
          <w:iCs/>
        </w:rPr>
      </w:pPr>
      <w:r w:rsidRPr="00FD5102">
        <w:rPr>
          <w:iCs/>
        </w:rPr>
        <w:t xml:space="preserve">The ESC </w:t>
      </w:r>
      <w:r w:rsidR="005D29EC" w:rsidRPr="00FD5102">
        <w:rPr>
          <w:iCs/>
        </w:rPr>
        <w:t xml:space="preserve">noted </w:t>
      </w:r>
      <w:r w:rsidRPr="00FD5102">
        <w:rPr>
          <w:iCs/>
        </w:rPr>
        <w:t>the clinical criterion specifying</w:t>
      </w:r>
      <w:r w:rsidR="005D29EC" w:rsidRPr="00FD5102">
        <w:rPr>
          <w:iCs/>
        </w:rPr>
        <w:t xml:space="preserve"> ‘patient must have significant heavy menstrual bleeding that negatively affects quality of life’ would exclude women with uterine fibroids </w:t>
      </w:r>
      <w:r w:rsidR="00242CC5" w:rsidRPr="00FD5102">
        <w:rPr>
          <w:iCs/>
        </w:rPr>
        <w:t>experiencing</w:t>
      </w:r>
      <w:r w:rsidR="005D29EC" w:rsidRPr="00FD5102">
        <w:rPr>
          <w:iCs/>
        </w:rPr>
        <w:t xml:space="preserve"> symptoms, such as pain</w:t>
      </w:r>
      <w:r w:rsidR="002B4C8A" w:rsidRPr="00FD5102">
        <w:rPr>
          <w:iCs/>
        </w:rPr>
        <w:t xml:space="preserve"> or bulk</w:t>
      </w:r>
      <w:r w:rsidR="005D29EC" w:rsidRPr="00FD5102">
        <w:rPr>
          <w:iCs/>
        </w:rPr>
        <w:t>, but not HMB. While acknowledging such patients were not included in the PRIMROSE trials, the ESC noted the</w:t>
      </w:r>
      <w:r w:rsidR="009C5024" w:rsidRPr="00FD5102">
        <w:rPr>
          <w:iCs/>
        </w:rPr>
        <w:t>se patients</w:t>
      </w:r>
      <w:r w:rsidR="005D29EC" w:rsidRPr="00FD5102">
        <w:rPr>
          <w:iCs/>
        </w:rPr>
        <w:t xml:space="preserve"> may also benefit from linzagolix treatment.</w:t>
      </w:r>
    </w:p>
    <w:p w14:paraId="5BCE8BF0" w14:textId="328B8230" w:rsidR="00CD353C" w:rsidRPr="00CD353C" w:rsidRDefault="00CD353C" w:rsidP="00CD353C">
      <w:pPr>
        <w:pStyle w:val="3-BodyText"/>
        <w:numPr>
          <w:ilvl w:val="0"/>
          <w:numId w:val="0"/>
        </w:numPr>
        <w:ind w:left="720"/>
        <w:rPr>
          <w:i/>
        </w:rPr>
      </w:pPr>
      <w:r w:rsidRPr="00CD353C">
        <w:rPr>
          <w:i/>
        </w:rPr>
        <w:t>For more detail on PBAC’s view, see section 7 PBAC outcome.</w:t>
      </w:r>
    </w:p>
    <w:p w14:paraId="22A51AA3" w14:textId="77777777" w:rsidR="003146C9" w:rsidRPr="00482A36" w:rsidDel="00195452" w:rsidRDefault="003146C9" w:rsidP="003146C9">
      <w:pPr>
        <w:pStyle w:val="2-SectionHeading"/>
      </w:pPr>
      <w:bookmarkStart w:id="15" w:name="_Toc167269196"/>
      <w:r w:rsidRPr="00482A36" w:rsidDel="00195452">
        <w:t>Population and disease</w:t>
      </w:r>
      <w:bookmarkEnd w:id="15"/>
    </w:p>
    <w:p w14:paraId="32FB94CA" w14:textId="03BB69FD" w:rsidR="003146C9" w:rsidRPr="00482A36" w:rsidRDefault="005D1431" w:rsidP="005D1431">
      <w:pPr>
        <w:pStyle w:val="3-BodyText"/>
      </w:pPr>
      <w:r w:rsidRPr="00482A36">
        <w:t xml:space="preserve">Uterine fibroids, or leiomyomas, are non-cancerous muscle tumours of the uterus, often attributed to hormonal imbalances. They are common among women of reproductive age, especially between </w:t>
      </w:r>
      <w:r w:rsidR="00C510F1" w:rsidRPr="00482A36">
        <w:t>ages</w:t>
      </w:r>
      <w:r w:rsidR="004B1FFE">
        <w:t xml:space="preserve"> </w:t>
      </w:r>
      <w:r w:rsidRPr="00482A36">
        <w:t>30 and 40</w:t>
      </w:r>
      <w:r w:rsidR="00C510F1" w:rsidRPr="00482A36">
        <w:t xml:space="preserve"> year</w:t>
      </w:r>
      <w:r w:rsidR="004B1FFE">
        <w:t>s</w:t>
      </w:r>
      <w:r w:rsidR="00C510F1" w:rsidRPr="00482A36">
        <w:t xml:space="preserve"> but </w:t>
      </w:r>
      <w:r w:rsidRPr="00482A36">
        <w:t>tend to regress after menopause. Risk factors include race, family history, obesity, nulliparity, and early menstruation. While many women are asymptomatic or manage symptoms with hormonal therapies, some experience severe symptoms, including HMB, pelvic pain, or impaired fertility</w:t>
      </w:r>
      <w:r w:rsidRPr="00482A36">
        <w:rPr>
          <w:rStyle w:val="FootnoteReference"/>
        </w:rPr>
        <w:footnoteReference w:id="5"/>
      </w:r>
      <w:r w:rsidRPr="00482A36">
        <w:t>. HMB significantly impacts quality of life, affecting social activities and intimate relationships</w:t>
      </w:r>
      <w:r w:rsidRPr="00482A36">
        <w:rPr>
          <w:rStyle w:val="FootnoteReference"/>
        </w:rPr>
        <w:footnoteReference w:id="6"/>
      </w:r>
      <w:r w:rsidR="00672326">
        <w:rPr>
          <w:vertAlign w:val="superscript"/>
        </w:rPr>
        <w:t>,</w:t>
      </w:r>
      <w:r w:rsidRPr="00482A36">
        <w:rPr>
          <w:rStyle w:val="FootnoteReference"/>
        </w:rPr>
        <w:footnoteReference w:id="7"/>
      </w:r>
      <w:r w:rsidRPr="00482A36">
        <w:t>.</w:t>
      </w:r>
      <w:r w:rsidR="00C510F1" w:rsidRPr="00482A36">
        <w:t xml:space="preserve"> The submission </w:t>
      </w:r>
      <w:r w:rsidR="006D644A">
        <w:t>quoted NICE, 2022</w:t>
      </w:r>
      <w:r w:rsidR="009B5390">
        <w:t xml:space="preserve"> and argued</w:t>
      </w:r>
      <w:r w:rsidR="006D644A" w:rsidRPr="00482A36">
        <w:t xml:space="preserve"> </w:t>
      </w:r>
      <w:r w:rsidR="00C510F1" w:rsidRPr="00482A36">
        <w:t xml:space="preserve">while reducing fibroid size may be an important clinical outcome, it is the reduction in </w:t>
      </w:r>
      <w:r w:rsidR="00E96FBD">
        <w:t xml:space="preserve">MBL </w:t>
      </w:r>
      <w:r w:rsidR="00C510F1" w:rsidRPr="00482A36">
        <w:t xml:space="preserve">volume </w:t>
      </w:r>
      <w:r w:rsidR="00C510F1" w:rsidRPr="00482A36" w:rsidDel="00C61690">
        <w:t xml:space="preserve">that </w:t>
      </w:r>
      <w:r w:rsidR="00C510F1" w:rsidRPr="00482A36">
        <w:t>people with uterine fibroids value more</w:t>
      </w:r>
      <w:r w:rsidR="009B5390" w:rsidRPr="009B5390">
        <w:rPr>
          <w:rStyle w:val="FootnoteReference"/>
        </w:rPr>
        <w:t xml:space="preserve"> </w:t>
      </w:r>
      <w:r w:rsidR="009B5390">
        <w:rPr>
          <w:rStyle w:val="FootnoteReference"/>
        </w:rPr>
        <w:footnoteReference w:id="8"/>
      </w:r>
      <w:r w:rsidR="00C510F1" w:rsidRPr="00482A36">
        <w:t>.</w:t>
      </w:r>
      <w:r w:rsidRPr="00482A36">
        <w:t xml:space="preserve"> Treatment</w:t>
      </w:r>
      <w:r w:rsidR="00D932A6" w:rsidRPr="00482A36">
        <w:t>s therefore</w:t>
      </w:r>
      <w:r w:rsidRPr="00482A36">
        <w:t xml:space="preserve"> aim to </w:t>
      </w:r>
      <w:r w:rsidR="00AF38CB">
        <w:t xml:space="preserve">also </w:t>
      </w:r>
      <w:r w:rsidR="00C510F1" w:rsidRPr="00482A36">
        <w:t xml:space="preserve">reduce MBL, </w:t>
      </w:r>
      <w:r w:rsidRPr="00482A36">
        <w:t xml:space="preserve">improve patient quality of life, alleviate </w:t>
      </w:r>
      <w:proofErr w:type="gramStart"/>
      <w:r w:rsidRPr="00482A36">
        <w:t>symptoms</w:t>
      </w:r>
      <w:proofErr w:type="gramEnd"/>
      <w:r w:rsidRPr="00482A36">
        <w:t xml:space="preserve"> and avoid surgery</w:t>
      </w:r>
      <w:r w:rsidRPr="00482A36">
        <w:rPr>
          <w:rStyle w:val="FootnoteReference"/>
        </w:rPr>
        <w:footnoteReference w:id="9"/>
      </w:r>
      <w:r w:rsidRPr="00482A36">
        <w:t>.</w:t>
      </w:r>
      <w:r w:rsidR="00C510F1" w:rsidRPr="00482A36">
        <w:t xml:space="preserve"> </w:t>
      </w:r>
    </w:p>
    <w:p w14:paraId="4530686E" w14:textId="26628679" w:rsidR="000625B8" w:rsidRPr="00482A36" w:rsidRDefault="000625B8" w:rsidP="000625B8">
      <w:pPr>
        <w:pStyle w:val="3-BodyText"/>
      </w:pPr>
      <w:r w:rsidRPr="00482A36">
        <w:lastRenderedPageBreak/>
        <w:t>Linzagolix, a GnRH antagonist, competitively binds to GnRH receptors at the pituitary gland, suppressing the release of luteinising hormone and follicle stimulating hormone. This leads to decreased production of estrogen and progesterone, key hormones in uterine fibroid growth. Linzagolix</w:t>
      </w:r>
      <w:r w:rsidR="009854DA">
        <w:t>’</w:t>
      </w:r>
      <w:r w:rsidRPr="00482A36">
        <w:t>s mechanism of action results in immediate suppression of hormone levels, reducing fibroid and uterine size and associated symptoms</w:t>
      </w:r>
      <w:r w:rsidRPr="00482A36">
        <w:rPr>
          <w:rStyle w:val="FootnoteReference"/>
        </w:rPr>
        <w:footnoteReference w:id="10"/>
      </w:r>
      <w:r w:rsidRPr="00482A36">
        <w:t xml:space="preserve">. </w:t>
      </w:r>
    </w:p>
    <w:p w14:paraId="524B82F3" w14:textId="4EC1B0D1" w:rsidR="00C908FB" w:rsidRPr="00AB6295" w:rsidRDefault="00CB5DDF" w:rsidP="00C908FB">
      <w:pPr>
        <w:pStyle w:val="3-BodyText"/>
        <w:rPr>
          <w:iCs/>
        </w:rPr>
      </w:pPr>
      <w:r w:rsidRPr="00482A36">
        <w:t xml:space="preserve">The submission </w:t>
      </w:r>
      <w:r w:rsidR="002E5243">
        <w:t xml:space="preserve">indicated that the women most likely to be treated with linzagolix are those </w:t>
      </w:r>
      <w:r w:rsidR="00E53256">
        <w:t>who</w:t>
      </w:r>
      <w:r w:rsidR="002E5243">
        <w:t xml:space="preserve"> have </w:t>
      </w:r>
      <w:r w:rsidR="00602CE7">
        <w:t xml:space="preserve">had an inadequate response </w:t>
      </w:r>
      <w:r w:rsidR="002E5243">
        <w:t xml:space="preserve">(or are unsuitable for) treatment with hormonal therapies including </w:t>
      </w:r>
      <w:r w:rsidR="00F65107">
        <w:t>progestin</w:t>
      </w:r>
      <w:r w:rsidR="002E5243">
        <w:t>s (progestin only</w:t>
      </w:r>
      <w:r w:rsidR="00F65107">
        <w:t xml:space="preserve"> pills or intrauterine systems</w:t>
      </w:r>
      <w:r w:rsidR="002E5243">
        <w:t>)</w:t>
      </w:r>
      <w:r w:rsidR="00F65107">
        <w:t xml:space="preserve"> or progestin and estrogen combination pills</w:t>
      </w:r>
      <w:r w:rsidR="002E5243">
        <w:t>. The</w:t>
      </w:r>
      <w:r w:rsidR="007D7D73">
        <w:t>se</w:t>
      </w:r>
      <w:r w:rsidR="002E5243">
        <w:t xml:space="preserve"> women are also not likely to be considered immediate candidates for surgery, for a range of reasons including fertility preservation, complications arising from giving birth, and the avoidance of complications and long-term side effects. For this group of women</w:t>
      </w:r>
      <w:r w:rsidR="00163F9A">
        <w:t>,</w:t>
      </w:r>
      <w:r w:rsidR="002E5243">
        <w:t xml:space="preserve"> </w:t>
      </w:r>
      <w:r w:rsidR="00163F9A">
        <w:t xml:space="preserve">the submission argued </w:t>
      </w:r>
      <w:r w:rsidR="002E5243">
        <w:t xml:space="preserve">there are currently no funded PBS treatments. </w:t>
      </w:r>
      <w:r w:rsidR="002E5243" w:rsidRPr="00AB6295">
        <w:rPr>
          <w:iCs/>
        </w:rPr>
        <w:t xml:space="preserve">Women may be unsuitable for hormone therapies due to </w:t>
      </w:r>
      <w:r w:rsidR="000E7372" w:rsidRPr="00AB6295">
        <w:rPr>
          <w:iCs/>
        </w:rPr>
        <w:t xml:space="preserve">absolute or relative contraindications including </w:t>
      </w:r>
      <w:r w:rsidR="002E5243" w:rsidRPr="00AB6295">
        <w:rPr>
          <w:iCs/>
        </w:rPr>
        <w:t>undiagnosed vaginal bleeding or amenorrhea, history of thromboembolic or cerebral vascular accidents, severe cardiopathy or hypertension, hyperlipidaemia, hepatopathy, hormone-dependent cancer, pituitary tumours, porphyria, and severe mental problems</w:t>
      </w:r>
      <w:r w:rsidR="002E5243" w:rsidRPr="00AB6295">
        <w:rPr>
          <w:rStyle w:val="FootnoteReference"/>
          <w:iCs/>
        </w:rPr>
        <w:footnoteReference w:id="11"/>
      </w:r>
      <w:r w:rsidR="000E7372" w:rsidRPr="00AB6295">
        <w:rPr>
          <w:iCs/>
        </w:rPr>
        <w:t xml:space="preserve">. </w:t>
      </w:r>
      <w:r w:rsidR="00C908FB" w:rsidRPr="00AB6295">
        <w:rPr>
          <w:iCs/>
        </w:rPr>
        <w:t xml:space="preserve">Some women may wish to avoid hormone therapies for non-medical reasons. </w:t>
      </w:r>
      <w:r w:rsidR="00A46724" w:rsidRPr="00AB6295">
        <w:rPr>
          <w:iCs/>
        </w:rPr>
        <w:t xml:space="preserve">The submission estimated approximately 10.9% of women previously treated </w:t>
      </w:r>
      <w:r w:rsidR="00D16812" w:rsidRPr="00AB6295">
        <w:rPr>
          <w:iCs/>
        </w:rPr>
        <w:t>for uterine fibroids</w:t>
      </w:r>
      <w:r w:rsidR="00A1744C" w:rsidRPr="00AB6295">
        <w:rPr>
          <w:iCs/>
        </w:rPr>
        <w:t>,</w:t>
      </w:r>
      <w:r w:rsidR="00A46724" w:rsidRPr="00AB6295">
        <w:rPr>
          <w:iCs/>
        </w:rPr>
        <w:t xml:space="preserve"> would require further treatment.</w:t>
      </w:r>
      <w:r w:rsidR="00BA1ECE" w:rsidRPr="00AB6295">
        <w:rPr>
          <w:iCs/>
        </w:rPr>
        <w:t xml:space="preserve"> It was uncertain from the submission what proportion of the intended population would be unsuitable for hormone therapy.</w:t>
      </w:r>
    </w:p>
    <w:p w14:paraId="219004D7" w14:textId="00423AE8" w:rsidR="00CB5DDF" w:rsidRDefault="00880926" w:rsidP="00BA1ECE">
      <w:pPr>
        <w:pStyle w:val="3-BodyText"/>
      </w:pPr>
      <w:r w:rsidRPr="00C908FB">
        <w:rPr>
          <w:lang w:val="en-US"/>
        </w:rPr>
        <w:t xml:space="preserve">The submission noted while the target population </w:t>
      </w:r>
      <w:r w:rsidR="00BB3800">
        <w:rPr>
          <w:lang w:val="en-US"/>
        </w:rPr>
        <w:t>were</w:t>
      </w:r>
      <w:r w:rsidRPr="00C908FB">
        <w:rPr>
          <w:lang w:val="en-US"/>
        </w:rPr>
        <w:t xml:space="preserve"> not immediate candidates for surgery, they may eventually undergo surgery if medically necessary, or if the patient’s preferences around surgery change. </w:t>
      </w:r>
      <w:r w:rsidR="00CB5DDF" w:rsidRPr="00482A36">
        <w:t xml:space="preserve">Surgical options </w:t>
      </w:r>
      <w:r w:rsidR="007E6237" w:rsidRPr="00482A36">
        <w:t xml:space="preserve">available include </w:t>
      </w:r>
      <w:r w:rsidR="00CB5DDF" w:rsidRPr="00482A36">
        <w:t xml:space="preserve">myomectomy, hysterectomy, or uterine artery embolism (UAE), </w:t>
      </w:r>
      <w:r w:rsidR="00DD54B3" w:rsidRPr="00482A36">
        <w:t xml:space="preserve">however </w:t>
      </w:r>
      <w:r w:rsidR="00CB5DDF" w:rsidRPr="00482A36">
        <w:t>the submission highlighted the risks associated with surgery, such as fertility loss and surgical complications</w:t>
      </w:r>
      <w:r w:rsidR="00DD54B3" w:rsidRPr="00482A36">
        <w:t xml:space="preserve"> and women preferring non</w:t>
      </w:r>
      <w:r w:rsidR="00A830D7" w:rsidRPr="00482A36">
        <w:t>-</w:t>
      </w:r>
      <w:r w:rsidR="00DD54B3" w:rsidRPr="00482A36">
        <w:t>surgical options for a benign tumour</w:t>
      </w:r>
      <w:r w:rsidR="003861E5">
        <w:rPr>
          <w:rStyle w:val="FootnoteReference"/>
        </w:rPr>
        <w:footnoteReference w:id="12"/>
      </w:r>
      <w:r w:rsidR="003861E5" w:rsidRPr="00C908FB">
        <w:rPr>
          <w:vertAlign w:val="superscript"/>
        </w:rPr>
        <w:t xml:space="preserve">, </w:t>
      </w:r>
      <w:r w:rsidR="003861E5">
        <w:rPr>
          <w:rStyle w:val="FootnoteReference"/>
        </w:rPr>
        <w:footnoteReference w:id="13"/>
      </w:r>
      <w:r w:rsidR="003861E5" w:rsidRPr="00C908FB">
        <w:rPr>
          <w:vertAlign w:val="superscript"/>
        </w:rPr>
        <w:t xml:space="preserve">, </w:t>
      </w:r>
      <w:r w:rsidR="003861E5">
        <w:rPr>
          <w:rStyle w:val="FootnoteReference"/>
        </w:rPr>
        <w:footnoteReference w:id="14"/>
      </w:r>
      <w:r w:rsidR="00DD54B3" w:rsidRPr="00482A36">
        <w:t xml:space="preserve">. </w:t>
      </w:r>
    </w:p>
    <w:p w14:paraId="53D7C54F" w14:textId="01180776" w:rsidR="00CD353C" w:rsidRPr="00CD353C" w:rsidRDefault="00CD353C" w:rsidP="00CD353C">
      <w:pPr>
        <w:pStyle w:val="3-BodyText"/>
        <w:numPr>
          <w:ilvl w:val="0"/>
          <w:numId w:val="0"/>
        </w:numPr>
        <w:ind w:left="720"/>
        <w:rPr>
          <w:i/>
          <w:iCs/>
        </w:rPr>
      </w:pPr>
      <w:r w:rsidRPr="00CD353C">
        <w:rPr>
          <w:i/>
          <w:iCs/>
        </w:rPr>
        <w:t>For more detail on PBAC’s view, see section 7 PBAC outcome.</w:t>
      </w:r>
    </w:p>
    <w:p w14:paraId="6FED26CF" w14:textId="77777777" w:rsidR="003146C9" w:rsidRPr="00482A36" w:rsidRDefault="003146C9" w:rsidP="003146C9">
      <w:pPr>
        <w:pStyle w:val="2-SectionHeading"/>
      </w:pPr>
      <w:bookmarkStart w:id="16" w:name="_Toc167269197"/>
      <w:r w:rsidRPr="00482A36">
        <w:lastRenderedPageBreak/>
        <w:t>Comparator</w:t>
      </w:r>
      <w:bookmarkEnd w:id="16"/>
    </w:p>
    <w:p w14:paraId="03D083E2" w14:textId="504A9DAD" w:rsidR="00BC1986" w:rsidRPr="00482A36" w:rsidRDefault="00C86C8F" w:rsidP="00BC1986">
      <w:pPr>
        <w:pStyle w:val="3-BodyText"/>
      </w:pPr>
      <w:bookmarkStart w:id="17" w:name="_Ref169854993"/>
      <w:r w:rsidRPr="00482A36">
        <w:t xml:space="preserve">The submission </w:t>
      </w:r>
      <w:r w:rsidR="00F14604" w:rsidRPr="00482A36">
        <w:t>nominated</w:t>
      </w:r>
      <w:r w:rsidRPr="00482A36">
        <w:t xml:space="preserve"> BSC</w:t>
      </w:r>
      <w:r w:rsidR="00F14604" w:rsidRPr="00482A36">
        <w:t xml:space="preserve"> as the main comparator</w:t>
      </w:r>
      <w:r w:rsidR="008C4E1D">
        <w:t>.</w:t>
      </w:r>
      <w:r w:rsidR="00F14604" w:rsidRPr="00482A36">
        <w:t xml:space="preserve"> </w:t>
      </w:r>
      <w:r w:rsidR="00F65107">
        <w:t xml:space="preserve">The submission </w:t>
      </w:r>
      <w:r w:rsidR="00163F9A">
        <w:t xml:space="preserve">argued there are currently </w:t>
      </w:r>
      <w:r w:rsidRPr="00482A36">
        <w:t xml:space="preserve">no PBS-funded options for </w:t>
      </w:r>
      <w:r w:rsidR="00163F9A">
        <w:t xml:space="preserve">women </w:t>
      </w:r>
      <w:r w:rsidR="00C908FB">
        <w:t>who</w:t>
      </w:r>
      <w:r w:rsidR="00163F9A">
        <w:t xml:space="preserve"> are unsuitable for </w:t>
      </w:r>
      <w:r w:rsidR="00C908FB">
        <w:t xml:space="preserve">or have had an inadequate response to prior </w:t>
      </w:r>
      <w:r w:rsidR="00163F9A">
        <w:t>hormone treatments</w:t>
      </w:r>
      <w:r w:rsidR="00C908FB" w:rsidRPr="00C908FB">
        <w:t xml:space="preserve"> </w:t>
      </w:r>
      <w:r w:rsidR="00C908FB">
        <w:t>but are not immediate candidates for surgery</w:t>
      </w:r>
      <w:r w:rsidRPr="00482A36">
        <w:t xml:space="preserve">. </w:t>
      </w:r>
      <w:r w:rsidR="00163F9A">
        <w:t>T</w:t>
      </w:r>
      <w:r w:rsidRPr="00482A36">
        <w:t xml:space="preserve">he submission argued </w:t>
      </w:r>
      <w:r w:rsidR="00C908FB">
        <w:t>that in</w:t>
      </w:r>
      <w:r w:rsidR="00163F9A">
        <w:t xml:space="preserve"> </w:t>
      </w:r>
      <w:r w:rsidR="004B47E2">
        <w:t xml:space="preserve">this </w:t>
      </w:r>
      <w:r w:rsidR="00163F9A">
        <w:t xml:space="preserve">population </w:t>
      </w:r>
      <w:r w:rsidRPr="00482A36">
        <w:t xml:space="preserve">BSC, including </w:t>
      </w:r>
      <w:r w:rsidR="00EB3982">
        <w:t>n</w:t>
      </w:r>
      <w:r w:rsidR="00EB3982" w:rsidRPr="00EB3982">
        <w:t>on-steroidal anti-inflammatory</w:t>
      </w:r>
      <w:r w:rsidR="00EB3982">
        <w:t xml:space="preserve"> drugs (</w:t>
      </w:r>
      <w:r w:rsidRPr="00482A36">
        <w:t>NSAID</w:t>
      </w:r>
      <w:r w:rsidR="00EB3982">
        <w:t>s)</w:t>
      </w:r>
      <w:r w:rsidRPr="00482A36">
        <w:t xml:space="preserve"> and iron supplementation </w:t>
      </w:r>
      <w:r w:rsidR="00A06CA6" w:rsidRPr="00482A36">
        <w:t>(</w:t>
      </w:r>
      <w:r w:rsidRPr="00482A36">
        <w:t xml:space="preserve">for those with iron deficiency anaemia due to </w:t>
      </w:r>
      <w:r w:rsidR="00F14604" w:rsidRPr="00482A36">
        <w:t>HMB</w:t>
      </w:r>
      <w:r w:rsidR="00A06CA6" w:rsidRPr="00482A36">
        <w:t>)</w:t>
      </w:r>
      <w:r w:rsidRPr="00482A36">
        <w:t>, serves as the closest comparator.</w:t>
      </w:r>
      <w:r w:rsidR="000877E8">
        <w:t xml:space="preserve"> </w:t>
      </w:r>
      <w:r w:rsidR="00F14604" w:rsidRPr="00AB6295">
        <w:rPr>
          <w:iCs/>
        </w:rPr>
        <w:t xml:space="preserve">For women </w:t>
      </w:r>
      <w:r w:rsidR="00912061" w:rsidRPr="00AB6295">
        <w:rPr>
          <w:iCs/>
        </w:rPr>
        <w:t xml:space="preserve">who are </w:t>
      </w:r>
      <w:r w:rsidR="00F14604" w:rsidRPr="00AB6295">
        <w:rPr>
          <w:iCs/>
        </w:rPr>
        <w:t xml:space="preserve">unsuitable for hormonal treatments, this nomination was reasonable. For women who </w:t>
      </w:r>
      <w:r w:rsidR="00C908FB" w:rsidRPr="00AB6295">
        <w:rPr>
          <w:iCs/>
        </w:rPr>
        <w:t>can</w:t>
      </w:r>
      <w:r w:rsidR="00F14604" w:rsidRPr="00AB6295">
        <w:rPr>
          <w:iCs/>
        </w:rPr>
        <w:t xml:space="preserve"> tolerate hormon</w:t>
      </w:r>
      <w:r w:rsidR="00C908FB" w:rsidRPr="00AB6295">
        <w:rPr>
          <w:iCs/>
        </w:rPr>
        <w:t>e</w:t>
      </w:r>
      <w:r w:rsidR="00F14604" w:rsidRPr="00AB6295">
        <w:rPr>
          <w:iCs/>
        </w:rPr>
        <w:t xml:space="preserve"> therapies but </w:t>
      </w:r>
      <w:r w:rsidR="001B767F" w:rsidRPr="00AB6295">
        <w:rPr>
          <w:iCs/>
        </w:rPr>
        <w:t>have</w:t>
      </w:r>
      <w:r w:rsidR="00C908FB" w:rsidRPr="00AB6295">
        <w:rPr>
          <w:iCs/>
        </w:rPr>
        <w:t xml:space="preserve"> had</w:t>
      </w:r>
      <w:r w:rsidR="001B767F" w:rsidRPr="00AB6295">
        <w:rPr>
          <w:iCs/>
        </w:rPr>
        <w:t xml:space="preserve"> inadequate response</w:t>
      </w:r>
      <w:r w:rsidR="00F14604" w:rsidRPr="00AB6295">
        <w:rPr>
          <w:iCs/>
        </w:rPr>
        <w:t xml:space="preserve">, the submission’s nomination was not reasonable, as BSC in this population would also include a hormonal agent. </w:t>
      </w:r>
      <w:r w:rsidR="006716AB" w:rsidRPr="00FD5102">
        <w:t xml:space="preserve">The evaluation considered that </w:t>
      </w:r>
      <w:r w:rsidR="006716AB">
        <w:rPr>
          <w:iCs/>
        </w:rPr>
        <w:t>i</w:t>
      </w:r>
      <w:r w:rsidR="00F14604" w:rsidRPr="00AB6295">
        <w:rPr>
          <w:iCs/>
        </w:rPr>
        <w:t>n both populations</w:t>
      </w:r>
      <w:r w:rsidR="00A830D7" w:rsidRPr="00AB6295">
        <w:rPr>
          <w:iCs/>
        </w:rPr>
        <w:t>,</w:t>
      </w:r>
      <w:r w:rsidR="00F14604" w:rsidRPr="00AB6295">
        <w:rPr>
          <w:iCs/>
        </w:rPr>
        <w:t xml:space="preserve"> tranexamic acid is also a treatment option via the PBS and thus should be part of BSC,</w:t>
      </w:r>
      <w:r w:rsidR="00C908FB" w:rsidRPr="00AB6295">
        <w:rPr>
          <w:iCs/>
        </w:rPr>
        <w:t xml:space="preserve"> </w:t>
      </w:r>
      <w:r w:rsidR="00F14604" w:rsidRPr="00AB6295">
        <w:rPr>
          <w:iCs/>
        </w:rPr>
        <w:t>its utilisation on PBS is however low.</w:t>
      </w:r>
      <w:r w:rsidR="00430818">
        <w:rPr>
          <w:iCs/>
        </w:rPr>
        <w:t xml:space="preserve"> </w:t>
      </w:r>
      <w:r w:rsidR="00430818" w:rsidRPr="00FD5102">
        <w:t xml:space="preserve">The PSCR </w:t>
      </w:r>
      <w:r w:rsidR="00F630ED" w:rsidRPr="00FD5102">
        <w:t>argued</w:t>
      </w:r>
      <w:r w:rsidR="009A128D" w:rsidRPr="00FD5102">
        <w:t xml:space="preserve"> </w:t>
      </w:r>
      <w:r w:rsidR="00D534AD" w:rsidRPr="00FD5102">
        <w:t>that</w:t>
      </w:r>
      <w:r w:rsidR="009A128D" w:rsidRPr="00FD5102">
        <w:t xml:space="preserve"> use</w:t>
      </w:r>
      <w:r w:rsidR="00D534AD" w:rsidRPr="00FD5102">
        <w:t xml:space="preserve"> of tranexamic acid</w:t>
      </w:r>
      <w:r w:rsidR="009A128D" w:rsidRPr="00FD5102">
        <w:t xml:space="preserve"> in patients with </w:t>
      </w:r>
      <w:r w:rsidR="00190A98" w:rsidRPr="00FD5102">
        <w:t xml:space="preserve">HMB associated with </w:t>
      </w:r>
      <w:r w:rsidR="009A128D" w:rsidRPr="00FD5102">
        <w:t>uterine fibroids</w:t>
      </w:r>
      <w:r w:rsidR="00D534AD" w:rsidRPr="00FD5102">
        <w:t xml:space="preserve"> was not supported by the evidence</w:t>
      </w:r>
      <w:r w:rsidR="00190A98" w:rsidRPr="00FD5102">
        <w:t>. The ESC</w:t>
      </w:r>
      <w:r w:rsidR="009A128D" w:rsidRPr="00FD5102">
        <w:t xml:space="preserve"> considered </w:t>
      </w:r>
      <w:r w:rsidR="00190A98" w:rsidRPr="00FD5102">
        <w:t>the utilisation of tranexamic acid is unclear</w:t>
      </w:r>
      <w:r w:rsidR="009A128D" w:rsidRPr="00FD5102">
        <w:t xml:space="preserve">. </w:t>
      </w:r>
      <w:r w:rsidR="000347B7" w:rsidRPr="00FD5102">
        <w:t xml:space="preserve">The PSCR also argued that in women who </w:t>
      </w:r>
      <w:r w:rsidR="0047504D" w:rsidRPr="00FD5102">
        <w:t>do not respond to</w:t>
      </w:r>
      <w:r w:rsidR="000347B7" w:rsidRPr="00FD5102">
        <w:t xml:space="preserve"> first-line hormonal therapies, continuing or switching to an alternative hormone therapy is unlikely to be effective, and should not be included in the comparator arm. </w:t>
      </w:r>
      <w:r w:rsidR="0047504D" w:rsidRPr="00FD5102">
        <w:t>Despite this</w:t>
      </w:r>
      <w:r w:rsidR="00BF04D6" w:rsidRPr="00FD5102">
        <w:t>, t</w:t>
      </w:r>
      <w:r w:rsidR="000347B7" w:rsidRPr="00FD5102">
        <w:t xml:space="preserve">he ESC considered </w:t>
      </w:r>
      <w:r w:rsidR="00F630ED" w:rsidRPr="00FD5102">
        <w:t>that</w:t>
      </w:r>
      <w:r w:rsidR="0047504D" w:rsidRPr="00FD5102">
        <w:t xml:space="preserve"> complete discontinuation</w:t>
      </w:r>
      <w:r w:rsidR="00F630ED" w:rsidRPr="00FD5102">
        <w:t xml:space="preserve"> </w:t>
      </w:r>
      <w:r w:rsidR="00DA7F76" w:rsidRPr="00FD5102">
        <w:t xml:space="preserve">was </w:t>
      </w:r>
      <w:r w:rsidR="0047504D" w:rsidRPr="00FD5102">
        <w:t>un</w:t>
      </w:r>
      <w:r w:rsidR="00DA7F76" w:rsidRPr="00FD5102">
        <w:t>likely to</w:t>
      </w:r>
      <w:r w:rsidR="00F630ED" w:rsidRPr="00FD5102">
        <w:t xml:space="preserve"> reflect real-world practices, where patients with low to moderate responses may remain on </w:t>
      </w:r>
      <w:r w:rsidR="00867FD9" w:rsidRPr="00FD5102">
        <w:t xml:space="preserve">hormonal </w:t>
      </w:r>
      <w:r w:rsidR="00F630ED" w:rsidRPr="00FD5102">
        <w:t>treatment.</w:t>
      </w:r>
      <w:bookmarkEnd w:id="17"/>
      <w:r w:rsidR="00B21350">
        <w:t xml:space="preserve"> The pre-PBAC response reiterated that t</w:t>
      </w:r>
      <w:r w:rsidR="00B21350" w:rsidRPr="00B21350">
        <w:t xml:space="preserve">ranexamic acid has limited evidence for use in women with HMB associated with </w:t>
      </w:r>
      <w:r w:rsidR="00B21350">
        <w:t>uterine fibroids</w:t>
      </w:r>
      <w:r w:rsidR="00676388">
        <w:t xml:space="preserve">. </w:t>
      </w:r>
      <w:r w:rsidR="00B21350">
        <w:t xml:space="preserve">The response argued that </w:t>
      </w:r>
      <w:r w:rsidR="00B21350" w:rsidRPr="00B21350">
        <w:t xml:space="preserve">neither hormone therapies nor tranexamic acid </w:t>
      </w:r>
      <w:r w:rsidR="00B21350">
        <w:t>reduce</w:t>
      </w:r>
      <w:r w:rsidR="00B21350" w:rsidRPr="00B21350">
        <w:t xml:space="preserve"> fibroid volume and </w:t>
      </w:r>
      <w:r w:rsidR="00B21350">
        <w:t xml:space="preserve">only </w:t>
      </w:r>
      <w:r w:rsidR="00B21350" w:rsidRPr="00B21350">
        <w:t xml:space="preserve">treat </w:t>
      </w:r>
      <w:r w:rsidR="00B21350">
        <w:t>‘</w:t>
      </w:r>
      <w:r w:rsidR="00B21350" w:rsidRPr="00B21350">
        <w:t>bulk</w:t>
      </w:r>
      <w:r w:rsidR="00B21350">
        <w:t>’</w:t>
      </w:r>
      <w:r w:rsidR="00B21350" w:rsidRPr="00B21350">
        <w:t xml:space="preserve"> symptoms</w:t>
      </w:r>
      <w:r w:rsidR="00B21350">
        <w:t xml:space="preserve">, such as </w:t>
      </w:r>
      <w:r w:rsidR="00B21350" w:rsidRPr="00B21350">
        <w:t xml:space="preserve">pressure, </w:t>
      </w:r>
      <w:proofErr w:type="gramStart"/>
      <w:r w:rsidR="00B21350" w:rsidRPr="00B21350">
        <w:t>pain</w:t>
      </w:r>
      <w:proofErr w:type="gramEnd"/>
      <w:r w:rsidR="00B21350" w:rsidRPr="00B21350">
        <w:t xml:space="preserve"> and frequent urination.</w:t>
      </w:r>
    </w:p>
    <w:p w14:paraId="18B27604" w14:textId="1682408C" w:rsidR="003146C9" w:rsidRDefault="00F14604" w:rsidP="00F14604">
      <w:pPr>
        <w:pStyle w:val="3-BodyText"/>
      </w:pPr>
      <w:r w:rsidRPr="00482A36">
        <w:t xml:space="preserve">The submission also nominated relugolix </w:t>
      </w:r>
      <w:r w:rsidR="00A3051E" w:rsidRPr="00482A36">
        <w:t xml:space="preserve">fixed dose </w:t>
      </w:r>
      <w:r w:rsidRPr="00482A36">
        <w:t>combination therapy</w:t>
      </w:r>
      <w:r w:rsidR="00A3051E" w:rsidRPr="00482A36">
        <w:t xml:space="preserve"> </w:t>
      </w:r>
      <w:r w:rsidR="00A3051E" w:rsidRPr="00482A36">
        <w:rPr>
          <w:iCs/>
        </w:rPr>
        <w:t>(relugolix + ABT)</w:t>
      </w:r>
      <w:r w:rsidRPr="00482A36">
        <w:t xml:space="preserve">, as a potential near market comparator, due to its similar mechanism of action and the presence of clinical trials in women with uterine fibroids (LIBERTY 1 and LIBERTY 2). </w:t>
      </w:r>
      <w:r w:rsidR="00222B82" w:rsidRPr="00482A36">
        <w:rPr>
          <w:rFonts w:eastAsia="Calibri"/>
        </w:rPr>
        <w:t>The submission also presented a supportive indirect treatment comparison (ITC) between linzagolix ± ABT and relugolix combination therapy including ABT</w:t>
      </w:r>
      <w:r w:rsidR="00782028">
        <w:rPr>
          <w:rFonts w:eastAsia="Calibri"/>
        </w:rPr>
        <w:t xml:space="preserve"> </w:t>
      </w:r>
      <w:r w:rsidR="00222B82" w:rsidRPr="00482A36">
        <w:rPr>
          <w:rFonts w:eastAsia="Calibri"/>
        </w:rPr>
        <w:t>using placebo as common reference</w:t>
      </w:r>
      <w:r w:rsidR="00222B82" w:rsidRPr="00616367">
        <w:rPr>
          <w:rFonts w:eastAsia="Calibri"/>
        </w:rPr>
        <w:t xml:space="preserve">. </w:t>
      </w:r>
      <w:r w:rsidRPr="00AB6295">
        <w:rPr>
          <w:iCs/>
        </w:rPr>
        <w:t>Relugolix combination therapy was TGA approved in August 2022 for treating moderate to severe symptoms of uterine fibroids in adult women of reproductive age, with a maximum treatment duration of 24</w:t>
      </w:r>
      <w:r w:rsidR="00224353">
        <w:rPr>
          <w:iCs/>
        </w:rPr>
        <w:t> </w:t>
      </w:r>
      <w:r w:rsidRPr="00AB6295">
        <w:rPr>
          <w:iCs/>
        </w:rPr>
        <w:t>months</w:t>
      </w:r>
      <w:r w:rsidR="003D5B61" w:rsidRPr="00AB6295">
        <w:rPr>
          <w:rStyle w:val="FootnoteReference"/>
        </w:rPr>
        <w:footnoteReference w:id="15"/>
      </w:r>
      <w:r w:rsidRPr="00AB6295">
        <w:rPr>
          <w:iCs/>
        </w:rPr>
        <w:t>.</w:t>
      </w:r>
      <w:r w:rsidR="003D5B61" w:rsidRPr="00AB6295">
        <w:rPr>
          <w:iCs/>
        </w:rPr>
        <w:t xml:space="preserve"> </w:t>
      </w:r>
      <w:r w:rsidR="00A3051E" w:rsidRPr="00AB6295">
        <w:rPr>
          <w:iCs/>
        </w:rPr>
        <w:t>Relugolix combination therapy was recommended in March 2024 for endometriosis but had not been considered by PBAC for uterine fibroids</w:t>
      </w:r>
      <w:r w:rsidR="003D5B61" w:rsidRPr="00AB6295">
        <w:rPr>
          <w:iCs/>
        </w:rPr>
        <w:t>.</w:t>
      </w:r>
      <w:r w:rsidR="009A128D">
        <w:rPr>
          <w:iCs/>
        </w:rPr>
        <w:t xml:space="preserve"> </w:t>
      </w:r>
      <w:r w:rsidR="009A128D" w:rsidRPr="00FD5102">
        <w:t>The ESC also noted other GnRH antagonists currently PBS listed for endometriosis, including goserelin and nafarelin.</w:t>
      </w:r>
      <w:r w:rsidR="007457DA">
        <w:t xml:space="preserve"> The pre-PBAC response noted that </w:t>
      </w:r>
      <w:r w:rsidR="007457DA" w:rsidRPr="007457DA">
        <w:t>GnRH agonists</w:t>
      </w:r>
      <w:r w:rsidR="007457DA">
        <w:t>,</w:t>
      </w:r>
      <w:r w:rsidR="007457DA" w:rsidRPr="007457DA">
        <w:t xml:space="preserve"> such as goserelin</w:t>
      </w:r>
      <w:r w:rsidR="007457DA">
        <w:t>,</w:t>
      </w:r>
      <w:r w:rsidR="007457DA" w:rsidRPr="007457DA">
        <w:t xml:space="preserve"> would be an appropriate comparator if PBS-listed for </w:t>
      </w:r>
      <w:r w:rsidR="007457DA">
        <w:t>uterine fibroids</w:t>
      </w:r>
      <w:r w:rsidR="007457DA" w:rsidRPr="007457DA">
        <w:t xml:space="preserve">. </w:t>
      </w:r>
      <w:r w:rsidR="007457DA">
        <w:t xml:space="preserve">The response considered that GnRH agonists </w:t>
      </w:r>
      <w:r w:rsidR="00676388">
        <w:t>were</w:t>
      </w:r>
      <w:r w:rsidR="007457DA" w:rsidRPr="007457DA">
        <w:t xml:space="preserve"> usually positioned in the second-line </w:t>
      </w:r>
      <w:r w:rsidR="007457DA" w:rsidRPr="007457DA">
        <w:lastRenderedPageBreak/>
        <w:t>setting (Makary, 2023</w:t>
      </w:r>
      <w:r w:rsidR="007457DA">
        <w:rPr>
          <w:rStyle w:val="FootnoteReference"/>
        </w:rPr>
        <w:footnoteReference w:id="16"/>
      </w:r>
      <w:r w:rsidR="007457DA" w:rsidRPr="007457DA">
        <w:t>)</w:t>
      </w:r>
      <w:r w:rsidR="00B95AD9">
        <w:t xml:space="preserve"> and </w:t>
      </w:r>
      <w:r w:rsidR="007457DA" w:rsidRPr="007457DA">
        <w:t xml:space="preserve">may therefore provide a useful frame of reference for the </w:t>
      </w:r>
      <w:r w:rsidR="00B95AD9">
        <w:t xml:space="preserve">likely cost-effectiveness </w:t>
      </w:r>
      <w:r w:rsidR="007457DA" w:rsidRPr="007457DA">
        <w:t xml:space="preserve">of </w:t>
      </w:r>
      <w:r w:rsidR="00B95AD9">
        <w:t>linzagolix</w:t>
      </w:r>
      <w:r w:rsidR="007457DA" w:rsidRPr="007457DA">
        <w:t xml:space="preserve"> in the same setting. </w:t>
      </w:r>
    </w:p>
    <w:p w14:paraId="0C2F7A1F" w14:textId="123E7D7A" w:rsidR="00CD353C" w:rsidRPr="00CD353C" w:rsidRDefault="00CD353C" w:rsidP="00CD353C">
      <w:pPr>
        <w:pStyle w:val="3-BodyText"/>
        <w:numPr>
          <w:ilvl w:val="0"/>
          <w:numId w:val="0"/>
        </w:numPr>
        <w:ind w:left="720"/>
        <w:rPr>
          <w:i/>
          <w:iCs/>
        </w:rPr>
      </w:pPr>
      <w:r w:rsidRPr="00CD353C">
        <w:rPr>
          <w:i/>
          <w:iCs/>
        </w:rPr>
        <w:t>For more detail on PBAC’s view, see section 7 PBAC outcome.</w:t>
      </w:r>
    </w:p>
    <w:p w14:paraId="11662CE1" w14:textId="77777777" w:rsidR="003146C9" w:rsidRDefault="003146C9" w:rsidP="003146C9">
      <w:pPr>
        <w:pStyle w:val="2-SectionHeading"/>
      </w:pPr>
      <w:bookmarkStart w:id="18" w:name="_Toc167269198"/>
      <w:bookmarkStart w:id="19" w:name="_Toc22897640"/>
      <w:r w:rsidRPr="00482A36">
        <w:t>Consideration of the evidence</w:t>
      </w:r>
      <w:bookmarkEnd w:id="18"/>
    </w:p>
    <w:p w14:paraId="600CBE41" w14:textId="77777777" w:rsidR="00CD353C" w:rsidRPr="006E1229" w:rsidRDefault="00CD353C" w:rsidP="007819F1">
      <w:pPr>
        <w:pStyle w:val="3-SubsectionHeading"/>
        <w:outlineLvl w:val="1"/>
        <w:rPr>
          <w:lang w:eastAsia="en-AU"/>
        </w:rPr>
      </w:pPr>
      <w:bookmarkStart w:id="20" w:name="_Hlk76375935"/>
      <w:r w:rsidRPr="006E1229">
        <w:rPr>
          <w:lang w:eastAsia="en-AU"/>
        </w:rPr>
        <w:t>Sponsor hearing</w:t>
      </w:r>
    </w:p>
    <w:p w14:paraId="712AF185" w14:textId="1DF30604" w:rsidR="001C05C1" w:rsidRDefault="00CD353C" w:rsidP="00705570">
      <w:pPr>
        <w:widowControl w:val="0"/>
        <w:numPr>
          <w:ilvl w:val="1"/>
          <w:numId w:val="1"/>
        </w:numPr>
        <w:spacing w:after="120"/>
        <w:rPr>
          <w:rFonts w:asciiTheme="minorHAnsi" w:hAnsiTheme="minorHAnsi"/>
          <w:bCs/>
          <w:snapToGrid w:val="0"/>
        </w:rPr>
      </w:pPr>
      <w:bookmarkStart w:id="21" w:name="_Hlk76382586"/>
      <w:r w:rsidRPr="006B089E">
        <w:rPr>
          <w:rFonts w:asciiTheme="minorHAnsi" w:hAnsiTheme="minorHAnsi"/>
          <w:bCs/>
          <w:snapToGrid w:val="0"/>
        </w:rPr>
        <w:t>The sponsor requested a hearing for this item. The clinician</w:t>
      </w:r>
      <w:r w:rsidR="002E0B9E" w:rsidRPr="006B089E">
        <w:rPr>
          <w:rFonts w:asciiTheme="minorHAnsi" w:hAnsiTheme="minorHAnsi"/>
          <w:bCs/>
          <w:snapToGrid w:val="0"/>
        </w:rPr>
        <w:t xml:space="preserve"> </w:t>
      </w:r>
      <w:r w:rsidR="00D03374">
        <w:rPr>
          <w:rFonts w:asciiTheme="minorHAnsi" w:hAnsiTheme="minorHAnsi"/>
          <w:bCs/>
          <w:snapToGrid w:val="0"/>
        </w:rPr>
        <w:t>noted that linzagolix would provide a</w:t>
      </w:r>
      <w:r w:rsidR="00F506EA">
        <w:rPr>
          <w:rFonts w:asciiTheme="minorHAnsi" w:hAnsiTheme="minorHAnsi"/>
          <w:bCs/>
          <w:snapToGrid w:val="0"/>
        </w:rPr>
        <w:t>n effective and</w:t>
      </w:r>
      <w:r w:rsidR="00D03374" w:rsidRPr="00D03374">
        <w:rPr>
          <w:rFonts w:asciiTheme="minorHAnsi" w:hAnsiTheme="minorHAnsi"/>
          <w:bCs/>
          <w:snapToGrid w:val="0"/>
        </w:rPr>
        <w:t xml:space="preserve"> non-invasive </w:t>
      </w:r>
      <w:r w:rsidR="00933B48">
        <w:rPr>
          <w:rFonts w:asciiTheme="minorHAnsi" w:hAnsiTheme="minorHAnsi"/>
          <w:bCs/>
          <w:snapToGrid w:val="0"/>
        </w:rPr>
        <w:t>treatment</w:t>
      </w:r>
      <w:r w:rsidR="00D03374">
        <w:rPr>
          <w:rFonts w:asciiTheme="minorHAnsi" w:hAnsiTheme="minorHAnsi"/>
          <w:bCs/>
          <w:snapToGrid w:val="0"/>
        </w:rPr>
        <w:t xml:space="preserve"> option</w:t>
      </w:r>
      <w:r w:rsidR="00D03374" w:rsidRPr="00D03374">
        <w:rPr>
          <w:rFonts w:asciiTheme="minorHAnsi" w:hAnsiTheme="minorHAnsi"/>
          <w:bCs/>
          <w:snapToGrid w:val="0"/>
        </w:rPr>
        <w:t xml:space="preserve"> for patients with symptomatic uterine fibroids</w:t>
      </w:r>
      <w:r w:rsidR="00D03374">
        <w:rPr>
          <w:rFonts w:asciiTheme="minorHAnsi" w:hAnsiTheme="minorHAnsi"/>
          <w:bCs/>
          <w:snapToGrid w:val="0"/>
        </w:rPr>
        <w:t xml:space="preserve"> and </w:t>
      </w:r>
      <w:r w:rsidR="00D03374" w:rsidRPr="00D03374">
        <w:rPr>
          <w:rFonts w:asciiTheme="minorHAnsi" w:hAnsiTheme="minorHAnsi"/>
          <w:bCs/>
          <w:snapToGrid w:val="0"/>
        </w:rPr>
        <w:t xml:space="preserve">outlined </w:t>
      </w:r>
      <w:r w:rsidR="00F506EA">
        <w:rPr>
          <w:rFonts w:asciiTheme="minorHAnsi" w:hAnsiTheme="minorHAnsi"/>
          <w:bCs/>
          <w:snapToGrid w:val="0"/>
        </w:rPr>
        <w:t>who would likely benefit from treatment.</w:t>
      </w:r>
      <w:r w:rsidR="00D03374" w:rsidRPr="00D03374">
        <w:rPr>
          <w:rFonts w:asciiTheme="minorHAnsi" w:hAnsiTheme="minorHAnsi"/>
          <w:bCs/>
          <w:snapToGrid w:val="0"/>
        </w:rPr>
        <w:t xml:space="preserve"> </w:t>
      </w:r>
      <w:r w:rsidR="00F506EA">
        <w:rPr>
          <w:rFonts w:asciiTheme="minorHAnsi" w:hAnsiTheme="minorHAnsi"/>
          <w:bCs/>
          <w:snapToGrid w:val="0"/>
        </w:rPr>
        <w:t>The clinician</w:t>
      </w:r>
      <w:r w:rsidR="001C05C1">
        <w:rPr>
          <w:rFonts w:asciiTheme="minorHAnsi" w:hAnsiTheme="minorHAnsi"/>
          <w:bCs/>
          <w:snapToGrid w:val="0"/>
        </w:rPr>
        <w:t xml:space="preserve"> presented three patient profiles and discussed the likely use of linzagolix in these patients. </w:t>
      </w:r>
    </w:p>
    <w:p w14:paraId="2EBF1FB4" w14:textId="066E88E7" w:rsidR="00DA6B49" w:rsidRDefault="001C05C1" w:rsidP="00DA6B49">
      <w:pPr>
        <w:widowControl w:val="0"/>
        <w:spacing w:after="120"/>
        <w:ind w:left="720"/>
        <w:rPr>
          <w:rFonts w:asciiTheme="minorHAnsi" w:hAnsiTheme="minorHAnsi"/>
          <w:bCs/>
          <w:snapToGrid w:val="0"/>
        </w:rPr>
      </w:pPr>
      <w:r>
        <w:rPr>
          <w:rFonts w:asciiTheme="minorHAnsi" w:hAnsiTheme="minorHAnsi"/>
          <w:bCs/>
          <w:snapToGrid w:val="0"/>
        </w:rPr>
        <w:t xml:space="preserve">1. In a 30 year old patient experiencing symptoms of lower limb swelling, </w:t>
      </w:r>
      <w:r w:rsidR="00FF0DA4">
        <w:rPr>
          <w:rFonts w:asciiTheme="minorHAnsi" w:hAnsiTheme="minorHAnsi"/>
          <w:bCs/>
          <w:snapToGrid w:val="0"/>
        </w:rPr>
        <w:t xml:space="preserve">with </w:t>
      </w:r>
      <w:r>
        <w:rPr>
          <w:rFonts w:asciiTheme="minorHAnsi" w:hAnsiTheme="minorHAnsi"/>
          <w:bCs/>
          <w:snapToGrid w:val="0"/>
        </w:rPr>
        <w:t xml:space="preserve">HMB </w:t>
      </w:r>
      <w:r w:rsidR="00DA6B49">
        <w:rPr>
          <w:rFonts w:asciiTheme="minorHAnsi" w:hAnsiTheme="minorHAnsi"/>
          <w:bCs/>
          <w:snapToGrid w:val="0"/>
        </w:rPr>
        <w:t>resulting in</w:t>
      </w:r>
      <w:r>
        <w:rPr>
          <w:rFonts w:asciiTheme="minorHAnsi" w:hAnsiTheme="minorHAnsi"/>
          <w:bCs/>
          <w:snapToGrid w:val="0"/>
        </w:rPr>
        <w:t xml:space="preserve"> severe anaemia</w:t>
      </w:r>
      <w:r w:rsidR="00DA6B49">
        <w:rPr>
          <w:rFonts w:asciiTheme="minorHAnsi" w:hAnsiTheme="minorHAnsi"/>
          <w:bCs/>
          <w:snapToGrid w:val="0"/>
        </w:rPr>
        <w:t>,</w:t>
      </w:r>
      <w:r>
        <w:rPr>
          <w:rFonts w:asciiTheme="minorHAnsi" w:hAnsiTheme="minorHAnsi"/>
          <w:bCs/>
          <w:snapToGrid w:val="0"/>
        </w:rPr>
        <w:t xml:space="preserve"> </w:t>
      </w:r>
      <w:r w:rsidR="00646D2F">
        <w:rPr>
          <w:rFonts w:asciiTheme="minorHAnsi" w:hAnsiTheme="minorHAnsi"/>
          <w:bCs/>
          <w:snapToGrid w:val="0"/>
        </w:rPr>
        <w:t xml:space="preserve">linzagolix would </w:t>
      </w:r>
      <w:r w:rsidR="00DA6B49">
        <w:rPr>
          <w:rFonts w:asciiTheme="minorHAnsi" w:hAnsiTheme="minorHAnsi"/>
          <w:bCs/>
          <w:snapToGrid w:val="0"/>
        </w:rPr>
        <w:t>provide a high chance of rapid reduction in</w:t>
      </w:r>
      <w:r w:rsidR="00646D2F">
        <w:rPr>
          <w:rFonts w:asciiTheme="minorHAnsi" w:hAnsiTheme="minorHAnsi"/>
          <w:bCs/>
          <w:snapToGrid w:val="0"/>
        </w:rPr>
        <w:t xml:space="preserve"> </w:t>
      </w:r>
      <w:r w:rsidR="00676388">
        <w:rPr>
          <w:rFonts w:asciiTheme="minorHAnsi" w:hAnsiTheme="minorHAnsi"/>
          <w:bCs/>
          <w:snapToGrid w:val="0"/>
        </w:rPr>
        <w:t>HMB</w:t>
      </w:r>
      <w:r w:rsidR="00646D2F">
        <w:rPr>
          <w:rFonts w:asciiTheme="minorHAnsi" w:hAnsiTheme="minorHAnsi"/>
          <w:bCs/>
          <w:snapToGrid w:val="0"/>
        </w:rPr>
        <w:t xml:space="preserve"> and </w:t>
      </w:r>
      <w:r w:rsidR="00DA6B49">
        <w:rPr>
          <w:rFonts w:asciiTheme="minorHAnsi" w:hAnsiTheme="minorHAnsi"/>
          <w:bCs/>
          <w:snapToGrid w:val="0"/>
        </w:rPr>
        <w:t xml:space="preserve">optimise the chance of success for </w:t>
      </w:r>
      <w:r w:rsidR="00A57560">
        <w:rPr>
          <w:rFonts w:asciiTheme="minorHAnsi" w:hAnsiTheme="minorHAnsi"/>
          <w:bCs/>
          <w:snapToGrid w:val="0"/>
        </w:rPr>
        <w:t>laparoscopic</w:t>
      </w:r>
      <w:r w:rsidR="00DA6B49">
        <w:rPr>
          <w:rFonts w:asciiTheme="minorHAnsi" w:hAnsiTheme="minorHAnsi"/>
          <w:bCs/>
          <w:snapToGrid w:val="0"/>
        </w:rPr>
        <w:t xml:space="preserve"> myomectomy. </w:t>
      </w:r>
    </w:p>
    <w:p w14:paraId="0D980944" w14:textId="0B0A4325" w:rsidR="00DA6B49" w:rsidRDefault="00DA6B49" w:rsidP="00DA6B49">
      <w:pPr>
        <w:widowControl w:val="0"/>
        <w:spacing w:after="120"/>
        <w:ind w:left="720"/>
        <w:rPr>
          <w:rFonts w:asciiTheme="minorHAnsi" w:hAnsiTheme="minorHAnsi"/>
          <w:bCs/>
          <w:snapToGrid w:val="0"/>
        </w:rPr>
      </w:pPr>
      <w:r>
        <w:rPr>
          <w:rFonts w:asciiTheme="minorHAnsi" w:hAnsiTheme="minorHAnsi"/>
          <w:bCs/>
          <w:snapToGrid w:val="0"/>
        </w:rPr>
        <w:t>2. In a 37 year old patient with HMB, li</w:t>
      </w:r>
      <w:r w:rsidR="007819F1">
        <w:rPr>
          <w:rFonts w:asciiTheme="minorHAnsi" w:hAnsiTheme="minorHAnsi"/>
          <w:bCs/>
          <w:snapToGrid w:val="0"/>
        </w:rPr>
        <w:t>n</w:t>
      </w:r>
      <w:r>
        <w:rPr>
          <w:rFonts w:asciiTheme="minorHAnsi" w:hAnsiTheme="minorHAnsi"/>
          <w:bCs/>
          <w:snapToGrid w:val="0"/>
        </w:rPr>
        <w:t>zagolix may reduce symptoms and allow the patient to avoid surgical treatment and conserve fertility</w:t>
      </w:r>
      <w:r w:rsidR="00646D2F">
        <w:rPr>
          <w:rFonts w:asciiTheme="minorHAnsi" w:hAnsiTheme="minorHAnsi"/>
          <w:bCs/>
          <w:snapToGrid w:val="0"/>
        </w:rPr>
        <w:t xml:space="preserve">. </w:t>
      </w:r>
    </w:p>
    <w:p w14:paraId="601998EB" w14:textId="27933464" w:rsidR="00DA6B49" w:rsidRDefault="00DA6B49" w:rsidP="00DA6B49">
      <w:pPr>
        <w:widowControl w:val="0"/>
        <w:spacing w:after="120"/>
        <w:ind w:left="720"/>
        <w:rPr>
          <w:rFonts w:asciiTheme="minorHAnsi" w:hAnsiTheme="minorHAnsi"/>
          <w:bCs/>
          <w:snapToGrid w:val="0"/>
        </w:rPr>
      </w:pPr>
      <w:r>
        <w:rPr>
          <w:rFonts w:asciiTheme="minorHAnsi" w:hAnsiTheme="minorHAnsi"/>
          <w:bCs/>
          <w:snapToGrid w:val="0"/>
        </w:rPr>
        <w:t xml:space="preserve">3. In a 49 year old perimenopausal patient with quality of life severely impacted by HMB </w:t>
      </w:r>
      <w:r w:rsidR="00646D2F">
        <w:rPr>
          <w:rFonts w:asciiTheme="minorHAnsi" w:hAnsiTheme="minorHAnsi"/>
          <w:bCs/>
          <w:snapToGrid w:val="0"/>
        </w:rPr>
        <w:t>linza</w:t>
      </w:r>
      <w:r w:rsidR="00933B48">
        <w:rPr>
          <w:rFonts w:asciiTheme="minorHAnsi" w:hAnsiTheme="minorHAnsi"/>
          <w:bCs/>
          <w:snapToGrid w:val="0"/>
        </w:rPr>
        <w:t>g</w:t>
      </w:r>
      <w:r w:rsidR="00646D2F">
        <w:rPr>
          <w:rFonts w:asciiTheme="minorHAnsi" w:hAnsiTheme="minorHAnsi"/>
          <w:bCs/>
          <w:snapToGrid w:val="0"/>
        </w:rPr>
        <w:t xml:space="preserve">olix would </w:t>
      </w:r>
      <w:r>
        <w:rPr>
          <w:rFonts w:asciiTheme="minorHAnsi" w:hAnsiTheme="minorHAnsi"/>
          <w:bCs/>
          <w:snapToGrid w:val="0"/>
        </w:rPr>
        <w:t>provide</w:t>
      </w:r>
      <w:r w:rsidR="00A56E5B">
        <w:rPr>
          <w:rFonts w:asciiTheme="minorHAnsi" w:hAnsiTheme="minorHAnsi"/>
          <w:bCs/>
          <w:snapToGrid w:val="0"/>
        </w:rPr>
        <w:t xml:space="preserve"> symptom control </w:t>
      </w:r>
      <w:r>
        <w:rPr>
          <w:rFonts w:asciiTheme="minorHAnsi" w:hAnsiTheme="minorHAnsi"/>
          <w:bCs/>
          <w:snapToGrid w:val="0"/>
        </w:rPr>
        <w:t xml:space="preserve">until menopause </w:t>
      </w:r>
      <w:r w:rsidR="00393CA2">
        <w:rPr>
          <w:rFonts w:asciiTheme="minorHAnsi" w:hAnsiTheme="minorHAnsi"/>
          <w:bCs/>
          <w:snapToGrid w:val="0"/>
        </w:rPr>
        <w:t>and</w:t>
      </w:r>
      <w:r w:rsidR="00676388">
        <w:rPr>
          <w:rFonts w:asciiTheme="minorHAnsi" w:hAnsiTheme="minorHAnsi"/>
          <w:bCs/>
          <w:snapToGrid w:val="0"/>
        </w:rPr>
        <w:t xml:space="preserve"> </w:t>
      </w:r>
      <w:r w:rsidR="00A848D9">
        <w:rPr>
          <w:rFonts w:asciiTheme="minorHAnsi" w:hAnsiTheme="minorHAnsi"/>
          <w:bCs/>
          <w:snapToGrid w:val="0"/>
        </w:rPr>
        <w:t>avoid</w:t>
      </w:r>
      <w:r>
        <w:rPr>
          <w:rFonts w:asciiTheme="minorHAnsi" w:hAnsiTheme="minorHAnsi"/>
          <w:bCs/>
          <w:snapToGrid w:val="0"/>
        </w:rPr>
        <w:t xml:space="preserve"> the need for</w:t>
      </w:r>
      <w:r w:rsidR="00A848D9">
        <w:rPr>
          <w:rFonts w:asciiTheme="minorHAnsi" w:hAnsiTheme="minorHAnsi"/>
          <w:bCs/>
          <w:snapToGrid w:val="0"/>
        </w:rPr>
        <w:t xml:space="preserve"> </w:t>
      </w:r>
      <w:r w:rsidR="00925D88">
        <w:rPr>
          <w:rFonts w:asciiTheme="minorHAnsi" w:hAnsiTheme="minorHAnsi"/>
          <w:bCs/>
          <w:snapToGrid w:val="0"/>
        </w:rPr>
        <w:t xml:space="preserve">a </w:t>
      </w:r>
      <w:r w:rsidR="00A848D9">
        <w:rPr>
          <w:rFonts w:asciiTheme="minorHAnsi" w:hAnsiTheme="minorHAnsi"/>
          <w:bCs/>
          <w:snapToGrid w:val="0"/>
        </w:rPr>
        <w:t>hysterectomy</w:t>
      </w:r>
      <w:r w:rsidR="00A56E5B">
        <w:rPr>
          <w:rFonts w:asciiTheme="minorHAnsi" w:hAnsiTheme="minorHAnsi"/>
          <w:bCs/>
          <w:snapToGrid w:val="0"/>
        </w:rPr>
        <w:t xml:space="preserve">. </w:t>
      </w:r>
    </w:p>
    <w:p w14:paraId="2B7B7C2D" w14:textId="554D9A66" w:rsidR="00A57560" w:rsidRDefault="00925D88" w:rsidP="00A57560">
      <w:pPr>
        <w:pStyle w:val="3-BodyText"/>
      </w:pPr>
      <w:r>
        <w:t xml:space="preserve">The clinician also noted </w:t>
      </w:r>
      <w:r w:rsidR="00DA6B49">
        <w:t xml:space="preserve">there are </w:t>
      </w:r>
      <w:r>
        <w:t>patients</w:t>
      </w:r>
      <w:r w:rsidR="00DA6B49">
        <w:t xml:space="preserve"> with HMB</w:t>
      </w:r>
      <w:r>
        <w:t xml:space="preserve"> who would not benefit from treatment with linzagolix, noting the side effect profile of linzagolix, contraindications and certain fibroid</w:t>
      </w:r>
      <w:r w:rsidR="00DA6B49">
        <w:t xml:space="preserve"> types unlikely to respond to linzagolix</w:t>
      </w:r>
      <w:r>
        <w:t xml:space="preserve">. </w:t>
      </w:r>
      <w:r w:rsidR="00A57560">
        <w:t>The clinician also clarified that subserosal fibroids (</w:t>
      </w:r>
      <w:r w:rsidR="00A57560" w:rsidRPr="00FD5102">
        <w:t>located outside the uterus</w:t>
      </w:r>
      <w:r w:rsidR="00A57560">
        <w:t xml:space="preserve"> and excluded from the PRIMROSE trials) were hormone dependent and were likely to respond to linzagolix.</w:t>
      </w:r>
    </w:p>
    <w:p w14:paraId="18EEB6BC" w14:textId="5986BF9D" w:rsidR="00393CA2" w:rsidRPr="00705570" w:rsidRDefault="00393CA2" w:rsidP="00A57560">
      <w:pPr>
        <w:pStyle w:val="3-BodyText"/>
      </w:pPr>
      <w:r w:rsidRPr="00705570">
        <w:t xml:space="preserve">The clinician clarified that the length of treatment would </w:t>
      </w:r>
      <w:r w:rsidR="00925D88" w:rsidRPr="00705570">
        <w:t xml:space="preserve">likely </w:t>
      </w:r>
      <w:r w:rsidRPr="00705570">
        <w:t xml:space="preserve">depend on individual circumstances </w:t>
      </w:r>
      <w:r w:rsidR="00A57560">
        <w:t xml:space="preserve">and the goals of treatment </w:t>
      </w:r>
      <w:r w:rsidRPr="00705570">
        <w:t xml:space="preserve">and may change from year-to-year and therefore would require dynamic management and </w:t>
      </w:r>
      <w:r w:rsidR="000458FF">
        <w:t xml:space="preserve">ongoing </w:t>
      </w:r>
      <w:r w:rsidRPr="00705570">
        <w:t>clinical monitoring.</w:t>
      </w:r>
      <w:r w:rsidR="00705570">
        <w:t xml:space="preserve"> The clinician stated that treatment would likely be short</w:t>
      </w:r>
      <w:r w:rsidR="00951015">
        <w:t>er</w:t>
      </w:r>
      <w:r w:rsidR="00705570">
        <w:t xml:space="preserve"> for women</w:t>
      </w:r>
      <w:r w:rsidR="00951015">
        <w:t xml:space="preserve"> when</w:t>
      </w:r>
      <w:r w:rsidR="00705570">
        <w:t xml:space="preserve"> the goal of treatment is to</w:t>
      </w:r>
      <w:r w:rsidR="00705570" w:rsidRPr="00705570">
        <w:t xml:space="preserve"> </w:t>
      </w:r>
      <w:r w:rsidR="00705570">
        <w:t>reduc</w:t>
      </w:r>
      <w:r w:rsidR="00951015">
        <w:t>e</w:t>
      </w:r>
      <w:r w:rsidR="00705570">
        <w:t xml:space="preserve"> fibroid volume </w:t>
      </w:r>
      <w:r w:rsidR="000458FF">
        <w:t>prior to</w:t>
      </w:r>
      <w:r w:rsidR="00705570">
        <w:t xml:space="preserve"> surgical intervention</w:t>
      </w:r>
      <w:r w:rsidR="00676388">
        <w:t xml:space="preserve"> and</w:t>
      </w:r>
      <w:r w:rsidR="00951015">
        <w:t xml:space="preserve"> would be longer when the goal of treatment is symptom control and the patient is seeking to avoid surgery. </w:t>
      </w:r>
      <w:r w:rsidR="00925D88" w:rsidRPr="00705570">
        <w:t xml:space="preserve">The clinician noted that ABT was important for ongoing treatment and BMD should be assessed periodically. </w:t>
      </w:r>
      <w:r w:rsidR="00A03504">
        <w:t>Particularly for young</w:t>
      </w:r>
      <w:r w:rsidR="00676388">
        <w:t>er</w:t>
      </w:r>
      <w:r w:rsidR="00A03504">
        <w:t xml:space="preserve"> women, the</w:t>
      </w:r>
      <w:r w:rsidR="00705570">
        <w:t xml:space="preserve"> dose should be minimised </w:t>
      </w:r>
      <w:r w:rsidR="00951015">
        <w:t xml:space="preserve">in women with </w:t>
      </w:r>
      <w:r w:rsidR="00A03504">
        <w:t>risk factors for osteoporosis and surveillance should be every 12 months to determine</w:t>
      </w:r>
      <w:r w:rsidR="00951015">
        <w:t xml:space="preserve"> an</w:t>
      </w:r>
      <w:r w:rsidR="00A03504">
        <w:t xml:space="preserve"> indication for ongoing treatment. </w:t>
      </w:r>
    </w:p>
    <w:p w14:paraId="62CB4758" w14:textId="5866AEBF" w:rsidR="002E0B9E" w:rsidRPr="00D03374" w:rsidRDefault="002E0B9E" w:rsidP="00A57560">
      <w:pPr>
        <w:pStyle w:val="3-BodyText"/>
      </w:pPr>
      <w:r w:rsidRPr="002E0B9E">
        <w:lastRenderedPageBreak/>
        <w:t xml:space="preserve">The PBAC considered that the hearing was informative as it provided a clinical perspective on </w:t>
      </w:r>
      <w:r w:rsidR="00272198">
        <w:t xml:space="preserve">how linzagolix is </w:t>
      </w:r>
      <w:r w:rsidR="00D03374">
        <w:t xml:space="preserve">likely be </w:t>
      </w:r>
      <w:r w:rsidR="00272198">
        <w:t>used in clinical practice</w:t>
      </w:r>
      <w:r w:rsidR="00D03374">
        <w:t>.</w:t>
      </w:r>
    </w:p>
    <w:bookmarkEnd w:id="21"/>
    <w:p w14:paraId="5BF4D353" w14:textId="77777777" w:rsidR="00CD353C" w:rsidRPr="006E1229" w:rsidRDefault="00CD353C" w:rsidP="007819F1">
      <w:pPr>
        <w:pStyle w:val="3-SubsectionHeading"/>
        <w:outlineLvl w:val="1"/>
        <w:rPr>
          <w:lang w:eastAsia="en-AU"/>
        </w:rPr>
      </w:pPr>
      <w:r w:rsidRPr="006E1229">
        <w:rPr>
          <w:lang w:eastAsia="en-AU"/>
        </w:rPr>
        <w:t>Consumer comments</w:t>
      </w:r>
    </w:p>
    <w:p w14:paraId="609A90A9" w14:textId="117E5A08" w:rsidR="00CD353C" w:rsidRPr="00CD353C" w:rsidRDefault="00CD353C" w:rsidP="00CD353C">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 xml:space="preserve"> The PBAC noted that no consumer comments were received for this item.</w:t>
      </w:r>
      <w:bookmarkEnd w:id="20"/>
      <w:bookmarkEnd w:id="22"/>
    </w:p>
    <w:p w14:paraId="17D47AC6" w14:textId="7F0A6DD0" w:rsidR="003146C9" w:rsidRPr="00482A36" w:rsidRDefault="003146C9" w:rsidP="003146C9">
      <w:pPr>
        <w:pStyle w:val="4-SubsectionHeading"/>
      </w:pPr>
      <w:bookmarkStart w:id="23" w:name="_Toc167269199"/>
      <w:r w:rsidRPr="00482A36">
        <w:t>Clinical trials</w:t>
      </w:r>
      <w:bookmarkEnd w:id="19"/>
      <w:bookmarkEnd w:id="23"/>
    </w:p>
    <w:p w14:paraId="71B35ACD" w14:textId="77777777" w:rsidR="004C1488" w:rsidRDefault="003146C9" w:rsidP="004C1488">
      <w:pPr>
        <w:pStyle w:val="3-BodyText"/>
        <w:rPr>
          <w:color w:val="0066FF"/>
        </w:rPr>
      </w:pPr>
      <w:r w:rsidRPr="00482A36">
        <w:rPr>
          <w:snapToGrid/>
        </w:rPr>
        <w:t xml:space="preserve">The submission was based on </w:t>
      </w:r>
      <w:r w:rsidR="00E44C99" w:rsidRPr="00482A36">
        <w:rPr>
          <w:snapToGrid/>
        </w:rPr>
        <w:t xml:space="preserve">two </w:t>
      </w:r>
      <w:r w:rsidR="00555B4A" w:rsidRPr="00482A36">
        <w:rPr>
          <w:snapToGrid/>
        </w:rPr>
        <w:t>identically designed</w:t>
      </w:r>
      <w:r w:rsidRPr="00482A36">
        <w:rPr>
          <w:snapToGrid/>
        </w:rPr>
        <w:t xml:space="preserve"> head-to-head trial</w:t>
      </w:r>
      <w:r w:rsidR="00E44C99" w:rsidRPr="00482A36">
        <w:rPr>
          <w:snapToGrid/>
        </w:rPr>
        <w:t>s</w:t>
      </w:r>
      <w:r w:rsidRPr="00482A36">
        <w:rPr>
          <w:snapToGrid/>
        </w:rPr>
        <w:t xml:space="preserve"> comparing </w:t>
      </w:r>
      <w:r w:rsidR="00E44C99" w:rsidRPr="00482A36">
        <w:rPr>
          <w:snapToGrid/>
        </w:rPr>
        <w:t>linzagolix</w:t>
      </w:r>
      <w:r w:rsidRPr="00482A36">
        <w:rPr>
          <w:snapToGrid/>
        </w:rPr>
        <w:t xml:space="preserve"> to </w:t>
      </w:r>
      <w:r w:rsidR="00E44C99" w:rsidRPr="00482A36">
        <w:rPr>
          <w:snapToGrid/>
        </w:rPr>
        <w:t>placebo,</w:t>
      </w:r>
      <w:r w:rsidRPr="00482A36">
        <w:rPr>
          <w:snapToGrid/>
        </w:rPr>
        <w:t xml:space="preserve"> </w:t>
      </w:r>
      <w:r w:rsidR="00E44C99" w:rsidRPr="00482A36">
        <w:rPr>
          <w:snapToGrid/>
        </w:rPr>
        <w:t>PRIMROSE 1 (n=574) and PRIMROSE 2 (n=535) and an extension safety study, PRIMROSE 3 (n=129)</w:t>
      </w:r>
      <w:r w:rsidRPr="00482A36">
        <w:rPr>
          <w:snapToGrid/>
        </w:rPr>
        <w:t xml:space="preserve">. </w:t>
      </w:r>
    </w:p>
    <w:p w14:paraId="199E9E84" w14:textId="62E331CF" w:rsidR="004C1488" w:rsidRDefault="00636C07" w:rsidP="004C1488">
      <w:pPr>
        <w:pStyle w:val="3-BodyText"/>
        <w:rPr>
          <w:color w:val="0066FF"/>
        </w:rPr>
      </w:pPr>
      <w:r w:rsidRPr="004C1488">
        <w:rPr>
          <w:snapToGrid/>
        </w:rPr>
        <w:t>The ESC noted that the clinical trial evidence presented in the submission did not inform the second line setting</w:t>
      </w:r>
      <w:r w:rsidR="00F658BB" w:rsidRPr="004C1488">
        <w:rPr>
          <w:snapToGrid/>
        </w:rPr>
        <w:t xml:space="preserve">, </w:t>
      </w:r>
      <w:r w:rsidR="00F658BB" w:rsidRPr="004C1488">
        <w:rPr>
          <w:iCs/>
          <w:snapToGrid/>
        </w:rPr>
        <w:t>as the trial comparator (placebo) did not reflect the treatment most likely to be replaced in practice, i.e., BSC that also includes hormonal agents (in those not considered unsuitable) and tranexamic acid.</w:t>
      </w:r>
      <w:r w:rsidR="00F658BB" w:rsidRPr="004C1488">
        <w:rPr>
          <w:snapToGrid/>
        </w:rPr>
        <w:t xml:space="preserve"> </w:t>
      </w:r>
      <w:r w:rsidR="007A647A" w:rsidRPr="004C1488">
        <w:rPr>
          <w:snapToGrid/>
        </w:rPr>
        <w:t>A</w:t>
      </w:r>
      <w:r w:rsidR="00F810E3" w:rsidRPr="004C1488">
        <w:rPr>
          <w:snapToGrid/>
        </w:rPr>
        <w:t xml:space="preserve">ll patients in the PRIMROSE trials were required to cease </w:t>
      </w:r>
      <w:r w:rsidR="00602CE7" w:rsidRPr="004C1488">
        <w:rPr>
          <w:snapToGrid/>
        </w:rPr>
        <w:t xml:space="preserve">any prior </w:t>
      </w:r>
      <w:r w:rsidR="00F810E3" w:rsidRPr="004C1488">
        <w:rPr>
          <w:snapToGrid/>
        </w:rPr>
        <w:t>hormonal agents</w:t>
      </w:r>
      <w:r w:rsidR="00A648DE" w:rsidRPr="004C1488">
        <w:rPr>
          <w:snapToGrid/>
        </w:rPr>
        <w:t xml:space="preserve"> (including combined contraceptives and progestins, depot contraceptives and selective estrogen and progesterone receptor modulators) </w:t>
      </w:r>
      <w:r w:rsidR="00F810E3" w:rsidRPr="004C1488">
        <w:rPr>
          <w:snapToGrid/>
        </w:rPr>
        <w:t xml:space="preserve">and tranexamic acid prior to trial entry and were not permitted these treatments during trial. The submission argued that the </w:t>
      </w:r>
      <w:r w:rsidR="00B354A3" w:rsidRPr="004C1488">
        <w:rPr>
          <w:snapToGrid/>
        </w:rPr>
        <w:t xml:space="preserve">efficacy </w:t>
      </w:r>
      <w:r w:rsidR="00C82017" w:rsidRPr="004C1488">
        <w:rPr>
          <w:snapToGrid/>
        </w:rPr>
        <w:t xml:space="preserve">of linzagolix </w:t>
      </w:r>
      <w:r w:rsidR="00F810E3" w:rsidRPr="004C1488">
        <w:rPr>
          <w:snapToGrid/>
        </w:rPr>
        <w:t>is unlikely to be affected by prior hormonal therapies</w:t>
      </w:r>
      <w:r w:rsidR="00B354A3" w:rsidRPr="004C1488">
        <w:rPr>
          <w:snapToGrid/>
        </w:rPr>
        <w:t>.</w:t>
      </w:r>
      <w:r w:rsidR="00F810E3" w:rsidRPr="004C1488">
        <w:rPr>
          <w:snapToGrid/>
        </w:rPr>
        <w:t xml:space="preserve"> </w:t>
      </w:r>
      <w:r w:rsidR="00B354A3" w:rsidRPr="004C1488">
        <w:rPr>
          <w:snapToGrid/>
        </w:rPr>
        <w:t>W</w:t>
      </w:r>
      <w:r w:rsidR="00F810E3" w:rsidRPr="004C1488">
        <w:rPr>
          <w:snapToGrid/>
        </w:rPr>
        <w:t xml:space="preserve">hile this may be reasonable, any comparisons of linzagolix versus placebo from the PRIMROSE trials would </w:t>
      </w:r>
      <w:r w:rsidR="00AC2EDA" w:rsidRPr="004C1488">
        <w:rPr>
          <w:snapToGrid/>
        </w:rPr>
        <w:t>favo</w:t>
      </w:r>
      <w:r w:rsidR="00456CC5" w:rsidRPr="004C1488">
        <w:rPr>
          <w:snapToGrid/>
        </w:rPr>
        <w:t>u</w:t>
      </w:r>
      <w:r w:rsidR="00AC2EDA" w:rsidRPr="004C1488">
        <w:rPr>
          <w:snapToGrid/>
        </w:rPr>
        <w:t>r</w:t>
      </w:r>
      <w:r w:rsidR="00F810E3" w:rsidRPr="004C1488">
        <w:rPr>
          <w:snapToGrid/>
        </w:rPr>
        <w:t xml:space="preserve"> linzagolix given hormone treatments</w:t>
      </w:r>
      <w:r w:rsidR="00D540C9" w:rsidRPr="004C1488">
        <w:rPr>
          <w:snapToGrid/>
        </w:rPr>
        <w:t>, if administered in the comparator arm,</w:t>
      </w:r>
      <w:r w:rsidR="00F810E3" w:rsidRPr="004C1488">
        <w:rPr>
          <w:snapToGrid/>
        </w:rPr>
        <w:t xml:space="preserve"> would also </w:t>
      </w:r>
      <w:proofErr w:type="gramStart"/>
      <w:r w:rsidR="00F810E3" w:rsidRPr="004C1488">
        <w:rPr>
          <w:snapToGrid/>
        </w:rPr>
        <w:t>have an effect on</w:t>
      </w:r>
      <w:proofErr w:type="gramEnd"/>
      <w:r w:rsidR="00F810E3" w:rsidRPr="004C1488">
        <w:rPr>
          <w:snapToGrid/>
        </w:rPr>
        <w:t xml:space="preserve"> reducing menstrual bleeding</w:t>
      </w:r>
      <w:r w:rsidR="00D540C9" w:rsidRPr="004C1488">
        <w:rPr>
          <w:snapToGrid/>
        </w:rPr>
        <w:t xml:space="preserve"> (the trial primary outcome)</w:t>
      </w:r>
      <w:r w:rsidR="00F810E3" w:rsidRPr="004C1488">
        <w:rPr>
          <w:snapToGrid/>
        </w:rPr>
        <w:t xml:space="preserve">. </w:t>
      </w:r>
      <w:r w:rsidR="008D61BD" w:rsidRPr="004C1488">
        <w:rPr>
          <w:snapToGrid/>
        </w:rPr>
        <w:t xml:space="preserve">The pre-PBAC response acknowledged that the PRIMROSE trials did not explicitly reflect the use of linzagolix in the second-line setting. However, considered that the lack of clinical evidence for linzagolix in the second-line setting </w:t>
      </w:r>
      <w:r w:rsidR="005C7DDF" w:rsidRPr="004C1488">
        <w:rPr>
          <w:snapToGrid/>
        </w:rPr>
        <w:t>should</w:t>
      </w:r>
      <w:r w:rsidR="008D61BD" w:rsidRPr="004C1488">
        <w:rPr>
          <w:snapToGrid/>
        </w:rPr>
        <w:t xml:space="preserve"> not present a substantial applicability issue</w:t>
      </w:r>
      <w:r w:rsidR="005C7DDF" w:rsidRPr="004C1488">
        <w:rPr>
          <w:snapToGrid/>
        </w:rPr>
        <w:t xml:space="preserve"> and</w:t>
      </w:r>
      <w:r w:rsidR="008D61BD" w:rsidRPr="004C1488">
        <w:rPr>
          <w:snapToGrid/>
        </w:rPr>
        <w:t xml:space="preserve"> noted that the use of GnRH antagonists, after the failure of first-line hormonal therapies, is strongly supported by clinical experts and clinical practice guidelines (Makary, 2023)</w:t>
      </w:r>
      <w:r w:rsidR="005C7DDF">
        <w:rPr>
          <w:rStyle w:val="FootnoteReference"/>
          <w:snapToGrid/>
        </w:rPr>
        <w:footnoteReference w:id="17"/>
      </w:r>
      <w:r w:rsidR="008D61BD" w:rsidRPr="004C1488">
        <w:rPr>
          <w:snapToGrid/>
        </w:rPr>
        <w:t>.</w:t>
      </w:r>
      <w:r w:rsidR="00E61776" w:rsidRPr="004C1488">
        <w:rPr>
          <w:snapToGrid/>
        </w:rPr>
        <w:t xml:space="preserve"> The response also noted that </w:t>
      </w:r>
      <w:proofErr w:type="gramStart"/>
      <w:r w:rsidR="00E61776" w:rsidRPr="004C1488">
        <w:rPr>
          <w:snapToGrid/>
        </w:rPr>
        <w:t>the majority</w:t>
      </w:r>
      <w:r w:rsidR="008D61BD" w:rsidRPr="004C1488">
        <w:rPr>
          <w:snapToGrid/>
        </w:rPr>
        <w:t xml:space="preserve"> </w:t>
      </w:r>
      <w:r w:rsidR="00894667">
        <w:rPr>
          <w:snapToGrid/>
        </w:rPr>
        <w:t>of</w:t>
      </w:r>
      <w:proofErr w:type="gramEnd"/>
      <w:r w:rsidR="00894667">
        <w:rPr>
          <w:snapToGrid/>
        </w:rPr>
        <w:t xml:space="preserve"> </w:t>
      </w:r>
      <w:r w:rsidR="008D61BD" w:rsidRPr="004C1488">
        <w:rPr>
          <w:snapToGrid/>
        </w:rPr>
        <w:t xml:space="preserve">patients with moderate to severe </w:t>
      </w:r>
      <w:r w:rsidR="00E61776" w:rsidRPr="004C1488">
        <w:rPr>
          <w:snapToGrid/>
        </w:rPr>
        <w:t>uterine fibroids</w:t>
      </w:r>
      <w:r w:rsidR="008D61BD" w:rsidRPr="004C1488">
        <w:rPr>
          <w:snapToGrid/>
        </w:rPr>
        <w:t xml:space="preserve"> are successfully managed using first-line therapies </w:t>
      </w:r>
      <w:r w:rsidR="00E61776" w:rsidRPr="004C1488">
        <w:rPr>
          <w:snapToGrid/>
        </w:rPr>
        <w:t xml:space="preserve">and considered that </w:t>
      </w:r>
      <w:r w:rsidR="008D61BD" w:rsidRPr="004C1488">
        <w:rPr>
          <w:snapToGrid/>
        </w:rPr>
        <w:t xml:space="preserve">the second-line population reflects a relatively small population with a high clinical need. </w:t>
      </w:r>
      <w:bookmarkStart w:id="24" w:name="_Ref169854746"/>
    </w:p>
    <w:p w14:paraId="4EBCDAF1" w14:textId="3E6F13AC" w:rsidR="00F810E3" w:rsidRPr="00AB6295" w:rsidRDefault="00636C07" w:rsidP="00A648DE">
      <w:pPr>
        <w:pStyle w:val="3-BodyText"/>
        <w:rPr>
          <w:snapToGrid/>
        </w:rPr>
      </w:pPr>
      <w:bookmarkStart w:id="25" w:name="_Ref174433316"/>
      <w:r w:rsidRPr="004C1488">
        <w:rPr>
          <w:snapToGrid/>
        </w:rPr>
        <w:t xml:space="preserve">For </w:t>
      </w:r>
      <w:r w:rsidRPr="004C1488">
        <w:rPr>
          <w:iCs/>
          <w:snapToGrid/>
        </w:rPr>
        <w:t>the first line setting</w:t>
      </w:r>
      <w:r w:rsidR="00F810E3" w:rsidRPr="004C1488">
        <w:rPr>
          <w:iCs/>
          <w:snapToGrid/>
        </w:rPr>
        <w:t>,</w:t>
      </w:r>
      <w:r w:rsidR="009854DA" w:rsidRPr="004C1488">
        <w:rPr>
          <w:iCs/>
          <w:snapToGrid/>
        </w:rPr>
        <w:t xml:space="preserve"> the evaluation considered the</w:t>
      </w:r>
      <w:r w:rsidR="00F810E3" w:rsidRPr="004C1488">
        <w:rPr>
          <w:snapToGrid/>
        </w:rPr>
        <w:t xml:space="preserve"> results from linzagolix + ABT were not relevant to patients considered unsuitable for hormonal treatments, </w:t>
      </w:r>
      <w:proofErr w:type="gramStart"/>
      <w:r w:rsidR="00F810E3" w:rsidRPr="004C1488">
        <w:rPr>
          <w:snapToGrid/>
        </w:rPr>
        <w:t>because by definition</w:t>
      </w:r>
      <w:r w:rsidR="00456CC5" w:rsidRPr="004C1488">
        <w:rPr>
          <w:snapToGrid/>
        </w:rPr>
        <w:t>,</w:t>
      </w:r>
      <w:r w:rsidR="00F810E3" w:rsidRPr="004C1488">
        <w:rPr>
          <w:snapToGrid/>
        </w:rPr>
        <w:t xml:space="preserve"> these</w:t>
      </w:r>
      <w:proofErr w:type="gramEnd"/>
      <w:r w:rsidR="00F810E3" w:rsidRPr="004C1488">
        <w:rPr>
          <w:snapToGrid/>
        </w:rPr>
        <w:t xml:space="preserve"> patients will not be receiving hormonal ABT. </w:t>
      </w:r>
      <w:r w:rsidR="008E24F5" w:rsidRPr="004C1488">
        <w:rPr>
          <w:iCs/>
          <w:snapToGrid/>
        </w:rPr>
        <w:t xml:space="preserve">The PSCR </w:t>
      </w:r>
      <w:r w:rsidR="008E24F5" w:rsidRPr="004C1488">
        <w:rPr>
          <w:iCs/>
        </w:rPr>
        <w:t>noted that while COC</w:t>
      </w:r>
      <w:r w:rsidR="007F0200" w:rsidRPr="004C1488">
        <w:rPr>
          <w:iCs/>
        </w:rPr>
        <w:t>s</w:t>
      </w:r>
      <w:r w:rsidR="008E24F5" w:rsidRPr="004C1488">
        <w:rPr>
          <w:iCs/>
        </w:rPr>
        <w:t xml:space="preserve"> and ABT share a similar hormone pathway, COC</w:t>
      </w:r>
      <w:r w:rsidR="009854DA" w:rsidRPr="004C1488">
        <w:rPr>
          <w:iCs/>
        </w:rPr>
        <w:t>s</w:t>
      </w:r>
      <w:r w:rsidR="008E24F5" w:rsidRPr="004C1488">
        <w:rPr>
          <w:iCs/>
        </w:rPr>
        <w:t xml:space="preserve"> (typically containing ethinylestradiol) are </w:t>
      </w:r>
      <w:r w:rsidR="0047504D" w:rsidRPr="004C1488">
        <w:rPr>
          <w:iCs/>
        </w:rPr>
        <w:t xml:space="preserve">higher strength </w:t>
      </w:r>
      <w:r w:rsidR="008E24F5" w:rsidRPr="004C1488">
        <w:rPr>
          <w:iCs/>
        </w:rPr>
        <w:t xml:space="preserve">than ABT (containing estradiol). </w:t>
      </w:r>
      <w:r w:rsidR="009854DA" w:rsidRPr="004C1488">
        <w:rPr>
          <w:iCs/>
        </w:rPr>
        <w:t xml:space="preserve">The PSCR emphasised that COCs for therapeutic use and ABT to manage linzagolix’s side effects are distinct treatments with different safety profiles. </w:t>
      </w:r>
      <w:r w:rsidR="008E24F5" w:rsidRPr="004C1488">
        <w:rPr>
          <w:iCs/>
        </w:rPr>
        <w:t xml:space="preserve">Thus, the unsuitability of </w:t>
      </w:r>
      <w:r w:rsidR="008E24F5" w:rsidRPr="004C1488">
        <w:rPr>
          <w:iCs/>
        </w:rPr>
        <w:lastRenderedPageBreak/>
        <w:t>COCs in the first</w:t>
      </w:r>
      <w:r w:rsidR="009854DA" w:rsidRPr="004C1488">
        <w:rPr>
          <w:iCs/>
        </w:rPr>
        <w:t xml:space="preserve"> </w:t>
      </w:r>
      <w:r w:rsidR="008E24F5" w:rsidRPr="004C1488">
        <w:rPr>
          <w:iCs/>
        </w:rPr>
        <w:t xml:space="preserve">line therapeutic setting </w:t>
      </w:r>
      <w:r w:rsidR="00DB2B8B" w:rsidRPr="004C1488">
        <w:rPr>
          <w:iCs/>
        </w:rPr>
        <w:t>would not</w:t>
      </w:r>
      <w:r w:rsidR="008E24F5" w:rsidRPr="004C1488">
        <w:rPr>
          <w:iCs/>
        </w:rPr>
        <w:t xml:space="preserve"> rule out the use of ABT with linzagolix for most patients. </w:t>
      </w:r>
      <w:r w:rsidR="009854DA" w:rsidRPr="004C1488">
        <w:rPr>
          <w:iCs/>
        </w:rPr>
        <w:t>The</w:t>
      </w:r>
      <w:r w:rsidR="008E24F5" w:rsidRPr="004C1488">
        <w:rPr>
          <w:iCs/>
        </w:rPr>
        <w:t xml:space="preserve"> ESC </w:t>
      </w:r>
      <w:r w:rsidR="00823FB4" w:rsidRPr="004C1488">
        <w:rPr>
          <w:iCs/>
        </w:rPr>
        <w:t>reiterated that</w:t>
      </w:r>
      <w:r w:rsidR="008E24F5" w:rsidRPr="004C1488">
        <w:rPr>
          <w:iCs/>
        </w:rPr>
        <w:t xml:space="preserve"> further clarification </w:t>
      </w:r>
      <w:r w:rsidR="00823FB4" w:rsidRPr="004C1488">
        <w:rPr>
          <w:iCs/>
        </w:rPr>
        <w:t>of the role and form of</w:t>
      </w:r>
      <w:r w:rsidR="008E24F5" w:rsidRPr="004C1488">
        <w:rPr>
          <w:iCs/>
        </w:rPr>
        <w:t xml:space="preserve"> ABT </w:t>
      </w:r>
      <w:r w:rsidR="00823FB4" w:rsidRPr="004C1488">
        <w:rPr>
          <w:iCs/>
        </w:rPr>
        <w:t>was required.</w:t>
      </w:r>
      <w:bookmarkEnd w:id="24"/>
      <w:r w:rsidR="00A0736B" w:rsidRPr="004C1488">
        <w:rPr>
          <w:iCs/>
        </w:rPr>
        <w:t xml:space="preserve"> The pre-PBAC response reiterated that the average therapeutic COC dose has 10 times the potency of an average ABT dose, and consequently a much greater risk of adverse events. </w:t>
      </w:r>
      <w:r w:rsidR="00E06FC3" w:rsidRPr="00AB6295">
        <w:t xml:space="preserve">Patients with the most severe uterine fibroids appeared to have been excluded, including those requiring surgery within 6 months, those with only subserosal fibroids </w:t>
      </w:r>
      <w:r w:rsidR="00E06FC3" w:rsidRPr="00AB6295">
        <w:rPr>
          <w:iCs/>
        </w:rPr>
        <w:t>(International Federation of Gynaecology and Obstetrics [FIGO] classification type 7), patients with the presence of clinically significant gynaecological conditions (i.e., large uterine polyps, calcified fibroids and/or uterus), and patients with haemoglobin levels below 60 g/L, resulting from severe menstrual blood loss.</w:t>
      </w:r>
      <w:r w:rsidR="00E06FC3">
        <w:rPr>
          <w:iCs/>
        </w:rPr>
        <w:t xml:space="preserve"> </w:t>
      </w:r>
      <w:r w:rsidR="00855EB1">
        <w:rPr>
          <w:snapToGrid/>
        </w:rPr>
        <w:t>T</w:t>
      </w:r>
      <w:r w:rsidR="00F810E3" w:rsidRPr="00AB6295">
        <w:rPr>
          <w:snapToGrid/>
        </w:rPr>
        <w:t>he trial population would also not reflect patients wanting to access linzagolix short term prior to surgery.</w:t>
      </w:r>
      <w:r w:rsidR="00914255">
        <w:rPr>
          <w:snapToGrid/>
        </w:rPr>
        <w:t xml:space="preserve"> </w:t>
      </w:r>
      <w:r w:rsidR="00914255" w:rsidRPr="00FD5102">
        <w:rPr>
          <w:iCs/>
        </w:rPr>
        <w:t xml:space="preserve">These patients are also likely to be those with the most severe symptoms. </w:t>
      </w:r>
      <w:r w:rsidR="00914255" w:rsidRPr="00FD5102">
        <w:rPr>
          <w:iCs/>
          <w:snapToGrid/>
        </w:rPr>
        <w:t xml:space="preserve">The PSCR acknowledged that patients requiring surgery within 6 months were excluded from the trial to prevent confounding of the primary outcome, which was assessed at 6 months. Additionally, these patients were not included in the economic and financial analysis. However, the PSCR argued that </w:t>
      </w:r>
      <w:r w:rsidR="006F6488" w:rsidRPr="00FD5102">
        <w:rPr>
          <w:iCs/>
          <w:snapToGrid/>
        </w:rPr>
        <w:t xml:space="preserve">this patient population </w:t>
      </w:r>
      <w:r w:rsidR="00914255" w:rsidRPr="00FD5102">
        <w:rPr>
          <w:iCs/>
          <w:snapToGrid/>
        </w:rPr>
        <w:t>would pose</w:t>
      </w:r>
      <w:r w:rsidR="006F6488" w:rsidRPr="00FD5102">
        <w:rPr>
          <w:iCs/>
          <w:snapToGrid/>
        </w:rPr>
        <w:t xml:space="preserve"> as a</w:t>
      </w:r>
      <w:r w:rsidR="00914255" w:rsidRPr="00FD5102">
        <w:rPr>
          <w:iCs/>
          <w:snapToGrid/>
        </w:rPr>
        <w:t xml:space="preserve"> low risk in terms of safety</w:t>
      </w:r>
      <w:r w:rsidR="006F6488" w:rsidRPr="00FD5102">
        <w:rPr>
          <w:iCs/>
          <w:snapToGrid/>
        </w:rPr>
        <w:t xml:space="preserve"> and budget due to the short duration of therapy and considered there was potential that the effectiveness of treatment </w:t>
      </w:r>
      <w:r w:rsidR="00020731" w:rsidRPr="00FD5102">
        <w:rPr>
          <w:iCs/>
          <w:snapToGrid/>
        </w:rPr>
        <w:t xml:space="preserve">may lead to patient’s avoiding </w:t>
      </w:r>
      <w:r w:rsidR="006F6488" w:rsidRPr="00FD5102">
        <w:rPr>
          <w:iCs/>
          <w:snapToGrid/>
        </w:rPr>
        <w:t>surgery</w:t>
      </w:r>
      <w:r w:rsidR="00914255" w:rsidRPr="00FD5102">
        <w:rPr>
          <w:iCs/>
          <w:snapToGrid/>
        </w:rPr>
        <w:t xml:space="preserve">. </w:t>
      </w:r>
      <w:r w:rsidR="006F6488" w:rsidRPr="00FD5102">
        <w:rPr>
          <w:iCs/>
          <w:snapToGrid/>
        </w:rPr>
        <w:t>However,</w:t>
      </w:r>
      <w:r w:rsidR="00914255" w:rsidRPr="00FD5102">
        <w:rPr>
          <w:iCs/>
          <w:snapToGrid/>
        </w:rPr>
        <w:t xml:space="preserve"> the ESC </w:t>
      </w:r>
      <w:r w:rsidR="006F6488" w:rsidRPr="00FD5102">
        <w:rPr>
          <w:iCs/>
          <w:snapToGrid/>
        </w:rPr>
        <w:t xml:space="preserve">noted </w:t>
      </w:r>
      <w:r w:rsidR="00020731" w:rsidRPr="00FD5102">
        <w:rPr>
          <w:iCs/>
          <w:snapToGrid/>
        </w:rPr>
        <w:t xml:space="preserve">that </w:t>
      </w:r>
      <w:r w:rsidR="006F6488" w:rsidRPr="00FD5102">
        <w:rPr>
          <w:iCs/>
          <w:snapToGrid/>
        </w:rPr>
        <w:t>there was no evidence-based data to support these claims.</w:t>
      </w:r>
      <w:bookmarkEnd w:id="25"/>
    </w:p>
    <w:p w14:paraId="68FFC16F" w14:textId="5A263360" w:rsidR="00F810E3" w:rsidRPr="00AB6295" w:rsidRDefault="00F810E3" w:rsidP="00F810E3">
      <w:pPr>
        <w:pStyle w:val="3-BodyText"/>
        <w:rPr>
          <w:snapToGrid/>
        </w:rPr>
      </w:pPr>
      <w:r w:rsidRPr="00AB6295">
        <w:rPr>
          <w:snapToGrid/>
        </w:rPr>
        <w:t>The</w:t>
      </w:r>
      <w:r w:rsidR="00636C07">
        <w:rPr>
          <w:snapToGrid/>
        </w:rPr>
        <w:t xml:space="preserve"> </w:t>
      </w:r>
      <w:r w:rsidR="00636C07" w:rsidRPr="00FD5102">
        <w:rPr>
          <w:iCs/>
          <w:snapToGrid/>
        </w:rPr>
        <w:t>ESC noted that the</w:t>
      </w:r>
      <w:r w:rsidRPr="00AB6295">
        <w:rPr>
          <w:snapToGrid/>
        </w:rPr>
        <w:t xml:space="preserve"> only potentially relevant comparisons for the requested PBS population from the PRIMROSE 1 and 2 trials would be those of linzagolix </w:t>
      </w:r>
      <w:r w:rsidR="00224353" w:rsidRPr="00AB6295">
        <w:rPr>
          <w:snapToGrid/>
        </w:rPr>
        <w:t>100</w:t>
      </w:r>
      <w:r w:rsidR="00224353">
        <w:rPr>
          <w:snapToGrid/>
        </w:rPr>
        <w:t> </w:t>
      </w:r>
      <w:r w:rsidRPr="00AB6295">
        <w:rPr>
          <w:snapToGrid/>
        </w:rPr>
        <w:t>mg or 200</w:t>
      </w:r>
      <w:r w:rsidR="00224353">
        <w:rPr>
          <w:snapToGrid/>
        </w:rPr>
        <w:t> </w:t>
      </w:r>
      <w:r w:rsidRPr="00AB6295">
        <w:rPr>
          <w:snapToGrid/>
        </w:rPr>
        <w:t>mg alone versus placebo as proxies for efficacy/safety in patients considered unsuitable for hormone treatments. These were proxies because the PRIMROSE trials did not specifically recruit patients who were intolerant or unsuitable for hormone therapy nor did the trials provide data for the most likely long-term regimen i.e., linzagolix 200</w:t>
      </w:r>
      <w:r w:rsidR="00F0777C" w:rsidRPr="00AB6295">
        <w:rPr>
          <w:snapToGrid/>
        </w:rPr>
        <w:t xml:space="preserve"> </w:t>
      </w:r>
      <w:r w:rsidRPr="00AB6295">
        <w:rPr>
          <w:snapToGrid/>
        </w:rPr>
        <w:t>mg followed by linzagolix 100 mg after 6 months.</w:t>
      </w:r>
    </w:p>
    <w:p w14:paraId="5EA02785" w14:textId="14D83326" w:rsidR="003146C9" w:rsidRPr="00482A36" w:rsidRDefault="003146C9" w:rsidP="003146C9">
      <w:pPr>
        <w:pStyle w:val="3-BodyText"/>
      </w:pPr>
      <w:r w:rsidRPr="00482A36">
        <w:rPr>
          <w:snapToGrid/>
        </w:rPr>
        <w:t>Details of the trials</w:t>
      </w:r>
      <w:r w:rsidR="00A71F81" w:rsidRPr="00482A36">
        <w:rPr>
          <w:snapToGrid/>
        </w:rPr>
        <w:t xml:space="preserve"> and the extension safety </w:t>
      </w:r>
      <w:r w:rsidRPr="00482A36">
        <w:rPr>
          <w:snapToGrid/>
        </w:rPr>
        <w:t>stud</w:t>
      </w:r>
      <w:r w:rsidR="00A71F81" w:rsidRPr="00482A36">
        <w:rPr>
          <w:snapToGrid/>
        </w:rPr>
        <w:t>y</w:t>
      </w:r>
      <w:r w:rsidRPr="00482A36">
        <w:rPr>
          <w:snapToGrid/>
        </w:rPr>
        <w:t xml:space="preserve"> presented in the submission are provided in</w:t>
      </w:r>
      <w:r w:rsidR="00342D01" w:rsidRPr="00482A36">
        <w:rPr>
          <w:snapToGrid/>
        </w:rPr>
        <w:t xml:space="preserve"> </w:t>
      </w:r>
      <w:r w:rsidR="00342D01" w:rsidRPr="00482A36">
        <w:rPr>
          <w:snapToGrid/>
        </w:rPr>
        <w:fldChar w:fldCharType="begin"/>
      </w:r>
      <w:r w:rsidR="00342D01" w:rsidRPr="00482A36">
        <w:rPr>
          <w:snapToGrid/>
        </w:rPr>
        <w:instrText xml:space="preserve"> REF _Ref104803956 \h </w:instrText>
      </w:r>
      <w:r w:rsidR="00342D01" w:rsidRPr="00482A36">
        <w:rPr>
          <w:snapToGrid/>
        </w:rPr>
      </w:r>
      <w:r w:rsidR="00342D01" w:rsidRPr="00482A36">
        <w:rPr>
          <w:snapToGrid/>
        </w:rPr>
        <w:fldChar w:fldCharType="separate"/>
      </w:r>
      <w:r w:rsidR="003E4FD0" w:rsidRPr="00482A36">
        <w:t xml:space="preserve">Table </w:t>
      </w:r>
      <w:r w:rsidR="003E4FD0">
        <w:rPr>
          <w:noProof/>
        </w:rPr>
        <w:t>2</w:t>
      </w:r>
      <w:r w:rsidR="00342D01" w:rsidRPr="00482A36">
        <w:rPr>
          <w:snapToGrid/>
        </w:rPr>
        <w:fldChar w:fldCharType="end"/>
      </w:r>
      <w:r w:rsidRPr="00482A36">
        <w:rPr>
          <w:snapToGrid/>
        </w:rPr>
        <w:t>.</w:t>
      </w:r>
    </w:p>
    <w:p w14:paraId="4118FC99" w14:textId="4E68749B" w:rsidR="003146C9" w:rsidRPr="00482A36" w:rsidRDefault="003146C9" w:rsidP="00E159E4">
      <w:pPr>
        <w:pStyle w:val="TableFigureHeading"/>
        <w:rPr>
          <w:rStyle w:val="CommentReference"/>
          <w:b/>
          <w:szCs w:val="24"/>
        </w:rPr>
      </w:pPr>
      <w:bookmarkStart w:id="26" w:name="_Ref104803956"/>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2</w:t>
      </w:r>
      <w:r w:rsidR="00747D8C">
        <w:rPr>
          <w:noProof/>
        </w:rPr>
        <w:fldChar w:fldCharType="end"/>
      </w:r>
      <w:bookmarkEnd w:id="26"/>
      <w:r w:rsidRPr="00482A36">
        <w:t>:</w:t>
      </w:r>
      <w:r w:rsidRPr="00482A36">
        <w:rPr>
          <w:rStyle w:val="CommentReference"/>
          <w:b/>
          <w:szCs w:val="24"/>
        </w:rPr>
        <w:t xml:space="preserve"> Trials</w:t>
      </w:r>
      <w:r w:rsidR="00A71F81" w:rsidRPr="00482A36">
        <w:rPr>
          <w:rStyle w:val="CommentReference"/>
          <w:b/>
          <w:szCs w:val="24"/>
        </w:rPr>
        <w:t xml:space="preserve">, </w:t>
      </w:r>
      <w:r w:rsidRPr="00482A36">
        <w:rPr>
          <w:rStyle w:val="CommentReference"/>
          <w:b/>
          <w:szCs w:val="24"/>
        </w:rPr>
        <w:t>studies and associated reports presented in the submission</w:t>
      </w:r>
    </w:p>
    <w:tbl>
      <w:tblPr>
        <w:tblW w:w="5000" w:type="pct"/>
        <w:tblCellMar>
          <w:left w:w="28" w:type="dxa"/>
          <w:right w:w="28" w:type="dxa"/>
        </w:tblCellMar>
        <w:tblLook w:val="01E0" w:firstRow="1" w:lastRow="1" w:firstColumn="1" w:lastColumn="1" w:noHBand="0" w:noVBand="0"/>
        <w:tblCaption w:val="Table 2: Trials, studies and associated reports presented in the submission"/>
      </w:tblPr>
      <w:tblGrid>
        <w:gridCol w:w="1434"/>
        <w:gridCol w:w="5224"/>
        <w:gridCol w:w="2359"/>
      </w:tblGrid>
      <w:tr w:rsidR="003146C9" w:rsidRPr="00482A36" w14:paraId="4BB4CAB8" w14:textId="77777777" w:rsidTr="00FC55D7">
        <w:trPr>
          <w:cantSplit/>
          <w:tblHeader/>
        </w:trPr>
        <w:tc>
          <w:tcPr>
            <w:tcW w:w="795" w:type="pct"/>
            <w:tcBorders>
              <w:top w:val="single" w:sz="4" w:space="0" w:color="auto"/>
              <w:left w:val="single" w:sz="4" w:space="0" w:color="auto"/>
              <w:bottom w:val="single" w:sz="4" w:space="0" w:color="auto"/>
              <w:right w:val="single" w:sz="4" w:space="0" w:color="auto"/>
            </w:tcBorders>
            <w:vAlign w:val="center"/>
          </w:tcPr>
          <w:p w14:paraId="769F46E8" w14:textId="77777777" w:rsidR="003146C9" w:rsidRPr="00482A36" w:rsidRDefault="003146C9" w:rsidP="00E159E4">
            <w:pPr>
              <w:pStyle w:val="Tabletext"/>
              <w:keepNext/>
              <w:rPr>
                <w:b/>
                <w:bCs/>
              </w:rPr>
            </w:pPr>
            <w:r w:rsidRPr="00482A36">
              <w:rPr>
                <w:b/>
                <w:bCs/>
              </w:rPr>
              <w:t>Trial ID</w:t>
            </w:r>
          </w:p>
        </w:tc>
        <w:tc>
          <w:tcPr>
            <w:tcW w:w="2897" w:type="pct"/>
            <w:tcBorders>
              <w:top w:val="single" w:sz="4" w:space="0" w:color="auto"/>
              <w:left w:val="single" w:sz="4" w:space="0" w:color="auto"/>
              <w:bottom w:val="single" w:sz="4" w:space="0" w:color="auto"/>
              <w:right w:val="single" w:sz="4" w:space="0" w:color="auto"/>
            </w:tcBorders>
            <w:vAlign w:val="center"/>
          </w:tcPr>
          <w:p w14:paraId="57701D81" w14:textId="77777777" w:rsidR="003146C9" w:rsidRPr="00482A36" w:rsidRDefault="003146C9" w:rsidP="00E159E4">
            <w:pPr>
              <w:pStyle w:val="Tabletext"/>
              <w:keepNext/>
              <w:rPr>
                <w:b/>
                <w:bCs/>
              </w:rPr>
            </w:pPr>
            <w:r w:rsidRPr="00482A36">
              <w:rPr>
                <w:b/>
                <w:bCs/>
              </w:rPr>
              <w:t>Protocol title/ Publication title</w:t>
            </w:r>
          </w:p>
        </w:tc>
        <w:tc>
          <w:tcPr>
            <w:tcW w:w="1308" w:type="pct"/>
            <w:tcBorders>
              <w:top w:val="single" w:sz="4" w:space="0" w:color="auto"/>
              <w:left w:val="single" w:sz="4" w:space="0" w:color="auto"/>
              <w:bottom w:val="single" w:sz="4" w:space="0" w:color="auto"/>
              <w:right w:val="single" w:sz="4" w:space="0" w:color="auto"/>
            </w:tcBorders>
            <w:vAlign w:val="center"/>
          </w:tcPr>
          <w:p w14:paraId="0328B502" w14:textId="77777777" w:rsidR="003146C9" w:rsidRPr="00482A36" w:rsidRDefault="003146C9" w:rsidP="00E159E4">
            <w:pPr>
              <w:pStyle w:val="Tabletext"/>
              <w:keepNext/>
              <w:rPr>
                <w:b/>
                <w:bCs/>
              </w:rPr>
            </w:pPr>
            <w:r w:rsidRPr="00482A36">
              <w:rPr>
                <w:b/>
                <w:bCs/>
              </w:rPr>
              <w:t>Publication citation</w:t>
            </w:r>
          </w:p>
        </w:tc>
      </w:tr>
      <w:tr w:rsidR="003146C9" w:rsidRPr="00482A36" w14:paraId="0472CB68" w14:textId="77777777" w:rsidTr="00FC55D7">
        <w:trPr>
          <w:cantSplit/>
        </w:trPr>
        <w:tc>
          <w:tcPr>
            <w:tcW w:w="795" w:type="pct"/>
            <w:tcBorders>
              <w:top w:val="single" w:sz="4" w:space="0" w:color="auto"/>
              <w:left w:val="single" w:sz="4" w:space="0" w:color="auto"/>
              <w:bottom w:val="single" w:sz="4" w:space="0" w:color="auto"/>
              <w:right w:val="single" w:sz="4" w:space="0" w:color="auto"/>
            </w:tcBorders>
            <w:vAlign w:val="center"/>
          </w:tcPr>
          <w:p w14:paraId="25137BED" w14:textId="77777777" w:rsidR="00F35BEA" w:rsidRPr="00482A36" w:rsidRDefault="00F35BEA" w:rsidP="00E159E4">
            <w:pPr>
              <w:pStyle w:val="Tabletext"/>
              <w:keepNext/>
              <w:rPr>
                <w:b/>
                <w:bCs/>
              </w:rPr>
            </w:pPr>
            <w:r w:rsidRPr="00482A36">
              <w:rPr>
                <w:b/>
              </w:rPr>
              <w:t>PRIMROSE 1</w:t>
            </w:r>
          </w:p>
          <w:p w14:paraId="181E41D2" w14:textId="7785EAFE" w:rsidR="003146C9" w:rsidRPr="00482A36" w:rsidRDefault="00F35BEA" w:rsidP="00E159E4">
            <w:pPr>
              <w:pStyle w:val="Tabletext"/>
              <w:keepNext/>
              <w:rPr>
                <w:szCs w:val="20"/>
              </w:rPr>
            </w:pPr>
            <w:r w:rsidRPr="00482A36">
              <w:t>(NCT03070899)</w:t>
            </w:r>
          </w:p>
        </w:tc>
        <w:tc>
          <w:tcPr>
            <w:tcW w:w="2897" w:type="pct"/>
            <w:tcBorders>
              <w:top w:val="single" w:sz="4" w:space="0" w:color="auto"/>
              <w:left w:val="single" w:sz="4" w:space="0" w:color="auto"/>
              <w:bottom w:val="single" w:sz="4" w:space="0" w:color="auto"/>
              <w:right w:val="single" w:sz="4" w:space="0" w:color="auto"/>
            </w:tcBorders>
            <w:vAlign w:val="center"/>
          </w:tcPr>
          <w:p w14:paraId="5BCFE3BD" w14:textId="0D45CCF9" w:rsidR="003146C9" w:rsidRPr="00482A36" w:rsidRDefault="00F35BEA" w:rsidP="00E159E4">
            <w:pPr>
              <w:pStyle w:val="Tabletext"/>
              <w:keepNext/>
            </w:pPr>
            <w:r w:rsidRPr="00482A36">
              <w:t>Clinical study report: A Phase 3, Multicentre, Randomized, Double-Blind, Placebo-Controlled Study Investigating the Efficacy and Safety of Daily Oral Administration of OBE2109 Alone and in Combination with Add-Back Therapy for the Management of Heavy Menstrual Bleeding Associated with Uterine Fibroids in Premenopausal Women.</w:t>
            </w:r>
          </w:p>
        </w:tc>
        <w:tc>
          <w:tcPr>
            <w:tcW w:w="1308" w:type="pct"/>
            <w:tcBorders>
              <w:top w:val="single" w:sz="4" w:space="0" w:color="auto"/>
              <w:left w:val="single" w:sz="4" w:space="0" w:color="auto"/>
              <w:bottom w:val="single" w:sz="4" w:space="0" w:color="auto"/>
              <w:right w:val="single" w:sz="4" w:space="0" w:color="auto"/>
            </w:tcBorders>
            <w:vAlign w:val="center"/>
          </w:tcPr>
          <w:p w14:paraId="68264F05" w14:textId="20D73C6C" w:rsidR="00F35BEA" w:rsidRPr="00482A36" w:rsidRDefault="00F35BEA" w:rsidP="00E159E4">
            <w:pPr>
              <w:pStyle w:val="Tabletext"/>
              <w:keepNext/>
            </w:pPr>
            <w:r w:rsidRPr="00482A36">
              <w:t>22</w:t>
            </w:r>
            <w:r w:rsidR="00495DC7">
              <w:t xml:space="preserve"> </w:t>
            </w:r>
            <w:r w:rsidRPr="00482A36">
              <w:t>Jun</w:t>
            </w:r>
            <w:r w:rsidR="00495DC7">
              <w:t xml:space="preserve"> </w:t>
            </w:r>
            <w:r w:rsidRPr="00482A36">
              <w:t>2021 (week 24 results)</w:t>
            </w:r>
          </w:p>
          <w:p w14:paraId="20B25A4B" w14:textId="337382AB" w:rsidR="00F35BEA" w:rsidRPr="00482A36" w:rsidRDefault="00F35BEA" w:rsidP="00E159E4">
            <w:pPr>
              <w:pStyle w:val="Tabletext"/>
              <w:keepNext/>
              <w:rPr>
                <w:szCs w:val="18"/>
              </w:rPr>
            </w:pPr>
            <w:r w:rsidRPr="00482A36">
              <w:rPr>
                <w:szCs w:val="18"/>
              </w:rPr>
              <w:t>21</w:t>
            </w:r>
            <w:r w:rsidR="00495DC7">
              <w:rPr>
                <w:szCs w:val="18"/>
              </w:rPr>
              <w:t xml:space="preserve"> </w:t>
            </w:r>
            <w:r w:rsidRPr="00482A36">
              <w:rPr>
                <w:szCs w:val="18"/>
              </w:rPr>
              <w:t>Jul</w:t>
            </w:r>
            <w:r w:rsidR="00495DC7">
              <w:rPr>
                <w:szCs w:val="18"/>
              </w:rPr>
              <w:t xml:space="preserve"> </w:t>
            </w:r>
            <w:r w:rsidRPr="00482A36">
              <w:rPr>
                <w:szCs w:val="18"/>
              </w:rPr>
              <w:t>2021 (week 52 results)</w:t>
            </w:r>
          </w:p>
          <w:p w14:paraId="5160AA51" w14:textId="575CC697" w:rsidR="003146C9" w:rsidRPr="00482A36" w:rsidRDefault="00F35BEA" w:rsidP="00E159E4">
            <w:pPr>
              <w:pStyle w:val="Tabletext"/>
              <w:keepNext/>
              <w:rPr>
                <w:rFonts w:ascii="Times" w:hAnsi="Times"/>
              </w:rPr>
            </w:pPr>
            <w:r w:rsidRPr="00482A36">
              <w:rPr>
                <w:szCs w:val="18"/>
              </w:rPr>
              <w:t>10</w:t>
            </w:r>
            <w:r w:rsidR="00495DC7">
              <w:rPr>
                <w:szCs w:val="18"/>
              </w:rPr>
              <w:t xml:space="preserve"> </w:t>
            </w:r>
            <w:r w:rsidRPr="00482A36">
              <w:rPr>
                <w:szCs w:val="18"/>
              </w:rPr>
              <w:t>Jun</w:t>
            </w:r>
            <w:r w:rsidR="00495DC7">
              <w:rPr>
                <w:szCs w:val="18"/>
              </w:rPr>
              <w:t xml:space="preserve"> </w:t>
            </w:r>
            <w:r w:rsidRPr="00482A36">
              <w:rPr>
                <w:szCs w:val="18"/>
              </w:rPr>
              <w:t>2021 (week 76 results)</w:t>
            </w:r>
          </w:p>
        </w:tc>
      </w:tr>
      <w:tr w:rsidR="003146C9" w:rsidRPr="00482A36" w14:paraId="61D96E65" w14:textId="77777777" w:rsidTr="00555B4A">
        <w:trPr>
          <w:cantSplit/>
        </w:trPr>
        <w:tc>
          <w:tcPr>
            <w:tcW w:w="795" w:type="pct"/>
            <w:tcBorders>
              <w:top w:val="single" w:sz="4" w:space="0" w:color="auto"/>
              <w:left w:val="single" w:sz="4" w:space="0" w:color="auto"/>
              <w:bottom w:val="single" w:sz="4" w:space="0" w:color="auto"/>
              <w:right w:val="single" w:sz="4" w:space="0" w:color="auto"/>
            </w:tcBorders>
            <w:vAlign w:val="center"/>
          </w:tcPr>
          <w:p w14:paraId="51DFDB98" w14:textId="77777777" w:rsidR="00F35BEA" w:rsidRPr="00482A36" w:rsidRDefault="00F35BEA" w:rsidP="00E159E4">
            <w:pPr>
              <w:pStyle w:val="Tabletext"/>
              <w:keepNext/>
              <w:rPr>
                <w:b/>
                <w:bCs/>
              </w:rPr>
            </w:pPr>
            <w:r w:rsidRPr="00482A36">
              <w:rPr>
                <w:b/>
              </w:rPr>
              <w:t>PRIMROSE 2</w:t>
            </w:r>
          </w:p>
          <w:p w14:paraId="025A5545" w14:textId="13F83F59" w:rsidR="003146C9" w:rsidRPr="00482A36" w:rsidRDefault="00F35BEA" w:rsidP="00E159E4">
            <w:pPr>
              <w:pStyle w:val="Tabletext"/>
              <w:keepNext/>
              <w:rPr>
                <w:rFonts w:ascii="Times" w:hAnsi="Times"/>
              </w:rPr>
            </w:pPr>
            <w:r w:rsidRPr="00482A36">
              <w:t>(NCT03070951)</w:t>
            </w:r>
          </w:p>
        </w:tc>
        <w:tc>
          <w:tcPr>
            <w:tcW w:w="2897" w:type="pct"/>
            <w:tcBorders>
              <w:top w:val="single" w:sz="4" w:space="0" w:color="auto"/>
              <w:left w:val="single" w:sz="4" w:space="0" w:color="auto"/>
              <w:bottom w:val="single" w:sz="4" w:space="0" w:color="auto"/>
              <w:right w:val="single" w:sz="4" w:space="0" w:color="auto"/>
            </w:tcBorders>
            <w:vAlign w:val="center"/>
          </w:tcPr>
          <w:p w14:paraId="5E85DFA1" w14:textId="2A80F12A" w:rsidR="003146C9" w:rsidRPr="00482A36" w:rsidRDefault="00F35BEA" w:rsidP="00E159E4">
            <w:pPr>
              <w:pStyle w:val="Tabletext"/>
              <w:keepNext/>
              <w:rPr>
                <w:rFonts w:ascii="Times" w:hAnsi="Times"/>
              </w:rPr>
            </w:pPr>
            <w:r w:rsidRPr="00482A36">
              <w:t>Clinical study report: A Phase 3, Multicentre, Randomized, Double-Blind, Placebo-Controlled Study Investigating the Efficacy and Safety of Daily Oral Administration of OBE2109 Alone and in Combination with Add-Back Therapy for the Management of Heavy Menstrual Bleeding Associated with Uterine Fibroids in Premenopausal Women.</w:t>
            </w:r>
          </w:p>
        </w:tc>
        <w:tc>
          <w:tcPr>
            <w:tcW w:w="1308" w:type="pct"/>
            <w:tcBorders>
              <w:top w:val="single" w:sz="4" w:space="0" w:color="auto"/>
              <w:left w:val="single" w:sz="4" w:space="0" w:color="auto"/>
              <w:bottom w:val="single" w:sz="4" w:space="0" w:color="auto"/>
              <w:right w:val="single" w:sz="4" w:space="0" w:color="auto"/>
            </w:tcBorders>
            <w:vAlign w:val="center"/>
          </w:tcPr>
          <w:p w14:paraId="119D52B1" w14:textId="0F709532" w:rsidR="00F35BEA" w:rsidRPr="00482A36" w:rsidRDefault="00F35BEA" w:rsidP="00E159E4">
            <w:pPr>
              <w:pStyle w:val="Tabletext"/>
              <w:keepNext/>
            </w:pPr>
            <w:r w:rsidRPr="00482A36">
              <w:t>26</w:t>
            </w:r>
            <w:r w:rsidR="00495DC7">
              <w:t xml:space="preserve"> </w:t>
            </w:r>
            <w:r w:rsidRPr="00482A36">
              <w:t>May</w:t>
            </w:r>
            <w:r w:rsidR="00495DC7">
              <w:t xml:space="preserve"> </w:t>
            </w:r>
            <w:r w:rsidRPr="00482A36">
              <w:t>2021 (week 52 results)</w:t>
            </w:r>
          </w:p>
          <w:p w14:paraId="50E0F9BB" w14:textId="5A1E6420" w:rsidR="003146C9" w:rsidRPr="00482A36" w:rsidRDefault="00F35BEA" w:rsidP="00E159E4">
            <w:pPr>
              <w:pStyle w:val="Tabletext"/>
              <w:keepNext/>
            </w:pPr>
            <w:r w:rsidRPr="00482A36">
              <w:t>16</w:t>
            </w:r>
            <w:r w:rsidR="00495DC7">
              <w:t xml:space="preserve"> </w:t>
            </w:r>
            <w:r w:rsidRPr="00482A36">
              <w:t>Mar</w:t>
            </w:r>
            <w:r w:rsidR="00495DC7">
              <w:t xml:space="preserve"> </w:t>
            </w:r>
            <w:r w:rsidRPr="00482A36">
              <w:t>2021 (week 76 results)</w:t>
            </w:r>
          </w:p>
        </w:tc>
      </w:tr>
      <w:tr w:rsidR="005B4053" w:rsidRPr="00482A36" w14:paraId="3BF23A03" w14:textId="77777777" w:rsidTr="00555B4A">
        <w:trPr>
          <w:cantSplit/>
        </w:trPr>
        <w:tc>
          <w:tcPr>
            <w:tcW w:w="795" w:type="pct"/>
            <w:vMerge w:val="restart"/>
            <w:tcBorders>
              <w:top w:val="single" w:sz="4" w:space="0" w:color="auto"/>
              <w:left w:val="single" w:sz="4" w:space="0" w:color="auto"/>
              <w:bottom w:val="single" w:sz="4" w:space="0" w:color="auto"/>
              <w:right w:val="single" w:sz="4" w:space="0" w:color="auto"/>
            </w:tcBorders>
            <w:vAlign w:val="center"/>
          </w:tcPr>
          <w:p w14:paraId="314C341A" w14:textId="46700939" w:rsidR="005B4053" w:rsidRPr="00482A36" w:rsidRDefault="005B4053" w:rsidP="00E159E4">
            <w:pPr>
              <w:pStyle w:val="Tabletext"/>
              <w:keepNext/>
            </w:pPr>
            <w:r w:rsidRPr="00482A36">
              <w:rPr>
                <w:b/>
              </w:rPr>
              <w:t>PRIMROSE 1 and 2 Pooled Analysis</w:t>
            </w:r>
          </w:p>
        </w:tc>
        <w:tc>
          <w:tcPr>
            <w:tcW w:w="2897" w:type="pct"/>
            <w:tcBorders>
              <w:top w:val="single" w:sz="4" w:space="0" w:color="auto"/>
              <w:left w:val="single" w:sz="4" w:space="0" w:color="auto"/>
              <w:bottom w:val="single" w:sz="4" w:space="0" w:color="auto"/>
              <w:right w:val="single" w:sz="4" w:space="0" w:color="auto"/>
            </w:tcBorders>
            <w:vAlign w:val="center"/>
          </w:tcPr>
          <w:p w14:paraId="53779712" w14:textId="5BDC5FB9" w:rsidR="005B4053" w:rsidRPr="00482A36" w:rsidRDefault="005B4053" w:rsidP="00E159E4">
            <w:pPr>
              <w:pStyle w:val="Tabletext"/>
              <w:keepNext/>
            </w:pPr>
            <w:r w:rsidRPr="00482A36">
              <w:t>ObsEva 16-OBE2109-008 &amp; 16-OBE2109-009 Pooled Analysis</w:t>
            </w:r>
          </w:p>
        </w:tc>
        <w:tc>
          <w:tcPr>
            <w:tcW w:w="1308" w:type="pct"/>
            <w:tcBorders>
              <w:top w:val="single" w:sz="4" w:space="0" w:color="auto"/>
              <w:left w:val="single" w:sz="4" w:space="0" w:color="auto"/>
              <w:bottom w:val="single" w:sz="4" w:space="0" w:color="auto"/>
              <w:right w:val="single" w:sz="4" w:space="0" w:color="auto"/>
            </w:tcBorders>
            <w:vAlign w:val="center"/>
          </w:tcPr>
          <w:p w14:paraId="2DEB6E46" w14:textId="52CAB2C9" w:rsidR="005B4053" w:rsidRPr="00482A36" w:rsidRDefault="005B4053" w:rsidP="00E159E4">
            <w:pPr>
              <w:pStyle w:val="Tabletext"/>
              <w:keepNext/>
              <w:rPr>
                <w:rFonts w:ascii="Times" w:hAnsi="Times"/>
              </w:rPr>
            </w:pPr>
            <w:r w:rsidRPr="00482A36">
              <w:t>Not reported</w:t>
            </w:r>
            <w:r w:rsidR="00F810E3" w:rsidRPr="00482A36">
              <w:t>.</w:t>
            </w:r>
          </w:p>
        </w:tc>
      </w:tr>
      <w:tr w:rsidR="005B4053" w:rsidRPr="00482A36" w14:paraId="29E3F133" w14:textId="77777777" w:rsidTr="00555B4A">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56A862F9" w14:textId="77777777" w:rsidR="005B4053" w:rsidRPr="00482A36" w:rsidRDefault="005B4053" w:rsidP="00E159E4">
            <w:pPr>
              <w:pStyle w:val="Tabletext"/>
              <w:keepNext/>
            </w:pPr>
          </w:p>
        </w:tc>
        <w:tc>
          <w:tcPr>
            <w:tcW w:w="2897" w:type="pct"/>
            <w:tcBorders>
              <w:top w:val="single" w:sz="4" w:space="0" w:color="auto"/>
              <w:left w:val="single" w:sz="4" w:space="0" w:color="auto"/>
              <w:bottom w:val="single" w:sz="4" w:space="0" w:color="auto"/>
              <w:right w:val="single" w:sz="4" w:space="0" w:color="auto"/>
            </w:tcBorders>
            <w:vAlign w:val="center"/>
          </w:tcPr>
          <w:p w14:paraId="14E9DB27" w14:textId="29E77787" w:rsidR="005B4053" w:rsidRPr="00482A36" w:rsidRDefault="005B4053" w:rsidP="00E159E4">
            <w:pPr>
              <w:pStyle w:val="Tabletext"/>
              <w:keepNext/>
            </w:pPr>
            <w:r w:rsidRPr="00482A36">
              <w:t>Donnez J, et al. Linzagolix with and without hormonal add-back therapy for the treatment of symptomatic uterine fibroids: two randomised, placebo-controlled, phase 3 trials.</w:t>
            </w:r>
          </w:p>
        </w:tc>
        <w:tc>
          <w:tcPr>
            <w:tcW w:w="1308" w:type="pct"/>
            <w:tcBorders>
              <w:top w:val="single" w:sz="4" w:space="0" w:color="auto"/>
              <w:left w:val="single" w:sz="4" w:space="0" w:color="auto"/>
              <w:bottom w:val="single" w:sz="4" w:space="0" w:color="auto"/>
              <w:right w:val="single" w:sz="4" w:space="0" w:color="auto"/>
            </w:tcBorders>
            <w:vAlign w:val="center"/>
          </w:tcPr>
          <w:p w14:paraId="6A8921D6" w14:textId="4539A628" w:rsidR="005B4053" w:rsidRPr="00482A36" w:rsidRDefault="005B4053" w:rsidP="00E159E4">
            <w:pPr>
              <w:pStyle w:val="Tabletext"/>
              <w:keepNext/>
            </w:pPr>
            <w:r w:rsidRPr="00482A36">
              <w:rPr>
                <w:i/>
              </w:rPr>
              <w:t xml:space="preserve">The Lancet. </w:t>
            </w:r>
            <w:r w:rsidRPr="00482A36">
              <w:rPr>
                <w:iCs/>
              </w:rPr>
              <w:t>2022; 400</w:t>
            </w:r>
            <w:r w:rsidR="00F810E3" w:rsidRPr="00482A36">
              <w:rPr>
                <w:iCs/>
              </w:rPr>
              <w:t xml:space="preserve"> </w:t>
            </w:r>
            <w:r w:rsidRPr="00482A36">
              <w:rPr>
                <w:iCs/>
              </w:rPr>
              <w:t>(10356):896-907.</w:t>
            </w:r>
          </w:p>
        </w:tc>
      </w:tr>
      <w:tr w:rsidR="005B4053" w:rsidRPr="00482A36" w14:paraId="71986EA4" w14:textId="77777777" w:rsidTr="00555B4A">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39D4C3B0" w14:textId="77777777" w:rsidR="005B4053" w:rsidRPr="00482A36" w:rsidRDefault="005B4053" w:rsidP="00E159E4">
            <w:pPr>
              <w:pStyle w:val="Tabletext"/>
              <w:keepNext/>
            </w:pPr>
          </w:p>
        </w:tc>
        <w:tc>
          <w:tcPr>
            <w:tcW w:w="2897" w:type="pct"/>
            <w:tcBorders>
              <w:top w:val="single" w:sz="4" w:space="0" w:color="auto"/>
              <w:left w:val="single" w:sz="4" w:space="0" w:color="auto"/>
              <w:bottom w:val="single" w:sz="4" w:space="0" w:color="auto"/>
              <w:right w:val="single" w:sz="4" w:space="0" w:color="auto"/>
            </w:tcBorders>
            <w:vAlign w:val="center"/>
          </w:tcPr>
          <w:p w14:paraId="32640158" w14:textId="6947F49B" w:rsidR="005B4053" w:rsidRPr="00482A36" w:rsidRDefault="005B4053" w:rsidP="00E159E4">
            <w:pPr>
              <w:pStyle w:val="Tabletext"/>
              <w:keepNext/>
            </w:pPr>
            <w:r w:rsidRPr="00482A36">
              <w:t xml:space="preserve">Donnez J, et al. </w:t>
            </w:r>
            <w:r w:rsidRPr="00482A36">
              <w:rPr>
                <w:szCs w:val="18"/>
              </w:rPr>
              <w:t>Linzagolix With and Without Hormonal Add-Back Therapy for the Treatment of Symptomatic Uterine Fibroids: two Randomized, Placebo-Controlled, Phase 3 Trials.</w:t>
            </w:r>
          </w:p>
        </w:tc>
        <w:tc>
          <w:tcPr>
            <w:tcW w:w="1308" w:type="pct"/>
            <w:tcBorders>
              <w:top w:val="single" w:sz="4" w:space="0" w:color="auto"/>
              <w:left w:val="single" w:sz="4" w:space="0" w:color="auto"/>
              <w:bottom w:val="single" w:sz="4" w:space="0" w:color="auto"/>
              <w:right w:val="single" w:sz="4" w:space="0" w:color="auto"/>
            </w:tcBorders>
            <w:vAlign w:val="center"/>
          </w:tcPr>
          <w:p w14:paraId="41944E9B" w14:textId="2DD06366" w:rsidR="005B4053" w:rsidRPr="00482A36" w:rsidRDefault="005B4053" w:rsidP="00E159E4">
            <w:pPr>
              <w:pStyle w:val="Tabletext"/>
              <w:keepNext/>
              <w:rPr>
                <w:i/>
              </w:rPr>
            </w:pPr>
            <w:r w:rsidRPr="00482A36">
              <w:rPr>
                <w:i/>
                <w:iCs/>
              </w:rPr>
              <w:t>Obstetrical &amp; gynaecological survey</w:t>
            </w:r>
            <w:r w:rsidRPr="00482A36">
              <w:t>; 2022; 77(12), 741</w:t>
            </w:r>
            <w:r w:rsidRPr="00482A36">
              <w:rPr>
                <w:rFonts w:ascii="Cambria Math" w:hAnsi="Cambria Math" w:cs="Cambria Math"/>
              </w:rPr>
              <w:t>‐</w:t>
            </w:r>
            <w:r w:rsidRPr="00482A36">
              <w:t>742.</w:t>
            </w:r>
          </w:p>
        </w:tc>
      </w:tr>
      <w:tr w:rsidR="005B4053" w:rsidRPr="00482A36" w14:paraId="123DDA6A" w14:textId="77777777" w:rsidTr="00555B4A">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031CE5F4" w14:textId="77777777" w:rsidR="005B4053" w:rsidRPr="00482A36" w:rsidRDefault="005B4053" w:rsidP="00E159E4">
            <w:pPr>
              <w:pStyle w:val="Tabletext"/>
              <w:keepNext/>
            </w:pPr>
          </w:p>
        </w:tc>
        <w:tc>
          <w:tcPr>
            <w:tcW w:w="2897" w:type="pct"/>
            <w:tcBorders>
              <w:top w:val="single" w:sz="4" w:space="0" w:color="auto"/>
              <w:left w:val="single" w:sz="4" w:space="0" w:color="auto"/>
              <w:bottom w:val="single" w:sz="4" w:space="0" w:color="auto"/>
              <w:right w:val="single" w:sz="4" w:space="0" w:color="auto"/>
            </w:tcBorders>
          </w:tcPr>
          <w:p w14:paraId="06AE61F0" w14:textId="232922E9" w:rsidR="005B4053" w:rsidRPr="00482A36" w:rsidRDefault="005B4053" w:rsidP="00E159E4">
            <w:pPr>
              <w:pStyle w:val="Tabletext"/>
              <w:keepNext/>
            </w:pPr>
            <w:r w:rsidRPr="00482A36">
              <w:t xml:space="preserve">Taylor H, et al. Long-term secondary efficacy of linzagolix for heavy menstrual bleeding (HMB) due to uterine fibroids (UF): 52-week results from two placebo-controlled, randomised, phase 3 trials. </w:t>
            </w:r>
          </w:p>
        </w:tc>
        <w:tc>
          <w:tcPr>
            <w:tcW w:w="1308" w:type="pct"/>
            <w:tcBorders>
              <w:top w:val="single" w:sz="4" w:space="0" w:color="auto"/>
              <w:left w:val="single" w:sz="4" w:space="0" w:color="auto"/>
              <w:bottom w:val="single" w:sz="4" w:space="0" w:color="auto"/>
              <w:right w:val="single" w:sz="4" w:space="0" w:color="auto"/>
            </w:tcBorders>
            <w:vAlign w:val="center"/>
          </w:tcPr>
          <w:p w14:paraId="6AEFF2AE" w14:textId="5475929D" w:rsidR="005B4053" w:rsidRPr="00482A36" w:rsidRDefault="005B4053" w:rsidP="00E159E4">
            <w:pPr>
              <w:pStyle w:val="Tabletext"/>
              <w:keepNext/>
              <w:rPr>
                <w:i/>
                <w:iCs/>
              </w:rPr>
            </w:pPr>
            <w:r w:rsidRPr="00482A36">
              <w:rPr>
                <w:i/>
                <w:iCs/>
              </w:rPr>
              <w:t>Human Reproduction</w:t>
            </w:r>
            <w:r w:rsidRPr="00482A36">
              <w:t>, 2021; 36(SUPPL 1), i59.</w:t>
            </w:r>
          </w:p>
        </w:tc>
      </w:tr>
      <w:tr w:rsidR="005B4053" w:rsidRPr="00482A36" w14:paraId="4A40FCA6" w14:textId="77777777" w:rsidTr="00555B4A">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6544DE53" w14:textId="77777777" w:rsidR="005B4053" w:rsidRPr="00482A36" w:rsidRDefault="005B4053" w:rsidP="00E159E4">
            <w:pPr>
              <w:pStyle w:val="Tabletext"/>
              <w:keepNext/>
            </w:pPr>
          </w:p>
        </w:tc>
        <w:tc>
          <w:tcPr>
            <w:tcW w:w="2897" w:type="pct"/>
            <w:tcBorders>
              <w:top w:val="single" w:sz="4" w:space="0" w:color="auto"/>
              <w:left w:val="single" w:sz="4" w:space="0" w:color="auto"/>
              <w:bottom w:val="single" w:sz="4" w:space="0" w:color="auto"/>
              <w:right w:val="single" w:sz="4" w:space="0" w:color="auto"/>
            </w:tcBorders>
          </w:tcPr>
          <w:p w14:paraId="1E11F071" w14:textId="19F8EA7B" w:rsidR="005B4053" w:rsidRPr="00482A36" w:rsidRDefault="005B4053" w:rsidP="00E159E4">
            <w:pPr>
              <w:pStyle w:val="Tabletext"/>
              <w:keepNext/>
            </w:pPr>
            <w:r w:rsidRPr="00482A36">
              <w:t xml:space="preserve">Taylor H, et al. Post-treatment Efficacy and Safety Follow-up in Women with Uterine Fibroids Treated for 52 weeks With Linzagolix. </w:t>
            </w:r>
          </w:p>
        </w:tc>
        <w:tc>
          <w:tcPr>
            <w:tcW w:w="1308" w:type="pct"/>
            <w:tcBorders>
              <w:top w:val="single" w:sz="4" w:space="0" w:color="auto"/>
              <w:left w:val="single" w:sz="4" w:space="0" w:color="auto"/>
              <w:bottom w:val="single" w:sz="4" w:space="0" w:color="auto"/>
              <w:right w:val="single" w:sz="4" w:space="0" w:color="auto"/>
            </w:tcBorders>
            <w:vAlign w:val="center"/>
          </w:tcPr>
          <w:p w14:paraId="3141F42C" w14:textId="15DFEF92" w:rsidR="005B4053" w:rsidRPr="00482A36" w:rsidRDefault="005B4053" w:rsidP="00E159E4">
            <w:pPr>
              <w:pStyle w:val="Tabletext"/>
              <w:keepNext/>
              <w:rPr>
                <w:i/>
                <w:iCs/>
              </w:rPr>
            </w:pPr>
            <w:r w:rsidRPr="00482A36">
              <w:rPr>
                <w:i/>
                <w:iCs/>
              </w:rPr>
              <w:t>Obstetrics and Gynaecology</w:t>
            </w:r>
            <w:r w:rsidRPr="00482A36">
              <w:t>, 2022; 139(SUPPL 1), 31S-32S.</w:t>
            </w:r>
          </w:p>
        </w:tc>
      </w:tr>
      <w:tr w:rsidR="00F35BEA" w:rsidRPr="00482A36" w14:paraId="0390D42C" w14:textId="77777777" w:rsidTr="00FC55D7">
        <w:trPr>
          <w:cantSplit/>
        </w:trPr>
        <w:tc>
          <w:tcPr>
            <w:tcW w:w="795" w:type="pct"/>
            <w:tcBorders>
              <w:top w:val="single" w:sz="4" w:space="0" w:color="auto"/>
              <w:left w:val="single" w:sz="4" w:space="0" w:color="auto"/>
              <w:bottom w:val="single" w:sz="4" w:space="0" w:color="auto"/>
              <w:right w:val="single" w:sz="4" w:space="0" w:color="auto"/>
            </w:tcBorders>
            <w:vAlign w:val="center"/>
          </w:tcPr>
          <w:p w14:paraId="4FF31996" w14:textId="2E20184C" w:rsidR="00F35BEA" w:rsidRPr="00482A36" w:rsidRDefault="00F35BEA" w:rsidP="00E159E4">
            <w:pPr>
              <w:pStyle w:val="Tabletext"/>
              <w:keepNext/>
            </w:pPr>
            <w:r w:rsidRPr="00482A36">
              <w:rPr>
                <w:b/>
              </w:rPr>
              <w:t>PRIMROSE 3</w:t>
            </w:r>
          </w:p>
        </w:tc>
        <w:tc>
          <w:tcPr>
            <w:tcW w:w="2897" w:type="pct"/>
            <w:tcBorders>
              <w:top w:val="single" w:sz="4" w:space="0" w:color="auto"/>
              <w:left w:val="single" w:sz="4" w:space="0" w:color="auto"/>
              <w:bottom w:val="single" w:sz="4" w:space="0" w:color="auto"/>
              <w:right w:val="single" w:sz="4" w:space="0" w:color="auto"/>
            </w:tcBorders>
            <w:vAlign w:val="center"/>
          </w:tcPr>
          <w:p w14:paraId="3C297C24" w14:textId="3E68AC26" w:rsidR="00F35BEA" w:rsidRPr="00482A36" w:rsidRDefault="005B4053" w:rsidP="00E159E4">
            <w:pPr>
              <w:pStyle w:val="Tabletext"/>
              <w:keepNext/>
            </w:pPr>
            <w:r w:rsidRPr="00482A36">
              <w:t>Clinical study report: A long-term follow-up study to assess bone mineral density in subjects with uterine fibroids completing the Phase 3 studies of linzagolix, PRIMROSE 1 or PRIMROSE 2.</w:t>
            </w:r>
          </w:p>
        </w:tc>
        <w:tc>
          <w:tcPr>
            <w:tcW w:w="1308" w:type="pct"/>
            <w:tcBorders>
              <w:top w:val="single" w:sz="4" w:space="0" w:color="auto"/>
              <w:left w:val="single" w:sz="4" w:space="0" w:color="auto"/>
              <w:bottom w:val="single" w:sz="4" w:space="0" w:color="auto"/>
              <w:right w:val="single" w:sz="4" w:space="0" w:color="auto"/>
            </w:tcBorders>
            <w:vAlign w:val="center"/>
          </w:tcPr>
          <w:p w14:paraId="1E8C3318" w14:textId="6105EA3D" w:rsidR="00F35BEA" w:rsidRPr="00482A36" w:rsidRDefault="005B4053" w:rsidP="00E159E4">
            <w:pPr>
              <w:pStyle w:val="Tabletext"/>
              <w:keepNext/>
              <w:rPr>
                <w:i/>
              </w:rPr>
            </w:pPr>
            <w:r w:rsidRPr="00482A36">
              <w:t>09</w:t>
            </w:r>
            <w:r w:rsidR="00495DC7">
              <w:t xml:space="preserve"> </w:t>
            </w:r>
            <w:r w:rsidRPr="00482A36">
              <w:t>Mar</w:t>
            </w:r>
            <w:r w:rsidR="00495DC7">
              <w:t xml:space="preserve"> </w:t>
            </w:r>
            <w:r w:rsidRPr="00482A36">
              <w:t>2023</w:t>
            </w:r>
          </w:p>
        </w:tc>
      </w:tr>
    </w:tbl>
    <w:p w14:paraId="1D36E2FC" w14:textId="77777777" w:rsidR="005B4053" w:rsidRPr="00482A36" w:rsidRDefault="005B4053" w:rsidP="00E159E4">
      <w:pPr>
        <w:pStyle w:val="FooterTableFigure"/>
        <w:keepNext/>
      </w:pPr>
      <w:r w:rsidRPr="00482A36">
        <w:t>Source: Table 12, pp57-60 of the submission.</w:t>
      </w:r>
    </w:p>
    <w:p w14:paraId="7648BC49" w14:textId="40003D56" w:rsidR="003146C9" w:rsidRPr="00482A36" w:rsidRDefault="005B4053" w:rsidP="00224353">
      <w:pPr>
        <w:pStyle w:val="FooterTableFigure"/>
        <w:rPr>
          <w:sz w:val="20"/>
        </w:rPr>
      </w:pPr>
      <w:r w:rsidRPr="00482A36">
        <w:t>ABT=add-back therapy; CSR=clinical study report; PBO=placebo.</w:t>
      </w:r>
    </w:p>
    <w:p w14:paraId="5F6C35D4" w14:textId="75755F2F" w:rsidR="003146C9" w:rsidRPr="00482A36" w:rsidRDefault="003146C9" w:rsidP="003146C9">
      <w:pPr>
        <w:pStyle w:val="3-BodyText"/>
        <w:rPr>
          <w:color w:val="0066FF"/>
        </w:rPr>
      </w:pPr>
      <w:r w:rsidRPr="00482A36">
        <w:t>The key features of the direct randomised trial(s)</w:t>
      </w:r>
      <w:r w:rsidR="00555B4A" w:rsidRPr="00482A36">
        <w:t xml:space="preserve"> and the extension </w:t>
      </w:r>
      <w:r w:rsidRPr="00482A36">
        <w:t>stud</w:t>
      </w:r>
      <w:r w:rsidR="00555B4A" w:rsidRPr="00482A36">
        <w:t xml:space="preserve">y </w:t>
      </w:r>
      <w:r w:rsidRPr="00482A36">
        <w:t>are summarised in</w:t>
      </w:r>
      <w:r w:rsidR="00342D01" w:rsidRPr="00482A36">
        <w:t xml:space="preserve"> </w:t>
      </w:r>
      <w:r w:rsidR="00342D01" w:rsidRPr="00482A36">
        <w:fldChar w:fldCharType="begin"/>
      </w:r>
      <w:r w:rsidR="00342D01" w:rsidRPr="00482A36">
        <w:instrText xml:space="preserve"> REF _Ref104804098 \h  \* MERGEFORMAT </w:instrText>
      </w:r>
      <w:r w:rsidR="00342D01" w:rsidRPr="00482A36">
        <w:fldChar w:fldCharType="separate"/>
      </w:r>
      <w:r w:rsidR="003E4FD0" w:rsidRPr="003E4FD0">
        <w:t>Table 3</w:t>
      </w:r>
      <w:r w:rsidR="00342D01" w:rsidRPr="00482A36">
        <w:fldChar w:fldCharType="end"/>
      </w:r>
      <w:r w:rsidRPr="00482A36">
        <w:t>.</w:t>
      </w:r>
    </w:p>
    <w:p w14:paraId="5559E2DA" w14:textId="04685C85" w:rsidR="003146C9" w:rsidRPr="00482A36" w:rsidRDefault="003146C9" w:rsidP="00E159E4">
      <w:pPr>
        <w:pStyle w:val="Caption"/>
        <w:rPr>
          <w:rStyle w:val="CommentReference"/>
          <w:rFonts w:eastAsiaTheme="majorEastAsia" w:cstheme="majorBidi"/>
          <w:b/>
          <w:szCs w:val="24"/>
        </w:rPr>
      </w:pPr>
      <w:bookmarkStart w:id="27" w:name="_Ref104804098"/>
      <w:r w:rsidRPr="00482A36">
        <w:rPr>
          <w:rStyle w:val="CommentReference"/>
          <w:rFonts w:eastAsiaTheme="majorEastAsia" w:cstheme="majorBidi"/>
          <w:b/>
          <w:szCs w:val="24"/>
        </w:rPr>
        <w:lastRenderedPageBreak/>
        <w:t xml:space="preserve">Table </w:t>
      </w:r>
      <w:r w:rsidRPr="00482A36">
        <w:rPr>
          <w:rStyle w:val="CommentReference"/>
          <w:rFonts w:eastAsiaTheme="majorEastAsia" w:cstheme="majorBidi"/>
          <w:b/>
          <w:szCs w:val="24"/>
        </w:rPr>
        <w:fldChar w:fldCharType="begin"/>
      </w:r>
      <w:r w:rsidRPr="00482A36">
        <w:rPr>
          <w:rStyle w:val="CommentReference"/>
          <w:rFonts w:eastAsiaTheme="majorEastAsia" w:cstheme="majorBidi"/>
          <w:b/>
          <w:szCs w:val="24"/>
        </w:rPr>
        <w:instrText xml:space="preserve"> SEQ Table \* ARABIC </w:instrText>
      </w:r>
      <w:r w:rsidRPr="00482A36">
        <w:rPr>
          <w:rStyle w:val="CommentReference"/>
          <w:rFonts w:eastAsiaTheme="majorEastAsia" w:cstheme="majorBidi"/>
          <w:b/>
          <w:szCs w:val="24"/>
        </w:rPr>
        <w:fldChar w:fldCharType="separate"/>
      </w:r>
      <w:r w:rsidR="003E4FD0">
        <w:rPr>
          <w:rStyle w:val="CommentReference"/>
          <w:rFonts w:eastAsiaTheme="majorEastAsia" w:cstheme="majorBidi"/>
          <w:b/>
          <w:noProof/>
          <w:szCs w:val="24"/>
        </w:rPr>
        <w:t>3</w:t>
      </w:r>
      <w:r w:rsidRPr="00482A36">
        <w:rPr>
          <w:rStyle w:val="CommentReference"/>
          <w:rFonts w:eastAsiaTheme="majorEastAsia" w:cstheme="majorBidi"/>
          <w:b/>
          <w:szCs w:val="24"/>
        </w:rPr>
        <w:fldChar w:fldCharType="end"/>
      </w:r>
      <w:bookmarkEnd w:id="27"/>
      <w:r w:rsidRPr="00482A36">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123"/>
        <w:gridCol w:w="563"/>
        <w:gridCol w:w="1344"/>
        <w:gridCol w:w="491"/>
        <w:gridCol w:w="1347"/>
        <w:gridCol w:w="1347"/>
        <w:gridCol w:w="2449"/>
        <w:gridCol w:w="353"/>
      </w:tblGrid>
      <w:tr w:rsidR="00555B4A" w:rsidRPr="00482A36" w14:paraId="6D309CF4" w14:textId="77777777" w:rsidTr="00555B4A">
        <w:trPr>
          <w:tblHeader/>
        </w:trPr>
        <w:tc>
          <w:tcPr>
            <w:tcW w:w="623" w:type="pct"/>
            <w:shd w:val="clear" w:color="auto" w:fill="auto"/>
            <w:vAlign w:val="center"/>
          </w:tcPr>
          <w:p w14:paraId="642D773E" w14:textId="77777777" w:rsidR="00555B4A" w:rsidRPr="00482A36" w:rsidRDefault="00555B4A" w:rsidP="00E159E4">
            <w:pPr>
              <w:pStyle w:val="Tabletext"/>
              <w:keepNext/>
              <w:rPr>
                <w:b/>
              </w:rPr>
            </w:pPr>
            <w:r w:rsidRPr="00482A36">
              <w:rPr>
                <w:b/>
              </w:rPr>
              <w:t>Trial</w:t>
            </w:r>
          </w:p>
        </w:tc>
        <w:tc>
          <w:tcPr>
            <w:tcW w:w="312" w:type="pct"/>
            <w:shd w:val="clear" w:color="auto" w:fill="auto"/>
            <w:vAlign w:val="center"/>
          </w:tcPr>
          <w:p w14:paraId="3F446176" w14:textId="77777777" w:rsidR="00555B4A" w:rsidRPr="00482A36" w:rsidRDefault="00555B4A" w:rsidP="00E159E4">
            <w:pPr>
              <w:pStyle w:val="Tabletext"/>
              <w:keepNext/>
              <w:rPr>
                <w:b/>
              </w:rPr>
            </w:pPr>
            <w:r w:rsidRPr="00482A36">
              <w:rPr>
                <w:b/>
              </w:rPr>
              <w:t>N</w:t>
            </w:r>
          </w:p>
        </w:tc>
        <w:tc>
          <w:tcPr>
            <w:tcW w:w="745" w:type="pct"/>
            <w:shd w:val="clear" w:color="auto" w:fill="auto"/>
            <w:vAlign w:val="center"/>
          </w:tcPr>
          <w:p w14:paraId="3D5BC0D6" w14:textId="7878C96F" w:rsidR="00555B4A" w:rsidRPr="00482A36" w:rsidRDefault="00555B4A" w:rsidP="00E159E4">
            <w:pPr>
              <w:pStyle w:val="Tabletext"/>
              <w:keepNext/>
              <w:rPr>
                <w:b/>
              </w:rPr>
            </w:pPr>
            <w:r w:rsidRPr="00482A36">
              <w:rPr>
                <w:b/>
              </w:rPr>
              <w:t>Design/ duration</w:t>
            </w:r>
          </w:p>
        </w:tc>
        <w:tc>
          <w:tcPr>
            <w:tcW w:w="272" w:type="pct"/>
            <w:shd w:val="clear" w:color="auto" w:fill="auto"/>
            <w:vAlign w:val="center"/>
          </w:tcPr>
          <w:p w14:paraId="0401AAD6" w14:textId="3AF81C53" w:rsidR="00555B4A" w:rsidRPr="00482A36" w:rsidRDefault="00143A93" w:rsidP="00E159E4">
            <w:pPr>
              <w:pStyle w:val="Tabletext"/>
              <w:keepNext/>
              <w:rPr>
                <w:b/>
              </w:rPr>
            </w:pPr>
            <w:r>
              <w:rPr>
                <w:b/>
              </w:rPr>
              <w:t>Risk of b</w:t>
            </w:r>
            <w:r w:rsidR="00555B4A" w:rsidRPr="00482A36">
              <w:rPr>
                <w:b/>
              </w:rPr>
              <w:t>ias</w:t>
            </w:r>
          </w:p>
        </w:tc>
        <w:tc>
          <w:tcPr>
            <w:tcW w:w="747" w:type="pct"/>
            <w:vAlign w:val="center"/>
          </w:tcPr>
          <w:p w14:paraId="4F038618" w14:textId="77777777" w:rsidR="00555B4A" w:rsidRPr="00482A36" w:rsidRDefault="00555B4A" w:rsidP="00E159E4">
            <w:pPr>
              <w:pStyle w:val="Tabletext"/>
              <w:keepNext/>
              <w:rPr>
                <w:b/>
              </w:rPr>
            </w:pPr>
            <w:r w:rsidRPr="00482A36">
              <w:rPr>
                <w:b/>
              </w:rPr>
              <w:t>Treatment arms</w:t>
            </w:r>
          </w:p>
        </w:tc>
        <w:tc>
          <w:tcPr>
            <w:tcW w:w="747" w:type="pct"/>
            <w:shd w:val="clear" w:color="auto" w:fill="auto"/>
            <w:vAlign w:val="center"/>
          </w:tcPr>
          <w:p w14:paraId="553C22F4" w14:textId="7C0514FB" w:rsidR="00555B4A" w:rsidRPr="00482A36" w:rsidRDefault="00555B4A" w:rsidP="00E159E4">
            <w:pPr>
              <w:pStyle w:val="Tabletext"/>
              <w:keepNext/>
              <w:rPr>
                <w:b/>
              </w:rPr>
            </w:pPr>
            <w:r w:rsidRPr="00482A36">
              <w:rPr>
                <w:b/>
              </w:rPr>
              <w:t>P</w:t>
            </w:r>
            <w:r w:rsidR="00BD6E71">
              <w:rPr>
                <w:b/>
              </w:rPr>
              <w:t>atient p</w:t>
            </w:r>
            <w:r w:rsidRPr="00482A36">
              <w:rPr>
                <w:b/>
              </w:rPr>
              <w:t>opulation</w:t>
            </w:r>
          </w:p>
        </w:tc>
        <w:tc>
          <w:tcPr>
            <w:tcW w:w="1358" w:type="pct"/>
            <w:shd w:val="clear" w:color="auto" w:fill="auto"/>
            <w:vAlign w:val="center"/>
          </w:tcPr>
          <w:p w14:paraId="7F15DB7B" w14:textId="77777777" w:rsidR="00555B4A" w:rsidRPr="00482A36" w:rsidRDefault="00555B4A" w:rsidP="00E159E4">
            <w:pPr>
              <w:pStyle w:val="Tabletext"/>
              <w:keepNext/>
              <w:rPr>
                <w:b/>
              </w:rPr>
            </w:pPr>
            <w:r w:rsidRPr="00482A36">
              <w:rPr>
                <w:b/>
              </w:rPr>
              <w:t>Outcome(s)</w:t>
            </w:r>
          </w:p>
        </w:tc>
        <w:tc>
          <w:tcPr>
            <w:tcW w:w="196" w:type="pct"/>
            <w:shd w:val="clear" w:color="auto" w:fill="auto"/>
            <w:vAlign w:val="center"/>
          </w:tcPr>
          <w:p w14:paraId="0491ECA8" w14:textId="77777777" w:rsidR="00555B4A" w:rsidRPr="00482A36" w:rsidRDefault="00555B4A" w:rsidP="00E159E4">
            <w:pPr>
              <w:pStyle w:val="Tabletext"/>
              <w:keepNext/>
              <w:rPr>
                <w:b/>
              </w:rPr>
            </w:pPr>
            <w:r w:rsidRPr="00482A36">
              <w:rPr>
                <w:b/>
              </w:rPr>
              <w:t>S3</w:t>
            </w:r>
          </w:p>
        </w:tc>
      </w:tr>
      <w:tr w:rsidR="00555B4A" w:rsidRPr="00482A36" w14:paraId="592FE449" w14:textId="77777777" w:rsidTr="00383D29">
        <w:tc>
          <w:tcPr>
            <w:tcW w:w="5000" w:type="pct"/>
            <w:gridSpan w:val="8"/>
            <w:shd w:val="clear" w:color="auto" w:fill="auto"/>
            <w:vAlign w:val="center"/>
          </w:tcPr>
          <w:p w14:paraId="7D02381E" w14:textId="3353DA17" w:rsidR="00555B4A" w:rsidRPr="00482A36" w:rsidRDefault="00555B4A" w:rsidP="00E159E4">
            <w:pPr>
              <w:pStyle w:val="Tabletext"/>
              <w:keepNext/>
              <w:rPr>
                <w:b/>
              </w:rPr>
            </w:pPr>
            <w:r w:rsidRPr="00482A36">
              <w:rPr>
                <w:b/>
              </w:rPr>
              <w:t>Linzagolix (</w:t>
            </w:r>
            <w:r w:rsidR="005F1184">
              <w:rPr>
                <w:b/>
              </w:rPr>
              <w:t xml:space="preserve">± </w:t>
            </w:r>
            <w:r w:rsidRPr="00482A36">
              <w:rPr>
                <w:b/>
              </w:rPr>
              <w:t>ABT) vs PBO</w:t>
            </w:r>
          </w:p>
        </w:tc>
      </w:tr>
      <w:tr w:rsidR="00555B4A" w:rsidRPr="00AB6295" w14:paraId="3A1DF036" w14:textId="77777777" w:rsidTr="00861283">
        <w:trPr>
          <w:trHeight w:val="365"/>
        </w:trPr>
        <w:tc>
          <w:tcPr>
            <w:tcW w:w="623" w:type="pct"/>
            <w:shd w:val="clear" w:color="auto" w:fill="auto"/>
            <w:vAlign w:val="center"/>
          </w:tcPr>
          <w:p w14:paraId="1D55BB6F" w14:textId="77777777" w:rsidR="00555B4A" w:rsidRPr="00AB6295" w:rsidRDefault="00555B4A" w:rsidP="00E159E4">
            <w:pPr>
              <w:pStyle w:val="Tabletext"/>
              <w:keepNext/>
            </w:pPr>
            <w:r w:rsidRPr="00AB6295">
              <w:t>PRIMROSE 1</w:t>
            </w:r>
          </w:p>
        </w:tc>
        <w:tc>
          <w:tcPr>
            <w:tcW w:w="312" w:type="pct"/>
            <w:shd w:val="clear" w:color="auto" w:fill="auto"/>
            <w:vAlign w:val="center"/>
          </w:tcPr>
          <w:p w14:paraId="7D044EE9" w14:textId="77777777" w:rsidR="00555B4A" w:rsidRPr="00AB6295" w:rsidRDefault="00555B4A" w:rsidP="00E159E4">
            <w:pPr>
              <w:pStyle w:val="Tabletext"/>
              <w:keepNext/>
            </w:pPr>
            <w:r w:rsidRPr="00AB6295">
              <w:t>574</w:t>
            </w:r>
          </w:p>
        </w:tc>
        <w:tc>
          <w:tcPr>
            <w:tcW w:w="745" w:type="pct"/>
            <w:shd w:val="clear" w:color="auto" w:fill="auto"/>
            <w:vAlign w:val="center"/>
          </w:tcPr>
          <w:p w14:paraId="29544CB0" w14:textId="77777777" w:rsidR="00555B4A" w:rsidRPr="00AB6295" w:rsidRDefault="00555B4A" w:rsidP="00E159E4">
            <w:pPr>
              <w:pStyle w:val="Tabletext"/>
              <w:keepNext/>
            </w:pPr>
            <w:r w:rsidRPr="00AB6295">
              <w:t>P3, MC, R, DB, PC, 52 weeks treatment, 76 weeks follow up</w:t>
            </w:r>
          </w:p>
        </w:tc>
        <w:tc>
          <w:tcPr>
            <w:tcW w:w="272" w:type="pct"/>
            <w:shd w:val="clear" w:color="auto" w:fill="auto"/>
            <w:vAlign w:val="center"/>
          </w:tcPr>
          <w:p w14:paraId="220EC226" w14:textId="77777777" w:rsidR="00555B4A" w:rsidRPr="00AB6295" w:rsidRDefault="00555B4A" w:rsidP="00E159E4">
            <w:pPr>
              <w:pStyle w:val="Tabletext"/>
              <w:keepNext/>
            </w:pPr>
            <w:r w:rsidRPr="00AB6295">
              <w:t>Low</w:t>
            </w:r>
          </w:p>
        </w:tc>
        <w:tc>
          <w:tcPr>
            <w:tcW w:w="747" w:type="pct"/>
            <w:vAlign w:val="center"/>
          </w:tcPr>
          <w:p w14:paraId="2B3AE6DA" w14:textId="77777777" w:rsidR="00555B4A" w:rsidRPr="00AB6295" w:rsidRDefault="00555B4A" w:rsidP="00E159E4">
            <w:pPr>
              <w:pStyle w:val="Tabletext"/>
              <w:keepNext/>
            </w:pPr>
            <w:r w:rsidRPr="00AB6295">
              <w:t>5 treatment arms: linzagolix 100mg or 200mg ± ABT and PBO</w:t>
            </w:r>
          </w:p>
        </w:tc>
        <w:tc>
          <w:tcPr>
            <w:tcW w:w="747" w:type="pct"/>
            <w:shd w:val="clear" w:color="auto" w:fill="auto"/>
            <w:vAlign w:val="center"/>
          </w:tcPr>
          <w:p w14:paraId="0DB6F1C5" w14:textId="77777777" w:rsidR="00555B4A" w:rsidRPr="00AB6295" w:rsidRDefault="00555B4A" w:rsidP="00E159E4">
            <w:pPr>
              <w:pStyle w:val="Tabletext"/>
              <w:keepNext/>
            </w:pPr>
            <w:r w:rsidRPr="00AB6295">
              <w:t>moderate-severe uterine fibroids</w:t>
            </w:r>
          </w:p>
        </w:tc>
        <w:tc>
          <w:tcPr>
            <w:tcW w:w="1358" w:type="pct"/>
            <w:vMerge w:val="restart"/>
            <w:shd w:val="clear" w:color="auto" w:fill="auto"/>
            <w:vAlign w:val="center"/>
          </w:tcPr>
          <w:p w14:paraId="3E65CB5D" w14:textId="0310AEA0" w:rsidR="00555B4A" w:rsidRPr="00AB6295" w:rsidRDefault="00555B4A" w:rsidP="00E159E4">
            <w:pPr>
              <w:pStyle w:val="Tabletext"/>
              <w:keepNext/>
            </w:pPr>
            <w:r w:rsidRPr="00AB6295">
              <w:t>1</w:t>
            </w:r>
            <w:r w:rsidRPr="00AB6295">
              <w:sym w:font="Symbol" w:char="F0B0"/>
            </w:r>
            <w:r w:rsidRPr="00AB6295">
              <w:t>: reduced MBL</w:t>
            </w:r>
            <w:r w:rsidR="001A02AD" w:rsidRPr="00AB6295">
              <w:rPr>
                <w:vertAlign w:val="superscript"/>
              </w:rPr>
              <w:t>a</w:t>
            </w:r>
            <w:r w:rsidRPr="00AB6295">
              <w:t xml:space="preserve"> at w24</w:t>
            </w:r>
            <w:r w:rsidR="001A02AD" w:rsidRPr="00AB6295">
              <w:rPr>
                <w:vertAlign w:val="superscript"/>
              </w:rPr>
              <w:t>b</w:t>
            </w:r>
            <w:r w:rsidRPr="00AB6295">
              <w:t xml:space="preserve">, w52 </w:t>
            </w:r>
          </w:p>
          <w:p w14:paraId="62377C7C" w14:textId="00C7D2E3" w:rsidR="00555B4A" w:rsidRPr="00AB6295" w:rsidRDefault="00555B4A" w:rsidP="00E159E4">
            <w:pPr>
              <w:pStyle w:val="Tabletext"/>
              <w:keepNext/>
            </w:pPr>
            <w:r w:rsidRPr="00AB6295">
              <w:t>2</w:t>
            </w:r>
            <w:r w:rsidRPr="00AB6295">
              <w:sym w:font="Symbol" w:char="F0B0"/>
            </w:r>
            <w:r w:rsidRPr="00AB6295">
              <w:t>: time to reduced MBL (w24), Proportion of subjects with amenorrhea (w24, w52), time to amenorrhea (w24), number of days of uterine bleeding (w24, w52), haemoglobin levels in anaemic subjects (w24), pain (w24, w52), uterine fibroid volume (w24, w52), uterine volume (w24, w52), symptom severity score (UFS-QoL, w24</w:t>
            </w:r>
            <w:r w:rsidR="001A02AD" w:rsidRPr="00AB6295">
              <w:rPr>
                <w:vertAlign w:val="superscript"/>
              </w:rPr>
              <w:t>b</w:t>
            </w:r>
            <w:r w:rsidRPr="00AB6295">
              <w:t>, w52), HRQoL total score (w24, w52), Quality of life EQ-5D-5L index value (w24, w52)</w:t>
            </w:r>
          </w:p>
        </w:tc>
        <w:tc>
          <w:tcPr>
            <w:tcW w:w="196" w:type="pct"/>
            <w:shd w:val="clear" w:color="auto" w:fill="auto"/>
            <w:vAlign w:val="center"/>
          </w:tcPr>
          <w:p w14:paraId="05AF88C0" w14:textId="0EFCFEE4" w:rsidR="00555B4A" w:rsidRPr="00AB6295" w:rsidRDefault="005E203E" w:rsidP="00E159E4">
            <w:pPr>
              <w:pStyle w:val="Tabletext"/>
              <w:keepNext/>
              <w:rPr>
                <w:b/>
                <w:bCs/>
              </w:rPr>
            </w:pPr>
            <w:r w:rsidRPr="00AB6295">
              <w:sym w:font="Wingdings" w:char="F0FC"/>
            </w:r>
          </w:p>
        </w:tc>
      </w:tr>
      <w:tr w:rsidR="005E203E" w:rsidRPr="00AB6295" w14:paraId="48049E61" w14:textId="77777777" w:rsidTr="00A80967">
        <w:trPr>
          <w:trHeight w:val="1147"/>
        </w:trPr>
        <w:tc>
          <w:tcPr>
            <w:tcW w:w="623" w:type="pct"/>
            <w:shd w:val="clear" w:color="auto" w:fill="auto"/>
            <w:vAlign w:val="center"/>
          </w:tcPr>
          <w:p w14:paraId="299525E1" w14:textId="175EE02C" w:rsidR="005E203E" w:rsidRPr="00AB6295" w:rsidRDefault="005E203E" w:rsidP="00E159E4">
            <w:pPr>
              <w:pStyle w:val="Tabletext"/>
              <w:keepNext/>
            </w:pPr>
            <w:r w:rsidRPr="00AB6295">
              <w:t>PRIMROSE 2</w:t>
            </w:r>
          </w:p>
        </w:tc>
        <w:tc>
          <w:tcPr>
            <w:tcW w:w="312" w:type="pct"/>
            <w:shd w:val="clear" w:color="auto" w:fill="auto"/>
            <w:vAlign w:val="center"/>
          </w:tcPr>
          <w:p w14:paraId="59DAEF8B" w14:textId="570EB246" w:rsidR="005E203E" w:rsidRPr="00AB6295" w:rsidRDefault="005E203E" w:rsidP="00E159E4">
            <w:pPr>
              <w:pStyle w:val="Tabletext"/>
              <w:keepNext/>
            </w:pPr>
            <w:r w:rsidRPr="00AB6295">
              <w:t>535</w:t>
            </w:r>
          </w:p>
        </w:tc>
        <w:tc>
          <w:tcPr>
            <w:tcW w:w="745" w:type="pct"/>
            <w:shd w:val="clear" w:color="auto" w:fill="auto"/>
            <w:vAlign w:val="center"/>
          </w:tcPr>
          <w:p w14:paraId="3F249A49" w14:textId="6DAE6BDF" w:rsidR="005E203E" w:rsidRPr="00AB6295" w:rsidRDefault="005E203E" w:rsidP="00E159E4">
            <w:pPr>
              <w:pStyle w:val="Tabletext"/>
              <w:keepNext/>
            </w:pPr>
            <w:r w:rsidRPr="00AB6295">
              <w:t>P3, MC, R, DB, PC, 52 weeks treatment, 76 weeks follow up</w:t>
            </w:r>
          </w:p>
        </w:tc>
        <w:tc>
          <w:tcPr>
            <w:tcW w:w="272" w:type="pct"/>
            <w:shd w:val="clear" w:color="auto" w:fill="auto"/>
            <w:vAlign w:val="center"/>
          </w:tcPr>
          <w:p w14:paraId="7A3FC6D8" w14:textId="13EAD294" w:rsidR="005E203E" w:rsidRPr="00AB6295" w:rsidRDefault="005E203E" w:rsidP="00E159E4">
            <w:pPr>
              <w:pStyle w:val="Tabletext"/>
              <w:keepNext/>
            </w:pPr>
            <w:r w:rsidRPr="00AB6295">
              <w:t>Low</w:t>
            </w:r>
          </w:p>
        </w:tc>
        <w:tc>
          <w:tcPr>
            <w:tcW w:w="747" w:type="pct"/>
            <w:vAlign w:val="center"/>
          </w:tcPr>
          <w:p w14:paraId="7BBC54FC" w14:textId="2996830F" w:rsidR="005E203E" w:rsidRPr="00AB6295" w:rsidRDefault="005E203E" w:rsidP="00E159E4">
            <w:pPr>
              <w:pStyle w:val="Tabletext"/>
              <w:keepNext/>
            </w:pPr>
            <w:r w:rsidRPr="00AB6295">
              <w:t>Linzagolix 100mg or 200mg ± ABT and PBO</w:t>
            </w:r>
          </w:p>
        </w:tc>
        <w:tc>
          <w:tcPr>
            <w:tcW w:w="747" w:type="pct"/>
            <w:shd w:val="clear" w:color="auto" w:fill="auto"/>
            <w:vAlign w:val="center"/>
          </w:tcPr>
          <w:p w14:paraId="031545F4" w14:textId="62BD8EC7" w:rsidR="005E203E" w:rsidRPr="00AB6295" w:rsidRDefault="005E203E" w:rsidP="00E159E4">
            <w:pPr>
              <w:pStyle w:val="Tabletext"/>
              <w:keepNext/>
            </w:pPr>
            <w:r w:rsidRPr="00AB6295">
              <w:t>moderate-severe uterine fibroids</w:t>
            </w:r>
          </w:p>
        </w:tc>
        <w:tc>
          <w:tcPr>
            <w:tcW w:w="1358" w:type="pct"/>
            <w:vMerge/>
            <w:shd w:val="clear" w:color="auto" w:fill="auto"/>
            <w:vAlign w:val="center"/>
          </w:tcPr>
          <w:p w14:paraId="62296599" w14:textId="77777777" w:rsidR="005E203E" w:rsidRPr="00AB6295" w:rsidRDefault="005E203E" w:rsidP="00E159E4">
            <w:pPr>
              <w:pStyle w:val="Tabletext"/>
              <w:keepNext/>
            </w:pPr>
          </w:p>
        </w:tc>
        <w:tc>
          <w:tcPr>
            <w:tcW w:w="196" w:type="pct"/>
            <w:shd w:val="clear" w:color="auto" w:fill="auto"/>
            <w:vAlign w:val="center"/>
          </w:tcPr>
          <w:p w14:paraId="692B951E" w14:textId="76C6A3D9" w:rsidR="005E203E" w:rsidRPr="00AB6295" w:rsidRDefault="005E203E" w:rsidP="00E159E4">
            <w:pPr>
              <w:pStyle w:val="Tabletext"/>
              <w:keepNext/>
              <w:rPr>
                <w:b/>
                <w:bCs/>
              </w:rPr>
            </w:pPr>
            <w:r w:rsidRPr="00AB6295">
              <w:sym w:font="Wingdings" w:char="F0FC"/>
            </w:r>
          </w:p>
        </w:tc>
      </w:tr>
      <w:tr w:rsidR="00555B4A" w:rsidRPr="00AB6295" w14:paraId="76E31AAA" w14:textId="77777777" w:rsidTr="00555B4A">
        <w:tc>
          <w:tcPr>
            <w:tcW w:w="623" w:type="pct"/>
            <w:shd w:val="clear" w:color="auto" w:fill="auto"/>
            <w:vAlign w:val="center"/>
          </w:tcPr>
          <w:p w14:paraId="7CEC0267" w14:textId="3D88BD29" w:rsidR="00555B4A" w:rsidRPr="00AB6295" w:rsidRDefault="00555B4A" w:rsidP="00E159E4">
            <w:pPr>
              <w:pStyle w:val="Tabletext"/>
              <w:keepNext/>
            </w:pPr>
            <w:r w:rsidRPr="00AB6295">
              <w:t>PRIMROSE 3</w:t>
            </w:r>
          </w:p>
        </w:tc>
        <w:tc>
          <w:tcPr>
            <w:tcW w:w="312" w:type="pct"/>
            <w:shd w:val="clear" w:color="auto" w:fill="auto"/>
            <w:vAlign w:val="center"/>
          </w:tcPr>
          <w:p w14:paraId="052530BE" w14:textId="12F8B184" w:rsidR="00555B4A" w:rsidRPr="00AB6295" w:rsidRDefault="00555B4A" w:rsidP="00E159E4">
            <w:pPr>
              <w:pStyle w:val="Tabletext"/>
              <w:keepNext/>
            </w:pPr>
            <w:r w:rsidRPr="00AB6295">
              <w:t>129</w:t>
            </w:r>
            <w:r w:rsidR="001A02AD" w:rsidRPr="00AB6295">
              <w:rPr>
                <w:vertAlign w:val="superscript"/>
              </w:rPr>
              <w:t>c</w:t>
            </w:r>
          </w:p>
        </w:tc>
        <w:tc>
          <w:tcPr>
            <w:tcW w:w="745" w:type="pct"/>
            <w:shd w:val="clear" w:color="auto" w:fill="auto"/>
            <w:vAlign w:val="center"/>
          </w:tcPr>
          <w:p w14:paraId="7ECBA9AF" w14:textId="06DFC90C" w:rsidR="00555B4A" w:rsidRPr="00AB6295" w:rsidRDefault="00555B4A" w:rsidP="00E159E4">
            <w:pPr>
              <w:pStyle w:val="Tabletext"/>
              <w:keepNext/>
            </w:pPr>
            <w:r w:rsidRPr="00AB6295">
              <w:t xml:space="preserve">P3, MC, </w:t>
            </w:r>
            <w:r w:rsidR="005E203E" w:rsidRPr="00AB6295">
              <w:t>unblinded</w:t>
            </w:r>
            <w:r w:rsidRPr="00AB6295">
              <w:t>, 24 months</w:t>
            </w:r>
            <w:r w:rsidR="005E203E" w:rsidRPr="00AB6295">
              <w:t xml:space="preserve"> safety extension</w:t>
            </w:r>
          </w:p>
        </w:tc>
        <w:tc>
          <w:tcPr>
            <w:tcW w:w="272" w:type="pct"/>
            <w:shd w:val="clear" w:color="auto" w:fill="auto"/>
            <w:vAlign w:val="center"/>
          </w:tcPr>
          <w:p w14:paraId="66399569" w14:textId="418F6BDE" w:rsidR="00555B4A" w:rsidRPr="00AB6295" w:rsidRDefault="00A3051E" w:rsidP="00E159E4">
            <w:pPr>
              <w:pStyle w:val="Tabletext"/>
              <w:keepNext/>
            </w:pPr>
            <w:r w:rsidRPr="00AB6295">
              <w:t>High</w:t>
            </w:r>
            <w:r w:rsidR="00650868" w:rsidRPr="00AB6295">
              <w:rPr>
                <w:vertAlign w:val="superscript"/>
              </w:rPr>
              <w:t>d</w:t>
            </w:r>
          </w:p>
        </w:tc>
        <w:tc>
          <w:tcPr>
            <w:tcW w:w="747" w:type="pct"/>
            <w:vAlign w:val="center"/>
          </w:tcPr>
          <w:p w14:paraId="4A25BA48" w14:textId="77777777" w:rsidR="00555B4A" w:rsidRPr="00AB6295" w:rsidRDefault="00555B4A" w:rsidP="00E159E4">
            <w:pPr>
              <w:pStyle w:val="Tabletext"/>
              <w:keepNext/>
            </w:pPr>
            <w:r w:rsidRPr="00AB6295">
              <w:t>No active study treatments.</w:t>
            </w:r>
          </w:p>
        </w:tc>
        <w:tc>
          <w:tcPr>
            <w:tcW w:w="747" w:type="pct"/>
            <w:shd w:val="clear" w:color="auto" w:fill="auto"/>
            <w:vAlign w:val="center"/>
          </w:tcPr>
          <w:p w14:paraId="24682D88" w14:textId="77777777" w:rsidR="00555B4A" w:rsidRPr="00AB6295" w:rsidRDefault="00555B4A" w:rsidP="00E159E4">
            <w:pPr>
              <w:pStyle w:val="Tabletext"/>
              <w:keepNext/>
            </w:pPr>
            <w:r w:rsidRPr="00AB6295">
              <w:t>From PRIMROSE 1 and 2</w:t>
            </w:r>
          </w:p>
        </w:tc>
        <w:tc>
          <w:tcPr>
            <w:tcW w:w="1358" w:type="pct"/>
            <w:shd w:val="clear" w:color="auto" w:fill="auto"/>
            <w:vAlign w:val="center"/>
          </w:tcPr>
          <w:p w14:paraId="4BA777EC" w14:textId="77777777" w:rsidR="00555B4A" w:rsidRPr="00AB6295" w:rsidRDefault="00555B4A" w:rsidP="00E159E4">
            <w:pPr>
              <w:pStyle w:val="Tabletext"/>
              <w:keepNext/>
            </w:pPr>
            <w:r w:rsidRPr="00AB6295">
              <w:t>Change in lumbar spine (L1-L4), femoral neck, and total hip BMD at 12, 18 and 24 months from the end of treatment in PRIMROSE 1 and 2 trials.</w:t>
            </w:r>
          </w:p>
        </w:tc>
        <w:tc>
          <w:tcPr>
            <w:tcW w:w="196" w:type="pct"/>
            <w:shd w:val="clear" w:color="auto" w:fill="auto"/>
            <w:vAlign w:val="center"/>
          </w:tcPr>
          <w:p w14:paraId="72B07771" w14:textId="77777777" w:rsidR="00555B4A" w:rsidRPr="00AB6295" w:rsidRDefault="00555B4A" w:rsidP="00E159E4">
            <w:pPr>
              <w:pStyle w:val="Tabletext"/>
              <w:keepNext/>
            </w:pPr>
            <w:r w:rsidRPr="00AB6295">
              <w:rPr>
                <w:b/>
                <w:noProof/>
              </w:rPr>
              <w:t>×</w:t>
            </w:r>
          </w:p>
        </w:tc>
      </w:tr>
    </w:tbl>
    <w:p w14:paraId="1B5AA2E9" w14:textId="77777777" w:rsidR="00555B4A" w:rsidRPr="00482A36" w:rsidRDefault="00555B4A" w:rsidP="00E159E4">
      <w:pPr>
        <w:pStyle w:val="FooterTableFigure"/>
        <w:keepNext/>
      </w:pPr>
      <w:r w:rsidRPr="00482A36">
        <w:t>Source: compiled during the evaluation.</w:t>
      </w:r>
    </w:p>
    <w:p w14:paraId="7F288BBF" w14:textId="62241E30" w:rsidR="00555B4A" w:rsidRPr="00482A36" w:rsidRDefault="00555B4A" w:rsidP="00E159E4">
      <w:pPr>
        <w:pStyle w:val="FooterTableFigure"/>
        <w:keepNext/>
      </w:pPr>
      <w:r w:rsidRPr="00482A36">
        <w:t>ABT=add-back therapy</w:t>
      </w:r>
      <w:r w:rsidR="00A648DE">
        <w:t xml:space="preserve"> (</w:t>
      </w:r>
      <w:r w:rsidR="00A648DE" w:rsidRPr="00A648DE">
        <w:t>consisted of 1 mg of estradiol and 0.5 mg of norethisterone</w:t>
      </w:r>
      <w:r w:rsidR="00A648DE">
        <w:t>)</w:t>
      </w:r>
      <w:r w:rsidRPr="00482A36">
        <w:t>; AE=adverse event; BMD=bone mineral density; DB=double-blind; ITT=intention to treat; MBL=menstrual blood loss; MC=multi-centre; N=number; OL=open label; PBO=placebo; PC=placebo-controlled; P3=Phase 3; R=randomised; w=week; S3=Section 3 (economic evaluation) of the submission</w:t>
      </w:r>
    </w:p>
    <w:p w14:paraId="51862D0D" w14:textId="5AC9CDE0" w:rsidR="00555B4A" w:rsidRDefault="001A02AD" w:rsidP="00E159E4">
      <w:pPr>
        <w:pStyle w:val="FooterTableFigure"/>
        <w:keepNext/>
        <w:spacing w:after="0"/>
      </w:pPr>
      <w:r>
        <w:rPr>
          <w:vertAlign w:val="superscript"/>
        </w:rPr>
        <w:t>a</w:t>
      </w:r>
      <w:r w:rsidR="00555B4A" w:rsidRPr="00482A36">
        <w:t xml:space="preserve"> </w:t>
      </w:r>
      <w:r w:rsidR="00555B4A" w:rsidRPr="00482A36">
        <w:tab/>
        <w:t>Defined by MBL ≤80 mL and ≥50% reduction from baseline</w:t>
      </w:r>
    </w:p>
    <w:p w14:paraId="0AEBF0C5" w14:textId="37DEE037" w:rsidR="001A02AD" w:rsidRPr="00482A36" w:rsidRDefault="001A02AD" w:rsidP="00E159E4">
      <w:pPr>
        <w:pStyle w:val="FooterTableFigure"/>
        <w:keepNext/>
        <w:spacing w:after="0"/>
      </w:pPr>
      <w:r>
        <w:rPr>
          <w:vertAlign w:val="superscript"/>
        </w:rPr>
        <w:t>b</w:t>
      </w:r>
      <w:r w:rsidRPr="00482A36">
        <w:tab/>
      </w:r>
      <w:r w:rsidRPr="00AB6295">
        <w:rPr>
          <w:iCs/>
        </w:rPr>
        <w:t>Used in the economic model.</w:t>
      </w:r>
    </w:p>
    <w:p w14:paraId="3D4F792E" w14:textId="79157CD3" w:rsidR="006D3D30" w:rsidRPr="006D3D30" w:rsidRDefault="001A02AD" w:rsidP="00224353">
      <w:pPr>
        <w:pStyle w:val="TableFigureFooter"/>
        <w:ind w:left="164" w:hanging="164"/>
      </w:pPr>
      <w:r>
        <w:rPr>
          <w:vertAlign w:val="superscript"/>
        </w:rPr>
        <w:t>c</w:t>
      </w:r>
      <w:r w:rsidR="00555B4A" w:rsidRPr="00482A36">
        <w:tab/>
      </w:r>
      <w:r w:rsidR="00555B4A" w:rsidRPr="00AB6295">
        <w:rPr>
          <w:iCs/>
        </w:rPr>
        <w:t>The submission reported outcomes from 129 patients; however, the safety analysis set based on PRIMROSE 3 CSR included 130 participants.</w:t>
      </w:r>
      <w:r w:rsidR="004A7C21" w:rsidRPr="00482A36">
        <w:t xml:space="preserve"> </w:t>
      </w:r>
      <w:r w:rsidR="004A7C21" w:rsidRPr="00AB6295">
        <w:rPr>
          <w:iCs/>
        </w:rPr>
        <w:t>This discrepancy may be relevant for one participant who remained on linzagolix 200 mg without ABT until the end of treatment duration</w:t>
      </w:r>
      <w:r w:rsidR="001E39CD" w:rsidRPr="00AB6295">
        <w:rPr>
          <w:iCs/>
        </w:rPr>
        <w:t xml:space="preserve"> (see Attachment 2.3, Figure A.2.3.1).</w:t>
      </w:r>
      <w:r>
        <w:rPr>
          <w:iCs/>
          <w:vertAlign w:val="superscript"/>
        </w:rPr>
        <w:t>d</w:t>
      </w:r>
      <w:r w:rsidR="00555B4A" w:rsidRPr="00482A36">
        <w:rPr>
          <w:iCs/>
        </w:rPr>
        <w:tab/>
      </w:r>
      <w:r w:rsidR="00555B4A" w:rsidRPr="00482A36">
        <w:t>The submission did not evaluate the risk of bias for PRIMROSE 3. However, due to the small sample size resulting from additional eligibility criteria (i.e., completion of ≥20 weeks of treatment) and the non-participation of all centres (due to international conflicts and the pandemic</w:t>
      </w:r>
      <w:r w:rsidR="00E36C58" w:rsidRPr="00482A36">
        <w:t>, as stated by the submission</w:t>
      </w:r>
      <w:r w:rsidR="00555B4A" w:rsidRPr="00482A36">
        <w:t>), the findings may not be fully representative of all participants from PRIMROSE 1 and 2.</w:t>
      </w:r>
    </w:p>
    <w:p w14:paraId="45F41677" w14:textId="131C3CA6" w:rsidR="00555B4A" w:rsidRPr="00482A36" w:rsidRDefault="00555B4A" w:rsidP="00224353">
      <w:pPr>
        <w:pStyle w:val="3-BodyText"/>
      </w:pPr>
      <w:r w:rsidRPr="00482A36">
        <w:t>PRIMROSE 1 (May 2017-April 2021, across 124 US sites) and PRIMROSE 2 (June 2017- October 2020, across 95 European and US sites) were identically designed trials</w:t>
      </w:r>
      <w:r w:rsidR="007A647A" w:rsidRPr="00482A36">
        <w:t xml:space="preserve"> with three distinct</w:t>
      </w:r>
      <w:r w:rsidRPr="00482A36">
        <w:t xml:space="preserve"> periods:</w:t>
      </w:r>
    </w:p>
    <w:p w14:paraId="1DF51BD1" w14:textId="50D112FF" w:rsidR="00555B4A" w:rsidRPr="00482A36" w:rsidRDefault="00555B4A" w:rsidP="00E57A22">
      <w:pPr>
        <w:pStyle w:val="3-BodyText"/>
        <w:numPr>
          <w:ilvl w:val="0"/>
          <w:numId w:val="13"/>
        </w:numPr>
        <w:ind w:left="993" w:hanging="284"/>
      </w:pPr>
      <w:r w:rsidRPr="00482A36">
        <w:t>1</w:t>
      </w:r>
      <w:r w:rsidRPr="00482A36">
        <w:rPr>
          <w:vertAlign w:val="superscript"/>
        </w:rPr>
        <w:t>st</w:t>
      </w:r>
      <w:r w:rsidRPr="00482A36">
        <w:t xml:space="preserve"> period: Day 1 to week 24. Primary outcome was reported up to week 24. </w:t>
      </w:r>
    </w:p>
    <w:p w14:paraId="7897E074" w14:textId="77777777" w:rsidR="00555B4A" w:rsidRPr="00482A36" w:rsidRDefault="00555B4A" w:rsidP="00E57A22">
      <w:pPr>
        <w:pStyle w:val="3-BodyText"/>
        <w:numPr>
          <w:ilvl w:val="0"/>
          <w:numId w:val="13"/>
        </w:numPr>
        <w:ind w:left="993" w:hanging="284"/>
      </w:pPr>
      <w:r w:rsidRPr="00482A36">
        <w:t>2</w:t>
      </w:r>
      <w:r w:rsidRPr="00482A36">
        <w:rPr>
          <w:vertAlign w:val="superscript"/>
        </w:rPr>
        <w:t>nd</w:t>
      </w:r>
      <w:r w:rsidRPr="00482A36">
        <w:t xml:space="preserve"> period: week 24 to 52. At week 24 in PRIMROSE 1, half of the subjects from the placebo arm were switched to linzagolix 200 mg + ABT while the other half remained on placebo, and all subjects on linzagolix 200 mg alone were switched to linzagolix 200 mg + ABT. PRIMROSE 2 was identical except patients in the placebo arm in the first study period were all switched to linzagolix 200 mg + ABT.</w:t>
      </w:r>
    </w:p>
    <w:p w14:paraId="500271DA" w14:textId="49B324CE" w:rsidR="00555B4A" w:rsidRPr="00482A36" w:rsidRDefault="00555B4A" w:rsidP="00E57A22">
      <w:pPr>
        <w:pStyle w:val="3-BodyText"/>
        <w:numPr>
          <w:ilvl w:val="0"/>
          <w:numId w:val="13"/>
        </w:numPr>
        <w:ind w:left="993" w:hanging="284"/>
      </w:pPr>
      <w:r w:rsidRPr="00482A36">
        <w:t>3</w:t>
      </w:r>
      <w:r w:rsidRPr="00482A36">
        <w:rPr>
          <w:vertAlign w:val="superscript"/>
        </w:rPr>
        <w:t>rd</w:t>
      </w:r>
      <w:r w:rsidRPr="00482A36">
        <w:t xml:space="preserve"> period: between week 52 to week 76. At week 52, all treatments were stopped. Participants who wanted to remain in the study were followed up for safety and certain efficacy endpoints (i.e., BMD decrease and recovery) up to week 76.</w:t>
      </w:r>
    </w:p>
    <w:p w14:paraId="4377D00E" w14:textId="7DCAFB3D" w:rsidR="00AA060A" w:rsidRPr="00AB6295" w:rsidRDefault="00AA060A" w:rsidP="00327C26">
      <w:pPr>
        <w:pStyle w:val="3-BodyText"/>
        <w:rPr>
          <w:iCs/>
        </w:rPr>
      </w:pPr>
      <w:r w:rsidRPr="00482A36">
        <w:lastRenderedPageBreak/>
        <w:t>Across both trials, a total of 1,109 subjects were randomised 1:1:1:1:1 to one of five masked treatments: i) placebo, ii) 100</w:t>
      </w:r>
      <w:r w:rsidR="00E36C58" w:rsidRPr="00482A36">
        <w:t xml:space="preserve"> </w:t>
      </w:r>
      <w:r w:rsidRPr="00482A36">
        <w:t>mg linzagolix per day alone, iii) 100</w:t>
      </w:r>
      <w:r w:rsidR="00E36C58" w:rsidRPr="00482A36">
        <w:t xml:space="preserve"> </w:t>
      </w:r>
      <w:r w:rsidRPr="00482A36">
        <w:t>mg linzagolix per day with once per day hormonal ABT (1 mg oestradiol and 0.5 mg norethisterone acetate), iv) 200</w:t>
      </w:r>
      <w:r w:rsidR="00E36C58" w:rsidRPr="00482A36">
        <w:t xml:space="preserve"> </w:t>
      </w:r>
      <w:r w:rsidRPr="00482A36">
        <w:t xml:space="preserve">mg linzagolix per day alone, or v) 200 mg linzagolix per day with once per day ABT (1 mg oestradiol and 0.5 mg norethisterone acetate). </w:t>
      </w:r>
      <w:r w:rsidR="00202EF2" w:rsidRPr="00482A36">
        <w:t xml:space="preserve">All participants were required to cease </w:t>
      </w:r>
      <w:r w:rsidR="00CE1C64">
        <w:t>prior use of</w:t>
      </w:r>
      <w:r w:rsidR="00202EF2" w:rsidRPr="00482A36">
        <w:t xml:space="preserve"> hormonal agents and /or tranexamic acid to participate in the trials. </w:t>
      </w:r>
      <w:bookmarkStart w:id="28" w:name="_Hlk166509293"/>
    </w:p>
    <w:bookmarkEnd w:id="28"/>
    <w:p w14:paraId="1C6F8E01" w14:textId="7781628B" w:rsidR="007B2F0D" w:rsidRPr="00AB6295" w:rsidRDefault="00AA060A" w:rsidP="003B1F6C">
      <w:pPr>
        <w:pStyle w:val="3-BodyText"/>
        <w:rPr>
          <w:iCs/>
        </w:rPr>
      </w:pPr>
      <w:r w:rsidRPr="005F1184">
        <w:t>R</w:t>
      </w:r>
      <w:r w:rsidR="007B2F0D" w:rsidRPr="005F1184">
        <w:t xml:space="preserve">ace was the sole </w:t>
      </w:r>
      <w:r w:rsidR="00A06CA6" w:rsidRPr="005F1184">
        <w:t xml:space="preserve">randomisation </w:t>
      </w:r>
      <w:r w:rsidR="007B2F0D" w:rsidRPr="005F1184">
        <w:t>stratification</w:t>
      </w:r>
      <w:r w:rsidR="003B1F6C" w:rsidRPr="005F1184">
        <w:t xml:space="preserve"> factor </w:t>
      </w:r>
      <w:r w:rsidRPr="005F1184">
        <w:t>in PRIMROSE 1 and 2.</w:t>
      </w:r>
      <w:r w:rsidRPr="00AB6295">
        <w:rPr>
          <w:iCs/>
        </w:rPr>
        <w:t xml:space="preserve"> </w:t>
      </w:r>
      <w:r w:rsidR="00D25AC4" w:rsidRPr="00AB6295">
        <w:rPr>
          <w:iCs/>
        </w:rPr>
        <w:t xml:space="preserve">Despite this, </w:t>
      </w:r>
      <w:r w:rsidRPr="00AB6295">
        <w:rPr>
          <w:iCs/>
        </w:rPr>
        <w:t xml:space="preserve">the trials were well balanced </w:t>
      </w:r>
      <w:r w:rsidR="00202EF2" w:rsidRPr="00AB6295">
        <w:rPr>
          <w:iCs/>
        </w:rPr>
        <w:t xml:space="preserve">in terms of </w:t>
      </w:r>
      <w:r w:rsidR="00D25AC4" w:rsidRPr="00AB6295">
        <w:rPr>
          <w:iCs/>
        </w:rPr>
        <w:t xml:space="preserve">prior medicinal therapy and age at randomisation </w:t>
      </w:r>
      <w:r w:rsidR="00202EF2" w:rsidRPr="00AB6295">
        <w:rPr>
          <w:iCs/>
        </w:rPr>
        <w:t xml:space="preserve">except for the </w:t>
      </w:r>
      <w:r w:rsidR="003D43FA" w:rsidRPr="00AB6295">
        <w:rPr>
          <w:iCs/>
        </w:rPr>
        <w:t>proportion of patients with prior uterine fibroid surgery</w:t>
      </w:r>
      <w:r w:rsidR="00D25AC4" w:rsidRPr="00AB6295">
        <w:rPr>
          <w:iCs/>
        </w:rPr>
        <w:t xml:space="preserve"> in PRIMROSE 2</w:t>
      </w:r>
      <w:r w:rsidR="00202EF2" w:rsidRPr="00AB6295">
        <w:rPr>
          <w:iCs/>
        </w:rPr>
        <w:t xml:space="preserve"> which </w:t>
      </w:r>
      <w:r w:rsidR="00D25AC4" w:rsidRPr="00AB6295">
        <w:rPr>
          <w:iCs/>
        </w:rPr>
        <w:t>varied between 4.9%</w:t>
      </w:r>
      <w:r w:rsidR="00F95134" w:rsidRPr="00AB6295">
        <w:rPr>
          <w:rFonts w:cstheme="minorHAnsi"/>
          <w:iCs/>
        </w:rPr>
        <w:t>−</w:t>
      </w:r>
      <w:r w:rsidR="00D25AC4" w:rsidRPr="00AB6295">
        <w:rPr>
          <w:iCs/>
        </w:rPr>
        <w:t>15%</w:t>
      </w:r>
      <w:r w:rsidR="00202EF2" w:rsidRPr="00AB6295">
        <w:rPr>
          <w:iCs/>
        </w:rPr>
        <w:t xml:space="preserve"> across arms</w:t>
      </w:r>
      <w:r w:rsidR="00D25AC4" w:rsidRPr="00AB6295">
        <w:rPr>
          <w:iCs/>
        </w:rPr>
        <w:t>.</w:t>
      </w:r>
      <w:r w:rsidR="003B1F6C" w:rsidRPr="00AB6295">
        <w:rPr>
          <w:iCs/>
        </w:rPr>
        <w:t xml:space="preserve"> </w:t>
      </w:r>
      <w:r w:rsidR="00A06CA6" w:rsidRPr="00AB6295">
        <w:rPr>
          <w:iCs/>
        </w:rPr>
        <w:t>Across the two trials however, d</w:t>
      </w:r>
      <w:r w:rsidR="003B1F6C" w:rsidRPr="00AB6295">
        <w:rPr>
          <w:iCs/>
        </w:rPr>
        <w:t xml:space="preserve">ifferences in baseline patient demographics were noted, including </w:t>
      </w:r>
      <w:r w:rsidR="003D43FA" w:rsidRPr="00AB6295">
        <w:rPr>
          <w:iCs/>
        </w:rPr>
        <w:t>age (</w:t>
      </w:r>
      <w:r w:rsidR="00B562B1" w:rsidRPr="00AB6295">
        <w:rPr>
          <w:iCs/>
        </w:rPr>
        <w:t>patients were</w:t>
      </w:r>
      <w:r w:rsidR="00B614A5" w:rsidRPr="00AB6295">
        <w:rPr>
          <w:iCs/>
        </w:rPr>
        <w:t xml:space="preserve"> slightly</w:t>
      </w:r>
      <w:r w:rsidR="00B562B1" w:rsidRPr="00AB6295">
        <w:rPr>
          <w:iCs/>
        </w:rPr>
        <w:t xml:space="preserve"> </w:t>
      </w:r>
      <w:r w:rsidR="003D43FA" w:rsidRPr="00AB6295">
        <w:rPr>
          <w:iCs/>
        </w:rPr>
        <w:t>older in PRIMROSE 2</w:t>
      </w:r>
      <w:r w:rsidR="00D25AC4" w:rsidRPr="00AB6295">
        <w:rPr>
          <w:iCs/>
        </w:rPr>
        <w:t>,</w:t>
      </w:r>
      <w:r w:rsidR="003D43FA" w:rsidRPr="00AB6295">
        <w:rPr>
          <w:iCs/>
        </w:rPr>
        <w:t xml:space="preserve"> 42.9 years versus 41.6 years), </w:t>
      </w:r>
      <w:bookmarkStart w:id="29" w:name="_Ref165404950"/>
      <w:r w:rsidR="00F9525D" w:rsidRPr="00AB6295">
        <w:rPr>
          <w:iCs/>
        </w:rPr>
        <w:t>ethnicity</w:t>
      </w:r>
      <w:r w:rsidR="003B1F6C" w:rsidRPr="00AB6295">
        <w:rPr>
          <w:iCs/>
        </w:rPr>
        <w:t xml:space="preserve"> (</w:t>
      </w:r>
      <w:r w:rsidR="00F9525D" w:rsidRPr="00AB6295">
        <w:rPr>
          <w:iCs/>
        </w:rPr>
        <w:t xml:space="preserve">more African </w:t>
      </w:r>
      <w:r w:rsidR="003B1F6C" w:rsidRPr="00AB6295">
        <w:rPr>
          <w:iCs/>
        </w:rPr>
        <w:t xml:space="preserve">race </w:t>
      </w:r>
      <w:r w:rsidR="00F9525D" w:rsidRPr="00AB6295">
        <w:rPr>
          <w:iCs/>
        </w:rPr>
        <w:t>participants in PRIMROSE 1</w:t>
      </w:r>
      <w:r w:rsidR="003D43FA" w:rsidRPr="00AB6295">
        <w:rPr>
          <w:iCs/>
        </w:rPr>
        <w:t>, 63% versus 5%</w:t>
      </w:r>
      <w:r w:rsidR="003B1F6C" w:rsidRPr="00AB6295">
        <w:rPr>
          <w:iCs/>
        </w:rPr>
        <w:t>)</w:t>
      </w:r>
      <w:r w:rsidR="00F9525D" w:rsidRPr="00AB6295">
        <w:rPr>
          <w:iCs/>
        </w:rPr>
        <w:t>, symptom severity</w:t>
      </w:r>
      <w:r w:rsidR="003D43FA" w:rsidRPr="00AB6295">
        <w:rPr>
          <w:iCs/>
        </w:rPr>
        <w:t xml:space="preserve"> (higher baseline mean MBL in PRIMROSE 2</w:t>
      </w:r>
      <w:r w:rsidR="00D25AC4" w:rsidRPr="00AB6295">
        <w:rPr>
          <w:iCs/>
        </w:rPr>
        <w:t>: 193</w:t>
      </w:r>
      <w:r w:rsidR="007D74D4" w:rsidRPr="00AB6295">
        <w:rPr>
          <w:rFonts w:cstheme="minorHAnsi"/>
          <w:iCs/>
        </w:rPr>
        <w:t>−</w:t>
      </w:r>
      <w:r w:rsidR="00D25AC4" w:rsidRPr="00AB6295">
        <w:rPr>
          <w:iCs/>
        </w:rPr>
        <w:t>244 mL versus 195</w:t>
      </w:r>
      <w:r w:rsidR="007D74D4" w:rsidRPr="00AB6295">
        <w:rPr>
          <w:rFonts w:cstheme="minorHAnsi"/>
          <w:iCs/>
        </w:rPr>
        <w:t>−</w:t>
      </w:r>
      <w:r w:rsidR="00D25AC4" w:rsidRPr="00AB6295">
        <w:rPr>
          <w:iCs/>
        </w:rPr>
        <w:t>204 mL)</w:t>
      </w:r>
      <w:r w:rsidR="00F9525D" w:rsidRPr="00AB6295">
        <w:rPr>
          <w:iCs/>
        </w:rPr>
        <w:t>, prior medication use</w:t>
      </w:r>
      <w:r w:rsidR="00B50A44" w:rsidRPr="00AB6295">
        <w:rPr>
          <w:iCs/>
        </w:rPr>
        <w:t xml:space="preserve"> for uterine fibroids in PRIMROSE 1 (18</w:t>
      </w:r>
      <w:r w:rsidR="00C779E1" w:rsidRPr="00AB6295">
        <w:rPr>
          <w:rFonts w:cstheme="minorHAnsi"/>
          <w:iCs/>
        </w:rPr>
        <w:t>−</w:t>
      </w:r>
      <w:r w:rsidR="00B50A44" w:rsidRPr="00AB6295">
        <w:rPr>
          <w:iCs/>
        </w:rPr>
        <w:t>22% versus 7</w:t>
      </w:r>
      <w:r w:rsidR="00C779E1" w:rsidRPr="00AB6295">
        <w:rPr>
          <w:rFonts w:cstheme="minorHAnsi"/>
          <w:iCs/>
        </w:rPr>
        <w:t>−</w:t>
      </w:r>
      <w:r w:rsidR="00B50A44" w:rsidRPr="00AB6295">
        <w:rPr>
          <w:iCs/>
        </w:rPr>
        <w:t>15%</w:t>
      </w:r>
      <w:r w:rsidR="00202EF2" w:rsidRPr="00AB6295">
        <w:rPr>
          <w:iCs/>
        </w:rPr>
        <w:t>)</w:t>
      </w:r>
      <w:r w:rsidR="00F9525D" w:rsidRPr="00AB6295">
        <w:rPr>
          <w:iCs/>
        </w:rPr>
        <w:t xml:space="preserve">, and </w:t>
      </w:r>
      <w:r w:rsidR="00B50A44" w:rsidRPr="00AB6295">
        <w:rPr>
          <w:iCs/>
        </w:rPr>
        <w:t xml:space="preserve">higher </w:t>
      </w:r>
      <w:r w:rsidR="00202EF2" w:rsidRPr="00AB6295">
        <w:rPr>
          <w:iCs/>
        </w:rPr>
        <w:t xml:space="preserve">patient </w:t>
      </w:r>
      <w:r w:rsidR="00F9525D" w:rsidRPr="00AB6295">
        <w:rPr>
          <w:iCs/>
        </w:rPr>
        <w:t>fibroid and uterine volumes</w:t>
      </w:r>
      <w:r w:rsidR="00B50A44" w:rsidRPr="00AB6295">
        <w:rPr>
          <w:iCs/>
        </w:rPr>
        <w:t xml:space="preserve"> </w:t>
      </w:r>
      <w:r w:rsidR="00202EF2" w:rsidRPr="00AB6295">
        <w:rPr>
          <w:iCs/>
        </w:rPr>
        <w:t xml:space="preserve">in </w:t>
      </w:r>
      <w:r w:rsidR="00F9525D" w:rsidRPr="00AB6295">
        <w:rPr>
          <w:iCs/>
        </w:rPr>
        <w:t xml:space="preserve">PRIMROSE 1 </w:t>
      </w:r>
      <w:r w:rsidR="00B50A44" w:rsidRPr="00AB6295">
        <w:rPr>
          <w:iCs/>
        </w:rPr>
        <w:t>(fibroid volume 90</w:t>
      </w:r>
      <w:r w:rsidR="00C23A10" w:rsidRPr="00AB6295">
        <w:rPr>
          <w:rFonts w:cstheme="minorHAnsi"/>
          <w:iCs/>
        </w:rPr>
        <w:t>−</w:t>
      </w:r>
      <w:r w:rsidR="00B50A44" w:rsidRPr="00AB6295">
        <w:rPr>
          <w:iCs/>
        </w:rPr>
        <w:t>127</w:t>
      </w:r>
      <w:r w:rsidR="00E36C58" w:rsidRPr="00AB6295">
        <w:rPr>
          <w:iCs/>
        </w:rPr>
        <w:t xml:space="preserve"> </w:t>
      </w:r>
      <w:r w:rsidR="00B50A44" w:rsidRPr="00AB6295">
        <w:rPr>
          <w:iCs/>
        </w:rPr>
        <w:t>cm</w:t>
      </w:r>
      <w:r w:rsidR="00B50A44" w:rsidRPr="00AB6295">
        <w:rPr>
          <w:iCs/>
          <w:vertAlign w:val="superscript"/>
        </w:rPr>
        <w:t>3</w:t>
      </w:r>
      <w:r w:rsidR="00B50A44" w:rsidRPr="00AB6295">
        <w:rPr>
          <w:iCs/>
        </w:rPr>
        <w:t xml:space="preserve"> versus 86</w:t>
      </w:r>
      <w:r w:rsidR="00C23A10" w:rsidRPr="00AB6295">
        <w:rPr>
          <w:rFonts w:cstheme="minorHAnsi"/>
          <w:iCs/>
        </w:rPr>
        <w:t>−</w:t>
      </w:r>
      <w:r w:rsidR="00B50A44" w:rsidRPr="00AB6295">
        <w:rPr>
          <w:iCs/>
        </w:rPr>
        <w:t>94 cm</w:t>
      </w:r>
      <w:r w:rsidR="00B50A44" w:rsidRPr="00AB6295">
        <w:rPr>
          <w:iCs/>
          <w:vertAlign w:val="superscript"/>
        </w:rPr>
        <w:t>3</w:t>
      </w:r>
      <w:r w:rsidR="00B50A44" w:rsidRPr="00AB6295">
        <w:rPr>
          <w:iCs/>
        </w:rPr>
        <w:t>)</w:t>
      </w:r>
      <w:r w:rsidR="00F9525D" w:rsidRPr="00AB6295">
        <w:rPr>
          <w:iCs/>
        </w:rPr>
        <w:t xml:space="preserve">. Overall, patients enrolled in PRIMROSE 1 </w:t>
      </w:r>
      <w:r w:rsidR="00B50A44" w:rsidRPr="00AB6295">
        <w:rPr>
          <w:iCs/>
        </w:rPr>
        <w:t xml:space="preserve">appeared to have </w:t>
      </w:r>
      <w:r w:rsidR="00F9525D" w:rsidRPr="00AB6295">
        <w:rPr>
          <w:iCs/>
        </w:rPr>
        <w:t>more severe disease</w:t>
      </w:r>
      <w:r w:rsidR="00B50A44" w:rsidRPr="00AB6295">
        <w:rPr>
          <w:iCs/>
        </w:rPr>
        <w:t xml:space="preserve"> but reported lower baseline MBL</w:t>
      </w:r>
      <w:r w:rsidR="00F9525D" w:rsidRPr="00AB6295">
        <w:rPr>
          <w:iCs/>
        </w:rPr>
        <w:t xml:space="preserve"> </w:t>
      </w:r>
      <w:r w:rsidR="00202EF2" w:rsidRPr="00AB6295">
        <w:rPr>
          <w:iCs/>
        </w:rPr>
        <w:t>compared to those in PRIMROSE 2.</w:t>
      </w:r>
      <w:bookmarkEnd w:id="29"/>
    </w:p>
    <w:p w14:paraId="31788C9B" w14:textId="702277B6" w:rsidR="00202EF2" w:rsidRPr="00AB6295" w:rsidRDefault="00202EF2" w:rsidP="00202EF2">
      <w:pPr>
        <w:pStyle w:val="3-BodyText"/>
        <w:rPr>
          <w:iCs/>
        </w:rPr>
      </w:pPr>
      <w:r w:rsidRPr="00482A36">
        <w:t xml:space="preserve">The primary endpoint was MBL </w:t>
      </w:r>
      <w:r w:rsidR="00D32DFB">
        <w:t xml:space="preserve">response </w:t>
      </w:r>
      <w:r w:rsidRPr="00482A36">
        <w:t>(defined as MBL ≤</w:t>
      </w:r>
      <w:r w:rsidR="00224353">
        <w:t> </w:t>
      </w:r>
      <w:r w:rsidRPr="00482A36">
        <w:t>80 mL and ≥</w:t>
      </w:r>
      <w:r w:rsidR="00224353">
        <w:t> </w:t>
      </w:r>
      <w:r w:rsidRPr="00482A36">
        <w:t xml:space="preserve">50% reduction from baseline) at week 24 for the Full Analysis Set (FAS) in women who received at least one dose of treatment and did not meet any exclusion criteria based on pre-dosing assessments. </w:t>
      </w:r>
      <w:r w:rsidR="00AA060A" w:rsidRPr="00482A36">
        <w:t xml:space="preserve">Attrition </w:t>
      </w:r>
      <w:r w:rsidRPr="00482A36">
        <w:rPr>
          <w:iCs/>
        </w:rPr>
        <w:t xml:space="preserve">due to early discontinuations </w:t>
      </w:r>
      <w:r w:rsidR="00D469C0" w:rsidRPr="00482A36">
        <w:rPr>
          <w:iCs/>
        </w:rPr>
        <w:t xml:space="preserve">were </w:t>
      </w:r>
      <w:r w:rsidRPr="00482A36">
        <w:rPr>
          <w:iCs/>
        </w:rPr>
        <w:t xml:space="preserve">32% </w:t>
      </w:r>
      <w:r w:rsidR="00D469C0" w:rsidRPr="00482A36">
        <w:rPr>
          <w:iCs/>
        </w:rPr>
        <w:t xml:space="preserve">and 10% </w:t>
      </w:r>
      <w:r w:rsidRPr="00482A36">
        <w:rPr>
          <w:iCs/>
        </w:rPr>
        <w:t>in PRIMROSE 1 and 2</w:t>
      </w:r>
      <w:r w:rsidR="00D469C0" w:rsidRPr="00482A36">
        <w:rPr>
          <w:iCs/>
        </w:rPr>
        <w:t xml:space="preserve"> respectively</w:t>
      </w:r>
      <w:r w:rsidRPr="00482A36">
        <w:rPr>
          <w:iCs/>
        </w:rPr>
        <w:t xml:space="preserve">, however, as those who dropped out of the study were considered non-responders </w:t>
      </w:r>
      <w:r w:rsidR="00D469C0" w:rsidRPr="00482A36">
        <w:rPr>
          <w:iCs/>
        </w:rPr>
        <w:t xml:space="preserve">in the primary analysis </w:t>
      </w:r>
      <w:r w:rsidRPr="00482A36">
        <w:rPr>
          <w:iCs/>
        </w:rPr>
        <w:t xml:space="preserve">this was unlikely to favour the active treatment arms. </w:t>
      </w:r>
      <w:r w:rsidR="00D469C0" w:rsidRPr="00AB6295">
        <w:rPr>
          <w:iCs/>
        </w:rPr>
        <w:t>Beyond week 24, high attrition rates were reported in all treatment arms of PRIMROSE 1 and 2 (30</w:t>
      </w:r>
      <w:r w:rsidR="004B2CBC" w:rsidRPr="00AB6295">
        <w:rPr>
          <w:rFonts w:cstheme="minorHAnsi"/>
          <w:iCs/>
        </w:rPr>
        <w:t>−</w:t>
      </w:r>
      <w:r w:rsidR="00D469C0" w:rsidRPr="00AB6295">
        <w:rPr>
          <w:iCs/>
        </w:rPr>
        <w:t>40%) and as the subsequent r</w:t>
      </w:r>
      <w:r w:rsidR="00D469C0" w:rsidRPr="00AB6295">
        <w:t>esults were only reported for</w:t>
      </w:r>
      <w:r w:rsidR="00D469C0" w:rsidRPr="00482A36">
        <w:rPr>
          <w:iCs/>
        </w:rPr>
        <w:t xml:space="preserve"> </w:t>
      </w:r>
      <w:r w:rsidR="00D469C0" w:rsidRPr="00AB6295">
        <w:rPr>
          <w:iCs/>
        </w:rPr>
        <w:t xml:space="preserve">patients who did not discontinue treatment for various reasons (including at the subject's request, loss to follow-up, adverse events, lack of efficacy, protocol deviation, or pregnancy), the data reported at weeks 52 and 76 were </w:t>
      </w:r>
      <w:r w:rsidR="00456CC5" w:rsidRPr="00AB6295">
        <w:rPr>
          <w:iCs/>
        </w:rPr>
        <w:t xml:space="preserve">difficult to interpret and </w:t>
      </w:r>
      <w:r w:rsidR="00D469C0" w:rsidRPr="00AB6295">
        <w:rPr>
          <w:iCs/>
        </w:rPr>
        <w:t>unreliable.</w:t>
      </w:r>
      <w:r w:rsidRPr="00AB6295">
        <w:rPr>
          <w:iCs/>
        </w:rPr>
        <w:t xml:space="preserve"> </w:t>
      </w:r>
    </w:p>
    <w:p w14:paraId="3B683818" w14:textId="77777777" w:rsidR="003146C9" w:rsidRPr="00482A36" w:rsidRDefault="003146C9" w:rsidP="003146C9">
      <w:pPr>
        <w:pStyle w:val="4-SubsectionHeading"/>
      </w:pPr>
      <w:bookmarkStart w:id="30" w:name="_Toc22897641"/>
      <w:bookmarkStart w:id="31" w:name="_Toc167269200"/>
      <w:r w:rsidRPr="00482A36">
        <w:t>Comparative effectiveness</w:t>
      </w:r>
      <w:bookmarkEnd w:id="30"/>
      <w:bookmarkEnd w:id="31"/>
    </w:p>
    <w:p w14:paraId="331DA023" w14:textId="721BA675" w:rsidR="003146C9" w:rsidRPr="00482A36" w:rsidRDefault="00342D01" w:rsidP="003146C9">
      <w:pPr>
        <w:pStyle w:val="3-BodyText"/>
      </w:pPr>
      <w:r w:rsidRPr="00482A36">
        <w:fldChar w:fldCharType="begin"/>
      </w:r>
      <w:r w:rsidRPr="00482A36">
        <w:instrText xml:space="preserve"> REF _Ref165022979 \h </w:instrText>
      </w:r>
      <w:r w:rsidRPr="00482A36">
        <w:fldChar w:fldCharType="separate"/>
      </w:r>
      <w:r w:rsidR="003E4FD0" w:rsidRPr="00482A36">
        <w:t xml:space="preserve">Table </w:t>
      </w:r>
      <w:r w:rsidR="003E4FD0">
        <w:rPr>
          <w:noProof/>
        </w:rPr>
        <w:t>4</w:t>
      </w:r>
      <w:r w:rsidRPr="00482A36">
        <w:fldChar w:fldCharType="end"/>
      </w:r>
      <w:r w:rsidRPr="00482A36">
        <w:t xml:space="preserve"> </w:t>
      </w:r>
      <w:r w:rsidR="00F9525D" w:rsidRPr="00482A36">
        <w:t xml:space="preserve">summarises </w:t>
      </w:r>
      <w:r w:rsidR="008E0BD1" w:rsidRPr="00482A36">
        <w:t xml:space="preserve">MBL response at weeks 24 and 52 from the </w:t>
      </w:r>
      <w:r w:rsidR="00F9525D" w:rsidRPr="00482A36">
        <w:t>PRIMROSE 1 and 2 trials</w:t>
      </w:r>
      <w:r w:rsidR="008E0BD1" w:rsidRPr="00482A36">
        <w:t>, including pooled PRIMROSE 1 and 2 results.</w:t>
      </w:r>
    </w:p>
    <w:p w14:paraId="7D7181C0" w14:textId="4CE78B4A" w:rsidR="003146C9" w:rsidRPr="00482A36" w:rsidRDefault="003146C9" w:rsidP="00224353">
      <w:pPr>
        <w:pStyle w:val="TableFigureHeading"/>
        <w:rPr>
          <w:rStyle w:val="CommentReference"/>
          <w:b/>
          <w:szCs w:val="24"/>
        </w:rPr>
      </w:pPr>
      <w:bookmarkStart w:id="32" w:name="_Ref165022979"/>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4</w:t>
      </w:r>
      <w:r w:rsidR="00747D8C">
        <w:rPr>
          <w:noProof/>
        </w:rPr>
        <w:fldChar w:fldCharType="end"/>
      </w:r>
      <w:bookmarkEnd w:id="32"/>
      <w:r w:rsidRPr="00482A36">
        <w:t>:</w:t>
      </w:r>
      <w:r w:rsidRPr="00482A36">
        <w:rPr>
          <w:rStyle w:val="CommentReference"/>
          <w:b/>
          <w:szCs w:val="24"/>
        </w:rPr>
        <w:t xml:space="preserve"> </w:t>
      </w:r>
      <w:r w:rsidR="008E0BD1" w:rsidRPr="00482A36">
        <w:t>Participants with MBL response at week 24 (primary outcome) and week 52 (FAS)</w:t>
      </w:r>
    </w:p>
    <w:tbl>
      <w:tblPr>
        <w:tblStyle w:val="TableGrid"/>
        <w:tblW w:w="5000" w:type="pct"/>
        <w:shd w:val="clear" w:color="auto" w:fill="FFFFFF" w:themeFill="background1"/>
        <w:tblLayout w:type="fixed"/>
        <w:tblCellMar>
          <w:left w:w="28" w:type="dxa"/>
          <w:right w:w="28" w:type="dxa"/>
        </w:tblCellMar>
        <w:tblLook w:val="04A0" w:firstRow="1" w:lastRow="0" w:firstColumn="1" w:lastColumn="0" w:noHBand="0" w:noVBand="1"/>
        <w:tblCaption w:val="Table 4: Participants with MBL response at week 24 (primary outcome) and week 52 (FAS)"/>
      </w:tblPr>
      <w:tblGrid>
        <w:gridCol w:w="1413"/>
        <w:gridCol w:w="1286"/>
        <w:gridCol w:w="1217"/>
        <w:gridCol w:w="1353"/>
        <w:gridCol w:w="1353"/>
        <w:gridCol w:w="1084"/>
        <w:gridCol w:w="1311"/>
      </w:tblGrid>
      <w:tr w:rsidR="00F9525D" w:rsidRPr="00482A36" w14:paraId="212F57E6" w14:textId="77777777" w:rsidTr="002B4C8A">
        <w:trPr>
          <w:trHeight w:val="20"/>
          <w:tblHeader/>
        </w:trPr>
        <w:tc>
          <w:tcPr>
            <w:tcW w:w="784" w:type="pct"/>
            <w:shd w:val="clear" w:color="auto" w:fill="FFFFFF" w:themeFill="background1"/>
            <w:vAlign w:val="center"/>
          </w:tcPr>
          <w:p w14:paraId="037D0EA6" w14:textId="77777777" w:rsidR="00F9525D" w:rsidRPr="00482A36" w:rsidRDefault="00F9525D" w:rsidP="00224353">
            <w:pPr>
              <w:pStyle w:val="Tabletext"/>
              <w:keepNext/>
            </w:pPr>
          </w:p>
        </w:tc>
        <w:tc>
          <w:tcPr>
            <w:tcW w:w="713" w:type="pct"/>
            <w:shd w:val="clear" w:color="auto" w:fill="FFFFFF" w:themeFill="background1"/>
            <w:vAlign w:val="center"/>
          </w:tcPr>
          <w:p w14:paraId="6FA7BB50" w14:textId="77777777" w:rsidR="00F9525D" w:rsidRPr="00482A36" w:rsidRDefault="00F9525D" w:rsidP="00224353">
            <w:pPr>
              <w:pStyle w:val="Tabletext"/>
              <w:keepNext/>
              <w:jc w:val="center"/>
              <w:rPr>
                <w:b/>
                <w:bCs/>
              </w:rPr>
            </w:pPr>
            <w:r w:rsidRPr="00482A36">
              <w:rPr>
                <w:b/>
                <w:bCs/>
              </w:rPr>
              <w:t>LGX 100</w:t>
            </w:r>
          </w:p>
        </w:tc>
        <w:tc>
          <w:tcPr>
            <w:tcW w:w="675" w:type="pct"/>
            <w:shd w:val="clear" w:color="auto" w:fill="FFFFFF" w:themeFill="background1"/>
            <w:vAlign w:val="center"/>
          </w:tcPr>
          <w:p w14:paraId="10C9D112" w14:textId="77777777" w:rsidR="00F9525D" w:rsidRPr="00482A36" w:rsidRDefault="00F9525D" w:rsidP="00224353">
            <w:pPr>
              <w:pStyle w:val="Tabletext"/>
              <w:keepNext/>
              <w:jc w:val="center"/>
              <w:rPr>
                <w:b/>
                <w:bCs/>
              </w:rPr>
            </w:pPr>
            <w:r w:rsidRPr="00482A36">
              <w:rPr>
                <w:b/>
                <w:bCs/>
              </w:rPr>
              <w:t>LGX 100 + ABT</w:t>
            </w:r>
          </w:p>
        </w:tc>
        <w:tc>
          <w:tcPr>
            <w:tcW w:w="750" w:type="pct"/>
            <w:shd w:val="clear" w:color="auto" w:fill="FFFFFF" w:themeFill="background1"/>
            <w:vAlign w:val="center"/>
          </w:tcPr>
          <w:p w14:paraId="29664D52" w14:textId="77777777" w:rsidR="00F9525D" w:rsidRPr="00482A36" w:rsidRDefault="00F9525D" w:rsidP="00224353">
            <w:pPr>
              <w:pStyle w:val="Tabletext"/>
              <w:keepNext/>
              <w:jc w:val="center"/>
              <w:rPr>
                <w:b/>
                <w:bCs/>
              </w:rPr>
            </w:pPr>
            <w:r w:rsidRPr="00482A36">
              <w:rPr>
                <w:b/>
                <w:bCs/>
              </w:rPr>
              <w:t>LGX 200→</w:t>
            </w:r>
          </w:p>
          <w:p w14:paraId="54B11BF4" w14:textId="77777777" w:rsidR="00F9525D" w:rsidRPr="00482A36" w:rsidRDefault="00F9525D" w:rsidP="00224353">
            <w:pPr>
              <w:pStyle w:val="Tabletext"/>
              <w:keepNext/>
              <w:jc w:val="center"/>
              <w:rPr>
                <w:b/>
                <w:bCs/>
                <w:vertAlign w:val="superscript"/>
              </w:rPr>
            </w:pPr>
            <w:r w:rsidRPr="00482A36">
              <w:rPr>
                <w:b/>
                <w:bCs/>
              </w:rPr>
              <w:t xml:space="preserve">LGX 200 + ABT </w:t>
            </w:r>
            <w:r w:rsidRPr="00482A36">
              <w:rPr>
                <w:b/>
                <w:bCs/>
                <w:vertAlign w:val="superscript"/>
              </w:rPr>
              <w:t>a</w:t>
            </w:r>
          </w:p>
        </w:tc>
        <w:tc>
          <w:tcPr>
            <w:tcW w:w="750" w:type="pct"/>
            <w:shd w:val="clear" w:color="auto" w:fill="FFFFFF" w:themeFill="background1"/>
            <w:vAlign w:val="center"/>
          </w:tcPr>
          <w:p w14:paraId="298A3F53" w14:textId="77777777" w:rsidR="00F9525D" w:rsidRPr="00482A36" w:rsidRDefault="00F9525D" w:rsidP="00224353">
            <w:pPr>
              <w:pStyle w:val="Tabletext"/>
              <w:keepNext/>
              <w:jc w:val="center"/>
              <w:rPr>
                <w:b/>
                <w:bCs/>
              </w:rPr>
            </w:pPr>
            <w:r w:rsidRPr="00482A36">
              <w:rPr>
                <w:b/>
                <w:bCs/>
              </w:rPr>
              <w:t>LGX 200 + ABT</w:t>
            </w:r>
          </w:p>
        </w:tc>
        <w:tc>
          <w:tcPr>
            <w:tcW w:w="601" w:type="pct"/>
            <w:shd w:val="clear" w:color="auto" w:fill="FFFFFF" w:themeFill="background1"/>
            <w:vAlign w:val="center"/>
          </w:tcPr>
          <w:p w14:paraId="37AC2B45" w14:textId="77777777" w:rsidR="00F9525D" w:rsidRPr="00482A36" w:rsidRDefault="00F9525D" w:rsidP="00224353">
            <w:pPr>
              <w:pStyle w:val="Tabletext"/>
              <w:keepNext/>
              <w:jc w:val="center"/>
              <w:rPr>
                <w:b/>
                <w:bCs/>
              </w:rPr>
            </w:pPr>
            <w:r w:rsidRPr="00482A36">
              <w:rPr>
                <w:b/>
                <w:bCs/>
              </w:rPr>
              <w:t>PBO</w:t>
            </w:r>
          </w:p>
        </w:tc>
        <w:tc>
          <w:tcPr>
            <w:tcW w:w="727" w:type="pct"/>
            <w:shd w:val="clear" w:color="auto" w:fill="FFFFFF" w:themeFill="background1"/>
            <w:vAlign w:val="center"/>
          </w:tcPr>
          <w:p w14:paraId="6304C0EB" w14:textId="77777777" w:rsidR="00F9525D" w:rsidRPr="00482A36" w:rsidRDefault="00F9525D" w:rsidP="00224353">
            <w:pPr>
              <w:pStyle w:val="Tabletext"/>
              <w:keepNext/>
              <w:jc w:val="center"/>
              <w:rPr>
                <w:b/>
                <w:bCs/>
              </w:rPr>
            </w:pPr>
            <w:r w:rsidRPr="00482A36">
              <w:rPr>
                <w:b/>
                <w:bCs/>
              </w:rPr>
              <w:t>PBO→</w:t>
            </w:r>
          </w:p>
          <w:p w14:paraId="4869E2D1" w14:textId="3A4B59A6" w:rsidR="00F9525D" w:rsidRPr="00482A36" w:rsidRDefault="00F9525D" w:rsidP="00224353">
            <w:pPr>
              <w:pStyle w:val="Tabletext"/>
              <w:keepNext/>
              <w:jc w:val="center"/>
              <w:rPr>
                <w:b/>
                <w:bCs/>
              </w:rPr>
            </w:pPr>
            <w:r w:rsidRPr="00482A36">
              <w:rPr>
                <w:b/>
                <w:bCs/>
              </w:rPr>
              <w:t>LGX</w:t>
            </w:r>
            <w:r w:rsidR="00F93A8C" w:rsidRPr="00482A36">
              <w:rPr>
                <w:b/>
                <w:bCs/>
              </w:rPr>
              <w:t xml:space="preserve"> </w:t>
            </w:r>
            <w:r w:rsidRPr="00482A36">
              <w:rPr>
                <w:b/>
                <w:bCs/>
              </w:rPr>
              <w:t xml:space="preserve">200 + ABT </w:t>
            </w:r>
            <w:r w:rsidRPr="00482A36">
              <w:rPr>
                <w:b/>
                <w:bCs/>
                <w:vertAlign w:val="superscript"/>
              </w:rPr>
              <w:t>b</w:t>
            </w:r>
          </w:p>
        </w:tc>
      </w:tr>
      <w:tr w:rsidR="00F9525D" w:rsidRPr="00482A36" w14:paraId="6A40214D" w14:textId="77777777" w:rsidTr="002B4C8A">
        <w:trPr>
          <w:trHeight w:val="20"/>
        </w:trPr>
        <w:tc>
          <w:tcPr>
            <w:tcW w:w="5000" w:type="pct"/>
            <w:gridSpan w:val="7"/>
            <w:shd w:val="clear" w:color="auto" w:fill="D9D9D9" w:themeFill="background1" w:themeFillShade="D9"/>
            <w:vAlign w:val="center"/>
          </w:tcPr>
          <w:p w14:paraId="304BE294" w14:textId="77777777" w:rsidR="00F9525D" w:rsidRPr="00482A36" w:rsidRDefault="00F9525D" w:rsidP="00224353">
            <w:pPr>
              <w:pStyle w:val="Tabletext"/>
              <w:keepNext/>
              <w:rPr>
                <w:b/>
              </w:rPr>
            </w:pPr>
            <w:r w:rsidRPr="00482A36">
              <w:rPr>
                <w:b/>
              </w:rPr>
              <w:t>PRIMROSE 1</w:t>
            </w:r>
          </w:p>
        </w:tc>
      </w:tr>
      <w:tr w:rsidR="00F9525D" w:rsidRPr="00482A36" w14:paraId="7B89B702" w14:textId="77777777" w:rsidTr="002B4C8A">
        <w:trPr>
          <w:trHeight w:val="20"/>
        </w:trPr>
        <w:tc>
          <w:tcPr>
            <w:tcW w:w="5000" w:type="pct"/>
            <w:gridSpan w:val="7"/>
            <w:shd w:val="clear" w:color="auto" w:fill="FFFFFF" w:themeFill="background1"/>
            <w:vAlign w:val="center"/>
          </w:tcPr>
          <w:p w14:paraId="394A8980" w14:textId="77777777" w:rsidR="00F9525D" w:rsidRPr="00482A36" w:rsidRDefault="00F9525D" w:rsidP="00224353">
            <w:pPr>
              <w:pStyle w:val="Tabletext"/>
              <w:keepNext/>
              <w:rPr>
                <w:b/>
                <w:vertAlign w:val="superscript"/>
              </w:rPr>
            </w:pPr>
            <w:r w:rsidRPr="00482A36">
              <w:rPr>
                <w:b/>
              </w:rPr>
              <w:t>Week 24</w:t>
            </w:r>
            <w:r w:rsidRPr="006D3D30">
              <w:rPr>
                <w:vertAlign w:val="superscript"/>
              </w:rPr>
              <w:t>#</w:t>
            </w:r>
          </w:p>
        </w:tc>
      </w:tr>
      <w:tr w:rsidR="00F9525D" w:rsidRPr="00482A36" w14:paraId="3D78135E" w14:textId="77777777" w:rsidTr="002B4C8A">
        <w:trPr>
          <w:trHeight w:val="20"/>
        </w:trPr>
        <w:tc>
          <w:tcPr>
            <w:tcW w:w="784" w:type="pct"/>
            <w:shd w:val="clear" w:color="auto" w:fill="FFFFFF" w:themeFill="background1"/>
            <w:vAlign w:val="center"/>
          </w:tcPr>
          <w:p w14:paraId="6D3EBAD0" w14:textId="77777777" w:rsidR="00F9525D" w:rsidRPr="00482A36" w:rsidRDefault="00F9525D" w:rsidP="00224353">
            <w:pPr>
              <w:pStyle w:val="Tabletext"/>
              <w:keepNext/>
            </w:pPr>
            <w:r w:rsidRPr="00482A36">
              <w:t>n/N</w:t>
            </w:r>
          </w:p>
        </w:tc>
        <w:tc>
          <w:tcPr>
            <w:tcW w:w="713" w:type="pct"/>
            <w:shd w:val="clear" w:color="auto" w:fill="FFFFFF" w:themeFill="background1"/>
            <w:vAlign w:val="center"/>
          </w:tcPr>
          <w:p w14:paraId="1A91BDC4" w14:textId="77777777" w:rsidR="00F9525D" w:rsidRPr="00482A36" w:rsidRDefault="00F9525D" w:rsidP="00224353">
            <w:pPr>
              <w:pStyle w:val="Tabletext"/>
              <w:keepNext/>
              <w:jc w:val="center"/>
            </w:pPr>
            <w:r w:rsidRPr="00482A36">
              <w:t>53/94</w:t>
            </w:r>
          </w:p>
        </w:tc>
        <w:tc>
          <w:tcPr>
            <w:tcW w:w="675" w:type="pct"/>
            <w:shd w:val="clear" w:color="auto" w:fill="FFFFFF" w:themeFill="background1"/>
            <w:vAlign w:val="center"/>
          </w:tcPr>
          <w:p w14:paraId="6429D9F3" w14:textId="77777777" w:rsidR="00F9525D" w:rsidRPr="00482A36" w:rsidRDefault="00F9525D" w:rsidP="00224353">
            <w:pPr>
              <w:pStyle w:val="Tabletext"/>
              <w:keepNext/>
              <w:jc w:val="center"/>
            </w:pPr>
            <w:r w:rsidRPr="00482A36">
              <w:t>71/107</w:t>
            </w:r>
          </w:p>
        </w:tc>
        <w:tc>
          <w:tcPr>
            <w:tcW w:w="750" w:type="pct"/>
            <w:shd w:val="clear" w:color="auto" w:fill="FFFFFF" w:themeFill="background1"/>
            <w:vAlign w:val="center"/>
          </w:tcPr>
          <w:p w14:paraId="349B1FA3" w14:textId="77777777" w:rsidR="00F9525D" w:rsidRPr="00482A36" w:rsidRDefault="00F9525D" w:rsidP="00224353">
            <w:pPr>
              <w:pStyle w:val="Tabletext"/>
              <w:keepNext/>
              <w:jc w:val="center"/>
            </w:pPr>
            <w:r w:rsidRPr="00482A36">
              <w:t>75/105</w:t>
            </w:r>
          </w:p>
        </w:tc>
        <w:tc>
          <w:tcPr>
            <w:tcW w:w="750" w:type="pct"/>
            <w:shd w:val="clear" w:color="auto" w:fill="FFFFFF" w:themeFill="background1"/>
            <w:vAlign w:val="center"/>
          </w:tcPr>
          <w:p w14:paraId="3E197A52" w14:textId="77777777" w:rsidR="00F9525D" w:rsidRPr="00482A36" w:rsidRDefault="00F9525D" w:rsidP="00224353">
            <w:pPr>
              <w:pStyle w:val="Tabletext"/>
              <w:keepNext/>
              <w:jc w:val="center"/>
            </w:pPr>
            <w:r w:rsidRPr="00482A36">
              <w:t>77/102</w:t>
            </w:r>
          </w:p>
        </w:tc>
        <w:tc>
          <w:tcPr>
            <w:tcW w:w="601" w:type="pct"/>
            <w:shd w:val="clear" w:color="auto" w:fill="FFFFFF" w:themeFill="background1"/>
            <w:vAlign w:val="center"/>
          </w:tcPr>
          <w:p w14:paraId="727667EA" w14:textId="77777777" w:rsidR="00F9525D" w:rsidRPr="00482A36" w:rsidRDefault="00F9525D" w:rsidP="00224353">
            <w:pPr>
              <w:pStyle w:val="Tabletext"/>
              <w:keepNext/>
              <w:jc w:val="center"/>
            </w:pPr>
            <w:r w:rsidRPr="00482A36">
              <w:t>36/103</w:t>
            </w:r>
          </w:p>
        </w:tc>
        <w:tc>
          <w:tcPr>
            <w:tcW w:w="727" w:type="pct"/>
            <w:shd w:val="clear" w:color="auto" w:fill="FFFFFF" w:themeFill="background1"/>
            <w:vAlign w:val="center"/>
          </w:tcPr>
          <w:p w14:paraId="437D6AD4" w14:textId="77777777" w:rsidR="00F9525D" w:rsidRPr="00482A36" w:rsidRDefault="00F9525D" w:rsidP="00224353">
            <w:pPr>
              <w:pStyle w:val="Tabletext"/>
              <w:keepNext/>
              <w:jc w:val="center"/>
            </w:pPr>
            <w:r w:rsidRPr="00482A36">
              <w:t>-</w:t>
            </w:r>
          </w:p>
        </w:tc>
      </w:tr>
      <w:tr w:rsidR="00F9525D" w:rsidRPr="00482A36" w14:paraId="4221A28C" w14:textId="77777777" w:rsidTr="002B4C8A">
        <w:trPr>
          <w:trHeight w:val="20"/>
        </w:trPr>
        <w:tc>
          <w:tcPr>
            <w:tcW w:w="784" w:type="pct"/>
            <w:shd w:val="clear" w:color="auto" w:fill="FFFFFF" w:themeFill="background1"/>
            <w:vAlign w:val="center"/>
          </w:tcPr>
          <w:p w14:paraId="428BDA82" w14:textId="77777777" w:rsidR="00F9525D" w:rsidRPr="00482A36" w:rsidRDefault="00F9525D" w:rsidP="00224353">
            <w:pPr>
              <w:pStyle w:val="Tabletext"/>
              <w:keepNext/>
            </w:pPr>
            <w:r w:rsidRPr="00482A36">
              <w:t>% (95% CI)</w:t>
            </w:r>
          </w:p>
        </w:tc>
        <w:tc>
          <w:tcPr>
            <w:tcW w:w="713" w:type="pct"/>
            <w:shd w:val="clear" w:color="auto" w:fill="FFFFFF" w:themeFill="background1"/>
            <w:vAlign w:val="center"/>
          </w:tcPr>
          <w:p w14:paraId="0A4A9382" w14:textId="77777777" w:rsidR="00F9525D" w:rsidRPr="00482A36" w:rsidRDefault="00F9525D" w:rsidP="00224353">
            <w:pPr>
              <w:pStyle w:val="Tabletext"/>
              <w:keepNext/>
              <w:jc w:val="center"/>
            </w:pPr>
            <w:r w:rsidRPr="00482A36">
              <w:t>56% (46, 67)</w:t>
            </w:r>
          </w:p>
        </w:tc>
        <w:tc>
          <w:tcPr>
            <w:tcW w:w="675" w:type="pct"/>
            <w:shd w:val="clear" w:color="auto" w:fill="FFFFFF" w:themeFill="background1"/>
            <w:vAlign w:val="center"/>
          </w:tcPr>
          <w:p w14:paraId="6A099361" w14:textId="77777777" w:rsidR="00F9525D" w:rsidRPr="00482A36" w:rsidRDefault="00F9525D" w:rsidP="00224353">
            <w:pPr>
              <w:pStyle w:val="Tabletext"/>
              <w:keepNext/>
              <w:jc w:val="center"/>
            </w:pPr>
            <w:r w:rsidRPr="00482A36">
              <w:t>66% (57, 75)</w:t>
            </w:r>
          </w:p>
        </w:tc>
        <w:tc>
          <w:tcPr>
            <w:tcW w:w="750" w:type="pct"/>
            <w:shd w:val="clear" w:color="auto" w:fill="FFFFFF" w:themeFill="background1"/>
            <w:vAlign w:val="center"/>
          </w:tcPr>
          <w:p w14:paraId="0C67D013" w14:textId="77777777" w:rsidR="00F9525D" w:rsidRPr="00482A36" w:rsidRDefault="00F9525D" w:rsidP="00224353">
            <w:pPr>
              <w:pStyle w:val="Tabletext"/>
              <w:keepNext/>
              <w:jc w:val="center"/>
            </w:pPr>
            <w:r w:rsidRPr="00482A36">
              <w:t>71% (62, 80)</w:t>
            </w:r>
          </w:p>
        </w:tc>
        <w:tc>
          <w:tcPr>
            <w:tcW w:w="750" w:type="pct"/>
            <w:shd w:val="clear" w:color="auto" w:fill="FFFFFF" w:themeFill="background1"/>
            <w:vAlign w:val="center"/>
          </w:tcPr>
          <w:p w14:paraId="05A62898" w14:textId="77777777" w:rsidR="00F9525D" w:rsidRPr="00482A36" w:rsidRDefault="00F9525D" w:rsidP="00224353">
            <w:pPr>
              <w:pStyle w:val="Tabletext"/>
              <w:keepNext/>
              <w:jc w:val="center"/>
            </w:pPr>
            <w:r w:rsidRPr="00482A36">
              <w:t>75% (66, 83)</w:t>
            </w:r>
          </w:p>
        </w:tc>
        <w:tc>
          <w:tcPr>
            <w:tcW w:w="601" w:type="pct"/>
            <w:shd w:val="clear" w:color="auto" w:fill="FFFFFF" w:themeFill="background1"/>
            <w:vAlign w:val="center"/>
          </w:tcPr>
          <w:p w14:paraId="527011D4" w14:textId="77777777" w:rsidR="00F9525D" w:rsidRPr="00482A36" w:rsidRDefault="00F9525D" w:rsidP="00224353">
            <w:pPr>
              <w:pStyle w:val="Tabletext"/>
              <w:keepNext/>
              <w:jc w:val="center"/>
            </w:pPr>
            <w:r w:rsidRPr="00482A36">
              <w:t>35% (26, 45)</w:t>
            </w:r>
          </w:p>
        </w:tc>
        <w:tc>
          <w:tcPr>
            <w:tcW w:w="727" w:type="pct"/>
            <w:shd w:val="clear" w:color="auto" w:fill="FFFFFF" w:themeFill="background1"/>
            <w:vAlign w:val="center"/>
          </w:tcPr>
          <w:p w14:paraId="3068DE37" w14:textId="77777777" w:rsidR="00F9525D" w:rsidRPr="00482A36" w:rsidRDefault="00F9525D" w:rsidP="00224353">
            <w:pPr>
              <w:pStyle w:val="Tabletext"/>
              <w:keepNext/>
              <w:jc w:val="center"/>
            </w:pPr>
            <w:r w:rsidRPr="00482A36">
              <w:t>-</w:t>
            </w:r>
          </w:p>
        </w:tc>
      </w:tr>
      <w:tr w:rsidR="00F9525D" w:rsidRPr="00482A36" w14:paraId="45579716" w14:textId="77777777" w:rsidTr="002B4C8A">
        <w:trPr>
          <w:trHeight w:val="20"/>
        </w:trPr>
        <w:tc>
          <w:tcPr>
            <w:tcW w:w="784" w:type="pct"/>
            <w:shd w:val="clear" w:color="auto" w:fill="FFFFFF" w:themeFill="background1"/>
            <w:vAlign w:val="center"/>
          </w:tcPr>
          <w:p w14:paraId="1F65A20A" w14:textId="77777777" w:rsidR="00F9525D" w:rsidRPr="00482A36" w:rsidRDefault="00F9525D" w:rsidP="00224353">
            <w:pPr>
              <w:pStyle w:val="Tabletext"/>
              <w:keepNext/>
            </w:pPr>
            <w:r w:rsidRPr="00482A36">
              <w:t>RD (95% CI)</w:t>
            </w:r>
            <w:r w:rsidRPr="006D3D30">
              <w:rPr>
                <w:vertAlign w:val="superscript"/>
              </w:rPr>
              <w:t>*</w:t>
            </w:r>
          </w:p>
        </w:tc>
        <w:tc>
          <w:tcPr>
            <w:tcW w:w="713" w:type="pct"/>
            <w:shd w:val="clear" w:color="auto" w:fill="FFFFFF" w:themeFill="background1"/>
            <w:vAlign w:val="center"/>
          </w:tcPr>
          <w:p w14:paraId="1906108F" w14:textId="02CBC5D4" w:rsidR="00F9525D" w:rsidRPr="00482A36" w:rsidRDefault="00DC65CF" w:rsidP="00224353">
            <w:pPr>
              <w:pStyle w:val="Tabletext"/>
              <w:keepNext/>
              <w:jc w:val="center"/>
              <w:rPr>
                <w:b/>
              </w:rPr>
            </w:pPr>
            <w:r w:rsidRPr="00482A36">
              <w:rPr>
                <w:b/>
              </w:rPr>
              <w:t>0.</w:t>
            </w:r>
            <w:r w:rsidR="00F9525D" w:rsidRPr="00482A36">
              <w:rPr>
                <w:b/>
              </w:rPr>
              <w:t>2 (</w:t>
            </w:r>
            <w:r w:rsidRPr="00482A36">
              <w:rPr>
                <w:b/>
              </w:rPr>
              <w:t>0.0</w:t>
            </w:r>
            <w:r w:rsidR="00F9525D" w:rsidRPr="00482A36">
              <w:rPr>
                <w:b/>
              </w:rPr>
              <w:t xml:space="preserve">7, </w:t>
            </w:r>
            <w:r w:rsidRPr="00482A36">
              <w:rPr>
                <w:b/>
              </w:rPr>
              <w:t>0.</w:t>
            </w:r>
            <w:r w:rsidR="00F9525D" w:rsidRPr="00482A36">
              <w:rPr>
                <w:b/>
              </w:rPr>
              <w:t>3)</w:t>
            </w:r>
          </w:p>
        </w:tc>
        <w:tc>
          <w:tcPr>
            <w:tcW w:w="675" w:type="pct"/>
            <w:shd w:val="clear" w:color="auto" w:fill="FFFFFF" w:themeFill="background1"/>
            <w:vAlign w:val="center"/>
          </w:tcPr>
          <w:p w14:paraId="18B5F6E6" w14:textId="2416ED6C" w:rsidR="00F9525D" w:rsidRPr="00482A36" w:rsidRDefault="00DC65CF" w:rsidP="00224353">
            <w:pPr>
              <w:pStyle w:val="Tabletext"/>
              <w:keepNext/>
              <w:jc w:val="center"/>
              <w:rPr>
                <w:b/>
              </w:rPr>
            </w:pPr>
            <w:r w:rsidRPr="00482A36">
              <w:rPr>
                <w:b/>
              </w:rPr>
              <w:t>0.3</w:t>
            </w:r>
            <w:r w:rsidR="00F9525D" w:rsidRPr="00482A36">
              <w:rPr>
                <w:b/>
              </w:rPr>
              <w:t xml:space="preserve"> (</w:t>
            </w:r>
            <w:r w:rsidRPr="00482A36">
              <w:rPr>
                <w:b/>
              </w:rPr>
              <w:t>0.2</w:t>
            </w:r>
            <w:r w:rsidR="00F9525D" w:rsidRPr="00482A36">
              <w:rPr>
                <w:b/>
              </w:rPr>
              <w:t xml:space="preserve">, </w:t>
            </w:r>
            <w:r w:rsidRPr="00482A36">
              <w:rPr>
                <w:b/>
              </w:rPr>
              <w:t>0.</w:t>
            </w:r>
            <w:r w:rsidR="00F9525D" w:rsidRPr="00482A36">
              <w:rPr>
                <w:b/>
              </w:rPr>
              <w:t>4)</w:t>
            </w:r>
          </w:p>
        </w:tc>
        <w:tc>
          <w:tcPr>
            <w:tcW w:w="750" w:type="pct"/>
            <w:shd w:val="clear" w:color="auto" w:fill="FFFFFF" w:themeFill="background1"/>
            <w:vAlign w:val="center"/>
          </w:tcPr>
          <w:p w14:paraId="17CD8AD5" w14:textId="469676CA" w:rsidR="00F9525D" w:rsidRPr="00482A36" w:rsidRDefault="00DC65CF" w:rsidP="00224353">
            <w:pPr>
              <w:pStyle w:val="Tabletext"/>
              <w:keepNext/>
              <w:jc w:val="center"/>
              <w:rPr>
                <w:b/>
              </w:rPr>
            </w:pPr>
            <w:r w:rsidRPr="00482A36">
              <w:rPr>
                <w:b/>
              </w:rPr>
              <w:t>0.4</w:t>
            </w:r>
            <w:r w:rsidR="00F9525D" w:rsidRPr="00482A36">
              <w:rPr>
                <w:b/>
              </w:rPr>
              <w:t xml:space="preserve"> (</w:t>
            </w:r>
            <w:r w:rsidRPr="00482A36">
              <w:rPr>
                <w:b/>
              </w:rPr>
              <w:t>0.</w:t>
            </w:r>
            <w:r w:rsidR="00F9525D" w:rsidRPr="00482A36">
              <w:rPr>
                <w:b/>
              </w:rPr>
              <w:t xml:space="preserve">2, </w:t>
            </w:r>
            <w:r w:rsidRPr="00482A36">
              <w:rPr>
                <w:b/>
              </w:rPr>
              <w:t>0.5</w:t>
            </w:r>
            <w:r w:rsidR="00F9525D" w:rsidRPr="00482A36">
              <w:rPr>
                <w:b/>
              </w:rPr>
              <w:t>)</w:t>
            </w:r>
          </w:p>
        </w:tc>
        <w:tc>
          <w:tcPr>
            <w:tcW w:w="750" w:type="pct"/>
            <w:shd w:val="clear" w:color="auto" w:fill="FFFFFF" w:themeFill="background1"/>
            <w:vAlign w:val="center"/>
          </w:tcPr>
          <w:p w14:paraId="4353C679" w14:textId="3906AEE0" w:rsidR="00F9525D" w:rsidRPr="00482A36" w:rsidRDefault="00DC65CF" w:rsidP="00224353">
            <w:pPr>
              <w:pStyle w:val="Tabletext"/>
              <w:keepNext/>
              <w:jc w:val="center"/>
              <w:rPr>
                <w:b/>
              </w:rPr>
            </w:pPr>
            <w:r w:rsidRPr="00482A36">
              <w:rPr>
                <w:b/>
              </w:rPr>
              <w:t>0.4</w:t>
            </w:r>
            <w:r w:rsidR="00F9525D" w:rsidRPr="00482A36">
              <w:rPr>
                <w:b/>
              </w:rPr>
              <w:t xml:space="preserve"> (</w:t>
            </w:r>
            <w:r w:rsidRPr="00482A36">
              <w:rPr>
                <w:b/>
              </w:rPr>
              <w:t>0.3</w:t>
            </w:r>
            <w:r w:rsidR="00F9525D" w:rsidRPr="00482A36">
              <w:rPr>
                <w:b/>
              </w:rPr>
              <w:t xml:space="preserve">, </w:t>
            </w:r>
            <w:r w:rsidRPr="00482A36">
              <w:rPr>
                <w:b/>
              </w:rPr>
              <w:t>0.</w:t>
            </w:r>
            <w:r w:rsidR="00F9525D" w:rsidRPr="00482A36">
              <w:rPr>
                <w:b/>
              </w:rPr>
              <w:t>5)</w:t>
            </w:r>
          </w:p>
        </w:tc>
        <w:tc>
          <w:tcPr>
            <w:tcW w:w="601" w:type="pct"/>
            <w:shd w:val="clear" w:color="auto" w:fill="FFFFFF" w:themeFill="background1"/>
            <w:vAlign w:val="center"/>
          </w:tcPr>
          <w:p w14:paraId="7FF1F987" w14:textId="77777777" w:rsidR="00F9525D" w:rsidRPr="00482A36" w:rsidRDefault="00F9525D" w:rsidP="00224353">
            <w:pPr>
              <w:pStyle w:val="Tabletext"/>
              <w:keepNext/>
              <w:jc w:val="center"/>
            </w:pPr>
            <w:r w:rsidRPr="00482A36">
              <w:t>-</w:t>
            </w:r>
          </w:p>
        </w:tc>
        <w:tc>
          <w:tcPr>
            <w:tcW w:w="727" w:type="pct"/>
            <w:shd w:val="clear" w:color="auto" w:fill="FFFFFF" w:themeFill="background1"/>
            <w:vAlign w:val="center"/>
          </w:tcPr>
          <w:p w14:paraId="00FEADA1" w14:textId="77777777" w:rsidR="00F9525D" w:rsidRPr="00482A36" w:rsidRDefault="00F9525D" w:rsidP="00224353">
            <w:pPr>
              <w:pStyle w:val="Tabletext"/>
              <w:keepNext/>
              <w:jc w:val="center"/>
            </w:pPr>
            <w:r w:rsidRPr="00482A36">
              <w:t>-</w:t>
            </w:r>
          </w:p>
        </w:tc>
      </w:tr>
      <w:tr w:rsidR="00F9525D" w:rsidRPr="00482A36" w14:paraId="546EAE81" w14:textId="77777777" w:rsidTr="002B4C8A">
        <w:trPr>
          <w:trHeight w:val="20"/>
        </w:trPr>
        <w:tc>
          <w:tcPr>
            <w:tcW w:w="784" w:type="pct"/>
            <w:shd w:val="clear" w:color="auto" w:fill="FFFFFF" w:themeFill="background1"/>
            <w:vAlign w:val="center"/>
          </w:tcPr>
          <w:p w14:paraId="4C4BF72B" w14:textId="77777777" w:rsidR="00F9525D" w:rsidRPr="00482A36" w:rsidRDefault="00F9525D" w:rsidP="00224353">
            <w:pPr>
              <w:pStyle w:val="Tabletext"/>
              <w:keepNext/>
            </w:pPr>
            <w:r w:rsidRPr="00482A36">
              <w:t>OR (95% CI)</w:t>
            </w:r>
            <w:r w:rsidRPr="006D3D30">
              <w:rPr>
                <w:vertAlign w:val="superscript"/>
              </w:rPr>
              <w:t>*</w:t>
            </w:r>
          </w:p>
        </w:tc>
        <w:tc>
          <w:tcPr>
            <w:tcW w:w="713" w:type="pct"/>
            <w:shd w:val="clear" w:color="auto" w:fill="FFFFFF" w:themeFill="background1"/>
            <w:vAlign w:val="center"/>
          </w:tcPr>
          <w:p w14:paraId="1955F933" w14:textId="77777777" w:rsidR="00F9525D" w:rsidRPr="00482A36" w:rsidRDefault="00F9525D" w:rsidP="00224353">
            <w:pPr>
              <w:pStyle w:val="Tabletext"/>
              <w:keepNext/>
              <w:jc w:val="center"/>
              <w:rPr>
                <w:b/>
              </w:rPr>
            </w:pPr>
            <w:r w:rsidRPr="00482A36">
              <w:rPr>
                <w:b/>
              </w:rPr>
              <w:t>2.4 (1, 4)</w:t>
            </w:r>
          </w:p>
        </w:tc>
        <w:tc>
          <w:tcPr>
            <w:tcW w:w="675" w:type="pct"/>
            <w:shd w:val="clear" w:color="auto" w:fill="FFFFFF" w:themeFill="background1"/>
            <w:vAlign w:val="center"/>
          </w:tcPr>
          <w:p w14:paraId="1245E56F" w14:textId="77777777" w:rsidR="00F9525D" w:rsidRPr="00482A36" w:rsidRDefault="00F9525D" w:rsidP="00224353">
            <w:pPr>
              <w:pStyle w:val="Tabletext"/>
              <w:keepNext/>
              <w:jc w:val="center"/>
              <w:rPr>
                <w:b/>
              </w:rPr>
            </w:pPr>
            <w:r w:rsidRPr="00482A36">
              <w:rPr>
                <w:b/>
              </w:rPr>
              <w:t>3.6 (2, 6)</w:t>
            </w:r>
          </w:p>
        </w:tc>
        <w:tc>
          <w:tcPr>
            <w:tcW w:w="750" w:type="pct"/>
            <w:shd w:val="clear" w:color="auto" w:fill="FFFFFF" w:themeFill="background1"/>
            <w:vAlign w:val="center"/>
          </w:tcPr>
          <w:p w14:paraId="1E7F86E1" w14:textId="77777777" w:rsidR="00F9525D" w:rsidRPr="00482A36" w:rsidRDefault="00F9525D" w:rsidP="00224353">
            <w:pPr>
              <w:pStyle w:val="Tabletext"/>
              <w:keepNext/>
              <w:jc w:val="center"/>
              <w:rPr>
                <w:b/>
              </w:rPr>
            </w:pPr>
            <w:r w:rsidRPr="00482A36">
              <w:rPr>
                <w:b/>
              </w:rPr>
              <w:t>4.7 (2, 8)</w:t>
            </w:r>
          </w:p>
        </w:tc>
        <w:tc>
          <w:tcPr>
            <w:tcW w:w="750" w:type="pct"/>
            <w:shd w:val="clear" w:color="auto" w:fill="FFFFFF" w:themeFill="background1"/>
            <w:vAlign w:val="center"/>
          </w:tcPr>
          <w:p w14:paraId="1D661805" w14:textId="77777777" w:rsidR="00F9525D" w:rsidRPr="00482A36" w:rsidRDefault="00F9525D" w:rsidP="00224353">
            <w:pPr>
              <w:pStyle w:val="Tabletext"/>
              <w:keepNext/>
              <w:jc w:val="center"/>
              <w:rPr>
                <w:b/>
              </w:rPr>
            </w:pPr>
            <w:r w:rsidRPr="00482A36">
              <w:rPr>
                <w:b/>
              </w:rPr>
              <w:t>5.6 (3, 10)</w:t>
            </w:r>
          </w:p>
        </w:tc>
        <w:tc>
          <w:tcPr>
            <w:tcW w:w="601" w:type="pct"/>
            <w:shd w:val="clear" w:color="auto" w:fill="FFFFFF" w:themeFill="background1"/>
            <w:vAlign w:val="center"/>
          </w:tcPr>
          <w:p w14:paraId="70B426B8" w14:textId="77777777" w:rsidR="00F9525D" w:rsidRPr="00482A36" w:rsidRDefault="00F9525D" w:rsidP="00224353">
            <w:pPr>
              <w:pStyle w:val="Tabletext"/>
              <w:keepNext/>
              <w:jc w:val="center"/>
            </w:pPr>
            <w:r w:rsidRPr="00482A36">
              <w:t>-</w:t>
            </w:r>
          </w:p>
        </w:tc>
        <w:tc>
          <w:tcPr>
            <w:tcW w:w="727" w:type="pct"/>
            <w:shd w:val="clear" w:color="auto" w:fill="FFFFFF" w:themeFill="background1"/>
            <w:vAlign w:val="center"/>
          </w:tcPr>
          <w:p w14:paraId="4A3E55CE" w14:textId="77777777" w:rsidR="00F9525D" w:rsidRPr="00482A36" w:rsidRDefault="00F9525D" w:rsidP="00224353">
            <w:pPr>
              <w:pStyle w:val="Tabletext"/>
              <w:keepNext/>
              <w:jc w:val="center"/>
            </w:pPr>
            <w:r w:rsidRPr="00482A36">
              <w:t>-</w:t>
            </w:r>
          </w:p>
        </w:tc>
      </w:tr>
      <w:tr w:rsidR="00F9525D" w:rsidRPr="00482A36" w14:paraId="11A9EC50" w14:textId="77777777" w:rsidTr="002B4C8A">
        <w:trPr>
          <w:trHeight w:val="20"/>
        </w:trPr>
        <w:tc>
          <w:tcPr>
            <w:tcW w:w="5000" w:type="pct"/>
            <w:gridSpan w:val="7"/>
            <w:shd w:val="clear" w:color="auto" w:fill="FFFFFF" w:themeFill="background1"/>
            <w:vAlign w:val="center"/>
          </w:tcPr>
          <w:p w14:paraId="35296F91" w14:textId="77777777" w:rsidR="00F9525D" w:rsidRPr="00482A36" w:rsidRDefault="00F9525D" w:rsidP="00224353">
            <w:pPr>
              <w:pStyle w:val="Tabletext"/>
              <w:keepNext/>
              <w:rPr>
                <w:b/>
                <w:bCs/>
              </w:rPr>
            </w:pPr>
            <w:r w:rsidRPr="00482A36">
              <w:rPr>
                <w:b/>
                <w:bCs/>
              </w:rPr>
              <w:t>Week 52</w:t>
            </w:r>
          </w:p>
        </w:tc>
      </w:tr>
      <w:tr w:rsidR="00F9525D" w:rsidRPr="00482A36" w14:paraId="755D115E" w14:textId="77777777" w:rsidTr="002B4C8A">
        <w:trPr>
          <w:trHeight w:val="20"/>
        </w:trPr>
        <w:tc>
          <w:tcPr>
            <w:tcW w:w="784" w:type="pct"/>
            <w:shd w:val="clear" w:color="auto" w:fill="FFFFFF" w:themeFill="background1"/>
            <w:vAlign w:val="center"/>
          </w:tcPr>
          <w:p w14:paraId="3EDB7C59" w14:textId="77777777" w:rsidR="00F9525D" w:rsidRPr="00482A36" w:rsidRDefault="00F9525D" w:rsidP="00F9525D">
            <w:pPr>
              <w:pStyle w:val="Tabletext"/>
            </w:pPr>
            <w:r w:rsidRPr="00482A36">
              <w:t>N (%) continuing</w:t>
            </w:r>
          </w:p>
        </w:tc>
        <w:tc>
          <w:tcPr>
            <w:tcW w:w="713" w:type="pct"/>
            <w:shd w:val="clear" w:color="auto" w:fill="FFFFFF" w:themeFill="background1"/>
            <w:vAlign w:val="center"/>
          </w:tcPr>
          <w:p w14:paraId="053E4085" w14:textId="77777777" w:rsidR="00F9525D" w:rsidRPr="00482A36" w:rsidRDefault="00F9525D" w:rsidP="00444E8A">
            <w:pPr>
              <w:pStyle w:val="Tabletext"/>
              <w:jc w:val="center"/>
              <w:rPr>
                <w:b/>
                <w:bCs/>
              </w:rPr>
            </w:pPr>
            <w:r w:rsidRPr="00482A36">
              <w:rPr>
                <w:bCs/>
              </w:rPr>
              <w:t>61 (65%)</w:t>
            </w:r>
          </w:p>
        </w:tc>
        <w:tc>
          <w:tcPr>
            <w:tcW w:w="675" w:type="pct"/>
            <w:shd w:val="clear" w:color="auto" w:fill="FFFFFF" w:themeFill="background1"/>
            <w:vAlign w:val="center"/>
          </w:tcPr>
          <w:p w14:paraId="403DEE28" w14:textId="77777777" w:rsidR="00F9525D" w:rsidRPr="00482A36" w:rsidRDefault="00F9525D" w:rsidP="00444E8A">
            <w:pPr>
              <w:pStyle w:val="Tabletext"/>
              <w:jc w:val="center"/>
              <w:rPr>
                <w:b/>
                <w:bCs/>
              </w:rPr>
            </w:pPr>
            <w:r w:rsidRPr="00482A36">
              <w:rPr>
                <w:bCs/>
              </w:rPr>
              <w:t>64 (60%)</w:t>
            </w:r>
          </w:p>
        </w:tc>
        <w:tc>
          <w:tcPr>
            <w:tcW w:w="750" w:type="pct"/>
            <w:shd w:val="clear" w:color="auto" w:fill="FFFFFF" w:themeFill="background1"/>
            <w:vAlign w:val="center"/>
          </w:tcPr>
          <w:p w14:paraId="22E64515" w14:textId="77777777" w:rsidR="00F9525D" w:rsidRPr="00482A36" w:rsidRDefault="00F9525D" w:rsidP="00444E8A">
            <w:pPr>
              <w:pStyle w:val="Tabletext"/>
              <w:jc w:val="center"/>
              <w:rPr>
                <w:b/>
                <w:bCs/>
              </w:rPr>
            </w:pPr>
            <w:r w:rsidRPr="00482A36">
              <w:rPr>
                <w:bCs/>
              </w:rPr>
              <w:t>75 (71%)</w:t>
            </w:r>
          </w:p>
        </w:tc>
        <w:tc>
          <w:tcPr>
            <w:tcW w:w="750" w:type="pct"/>
            <w:shd w:val="clear" w:color="auto" w:fill="FFFFFF" w:themeFill="background1"/>
            <w:vAlign w:val="center"/>
          </w:tcPr>
          <w:p w14:paraId="76F4F438" w14:textId="77777777" w:rsidR="00F9525D" w:rsidRPr="00482A36" w:rsidRDefault="00F9525D" w:rsidP="00444E8A">
            <w:pPr>
              <w:pStyle w:val="Tabletext"/>
              <w:jc w:val="center"/>
              <w:rPr>
                <w:b/>
                <w:bCs/>
              </w:rPr>
            </w:pPr>
            <w:r w:rsidRPr="00482A36">
              <w:rPr>
                <w:bCs/>
              </w:rPr>
              <w:t>66 (65%)</w:t>
            </w:r>
          </w:p>
        </w:tc>
        <w:tc>
          <w:tcPr>
            <w:tcW w:w="601" w:type="pct"/>
            <w:shd w:val="clear" w:color="auto" w:fill="FFFFFF" w:themeFill="background1"/>
            <w:vAlign w:val="center"/>
          </w:tcPr>
          <w:p w14:paraId="2E49EE06" w14:textId="77777777" w:rsidR="00F9525D" w:rsidRPr="00482A36" w:rsidRDefault="00F9525D" w:rsidP="00444E8A">
            <w:pPr>
              <w:pStyle w:val="Tabletext"/>
              <w:jc w:val="center"/>
              <w:rPr>
                <w:b/>
                <w:bCs/>
              </w:rPr>
            </w:pPr>
            <w:r w:rsidRPr="00482A36">
              <w:rPr>
                <w:bCs/>
              </w:rPr>
              <w:t>65 (63%)</w:t>
            </w:r>
          </w:p>
        </w:tc>
        <w:tc>
          <w:tcPr>
            <w:tcW w:w="727" w:type="pct"/>
            <w:shd w:val="clear" w:color="auto" w:fill="FFFFFF" w:themeFill="background1"/>
            <w:vAlign w:val="center"/>
          </w:tcPr>
          <w:p w14:paraId="653D2263" w14:textId="77777777" w:rsidR="00F9525D" w:rsidRPr="00482A36" w:rsidRDefault="00F9525D" w:rsidP="00444E8A">
            <w:pPr>
              <w:pStyle w:val="Tabletext"/>
              <w:jc w:val="center"/>
              <w:rPr>
                <w:b/>
                <w:bCs/>
              </w:rPr>
            </w:pPr>
          </w:p>
        </w:tc>
      </w:tr>
      <w:tr w:rsidR="00F9525D" w:rsidRPr="00482A36" w14:paraId="302D28B7" w14:textId="77777777" w:rsidTr="002B4C8A">
        <w:trPr>
          <w:trHeight w:val="20"/>
        </w:trPr>
        <w:tc>
          <w:tcPr>
            <w:tcW w:w="784" w:type="pct"/>
            <w:shd w:val="clear" w:color="auto" w:fill="FFFFFF" w:themeFill="background1"/>
            <w:vAlign w:val="center"/>
          </w:tcPr>
          <w:p w14:paraId="0E704873" w14:textId="77777777" w:rsidR="00F9525D" w:rsidRPr="00482A36" w:rsidRDefault="00F9525D" w:rsidP="00F9525D">
            <w:pPr>
              <w:pStyle w:val="Tabletext"/>
            </w:pPr>
            <w:r w:rsidRPr="00482A36">
              <w:t>n/N continuing with response</w:t>
            </w:r>
          </w:p>
        </w:tc>
        <w:tc>
          <w:tcPr>
            <w:tcW w:w="713" w:type="pct"/>
            <w:shd w:val="clear" w:color="auto" w:fill="FFFFFF" w:themeFill="background1"/>
            <w:vAlign w:val="center"/>
          </w:tcPr>
          <w:p w14:paraId="04981CA7" w14:textId="1C25659B" w:rsidR="00F9525D" w:rsidRPr="00482A36" w:rsidRDefault="00F9525D" w:rsidP="00444E8A">
            <w:pPr>
              <w:pStyle w:val="Tabletext"/>
              <w:jc w:val="center"/>
              <w:rPr>
                <w:b/>
                <w:bCs/>
              </w:rPr>
            </w:pPr>
            <w:r w:rsidRPr="00482A36">
              <w:rPr>
                <w:bCs/>
              </w:rPr>
              <w:t>35/</w:t>
            </w:r>
            <w:r w:rsidR="00F93A8C" w:rsidRPr="00482A36">
              <w:rPr>
                <w:bCs/>
              </w:rPr>
              <w:t>61</w:t>
            </w:r>
            <w:r w:rsidR="00F93A8C" w:rsidRPr="00482A36">
              <w:rPr>
                <w:bCs/>
                <w:vertAlign w:val="superscript"/>
              </w:rPr>
              <w:t xml:space="preserve">c </w:t>
            </w:r>
            <w:r w:rsidRPr="00482A36">
              <w:rPr>
                <w:bCs/>
              </w:rPr>
              <w:t>(57%)</w:t>
            </w:r>
          </w:p>
        </w:tc>
        <w:tc>
          <w:tcPr>
            <w:tcW w:w="675" w:type="pct"/>
            <w:shd w:val="clear" w:color="auto" w:fill="FFFFFF" w:themeFill="background1"/>
            <w:vAlign w:val="center"/>
          </w:tcPr>
          <w:p w14:paraId="5A8FE0F9" w14:textId="77777777" w:rsidR="00F9525D" w:rsidRPr="00482A36" w:rsidRDefault="00F9525D" w:rsidP="00444E8A">
            <w:pPr>
              <w:pStyle w:val="Tabletext"/>
              <w:jc w:val="center"/>
              <w:rPr>
                <w:b/>
                <w:bCs/>
              </w:rPr>
            </w:pPr>
            <w:r w:rsidRPr="00482A36">
              <w:rPr>
                <w:bCs/>
              </w:rPr>
              <w:t>51/64 (80%)</w:t>
            </w:r>
          </w:p>
        </w:tc>
        <w:tc>
          <w:tcPr>
            <w:tcW w:w="750" w:type="pct"/>
            <w:shd w:val="clear" w:color="auto" w:fill="FFFFFF" w:themeFill="background1"/>
            <w:vAlign w:val="center"/>
          </w:tcPr>
          <w:p w14:paraId="5CB69409" w14:textId="77777777" w:rsidR="00F9525D" w:rsidRPr="00482A36" w:rsidRDefault="00F9525D" w:rsidP="00444E8A">
            <w:pPr>
              <w:pStyle w:val="Tabletext"/>
              <w:jc w:val="center"/>
              <w:rPr>
                <w:b/>
                <w:bCs/>
              </w:rPr>
            </w:pPr>
            <w:r w:rsidRPr="00482A36">
              <w:rPr>
                <w:bCs/>
              </w:rPr>
              <w:t>50/75 (67%)</w:t>
            </w:r>
          </w:p>
        </w:tc>
        <w:tc>
          <w:tcPr>
            <w:tcW w:w="750" w:type="pct"/>
            <w:shd w:val="clear" w:color="auto" w:fill="FFFFFF" w:themeFill="background1"/>
            <w:vAlign w:val="center"/>
          </w:tcPr>
          <w:p w14:paraId="635A0678" w14:textId="77777777" w:rsidR="00F9525D" w:rsidRPr="00482A36" w:rsidRDefault="00F9525D" w:rsidP="00444E8A">
            <w:pPr>
              <w:pStyle w:val="Tabletext"/>
              <w:jc w:val="center"/>
              <w:rPr>
                <w:b/>
                <w:bCs/>
              </w:rPr>
            </w:pPr>
            <w:r w:rsidRPr="00482A36">
              <w:rPr>
                <w:bCs/>
              </w:rPr>
              <w:t>58/66 (88%)</w:t>
            </w:r>
          </w:p>
        </w:tc>
        <w:tc>
          <w:tcPr>
            <w:tcW w:w="601" w:type="pct"/>
            <w:shd w:val="clear" w:color="auto" w:fill="FFFFFF" w:themeFill="background1"/>
            <w:vAlign w:val="center"/>
          </w:tcPr>
          <w:p w14:paraId="0FB70456" w14:textId="5C8FB3F9" w:rsidR="00F9525D" w:rsidRPr="00482A36" w:rsidRDefault="00F9525D" w:rsidP="00444E8A">
            <w:pPr>
              <w:pStyle w:val="Tabletext"/>
              <w:jc w:val="center"/>
              <w:rPr>
                <w:b/>
                <w:bCs/>
              </w:rPr>
            </w:pPr>
            <w:r w:rsidRPr="00482A36">
              <w:rPr>
                <w:bCs/>
              </w:rPr>
              <w:t>13/</w:t>
            </w:r>
            <w:r w:rsidR="00F93A8C" w:rsidRPr="00482A36">
              <w:rPr>
                <w:bCs/>
              </w:rPr>
              <w:t>31</w:t>
            </w:r>
            <w:r w:rsidR="00F93A8C" w:rsidRPr="00482A36">
              <w:rPr>
                <w:bCs/>
                <w:vertAlign w:val="superscript"/>
              </w:rPr>
              <w:t xml:space="preserve">c </w:t>
            </w:r>
            <w:r w:rsidRPr="00482A36">
              <w:rPr>
                <w:bCs/>
              </w:rPr>
              <w:t>(42%)</w:t>
            </w:r>
          </w:p>
        </w:tc>
        <w:tc>
          <w:tcPr>
            <w:tcW w:w="727" w:type="pct"/>
            <w:shd w:val="clear" w:color="auto" w:fill="FFFFFF" w:themeFill="background1"/>
            <w:vAlign w:val="center"/>
          </w:tcPr>
          <w:p w14:paraId="7B2E0971" w14:textId="77777777" w:rsidR="00F9525D" w:rsidRPr="00482A36" w:rsidRDefault="00F9525D" w:rsidP="00444E8A">
            <w:pPr>
              <w:pStyle w:val="Tabletext"/>
              <w:jc w:val="center"/>
              <w:rPr>
                <w:b/>
                <w:bCs/>
              </w:rPr>
            </w:pPr>
            <w:r w:rsidRPr="00482A36">
              <w:rPr>
                <w:bCs/>
              </w:rPr>
              <w:t>23/34 (68%)</w:t>
            </w:r>
          </w:p>
        </w:tc>
      </w:tr>
      <w:tr w:rsidR="00F9525D" w:rsidRPr="00482A36" w14:paraId="39D4C379" w14:textId="77777777" w:rsidTr="002B4C8A">
        <w:trPr>
          <w:trHeight w:val="20"/>
        </w:trPr>
        <w:tc>
          <w:tcPr>
            <w:tcW w:w="784" w:type="pct"/>
            <w:shd w:val="clear" w:color="auto" w:fill="FFFFFF" w:themeFill="background1"/>
            <w:vAlign w:val="center"/>
          </w:tcPr>
          <w:p w14:paraId="7D324B50" w14:textId="675F50A5" w:rsidR="00F9525D" w:rsidRPr="00482A36" w:rsidRDefault="00F9525D" w:rsidP="00F9525D">
            <w:pPr>
              <w:pStyle w:val="Tabletext"/>
            </w:pPr>
            <w:r w:rsidRPr="00AB6295">
              <w:t>RD (95% CI)</w:t>
            </w:r>
            <w:r w:rsidRPr="00AB6295">
              <w:rPr>
                <w:vertAlign w:val="superscript"/>
              </w:rPr>
              <w:t>*</w:t>
            </w:r>
            <w:r w:rsidR="000E0EC9" w:rsidRPr="00AB6295">
              <w:rPr>
                <w:vertAlign w:val="superscript"/>
              </w:rPr>
              <w:t xml:space="preserve"> ^</w:t>
            </w:r>
          </w:p>
        </w:tc>
        <w:tc>
          <w:tcPr>
            <w:tcW w:w="713" w:type="pct"/>
            <w:shd w:val="clear" w:color="auto" w:fill="FFFFFF" w:themeFill="background1"/>
            <w:vAlign w:val="center"/>
          </w:tcPr>
          <w:p w14:paraId="0D8027BD" w14:textId="13BAB523" w:rsidR="00F9525D" w:rsidRPr="00482A36" w:rsidRDefault="00DC65CF" w:rsidP="00444E8A">
            <w:pPr>
              <w:pStyle w:val="Tabletext"/>
              <w:jc w:val="center"/>
              <w:rPr>
                <w:b/>
                <w:bCs/>
              </w:rPr>
            </w:pPr>
            <w:r w:rsidRPr="00AB6295">
              <w:t>0.1</w:t>
            </w:r>
            <w:r w:rsidR="00F9525D" w:rsidRPr="00AB6295">
              <w:t xml:space="preserve"> (-</w:t>
            </w:r>
            <w:r w:rsidRPr="00AB6295">
              <w:t>0.0</w:t>
            </w:r>
            <w:r w:rsidR="00F9525D" w:rsidRPr="00AB6295">
              <w:t xml:space="preserve">6, </w:t>
            </w:r>
            <w:r w:rsidRPr="00AB6295">
              <w:t>0.04</w:t>
            </w:r>
            <w:r w:rsidR="00F9525D" w:rsidRPr="00AB6295">
              <w:t>)</w:t>
            </w:r>
          </w:p>
        </w:tc>
        <w:tc>
          <w:tcPr>
            <w:tcW w:w="675" w:type="pct"/>
            <w:shd w:val="clear" w:color="auto" w:fill="FFFFFF" w:themeFill="background1"/>
            <w:vAlign w:val="center"/>
          </w:tcPr>
          <w:p w14:paraId="088131E4" w14:textId="538CA7F6" w:rsidR="00F9525D" w:rsidRPr="00482A36" w:rsidRDefault="00DC65CF" w:rsidP="00444E8A">
            <w:pPr>
              <w:pStyle w:val="Tabletext"/>
              <w:jc w:val="center"/>
              <w:rPr>
                <w:b/>
                <w:bCs/>
              </w:rPr>
            </w:pPr>
            <w:r w:rsidRPr="00AB6295">
              <w:rPr>
                <w:b/>
                <w:bCs/>
              </w:rPr>
              <w:t>0.4</w:t>
            </w:r>
            <w:r w:rsidR="00F9525D" w:rsidRPr="00AB6295">
              <w:rPr>
                <w:b/>
                <w:bCs/>
              </w:rPr>
              <w:t xml:space="preserve"> (</w:t>
            </w:r>
            <w:r w:rsidRPr="00AB6295">
              <w:rPr>
                <w:b/>
                <w:bCs/>
              </w:rPr>
              <w:t>0.2</w:t>
            </w:r>
            <w:r w:rsidR="00F9525D" w:rsidRPr="00AB6295">
              <w:rPr>
                <w:b/>
                <w:bCs/>
              </w:rPr>
              <w:t xml:space="preserve">, </w:t>
            </w:r>
            <w:r w:rsidRPr="00AB6295">
              <w:rPr>
                <w:b/>
                <w:bCs/>
              </w:rPr>
              <w:t>0.6</w:t>
            </w:r>
            <w:r w:rsidR="00F9525D" w:rsidRPr="00AB6295">
              <w:rPr>
                <w:b/>
                <w:bCs/>
              </w:rPr>
              <w:t>)</w:t>
            </w:r>
          </w:p>
        </w:tc>
        <w:tc>
          <w:tcPr>
            <w:tcW w:w="750" w:type="pct"/>
            <w:shd w:val="clear" w:color="auto" w:fill="FFFFFF" w:themeFill="background1"/>
            <w:vAlign w:val="center"/>
          </w:tcPr>
          <w:p w14:paraId="5F639C18" w14:textId="65753A80" w:rsidR="00F9525D" w:rsidRPr="00482A36" w:rsidRDefault="00DC65CF" w:rsidP="00444E8A">
            <w:pPr>
              <w:pStyle w:val="Tabletext"/>
              <w:jc w:val="center"/>
              <w:rPr>
                <w:b/>
                <w:bCs/>
              </w:rPr>
            </w:pPr>
            <w:r w:rsidRPr="00AB6295">
              <w:rPr>
                <w:b/>
                <w:bCs/>
              </w:rPr>
              <w:t>0.2</w:t>
            </w:r>
            <w:r w:rsidR="00F9525D" w:rsidRPr="00AB6295">
              <w:rPr>
                <w:b/>
                <w:bCs/>
              </w:rPr>
              <w:t xml:space="preserve"> (</w:t>
            </w:r>
            <w:r w:rsidRPr="00AB6295">
              <w:rPr>
                <w:b/>
                <w:bCs/>
              </w:rPr>
              <w:t>0.0</w:t>
            </w:r>
            <w:r w:rsidR="00F9525D" w:rsidRPr="00AB6295">
              <w:rPr>
                <w:b/>
                <w:bCs/>
              </w:rPr>
              <w:t xml:space="preserve">4, </w:t>
            </w:r>
            <w:r w:rsidRPr="00AB6295">
              <w:rPr>
                <w:b/>
                <w:bCs/>
              </w:rPr>
              <w:t>0.</w:t>
            </w:r>
            <w:r w:rsidR="00F9525D" w:rsidRPr="00AB6295">
              <w:rPr>
                <w:b/>
                <w:bCs/>
              </w:rPr>
              <w:t>4)</w:t>
            </w:r>
          </w:p>
        </w:tc>
        <w:tc>
          <w:tcPr>
            <w:tcW w:w="750" w:type="pct"/>
            <w:shd w:val="clear" w:color="auto" w:fill="FFFFFF" w:themeFill="background1"/>
            <w:vAlign w:val="center"/>
          </w:tcPr>
          <w:p w14:paraId="0B681B44" w14:textId="6AD00F75" w:rsidR="00F9525D" w:rsidRPr="00482A36" w:rsidRDefault="00DC65CF" w:rsidP="00444E8A">
            <w:pPr>
              <w:pStyle w:val="Tabletext"/>
              <w:jc w:val="center"/>
              <w:rPr>
                <w:b/>
                <w:bCs/>
              </w:rPr>
            </w:pPr>
            <w:r w:rsidRPr="00AB6295">
              <w:rPr>
                <w:b/>
                <w:bCs/>
              </w:rPr>
              <w:t>0.5</w:t>
            </w:r>
            <w:r w:rsidR="00F9525D" w:rsidRPr="00AB6295">
              <w:rPr>
                <w:b/>
                <w:bCs/>
              </w:rPr>
              <w:t xml:space="preserve"> (</w:t>
            </w:r>
            <w:r w:rsidRPr="00AB6295">
              <w:rPr>
                <w:b/>
                <w:bCs/>
              </w:rPr>
              <w:t>0.3</w:t>
            </w:r>
            <w:r w:rsidR="00F9525D" w:rsidRPr="00AB6295">
              <w:rPr>
                <w:b/>
                <w:bCs/>
              </w:rPr>
              <w:t xml:space="preserve">, </w:t>
            </w:r>
            <w:r w:rsidRPr="00AB6295">
              <w:rPr>
                <w:b/>
                <w:bCs/>
              </w:rPr>
              <w:t>0.</w:t>
            </w:r>
            <w:r w:rsidR="00F9525D" w:rsidRPr="00AB6295">
              <w:rPr>
                <w:b/>
                <w:bCs/>
              </w:rPr>
              <w:t>6)</w:t>
            </w:r>
          </w:p>
        </w:tc>
        <w:tc>
          <w:tcPr>
            <w:tcW w:w="601" w:type="pct"/>
            <w:shd w:val="clear" w:color="auto" w:fill="FFFFFF" w:themeFill="background1"/>
            <w:vAlign w:val="center"/>
          </w:tcPr>
          <w:p w14:paraId="33EAAB50" w14:textId="77777777" w:rsidR="00F9525D" w:rsidRPr="00482A36" w:rsidRDefault="00F9525D" w:rsidP="00444E8A">
            <w:pPr>
              <w:pStyle w:val="Tabletext"/>
              <w:jc w:val="center"/>
              <w:rPr>
                <w:b/>
                <w:bCs/>
              </w:rPr>
            </w:pPr>
            <w:r w:rsidRPr="00AB6295">
              <w:t>-</w:t>
            </w:r>
          </w:p>
        </w:tc>
        <w:tc>
          <w:tcPr>
            <w:tcW w:w="727" w:type="pct"/>
            <w:shd w:val="clear" w:color="auto" w:fill="FFFFFF" w:themeFill="background1"/>
            <w:vAlign w:val="center"/>
          </w:tcPr>
          <w:p w14:paraId="4CBAEAF6" w14:textId="4AA49EF7" w:rsidR="00F9525D" w:rsidRPr="00482A36" w:rsidRDefault="00DC65CF" w:rsidP="00444E8A">
            <w:pPr>
              <w:pStyle w:val="Tabletext"/>
              <w:jc w:val="center"/>
              <w:rPr>
                <w:b/>
                <w:bCs/>
              </w:rPr>
            </w:pPr>
            <w:r w:rsidRPr="00AB6295">
              <w:t>0.3</w:t>
            </w:r>
            <w:r w:rsidR="00F9525D" w:rsidRPr="00AB6295">
              <w:t xml:space="preserve"> (</w:t>
            </w:r>
            <w:r w:rsidRPr="00AB6295">
              <w:t>0.0</w:t>
            </w:r>
            <w:r w:rsidR="00F9525D" w:rsidRPr="00AB6295">
              <w:t xml:space="preserve">2, </w:t>
            </w:r>
            <w:r w:rsidRPr="00AB6295">
              <w:t>0.5</w:t>
            </w:r>
            <w:r w:rsidR="00F9525D" w:rsidRPr="00AB6295">
              <w:t>)</w:t>
            </w:r>
          </w:p>
        </w:tc>
      </w:tr>
      <w:tr w:rsidR="00F9525D" w:rsidRPr="00482A36" w14:paraId="213BF123" w14:textId="77777777" w:rsidTr="002B4C8A">
        <w:trPr>
          <w:trHeight w:val="20"/>
        </w:trPr>
        <w:tc>
          <w:tcPr>
            <w:tcW w:w="784" w:type="pct"/>
            <w:shd w:val="clear" w:color="auto" w:fill="FFFFFF" w:themeFill="background1"/>
            <w:vAlign w:val="center"/>
          </w:tcPr>
          <w:p w14:paraId="325BC636" w14:textId="46B95C99" w:rsidR="00F9525D" w:rsidRPr="00482A36" w:rsidRDefault="00F9525D" w:rsidP="00F9525D">
            <w:pPr>
              <w:pStyle w:val="Tabletext"/>
            </w:pPr>
            <w:r w:rsidRPr="00AB6295">
              <w:t>OR (95% CI)</w:t>
            </w:r>
            <w:r w:rsidRPr="00AB6295">
              <w:rPr>
                <w:vertAlign w:val="superscript"/>
              </w:rPr>
              <w:t>*</w:t>
            </w:r>
            <w:r w:rsidR="000E0EC9" w:rsidRPr="00AB6295">
              <w:rPr>
                <w:vertAlign w:val="superscript"/>
              </w:rPr>
              <w:t xml:space="preserve"> ^</w:t>
            </w:r>
          </w:p>
        </w:tc>
        <w:tc>
          <w:tcPr>
            <w:tcW w:w="713" w:type="pct"/>
            <w:shd w:val="clear" w:color="auto" w:fill="FFFFFF" w:themeFill="background1"/>
            <w:vAlign w:val="center"/>
          </w:tcPr>
          <w:p w14:paraId="05CFC383" w14:textId="77777777" w:rsidR="00F9525D" w:rsidRPr="00482A36" w:rsidRDefault="00F9525D" w:rsidP="00444E8A">
            <w:pPr>
              <w:pStyle w:val="Tabletext"/>
              <w:jc w:val="center"/>
              <w:rPr>
                <w:b/>
                <w:bCs/>
              </w:rPr>
            </w:pPr>
            <w:r w:rsidRPr="00AB6295">
              <w:t>1.9 (0.8, 4.5)</w:t>
            </w:r>
          </w:p>
        </w:tc>
        <w:tc>
          <w:tcPr>
            <w:tcW w:w="675" w:type="pct"/>
            <w:shd w:val="clear" w:color="auto" w:fill="FFFFFF" w:themeFill="background1"/>
            <w:vAlign w:val="center"/>
          </w:tcPr>
          <w:p w14:paraId="0E8C2D6B" w14:textId="77777777" w:rsidR="00F9525D" w:rsidRPr="00482A36" w:rsidRDefault="00F9525D" w:rsidP="00444E8A">
            <w:pPr>
              <w:pStyle w:val="Tabletext"/>
              <w:jc w:val="center"/>
              <w:rPr>
                <w:b/>
                <w:bCs/>
              </w:rPr>
            </w:pPr>
            <w:r w:rsidRPr="00AB6295">
              <w:rPr>
                <w:b/>
                <w:bCs/>
              </w:rPr>
              <w:t>5.4 (2.1, 13.9)</w:t>
            </w:r>
          </w:p>
        </w:tc>
        <w:tc>
          <w:tcPr>
            <w:tcW w:w="750" w:type="pct"/>
            <w:shd w:val="clear" w:color="auto" w:fill="FFFFFF" w:themeFill="background1"/>
            <w:vAlign w:val="center"/>
          </w:tcPr>
          <w:p w14:paraId="32B71785" w14:textId="77777777" w:rsidR="00F9525D" w:rsidRPr="00482A36" w:rsidRDefault="00F9525D" w:rsidP="00444E8A">
            <w:pPr>
              <w:pStyle w:val="Tabletext"/>
              <w:jc w:val="center"/>
              <w:rPr>
                <w:b/>
                <w:bCs/>
              </w:rPr>
            </w:pPr>
            <w:r w:rsidRPr="00AB6295">
              <w:rPr>
                <w:b/>
                <w:bCs/>
              </w:rPr>
              <w:t>2.8 (1.2, 6.5)</w:t>
            </w:r>
          </w:p>
        </w:tc>
        <w:tc>
          <w:tcPr>
            <w:tcW w:w="750" w:type="pct"/>
            <w:shd w:val="clear" w:color="auto" w:fill="FFFFFF" w:themeFill="background1"/>
            <w:vAlign w:val="center"/>
          </w:tcPr>
          <w:p w14:paraId="350E2541" w14:textId="77777777" w:rsidR="00F9525D" w:rsidRPr="00482A36" w:rsidRDefault="00F9525D" w:rsidP="00444E8A">
            <w:pPr>
              <w:pStyle w:val="Tabletext"/>
              <w:jc w:val="center"/>
              <w:rPr>
                <w:b/>
                <w:bCs/>
              </w:rPr>
            </w:pPr>
            <w:r w:rsidRPr="00AB6295">
              <w:rPr>
                <w:b/>
                <w:bCs/>
              </w:rPr>
              <w:t>10.0 (3.6, 28.0)</w:t>
            </w:r>
          </w:p>
        </w:tc>
        <w:tc>
          <w:tcPr>
            <w:tcW w:w="601" w:type="pct"/>
            <w:shd w:val="clear" w:color="auto" w:fill="FFFFFF" w:themeFill="background1"/>
            <w:vAlign w:val="center"/>
          </w:tcPr>
          <w:p w14:paraId="7AB80394" w14:textId="77777777" w:rsidR="00F9525D" w:rsidRPr="00482A36" w:rsidRDefault="00F9525D" w:rsidP="00444E8A">
            <w:pPr>
              <w:pStyle w:val="Tabletext"/>
              <w:jc w:val="center"/>
              <w:rPr>
                <w:b/>
                <w:bCs/>
              </w:rPr>
            </w:pPr>
            <w:r w:rsidRPr="00AB6295">
              <w:t>-</w:t>
            </w:r>
          </w:p>
        </w:tc>
        <w:tc>
          <w:tcPr>
            <w:tcW w:w="727" w:type="pct"/>
            <w:shd w:val="clear" w:color="auto" w:fill="FFFFFF" w:themeFill="background1"/>
            <w:vAlign w:val="center"/>
          </w:tcPr>
          <w:p w14:paraId="006E4439" w14:textId="77777777" w:rsidR="00F9525D" w:rsidRPr="00482A36" w:rsidRDefault="00F9525D" w:rsidP="00444E8A">
            <w:pPr>
              <w:pStyle w:val="Tabletext"/>
              <w:jc w:val="center"/>
              <w:rPr>
                <w:b/>
                <w:bCs/>
              </w:rPr>
            </w:pPr>
            <w:r w:rsidRPr="00AB6295">
              <w:t>2.9 (1.1, 8.0)</w:t>
            </w:r>
          </w:p>
        </w:tc>
      </w:tr>
      <w:tr w:rsidR="00F9525D" w:rsidRPr="00482A36" w14:paraId="43E9A7CF" w14:textId="77777777" w:rsidTr="002B4C8A">
        <w:trPr>
          <w:trHeight w:val="20"/>
        </w:trPr>
        <w:tc>
          <w:tcPr>
            <w:tcW w:w="5000" w:type="pct"/>
            <w:gridSpan w:val="7"/>
            <w:shd w:val="clear" w:color="auto" w:fill="D9D9D9" w:themeFill="background1" w:themeFillShade="D9"/>
            <w:vAlign w:val="center"/>
          </w:tcPr>
          <w:p w14:paraId="139E8890" w14:textId="77777777" w:rsidR="00F9525D" w:rsidRPr="00482A36" w:rsidRDefault="00F9525D" w:rsidP="00F9525D">
            <w:pPr>
              <w:pStyle w:val="Tabletext"/>
              <w:rPr>
                <w:b/>
              </w:rPr>
            </w:pPr>
            <w:r w:rsidRPr="00482A36">
              <w:rPr>
                <w:b/>
              </w:rPr>
              <w:t>PRIMROSE 2</w:t>
            </w:r>
          </w:p>
        </w:tc>
      </w:tr>
      <w:tr w:rsidR="00F9525D" w:rsidRPr="00482A36" w14:paraId="6882A715" w14:textId="77777777" w:rsidTr="002B4C8A">
        <w:trPr>
          <w:trHeight w:val="20"/>
        </w:trPr>
        <w:tc>
          <w:tcPr>
            <w:tcW w:w="5000" w:type="pct"/>
            <w:gridSpan w:val="7"/>
            <w:shd w:val="clear" w:color="auto" w:fill="FFFFFF" w:themeFill="background1"/>
            <w:vAlign w:val="center"/>
          </w:tcPr>
          <w:p w14:paraId="75D787D3" w14:textId="77777777" w:rsidR="00F9525D" w:rsidRPr="00482A36" w:rsidRDefault="00F9525D" w:rsidP="00F9525D">
            <w:pPr>
              <w:pStyle w:val="Tabletext"/>
              <w:rPr>
                <w:b/>
                <w:vertAlign w:val="superscript"/>
              </w:rPr>
            </w:pPr>
            <w:r w:rsidRPr="00482A36">
              <w:rPr>
                <w:b/>
              </w:rPr>
              <w:t>Week 24</w:t>
            </w:r>
            <w:r w:rsidRPr="00482A36">
              <w:rPr>
                <w:b/>
                <w:vertAlign w:val="superscript"/>
              </w:rPr>
              <w:t>#</w:t>
            </w:r>
          </w:p>
        </w:tc>
      </w:tr>
      <w:tr w:rsidR="00F9525D" w:rsidRPr="00482A36" w14:paraId="21CADFAA" w14:textId="77777777" w:rsidTr="002B4C8A">
        <w:trPr>
          <w:trHeight w:val="20"/>
        </w:trPr>
        <w:tc>
          <w:tcPr>
            <w:tcW w:w="784" w:type="pct"/>
            <w:shd w:val="clear" w:color="auto" w:fill="FFFFFF" w:themeFill="background1"/>
            <w:vAlign w:val="center"/>
          </w:tcPr>
          <w:p w14:paraId="7750AD2A" w14:textId="77777777" w:rsidR="00F9525D" w:rsidRPr="00482A36" w:rsidRDefault="00F9525D" w:rsidP="00F9525D">
            <w:pPr>
              <w:pStyle w:val="Tabletext"/>
            </w:pPr>
            <w:r w:rsidRPr="00482A36">
              <w:t>n/N</w:t>
            </w:r>
          </w:p>
        </w:tc>
        <w:tc>
          <w:tcPr>
            <w:tcW w:w="713" w:type="pct"/>
            <w:shd w:val="clear" w:color="auto" w:fill="FFFFFF" w:themeFill="background1"/>
            <w:vAlign w:val="center"/>
          </w:tcPr>
          <w:p w14:paraId="6D100A9C" w14:textId="77777777" w:rsidR="00F9525D" w:rsidRPr="00482A36" w:rsidRDefault="00F9525D" w:rsidP="00444E8A">
            <w:pPr>
              <w:pStyle w:val="Tabletext"/>
              <w:jc w:val="center"/>
              <w:rPr>
                <w:b/>
                <w:bCs/>
              </w:rPr>
            </w:pPr>
            <w:r w:rsidRPr="00482A36">
              <w:t>55/97</w:t>
            </w:r>
          </w:p>
        </w:tc>
        <w:tc>
          <w:tcPr>
            <w:tcW w:w="675" w:type="pct"/>
            <w:shd w:val="clear" w:color="auto" w:fill="FFFFFF" w:themeFill="background1"/>
            <w:vAlign w:val="center"/>
          </w:tcPr>
          <w:p w14:paraId="1B73E14F" w14:textId="77777777" w:rsidR="00F9525D" w:rsidRPr="00482A36" w:rsidRDefault="00F9525D" w:rsidP="00444E8A">
            <w:pPr>
              <w:pStyle w:val="Tabletext"/>
              <w:jc w:val="center"/>
              <w:rPr>
                <w:b/>
                <w:bCs/>
              </w:rPr>
            </w:pPr>
            <w:r w:rsidRPr="00482A36">
              <w:t>78/101</w:t>
            </w:r>
          </w:p>
        </w:tc>
        <w:tc>
          <w:tcPr>
            <w:tcW w:w="750" w:type="pct"/>
            <w:shd w:val="clear" w:color="auto" w:fill="FFFFFF" w:themeFill="background1"/>
            <w:vAlign w:val="center"/>
          </w:tcPr>
          <w:p w14:paraId="4797570F" w14:textId="77777777" w:rsidR="00F9525D" w:rsidRPr="00482A36" w:rsidRDefault="00F9525D" w:rsidP="00444E8A">
            <w:pPr>
              <w:pStyle w:val="Tabletext"/>
              <w:jc w:val="center"/>
              <w:rPr>
                <w:b/>
                <w:bCs/>
              </w:rPr>
            </w:pPr>
            <w:r w:rsidRPr="00482A36">
              <w:t>80/103</w:t>
            </w:r>
          </w:p>
        </w:tc>
        <w:tc>
          <w:tcPr>
            <w:tcW w:w="750" w:type="pct"/>
            <w:shd w:val="clear" w:color="auto" w:fill="FFFFFF" w:themeFill="background1"/>
            <w:vAlign w:val="center"/>
          </w:tcPr>
          <w:p w14:paraId="13F3BF9B" w14:textId="77777777" w:rsidR="00F9525D" w:rsidRPr="00482A36" w:rsidRDefault="00F9525D" w:rsidP="00444E8A">
            <w:pPr>
              <w:pStyle w:val="Tabletext"/>
              <w:jc w:val="center"/>
              <w:rPr>
                <w:b/>
                <w:bCs/>
              </w:rPr>
            </w:pPr>
            <w:r w:rsidRPr="00482A36">
              <w:t>92/98</w:t>
            </w:r>
          </w:p>
        </w:tc>
        <w:tc>
          <w:tcPr>
            <w:tcW w:w="601" w:type="pct"/>
            <w:shd w:val="clear" w:color="auto" w:fill="FFFFFF" w:themeFill="background1"/>
            <w:vAlign w:val="center"/>
          </w:tcPr>
          <w:p w14:paraId="090A5908" w14:textId="77777777" w:rsidR="00F9525D" w:rsidRPr="00482A36" w:rsidRDefault="00F9525D" w:rsidP="00444E8A">
            <w:pPr>
              <w:pStyle w:val="Tabletext"/>
              <w:jc w:val="center"/>
              <w:rPr>
                <w:b/>
                <w:bCs/>
              </w:rPr>
            </w:pPr>
            <w:r w:rsidRPr="00482A36">
              <w:t>30/102</w:t>
            </w:r>
          </w:p>
        </w:tc>
        <w:tc>
          <w:tcPr>
            <w:tcW w:w="727" w:type="pct"/>
            <w:shd w:val="clear" w:color="auto" w:fill="FFFFFF" w:themeFill="background1"/>
            <w:vAlign w:val="center"/>
          </w:tcPr>
          <w:p w14:paraId="6D063277" w14:textId="77777777" w:rsidR="00F9525D" w:rsidRPr="00482A36" w:rsidRDefault="00F9525D" w:rsidP="00444E8A">
            <w:pPr>
              <w:pStyle w:val="Tabletext"/>
              <w:jc w:val="center"/>
            </w:pPr>
          </w:p>
        </w:tc>
      </w:tr>
      <w:tr w:rsidR="00F9525D" w:rsidRPr="00482A36" w14:paraId="251821F4" w14:textId="77777777" w:rsidTr="002B4C8A">
        <w:trPr>
          <w:trHeight w:val="20"/>
        </w:trPr>
        <w:tc>
          <w:tcPr>
            <w:tcW w:w="784" w:type="pct"/>
            <w:shd w:val="clear" w:color="auto" w:fill="FFFFFF" w:themeFill="background1"/>
            <w:vAlign w:val="center"/>
          </w:tcPr>
          <w:p w14:paraId="7EF34DE7" w14:textId="77777777" w:rsidR="00F9525D" w:rsidRPr="00482A36" w:rsidRDefault="00F9525D" w:rsidP="00F9525D">
            <w:pPr>
              <w:pStyle w:val="Tabletext"/>
            </w:pPr>
            <w:r w:rsidRPr="00482A36">
              <w:t>% (95% CI)</w:t>
            </w:r>
          </w:p>
        </w:tc>
        <w:tc>
          <w:tcPr>
            <w:tcW w:w="713" w:type="pct"/>
            <w:shd w:val="clear" w:color="auto" w:fill="FFFFFF" w:themeFill="background1"/>
            <w:vAlign w:val="center"/>
          </w:tcPr>
          <w:p w14:paraId="57008C41" w14:textId="77777777" w:rsidR="00F9525D" w:rsidRPr="00482A36" w:rsidRDefault="00F9525D" w:rsidP="00444E8A">
            <w:pPr>
              <w:pStyle w:val="Tabletext"/>
              <w:jc w:val="center"/>
              <w:rPr>
                <w:b/>
                <w:bCs/>
              </w:rPr>
            </w:pPr>
            <w:r w:rsidRPr="00482A36">
              <w:t>57% (46, 67)</w:t>
            </w:r>
          </w:p>
        </w:tc>
        <w:tc>
          <w:tcPr>
            <w:tcW w:w="675" w:type="pct"/>
            <w:shd w:val="clear" w:color="auto" w:fill="FFFFFF" w:themeFill="background1"/>
            <w:vAlign w:val="center"/>
          </w:tcPr>
          <w:p w14:paraId="4B1184D6" w14:textId="77777777" w:rsidR="00F9525D" w:rsidRPr="00482A36" w:rsidRDefault="00F9525D" w:rsidP="00444E8A">
            <w:pPr>
              <w:pStyle w:val="Tabletext"/>
              <w:jc w:val="center"/>
              <w:rPr>
                <w:b/>
                <w:bCs/>
              </w:rPr>
            </w:pPr>
            <w:r w:rsidRPr="00482A36">
              <w:t>77% (68, 85)</w:t>
            </w:r>
          </w:p>
        </w:tc>
        <w:tc>
          <w:tcPr>
            <w:tcW w:w="750" w:type="pct"/>
            <w:shd w:val="clear" w:color="auto" w:fill="FFFFFF" w:themeFill="background1"/>
            <w:vAlign w:val="center"/>
          </w:tcPr>
          <w:p w14:paraId="7A21DCCE" w14:textId="77777777" w:rsidR="00F9525D" w:rsidRPr="00482A36" w:rsidRDefault="00F9525D" w:rsidP="00444E8A">
            <w:pPr>
              <w:pStyle w:val="Tabletext"/>
              <w:jc w:val="center"/>
              <w:rPr>
                <w:b/>
                <w:bCs/>
              </w:rPr>
            </w:pPr>
            <w:r w:rsidRPr="00482A36">
              <w:t>78% (68, 85)</w:t>
            </w:r>
          </w:p>
        </w:tc>
        <w:tc>
          <w:tcPr>
            <w:tcW w:w="750" w:type="pct"/>
            <w:shd w:val="clear" w:color="auto" w:fill="FFFFFF" w:themeFill="background1"/>
            <w:vAlign w:val="center"/>
          </w:tcPr>
          <w:p w14:paraId="0020CD97" w14:textId="77777777" w:rsidR="00F9525D" w:rsidRPr="00482A36" w:rsidRDefault="00F9525D" w:rsidP="00444E8A">
            <w:pPr>
              <w:pStyle w:val="Tabletext"/>
              <w:jc w:val="center"/>
              <w:rPr>
                <w:b/>
                <w:bCs/>
              </w:rPr>
            </w:pPr>
            <w:r w:rsidRPr="00482A36">
              <w:t>94% (87, 98)</w:t>
            </w:r>
          </w:p>
        </w:tc>
        <w:tc>
          <w:tcPr>
            <w:tcW w:w="601" w:type="pct"/>
            <w:shd w:val="clear" w:color="auto" w:fill="FFFFFF" w:themeFill="background1"/>
            <w:vAlign w:val="center"/>
          </w:tcPr>
          <w:p w14:paraId="057BCBFD" w14:textId="77777777" w:rsidR="00F9525D" w:rsidRPr="00482A36" w:rsidRDefault="00F9525D" w:rsidP="00444E8A">
            <w:pPr>
              <w:pStyle w:val="Tabletext"/>
              <w:jc w:val="center"/>
              <w:rPr>
                <w:b/>
                <w:bCs/>
              </w:rPr>
            </w:pPr>
            <w:r w:rsidRPr="00482A36">
              <w:t>29% (21, 39)</w:t>
            </w:r>
          </w:p>
        </w:tc>
        <w:tc>
          <w:tcPr>
            <w:tcW w:w="727" w:type="pct"/>
            <w:shd w:val="clear" w:color="auto" w:fill="FFFFFF" w:themeFill="background1"/>
            <w:vAlign w:val="center"/>
          </w:tcPr>
          <w:p w14:paraId="794D49E0" w14:textId="77777777" w:rsidR="00F9525D" w:rsidRPr="00482A36" w:rsidRDefault="00F9525D" w:rsidP="00444E8A">
            <w:pPr>
              <w:pStyle w:val="Tabletext"/>
              <w:jc w:val="center"/>
            </w:pPr>
          </w:p>
        </w:tc>
      </w:tr>
      <w:tr w:rsidR="00F9525D" w:rsidRPr="00482A36" w14:paraId="061FB96B" w14:textId="77777777" w:rsidTr="002B4C8A">
        <w:trPr>
          <w:trHeight w:val="20"/>
        </w:trPr>
        <w:tc>
          <w:tcPr>
            <w:tcW w:w="784" w:type="pct"/>
            <w:shd w:val="clear" w:color="auto" w:fill="FFFFFF" w:themeFill="background1"/>
            <w:vAlign w:val="center"/>
          </w:tcPr>
          <w:p w14:paraId="29DB5FD7" w14:textId="77777777" w:rsidR="00F9525D" w:rsidRPr="00482A36" w:rsidRDefault="00F9525D" w:rsidP="00F9525D">
            <w:pPr>
              <w:pStyle w:val="Tabletext"/>
            </w:pPr>
            <w:r w:rsidRPr="00482A36">
              <w:t>RD (95% CI)</w:t>
            </w:r>
            <w:r w:rsidRPr="006D3D30">
              <w:rPr>
                <w:vertAlign w:val="superscript"/>
              </w:rPr>
              <w:t>*</w:t>
            </w:r>
          </w:p>
        </w:tc>
        <w:tc>
          <w:tcPr>
            <w:tcW w:w="713" w:type="pct"/>
            <w:shd w:val="clear" w:color="auto" w:fill="FFFFFF" w:themeFill="background1"/>
            <w:vAlign w:val="center"/>
          </w:tcPr>
          <w:p w14:paraId="5FF8788C" w14:textId="507C589D" w:rsidR="00F9525D" w:rsidRPr="00482A36" w:rsidRDefault="00DC65CF" w:rsidP="00444E8A">
            <w:pPr>
              <w:pStyle w:val="Tabletext"/>
              <w:jc w:val="center"/>
              <w:rPr>
                <w:b/>
                <w:bCs/>
              </w:rPr>
            </w:pPr>
            <w:r w:rsidRPr="00482A36">
              <w:rPr>
                <w:b/>
              </w:rPr>
              <w:t>0.3</w:t>
            </w:r>
            <w:r w:rsidR="00F9525D" w:rsidRPr="00482A36">
              <w:rPr>
                <w:b/>
              </w:rPr>
              <w:t xml:space="preserve"> (</w:t>
            </w:r>
            <w:r w:rsidRPr="00482A36">
              <w:rPr>
                <w:b/>
              </w:rPr>
              <w:t>0.</w:t>
            </w:r>
            <w:r w:rsidR="00F9525D" w:rsidRPr="00482A36">
              <w:rPr>
                <w:b/>
              </w:rPr>
              <w:t xml:space="preserve">1, </w:t>
            </w:r>
            <w:r w:rsidRPr="00482A36">
              <w:rPr>
                <w:b/>
              </w:rPr>
              <w:t>0.4</w:t>
            </w:r>
            <w:r w:rsidR="00F9525D" w:rsidRPr="00482A36">
              <w:rPr>
                <w:b/>
              </w:rPr>
              <w:t>)</w:t>
            </w:r>
          </w:p>
        </w:tc>
        <w:tc>
          <w:tcPr>
            <w:tcW w:w="675" w:type="pct"/>
            <w:shd w:val="clear" w:color="auto" w:fill="FFFFFF" w:themeFill="background1"/>
            <w:vAlign w:val="center"/>
          </w:tcPr>
          <w:p w14:paraId="5A356A99" w14:textId="24B9DAA6" w:rsidR="00F9525D" w:rsidRPr="00482A36" w:rsidRDefault="00DC65CF" w:rsidP="00444E8A">
            <w:pPr>
              <w:pStyle w:val="Tabletext"/>
              <w:jc w:val="center"/>
              <w:rPr>
                <w:b/>
                <w:bCs/>
              </w:rPr>
            </w:pPr>
            <w:r w:rsidRPr="00482A36">
              <w:rPr>
                <w:b/>
              </w:rPr>
              <w:t>0.5</w:t>
            </w:r>
            <w:r w:rsidR="00F9525D" w:rsidRPr="00482A36">
              <w:rPr>
                <w:b/>
              </w:rPr>
              <w:t xml:space="preserve"> (</w:t>
            </w:r>
            <w:r w:rsidRPr="00482A36">
              <w:rPr>
                <w:b/>
              </w:rPr>
              <w:t>0.</w:t>
            </w:r>
            <w:r w:rsidR="00F9525D" w:rsidRPr="00482A36">
              <w:rPr>
                <w:b/>
              </w:rPr>
              <w:t xml:space="preserve">3, </w:t>
            </w:r>
            <w:r w:rsidRPr="00482A36">
              <w:rPr>
                <w:b/>
              </w:rPr>
              <w:t>0.6</w:t>
            </w:r>
            <w:r w:rsidR="00F9525D" w:rsidRPr="00482A36">
              <w:rPr>
                <w:b/>
              </w:rPr>
              <w:t>)</w:t>
            </w:r>
          </w:p>
        </w:tc>
        <w:tc>
          <w:tcPr>
            <w:tcW w:w="750" w:type="pct"/>
            <w:shd w:val="clear" w:color="auto" w:fill="FFFFFF" w:themeFill="background1"/>
            <w:vAlign w:val="center"/>
          </w:tcPr>
          <w:p w14:paraId="4E476452" w14:textId="79999926" w:rsidR="00F9525D" w:rsidRPr="00482A36" w:rsidRDefault="00DC65CF" w:rsidP="00444E8A">
            <w:pPr>
              <w:pStyle w:val="Tabletext"/>
              <w:jc w:val="center"/>
              <w:rPr>
                <w:b/>
                <w:bCs/>
              </w:rPr>
            </w:pPr>
            <w:r w:rsidRPr="00482A36">
              <w:rPr>
                <w:b/>
              </w:rPr>
              <w:t>0.5</w:t>
            </w:r>
            <w:r w:rsidR="00F9525D" w:rsidRPr="00482A36">
              <w:rPr>
                <w:b/>
              </w:rPr>
              <w:t xml:space="preserve"> (</w:t>
            </w:r>
            <w:r w:rsidRPr="00482A36">
              <w:rPr>
                <w:b/>
              </w:rPr>
              <w:t>0.</w:t>
            </w:r>
            <w:r w:rsidR="00F9525D" w:rsidRPr="00482A36">
              <w:rPr>
                <w:b/>
              </w:rPr>
              <w:t xml:space="preserve">3, </w:t>
            </w:r>
            <w:r w:rsidRPr="00482A36">
              <w:rPr>
                <w:b/>
              </w:rPr>
              <w:t>0.6</w:t>
            </w:r>
            <w:r w:rsidR="00F9525D" w:rsidRPr="00482A36">
              <w:rPr>
                <w:b/>
              </w:rPr>
              <w:t>)</w:t>
            </w:r>
          </w:p>
        </w:tc>
        <w:tc>
          <w:tcPr>
            <w:tcW w:w="750" w:type="pct"/>
            <w:shd w:val="clear" w:color="auto" w:fill="FFFFFF" w:themeFill="background1"/>
            <w:vAlign w:val="center"/>
          </w:tcPr>
          <w:p w14:paraId="23E0777B" w14:textId="5642343B" w:rsidR="00F9525D" w:rsidRPr="00482A36" w:rsidRDefault="00DC65CF" w:rsidP="00444E8A">
            <w:pPr>
              <w:pStyle w:val="Tabletext"/>
              <w:jc w:val="center"/>
              <w:rPr>
                <w:b/>
                <w:bCs/>
              </w:rPr>
            </w:pPr>
            <w:r w:rsidRPr="00482A36">
              <w:rPr>
                <w:b/>
              </w:rPr>
              <w:t>0.</w:t>
            </w:r>
            <w:r w:rsidR="00F9525D" w:rsidRPr="00482A36">
              <w:rPr>
                <w:b/>
              </w:rPr>
              <w:t>6 (</w:t>
            </w:r>
            <w:r w:rsidRPr="00482A36">
              <w:rPr>
                <w:b/>
              </w:rPr>
              <w:t>0.</w:t>
            </w:r>
            <w:r w:rsidR="00F9525D" w:rsidRPr="00482A36">
              <w:rPr>
                <w:b/>
              </w:rPr>
              <w:t xml:space="preserve">5, </w:t>
            </w:r>
            <w:r w:rsidRPr="00482A36">
              <w:rPr>
                <w:b/>
              </w:rPr>
              <w:t>0.</w:t>
            </w:r>
            <w:r w:rsidR="00F9525D" w:rsidRPr="00482A36">
              <w:rPr>
                <w:b/>
              </w:rPr>
              <w:t>7)</w:t>
            </w:r>
          </w:p>
        </w:tc>
        <w:tc>
          <w:tcPr>
            <w:tcW w:w="601" w:type="pct"/>
            <w:shd w:val="clear" w:color="auto" w:fill="FFFFFF" w:themeFill="background1"/>
            <w:vAlign w:val="center"/>
          </w:tcPr>
          <w:p w14:paraId="75546D6A" w14:textId="77777777" w:rsidR="00F9525D" w:rsidRPr="00482A36" w:rsidRDefault="00F9525D" w:rsidP="00444E8A">
            <w:pPr>
              <w:pStyle w:val="Tabletext"/>
              <w:jc w:val="center"/>
              <w:rPr>
                <w:b/>
                <w:bCs/>
              </w:rPr>
            </w:pPr>
            <w:r w:rsidRPr="00482A36">
              <w:t>-</w:t>
            </w:r>
          </w:p>
        </w:tc>
        <w:tc>
          <w:tcPr>
            <w:tcW w:w="727" w:type="pct"/>
            <w:shd w:val="clear" w:color="auto" w:fill="FFFFFF" w:themeFill="background1"/>
            <w:vAlign w:val="center"/>
          </w:tcPr>
          <w:p w14:paraId="42F68381" w14:textId="77777777" w:rsidR="00F9525D" w:rsidRPr="00482A36" w:rsidRDefault="00F9525D" w:rsidP="00444E8A">
            <w:pPr>
              <w:pStyle w:val="Tabletext"/>
              <w:jc w:val="center"/>
            </w:pPr>
          </w:p>
        </w:tc>
      </w:tr>
      <w:tr w:rsidR="00F9525D" w:rsidRPr="00482A36" w14:paraId="02E6C3CA" w14:textId="77777777" w:rsidTr="002B4C8A">
        <w:trPr>
          <w:trHeight w:val="20"/>
        </w:trPr>
        <w:tc>
          <w:tcPr>
            <w:tcW w:w="784" w:type="pct"/>
            <w:shd w:val="clear" w:color="auto" w:fill="FFFFFF" w:themeFill="background1"/>
            <w:vAlign w:val="center"/>
          </w:tcPr>
          <w:p w14:paraId="0A18F147" w14:textId="77777777" w:rsidR="00F9525D" w:rsidRPr="00482A36" w:rsidRDefault="00F9525D" w:rsidP="00F9525D">
            <w:pPr>
              <w:pStyle w:val="Tabletext"/>
            </w:pPr>
            <w:r w:rsidRPr="00482A36">
              <w:t>OR (95% CI)</w:t>
            </w:r>
            <w:r w:rsidRPr="006D3D30">
              <w:rPr>
                <w:vertAlign w:val="superscript"/>
              </w:rPr>
              <w:t>*</w:t>
            </w:r>
          </w:p>
        </w:tc>
        <w:tc>
          <w:tcPr>
            <w:tcW w:w="713" w:type="pct"/>
            <w:shd w:val="clear" w:color="auto" w:fill="FFFFFF" w:themeFill="background1"/>
            <w:vAlign w:val="center"/>
          </w:tcPr>
          <w:p w14:paraId="79ECD521" w14:textId="77777777" w:rsidR="00F9525D" w:rsidRPr="00482A36" w:rsidRDefault="00F9525D" w:rsidP="00444E8A">
            <w:pPr>
              <w:pStyle w:val="Tabletext"/>
              <w:jc w:val="center"/>
              <w:rPr>
                <w:b/>
                <w:bCs/>
              </w:rPr>
            </w:pPr>
            <w:r w:rsidRPr="00482A36">
              <w:rPr>
                <w:b/>
              </w:rPr>
              <w:t>3.1 (2, 6)</w:t>
            </w:r>
          </w:p>
        </w:tc>
        <w:tc>
          <w:tcPr>
            <w:tcW w:w="675" w:type="pct"/>
            <w:shd w:val="clear" w:color="auto" w:fill="FFFFFF" w:themeFill="background1"/>
            <w:vAlign w:val="center"/>
          </w:tcPr>
          <w:p w14:paraId="0DB956DE" w14:textId="77777777" w:rsidR="00F9525D" w:rsidRPr="00482A36" w:rsidRDefault="00F9525D" w:rsidP="00444E8A">
            <w:pPr>
              <w:pStyle w:val="Tabletext"/>
              <w:jc w:val="center"/>
              <w:rPr>
                <w:b/>
                <w:bCs/>
              </w:rPr>
            </w:pPr>
            <w:r w:rsidRPr="00482A36">
              <w:rPr>
                <w:b/>
              </w:rPr>
              <w:t>9.7 (5, 19)</w:t>
            </w:r>
          </w:p>
        </w:tc>
        <w:tc>
          <w:tcPr>
            <w:tcW w:w="750" w:type="pct"/>
            <w:shd w:val="clear" w:color="auto" w:fill="FFFFFF" w:themeFill="background1"/>
            <w:vAlign w:val="center"/>
          </w:tcPr>
          <w:p w14:paraId="1A462A23" w14:textId="77777777" w:rsidR="00F9525D" w:rsidRPr="00482A36" w:rsidRDefault="00F9525D" w:rsidP="00444E8A">
            <w:pPr>
              <w:pStyle w:val="Tabletext"/>
              <w:jc w:val="center"/>
              <w:rPr>
                <w:b/>
                <w:bCs/>
              </w:rPr>
            </w:pPr>
            <w:r w:rsidRPr="00482A36">
              <w:rPr>
                <w:b/>
              </w:rPr>
              <w:t>7.9 (4, 15)</w:t>
            </w:r>
          </w:p>
        </w:tc>
        <w:tc>
          <w:tcPr>
            <w:tcW w:w="750" w:type="pct"/>
            <w:shd w:val="clear" w:color="auto" w:fill="FFFFFF" w:themeFill="background1"/>
            <w:vAlign w:val="center"/>
          </w:tcPr>
          <w:p w14:paraId="10CB4FFE" w14:textId="77777777" w:rsidR="00F9525D" w:rsidRPr="00482A36" w:rsidRDefault="00F9525D" w:rsidP="00444E8A">
            <w:pPr>
              <w:pStyle w:val="Tabletext"/>
              <w:jc w:val="center"/>
              <w:rPr>
                <w:b/>
                <w:bCs/>
              </w:rPr>
            </w:pPr>
            <w:r w:rsidRPr="00482A36">
              <w:rPr>
                <w:b/>
              </w:rPr>
              <w:t>35.1 (14, 88)</w:t>
            </w:r>
          </w:p>
        </w:tc>
        <w:tc>
          <w:tcPr>
            <w:tcW w:w="601" w:type="pct"/>
            <w:shd w:val="clear" w:color="auto" w:fill="FFFFFF" w:themeFill="background1"/>
            <w:vAlign w:val="center"/>
          </w:tcPr>
          <w:p w14:paraId="62C87D7E" w14:textId="77777777" w:rsidR="00F9525D" w:rsidRPr="00482A36" w:rsidRDefault="00F9525D" w:rsidP="00444E8A">
            <w:pPr>
              <w:pStyle w:val="Tabletext"/>
              <w:jc w:val="center"/>
              <w:rPr>
                <w:b/>
                <w:bCs/>
              </w:rPr>
            </w:pPr>
            <w:r w:rsidRPr="00482A36">
              <w:t>-</w:t>
            </w:r>
          </w:p>
        </w:tc>
        <w:tc>
          <w:tcPr>
            <w:tcW w:w="727" w:type="pct"/>
            <w:shd w:val="clear" w:color="auto" w:fill="FFFFFF" w:themeFill="background1"/>
            <w:vAlign w:val="center"/>
          </w:tcPr>
          <w:p w14:paraId="408329C8" w14:textId="77777777" w:rsidR="00F9525D" w:rsidRPr="00482A36" w:rsidRDefault="00F9525D" w:rsidP="00444E8A">
            <w:pPr>
              <w:pStyle w:val="Tabletext"/>
              <w:jc w:val="center"/>
            </w:pPr>
          </w:p>
        </w:tc>
      </w:tr>
      <w:tr w:rsidR="00F9525D" w:rsidRPr="00482A36" w14:paraId="7A5038A8" w14:textId="77777777" w:rsidTr="002B4C8A">
        <w:trPr>
          <w:trHeight w:val="20"/>
        </w:trPr>
        <w:tc>
          <w:tcPr>
            <w:tcW w:w="5000" w:type="pct"/>
            <w:gridSpan w:val="7"/>
            <w:shd w:val="clear" w:color="auto" w:fill="FFFFFF" w:themeFill="background1"/>
            <w:vAlign w:val="center"/>
          </w:tcPr>
          <w:p w14:paraId="69F1BF99" w14:textId="77777777" w:rsidR="00F9525D" w:rsidRPr="00482A36" w:rsidRDefault="00F9525D" w:rsidP="00444E8A">
            <w:pPr>
              <w:pStyle w:val="Tabletext"/>
              <w:rPr>
                <w:b/>
                <w:bCs/>
                <w:vertAlign w:val="superscript"/>
              </w:rPr>
            </w:pPr>
            <w:r w:rsidRPr="00482A36">
              <w:rPr>
                <w:b/>
                <w:bCs/>
              </w:rPr>
              <w:t>Week 52</w:t>
            </w:r>
            <w:r w:rsidRPr="00482A36">
              <w:rPr>
                <w:b/>
                <w:bCs/>
                <w:vertAlign w:val="superscript"/>
              </w:rPr>
              <w:t>d</w:t>
            </w:r>
          </w:p>
        </w:tc>
      </w:tr>
      <w:tr w:rsidR="00F9525D" w:rsidRPr="00AB6295" w14:paraId="2E068263" w14:textId="77777777" w:rsidTr="002B4C8A">
        <w:trPr>
          <w:trHeight w:val="20"/>
        </w:trPr>
        <w:tc>
          <w:tcPr>
            <w:tcW w:w="784" w:type="pct"/>
            <w:shd w:val="clear" w:color="auto" w:fill="FFFFFF" w:themeFill="background1"/>
            <w:vAlign w:val="center"/>
          </w:tcPr>
          <w:p w14:paraId="729A8156" w14:textId="77777777" w:rsidR="00F9525D" w:rsidRPr="00AB6295" w:rsidRDefault="00F9525D" w:rsidP="00F9525D">
            <w:pPr>
              <w:pStyle w:val="Tabletext"/>
              <w:rPr>
                <w:iCs/>
              </w:rPr>
            </w:pPr>
            <w:r w:rsidRPr="00AB6295">
              <w:rPr>
                <w:iCs/>
              </w:rPr>
              <w:t>N (%) continuing</w:t>
            </w:r>
          </w:p>
        </w:tc>
        <w:tc>
          <w:tcPr>
            <w:tcW w:w="713" w:type="pct"/>
            <w:shd w:val="clear" w:color="auto" w:fill="FFFFFF" w:themeFill="background1"/>
            <w:vAlign w:val="center"/>
          </w:tcPr>
          <w:p w14:paraId="2C60A745" w14:textId="77777777" w:rsidR="00F9525D" w:rsidRPr="00AB6295" w:rsidRDefault="00F9525D" w:rsidP="00444E8A">
            <w:pPr>
              <w:pStyle w:val="Tabletext"/>
              <w:jc w:val="center"/>
              <w:rPr>
                <w:b/>
                <w:bCs/>
                <w:iCs/>
              </w:rPr>
            </w:pPr>
            <w:r w:rsidRPr="00AB6295">
              <w:rPr>
                <w:bCs/>
                <w:iCs/>
              </w:rPr>
              <w:t>79 (81%)</w:t>
            </w:r>
          </w:p>
        </w:tc>
        <w:tc>
          <w:tcPr>
            <w:tcW w:w="675" w:type="pct"/>
            <w:shd w:val="clear" w:color="auto" w:fill="FFFFFF" w:themeFill="background1"/>
            <w:vAlign w:val="center"/>
          </w:tcPr>
          <w:p w14:paraId="12FDD29E" w14:textId="77777777" w:rsidR="00F9525D" w:rsidRPr="00AB6295" w:rsidRDefault="00F9525D" w:rsidP="00444E8A">
            <w:pPr>
              <w:pStyle w:val="Tabletext"/>
              <w:jc w:val="center"/>
              <w:rPr>
                <w:b/>
                <w:bCs/>
                <w:iCs/>
              </w:rPr>
            </w:pPr>
            <w:r w:rsidRPr="00AB6295">
              <w:rPr>
                <w:bCs/>
                <w:iCs/>
              </w:rPr>
              <w:t>80 (79%)</w:t>
            </w:r>
          </w:p>
        </w:tc>
        <w:tc>
          <w:tcPr>
            <w:tcW w:w="750" w:type="pct"/>
            <w:shd w:val="clear" w:color="auto" w:fill="FFFFFF" w:themeFill="background1"/>
            <w:vAlign w:val="center"/>
          </w:tcPr>
          <w:p w14:paraId="2E85B4FE" w14:textId="77777777" w:rsidR="00F9525D" w:rsidRPr="00AB6295" w:rsidRDefault="00F9525D" w:rsidP="00444E8A">
            <w:pPr>
              <w:pStyle w:val="Tabletext"/>
              <w:jc w:val="center"/>
              <w:rPr>
                <w:b/>
                <w:bCs/>
                <w:iCs/>
              </w:rPr>
            </w:pPr>
            <w:r w:rsidRPr="00AB6295">
              <w:rPr>
                <w:bCs/>
                <w:iCs/>
              </w:rPr>
              <w:t>88 (85%)</w:t>
            </w:r>
          </w:p>
        </w:tc>
        <w:tc>
          <w:tcPr>
            <w:tcW w:w="750" w:type="pct"/>
            <w:shd w:val="clear" w:color="auto" w:fill="FFFFFF" w:themeFill="background1"/>
            <w:vAlign w:val="center"/>
          </w:tcPr>
          <w:p w14:paraId="5A7D3396" w14:textId="77777777" w:rsidR="00F9525D" w:rsidRPr="00AB6295" w:rsidRDefault="00F9525D" w:rsidP="00444E8A">
            <w:pPr>
              <w:pStyle w:val="Tabletext"/>
              <w:jc w:val="center"/>
              <w:rPr>
                <w:b/>
                <w:bCs/>
                <w:iCs/>
              </w:rPr>
            </w:pPr>
            <w:r w:rsidRPr="00AB6295">
              <w:rPr>
                <w:bCs/>
                <w:iCs/>
              </w:rPr>
              <w:t>85%</w:t>
            </w:r>
          </w:p>
        </w:tc>
        <w:tc>
          <w:tcPr>
            <w:tcW w:w="601" w:type="pct"/>
            <w:shd w:val="clear" w:color="auto" w:fill="FFFFFF" w:themeFill="background1"/>
            <w:vAlign w:val="center"/>
          </w:tcPr>
          <w:p w14:paraId="1030EDFE" w14:textId="77777777" w:rsidR="00F9525D" w:rsidRPr="00AB6295" w:rsidRDefault="00F9525D" w:rsidP="00444E8A">
            <w:pPr>
              <w:pStyle w:val="Tabletext"/>
              <w:jc w:val="center"/>
              <w:rPr>
                <w:bCs/>
                <w:iCs/>
              </w:rPr>
            </w:pPr>
            <w:r w:rsidRPr="00AB6295">
              <w:rPr>
                <w:bCs/>
                <w:iCs/>
              </w:rPr>
              <w:t>-</w:t>
            </w:r>
          </w:p>
        </w:tc>
        <w:tc>
          <w:tcPr>
            <w:tcW w:w="727" w:type="pct"/>
            <w:shd w:val="clear" w:color="auto" w:fill="FFFFFF" w:themeFill="background1"/>
            <w:vAlign w:val="center"/>
          </w:tcPr>
          <w:p w14:paraId="4026DD59" w14:textId="77777777" w:rsidR="00F9525D" w:rsidRPr="00AB6295" w:rsidRDefault="00F9525D" w:rsidP="00444E8A">
            <w:pPr>
              <w:pStyle w:val="Tabletext"/>
              <w:jc w:val="center"/>
              <w:rPr>
                <w:b/>
                <w:bCs/>
                <w:iCs/>
              </w:rPr>
            </w:pPr>
            <w:r w:rsidRPr="00AB6295">
              <w:rPr>
                <w:bCs/>
                <w:iCs/>
              </w:rPr>
              <w:t>89 (87%)</w:t>
            </w:r>
          </w:p>
        </w:tc>
      </w:tr>
      <w:tr w:rsidR="00F9525D" w:rsidRPr="00AB6295" w14:paraId="6067CEE4" w14:textId="77777777" w:rsidTr="002B4C8A">
        <w:trPr>
          <w:trHeight w:val="20"/>
        </w:trPr>
        <w:tc>
          <w:tcPr>
            <w:tcW w:w="784" w:type="pct"/>
            <w:shd w:val="clear" w:color="auto" w:fill="FFFFFF" w:themeFill="background1"/>
            <w:vAlign w:val="center"/>
          </w:tcPr>
          <w:p w14:paraId="4AC4EEC0" w14:textId="77777777" w:rsidR="00F9525D" w:rsidRPr="00AB6295" w:rsidRDefault="00F9525D" w:rsidP="00F9525D">
            <w:pPr>
              <w:pStyle w:val="Tabletext"/>
              <w:rPr>
                <w:iCs/>
              </w:rPr>
            </w:pPr>
            <w:r w:rsidRPr="00AB6295">
              <w:rPr>
                <w:iCs/>
              </w:rPr>
              <w:t>n/N (%) continuing with response</w:t>
            </w:r>
          </w:p>
        </w:tc>
        <w:tc>
          <w:tcPr>
            <w:tcW w:w="713" w:type="pct"/>
            <w:shd w:val="clear" w:color="auto" w:fill="FFFFFF" w:themeFill="background1"/>
            <w:vAlign w:val="center"/>
          </w:tcPr>
          <w:p w14:paraId="4FE68266" w14:textId="43BDF1C9" w:rsidR="00F9525D" w:rsidRPr="00AB6295" w:rsidRDefault="00F9525D" w:rsidP="00444E8A">
            <w:pPr>
              <w:pStyle w:val="Tabletext"/>
              <w:jc w:val="center"/>
              <w:rPr>
                <w:b/>
                <w:bCs/>
                <w:iCs/>
              </w:rPr>
            </w:pPr>
            <w:r w:rsidRPr="00AB6295">
              <w:rPr>
                <w:bCs/>
                <w:iCs/>
              </w:rPr>
              <w:t>42/79</w:t>
            </w:r>
            <w:r w:rsidRPr="00AB6295">
              <w:rPr>
                <w:iCs/>
              </w:rPr>
              <w:t xml:space="preserve"> (53%)</w:t>
            </w:r>
          </w:p>
        </w:tc>
        <w:tc>
          <w:tcPr>
            <w:tcW w:w="675" w:type="pct"/>
            <w:shd w:val="clear" w:color="auto" w:fill="FFFFFF" w:themeFill="background1"/>
            <w:vAlign w:val="center"/>
          </w:tcPr>
          <w:p w14:paraId="0B60A5DF" w14:textId="68F17A8B" w:rsidR="00F9525D" w:rsidRPr="00AB6295" w:rsidRDefault="00F9525D" w:rsidP="00444E8A">
            <w:pPr>
              <w:pStyle w:val="Tabletext"/>
              <w:jc w:val="center"/>
              <w:rPr>
                <w:b/>
                <w:bCs/>
                <w:iCs/>
              </w:rPr>
            </w:pPr>
            <w:r w:rsidRPr="00AB6295">
              <w:rPr>
                <w:bCs/>
                <w:iCs/>
              </w:rPr>
              <w:t>73/80 (91%)</w:t>
            </w:r>
          </w:p>
        </w:tc>
        <w:tc>
          <w:tcPr>
            <w:tcW w:w="750" w:type="pct"/>
            <w:shd w:val="clear" w:color="auto" w:fill="FFFFFF" w:themeFill="background1"/>
            <w:vAlign w:val="center"/>
          </w:tcPr>
          <w:p w14:paraId="38740FA9" w14:textId="12F70E20" w:rsidR="00F9525D" w:rsidRPr="00AB6295" w:rsidRDefault="00F9525D" w:rsidP="00444E8A">
            <w:pPr>
              <w:pStyle w:val="Tabletext"/>
              <w:jc w:val="center"/>
              <w:rPr>
                <w:bCs/>
                <w:iCs/>
              </w:rPr>
            </w:pPr>
            <w:r w:rsidRPr="00AB6295">
              <w:rPr>
                <w:bCs/>
                <w:iCs/>
              </w:rPr>
              <w:t>75/88</w:t>
            </w:r>
            <w:r w:rsidRPr="00AB6295">
              <w:rPr>
                <w:bCs/>
                <w:iCs/>
                <w:vertAlign w:val="superscript"/>
              </w:rPr>
              <w:t xml:space="preserve"> </w:t>
            </w:r>
            <w:r w:rsidRPr="00AB6295">
              <w:rPr>
                <w:bCs/>
                <w:iCs/>
              </w:rPr>
              <w:t>(85%)</w:t>
            </w:r>
          </w:p>
        </w:tc>
        <w:tc>
          <w:tcPr>
            <w:tcW w:w="750" w:type="pct"/>
            <w:shd w:val="clear" w:color="auto" w:fill="FFFFFF" w:themeFill="background1"/>
            <w:vAlign w:val="center"/>
          </w:tcPr>
          <w:p w14:paraId="5211FACB" w14:textId="2AE59D1F" w:rsidR="00F9525D" w:rsidRPr="00AB6295" w:rsidRDefault="00F9525D" w:rsidP="00444E8A">
            <w:pPr>
              <w:pStyle w:val="Tabletext"/>
              <w:jc w:val="center"/>
              <w:rPr>
                <w:bCs/>
                <w:iCs/>
              </w:rPr>
            </w:pPr>
            <w:r w:rsidRPr="00AB6295">
              <w:rPr>
                <w:bCs/>
                <w:iCs/>
              </w:rPr>
              <w:t>76/83 (92%)</w:t>
            </w:r>
          </w:p>
        </w:tc>
        <w:tc>
          <w:tcPr>
            <w:tcW w:w="601" w:type="pct"/>
            <w:shd w:val="clear" w:color="auto" w:fill="FFFFFF" w:themeFill="background1"/>
            <w:vAlign w:val="center"/>
          </w:tcPr>
          <w:p w14:paraId="16CF169D" w14:textId="5AFF1296" w:rsidR="00F9525D" w:rsidRPr="00AB6295" w:rsidRDefault="00F9525D" w:rsidP="00444E8A">
            <w:pPr>
              <w:pStyle w:val="Tabletext"/>
              <w:jc w:val="center"/>
              <w:rPr>
                <w:b/>
                <w:bCs/>
                <w:iCs/>
              </w:rPr>
            </w:pPr>
            <w:r w:rsidRPr="00AB6295">
              <w:rPr>
                <w:iCs/>
              </w:rPr>
              <w:t>-</w:t>
            </w:r>
          </w:p>
        </w:tc>
        <w:tc>
          <w:tcPr>
            <w:tcW w:w="727" w:type="pct"/>
            <w:shd w:val="clear" w:color="auto" w:fill="FFFFFF" w:themeFill="background1"/>
            <w:vAlign w:val="center"/>
          </w:tcPr>
          <w:p w14:paraId="102E6F12" w14:textId="41984CAF" w:rsidR="00F9525D" w:rsidRPr="00AB6295" w:rsidRDefault="00F9525D" w:rsidP="00444E8A">
            <w:pPr>
              <w:pStyle w:val="Tabletext"/>
              <w:jc w:val="center"/>
              <w:rPr>
                <w:iCs/>
              </w:rPr>
            </w:pPr>
            <w:r w:rsidRPr="00AB6295">
              <w:rPr>
                <w:bCs/>
                <w:iCs/>
              </w:rPr>
              <w:t>74/89</w:t>
            </w:r>
            <w:r w:rsidR="006D3D30" w:rsidRPr="00AB6295">
              <w:rPr>
                <w:bCs/>
                <w:iCs/>
              </w:rPr>
              <w:t xml:space="preserve"> </w:t>
            </w:r>
            <w:r w:rsidRPr="00AB6295">
              <w:rPr>
                <w:bCs/>
                <w:iCs/>
                <w:vertAlign w:val="superscript"/>
              </w:rPr>
              <w:t>d</w:t>
            </w:r>
            <w:r w:rsidRPr="00AB6295">
              <w:rPr>
                <w:iCs/>
              </w:rPr>
              <w:t xml:space="preserve"> (83%)</w:t>
            </w:r>
          </w:p>
        </w:tc>
      </w:tr>
      <w:tr w:rsidR="00F9525D" w:rsidRPr="00482A36" w14:paraId="01298D18" w14:textId="77777777" w:rsidTr="002B4C8A">
        <w:trPr>
          <w:trHeight w:val="20"/>
        </w:trPr>
        <w:tc>
          <w:tcPr>
            <w:tcW w:w="5000" w:type="pct"/>
            <w:gridSpan w:val="7"/>
            <w:shd w:val="clear" w:color="auto" w:fill="D9D9D9" w:themeFill="background1" w:themeFillShade="D9"/>
            <w:vAlign w:val="center"/>
          </w:tcPr>
          <w:p w14:paraId="0978FA5E" w14:textId="77777777" w:rsidR="00F9525D" w:rsidRPr="00482A36" w:rsidRDefault="00F9525D" w:rsidP="00F9525D">
            <w:pPr>
              <w:pStyle w:val="Tabletext"/>
              <w:rPr>
                <w:b/>
              </w:rPr>
            </w:pPr>
            <w:r w:rsidRPr="00482A36">
              <w:rPr>
                <w:b/>
              </w:rPr>
              <w:t>Pooled PRIMROSE 1 and PRIMROSE 2</w:t>
            </w:r>
          </w:p>
        </w:tc>
      </w:tr>
      <w:tr w:rsidR="00F9525D" w:rsidRPr="00482A36" w14:paraId="22689EB7" w14:textId="77777777" w:rsidTr="002B4C8A">
        <w:trPr>
          <w:trHeight w:val="20"/>
        </w:trPr>
        <w:tc>
          <w:tcPr>
            <w:tcW w:w="5000" w:type="pct"/>
            <w:gridSpan w:val="7"/>
            <w:shd w:val="clear" w:color="auto" w:fill="FFFFFF" w:themeFill="background1"/>
            <w:vAlign w:val="center"/>
          </w:tcPr>
          <w:p w14:paraId="321673E3" w14:textId="77777777" w:rsidR="00F9525D" w:rsidRPr="00482A36" w:rsidRDefault="00F9525D" w:rsidP="00F9525D">
            <w:pPr>
              <w:pStyle w:val="Tabletext"/>
              <w:rPr>
                <w:b/>
              </w:rPr>
            </w:pPr>
            <w:r w:rsidRPr="00482A36">
              <w:rPr>
                <w:b/>
              </w:rPr>
              <w:t>Week 24</w:t>
            </w:r>
          </w:p>
        </w:tc>
      </w:tr>
      <w:tr w:rsidR="00F9525D" w:rsidRPr="00482A36" w14:paraId="72468705" w14:textId="77777777" w:rsidTr="002B4C8A">
        <w:trPr>
          <w:trHeight w:val="20"/>
        </w:trPr>
        <w:tc>
          <w:tcPr>
            <w:tcW w:w="784" w:type="pct"/>
            <w:shd w:val="clear" w:color="auto" w:fill="FFFFFF" w:themeFill="background1"/>
            <w:vAlign w:val="center"/>
          </w:tcPr>
          <w:p w14:paraId="229D89E4" w14:textId="77777777" w:rsidR="00F9525D" w:rsidRPr="00482A36" w:rsidRDefault="00F9525D" w:rsidP="00F9525D">
            <w:pPr>
              <w:pStyle w:val="Tabletext"/>
            </w:pPr>
            <w:r w:rsidRPr="00482A36">
              <w:t>n/N</w:t>
            </w:r>
          </w:p>
        </w:tc>
        <w:tc>
          <w:tcPr>
            <w:tcW w:w="713" w:type="pct"/>
            <w:shd w:val="clear" w:color="auto" w:fill="FFFFFF" w:themeFill="background1"/>
            <w:vAlign w:val="center"/>
          </w:tcPr>
          <w:p w14:paraId="10BFC2E4" w14:textId="77777777" w:rsidR="00F9525D" w:rsidRPr="00482A36" w:rsidRDefault="00F9525D" w:rsidP="00444E8A">
            <w:pPr>
              <w:pStyle w:val="Tabletext"/>
              <w:jc w:val="center"/>
              <w:rPr>
                <w:b/>
                <w:bCs/>
              </w:rPr>
            </w:pPr>
            <w:r w:rsidRPr="00482A36">
              <w:t>108/191</w:t>
            </w:r>
          </w:p>
        </w:tc>
        <w:tc>
          <w:tcPr>
            <w:tcW w:w="675" w:type="pct"/>
            <w:shd w:val="clear" w:color="auto" w:fill="FFFFFF" w:themeFill="background1"/>
            <w:vAlign w:val="center"/>
          </w:tcPr>
          <w:p w14:paraId="27A45280" w14:textId="77777777" w:rsidR="00F9525D" w:rsidRPr="00482A36" w:rsidRDefault="00F9525D" w:rsidP="00444E8A">
            <w:pPr>
              <w:pStyle w:val="Tabletext"/>
              <w:jc w:val="center"/>
              <w:rPr>
                <w:b/>
                <w:bCs/>
              </w:rPr>
            </w:pPr>
            <w:r w:rsidRPr="00482A36">
              <w:t>149/208</w:t>
            </w:r>
          </w:p>
        </w:tc>
        <w:tc>
          <w:tcPr>
            <w:tcW w:w="750" w:type="pct"/>
            <w:shd w:val="clear" w:color="auto" w:fill="FFFFFF" w:themeFill="background1"/>
            <w:vAlign w:val="center"/>
          </w:tcPr>
          <w:p w14:paraId="65FDB407" w14:textId="77777777" w:rsidR="00F9525D" w:rsidRPr="00482A36" w:rsidRDefault="00F9525D" w:rsidP="00444E8A">
            <w:pPr>
              <w:pStyle w:val="Tabletext"/>
              <w:jc w:val="center"/>
              <w:rPr>
                <w:b/>
                <w:bCs/>
              </w:rPr>
            </w:pPr>
            <w:r w:rsidRPr="00482A36">
              <w:t>155/208</w:t>
            </w:r>
          </w:p>
        </w:tc>
        <w:tc>
          <w:tcPr>
            <w:tcW w:w="750" w:type="pct"/>
            <w:shd w:val="clear" w:color="auto" w:fill="FFFFFF" w:themeFill="background1"/>
            <w:vAlign w:val="center"/>
          </w:tcPr>
          <w:p w14:paraId="50F06997" w14:textId="77777777" w:rsidR="00F9525D" w:rsidRPr="00482A36" w:rsidRDefault="00F9525D" w:rsidP="00444E8A">
            <w:pPr>
              <w:pStyle w:val="Tabletext"/>
              <w:jc w:val="center"/>
              <w:rPr>
                <w:b/>
                <w:bCs/>
              </w:rPr>
            </w:pPr>
            <w:r w:rsidRPr="00482A36">
              <w:t>169/200</w:t>
            </w:r>
          </w:p>
        </w:tc>
        <w:tc>
          <w:tcPr>
            <w:tcW w:w="601" w:type="pct"/>
            <w:shd w:val="clear" w:color="auto" w:fill="FFFFFF" w:themeFill="background1"/>
            <w:vAlign w:val="center"/>
          </w:tcPr>
          <w:p w14:paraId="320F9D5F" w14:textId="77777777" w:rsidR="00F9525D" w:rsidRPr="00482A36" w:rsidRDefault="00F9525D" w:rsidP="00444E8A">
            <w:pPr>
              <w:pStyle w:val="Tabletext"/>
              <w:jc w:val="center"/>
              <w:rPr>
                <w:b/>
                <w:bCs/>
              </w:rPr>
            </w:pPr>
            <w:r w:rsidRPr="00482A36">
              <w:t>66/205</w:t>
            </w:r>
          </w:p>
        </w:tc>
        <w:tc>
          <w:tcPr>
            <w:tcW w:w="727" w:type="pct"/>
            <w:shd w:val="clear" w:color="auto" w:fill="FFFFFF" w:themeFill="background1"/>
            <w:vAlign w:val="center"/>
          </w:tcPr>
          <w:p w14:paraId="1C152559" w14:textId="77777777" w:rsidR="00F9525D" w:rsidRPr="00482A36" w:rsidRDefault="00F9525D" w:rsidP="00444E8A">
            <w:pPr>
              <w:pStyle w:val="Tabletext"/>
              <w:jc w:val="center"/>
            </w:pPr>
          </w:p>
        </w:tc>
      </w:tr>
      <w:tr w:rsidR="00F9525D" w:rsidRPr="00482A36" w14:paraId="052EB9D0" w14:textId="77777777" w:rsidTr="002B4C8A">
        <w:trPr>
          <w:trHeight w:val="20"/>
        </w:trPr>
        <w:tc>
          <w:tcPr>
            <w:tcW w:w="784" w:type="pct"/>
            <w:shd w:val="clear" w:color="auto" w:fill="FFFFFF" w:themeFill="background1"/>
            <w:vAlign w:val="center"/>
          </w:tcPr>
          <w:p w14:paraId="16B6B3CB" w14:textId="77777777" w:rsidR="00F9525D" w:rsidRPr="00482A36" w:rsidRDefault="00F9525D" w:rsidP="00F9525D">
            <w:pPr>
              <w:pStyle w:val="Tabletext"/>
            </w:pPr>
            <w:r w:rsidRPr="00482A36">
              <w:t>% (95% CI)</w:t>
            </w:r>
          </w:p>
        </w:tc>
        <w:tc>
          <w:tcPr>
            <w:tcW w:w="713" w:type="pct"/>
            <w:shd w:val="clear" w:color="auto" w:fill="FFFFFF" w:themeFill="background1"/>
            <w:vAlign w:val="center"/>
          </w:tcPr>
          <w:p w14:paraId="7A1C38A7" w14:textId="77777777" w:rsidR="00F9525D" w:rsidRPr="00482A36" w:rsidRDefault="00F9525D" w:rsidP="00444E8A">
            <w:pPr>
              <w:pStyle w:val="Tabletext"/>
              <w:jc w:val="center"/>
              <w:rPr>
                <w:b/>
                <w:bCs/>
              </w:rPr>
            </w:pPr>
            <w:r w:rsidRPr="00482A36">
              <w:t>56% (49, 64)</w:t>
            </w:r>
          </w:p>
        </w:tc>
        <w:tc>
          <w:tcPr>
            <w:tcW w:w="675" w:type="pct"/>
            <w:shd w:val="clear" w:color="auto" w:fill="FFFFFF" w:themeFill="background1"/>
            <w:vAlign w:val="center"/>
          </w:tcPr>
          <w:p w14:paraId="27B64A91" w14:textId="77777777" w:rsidR="00F9525D" w:rsidRPr="00482A36" w:rsidRDefault="00F9525D" w:rsidP="00444E8A">
            <w:pPr>
              <w:pStyle w:val="Tabletext"/>
              <w:jc w:val="center"/>
              <w:rPr>
                <w:b/>
                <w:bCs/>
              </w:rPr>
            </w:pPr>
            <w:r w:rsidRPr="00482A36">
              <w:t>72% (65, 78)</w:t>
            </w:r>
          </w:p>
        </w:tc>
        <w:tc>
          <w:tcPr>
            <w:tcW w:w="750" w:type="pct"/>
            <w:shd w:val="clear" w:color="auto" w:fill="FFFFFF" w:themeFill="background1"/>
            <w:vAlign w:val="center"/>
          </w:tcPr>
          <w:p w14:paraId="175765BC" w14:textId="77777777" w:rsidR="00F9525D" w:rsidRPr="00482A36" w:rsidRDefault="00F9525D" w:rsidP="00444E8A">
            <w:pPr>
              <w:pStyle w:val="Tabletext"/>
              <w:jc w:val="center"/>
              <w:rPr>
                <w:b/>
                <w:bCs/>
              </w:rPr>
            </w:pPr>
            <w:r w:rsidRPr="00482A36">
              <w:t>74% (68, 80)</w:t>
            </w:r>
          </w:p>
        </w:tc>
        <w:tc>
          <w:tcPr>
            <w:tcW w:w="750" w:type="pct"/>
            <w:shd w:val="clear" w:color="auto" w:fill="FFFFFF" w:themeFill="background1"/>
            <w:vAlign w:val="center"/>
          </w:tcPr>
          <w:p w14:paraId="0EE69499" w14:textId="77777777" w:rsidR="00F9525D" w:rsidRPr="00482A36" w:rsidRDefault="00F9525D" w:rsidP="00444E8A">
            <w:pPr>
              <w:pStyle w:val="Tabletext"/>
              <w:jc w:val="center"/>
              <w:rPr>
                <w:b/>
                <w:bCs/>
              </w:rPr>
            </w:pPr>
            <w:r w:rsidRPr="00482A36">
              <w:t>84% (79, 89)</w:t>
            </w:r>
          </w:p>
        </w:tc>
        <w:tc>
          <w:tcPr>
            <w:tcW w:w="601" w:type="pct"/>
            <w:shd w:val="clear" w:color="auto" w:fill="FFFFFF" w:themeFill="background1"/>
            <w:vAlign w:val="center"/>
          </w:tcPr>
          <w:p w14:paraId="3EDF6702" w14:textId="77777777" w:rsidR="00F9525D" w:rsidRPr="00482A36" w:rsidRDefault="00F9525D" w:rsidP="00444E8A">
            <w:pPr>
              <w:pStyle w:val="Tabletext"/>
              <w:jc w:val="center"/>
              <w:rPr>
                <w:b/>
                <w:bCs/>
              </w:rPr>
            </w:pPr>
            <w:r w:rsidRPr="00482A36">
              <w:t>32% (26, 39)</w:t>
            </w:r>
          </w:p>
        </w:tc>
        <w:tc>
          <w:tcPr>
            <w:tcW w:w="727" w:type="pct"/>
            <w:shd w:val="clear" w:color="auto" w:fill="FFFFFF" w:themeFill="background1"/>
            <w:vAlign w:val="center"/>
          </w:tcPr>
          <w:p w14:paraId="1B7F7EC3" w14:textId="77777777" w:rsidR="00F9525D" w:rsidRPr="00482A36" w:rsidRDefault="00F9525D" w:rsidP="00444E8A">
            <w:pPr>
              <w:pStyle w:val="Tabletext"/>
              <w:jc w:val="center"/>
            </w:pPr>
          </w:p>
        </w:tc>
      </w:tr>
      <w:tr w:rsidR="00F9525D" w:rsidRPr="00482A36" w14:paraId="30BC07CC" w14:textId="77777777" w:rsidTr="002B4C8A">
        <w:trPr>
          <w:trHeight w:val="20"/>
        </w:trPr>
        <w:tc>
          <w:tcPr>
            <w:tcW w:w="784" w:type="pct"/>
            <w:shd w:val="clear" w:color="auto" w:fill="FFFFFF" w:themeFill="background1"/>
            <w:vAlign w:val="center"/>
          </w:tcPr>
          <w:p w14:paraId="6C9B122A" w14:textId="77777777" w:rsidR="00F9525D" w:rsidRPr="00482A36" w:rsidRDefault="00F9525D" w:rsidP="00F9525D">
            <w:pPr>
              <w:pStyle w:val="Tabletext"/>
            </w:pPr>
            <w:r w:rsidRPr="00482A36">
              <w:t>RD (95% CI)</w:t>
            </w:r>
            <w:r w:rsidRPr="006D3D30">
              <w:rPr>
                <w:vertAlign w:val="superscript"/>
              </w:rPr>
              <w:t>*</w:t>
            </w:r>
          </w:p>
        </w:tc>
        <w:tc>
          <w:tcPr>
            <w:tcW w:w="713" w:type="pct"/>
            <w:shd w:val="clear" w:color="auto" w:fill="FFFFFF" w:themeFill="background1"/>
            <w:vAlign w:val="center"/>
          </w:tcPr>
          <w:p w14:paraId="1414B88A" w14:textId="3143370A" w:rsidR="00F9525D" w:rsidRPr="00482A36" w:rsidRDefault="00DC65CF" w:rsidP="00444E8A">
            <w:pPr>
              <w:pStyle w:val="Tabletext"/>
              <w:jc w:val="center"/>
              <w:rPr>
                <w:b/>
                <w:bCs/>
              </w:rPr>
            </w:pPr>
            <w:r w:rsidRPr="00482A36">
              <w:rPr>
                <w:b/>
              </w:rPr>
              <w:t>0.</w:t>
            </w:r>
            <w:r w:rsidR="00F9525D" w:rsidRPr="00482A36">
              <w:rPr>
                <w:b/>
              </w:rPr>
              <w:t>2 (</w:t>
            </w:r>
            <w:r w:rsidRPr="00482A36">
              <w:rPr>
                <w:b/>
              </w:rPr>
              <w:t>0.</w:t>
            </w:r>
            <w:r w:rsidR="00F9525D" w:rsidRPr="00482A36">
              <w:rPr>
                <w:b/>
              </w:rPr>
              <w:t xml:space="preserve">1, </w:t>
            </w:r>
            <w:r w:rsidRPr="00482A36">
              <w:rPr>
                <w:b/>
              </w:rPr>
              <w:t>0.</w:t>
            </w:r>
            <w:r w:rsidR="00F9525D" w:rsidRPr="00482A36">
              <w:rPr>
                <w:b/>
              </w:rPr>
              <w:t>3)</w:t>
            </w:r>
          </w:p>
        </w:tc>
        <w:tc>
          <w:tcPr>
            <w:tcW w:w="675" w:type="pct"/>
            <w:shd w:val="clear" w:color="auto" w:fill="FFFFFF" w:themeFill="background1"/>
            <w:vAlign w:val="center"/>
          </w:tcPr>
          <w:p w14:paraId="79F85388" w14:textId="6D2FE2EE" w:rsidR="00F9525D" w:rsidRPr="00482A36" w:rsidRDefault="00DC65CF" w:rsidP="00444E8A">
            <w:pPr>
              <w:pStyle w:val="Tabletext"/>
              <w:jc w:val="center"/>
              <w:rPr>
                <w:b/>
                <w:bCs/>
              </w:rPr>
            </w:pPr>
            <w:r w:rsidRPr="00482A36">
              <w:rPr>
                <w:b/>
              </w:rPr>
              <w:t>0.</w:t>
            </w:r>
            <w:r w:rsidR="00F9525D" w:rsidRPr="00482A36">
              <w:rPr>
                <w:b/>
              </w:rPr>
              <w:t>4 (</w:t>
            </w:r>
            <w:r w:rsidRPr="00482A36">
              <w:rPr>
                <w:b/>
              </w:rPr>
              <w:t>0.</w:t>
            </w:r>
            <w:r w:rsidR="00F9525D" w:rsidRPr="00482A36">
              <w:rPr>
                <w:b/>
              </w:rPr>
              <w:t xml:space="preserve">3, </w:t>
            </w:r>
            <w:r w:rsidRPr="00482A36">
              <w:rPr>
                <w:b/>
              </w:rPr>
              <w:t>0.5</w:t>
            </w:r>
            <w:r w:rsidR="00F9525D" w:rsidRPr="00482A36">
              <w:rPr>
                <w:b/>
              </w:rPr>
              <w:t>)</w:t>
            </w:r>
          </w:p>
        </w:tc>
        <w:tc>
          <w:tcPr>
            <w:tcW w:w="750" w:type="pct"/>
            <w:shd w:val="clear" w:color="auto" w:fill="FFFFFF" w:themeFill="background1"/>
            <w:vAlign w:val="center"/>
          </w:tcPr>
          <w:p w14:paraId="46A97A99" w14:textId="08984257" w:rsidR="00F9525D" w:rsidRPr="00482A36" w:rsidRDefault="00DC65CF" w:rsidP="00444E8A">
            <w:pPr>
              <w:pStyle w:val="Tabletext"/>
              <w:jc w:val="center"/>
              <w:rPr>
                <w:b/>
                <w:bCs/>
              </w:rPr>
            </w:pPr>
            <w:r w:rsidRPr="00482A36">
              <w:rPr>
                <w:b/>
              </w:rPr>
              <w:t>0.4</w:t>
            </w:r>
            <w:r w:rsidR="00F9525D" w:rsidRPr="00482A36">
              <w:rPr>
                <w:b/>
              </w:rPr>
              <w:t xml:space="preserve"> (</w:t>
            </w:r>
            <w:r w:rsidRPr="00482A36">
              <w:rPr>
                <w:b/>
              </w:rPr>
              <w:t>0.</w:t>
            </w:r>
            <w:r w:rsidR="00F9525D" w:rsidRPr="00482A36">
              <w:rPr>
                <w:b/>
              </w:rPr>
              <w:t xml:space="preserve">3, </w:t>
            </w:r>
            <w:r w:rsidRPr="00482A36">
              <w:rPr>
                <w:b/>
              </w:rPr>
              <w:t>0.</w:t>
            </w:r>
            <w:r w:rsidR="00F9525D" w:rsidRPr="00482A36">
              <w:rPr>
                <w:b/>
              </w:rPr>
              <w:t>5)</w:t>
            </w:r>
          </w:p>
        </w:tc>
        <w:tc>
          <w:tcPr>
            <w:tcW w:w="750" w:type="pct"/>
            <w:shd w:val="clear" w:color="auto" w:fill="FFFFFF" w:themeFill="background1"/>
            <w:vAlign w:val="center"/>
          </w:tcPr>
          <w:p w14:paraId="6ED11286" w14:textId="0F813121" w:rsidR="00F9525D" w:rsidRPr="00482A36" w:rsidRDefault="00DC65CF" w:rsidP="00444E8A">
            <w:pPr>
              <w:pStyle w:val="Tabletext"/>
              <w:jc w:val="center"/>
              <w:rPr>
                <w:b/>
                <w:bCs/>
              </w:rPr>
            </w:pPr>
            <w:r w:rsidRPr="00482A36">
              <w:rPr>
                <w:b/>
              </w:rPr>
              <w:t>0.</w:t>
            </w:r>
            <w:r w:rsidR="00F9525D" w:rsidRPr="00482A36">
              <w:rPr>
                <w:b/>
              </w:rPr>
              <w:t>5 (</w:t>
            </w:r>
            <w:r w:rsidRPr="00482A36">
              <w:rPr>
                <w:b/>
              </w:rPr>
              <w:t>0.</w:t>
            </w:r>
            <w:r w:rsidR="00F9525D" w:rsidRPr="00482A36">
              <w:rPr>
                <w:b/>
              </w:rPr>
              <w:t>4,</w:t>
            </w:r>
            <w:r w:rsidRPr="00482A36">
              <w:rPr>
                <w:b/>
              </w:rPr>
              <w:t xml:space="preserve"> 0.</w:t>
            </w:r>
            <w:r w:rsidR="00F9525D" w:rsidRPr="00482A36">
              <w:rPr>
                <w:b/>
              </w:rPr>
              <w:t>6)</w:t>
            </w:r>
          </w:p>
        </w:tc>
        <w:tc>
          <w:tcPr>
            <w:tcW w:w="601" w:type="pct"/>
            <w:shd w:val="clear" w:color="auto" w:fill="FFFFFF" w:themeFill="background1"/>
            <w:vAlign w:val="center"/>
          </w:tcPr>
          <w:p w14:paraId="65C0A1CD" w14:textId="77777777" w:rsidR="00F9525D" w:rsidRPr="00482A36" w:rsidRDefault="00F9525D" w:rsidP="00444E8A">
            <w:pPr>
              <w:pStyle w:val="Tabletext"/>
              <w:jc w:val="center"/>
              <w:rPr>
                <w:b/>
                <w:bCs/>
              </w:rPr>
            </w:pPr>
            <w:r w:rsidRPr="00482A36">
              <w:t>-</w:t>
            </w:r>
          </w:p>
        </w:tc>
        <w:tc>
          <w:tcPr>
            <w:tcW w:w="727" w:type="pct"/>
            <w:shd w:val="clear" w:color="auto" w:fill="FFFFFF" w:themeFill="background1"/>
            <w:vAlign w:val="center"/>
          </w:tcPr>
          <w:p w14:paraId="2A0C30E2" w14:textId="77777777" w:rsidR="00F9525D" w:rsidRPr="00482A36" w:rsidRDefault="00F9525D" w:rsidP="00444E8A">
            <w:pPr>
              <w:pStyle w:val="Tabletext"/>
              <w:jc w:val="center"/>
            </w:pPr>
          </w:p>
        </w:tc>
      </w:tr>
      <w:tr w:rsidR="00F9525D" w:rsidRPr="00482A36" w14:paraId="1AC7C421" w14:textId="77777777" w:rsidTr="002B4C8A">
        <w:trPr>
          <w:trHeight w:val="20"/>
        </w:trPr>
        <w:tc>
          <w:tcPr>
            <w:tcW w:w="784" w:type="pct"/>
            <w:shd w:val="clear" w:color="auto" w:fill="FFFFFF" w:themeFill="background1"/>
            <w:vAlign w:val="center"/>
          </w:tcPr>
          <w:p w14:paraId="3883F1B4" w14:textId="77777777" w:rsidR="00F9525D" w:rsidRPr="00482A36" w:rsidRDefault="00F9525D" w:rsidP="00F9525D">
            <w:pPr>
              <w:pStyle w:val="Tabletext"/>
            </w:pPr>
            <w:r w:rsidRPr="00482A36">
              <w:t>OR (95% CI)</w:t>
            </w:r>
            <w:r w:rsidRPr="006D3D30">
              <w:rPr>
                <w:vertAlign w:val="superscript"/>
              </w:rPr>
              <w:t>*</w:t>
            </w:r>
          </w:p>
        </w:tc>
        <w:tc>
          <w:tcPr>
            <w:tcW w:w="713" w:type="pct"/>
            <w:shd w:val="clear" w:color="auto" w:fill="FFFFFF" w:themeFill="background1"/>
            <w:vAlign w:val="center"/>
          </w:tcPr>
          <w:p w14:paraId="38DC6301" w14:textId="77777777" w:rsidR="00F9525D" w:rsidRPr="00482A36" w:rsidRDefault="00F9525D" w:rsidP="00444E8A">
            <w:pPr>
              <w:pStyle w:val="Tabletext"/>
              <w:jc w:val="center"/>
              <w:rPr>
                <w:b/>
                <w:bCs/>
              </w:rPr>
            </w:pPr>
            <w:r w:rsidRPr="00482A36">
              <w:rPr>
                <w:b/>
              </w:rPr>
              <w:t>2.7 (2, 4)</w:t>
            </w:r>
          </w:p>
        </w:tc>
        <w:tc>
          <w:tcPr>
            <w:tcW w:w="675" w:type="pct"/>
            <w:shd w:val="clear" w:color="auto" w:fill="FFFFFF" w:themeFill="background1"/>
            <w:vAlign w:val="center"/>
          </w:tcPr>
          <w:p w14:paraId="79CEE451" w14:textId="77777777" w:rsidR="00F9525D" w:rsidRPr="00482A36" w:rsidRDefault="00F9525D" w:rsidP="00444E8A">
            <w:pPr>
              <w:pStyle w:val="Tabletext"/>
              <w:jc w:val="center"/>
              <w:rPr>
                <w:b/>
                <w:bCs/>
              </w:rPr>
            </w:pPr>
            <w:r w:rsidRPr="00482A36">
              <w:rPr>
                <w:b/>
              </w:rPr>
              <w:t>5.5 (4, 8)</w:t>
            </w:r>
          </w:p>
        </w:tc>
        <w:tc>
          <w:tcPr>
            <w:tcW w:w="750" w:type="pct"/>
            <w:shd w:val="clear" w:color="auto" w:fill="FFFFFF" w:themeFill="background1"/>
            <w:vAlign w:val="center"/>
          </w:tcPr>
          <w:p w14:paraId="1119F828" w14:textId="77777777" w:rsidR="00F9525D" w:rsidRPr="00482A36" w:rsidRDefault="00F9525D" w:rsidP="00444E8A">
            <w:pPr>
              <w:pStyle w:val="Tabletext"/>
              <w:jc w:val="center"/>
              <w:rPr>
                <w:b/>
                <w:bCs/>
              </w:rPr>
            </w:pPr>
            <w:r w:rsidRPr="00482A36">
              <w:rPr>
                <w:b/>
              </w:rPr>
              <w:t>6.0 (4, 9)</w:t>
            </w:r>
          </w:p>
        </w:tc>
        <w:tc>
          <w:tcPr>
            <w:tcW w:w="750" w:type="pct"/>
            <w:shd w:val="clear" w:color="auto" w:fill="FFFFFF" w:themeFill="background1"/>
            <w:vAlign w:val="center"/>
          </w:tcPr>
          <w:p w14:paraId="2C51CC68" w14:textId="77777777" w:rsidR="00F9525D" w:rsidRPr="00482A36" w:rsidRDefault="00F9525D" w:rsidP="00444E8A">
            <w:pPr>
              <w:pStyle w:val="Tabletext"/>
              <w:jc w:val="center"/>
              <w:rPr>
                <w:b/>
                <w:bCs/>
              </w:rPr>
            </w:pPr>
            <w:r w:rsidRPr="00482A36">
              <w:rPr>
                <w:b/>
              </w:rPr>
              <w:t>10.8 (7, 17)</w:t>
            </w:r>
          </w:p>
        </w:tc>
        <w:tc>
          <w:tcPr>
            <w:tcW w:w="601" w:type="pct"/>
            <w:shd w:val="clear" w:color="auto" w:fill="FFFFFF" w:themeFill="background1"/>
            <w:vAlign w:val="center"/>
          </w:tcPr>
          <w:p w14:paraId="591B7C42" w14:textId="77777777" w:rsidR="00F9525D" w:rsidRPr="00482A36" w:rsidRDefault="00F9525D" w:rsidP="00444E8A">
            <w:pPr>
              <w:pStyle w:val="Tabletext"/>
              <w:jc w:val="center"/>
              <w:rPr>
                <w:b/>
                <w:bCs/>
              </w:rPr>
            </w:pPr>
            <w:r w:rsidRPr="00482A36">
              <w:t>-</w:t>
            </w:r>
          </w:p>
        </w:tc>
        <w:tc>
          <w:tcPr>
            <w:tcW w:w="727" w:type="pct"/>
            <w:shd w:val="clear" w:color="auto" w:fill="FFFFFF" w:themeFill="background1"/>
            <w:vAlign w:val="center"/>
          </w:tcPr>
          <w:p w14:paraId="0E7ADEF3" w14:textId="77777777" w:rsidR="00F9525D" w:rsidRPr="00482A36" w:rsidRDefault="00F9525D" w:rsidP="00444E8A">
            <w:pPr>
              <w:pStyle w:val="Tabletext"/>
              <w:jc w:val="center"/>
            </w:pPr>
          </w:p>
        </w:tc>
      </w:tr>
      <w:tr w:rsidR="00F9525D" w:rsidRPr="00482A36" w14:paraId="5191CDDD" w14:textId="77777777" w:rsidTr="002B4C8A">
        <w:trPr>
          <w:trHeight w:val="20"/>
        </w:trPr>
        <w:tc>
          <w:tcPr>
            <w:tcW w:w="5000" w:type="pct"/>
            <w:gridSpan w:val="7"/>
            <w:shd w:val="clear" w:color="auto" w:fill="FFFFFF" w:themeFill="background1"/>
            <w:vAlign w:val="center"/>
          </w:tcPr>
          <w:p w14:paraId="7CBBF423" w14:textId="77777777" w:rsidR="00F9525D" w:rsidRPr="00482A36" w:rsidRDefault="00F9525D" w:rsidP="00F9525D">
            <w:pPr>
              <w:pStyle w:val="Tabletext"/>
              <w:rPr>
                <w:b/>
                <w:bCs/>
              </w:rPr>
            </w:pPr>
            <w:r w:rsidRPr="00482A36">
              <w:rPr>
                <w:b/>
                <w:bCs/>
              </w:rPr>
              <w:t>Week 52</w:t>
            </w:r>
          </w:p>
        </w:tc>
      </w:tr>
      <w:tr w:rsidR="00F9525D" w:rsidRPr="00AB6295" w14:paraId="09BE961E" w14:textId="77777777" w:rsidTr="002B4C8A">
        <w:trPr>
          <w:trHeight w:val="20"/>
        </w:trPr>
        <w:tc>
          <w:tcPr>
            <w:tcW w:w="784" w:type="pct"/>
            <w:shd w:val="clear" w:color="auto" w:fill="FFFFFF" w:themeFill="background1"/>
            <w:vAlign w:val="center"/>
          </w:tcPr>
          <w:p w14:paraId="61936788" w14:textId="77777777" w:rsidR="00F9525D" w:rsidRPr="00AB6295" w:rsidRDefault="00F9525D" w:rsidP="00F9525D">
            <w:pPr>
              <w:pStyle w:val="Tabletext"/>
              <w:rPr>
                <w:iCs/>
              </w:rPr>
            </w:pPr>
            <w:r w:rsidRPr="00AB6295">
              <w:rPr>
                <w:iCs/>
              </w:rPr>
              <w:t>N (%) continuing</w:t>
            </w:r>
          </w:p>
        </w:tc>
        <w:tc>
          <w:tcPr>
            <w:tcW w:w="713" w:type="pct"/>
            <w:shd w:val="clear" w:color="auto" w:fill="FFFFFF" w:themeFill="background1"/>
            <w:vAlign w:val="center"/>
          </w:tcPr>
          <w:p w14:paraId="6EF7BAD9" w14:textId="77777777" w:rsidR="00F9525D" w:rsidRPr="00AB6295" w:rsidRDefault="00F9525D" w:rsidP="00444E8A">
            <w:pPr>
              <w:pStyle w:val="Tabletext"/>
              <w:jc w:val="center"/>
              <w:rPr>
                <w:iCs/>
              </w:rPr>
            </w:pPr>
            <w:r w:rsidRPr="00AB6295">
              <w:rPr>
                <w:iCs/>
              </w:rPr>
              <w:t>140 (73%)</w:t>
            </w:r>
          </w:p>
        </w:tc>
        <w:tc>
          <w:tcPr>
            <w:tcW w:w="675" w:type="pct"/>
            <w:shd w:val="clear" w:color="auto" w:fill="FFFFFF" w:themeFill="background1"/>
            <w:vAlign w:val="center"/>
          </w:tcPr>
          <w:p w14:paraId="30C80CFF" w14:textId="77777777" w:rsidR="00F9525D" w:rsidRPr="00AB6295" w:rsidRDefault="00F9525D" w:rsidP="00444E8A">
            <w:pPr>
              <w:pStyle w:val="Tabletext"/>
              <w:jc w:val="center"/>
              <w:rPr>
                <w:iCs/>
              </w:rPr>
            </w:pPr>
            <w:r w:rsidRPr="00AB6295">
              <w:rPr>
                <w:iCs/>
              </w:rPr>
              <w:t>144 (69%)</w:t>
            </w:r>
          </w:p>
        </w:tc>
        <w:tc>
          <w:tcPr>
            <w:tcW w:w="750" w:type="pct"/>
            <w:shd w:val="clear" w:color="auto" w:fill="FFFFFF" w:themeFill="background1"/>
            <w:vAlign w:val="center"/>
          </w:tcPr>
          <w:p w14:paraId="05A7575A" w14:textId="77777777" w:rsidR="00F9525D" w:rsidRPr="00AB6295" w:rsidRDefault="00F9525D" w:rsidP="00444E8A">
            <w:pPr>
              <w:pStyle w:val="Tabletext"/>
              <w:jc w:val="center"/>
              <w:rPr>
                <w:iCs/>
              </w:rPr>
            </w:pPr>
            <w:r w:rsidRPr="00AB6295">
              <w:rPr>
                <w:iCs/>
              </w:rPr>
              <w:t>163 (78%)</w:t>
            </w:r>
          </w:p>
        </w:tc>
        <w:tc>
          <w:tcPr>
            <w:tcW w:w="750" w:type="pct"/>
            <w:shd w:val="clear" w:color="auto" w:fill="FFFFFF" w:themeFill="background1"/>
            <w:vAlign w:val="center"/>
          </w:tcPr>
          <w:p w14:paraId="7FCEBA75" w14:textId="77777777" w:rsidR="00F9525D" w:rsidRPr="00AB6295" w:rsidRDefault="00F9525D" w:rsidP="00444E8A">
            <w:pPr>
              <w:pStyle w:val="Tabletext"/>
              <w:jc w:val="center"/>
              <w:rPr>
                <w:iCs/>
              </w:rPr>
            </w:pPr>
            <w:r w:rsidRPr="00AB6295">
              <w:rPr>
                <w:iCs/>
              </w:rPr>
              <w:t>149 (75%)</w:t>
            </w:r>
          </w:p>
        </w:tc>
        <w:tc>
          <w:tcPr>
            <w:tcW w:w="601" w:type="pct"/>
            <w:shd w:val="clear" w:color="auto" w:fill="FFFFFF" w:themeFill="background1"/>
            <w:vAlign w:val="center"/>
          </w:tcPr>
          <w:p w14:paraId="38D4257F" w14:textId="7A731A29" w:rsidR="00F9525D" w:rsidRPr="00AB6295" w:rsidRDefault="00F9525D" w:rsidP="00444E8A">
            <w:pPr>
              <w:pStyle w:val="Tabletext"/>
              <w:jc w:val="center"/>
              <w:rPr>
                <w:iCs/>
              </w:rPr>
            </w:pPr>
            <w:r w:rsidRPr="00AB6295">
              <w:rPr>
                <w:bCs/>
                <w:iCs/>
              </w:rPr>
              <w:t>65 (63%)</w:t>
            </w:r>
          </w:p>
        </w:tc>
        <w:tc>
          <w:tcPr>
            <w:tcW w:w="727" w:type="pct"/>
            <w:shd w:val="clear" w:color="auto" w:fill="FFFFFF" w:themeFill="background1"/>
            <w:vAlign w:val="center"/>
          </w:tcPr>
          <w:p w14:paraId="3DAF50E1" w14:textId="77777777" w:rsidR="00F9525D" w:rsidRPr="00AB6295" w:rsidRDefault="00F9525D" w:rsidP="00444E8A">
            <w:pPr>
              <w:pStyle w:val="Tabletext"/>
              <w:jc w:val="center"/>
              <w:rPr>
                <w:iCs/>
              </w:rPr>
            </w:pPr>
            <w:r w:rsidRPr="00AB6295">
              <w:rPr>
                <w:iCs/>
              </w:rPr>
              <w:t>123 (60%)</w:t>
            </w:r>
          </w:p>
        </w:tc>
      </w:tr>
      <w:tr w:rsidR="00F9525D" w:rsidRPr="00AB6295" w14:paraId="479C27C5" w14:textId="77777777" w:rsidTr="002B4C8A">
        <w:trPr>
          <w:trHeight w:val="20"/>
        </w:trPr>
        <w:tc>
          <w:tcPr>
            <w:tcW w:w="784" w:type="pct"/>
            <w:shd w:val="clear" w:color="auto" w:fill="FFFFFF" w:themeFill="background1"/>
            <w:vAlign w:val="center"/>
          </w:tcPr>
          <w:p w14:paraId="6F91B039" w14:textId="77777777" w:rsidR="00F9525D" w:rsidRPr="00AB6295" w:rsidRDefault="00F9525D" w:rsidP="00F9525D">
            <w:pPr>
              <w:pStyle w:val="Tabletext"/>
              <w:rPr>
                <w:iCs/>
              </w:rPr>
            </w:pPr>
            <w:r w:rsidRPr="00AB6295">
              <w:rPr>
                <w:iCs/>
              </w:rPr>
              <w:t>n/N (%) continuing with response</w:t>
            </w:r>
          </w:p>
        </w:tc>
        <w:tc>
          <w:tcPr>
            <w:tcW w:w="713" w:type="pct"/>
            <w:shd w:val="clear" w:color="auto" w:fill="FFFFFF" w:themeFill="background1"/>
            <w:vAlign w:val="center"/>
          </w:tcPr>
          <w:p w14:paraId="19821478" w14:textId="027018AE" w:rsidR="00F9525D" w:rsidRPr="00AB6295" w:rsidRDefault="00F9525D" w:rsidP="00444E8A">
            <w:pPr>
              <w:pStyle w:val="Tabletext"/>
              <w:jc w:val="center"/>
              <w:rPr>
                <w:iCs/>
              </w:rPr>
            </w:pPr>
            <w:r w:rsidRPr="00AB6295">
              <w:rPr>
                <w:iCs/>
              </w:rPr>
              <w:t>77/140 (55%)</w:t>
            </w:r>
          </w:p>
        </w:tc>
        <w:tc>
          <w:tcPr>
            <w:tcW w:w="675" w:type="pct"/>
            <w:shd w:val="clear" w:color="auto" w:fill="FFFFFF" w:themeFill="background1"/>
            <w:vAlign w:val="center"/>
          </w:tcPr>
          <w:p w14:paraId="02FA3E57" w14:textId="4B28F041" w:rsidR="00F9525D" w:rsidRPr="00AB6295" w:rsidRDefault="00F9525D" w:rsidP="00444E8A">
            <w:pPr>
              <w:pStyle w:val="Tabletext"/>
              <w:jc w:val="center"/>
              <w:rPr>
                <w:iCs/>
              </w:rPr>
            </w:pPr>
            <w:r w:rsidRPr="00AB6295">
              <w:rPr>
                <w:iCs/>
              </w:rPr>
              <w:t>124/144 (86%)</w:t>
            </w:r>
          </w:p>
        </w:tc>
        <w:tc>
          <w:tcPr>
            <w:tcW w:w="750" w:type="pct"/>
            <w:shd w:val="clear" w:color="auto" w:fill="FFFFFF" w:themeFill="background1"/>
            <w:vAlign w:val="center"/>
          </w:tcPr>
          <w:p w14:paraId="1C11C151" w14:textId="7C95D05E" w:rsidR="00F9525D" w:rsidRPr="00AB6295" w:rsidRDefault="00F9525D" w:rsidP="00444E8A">
            <w:pPr>
              <w:pStyle w:val="Tabletext"/>
              <w:jc w:val="center"/>
              <w:rPr>
                <w:iCs/>
              </w:rPr>
            </w:pPr>
            <w:r w:rsidRPr="00AB6295">
              <w:rPr>
                <w:iCs/>
              </w:rPr>
              <w:t>125/163 (77%)</w:t>
            </w:r>
          </w:p>
        </w:tc>
        <w:tc>
          <w:tcPr>
            <w:tcW w:w="750" w:type="pct"/>
            <w:shd w:val="clear" w:color="auto" w:fill="FFFFFF" w:themeFill="background1"/>
            <w:vAlign w:val="center"/>
          </w:tcPr>
          <w:p w14:paraId="49945D80" w14:textId="1A678F6D" w:rsidR="00F9525D" w:rsidRPr="00AB6295" w:rsidRDefault="00F9525D" w:rsidP="00444E8A">
            <w:pPr>
              <w:pStyle w:val="Tabletext"/>
              <w:jc w:val="center"/>
              <w:rPr>
                <w:iCs/>
              </w:rPr>
            </w:pPr>
            <w:r w:rsidRPr="00AB6295">
              <w:rPr>
                <w:iCs/>
              </w:rPr>
              <w:t>134/149 (90%)</w:t>
            </w:r>
          </w:p>
        </w:tc>
        <w:tc>
          <w:tcPr>
            <w:tcW w:w="601" w:type="pct"/>
            <w:shd w:val="clear" w:color="auto" w:fill="FFFFFF" w:themeFill="background1"/>
            <w:vAlign w:val="center"/>
          </w:tcPr>
          <w:p w14:paraId="68ED3E72" w14:textId="6A3A8368" w:rsidR="00F9525D" w:rsidRPr="00AB6295" w:rsidRDefault="00F9525D" w:rsidP="00444E8A">
            <w:pPr>
              <w:pStyle w:val="Tabletext"/>
              <w:jc w:val="center"/>
              <w:rPr>
                <w:iCs/>
              </w:rPr>
            </w:pPr>
            <w:r w:rsidRPr="00AB6295">
              <w:rPr>
                <w:bCs/>
                <w:iCs/>
              </w:rPr>
              <w:t>13/31</w:t>
            </w:r>
            <w:r w:rsidRPr="00AB6295">
              <w:rPr>
                <w:bCs/>
                <w:iCs/>
                <w:vertAlign w:val="superscript"/>
              </w:rPr>
              <w:t xml:space="preserve"> </w:t>
            </w:r>
            <w:r w:rsidRPr="00AB6295">
              <w:rPr>
                <w:bCs/>
                <w:iCs/>
              </w:rPr>
              <w:t>(42%)</w:t>
            </w:r>
          </w:p>
        </w:tc>
        <w:tc>
          <w:tcPr>
            <w:tcW w:w="727" w:type="pct"/>
            <w:shd w:val="clear" w:color="auto" w:fill="FFFFFF" w:themeFill="background1"/>
            <w:vAlign w:val="center"/>
          </w:tcPr>
          <w:p w14:paraId="363919B6" w14:textId="622C3576" w:rsidR="00F9525D" w:rsidRPr="00AB6295" w:rsidRDefault="00F9525D" w:rsidP="00444E8A">
            <w:pPr>
              <w:pStyle w:val="Tabletext"/>
              <w:jc w:val="center"/>
              <w:rPr>
                <w:iCs/>
              </w:rPr>
            </w:pPr>
            <w:r w:rsidRPr="00AB6295">
              <w:rPr>
                <w:iCs/>
              </w:rPr>
              <w:t>97/123 (79%)</w:t>
            </w:r>
          </w:p>
        </w:tc>
      </w:tr>
      <w:tr w:rsidR="00F27EC9" w:rsidRPr="00AB6295" w14:paraId="3097D928" w14:textId="77777777" w:rsidTr="002B4C8A">
        <w:trPr>
          <w:trHeight w:val="20"/>
        </w:trPr>
        <w:tc>
          <w:tcPr>
            <w:tcW w:w="784" w:type="pct"/>
            <w:shd w:val="clear" w:color="auto" w:fill="FFFFFF" w:themeFill="background1"/>
            <w:vAlign w:val="center"/>
          </w:tcPr>
          <w:p w14:paraId="1AE26335" w14:textId="15268C81" w:rsidR="00F27EC9" w:rsidRPr="00AB6295" w:rsidRDefault="00F27EC9" w:rsidP="00F27EC9">
            <w:pPr>
              <w:pStyle w:val="Tabletext"/>
              <w:rPr>
                <w:iCs/>
              </w:rPr>
            </w:pPr>
            <w:r w:rsidRPr="00AB6295">
              <w:t>RD (95% CI)</w:t>
            </w:r>
            <w:r w:rsidRPr="00AB6295">
              <w:rPr>
                <w:vertAlign w:val="superscript"/>
              </w:rPr>
              <w:t>*</w:t>
            </w:r>
            <w:r w:rsidR="00F93A8C" w:rsidRPr="00AB6295">
              <w:rPr>
                <w:vertAlign w:val="superscript"/>
              </w:rPr>
              <w:t xml:space="preserve"> ^</w:t>
            </w:r>
          </w:p>
        </w:tc>
        <w:tc>
          <w:tcPr>
            <w:tcW w:w="713" w:type="pct"/>
            <w:shd w:val="clear" w:color="auto" w:fill="FFFFFF" w:themeFill="background1"/>
            <w:vAlign w:val="center"/>
          </w:tcPr>
          <w:p w14:paraId="7A049A3A" w14:textId="382D1AF4" w:rsidR="00F27EC9" w:rsidRPr="00AB6295" w:rsidRDefault="00F27EC9" w:rsidP="00F27EC9">
            <w:pPr>
              <w:pStyle w:val="Tabletext"/>
              <w:jc w:val="center"/>
              <w:rPr>
                <w:iCs/>
              </w:rPr>
            </w:pPr>
            <w:r w:rsidRPr="00AB6295">
              <w:rPr>
                <w:iCs/>
              </w:rPr>
              <w:t>0.1 (-0.1, 0.3)</w:t>
            </w:r>
          </w:p>
        </w:tc>
        <w:tc>
          <w:tcPr>
            <w:tcW w:w="675" w:type="pct"/>
            <w:shd w:val="clear" w:color="auto" w:fill="FFFFFF" w:themeFill="background1"/>
            <w:vAlign w:val="center"/>
          </w:tcPr>
          <w:p w14:paraId="1D9DA932" w14:textId="65113D6B" w:rsidR="00F27EC9" w:rsidRPr="00AB6295" w:rsidRDefault="00F27EC9" w:rsidP="00F27EC9">
            <w:pPr>
              <w:pStyle w:val="Tabletext"/>
              <w:jc w:val="center"/>
              <w:rPr>
                <w:b/>
                <w:bCs/>
                <w:iCs/>
              </w:rPr>
            </w:pPr>
            <w:r w:rsidRPr="00AB6295">
              <w:rPr>
                <w:b/>
                <w:bCs/>
                <w:iCs/>
              </w:rPr>
              <w:t>0.4 (0.3, 0.6)</w:t>
            </w:r>
          </w:p>
        </w:tc>
        <w:tc>
          <w:tcPr>
            <w:tcW w:w="750" w:type="pct"/>
            <w:shd w:val="clear" w:color="auto" w:fill="FFFFFF" w:themeFill="background1"/>
            <w:vAlign w:val="center"/>
          </w:tcPr>
          <w:p w14:paraId="44709C09" w14:textId="64E17F0B" w:rsidR="00F27EC9" w:rsidRPr="00AB6295" w:rsidRDefault="00F27EC9" w:rsidP="00F27EC9">
            <w:pPr>
              <w:pStyle w:val="Tabletext"/>
              <w:jc w:val="center"/>
              <w:rPr>
                <w:b/>
                <w:bCs/>
                <w:iCs/>
              </w:rPr>
            </w:pPr>
            <w:r w:rsidRPr="00AB6295">
              <w:rPr>
                <w:b/>
                <w:bCs/>
                <w:iCs/>
              </w:rPr>
              <w:t>0.4 (0.2, 0.5)</w:t>
            </w:r>
          </w:p>
        </w:tc>
        <w:tc>
          <w:tcPr>
            <w:tcW w:w="750" w:type="pct"/>
            <w:shd w:val="clear" w:color="auto" w:fill="FFFFFF" w:themeFill="background1"/>
            <w:vAlign w:val="center"/>
          </w:tcPr>
          <w:p w14:paraId="2F1ED9F1" w14:textId="4DF54D4D" w:rsidR="00F27EC9" w:rsidRPr="00AB6295" w:rsidRDefault="00F27EC9" w:rsidP="00F27EC9">
            <w:pPr>
              <w:pStyle w:val="Tabletext"/>
              <w:jc w:val="center"/>
              <w:rPr>
                <w:b/>
                <w:bCs/>
                <w:iCs/>
              </w:rPr>
            </w:pPr>
            <w:r w:rsidRPr="00AB6295">
              <w:rPr>
                <w:b/>
                <w:bCs/>
                <w:iCs/>
              </w:rPr>
              <w:t>0.5 (0.3, 0.7)</w:t>
            </w:r>
          </w:p>
        </w:tc>
        <w:tc>
          <w:tcPr>
            <w:tcW w:w="601" w:type="pct"/>
            <w:shd w:val="clear" w:color="auto" w:fill="FFFFFF" w:themeFill="background1"/>
            <w:vAlign w:val="center"/>
          </w:tcPr>
          <w:p w14:paraId="4D9BAFC4" w14:textId="0411202F" w:rsidR="00F27EC9" w:rsidRPr="00AB6295" w:rsidRDefault="00F27EC9" w:rsidP="00F27EC9">
            <w:pPr>
              <w:pStyle w:val="Tabletext"/>
              <w:jc w:val="center"/>
              <w:rPr>
                <w:bCs/>
                <w:iCs/>
              </w:rPr>
            </w:pPr>
            <w:r w:rsidRPr="00AB6295">
              <w:rPr>
                <w:bCs/>
                <w:iCs/>
              </w:rPr>
              <w:t>-</w:t>
            </w:r>
          </w:p>
        </w:tc>
        <w:tc>
          <w:tcPr>
            <w:tcW w:w="727" w:type="pct"/>
            <w:shd w:val="clear" w:color="auto" w:fill="FFFFFF" w:themeFill="background1"/>
            <w:vAlign w:val="center"/>
          </w:tcPr>
          <w:p w14:paraId="68B2DB66" w14:textId="57EB971D" w:rsidR="00F27EC9" w:rsidRPr="00AB6295" w:rsidRDefault="00F27EC9" w:rsidP="00F27EC9">
            <w:pPr>
              <w:pStyle w:val="Tabletext"/>
              <w:jc w:val="center"/>
              <w:rPr>
                <w:b/>
                <w:iCs/>
              </w:rPr>
            </w:pPr>
            <w:r w:rsidRPr="00AB6295">
              <w:rPr>
                <w:b/>
                <w:iCs/>
              </w:rPr>
              <w:t>0.4 (0.2, 0.6)</w:t>
            </w:r>
          </w:p>
        </w:tc>
      </w:tr>
      <w:tr w:rsidR="00F27EC9" w:rsidRPr="00AB6295" w14:paraId="405373D0" w14:textId="77777777" w:rsidTr="002B4C8A">
        <w:trPr>
          <w:trHeight w:val="20"/>
        </w:trPr>
        <w:tc>
          <w:tcPr>
            <w:tcW w:w="784" w:type="pct"/>
            <w:shd w:val="clear" w:color="auto" w:fill="FFFFFF" w:themeFill="background1"/>
            <w:vAlign w:val="center"/>
          </w:tcPr>
          <w:p w14:paraId="6D4E49E1" w14:textId="02E8F2BB" w:rsidR="00F27EC9" w:rsidRPr="00AB6295" w:rsidRDefault="00F27EC9" w:rsidP="00F27EC9">
            <w:pPr>
              <w:pStyle w:val="Tabletext"/>
              <w:rPr>
                <w:iCs/>
              </w:rPr>
            </w:pPr>
            <w:r w:rsidRPr="00AB6295">
              <w:t>OR (95% CI)</w:t>
            </w:r>
            <w:r w:rsidRPr="00AB6295">
              <w:rPr>
                <w:vertAlign w:val="superscript"/>
              </w:rPr>
              <w:t>*</w:t>
            </w:r>
            <w:r w:rsidR="00F93A8C" w:rsidRPr="00AB6295">
              <w:rPr>
                <w:vertAlign w:val="superscript"/>
              </w:rPr>
              <w:t xml:space="preserve"> ^</w:t>
            </w:r>
          </w:p>
        </w:tc>
        <w:tc>
          <w:tcPr>
            <w:tcW w:w="713" w:type="pct"/>
            <w:shd w:val="clear" w:color="auto" w:fill="FFFFFF" w:themeFill="background1"/>
            <w:vAlign w:val="center"/>
          </w:tcPr>
          <w:p w14:paraId="6F751B4C" w14:textId="24BFB6A3" w:rsidR="00F27EC9" w:rsidRPr="00AB6295" w:rsidRDefault="00F27EC9" w:rsidP="00F27EC9">
            <w:pPr>
              <w:pStyle w:val="Tabletext"/>
              <w:jc w:val="center"/>
              <w:rPr>
                <w:iCs/>
              </w:rPr>
            </w:pPr>
            <w:r w:rsidRPr="00AB6295">
              <w:rPr>
                <w:iCs/>
              </w:rPr>
              <w:t>1.7 (0.8, 3.7)</w:t>
            </w:r>
          </w:p>
        </w:tc>
        <w:tc>
          <w:tcPr>
            <w:tcW w:w="675" w:type="pct"/>
            <w:shd w:val="clear" w:color="auto" w:fill="FFFFFF" w:themeFill="background1"/>
            <w:vAlign w:val="center"/>
          </w:tcPr>
          <w:p w14:paraId="7AA51570" w14:textId="38DB0A80" w:rsidR="00F27EC9" w:rsidRPr="00AB6295" w:rsidRDefault="00F27EC9" w:rsidP="00F27EC9">
            <w:pPr>
              <w:pStyle w:val="Tabletext"/>
              <w:jc w:val="center"/>
              <w:rPr>
                <w:b/>
                <w:bCs/>
                <w:iCs/>
              </w:rPr>
            </w:pPr>
            <w:r w:rsidRPr="00AB6295">
              <w:rPr>
                <w:b/>
                <w:bCs/>
                <w:iCs/>
              </w:rPr>
              <w:t>8.6 (3.6, 20.2)</w:t>
            </w:r>
          </w:p>
        </w:tc>
        <w:tc>
          <w:tcPr>
            <w:tcW w:w="750" w:type="pct"/>
            <w:shd w:val="clear" w:color="auto" w:fill="FFFFFF" w:themeFill="background1"/>
            <w:vAlign w:val="center"/>
          </w:tcPr>
          <w:p w14:paraId="2A345A02" w14:textId="099BAA5C" w:rsidR="00F27EC9" w:rsidRPr="00AB6295" w:rsidRDefault="00F27EC9" w:rsidP="00F27EC9">
            <w:pPr>
              <w:pStyle w:val="Tabletext"/>
              <w:jc w:val="center"/>
              <w:rPr>
                <w:b/>
                <w:bCs/>
                <w:iCs/>
              </w:rPr>
            </w:pPr>
            <w:r w:rsidRPr="00AB6295">
              <w:rPr>
                <w:b/>
                <w:bCs/>
                <w:iCs/>
              </w:rPr>
              <w:t>4.6 (2.0, 10.1)</w:t>
            </w:r>
          </w:p>
        </w:tc>
        <w:tc>
          <w:tcPr>
            <w:tcW w:w="750" w:type="pct"/>
            <w:shd w:val="clear" w:color="auto" w:fill="FFFFFF" w:themeFill="background1"/>
            <w:vAlign w:val="center"/>
          </w:tcPr>
          <w:p w14:paraId="356DBCFE" w14:textId="3350AF0C" w:rsidR="00F27EC9" w:rsidRPr="00AB6295" w:rsidRDefault="00F27EC9" w:rsidP="00F27EC9">
            <w:pPr>
              <w:pStyle w:val="Tabletext"/>
              <w:jc w:val="center"/>
              <w:rPr>
                <w:b/>
                <w:bCs/>
                <w:iCs/>
              </w:rPr>
            </w:pPr>
            <w:r w:rsidRPr="00AB6295">
              <w:rPr>
                <w:b/>
                <w:bCs/>
                <w:iCs/>
              </w:rPr>
              <w:t>12.4 (5.1, 30.1)</w:t>
            </w:r>
          </w:p>
        </w:tc>
        <w:tc>
          <w:tcPr>
            <w:tcW w:w="601" w:type="pct"/>
            <w:shd w:val="clear" w:color="auto" w:fill="FFFFFF" w:themeFill="background1"/>
            <w:vAlign w:val="center"/>
          </w:tcPr>
          <w:p w14:paraId="4DF833F0" w14:textId="39583886" w:rsidR="00F27EC9" w:rsidRPr="00AB6295" w:rsidRDefault="00F27EC9" w:rsidP="00F27EC9">
            <w:pPr>
              <w:pStyle w:val="Tabletext"/>
              <w:jc w:val="center"/>
              <w:rPr>
                <w:bCs/>
                <w:iCs/>
              </w:rPr>
            </w:pPr>
            <w:r w:rsidRPr="00AB6295">
              <w:rPr>
                <w:bCs/>
                <w:iCs/>
              </w:rPr>
              <w:t>-</w:t>
            </w:r>
          </w:p>
        </w:tc>
        <w:tc>
          <w:tcPr>
            <w:tcW w:w="727" w:type="pct"/>
            <w:shd w:val="clear" w:color="auto" w:fill="FFFFFF" w:themeFill="background1"/>
            <w:vAlign w:val="center"/>
          </w:tcPr>
          <w:p w14:paraId="45ED6BF5" w14:textId="78596ACC" w:rsidR="00F27EC9" w:rsidRPr="00AB6295" w:rsidRDefault="00F27EC9" w:rsidP="00F27EC9">
            <w:pPr>
              <w:pStyle w:val="Tabletext"/>
              <w:jc w:val="center"/>
              <w:rPr>
                <w:b/>
                <w:iCs/>
              </w:rPr>
            </w:pPr>
            <w:r w:rsidRPr="00AB6295">
              <w:rPr>
                <w:b/>
                <w:iCs/>
              </w:rPr>
              <w:t>5.2 (2.2, 11.9)</w:t>
            </w:r>
          </w:p>
        </w:tc>
      </w:tr>
    </w:tbl>
    <w:p w14:paraId="2F95F98D" w14:textId="3AC09AAD" w:rsidR="00444E8A" w:rsidRPr="00482A36" w:rsidRDefault="00444E8A" w:rsidP="00444E8A">
      <w:pPr>
        <w:pStyle w:val="TableFigureFooter"/>
        <w:rPr>
          <w:rFonts w:eastAsiaTheme="minorEastAsia"/>
          <w:lang w:eastAsia="en-US"/>
        </w:rPr>
      </w:pPr>
      <w:r w:rsidRPr="00482A36">
        <w:rPr>
          <w:rFonts w:eastAsiaTheme="minorEastAsia"/>
          <w:b/>
          <w:lang w:eastAsia="en-US"/>
        </w:rPr>
        <w:t>Bold</w:t>
      </w:r>
      <w:r w:rsidRPr="00482A36">
        <w:rPr>
          <w:rFonts w:eastAsiaTheme="minorEastAsia"/>
          <w:lang w:eastAsia="en-US"/>
        </w:rPr>
        <w:t xml:space="preserve"> text=statistically significant</w:t>
      </w:r>
    </w:p>
    <w:p w14:paraId="279370E3" w14:textId="2938755B" w:rsidR="00444E8A" w:rsidRPr="00482A36" w:rsidRDefault="00444E8A" w:rsidP="00444E8A">
      <w:pPr>
        <w:pStyle w:val="TableFigureFooter"/>
      </w:pPr>
      <w:r w:rsidRPr="00482A36">
        <w:t xml:space="preserve">Source: Table 28, p102, Table 42, p134, Figure 24, p134 of the submission, Table 4, p125 of P2, W52 CSR, and </w:t>
      </w:r>
      <w:r w:rsidRPr="00AB6295">
        <w:rPr>
          <w:iCs/>
        </w:rPr>
        <w:t>compiled during evaluation</w:t>
      </w:r>
    </w:p>
    <w:p w14:paraId="5E5E860F" w14:textId="05920851" w:rsidR="00444E8A" w:rsidRPr="00482A36" w:rsidRDefault="00444E8A" w:rsidP="00444E8A">
      <w:pPr>
        <w:pStyle w:val="TableFigureFooter"/>
      </w:pPr>
      <w:r w:rsidRPr="00482A36">
        <w:t>ABT=add-back therapy; CI=confidence intervals; FAS=full analysis set; LGX=linzagolix; MBL=menstrual blood loss; N=total number of participants in treatment arm; n=number of participants with reduced MBL; OR=odds ratio; PBO=placebo; RD=risk difference.</w:t>
      </w:r>
    </w:p>
    <w:p w14:paraId="6B49E63B" w14:textId="32BB6E4C" w:rsidR="00444E8A" w:rsidRPr="00482A36" w:rsidRDefault="00444E8A" w:rsidP="00444E8A">
      <w:pPr>
        <w:pStyle w:val="TableFigureFooter"/>
      </w:pPr>
      <w:r w:rsidRPr="001A02AD">
        <w:rPr>
          <w:vertAlign w:val="superscript"/>
        </w:rPr>
        <w:t>#</w:t>
      </w:r>
      <w:r w:rsidRPr="00482A36">
        <w:tab/>
        <w:t>Primary outcome of the trial</w:t>
      </w:r>
      <w:r w:rsidR="001A02AD">
        <w:t>, d</w:t>
      </w:r>
      <w:r w:rsidR="00091231" w:rsidRPr="00482A36">
        <w:t>efined by MBL ≤80 mL and ≥50% reduction from baseline</w:t>
      </w:r>
      <w:r w:rsidR="00091231">
        <w:t xml:space="preserve"> at week 24</w:t>
      </w:r>
      <w:r w:rsidR="001A02AD">
        <w:t>.</w:t>
      </w:r>
    </w:p>
    <w:p w14:paraId="0D125E26" w14:textId="3AEF9A62" w:rsidR="00444E8A" w:rsidRDefault="00444E8A" w:rsidP="00444E8A">
      <w:pPr>
        <w:pStyle w:val="TableFigureFooter"/>
      </w:pPr>
      <w:r w:rsidRPr="001A02AD">
        <w:rPr>
          <w:vertAlign w:val="superscript"/>
        </w:rPr>
        <w:t>*</w:t>
      </w:r>
      <w:r w:rsidRPr="00482A36">
        <w:tab/>
        <w:t>Active treatment arm versus control arm</w:t>
      </w:r>
      <w:r w:rsidR="00F27EC9" w:rsidRPr="00482A36">
        <w:t xml:space="preserve"> (PBO)</w:t>
      </w:r>
      <w:r w:rsidRPr="00482A36">
        <w:t>.</w:t>
      </w:r>
    </w:p>
    <w:p w14:paraId="1502627E" w14:textId="2466B7CE" w:rsidR="001A02AD" w:rsidRPr="00AB6295" w:rsidRDefault="001A02AD" w:rsidP="001A02AD">
      <w:pPr>
        <w:pStyle w:val="TableFigureFooter"/>
        <w:rPr>
          <w:iCs/>
          <w:lang w:eastAsia="en-US"/>
        </w:rPr>
      </w:pPr>
      <w:r w:rsidRPr="00AB6295">
        <w:rPr>
          <w:iCs/>
          <w:vertAlign w:val="superscript"/>
          <w:lang w:eastAsia="en-US"/>
        </w:rPr>
        <w:t>^</w:t>
      </w:r>
      <w:r w:rsidRPr="00AB6295">
        <w:rPr>
          <w:iCs/>
          <w:lang w:eastAsia="en-US"/>
        </w:rPr>
        <w:tab/>
        <w:t>RevMan v5.4 was used to generate results, during the evaluation.</w:t>
      </w:r>
    </w:p>
    <w:p w14:paraId="14B27CE6" w14:textId="77777777" w:rsidR="00444E8A" w:rsidRPr="00482A36" w:rsidRDefault="00444E8A" w:rsidP="00444E8A">
      <w:pPr>
        <w:pStyle w:val="TableFigureFooter"/>
      </w:pPr>
      <w:r w:rsidRPr="00482A36">
        <w:rPr>
          <w:vertAlign w:val="superscript"/>
        </w:rPr>
        <w:t>a</w:t>
      </w:r>
      <w:r w:rsidRPr="00482A36">
        <w:tab/>
        <w:t>100% of patients in the linzagolix 200 mg treatment arm in PRIMROSE 1 and 2, switched to linzagolix 200 mg + ABT at week 24.</w:t>
      </w:r>
    </w:p>
    <w:p w14:paraId="3E30BC57" w14:textId="77777777" w:rsidR="006D3D30" w:rsidRDefault="00444E8A" w:rsidP="00444E8A">
      <w:pPr>
        <w:pStyle w:val="TableFigureFooter"/>
        <w:ind w:left="170" w:hanging="170"/>
      </w:pPr>
      <w:r w:rsidRPr="00482A36">
        <w:rPr>
          <w:vertAlign w:val="superscript"/>
        </w:rPr>
        <w:t>b</w:t>
      </w:r>
      <w:r w:rsidRPr="00482A36">
        <w:tab/>
        <w:t>50% and 100% of placebo patients in PRIMROSE 1 and PRIMROSE 2, respectively, transitioned to linzagolix 200 mg + ABT at week 24.</w:t>
      </w:r>
    </w:p>
    <w:p w14:paraId="1E6E33A9" w14:textId="7E1A326A" w:rsidR="00444E8A" w:rsidRPr="00616367" w:rsidRDefault="006D3D30" w:rsidP="006D3D30">
      <w:pPr>
        <w:pStyle w:val="TableFigureFooter"/>
        <w:ind w:left="170" w:hanging="170"/>
        <w:rPr>
          <w:iCs/>
        </w:rPr>
      </w:pPr>
      <w:r w:rsidRPr="00482A36">
        <w:rPr>
          <w:vertAlign w:val="superscript"/>
        </w:rPr>
        <w:t xml:space="preserve">c </w:t>
      </w:r>
      <w:r w:rsidRPr="00616367">
        <w:rPr>
          <w:iCs/>
        </w:rPr>
        <w:t xml:space="preserve">A discrepancy in patient counts was noted for the linzagolix 100 mg and placebo arms in the FAS. The submission (Table 16, p70) listed 62 participants for the linzagolix 100 mg arm and 32 for the placebo arm, while week 52 outcome </w:t>
      </w:r>
      <w:r w:rsidR="00DE3785" w:rsidRPr="00616367">
        <w:rPr>
          <w:iCs/>
        </w:rPr>
        <w:t>report and</w:t>
      </w:r>
      <w:r w:rsidRPr="00616367">
        <w:rPr>
          <w:iCs/>
        </w:rPr>
        <w:t xml:space="preserve"> the CSR indicate 61 and 31 patients in linzagolix 100 mg and placebo arms, respectively.</w:t>
      </w:r>
    </w:p>
    <w:p w14:paraId="04C0A567" w14:textId="16CA402E" w:rsidR="00444E8A" w:rsidRPr="00482A36" w:rsidRDefault="00444E8A" w:rsidP="00444E8A">
      <w:pPr>
        <w:pStyle w:val="TableFigureFooter"/>
        <w:ind w:left="165" w:hanging="165"/>
      </w:pPr>
      <w:r w:rsidRPr="00482A36">
        <w:rPr>
          <w:vertAlign w:val="superscript"/>
        </w:rPr>
        <w:t>d</w:t>
      </w:r>
      <w:r w:rsidRPr="00482A36">
        <w:tab/>
      </w:r>
      <w:r w:rsidRPr="00616367">
        <w:rPr>
          <w:iCs/>
        </w:rPr>
        <w:t xml:space="preserve">Week 52 full analysis set for PRIMROSE 2 trial was sourced from Table 4 of the P2, W52 CSR; and n was </w:t>
      </w:r>
      <w:r w:rsidR="008F156C">
        <w:rPr>
          <w:iCs/>
        </w:rPr>
        <w:t>back-</w:t>
      </w:r>
      <w:r w:rsidRPr="00616367">
        <w:rPr>
          <w:iCs/>
        </w:rPr>
        <w:t>calculated.</w:t>
      </w:r>
    </w:p>
    <w:p w14:paraId="19DBC2E0" w14:textId="280E36FB" w:rsidR="003819CB" w:rsidRPr="001A02AD" w:rsidRDefault="003819CB" w:rsidP="001D5CAB">
      <w:pPr>
        <w:pStyle w:val="3-BodyText"/>
        <w:rPr>
          <w:iCs/>
        </w:rPr>
      </w:pPr>
      <w:bookmarkStart w:id="33" w:name="_Toc22897642"/>
      <w:r w:rsidRPr="001A02AD">
        <w:rPr>
          <w:iCs/>
        </w:rPr>
        <w:t>At week 24, for the trial primary outcome, all active treatment arms in PRIMROSE 1 and 2 reported statistically significant higher proportion</w:t>
      </w:r>
      <w:r w:rsidR="00D32DFB">
        <w:rPr>
          <w:iCs/>
        </w:rPr>
        <w:t>s</w:t>
      </w:r>
      <w:r w:rsidRPr="001A02AD">
        <w:rPr>
          <w:iCs/>
        </w:rPr>
        <w:t xml:space="preserve"> of </w:t>
      </w:r>
      <w:r w:rsidR="008E0BD1" w:rsidRPr="001A02AD">
        <w:rPr>
          <w:iCs/>
        </w:rPr>
        <w:t xml:space="preserve">patients with </w:t>
      </w:r>
      <w:r w:rsidRPr="001A02AD">
        <w:rPr>
          <w:iCs/>
        </w:rPr>
        <w:t>MBL</w:t>
      </w:r>
      <w:r w:rsidR="008E0BD1" w:rsidRPr="001A02AD">
        <w:rPr>
          <w:iCs/>
        </w:rPr>
        <w:t xml:space="preserve"> respon</w:t>
      </w:r>
      <w:r w:rsidR="00D81003" w:rsidRPr="001A02AD">
        <w:rPr>
          <w:iCs/>
        </w:rPr>
        <w:t>se</w:t>
      </w:r>
      <w:r w:rsidRPr="001A02AD">
        <w:rPr>
          <w:iCs/>
        </w:rPr>
        <w:t xml:space="preserve"> compared to placebo. </w:t>
      </w:r>
      <w:r w:rsidR="00677C2D" w:rsidRPr="001A02AD">
        <w:rPr>
          <w:iCs/>
        </w:rPr>
        <w:t xml:space="preserve">The reported </w:t>
      </w:r>
      <w:r w:rsidRPr="001A02AD">
        <w:rPr>
          <w:iCs/>
        </w:rPr>
        <w:t>proportions o</w:t>
      </w:r>
      <w:r w:rsidR="00677C2D" w:rsidRPr="001A02AD">
        <w:rPr>
          <w:iCs/>
        </w:rPr>
        <w:t>f</w:t>
      </w:r>
      <w:r w:rsidRPr="001A02AD">
        <w:rPr>
          <w:iCs/>
        </w:rPr>
        <w:t xml:space="preserve"> MBL responders</w:t>
      </w:r>
      <w:r w:rsidR="00677C2D" w:rsidRPr="001A02AD">
        <w:rPr>
          <w:iCs/>
        </w:rPr>
        <w:t xml:space="preserve"> in the </w:t>
      </w:r>
      <w:r w:rsidR="00677C2D" w:rsidRPr="001A02AD">
        <w:rPr>
          <w:iCs/>
        </w:rPr>
        <w:lastRenderedPageBreak/>
        <w:t>active arms (highest to lowest)</w:t>
      </w:r>
      <w:r w:rsidRPr="001A02AD">
        <w:rPr>
          <w:iCs/>
        </w:rPr>
        <w:t xml:space="preserve"> </w:t>
      </w:r>
      <w:r w:rsidR="00D81003" w:rsidRPr="001A02AD">
        <w:rPr>
          <w:iCs/>
        </w:rPr>
        <w:t xml:space="preserve">in PRIMROSE 1 and 2 </w:t>
      </w:r>
      <w:r w:rsidRPr="001A02AD">
        <w:rPr>
          <w:iCs/>
        </w:rPr>
        <w:t>were linzagolix 200 mg + ABT (75% and 94%</w:t>
      </w:r>
      <w:r w:rsidR="00677C2D" w:rsidRPr="001A02AD">
        <w:rPr>
          <w:iCs/>
        </w:rPr>
        <w:t>)</w:t>
      </w:r>
      <w:r w:rsidRPr="001A02AD">
        <w:rPr>
          <w:iCs/>
        </w:rPr>
        <w:t>, linzagolix 200 mg</w:t>
      </w:r>
      <w:r w:rsidR="009705F5" w:rsidRPr="001A02AD">
        <w:rPr>
          <w:iCs/>
        </w:rPr>
        <w:t xml:space="preserve"> </w:t>
      </w:r>
      <w:r w:rsidRPr="001A02AD">
        <w:rPr>
          <w:iCs/>
        </w:rPr>
        <w:t>(71% and 78%)</w:t>
      </w:r>
      <w:r w:rsidR="00677C2D" w:rsidRPr="001A02AD">
        <w:rPr>
          <w:iCs/>
        </w:rPr>
        <w:t>,</w:t>
      </w:r>
      <w:r w:rsidRPr="001A02AD">
        <w:rPr>
          <w:iCs/>
        </w:rPr>
        <w:t xml:space="preserve"> </w:t>
      </w:r>
      <w:r w:rsidR="00677C2D" w:rsidRPr="001A02AD">
        <w:rPr>
          <w:iCs/>
        </w:rPr>
        <w:t>linzagolix 100 mg + ABT (66% and 77%) and linzagolix 100 mg (56% and 57%)</w:t>
      </w:r>
      <w:r w:rsidR="00821220" w:rsidRPr="001A02AD">
        <w:rPr>
          <w:iCs/>
        </w:rPr>
        <w:t>,</w:t>
      </w:r>
      <w:r w:rsidR="00677C2D" w:rsidRPr="001A02AD">
        <w:rPr>
          <w:iCs/>
        </w:rPr>
        <w:t xml:space="preserve"> respectively.</w:t>
      </w:r>
    </w:p>
    <w:p w14:paraId="4B907FA2" w14:textId="50F0077D" w:rsidR="003819CB" w:rsidRPr="00482A36" w:rsidRDefault="003819CB" w:rsidP="001D5CAB">
      <w:pPr>
        <w:pStyle w:val="3-BodyText"/>
      </w:pPr>
      <w:bookmarkStart w:id="34" w:name="_Ref169785769"/>
      <w:r w:rsidRPr="00AE4275">
        <w:rPr>
          <w:iCs/>
        </w:rPr>
        <w:t>Placebo response</w:t>
      </w:r>
      <w:r w:rsidR="00D32DFB">
        <w:rPr>
          <w:iCs/>
        </w:rPr>
        <w:t>s</w:t>
      </w:r>
      <w:r w:rsidRPr="00AE4275">
        <w:rPr>
          <w:iCs/>
        </w:rPr>
        <w:t xml:space="preserve"> in both PRIMROSE 1 and 2 w</w:t>
      </w:r>
      <w:r w:rsidR="00D32DFB">
        <w:rPr>
          <w:iCs/>
        </w:rPr>
        <w:t>ere</w:t>
      </w:r>
      <w:r w:rsidRPr="00AE4275">
        <w:rPr>
          <w:iCs/>
        </w:rPr>
        <w:t xml:space="preserve"> high (</w:t>
      </w:r>
      <w:r w:rsidR="00615DEC" w:rsidRPr="00AE4275">
        <w:rPr>
          <w:iCs/>
        </w:rPr>
        <w:t>29</w:t>
      </w:r>
      <w:r w:rsidR="00615DEC" w:rsidRPr="00AE4275">
        <w:rPr>
          <w:rFonts w:cstheme="minorHAnsi"/>
          <w:iCs/>
        </w:rPr>
        <w:t>−</w:t>
      </w:r>
      <w:r w:rsidR="00615DEC" w:rsidRPr="00AE4275">
        <w:rPr>
          <w:iCs/>
        </w:rPr>
        <w:t>35</w:t>
      </w:r>
      <w:r w:rsidRPr="00AE4275">
        <w:rPr>
          <w:iCs/>
        </w:rPr>
        <w:t>%). The submission</w:t>
      </w:r>
      <w:r w:rsidR="006571EC" w:rsidRPr="00AE4275">
        <w:rPr>
          <w:iCs/>
        </w:rPr>
        <w:t xml:space="preserve"> claimed this biased against linzagolix and was likely due to patients </w:t>
      </w:r>
      <w:r w:rsidRPr="00AE4275">
        <w:rPr>
          <w:iCs/>
        </w:rPr>
        <w:t xml:space="preserve">failing to return soiled sanitary products for MBL measurement. </w:t>
      </w:r>
      <w:r w:rsidR="00AE4275" w:rsidRPr="00AE4275">
        <w:rPr>
          <w:iCs/>
        </w:rPr>
        <w:t>In the PRIMROSE trials, any missing return of sanitary products was considered as ‘no bleeding’</w:t>
      </w:r>
      <w:r w:rsidR="00AE4275">
        <w:rPr>
          <w:iCs/>
        </w:rPr>
        <w:t xml:space="preserve"> and the submission stated that </w:t>
      </w:r>
      <w:r w:rsidR="00AE4275" w:rsidRPr="00AE4275">
        <w:rPr>
          <w:iCs/>
        </w:rPr>
        <w:t>placebo group</w:t>
      </w:r>
      <w:r w:rsidR="00AE4275">
        <w:rPr>
          <w:iCs/>
        </w:rPr>
        <w:t>,</w:t>
      </w:r>
      <w:r w:rsidR="00AE4275" w:rsidRPr="00AE4275">
        <w:rPr>
          <w:iCs/>
        </w:rPr>
        <w:t xml:space="preserve"> where </w:t>
      </w:r>
      <w:r w:rsidR="00AE4275">
        <w:rPr>
          <w:iCs/>
        </w:rPr>
        <w:t>patients</w:t>
      </w:r>
      <w:r w:rsidR="00AE4275" w:rsidRPr="00AE4275">
        <w:rPr>
          <w:iCs/>
        </w:rPr>
        <w:t xml:space="preserve"> typically did not stop bleeding</w:t>
      </w:r>
      <w:r w:rsidR="00AE4275">
        <w:rPr>
          <w:iCs/>
        </w:rPr>
        <w:t>, were</w:t>
      </w:r>
      <w:r w:rsidR="00AE4275" w:rsidRPr="00AE4275">
        <w:rPr>
          <w:iCs/>
        </w:rPr>
        <w:t xml:space="preserve"> most likely to be non-compliant in returning their sanitary products</w:t>
      </w:r>
      <w:r w:rsidR="00AE4275">
        <w:rPr>
          <w:iCs/>
        </w:rPr>
        <w:t xml:space="preserve">. </w:t>
      </w:r>
      <w:r w:rsidR="00AE4275">
        <w:t>This may have led to a placebo response</w:t>
      </w:r>
      <w:r w:rsidR="00AE4275" w:rsidRPr="00AE4275">
        <w:rPr>
          <w:iCs/>
        </w:rPr>
        <w:t xml:space="preserve">. </w:t>
      </w:r>
      <w:r w:rsidR="001A02AD" w:rsidRPr="00AE4275">
        <w:rPr>
          <w:iCs/>
        </w:rPr>
        <w:t>The submission reported conducting a sensitivity analysis taking the eDiary data</w:t>
      </w:r>
      <w:r w:rsidR="00AE4275">
        <w:rPr>
          <w:iCs/>
        </w:rPr>
        <w:t>, rather than</w:t>
      </w:r>
      <w:r w:rsidR="001A02AD" w:rsidRPr="00AE4275">
        <w:rPr>
          <w:iCs/>
        </w:rPr>
        <w:t xml:space="preserve"> </w:t>
      </w:r>
      <w:r w:rsidR="00F74506">
        <w:rPr>
          <w:iCs/>
        </w:rPr>
        <w:t xml:space="preserve">data on </w:t>
      </w:r>
      <w:r w:rsidR="00AE4275" w:rsidRPr="00AE4275">
        <w:rPr>
          <w:iCs/>
        </w:rPr>
        <w:t>return</w:t>
      </w:r>
      <w:r w:rsidR="00F74506">
        <w:rPr>
          <w:iCs/>
        </w:rPr>
        <w:t>ed</w:t>
      </w:r>
      <w:r w:rsidR="00AE4275">
        <w:rPr>
          <w:iCs/>
        </w:rPr>
        <w:t xml:space="preserve"> </w:t>
      </w:r>
      <w:r w:rsidR="00AE4275" w:rsidRPr="00AE4275">
        <w:rPr>
          <w:iCs/>
        </w:rPr>
        <w:t xml:space="preserve">sanitary </w:t>
      </w:r>
      <w:r w:rsidR="00AE4275">
        <w:rPr>
          <w:iCs/>
        </w:rPr>
        <w:t>products,</w:t>
      </w:r>
      <w:r w:rsidR="00AE4275" w:rsidRPr="00AE4275">
        <w:rPr>
          <w:iCs/>
        </w:rPr>
        <w:t xml:space="preserve"> </w:t>
      </w:r>
      <w:r w:rsidR="001A02AD" w:rsidRPr="00AE4275">
        <w:rPr>
          <w:iCs/>
        </w:rPr>
        <w:t>into account</w:t>
      </w:r>
      <w:r w:rsidR="00D16812" w:rsidRPr="00616367">
        <w:t xml:space="preserve">. CSR reports from PRIMROSE 1 and 2 at week 24 indicated that imputing bleeding based on eDiary in a sensitivity analysis reduced the placebo response from 35% to 24% in PRIMROSE 1 and from 29% to 24.5% in PRIMROSE 2. However, similar reductions in MBL response were also observed in </w:t>
      </w:r>
      <w:r w:rsidR="004B47E2" w:rsidRPr="00616367">
        <w:t xml:space="preserve">active </w:t>
      </w:r>
      <w:r w:rsidR="00D16812" w:rsidRPr="00616367">
        <w:t>treatment arms.</w:t>
      </w:r>
      <w:r w:rsidR="00505A11" w:rsidRPr="00616367">
        <w:t xml:space="preserve"> </w:t>
      </w:r>
      <w:r w:rsidR="00D32DFB" w:rsidRPr="00616367">
        <w:t>The s</w:t>
      </w:r>
      <w:r w:rsidR="00505A11" w:rsidRPr="00616367">
        <w:t xml:space="preserve">ubmission’s </w:t>
      </w:r>
      <w:r w:rsidR="00F74506" w:rsidRPr="00616367">
        <w:t xml:space="preserve">claim </w:t>
      </w:r>
      <w:r w:rsidRPr="00616367">
        <w:t xml:space="preserve">was </w:t>
      </w:r>
      <w:r w:rsidR="00505A11" w:rsidRPr="00616367">
        <w:t xml:space="preserve">deemed </w:t>
      </w:r>
      <w:r w:rsidRPr="00616367">
        <w:t>only speculative; a higher placebo response could also plausibly</w:t>
      </w:r>
      <w:r w:rsidR="008E0BD1" w:rsidRPr="00616367">
        <w:t xml:space="preserve"> be</w:t>
      </w:r>
      <w:r w:rsidRPr="00616367">
        <w:t xml:space="preserve"> due to other reasons such as regression to the mean</w:t>
      </w:r>
      <w:r w:rsidR="00A80967" w:rsidRPr="00616367">
        <w:t>.</w:t>
      </w:r>
      <w:bookmarkEnd w:id="34"/>
    </w:p>
    <w:p w14:paraId="73CF0D08" w14:textId="3CC66FCB" w:rsidR="00005234" w:rsidRPr="007A0F48" w:rsidRDefault="00A80967" w:rsidP="00022EC8">
      <w:pPr>
        <w:pStyle w:val="3-BodyText"/>
        <w:rPr>
          <w:iCs/>
        </w:rPr>
      </w:pPr>
      <w:r w:rsidRPr="00F74506">
        <w:t>Comparatively, a higher difference in proportions of MBL responders for the active treatment arms versus placebo were observed in PRIMROSE 2 (risk difference [RD] versus placebo: 64% to 27% depending on treatment arm) compared to PRIMROSE 1 (RD versus placebo 41% to 21% depending on treatment arm)</w:t>
      </w:r>
      <w:r w:rsidR="00D25806" w:rsidRPr="00F74506">
        <w:t>, with a higher proportion of responders noted in the treatment arms of PRIMROSE 2</w:t>
      </w:r>
      <w:r w:rsidRPr="00F74506">
        <w:t xml:space="preserve">. The submission argued this was likely due to variations in patient baseline characteristics (e.g., due to differences in race and </w:t>
      </w:r>
      <w:r w:rsidR="007713C4" w:rsidRPr="00F74506">
        <w:t>body mass index [</w:t>
      </w:r>
      <w:r w:rsidRPr="00F74506">
        <w:t>BMI</w:t>
      </w:r>
      <w:r w:rsidR="007713C4" w:rsidRPr="00F74506">
        <w:t>]</w:t>
      </w:r>
      <w:r w:rsidRPr="00F74506">
        <w:t xml:space="preserve">). Given the high proportion of African </w:t>
      </w:r>
      <w:r w:rsidR="00D81003" w:rsidRPr="00F74506">
        <w:t xml:space="preserve">American patients </w:t>
      </w:r>
      <w:r w:rsidRPr="00F74506">
        <w:t xml:space="preserve">in PRIMROSE 1, the submission also considered PRIMROSE 2 to be more applicable to the Australian context. </w:t>
      </w:r>
      <w:r w:rsidR="00F74506" w:rsidRPr="00616367">
        <w:t xml:space="preserve">Regardless of this, </w:t>
      </w:r>
      <w:r w:rsidRPr="00616367">
        <w:t xml:space="preserve">pooled results from PRIMROSE 1 and 2 were used in the base case economic evaluation </w:t>
      </w:r>
      <w:r w:rsidR="000E0EC9" w:rsidRPr="00616367">
        <w:t>and</w:t>
      </w:r>
      <w:r w:rsidRPr="00616367">
        <w:t xml:space="preserve"> data from PRIMROSE 2 were used in a sensitivity analysis. Noted disparities in treatment effect between the PRIMROSE trials may also be due to</w:t>
      </w:r>
      <w:r w:rsidR="00F74506" w:rsidRPr="00616367">
        <w:t xml:space="preserve"> higher MBL at baseline in PRIMROSE 2 </w:t>
      </w:r>
      <w:proofErr w:type="gramStart"/>
      <w:r w:rsidR="00F74506" w:rsidRPr="00616367">
        <w:t>and also</w:t>
      </w:r>
      <w:proofErr w:type="gramEnd"/>
      <w:r w:rsidRPr="00616367">
        <w:t xml:space="preserve"> greater baseline disease severity in PRIMROSE 1 (see paragraph </w:t>
      </w:r>
      <w:r w:rsidR="000E0EC9" w:rsidRPr="00616367">
        <w:fldChar w:fldCharType="begin"/>
      </w:r>
      <w:r w:rsidR="000E0EC9" w:rsidRPr="00616367">
        <w:instrText xml:space="preserve"> REF _Ref165404950 \r \h </w:instrText>
      </w:r>
      <w:r w:rsidR="000E0EC9" w:rsidRPr="00616367">
        <w:fldChar w:fldCharType="separate"/>
      </w:r>
      <w:r w:rsidR="003E4FD0">
        <w:t>6.14</w:t>
      </w:r>
      <w:r w:rsidR="000E0EC9" w:rsidRPr="00616367">
        <w:fldChar w:fldCharType="end"/>
      </w:r>
      <w:r w:rsidRPr="00616367">
        <w:t>).</w:t>
      </w:r>
      <w:r w:rsidR="003C7EDC" w:rsidRPr="00616367">
        <w:t xml:space="preserve"> No subgroup analysis for MBL at baseline was reported by the submission. </w:t>
      </w:r>
      <w:r w:rsidR="008D2055" w:rsidRPr="00616367">
        <w:t>A s</w:t>
      </w:r>
      <w:r w:rsidR="003C7EDC" w:rsidRPr="00616367">
        <w:t xml:space="preserve">ubgroup analysis </w:t>
      </w:r>
      <w:r w:rsidR="00181C9B" w:rsidRPr="00616367">
        <w:t xml:space="preserve">in </w:t>
      </w:r>
      <w:r w:rsidR="003C7EDC" w:rsidRPr="00616367">
        <w:t xml:space="preserve">patients with excessively heavy menstrual bleeding revealed </w:t>
      </w:r>
      <w:r w:rsidR="00D32DFB" w:rsidRPr="00616367">
        <w:t xml:space="preserve">a similar dose </w:t>
      </w:r>
      <w:r w:rsidR="003C7EDC" w:rsidRPr="00616367">
        <w:t xml:space="preserve">response across </w:t>
      </w:r>
      <w:r w:rsidR="00D32DFB" w:rsidRPr="00616367">
        <w:t xml:space="preserve">the various linzagolix treatments versus placebo as the primary analyses, although the differences in MBL responders for </w:t>
      </w:r>
      <w:r w:rsidR="00DE3785" w:rsidRPr="00616367">
        <w:t>linzagolix 100</w:t>
      </w:r>
      <w:r w:rsidR="00D32DFB" w:rsidRPr="00616367">
        <w:t xml:space="preserve"> mg alone (PRIMROSE 1 and 2) and linzagolix 100</w:t>
      </w:r>
      <w:r w:rsidR="00010D1F" w:rsidRPr="00616367">
        <w:t> </w:t>
      </w:r>
      <w:r w:rsidR="00D32DFB" w:rsidRPr="00616367">
        <w:t>mg + ABT (PRIMROSE 2) were no longer statistically significant versus placebo.</w:t>
      </w:r>
      <w:r w:rsidR="007A0F48">
        <w:t xml:space="preserve"> </w:t>
      </w:r>
      <w:r w:rsidR="003819CB" w:rsidRPr="00616367">
        <w:t xml:space="preserve">The submission only applied the results of linzagolix 200 mg + ABT versus placebo at week 24 in the economic evaluation. </w:t>
      </w:r>
    </w:p>
    <w:p w14:paraId="4B59DFA2" w14:textId="440567BF" w:rsidR="001D5CAB" w:rsidRPr="00616367" w:rsidRDefault="00F21035" w:rsidP="001D5CAB">
      <w:pPr>
        <w:pStyle w:val="3-BodyText"/>
        <w:rPr>
          <w:iCs/>
        </w:rPr>
      </w:pPr>
      <w:r w:rsidRPr="00616367">
        <w:rPr>
          <w:iCs/>
        </w:rPr>
        <w:fldChar w:fldCharType="begin"/>
      </w:r>
      <w:r w:rsidRPr="00616367">
        <w:rPr>
          <w:iCs/>
        </w:rPr>
        <w:instrText xml:space="preserve"> REF _Ref165025226 \h  \* MERGEFORMAT </w:instrText>
      </w:r>
      <w:r w:rsidRPr="00616367">
        <w:rPr>
          <w:iCs/>
        </w:rPr>
      </w:r>
      <w:r w:rsidRPr="00616367">
        <w:rPr>
          <w:iCs/>
        </w:rPr>
        <w:fldChar w:fldCharType="separate"/>
      </w:r>
      <w:r w:rsidR="003E4FD0" w:rsidRPr="003E4FD0">
        <w:rPr>
          <w:iCs/>
        </w:rPr>
        <w:t xml:space="preserve">Figure </w:t>
      </w:r>
      <w:r w:rsidR="003E4FD0" w:rsidRPr="003E4FD0">
        <w:rPr>
          <w:iCs/>
          <w:noProof/>
        </w:rPr>
        <w:t>1</w:t>
      </w:r>
      <w:r w:rsidRPr="00616367">
        <w:rPr>
          <w:iCs/>
        </w:rPr>
        <w:fldChar w:fldCharType="end"/>
      </w:r>
      <w:r w:rsidRPr="00616367">
        <w:rPr>
          <w:iCs/>
        </w:rPr>
        <w:t>, constructed during the evaluation, illustrates the proportion</w:t>
      </w:r>
      <w:r w:rsidR="00456CC5" w:rsidRPr="00616367">
        <w:rPr>
          <w:iCs/>
        </w:rPr>
        <w:t>s</w:t>
      </w:r>
      <w:r w:rsidRPr="00616367">
        <w:rPr>
          <w:iCs/>
        </w:rPr>
        <w:t xml:space="preserve"> of MBL responders at week 24 and week 52, based on PRIMROSE 1</w:t>
      </w:r>
      <w:r w:rsidR="00F6368F" w:rsidRPr="00616367">
        <w:rPr>
          <w:iCs/>
        </w:rPr>
        <w:t xml:space="preserve"> and</w:t>
      </w:r>
      <w:r w:rsidRPr="00616367">
        <w:rPr>
          <w:iCs/>
        </w:rPr>
        <w:t xml:space="preserve"> 2</w:t>
      </w:r>
      <w:r w:rsidR="00F6368F" w:rsidRPr="00616367">
        <w:rPr>
          <w:iCs/>
        </w:rPr>
        <w:t xml:space="preserve">, as well as </w:t>
      </w:r>
      <w:r w:rsidRPr="00616367">
        <w:rPr>
          <w:iCs/>
        </w:rPr>
        <w:t>pooled data</w:t>
      </w:r>
      <w:r w:rsidR="00F6368F" w:rsidRPr="00616367">
        <w:rPr>
          <w:iCs/>
        </w:rPr>
        <w:t xml:space="preserve"> across the two trials.</w:t>
      </w:r>
      <w:r w:rsidRPr="00616367">
        <w:rPr>
          <w:iCs/>
        </w:rPr>
        <w:t xml:space="preserve"> </w:t>
      </w:r>
      <w:r w:rsidR="001D5CAB" w:rsidRPr="00616367">
        <w:rPr>
          <w:iCs/>
        </w:rPr>
        <w:t xml:space="preserve"> </w:t>
      </w:r>
    </w:p>
    <w:p w14:paraId="6403A4B7" w14:textId="4BCCC49D" w:rsidR="00F21035" w:rsidRPr="00482A36" w:rsidRDefault="00F21035" w:rsidP="00D469C0">
      <w:pPr>
        <w:pStyle w:val="TableFigureHeading"/>
        <w:keepLines/>
      </w:pPr>
      <w:bookmarkStart w:id="35" w:name="_Ref165025226"/>
      <w:r w:rsidRPr="00482A36">
        <w:lastRenderedPageBreak/>
        <w:t xml:space="preserve">Figure </w:t>
      </w:r>
      <w:r w:rsidR="00747D8C">
        <w:fldChar w:fldCharType="begin"/>
      </w:r>
      <w:r w:rsidR="00747D8C">
        <w:instrText xml:space="preserve"> SEQ Figure \* ARABIC </w:instrText>
      </w:r>
      <w:r w:rsidR="00747D8C">
        <w:fldChar w:fldCharType="separate"/>
      </w:r>
      <w:r w:rsidR="003E4FD0">
        <w:rPr>
          <w:noProof/>
        </w:rPr>
        <w:t>1</w:t>
      </w:r>
      <w:r w:rsidR="00747D8C">
        <w:rPr>
          <w:noProof/>
        </w:rPr>
        <w:fldChar w:fldCharType="end"/>
      </w:r>
      <w:bookmarkEnd w:id="35"/>
      <w:r w:rsidRPr="00482A36">
        <w:t>. Participants with reduced MBL at weeks 24 and 52 (FAS)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592"/>
      </w:tblGrid>
      <w:tr w:rsidR="00F21035" w:rsidRPr="00482A36" w14:paraId="287818ED" w14:textId="77777777" w:rsidTr="00383D29">
        <w:tc>
          <w:tcPr>
            <w:tcW w:w="4424" w:type="dxa"/>
          </w:tcPr>
          <w:p w14:paraId="7ED75567" w14:textId="77777777" w:rsidR="00F21035" w:rsidRPr="00482A36" w:rsidRDefault="00F21035" w:rsidP="00666AB0">
            <w:pPr>
              <w:pStyle w:val="Tabletext"/>
              <w:keepNext/>
              <w:keepLines/>
              <w:numPr>
                <w:ilvl w:val="0"/>
                <w:numId w:val="10"/>
              </w:numPr>
            </w:pPr>
            <w:r w:rsidRPr="00482A36">
              <w:t>PRIMROSE 1</w:t>
            </w:r>
          </w:p>
        </w:tc>
        <w:tc>
          <w:tcPr>
            <w:tcW w:w="4592" w:type="dxa"/>
          </w:tcPr>
          <w:p w14:paraId="25F44E99" w14:textId="77777777" w:rsidR="00F21035" w:rsidRPr="00482A36" w:rsidRDefault="00F21035" w:rsidP="00666AB0">
            <w:pPr>
              <w:pStyle w:val="Tabletext"/>
              <w:keepNext/>
              <w:keepLines/>
              <w:numPr>
                <w:ilvl w:val="0"/>
                <w:numId w:val="10"/>
              </w:numPr>
            </w:pPr>
            <w:r w:rsidRPr="00482A36">
              <w:t>PRIMROSE 2</w:t>
            </w:r>
          </w:p>
        </w:tc>
      </w:tr>
      <w:tr w:rsidR="00F21035" w:rsidRPr="00482A36" w14:paraId="01A3628C" w14:textId="77777777" w:rsidTr="00383D29">
        <w:tc>
          <w:tcPr>
            <w:tcW w:w="4424" w:type="dxa"/>
          </w:tcPr>
          <w:p w14:paraId="226111AB" w14:textId="77777777" w:rsidR="00F21035" w:rsidRPr="00482A36" w:rsidRDefault="00F21035" w:rsidP="00D469C0">
            <w:pPr>
              <w:pStyle w:val="Tabletext"/>
              <w:keepNext/>
              <w:keepLines/>
            </w:pPr>
            <w:r w:rsidRPr="00482A36">
              <w:rPr>
                <w:noProof/>
              </w:rPr>
              <w:drawing>
                <wp:inline distT="0" distB="0" distL="0" distR="0" wp14:anchorId="746C22DF" wp14:editId="33829FFB">
                  <wp:extent cx="2667000" cy="1926720"/>
                  <wp:effectExtent l="0" t="0" r="0" b="0"/>
                  <wp:docPr id="6" name="Picture 6" descr="Figure 1. Participants with reduced MBL at weeks 24 and 52 (FAS) a. PRIMROS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Participants with reduced MBL at weeks 24 and 52 (FAS) a. PRIMROSE 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4143" cy="1931880"/>
                          </a:xfrm>
                          <a:prstGeom prst="rect">
                            <a:avLst/>
                          </a:prstGeom>
                          <a:noFill/>
                        </pic:spPr>
                      </pic:pic>
                    </a:graphicData>
                  </a:graphic>
                </wp:inline>
              </w:drawing>
            </w:r>
          </w:p>
        </w:tc>
        <w:tc>
          <w:tcPr>
            <w:tcW w:w="4592" w:type="dxa"/>
          </w:tcPr>
          <w:p w14:paraId="00EF913C" w14:textId="77777777" w:rsidR="00F21035" w:rsidRPr="00482A36" w:rsidRDefault="00F21035" w:rsidP="00D469C0">
            <w:pPr>
              <w:pStyle w:val="Tabletext"/>
              <w:keepNext/>
              <w:keepLines/>
            </w:pPr>
            <w:r w:rsidRPr="00482A36">
              <w:rPr>
                <w:noProof/>
              </w:rPr>
              <w:drawing>
                <wp:inline distT="0" distB="0" distL="0" distR="0" wp14:anchorId="79986EF3" wp14:editId="79B43437">
                  <wp:extent cx="2767052" cy="1926590"/>
                  <wp:effectExtent l="0" t="0" r="0" b="0"/>
                  <wp:docPr id="7" name="Picture 7" descr="Figure 1. Participants with reduced MBL at weeks 24 and 52 (FAS) b. PRIMROS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Participants with reduced MBL at weeks 24 and 52 (FAS) b. PRIMROSE 2&#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0657" cy="1936062"/>
                          </a:xfrm>
                          <a:prstGeom prst="rect">
                            <a:avLst/>
                          </a:prstGeom>
                          <a:noFill/>
                        </pic:spPr>
                      </pic:pic>
                    </a:graphicData>
                  </a:graphic>
                </wp:inline>
              </w:drawing>
            </w:r>
          </w:p>
        </w:tc>
      </w:tr>
      <w:tr w:rsidR="00F21035" w:rsidRPr="00482A36" w14:paraId="7D9ADF19" w14:textId="77777777" w:rsidTr="00383D29">
        <w:tc>
          <w:tcPr>
            <w:tcW w:w="9016" w:type="dxa"/>
            <w:gridSpan w:val="2"/>
            <w:vAlign w:val="center"/>
          </w:tcPr>
          <w:p w14:paraId="74084DBA" w14:textId="77777777" w:rsidR="00F21035" w:rsidRPr="00482A36" w:rsidRDefault="00F21035" w:rsidP="00666AB0">
            <w:pPr>
              <w:pStyle w:val="Tabletext"/>
              <w:keepNext/>
              <w:keepLines/>
              <w:numPr>
                <w:ilvl w:val="0"/>
                <w:numId w:val="10"/>
              </w:numPr>
            </w:pPr>
            <w:r w:rsidRPr="00482A36">
              <w:t>Pooled analysis of PRIMROSE 1 and PRIMROSE 2</w:t>
            </w:r>
          </w:p>
        </w:tc>
      </w:tr>
      <w:tr w:rsidR="00F21035" w:rsidRPr="00482A36" w14:paraId="42FCB9AE" w14:textId="77777777" w:rsidTr="00383D29">
        <w:tc>
          <w:tcPr>
            <w:tcW w:w="9016" w:type="dxa"/>
            <w:gridSpan w:val="2"/>
          </w:tcPr>
          <w:p w14:paraId="396DC3C9" w14:textId="77777777" w:rsidR="00F21035" w:rsidRPr="00482A36" w:rsidRDefault="00F21035" w:rsidP="00D469C0">
            <w:pPr>
              <w:pStyle w:val="Tabletext"/>
              <w:keepNext/>
              <w:keepLines/>
            </w:pPr>
            <w:r w:rsidRPr="00482A36">
              <w:rPr>
                <w:noProof/>
              </w:rPr>
              <w:drawing>
                <wp:inline distT="0" distB="0" distL="0" distR="0" wp14:anchorId="65A1E134" wp14:editId="397F0B30">
                  <wp:extent cx="5492211" cy="3661148"/>
                  <wp:effectExtent l="0" t="0" r="0" b="0"/>
                  <wp:docPr id="8" name="Picture 8" descr="Figure 1. Participants with reduced MBL at weeks 24 and 52 (FAS) c. Pooled analysis of PRIMROSE 1 and PRIMROS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Participants with reduced MBL at weeks 24 and 52 (FAS) c. Pooled analysis of PRIMROSE 1 and PRIMROS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2435" cy="3687962"/>
                          </a:xfrm>
                          <a:prstGeom prst="rect">
                            <a:avLst/>
                          </a:prstGeom>
                          <a:noFill/>
                        </pic:spPr>
                      </pic:pic>
                    </a:graphicData>
                  </a:graphic>
                </wp:inline>
              </w:drawing>
            </w:r>
          </w:p>
        </w:tc>
      </w:tr>
    </w:tbl>
    <w:p w14:paraId="51C09EFB" w14:textId="77777777" w:rsidR="00F21035" w:rsidRPr="00482A36" w:rsidRDefault="00F21035" w:rsidP="00D469C0">
      <w:pPr>
        <w:pStyle w:val="TableFigureFooter"/>
        <w:keepNext/>
        <w:keepLines/>
      </w:pPr>
      <w:r w:rsidRPr="00482A36">
        <w:t>Source: compiled during the evaluation</w:t>
      </w:r>
    </w:p>
    <w:p w14:paraId="659FEDCE" w14:textId="2A07DA34" w:rsidR="00F21035" w:rsidRDefault="00F21035" w:rsidP="00D469C0">
      <w:pPr>
        <w:pStyle w:val="TableFigureFooter"/>
        <w:keepNext/>
        <w:keepLines/>
      </w:pPr>
      <w:r w:rsidRPr="00482A36">
        <w:t>ABT=add-back therapy; FAS=full analysis set; LGX 100=linzagolix 100</w:t>
      </w:r>
      <w:r w:rsidR="006845A4" w:rsidRPr="00482A36">
        <w:t xml:space="preserve"> </w:t>
      </w:r>
      <w:r w:rsidRPr="00482A36">
        <w:t>mg; LGX 200=linzagolix 200</w:t>
      </w:r>
      <w:r w:rsidR="006845A4" w:rsidRPr="00482A36">
        <w:t xml:space="preserve"> </w:t>
      </w:r>
      <w:r w:rsidRPr="00482A36">
        <w:t>mg; MBL=menstrual blood loss; PBO=placebo; w=week.</w:t>
      </w:r>
    </w:p>
    <w:p w14:paraId="1D3AB7AB" w14:textId="384FCAD4" w:rsidR="009359D1" w:rsidRPr="00482A36" w:rsidRDefault="009359D1" w:rsidP="009359D1">
      <w:pPr>
        <w:pStyle w:val="TableFigureFooter"/>
      </w:pPr>
      <w:r w:rsidRPr="009359D1">
        <w:t>Note:</w:t>
      </w:r>
      <w:r w:rsidRPr="00482A36">
        <w:tab/>
      </w:r>
      <w:r>
        <w:t>The p</w:t>
      </w:r>
      <w:r w:rsidRPr="00482A36">
        <w:t>rimary outcome of the trial</w:t>
      </w:r>
      <w:r>
        <w:t>s was d</w:t>
      </w:r>
      <w:r w:rsidRPr="00482A36">
        <w:t>efined by MBL ≤80 mL and ≥50% reduction from baseline</w:t>
      </w:r>
      <w:r>
        <w:t xml:space="preserve"> at week 24.</w:t>
      </w:r>
    </w:p>
    <w:p w14:paraId="42D7329A" w14:textId="151F4555" w:rsidR="00F21035" w:rsidRPr="00616367" w:rsidRDefault="00F6368F" w:rsidP="00793F65">
      <w:pPr>
        <w:pStyle w:val="3-BodyText"/>
        <w:rPr>
          <w:iCs/>
        </w:rPr>
      </w:pPr>
      <w:r w:rsidRPr="00616367">
        <w:rPr>
          <w:iCs/>
        </w:rPr>
        <w:t>In patient</w:t>
      </w:r>
      <w:r w:rsidR="005143DF" w:rsidRPr="00616367">
        <w:rPr>
          <w:iCs/>
        </w:rPr>
        <w:t>s</w:t>
      </w:r>
      <w:r w:rsidRPr="00616367">
        <w:rPr>
          <w:iCs/>
        </w:rPr>
        <w:t xml:space="preserve"> who remained on treatment at week 52, there was a higher proportion of MBL responders at week </w:t>
      </w:r>
      <w:r w:rsidR="00F21035" w:rsidRPr="00616367">
        <w:rPr>
          <w:iCs/>
        </w:rPr>
        <w:t xml:space="preserve">52 </w:t>
      </w:r>
      <w:r w:rsidRPr="00616367">
        <w:rPr>
          <w:iCs/>
        </w:rPr>
        <w:t xml:space="preserve">versus week 24 in most treatment arms, </w:t>
      </w:r>
      <w:r w:rsidR="00F21035" w:rsidRPr="00616367">
        <w:rPr>
          <w:iCs/>
        </w:rPr>
        <w:t>except for linzagolix 100 mg</w:t>
      </w:r>
      <w:r w:rsidRPr="00616367">
        <w:rPr>
          <w:iCs/>
        </w:rPr>
        <w:t xml:space="preserve"> (in PRIMROSE 2 and the pooled data). However</w:t>
      </w:r>
      <w:r w:rsidR="00456CC5" w:rsidRPr="00616367">
        <w:rPr>
          <w:iCs/>
        </w:rPr>
        <w:t>,</w:t>
      </w:r>
      <w:r w:rsidRPr="00616367">
        <w:rPr>
          <w:iCs/>
        </w:rPr>
        <w:t xml:space="preserve"> this result is difficult to interpret and did not differentiate between continued response or new response that may have arisen after week 24.</w:t>
      </w:r>
    </w:p>
    <w:p w14:paraId="7262C3A7" w14:textId="7D5EFC70" w:rsidR="006152F0" w:rsidRPr="00482A36" w:rsidRDefault="00677C2D" w:rsidP="000D245E">
      <w:pPr>
        <w:pStyle w:val="3-BodyText"/>
      </w:pPr>
      <w:r w:rsidRPr="00482A36">
        <w:t>S</w:t>
      </w:r>
      <w:r w:rsidR="000D245E" w:rsidRPr="00482A36">
        <w:t xml:space="preserve">ubgroup analyses </w:t>
      </w:r>
      <w:r w:rsidR="00F6368F" w:rsidRPr="00482A36">
        <w:t xml:space="preserve">for MBL response </w:t>
      </w:r>
      <w:r w:rsidR="000D245E" w:rsidRPr="00482A36">
        <w:t xml:space="preserve">at week 24 </w:t>
      </w:r>
      <w:r w:rsidRPr="00482A36">
        <w:t>varying patient</w:t>
      </w:r>
      <w:r w:rsidR="000D245E" w:rsidRPr="00482A36">
        <w:t xml:space="preserve"> demographic</w:t>
      </w:r>
      <w:r w:rsidRPr="00482A36">
        <w:t>s</w:t>
      </w:r>
      <w:r w:rsidR="000D245E" w:rsidRPr="00482A36">
        <w:t xml:space="preserve"> and clinical factors</w:t>
      </w:r>
      <w:r w:rsidR="00F6368F" w:rsidRPr="00482A36">
        <w:t xml:space="preserve"> </w:t>
      </w:r>
      <w:r w:rsidRPr="00482A36">
        <w:t xml:space="preserve">demonstrated </w:t>
      </w:r>
      <w:r w:rsidR="000D245E" w:rsidRPr="00482A36">
        <w:t xml:space="preserve">consistent </w:t>
      </w:r>
      <w:r w:rsidRPr="00482A36">
        <w:t xml:space="preserve">results compared to the FAS </w:t>
      </w:r>
      <w:r w:rsidR="00F6368F" w:rsidRPr="00482A36">
        <w:t xml:space="preserve">except for </w:t>
      </w:r>
      <w:r w:rsidR="000D245E" w:rsidRPr="00482A36">
        <w:lastRenderedPageBreak/>
        <w:t xml:space="preserve">linzagolix </w:t>
      </w:r>
      <w:r w:rsidR="00224353" w:rsidRPr="00482A36">
        <w:t>100</w:t>
      </w:r>
      <w:r w:rsidR="00224353">
        <w:t> </w:t>
      </w:r>
      <w:r w:rsidR="009705F5" w:rsidRPr="00482A36">
        <w:t xml:space="preserve">mg whose effects were smaller and </w:t>
      </w:r>
      <w:r w:rsidRPr="00482A36">
        <w:t xml:space="preserve">no longer </w:t>
      </w:r>
      <w:r w:rsidR="009705F5" w:rsidRPr="00482A36">
        <w:t xml:space="preserve">statistically </w:t>
      </w:r>
      <w:r w:rsidR="000D245E" w:rsidRPr="00482A36">
        <w:t>significant</w:t>
      </w:r>
      <w:r w:rsidR="00F6368F" w:rsidRPr="00482A36">
        <w:t xml:space="preserve"> compared to placebo </w:t>
      </w:r>
      <w:r w:rsidRPr="00482A36">
        <w:t xml:space="preserve">in </w:t>
      </w:r>
      <w:r w:rsidR="00D81003" w:rsidRPr="00482A36">
        <w:t xml:space="preserve">subgroups </w:t>
      </w:r>
      <w:r w:rsidRPr="00482A36">
        <w:t xml:space="preserve">with </w:t>
      </w:r>
      <w:r w:rsidR="000D245E" w:rsidRPr="00482A36">
        <w:t>BMI</w:t>
      </w:r>
      <w:r w:rsidR="009705F5" w:rsidRPr="00482A36">
        <w:t xml:space="preserve"> 25 to &lt;</w:t>
      </w:r>
      <w:r w:rsidR="00224353">
        <w:t> </w:t>
      </w:r>
      <w:r w:rsidR="009705F5" w:rsidRPr="00482A36">
        <w:t>30</w:t>
      </w:r>
      <w:r w:rsidR="000D245E" w:rsidRPr="00482A36">
        <w:t>, weight</w:t>
      </w:r>
      <w:r w:rsidR="009705F5" w:rsidRPr="00482A36">
        <w:t xml:space="preserve"> 77.6</w:t>
      </w:r>
      <w:r w:rsidR="00574259" w:rsidRPr="00482A36">
        <w:t> </w:t>
      </w:r>
      <w:r w:rsidR="009705F5" w:rsidRPr="00482A36">
        <w:t>kg to &lt;</w:t>
      </w:r>
      <w:r w:rsidR="00224353">
        <w:t> </w:t>
      </w:r>
      <w:r w:rsidR="009705F5" w:rsidRPr="00482A36">
        <w:t>94.2</w:t>
      </w:r>
      <w:r w:rsidR="00574259" w:rsidRPr="00482A36">
        <w:t> </w:t>
      </w:r>
      <w:r w:rsidR="009705F5" w:rsidRPr="00482A36">
        <w:t>kg</w:t>
      </w:r>
      <w:r w:rsidR="000D245E" w:rsidRPr="00482A36">
        <w:t>, or age</w:t>
      </w:r>
      <w:r w:rsidR="009705F5" w:rsidRPr="00482A36">
        <w:t xml:space="preserve"> &lt;</w:t>
      </w:r>
      <w:r w:rsidR="00224353">
        <w:t> </w:t>
      </w:r>
      <w:r w:rsidR="009705F5" w:rsidRPr="00482A36">
        <w:t xml:space="preserve">39 years. </w:t>
      </w:r>
      <w:r w:rsidR="009705F5" w:rsidRPr="00616367">
        <w:t>This could be due to the smaller sample sizes of the subgroups analysed</w:t>
      </w:r>
      <w:r w:rsidR="00574259" w:rsidRPr="00616367">
        <w:t xml:space="preserve">, however, </w:t>
      </w:r>
      <w:r w:rsidR="00A54DD1" w:rsidRPr="00616367">
        <w:t>overall,</w:t>
      </w:r>
      <w:r w:rsidR="00574259" w:rsidRPr="00616367">
        <w:t xml:space="preserve"> the subgroup analysis results indicated generally smaller effects </w:t>
      </w:r>
      <w:r w:rsidR="00D81003" w:rsidRPr="00616367">
        <w:t xml:space="preserve">for </w:t>
      </w:r>
      <w:r w:rsidR="00574259" w:rsidRPr="00616367">
        <w:t xml:space="preserve">linzagolix </w:t>
      </w:r>
      <w:r w:rsidR="00224353" w:rsidRPr="00616367">
        <w:t>100</w:t>
      </w:r>
      <w:r w:rsidR="00224353">
        <w:t> </w:t>
      </w:r>
      <w:r w:rsidR="00574259" w:rsidRPr="00616367">
        <w:t>mg in terms of MBL response.</w:t>
      </w:r>
      <w:r w:rsidR="00574259" w:rsidRPr="00482A36">
        <w:t xml:space="preserve"> </w:t>
      </w:r>
      <w:r w:rsidR="000D245E" w:rsidRPr="00482A36">
        <w:t>Analysis by race revealed some variation, suggesting that the addition of ABT had less impact on African American women, though this finding lacked statistical power.</w:t>
      </w:r>
    </w:p>
    <w:p w14:paraId="15FA2D20" w14:textId="751F6ECB" w:rsidR="00342D01" w:rsidRPr="00482A36" w:rsidRDefault="00616367" w:rsidP="00342D01">
      <w:pPr>
        <w:pStyle w:val="3-BodyText"/>
      </w:pPr>
      <w:r>
        <w:fldChar w:fldCharType="begin"/>
      </w:r>
      <w:r>
        <w:instrText xml:space="preserve"> REF _Ref167888833 \h </w:instrText>
      </w:r>
      <w:r>
        <w:fldChar w:fldCharType="separate"/>
      </w:r>
      <w:r w:rsidR="003E4FD0" w:rsidRPr="00482A36">
        <w:t xml:space="preserve">Table </w:t>
      </w:r>
      <w:r w:rsidR="003E4FD0">
        <w:rPr>
          <w:noProof/>
        </w:rPr>
        <w:t>5</w:t>
      </w:r>
      <w:r>
        <w:fldChar w:fldCharType="end"/>
      </w:r>
      <w:r>
        <w:t xml:space="preserve"> </w:t>
      </w:r>
      <w:r w:rsidR="00342D01" w:rsidRPr="00482A36">
        <w:t xml:space="preserve">summarises </w:t>
      </w:r>
      <w:r w:rsidR="006E4B25" w:rsidRPr="00482A36">
        <w:t>key secondary outcomes from PRIMROSE 1 and 2, including disease symptoms and health-related quality of life</w:t>
      </w:r>
      <w:r w:rsidR="00A54DD1" w:rsidRPr="00482A36">
        <w:t xml:space="preserve"> (HRQoL)</w:t>
      </w:r>
      <w:r w:rsidR="00342D01" w:rsidRPr="00482A36">
        <w:t>.</w:t>
      </w:r>
      <w:r w:rsidR="00955953" w:rsidRPr="00482A36">
        <w:t xml:space="preserve"> Week 52 </w:t>
      </w:r>
      <w:r w:rsidR="00F161DE" w:rsidRPr="00482A36">
        <w:t xml:space="preserve">secondary outcomes were </w:t>
      </w:r>
      <w:r w:rsidR="00955953" w:rsidRPr="00482A36">
        <w:t xml:space="preserve">only reported </w:t>
      </w:r>
      <w:r w:rsidR="00D81003" w:rsidRPr="00482A36">
        <w:t xml:space="preserve">in the submission </w:t>
      </w:r>
      <w:r w:rsidR="00955953" w:rsidRPr="00482A36">
        <w:t>for PRIMROSE 1</w:t>
      </w:r>
      <w:r w:rsidR="00F161DE" w:rsidRPr="00482A36">
        <w:t xml:space="preserve">. </w:t>
      </w:r>
    </w:p>
    <w:p w14:paraId="26720829" w14:textId="25596BA6" w:rsidR="00574259" w:rsidRPr="00482A36" w:rsidRDefault="00574259" w:rsidP="004606D4">
      <w:pPr>
        <w:pStyle w:val="TableFigureHeading"/>
      </w:pPr>
      <w:bookmarkStart w:id="36" w:name="_Ref167888833"/>
      <w:bookmarkStart w:id="37" w:name="_Ref165029009"/>
      <w:r w:rsidRPr="00482A36">
        <w:t xml:space="preserve">Table </w:t>
      </w:r>
      <w:r w:rsidR="00747D8C">
        <w:fldChar w:fldCharType="begin"/>
      </w:r>
      <w:r w:rsidR="00747D8C">
        <w:instrText xml:space="preserve"> SEQ Table \* ARABIC </w:instrText>
      </w:r>
      <w:r w:rsidR="00747D8C">
        <w:fldChar w:fldCharType="separate"/>
      </w:r>
      <w:r w:rsidR="003E4FD0">
        <w:rPr>
          <w:noProof/>
        </w:rPr>
        <w:t>5</w:t>
      </w:r>
      <w:r w:rsidR="00747D8C">
        <w:rPr>
          <w:noProof/>
        </w:rPr>
        <w:fldChar w:fldCharType="end"/>
      </w:r>
      <w:bookmarkEnd w:id="36"/>
      <w:r w:rsidRPr="00482A36">
        <w:t xml:space="preserve">. </w:t>
      </w:r>
      <w:r w:rsidR="005D2FF5" w:rsidRPr="00482A36">
        <w:t>Secondary outcomes up to 24 and 52 weeks of treatment (FAS)</w:t>
      </w:r>
    </w:p>
    <w:bookmarkEnd w:id="37"/>
    <w:tbl>
      <w:tblPr>
        <w:tblStyle w:val="TableGrid"/>
        <w:tblW w:w="5000" w:type="pct"/>
        <w:shd w:val="clear" w:color="auto" w:fill="FFFFFF" w:themeFill="background1"/>
        <w:tblCellMar>
          <w:left w:w="28" w:type="dxa"/>
          <w:right w:w="28" w:type="dxa"/>
        </w:tblCellMar>
        <w:tblLook w:val="04A0" w:firstRow="1" w:lastRow="0" w:firstColumn="1" w:lastColumn="0" w:noHBand="0" w:noVBand="1"/>
        <w:tblCaption w:val="Table 5. Secondary outcomes up to 24 and 52 weeks of treatment (FAS)"/>
      </w:tblPr>
      <w:tblGrid>
        <w:gridCol w:w="953"/>
        <w:gridCol w:w="684"/>
        <w:gridCol w:w="683"/>
        <w:gridCol w:w="683"/>
        <w:gridCol w:w="683"/>
        <w:gridCol w:w="683"/>
        <w:gridCol w:w="685"/>
        <w:gridCol w:w="819"/>
        <w:gridCol w:w="821"/>
        <w:gridCol w:w="819"/>
        <w:gridCol w:w="821"/>
        <w:gridCol w:w="683"/>
      </w:tblGrid>
      <w:tr w:rsidR="005D2FF5" w:rsidRPr="00482A36" w14:paraId="46452307" w14:textId="77777777" w:rsidTr="00A54DD1">
        <w:trPr>
          <w:trHeight w:val="20"/>
          <w:tblHeader/>
        </w:trPr>
        <w:tc>
          <w:tcPr>
            <w:tcW w:w="528" w:type="pct"/>
            <w:vMerge w:val="restart"/>
            <w:shd w:val="clear" w:color="auto" w:fill="FFFFFF" w:themeFill="background1"/>
            <w:vAlign w:val="center"/>
          </w:tcPr>
          <w:p w14:paraId="6801CEF2" w14:textId="77777777" w:rsidR="005D2FF5" w:rsidRPr="00482A36" w:rsidRDefault="005D2FF5" w:rsidP="00452A16">
            <w:pPr>
              <w:pStyle w:val="Tabletext"/>
              <w:rPr>
                <w:sz w:val="19"/>
                <w:szCs w:val="19"/>
              </w:rPr>
            </w:pPr>
          </w:p>
        </w:tc>
        <w:tc>
          <w:tcPr>
            <w:tcW w:w="2274" w:type="pct"/>
            <w:gridSpan w:val="6"/>
            <w:tcBorders>
              <w:right w:val="double" w:sz="4" w:space="0" w:color="auto"/>
            </w:tcBorders>
            <w:shd w:val="clear" w:color="auto" w:fill="FFFFFF" w:themeFill="background1"/>
          </w:tcPr>
          <w:p w14:paraId="286D0942" w14:textId="77777777" w:rsidR="005D2FF5" w:rsidRPr="00482A36" w:rsidRDefault="005D2FF5" w:rsidP="00452A16">
            <w:pPr>
              <w:pStyle w:val="Tabletext"/>
              <w:jc w:val="center"/>
              <w:rPr>
                <w:b/>
                <w:bCs/>
                <w:sz w:val="19"/>
                <w:szCs w:val="19"/>
              </w:rPr>
            </w:pPr>
            <w:r w:rsidRPr="00482A36">
              <w:rPr>
                <w:b/>
                <w:bCs/>
                <w:sz w:val="19"/>
                <w:szCs w:val="19"/>
              </w:rPr>
              <w:t>PRIMROSE 1</w:t>
            </w:r>
          </w:p>
        </w:tc>
        <w:tc>
          <w:tcPr>
            <w:tcW w:w="2198" w:type="pct"/>
            <w:gridSpan w:val="5"/>
            <w:tcBorders>
              <w:left w:val="double" w:sz="4" w:space="0" w:color="auto"/>
            </w:tcBorders>
            <w:shd w:val="clear" w:color="auto" w:fill="FFFFFF" w:themeFill="background1"/>
            <w:vAlign w:val="center"/>
          </w:tcPr>
          <w:p w14:paraId="7A08FFAA" w14:textId="77777777" w:rsidR="005D2FF5" w:rsidRPr="00482A36" w:rsidRDefault="005D2FF5" w:rsidP="00452A16">
            <w:pPr>
              <w:pStyle w:val="Tabletext"/>
              <w:jc w:val="center"/>
              <w:rPr>
                <w:b/>
                <w:bCs/>
                <w:sz w:val="19"/>
                <w:szCs w:val="19"/>
              </w:rPr>
            </w:pPr>
            <w:r w:rsidRPr="00482A36">
              <w:rPr>
                <w:b/>
                <w:bCs/>
                <w:sz w:val="19"/>
                <w:szCs w:val="19"/>
              </w:rPr>
              <w:t>PRIMROSE 2</w:t>
            </w:r>
          </w:p>
        </w:tc>
      </w:tr>
      <w:tr w:rsidR="005D2FF5" w:rsidRPr="00482A36" w14:paraId="4538DC18" w14:textId="77777777" w:rsidTr="00A54DD1">
        <w:trPr>
          <w:trHeight w:val="20"/>
          <w:tblHeader/>
        </w:trPr>
        <w:tc>
          <w:tcPr>
            <w:tcW w:w="528" w:type="pct"/>
            <w:vMerge/>
            <w:shd w:val="clear" w:color="auto" w:fill="FFFFFF" w:themeFill="background1"/>
            <w:vAlign w:val="center"/>
          </w:tcPr>
          <w:p w14:paraId="655DB090" w14:textId="77777777" w:rsidR="005D2FF5" w:rsidRPr="00482A36" w:rsidRDefault="005D2FF5" w:rsidP="00452A16">
            <w:pPr>
              <w:pStyle w:val="Tabletext"/>
              <w:rPr>
                <w:sz w:val="19"/>
                <w:szCs w:val="19"/>
              </w:rPr>
            </w:pPr>
          </w:p>
        </w:tc>
        <w:tc>
          <w:tcPr>
            <w:tcW w:w="379" w:type="pct"/>
            <w:shd w:val="clear" w:color="auto" w:fill="FFFFFF" w:themeFill="background1"/>
            <w:vAlign w:val="center"/>
          </w:tcPr>
          <w:p w14:paraId="564B692A" w14:textId="77777777" w:rsidR="005D2FF5" w:rsidRPr="00482A36" w:rsidRDefault="005D2FF5" w:rsidP="00452A16">
            <w:pPr>
              <w:pStyle w:val="Tabletext"/>
              <w:jc w:val="center"/>
              <w:rPr>
                <w:b/>
                <w:bCs/>
                <w:sz w:val="19"/>
                <w:szCs w:val="19"/>
              </w:rPr>
            </w:pPr>
            <w:r w:rsidRPr="00482A36">
              <w:rPr>
                <w:b/>
                <w:bCs/>
                <w:sz w:val="19"/>
                <w:szCs w:val="19"/>
              </w:rPr>
              <w:t>LGX 100</w:t>
            </w:r>
          </w:p>
        </w:tc>
        <w:tc>
          <w:tcPr>
            <w:tcW w:w="379" w:type="pct"/>
            <w:shd w:val="clear" w:color="auto" w:fill="FFFFFF" w:themeFill="background1"/>
            <w:vAlign w:val="center"/>
          </w:tcPr>
          <w:p w14:paraId="260E5CD5" w14:textId="77777777" w:rsidR="005D2FF5" w:rsidRPr="00482A36" w:rsidRDefault="005D2FF5" w:rsidP="00452A16">
            <w:pPr>
              <w:pStyle w:val="Tabletext"/>
              <w:jc w:val="center"/>
              <w:rPr>
                <w:b/>
                <w:bCs/>
                <w:sz w:val="19"/>
                <w:szCs w:val="19"/>
              </w:rPr>
            </w:pPr>
            <w:r w:rsidRPr="00482A36">
              <w:rPr>
                <w:b/>
                <w:bCs/>
                <w:sz w:val="19"/>
                <w:szCs w:val="19"/>
              </w:rPr>
              <w:t>LGX 100 + ABT</w:t>
            </w:r>
          </w:p>
        </w:tc>
        <w:tc>
          <w:tcPr>
            <w:tcW w:w="379" w:type="pct"/>
            <w:shd w:val="clear" w:color="auto" w:fill="FFFFFF" w:themeFill="background1"/>
            <w:vAlign w:val="center"/>
          </w:tcPr>
          <w:p w14:paraId="100C126D" w14:textId="77777777" w:rsidR="005D2FF5" w:rsidRPr="00482A36" w:rsidRDefault="005D2FF5" w:rsidP="00452A16">
            <w:pPr>
              <w:pStyle w:val="PBACTabletext"/>
              <w:keepNext w:val="0"/>
              <w:keepLines w:val="0"/>
              <w:widowControl w:val="0"/>
              <w:suppressLineNumbers w:val="0"/>
              <w:jc w:val="center"/>
              <w:rPr>
                <w:b/>
                <w:bCs/>
                <w:sz w:val="19"/>
                <w:szCs w:val="19"/>
              </w:rPr>
            </w:pPr>
            <w:r w:rsidRPr="00482A36">
              <w:rPr>
                <w:b/>
                <w:bCs/>
                <w:sz w:val="19"/>
                <w:szCs w:val="19"/>
              </w:rPr>
              <w:t>LGX 200→</w:t>
            </w:r>
          </w:p>
          <w:p w14:paraId="3A2B982B" w14:textId="77777777" w:rsidR="005D2FF5" w:rsidRPr="00482A36" w:rsidRDefault="005D2FF5" w:rsidP="00452A16">
            <w:pPr>
              <w:pStyle w:val="Tabletext"/>
              <w:jc w:val="center"/>
              <w:rPr>
                <w:b/>
                <w:bCs/>
                <w:sz w:val="19"/>
                <w:szCs w:val="19"/>
              </w:rPr>
            </w:pPr>
            <w:r w:rsidRPr="00482A36">
              <w:rPr>
                <w:b/>
                <w:bCs/>
                <w:sz w:val="19"/>
                <w:szCs w:val="19"/>
              </w:rPr>
              <w:t>LGX 200 + ABT</w:t>
            </w:r>
          </w:p>
        </w:tc>
        <w:tc>
          <w:tcPr>
            <w:tcW w:w="379" w:type="pct"/>
            <w:shd w:val="clear" w:color="auto" w:fill="FFFFFF" w:themeFill="background1"/>
            <w:vAlign w:val="center"/>
          </w:tcPr>
          <w:p w14:paraId="357988C8" w14:textId="77777777" w:rsidR="005D2FF5" w:rsidRPr="00482A36" w:rsidRDefault="005D2FF5" w:rsidP="00452A16">
            <w:pPr>
              <w:pStyle w:val="Tabletext"/>
              <w:jc w:val="center"/>
              <w:rPr>
                <w:b/>
                <w:bCs/>
                <w:sz w:val="19"/>
                <w:szCs w:val="19"/>
              </w:rPr>
            </w:pPr>
            <w:r w:rsidRPr="00482A36">
              <w:rPr>
                <w:b/>
                <w:bCs/>
                <w:sz w:val="19"/>
                <w:szCs w:val="19"/>
              </w:rPr>
              <w:t>LGX 200 + ABT</w:t>
            </w:r>
          </w:p>
        </w:tc>
        <w:tc>
          <w:tcPr>
            <w:tcW w:w="379" w:type="pct"/>
            <w:shd w:val="clear" w:color="auto" w:fill="FFFFFF" w:themeFill="background1"/>
            <w:vAlign w:val="center"/>
          </w:tcPr>
          <w:p w14:paraId="12812E5C" w14:textId="77777777" w:rsidR="005D2FF5" w:rsidRPr="00482A36" w:rsidRDefault="005D2FF5" w:rsidP="00452A16">
            <w:pPr>
              <w:pStyle w:val="PBACTabletext"/>
              <w:keepNext w:val="0"/>
              <w:keepLines w:val="0"/>
              <w:widowControl w:val="0"/>
              <w:suppressLineNumbers w:val="0"/>
              <w:jc w:val="center"/>
              <w:rPr>
                <w:b/>
                <w:bCs/>
                <w:sz w:val="19"/>
                <w:szCs w:val="19"/>
              </w:rPr>
            </w:pPr>
            <w:r w:rsidRPr="00482A36">
              <w:rPr>
                <w:b/>
                <w:bCs/>
                <w:sz w:val="19"/>
                <w:szCs w:val="19"/>
              </w:rPr>
              <w:t>PBO→</w:t>
            </w:r>
          </w:p>
          <w:p w14:paraId="00DC40C3" w14:textId="77777777" w:rsidR="005D2FF5" w:rsidRPr="00482A36" w:rsidRDefault="005D2FF5" w:rsidP="00452A16">
            <w:pPr>
              <w:pStyle w:val="Tabletext"/>
              <w:jc w:val="center"/>
              <w:rPr>
                <w:b/>
                <w:bCs/>
                <w:sz w:val="19"/>
                <w:szCs w:val="19"/>
              </w:rPr>
            </w:pPr>
            <w:r w:rsidRPr="00482A36">
              <w:rPr>
                <w:b/>
                <w:bCs/>
                <w:sz w:val="19"/>
                <w:szCs w:val="19"/>
              </w:rPr>
              <w:t>LGX 200 + ABT</w:t>
            </w:r>
          </w:p>
        </w:tc>
        <w:tc>
          <w:tcPr>
            <w:tcW w:w="380" w:type="pct"/>
            <w:tcBorders>
              <w:right w:val="double" w:sz="4" w:space="0" w:color="auto"/>
            </w:tcBorders>
            <w:shd w:val="clear" w:color="auto" w:fill="FFFFFF" w:themeFill="background1"/>
            <w:vAlign w:val="center"/>
          </w:tcPr>
          <w:p w14:paraId="1CAD3B4E" w14:textId="77777777" w:rsidR="005D2FF5" w:rsidRPr="00482A36" w:rsidRDefault="005D2FF5" w:rsidP="00452A16">
            <w:pPr>
              <w:pStyle w:val="Tabletext"/>
              <w:jc w:val="center"/>
              <w:rPr>
                <w:b/>
                <w:bCs/>
                <w:sz w:val="19"/>
                <w:szCs w:val="19"/>
              </w:rPr>
            </w:pPr>
            <w:r w:rsidRPr="00482A36">
              <w:rPr>
                <w:b/>
                <w:bCs/>
                <w:sz w:val="19"/>
                <w:szCs w:val="19"/>
              </w:rPr>
              <w:t>PBO</w:t>
            </w:r>
          </w:p>
        </w:tc>
        <w:tc>
          <w:tcPr>
            <w:tcW w:w="454" w:type="pct"/>
            <w:tcBorders>
              <w:left w:val="double" w:sz="4" w:space="0" w:color="auto"/>
            </w:tcBorders>
            <w:shd w:val="clear" w:color="auto" w:fill="FFFFFF" w:themeFill="background1"/>
            <w:vAlign w:val="center"/>
          </w:tcPr>
          <w:p w14:paraId="3CC8D73C" w14:textId="77777777" w:rsidR="005D2FF5" w:rsidRPr="00482A36" w:rsidRDefault="005D2FF5" w:rsidP="00452A16">
            <w:pPr>
              <w:pStyle w:val="Tabletext"/>
              <w:jc w:val="center"/>
              <w:rPr>
                <w:b/>
                <w:bCs/>
                <w:sz w:val="19"/>
                <w:szCs w:val="19"/>
              </w:rPr>
            </w:pPr>
            <w:r w:rsidRPr="00482A36">
              <w:rPr>
                <w:b/>
                <w:bCs/>
                <w:sz w:val="19"/>
                <w:szCs w:val="19"/>
              </w:rPr>
              <w:t>LGX 100</w:t>
            </w:r>
          </w:p>
        </w:tc>
        <w:tc>
          <w:tcPr>
            <w:tcW w:w="455" w:type="pct"/>
            <w:shd w:val="clear" w:color="auto" w:fill="FFFFFF" w:themeFill="background1"/>
            <w:vAlign w:val="center"/>
          </w:tcPr>
          <w:p w14:paraId="7FF5EB1A" w14:textId="77777777" w:rsidR="005D2FF5" w:rsidRPr="00482A36" w:rsidRDefault="005D2FF5" w:rsidP="00452A16">
            <w:pPr>
              <w:pStyle w:val="Tabletext"/>
              <w:jc w:val="center"/>
              <w:rPr>
                <w:b/>
                <w:bCs/>
                <w:sz w:val="19"/>
                <w:szCs w:val="19"/>
              </w:rPr>
            </w:pPr>
            <w:r w:rsidRPr="00482A36">
              <w:rPr>
                <w:b/>
                <w:bCs/>
                <w:sz w:val="19"/>
                <w:szCs w:val="19"/>
              </w:rPr>
              <w:t>LGX 100 + ABT</w:t>
            </w:r>
          </w:p>
        </w:tc>
        <w:tc>
          <w:tcPr>
            <w:tcW w:w="454" w:type="pct"/>
            <w:shd w:val="clear" w:color="auto" w:fill="FFFFFF" w:themeFill="background1"/>
            <w:vAlign w:val="center"/>
          </w:tcPr>
          <w:p w14:paraId="184945ED" w14:textId="77777777" w:rsidR="005D2FF5" w:rsidRPr="00482A36" w:rsidRDefault="005D2FF5" w:rsidP="00452A16">
            <w:pPr>
              <w:pStyle w:val="PBACTabletext"/>
              <w:keepNext w:val="0"/>
              <w:keepLines w:val="0"/>
              <w:widowControl w:val="0"/>
              <w:suppressLineNumbers w:val="0"/>
              <w:jc w:val="center"/>
              <w:rPr>
                <w:b/>
                <w:bCs/>
                <w:sz w:val="19"/>
                <w:szCs w:val="19"/>
              </w:rPr>
            </w:pPr>
            <w:r w:rsidRPr="00482A36">
              <w:rPr>
                <w:b/>
                <w:bCs/>
                <w:sz w:val="19"/>
                <w:szCs w:val="19"/>
              </w:rPr>
              <w:t>LGX 200→</w:t>
            </w:r>
          </w:p>
          <w:p w14:paraId="4E0C43C7" w14:textId="77777777" w:rsidR="005D2FF5" w:rsidRPr="00482A36" w:rsidRDefault="005D2FF5" w:rsidP="00452A16">
            <w:pPr>
              <w:pStyle w:val="Tabletext"/>
              <w:jc w:val="center"/>
              <w:rPr>
                <w:b/>
                <w:bCs/>
                <w:sz w:val="19"/>
                <w:szCs w:val="19"/>
              </w:rPr>
            </w:pPr>
            <w:r w:rsidRPr="00482A36">
              <w:rPr>
                <w:b/>
                <w:bCs/>
                <w:sz w:val="19"/>
                <w:szCs w:val="19"/>
              </w:rPr>
              <w:t>LGX 200 + ABT</w:t>
            </w:r>
          </w:p>
        </w:tc>
        <w:tc>
          <w:tcPr>
            <w:tcW w:w="455" w:type="pct"/>
            <w:shd w:val="clear" w:color="auto" w:fill="FFFFFF" w:themeFill="background1"/>
            <w:vAlign w:val="center"/>
          </w:tcPr>
          <w:p w14:paraId="4791095A" w14:textId="77777777" w:rsidR="005D2FF5" w:rsidRPr="00482A36" w:rsidRDefault="005D2FF5" w:rsidP="00452A16">
            <w:pPr>
              <w:pStyle w:val="Tabletext"/>
              <w:jc w:val="center"/>
              <w:rPr>
                <w:b/>
                <w:bCs/>
                <w:sz w:val="19"/>
                <w:szCs w:val="19"/>
              </w:rPr>
            </w:pPr>
            <w:r w:rsidRPr="00482A36">
              <w:rPr>
                <w:b/>
                <w:bCs/>
                <w:sz w:val="19"/>
                <w:szCs w:val="19"/>
              </w:rPr>
              <w:t>LGX 200 + ABT</w:t>
            </w:r>
          </w:p>
        </w:tc>
        <w:tc>
          <w:tcPr>
            <w:tcW w:w="379" w:type="pct"/>
            <w:shd w:val="clear" w:color="auto" w:fill="FFFFFF" w:themeFill="background1"/>
            <w:vAlign w:val="center"/>
          </w:tcPr>
          <w:p w14:paraId="2220964B" w14:textId="77777777" w:rsidR="005D2FF5" w:rsidRPr="00482A36" w:rsidRDefault="005D2FF5" w:rsidP="00452A16">
            <w:pPr>
              <w:pStyle w:val="PBACTabletext"/>
              <w:keepNext w:val="0"/>
              <w:keepLines w:val="0"/>
              <w:widowControl w:val="0"/>
              <w:suppressLineNumbers w:val="0"/>
              <w:jc w:val="center"/>
              <w:rPr>
                <w:b/>
                <w:bCs/>
                <w:sz w:val="19"/>
                <w:szCs w:val="19"/>
              </w:rPr>
            </w:pPr>
            <w:r w:rsidRPr="00482A36">
              <w:rPr>
                <w:b/>
                <w:bCs/>
                <w:sz w:val="19"/>
                <w:szCs w:val="19"/>
              </w:rPr>
              <w:t>PBO→</w:t>
            </w:r>
          </w:p>
          <w:p w14:paraId="5732717E" w14:textId="77777777" w:rsidR="005D2FF5" w:rsidRPr="00482A36" w:rsidRDefault="005D2FF5" w:rsidP="00452A16">
            <w:pPr>
              <w:pStyle w:val="Tabletext"/>
              <w:jc w:val="center"/>
              <w:rPr>
                <w:b/>
                <w:bCs/>
                <w:sz w:val="19"/>
                <w:szCs w:val="19"/>
              </w:rPr>
            </w:pPr>
            <w:r w:rsidRPr="00482A36">
              <w:rPr>
                <w:b/>
                <w:bCs/>
                <w:sz w:val="19"/>
                <w:szCs w:val="19"/>
              </w:rPr>
              <w:t>LGX 200 + ABT</w:t>
            </w:r>
          </w:p>
        </w:tc>
      </w:tr>
      <w:tr w:rsidR="005D2FF5" w:rsidRPr="00482A36" w14:paraId="51D81E36" w14:textId="77777777" w:rsidTr="00A54DD1">
        <w:trPr>
          <w:trHeight w:val="20"/>
          <w:tblHeader/>
        </w:trPr>
        <w:tc>
          <w:tcPr>
            <w:tcW w:w="528" w:type="pct"/>
            <w:shd w:val="clear" w:color="auto" w:fill="FFFFFF" w:themeFill="background1"/>
            <w:vAlign w:val="center"/>
          </w:tcPr>
          <w:p w14:paraId="31605F15" w14:textId="77777777" w:rsidR="005D2FF5" w:rsidRPr="00482A36" w:rsidRDefault="005D2FF5" w:rsidP="00452A16">
            <w:pPr>
              <w:pStyle w:val="Tabletext"/>
              <w:rPr>
                <w:b/>
                <w:bCs/>
                <w:sz w:val="19"/>
                <w:szCs w:val="19"/>
              </w:rPr>
            </w:pPr>
            <w:r w:rsidRPr="00482A36">
              <w:rPr>
                <w:b/>
                <w:bCs/>
                <w:sz w:val="19"/>
                <w:szCs w:val="19"/>
              </w:rPr>
              <w:t>N (w24)</w:t>
            </w:r>
          </w:p>
        </w:tc>
        <w:tc>
          <w:tcPr>
            <w:tcW w:w="379" w:type="pct"/>
            <w:shd w:val="clear" w:color="auto" w:fill="FFFFFF" w:themeFill="background1"/>
            <w:vAlign w:val="center"/>
          </w:tcPr>
          <w:p w14:paraId="592C84B7" w14:textId="77777777" w:rsidR="005D2FF5" w:rsidRPr="00482A36" w:rsidRDefault="005D2FF5" w:rsidP="00452A16">
            <w:pPr>
              <w:pStyle w:val="Tabletext"/>
              <w:jc w:val="center"/>
              <w:rPr>
                <w:b/>
                <w:bCs/>
                <w:sz w:val="19"/>
                <w:szCs w:val="19"/>
              </w:rPr>
            </w:pPr>
            <w:r w:rsidRPr="00482A36">
              <w:rPr>
                <w:b/>
                <w:bCs/>
                <w:sz w:val="19"/>
                <w:szCs w:val="19"/>
              </w:rPr>
              <w:t>94</w:t>
            </w:r>
          </w:p>
        </w:tc>
        <w:tc>
          <w:tcPr>
            <w:tcW w:w="379" w:type="pct"/>
            <w:shd w:val="clear" w:color="auto" w:fill="FFFFFF" w:themeFill="background1"/>
            <w:vAlign w:val="center"/>
          </w:tcPr>
          <w:p w14:paraId="1BEC4363" w14:textId="77777777" w:rsidR="005D2FF5" w:rsidRPr="00482A36" w:rsidRDefault="005D2FF5" w:rsidP="00452A16">
            <w:pPr>
              <w:pStyle w:val="Tabletext"/>
              <w:jc w:val="center"/>
              <w:rPr>
                <w:b/>
                <w:bCs/>
                <w:sz w:val="19"/>
                <w:szCs w:val="19"/>
              </w:rPr>
            </w:pPr>
            <w:r w:rsidRPr="00482A36">
              <w:rPr>
                <w:b/>
                <w:bCs/>
                <w:sz w:val="19"/>
                <w:szCs w:val="19"/>
              </w:rPr>
              <w:t>107</w:t>
            </w:r>
          </w:p>
        </w:tc>
        <w:tc>
          <w:tcPr>
            <w:tcW w:w="379" w:type="pct"/>
            <w:shd w:val="clear" w:color="auto" w:fill="FFFFFF" w:themeFill="background1"/>
            <w:vAlign w:val="center"/>
          </w:tcPr>
          <w:p w14:paraId="51E1FDD0" w14:textId="77777777" w:rsidR="005D2FF5" w:rsidRPr="00482A36" w:rsidRDefault="005D2FF5" w:rsidP="00452A16">
            <w:pPr>
              <w:pStyle w:val="Tabletext"/>
              <w:jc w:val="center"/>
              <w:rPr>
                <w:b/>
                <w:bCs/>
                <w:sz w:val="19"/>
                <w:szCs w:val="19"/>
              </w:rPr>
            </w:pPr>
            <w:r w:rsidRPr="00482A36">
              <w:rPr>
                <w:b/>
                <w:bCs/>
                <w:sz w:val="19"/>
                <w:szCs w:val="19"/>
              </w:rPr>
              <w:t>105</w:t>
            </w:r>
          </w:p>
        </w:tc>
        <w:tc>
          <w:tcPr>
            <w:tcW w:w="379" w:type="pct"/>
            <w:shd w:val="clear" w:color="auto" w:fill="FFFFFF" w:themeFill="background1"/>
            <w:vAlign w:val="center"/>
          </w:tcPr>
          <w:p w14:paraId="65D2EE06" w14:textId="77777777" w:rsidR="005D2FF5" w:rsidRPr="00482A36" w:rsidRDefault="005D2FF5" w:rsidP="00452A16">
            <w:pPr>
              <w:pStyle w:val="Tabletext"/>
              <w:jc w:val="center"/>
              <w:rPr>
                <w:b/>
                <w:bCs/>
                <w:sz w:val="19"/>
                <w:szCs w:val="19"/>
              </w:rPr>
            </w:pPr>
            <w:r w:rsidRPr="00482A36">
              <w:rPr>
                <w:b/>
                <w:bCs/>
                <w:sz w:val="19"/>
                <w:szCs w:val="19"/>
              </w:rPr>
              <w:t>102</w:t>
            </w:r>
          </w:p>
        </w:tc>
        <w:tc>
          <w:tcPr>
            <w:tcW w:w="379" w:type="pct"/>
            <w:shd w:val="clear" w:color="auto" w:fill="FFFFFF" w:themeFill="background1"/>
          </w:tcPr>
          <w:p w14:paraId="680257BC" w14:textId="77777777" w:rsidR="005D2FF5" w:rsidRPr="00482A36" w:rsidRDefault="005D2FF5" w:rsidP="00452A16">
            <w:pPr>
              <w:pStyle w:val="Tabletext"/>
              <w:jc w:val="center"/>
              <w:rPr>
                <w:b/>
                <w:bCs/>
                <w:sz w:val="19"/>
                <w:szCs w:val="19"/>
              </w:rPr>
            </w:pPr>
            <w:r w:rsidRPr="00482A36">
              <w:rPr>
                <w:b/>
                <w:bCs/>
                <w:sz w:val="19"/>
                <w:szCs w:val="19"/>
              </w:rPr>
              <w:t>0</w:t>
            </w:r>
          </w:p>
        </w:tc>
        <w:tc>
          <w:tcPr>
            <w:tcW w:w="380" w:type="pct"/>
            <w:tcBorders>
              <w:right w:val="double" w:sz="4" w:space="0" w:color="auto"/>
            </w:tcBorders>
            <w:shd w:val="clear" w:color="auto" w:fill="FFFFFF" w:themeFill="background1"/>
            <w:vAlign w:val="center"/>
          </w:tcPr>
          <w:p w14:paraId="3CECB54B" w14:textId="77777777" w:rsidR="005D2FF5" w:rsidRPr="00482A36" w:rsidRDefault="005D2FF5" w:rsidP="00452A16">
            <w:pPr>
              <w:pStyle w:val="Tabletext"/>
              <w:jc w:val="center"/>
              <w:rPr>
                <w:b/>
                <w:bCs/>
                <w:sz w:val="19"/>
                <w:szCs w:val="19"/>
              </w:rPr>
            </w:pPr>
            <w:r w:rsidRPr="00482A36">
              <w:rPr>
                <w:b/>
                <w:bCs/>
                <w:sz w:val="19"/>
                <w:szCs w:val="19"/>
              </w:rPr>
              <w:t>103</w:t>
            </w:r>
          </w:p>
        </w:tc>
        <w:tc>
          <w:tcPr>
            <w:tcW w:w="454" w:type="pct"/>
            <w:tcBorders>
              <w:left w:val="double" w:sz="4" w:space="0" w:color="auto"/>
            </w:tcBorders>
            <w:shd w:val="clear" w:color="auto" w:fill="FFFFFF" w:themeFill="background1"/>
            <w:vAlign w:val="center"/>
          </w:tcPr>
          <w:p w14:paraId="5FF3CA99" w14:textId="77777777" w:rsidR="005D2FF5" w:rsidRPr="00482A36" w:rsidRDefault="005D2FF5" w:rsidP="00452A16">
            <w:pPr>
              <w:pStyle w:val="Tabletext"/>
              <w:jc w:val="center"/>
              <w:rPr>
                <w:b/>
                <w:bCs/>
                <w:sz w:val="19"/>
                <w:szCs w:val="19"/>
              </w:rPr>
            </w:pPr>
            <w:r w:rsidRPr="00482A36">
              <w:rPr>
                <w:b/>
                <w:bCs/>
                <w:sz w:val="19"/>
                <w:szCs w:val="19"/>
              </w:rPr>
              <w:t>97</w:t>
            </w:r>
          </w:p>
        </w:tc>
        <w:tc>
          <w:tcPr>
            <w:tcW w:w="455" w:type="pct"/>
            <w:shd w:val="clear" w:color="auto" w:fill="FFFFFF" w:themeFill="background1"/>
            <w:vAlign w:val="center"/>
          </w:tcPr>
          <w:p w14:paraId="26B02CF2" w14:textId="77777777" w:rsidR="005D2FF5" w:rsidRPr="00482A36" w:rsidRDefault="005D2FF5" w:rsidP="00452A16">
            <w:pPr>
              <w:pStyle w:val="Tabletext"/>
              <w:jc w:val="center"/>
              <w:rPr>
                <w:b/>
                <w:bCs/>
                <w:sz w:val="19"/>
                <w:szCs w:val="19"/>
              </w:rPr>
            </w:pPr>
            <w:r w:rsidRPr="00482A36">
              <w:rPr>
                <w:b/>
                <w:bCs/>
                <w:sz w:val="19"/>
                <w:szCs w:val="19"/>
              </w:rPr>
              <w:t>101</w:t>
            </w:r>
          </w:p>
        </w:tc>
        <w:tc>
          <w:tcPr>
            <w:tcW w:w="454" w:type="pct"/>
            <w:shd w:val="clear" w:color="auto" w:fill="FFFFFF" w:themeFill="background1"/>
            <w:vAlign w:val="center"/>
          </w:tcPr>
          <w:p w14:paraId="4FB8FFD4" w14:textId="77777777" w:rsidR="005D2FF5" w:rsidRPr="00482A36" w:rsidRDefault="005D2FF5" w:rsidP="00452A16">
            <w:pPr>
              <w:pStyle w:val="Tabletext"/>
              <w:jc w:val="center"/>
              <w:rPr>
                <w:b/>
                <w:bCs/>
                <w:sz w:val="19"/>
                <w:szCs w:val="19"/>
              </w:rPr>
            </w:pPr>
            <w:r w:rsidRPr="00482A36">
              <w:rPr>
                <w:b/>
                <w:bCs/>
                <w:sz w:val="19"/>
                <w:szCs w:val="19"/>
              </w:rPr>
              <w:t>103</w:t>
            </w:r>
          </w:p>
        </w:tc>
        <w:tc>
          <w:tcPr>
            <w:tcW w:w="455" w:type="pct"/>
            <w:shd w:val="clear" w:color="auto" w:fill="FFFFFF" w:themeFill="background1"/>
            <w:vAlign w:val="center"/>
          </w:tcPr>
          <w:p w14:paraId="073B3F89" w14:textId="77777777" w:rsidR="005D2FF5" w:rsidRPr="00482A36" w:rsidRDefault="005D2FF5" w:rsidP="00452A16">
            <w:pPr>
              <w:pStyle w:val="Tabletext"/>
              <w:jc w:val="center"/>
              <w:rPr>
                <w:b/>
                <w:bCs/>
                <w:sz w:val="19"/>
                <w:szCs w:val="19"/>
              </w:rPr>
            </w:pPr>
            <w:r w:rsidRPr="00482A36">
              <w:rPr>
                <w:b/>
                <w:bCs/>
                <w:sz w:val="19"/>
                <w:szCs w:val="19"/>
              </w:rPr>
              <w:t>98</w:t>
            </w:r>
          </w:p>
        </w:tc>
        <w:tc>
          <w:tcPr>
            <w:tcW w:w="379" w:type="pct"/>
            <w:shd w:val="clear" w:color="auto" w:fill="FFFFFF" w:themeFill="background1"/>
            <w:vAlign w:val="center"/>
          </w:tcPr>
          <w:p w14:paraId="0701243E" w14:textId="77777777" w:rsidR="005D2FF5" w:rsidRPr="00482A36" w:rsidRDefault="005D2FF5" w:rsidP="00452A16">
            <w:pPr>
              <w:pStyle w:val="Tabletext"/>
              <w:jc w:val="center"/>
              <w:rPr>
                <w:b/>
                <w:bCs/>
                <w:sz w:val="19"/>
                <w:szCs w:val="19"/>
              </w:rPr>
            </w:pPr>
            <w:r w:rsidRPr="00482A36">
              <w:rPr>
                <w:b/>
                <w:bCs/>
                <w:sz w:val="19"/>
                <w:szCs w:val="19"/>
              </w:rPr>
              <w:t>102</w:t>
            </w:r>
          </w:p>
        </w:tc>
      </w:tr>
      <w:tr w:rsidR="005D2FF5" w:rsidRPr="00482A36" w14:paraId="14A7211F" w14:textId="77777777" w:rsidTr="00A54DD1">
        <w:trPr>
          <w:trHeight w:val="20"/>
          <w:tblHeader/>
        </w:trPr>
        <w:tc>
          <w:tcPr>
            <w:tcW w:w="528" w:type="pct"/>
            <w:shd w:val="clear" w:color="auto" w:fill="FFFFFF" w:themeFill="background1"/>
            <w:vAlign w:val="center"/>
          </w:tcPr>
          <w:p w14:paraId="6B0BE697" w14:textId="77777777" w:rsidR="005D2FF5" w:rsidRPr="00482A36" w:rsidRDefault="005D2FF5" w:rsidP="00452A16">
            <w:pPr>
              <w:pStyle w:val="Tabletext"/>
              <w:rPr>
                <w:b/>
                <w:bCs/>
                <w:sz w:val="19"/>
                <w:szCs w:val="19"/>
              </w:rPr>
            </w:pPr>
            <w:r w:rsidRPr="00482A36">
              <w:rPr>
                <w:b/>
                <w:bCs/>
                <w:sz w:val="19"/>
                <w:szCs w:val="19"/>
              </w:rPr>
              <w:t>N (w52)</w:t>
            </w:r>
          </w:p>
        </w:tc>
        <w:tc>
          <w:tcPr>
            <w:tcW w:w="379" w:type="pct"/>
            <w:shd w:val="clear" w:color="auto" w:fill="FFFFFF" w:themeFill="background1"/>
            <w:vAlign w:val="center"/>
          </w:tcPr>
          <w:p w14:paraId="429A1B0D" w14:textId="106A321A" w:rsidR="005D2FF5" w:rsidRPr="00482A36" w:rsidRDefault="005D2FF5" w:rsidP="00452A16">
            <w:pPr>
              <w:pStyle w:val="Tabletext"/>
              <w:jc w:val="center"/>
              <w:rPr>
                <w:b/>
                <w:bCs/>
                <w:sz w:val="19"/>
                <w:szCs w:val="19"/>
              </w:rPr>
            </w:pPr>
            <w:r w:rsidRPr="00482A36">
              <w:rPr>
                <w:sz w:val="19"/>
                <w:szCs w:val="19"/>
              </w:rPr>
              <w:t>61</w:t>
            </w:r>
            <w:r w:rsidR="00B31290" w:rsidRPr="00482A36">
              <w:rPr>
                <w:sz w:val="19"/>
                <w:szCs w:val="19"/>
                <w:vertAlign w:val="superscript"/>
              </w:rPr>
              <w:t>a</w:t>
            </w:r>
          </w:p>
        </w:tc>
        <w:tc>
          <w:tcPr>
            <w:tcW w:w="379" w:type="pct"/>
            <w:shd w:val="clear" w:color="auto" w:fill="FFFFFF" w:themeFill="background1"/>
            <w:vAlign w:val="center"/>
          </w:tcPr>
          <w:p w14:paraId="2D0CA6A7" w14:textId="77777777" w:rsidR="005D2FF5" w:rsidRPr="00482A36" w:rsidRDefault="005D2FF5" w:rsidP="00452A16">
            <w:pPr>
              <w:pStyle w:val="Tabletext"/>
              <w:jc w:val="center"/>
              <w:rPr>
                <w:b/>
                <w:bCs/>
                <w:sz w:val="19"/>
                <w:szCs w:val="19"/>
              </w:rPr>
            </w:pPr>
            <w:r w:rsidRPr="00482A36">
              <w:rPr>
                <w:sz w:val="19"/>
                <w:szCs w:val="19"/>
              </w:rPr>
              <w:t>64</w:t>
            </w:r>
          </w:p>
        </w:tc>
        <w:tc>
          <w:tcPr>
            <w:tcW w:w="379" w:type="pct"/>
            <w:shd w:val="clear" w:color="auto" w:fill="FFFFFF" w:themeFill="background1"/>
            <w:vAlign w:val="center"/>
          </w:tcPr>
          <w:p w14:paraId="596221D8" w14:textId="77777777" w:rsidR="005D2FF5" w:rsidRPr="00482A36" w:rsidRDefault="005D2FF5" w:rsidP="00452A16">
            <w:pPr>
              <w:pStyle w:val="Tabletext"/>
              <w:jc w:val="center"/>
              <w:rPr>
                <w:b/>
                <w:bCs/>
                <w:sz w:val="19"/>
                <w:szCs w:val="19"/>
              </w:rPr>
            </w:pPr>
            <w:r w:rsidRPr="00482A36">
              <w:rPr>
                <w:sz w:val="19"/>
                <w:szCs w:val="19"/>
              </w:rPr>
              <w:t>75</w:t>
            </w:r>
          </w:p>
        </w:tc>
        <w:tc>
          <w:tcPr>
            <w:tcW w:w="379" w:type="pct"/>
            <w:shd w:val="clear" w:color="auto" w:fill="FFFFFF" w:themeFill="background1"/>
            <w:vAlign w:val="center"/>
          </w:tcPr>
          <w:p w14:paraId="24B938C2" w14:textId="77777777" w:rsidR="005D2FF5" w:rsidRPr="00482A36" w:rsidRDefault="005D2FF5" w:rsidP="00452A16">
            <w:pPr>
              <w:pStyle w:val="Tabletext"/>
              <w:jc w:val="center"/>
              <w:rPr>
                <w:b/>
                <w:bCs/>
                <w:sz w:val="19"/>
                <w:szCs w:val="19"/>
              </w:rPr>
            </w:pPr>
            <w:r w:rsidRPr="00482A36">
              <w:rPr>
                <w:sz w:val="19"/>
                <w:szCs w:val="19"/>
              </w:rPr>
              <w:t>66</w:t>
            </w:r>
          </w:p>
        </w:tc>
        <w:tc>
          <w:tcPr>
            <w:tcW w:w="379" w:type="pct"/>
            <w:shd w:val="clear" w:color="auto" w:fill="FFFFFF" w:themeFill="background1"/>
            <w:vAlign w:val="center"/>
          </w:tcPr>
          <w:p w14:paraId="70C3236B" w14:textId="77777777" w:rsidR="005D2FF5" w:rsidRPr="00482A36" w:rsidRDefault="005D2FF5" w:rsidP="00452A16">
            <w:pPr>
              <w:pStyle w:val="Tabletext"/>
              <w:jc w:val="center"/>
              <w:rPr>
                <w:b/>
                <w:bCs/>
                <w:sz w:val="19"/>
                <w:szCs w:val="19"/>
              </w:rPr>
            </w:pPr>
            <w:r w:rsidRPr="00482A36">
              <w:rPr>
                <w:sz w:val="19"/>
                <w:szCs w:val="19"/>
              </w:rPr>
              <w:t>34</w:t>
            </w:r>
          </w:p>
        </w:tc>
        <w:tc>
          <w:tcPr>
            <w:tcW w:w="380" w:type="pct"/>
            <w:tcBorders>
              <w:right w:val="double" w:sz="4" w:space="0" w:color="auto"/>
            </w:tcBorders>
            <w:shd w:val="clear" w:color="auto" w:fill="FFFFFF" w:themeFill="background1"/>
            <w:vAlign w:val="center"/>
          </w:tcPr>
          <w:p w14:paraId="0932C1E0" w14:textId="5510CD43" w:rsidR="005D2FF5" w:rsidRPr="00482A36" w:rsidRDefault="005D2FF5" w:rsidP="00452A16">
            <w:pPr>
              <w:pStyle w:val="Tabletext"/>
              <w:jc w:val="center"/>
              <w:rPr>
                <w:b/>
                <w:bCs/>
                <w:sz w:val="19"/>
                <w:szCs w:val="19"/>
              </w:rPr>
            </w:pPr>
            <w:r w:rsidRPr="00482A36">
              <w:rPr>
                <w:sz w:val="19"/>
                <w:szCs w:val="19"/>
              </w:rPr>
              <w:t>31</w:t>
            </w:r>
            <w:r w:rsidR="00B31290" w:rsidRPr="00482A36">
              <w:rPr>
                <w:sz w:val="19"/>
                <w:szCs w:val="19"/>
                <w:vertAlign w:val="superscript"/>
              </w:rPr>
              <w:t xml:space="preserve"> a</w:t>
            </w:r>
          </w:p>
        </w:tc>
        <w:tc>
          <w:tcPr>
            <w:tcW w:w="454" w:type="pct"/>
            <w:tcBorders>
              <w:left w:val="double" w:sz="4" w:space="0" w:color="auto"/>
            </w:tcBorders>
            <w:shd w:val="clear" w:color="auto" w:fill="FFFFFF" w:themeFill="background1"/>
            <w:vAlign w:val="center"/>
          </w:tcPr>
          <w:p w14:paraId="7B44678B" w14:textId="009F5790" w:rsidR="005D2FF5" w:rsidRPr="00482A36" w:rsidRDefault="005D2FF5" w:rsidP="00452A16">
            <w:pPr>
              <w:pStyle w:val="Tabletext"/>
              <w:jc w:val="center"/>
              <w:rPr>
                <w:b/>
                <w:bCs/>
                <w:sz w:val="19"/>
                <w:szCs w:val="19"/>
              </w:rPr>
            </w:pPr>
            <w:r w:rsidRPr="00616367">
              <w:rPr>
                <w:iCs/>
                <w:sz w:val="19"/>
                <w:szCs w:val="19"/>
              </w:rPr>
              <w:t>79</w:t>
            </w:r>
          </w:p>
        </w:tc>
        <w:tc>
          <w:tcPr>
            <w:tcW w:w="455" w:type="pct"/>
            <w:shd w:val="clear" w:color="auto" w:fill="FFFFFF" w:themeFill="background1"/>
            <w:vAlign w:val="center"/>
          </w:tcPr>
          <w:p w14:paraId="0A45300B" w14:textId="77777777" w:rsidR="005D2FF5" w:rsidRPr="00482A36" w:rsidRDefault="005D2FF5" w:rsidP="00452A16">
            <w:pPr>
              <w:pStyle w:val="Tabletext"/>
              <w:jc w:val="center"/>
              <w:rPr>
                <w:b/>
                <w:bCs/>
                <w:sz w:val="19"/>
                <w:szCs w:val="19"/>
              </w:rPr>
            </w:pPr>
            <w:r w:rsidRPr="00616367">
              <w:rPr>
                <w:iCs/>
                <w:sz w:val="19"/>
                <w:szCs w:val="19"/>
              </w:rPr>
              <w:t>80</w:t>
            </w:r>
          </w:p>
        </w:tc>
        <w:tc>
          <w:tcPr>
            <w:tcW w:w="454" w:type="pct"/>
            <w:shd w:val="clear" w:color="auto" w:fill="FFFFFF" w:themeFill="background1"/>
            <w:vAlign w:val="center"/>
          </w:tcPr>
          <w:p w14:paraId="1B50C2E1" w14:textId="77777777" w:rsidR="005D2FF5" w:rsidRPr="00482A36" w:rsidRDefault="005D2FF5" w:rsidP="00452A16">
            <w:pPr>
              <w:pStyle w:val="Tabletext"/>
              <w:jc w:val="center"/>
              <w:rPr>
                <w:b/>
                <w:bCs/>
                <w:sz w:val="19"/>
                <w:szCs w:val="19"/>
              </w:rPr>
            </w:pPr>
            <w:r w:rsidRPr="00616367">
              <w:rPr>
                <w:iCs/>
                <w:sz w:val="19"/>
                <w:szCs w:val="19"/>
              </w:rPr>
              <w:t>88</w:t>
            </w:r>
          </w:p>
        </w:tc>
        <w:tc>
          <w:tcPr>
            <w:tcW w:w="455" w:type="pct"/>
            <w:shd w:val="clear" w:color="auto" w:fill="FFFFFF" w:themeFill="background1"/>
            <w:vAlign w:val="center"/>
          </w:tcPr>
          <w:p w14:paraId="04510403" w14:textId="77777777" w:rsidR="005D2FF5" w:rsidRPr="00482A36" w:rsidRDefault="005D2FF5" w:rsidP="00452A16">
            <w:pPr>
              <w:pStyle w:val="Tabletext"/>
              <w:jc w:val="center"/>
              <w:rPr>
                <w:b/>
                <w:bCs/>
                <w:sz w:val="19"/>
                <w:szCs w:val="19"/>
              </w:rPr>
            </w:pPr>
            <w:r w:rsidRPr="00616367">
              <w:rPr>
                <w:iCs/>
                <w:sz w:val="19"/>
                <w:szCs w:val="19"/>
              </w:rPr>
              <w:t>83</w:t>
            </w:r>
          </w:p>
        </w:tc>
        <w:tc>
          <w:tcPr>
            <w:tcW w:w="379" w:type="pct"/>
            <w:shd w:val="clear" w:color="auto" w:fill="FFFFFF" w:themeFill="background1"/>
            <w:vAlign w:val="center"/>
          </w:tcPr>
          <w:p w14:paraId="3313AB80" w14:textId="77777777" w:rsidR="005D2FF5" w:rsidRPr="00482A36" w:rsidRDefault="005D2FF5" w:rsidP="00452A16">
            <w:pPr>
              <w:pStyle w:val="Tabletext"/>
              <w:jc w:val="center"/>
              <w:rPr>
                <w:b/>
                <w:bCs/>
                <w:sz w:val="19"/>
                <w:szCs w:val="19"/>
              </w:rPr>
            </w:pPr>
            <w:r w:rsidRPr="00616367">
              <w:rPr>
                <w:iCs/>
                <w:sz w:val="19"/>
                <w:szCs w:val="19"/>
              </w:rPr>
              <w:t>89</w:t>
            </w:r>
          </w:p>
        </w:tc>
      </w:tr>
      <w:tr w:rsidR="005D2FF5" w:rsidRPr="00482A36" w14:paraId="03B4BDB0" w14:textId="77777777" w:rsidTr="005D2FF5">
        <w:trPr>
          <w:trHeight w:val="20"/>
        </w:trPr>
        <w:tc>
          <w:tcPr>
            <w:tcW w:w="5000" w:type="pct"/>
            <w:gridSpan w:val="12"/>
            <w:shd w:val="clear" w:color="auto" w:fill="FFFFFF" w:themeFill="background1"/>
          </w:tcPr>
          <w:p w14:paraId="24D4685F" w14:textId="77777777" w:rsidR="005D2FF5" w:rsidRPr="00482A36" w:rsidRDefault="005D2FF5" w:rsidP="00452A16">
            <w:pPr>
              <w:pStyle w:val="Tabletext"/>
              <w:rPr>
                <w:sz w:val="19"/>
                <w:szCs w:val="19"/>
              </w:rPr>
            </w:pPr>
            <w:r w:rsidRPr="00482A36">
              <w:rPr>
                <w:b/>
                <w:bCs/>
                <w:sz w:val="19"/>
                <w:szCs w:val="19"/>
              </w:rPr>
              <w:t>Pain change from baseline up to week 24</w:t>
            </w:r>
          </w:p>
        </w:tc>
      </w:tr>
      <w:tr w:rsidR="005D2FF5" w:rsidRPr="00482A36" w14:paraId="3DE746A8" w14:textId="77777777" w:rsidTr="00A54DD1">
        <w:trPr>
          <w:trHeight w:val="20"/>
        </w:trPr>
        <w:tc>
          <w:tcPr>
            <w:tcW w:w="528" w:type="pct"/>
            <w:shd w:val="clear" w:color="auto" w:fill="FFFFFF" w:themeFill="background1"/>
            <w:vAlign w:val="center"/>
          </w:tcPr>
          <w:p w14:paraId="47DDACC1" w14:textId="77777777" w:rsidR="005D2FF5" w:rsidRPr="00482A36"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1E393B36"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-1.6</w:t>
            </w:r>
          </w:p>
          <w:p w14:paraId="14A14AF4"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(-2.6, - 0.7)</w:t>
            </w:r>
          </w:p>
        </w:tc>
        <w:tc>
          <w:tcPr>
            <w:tcW w:w="379" w:type="pct"/>
            <w:shd w:val="clear" w:color="auto" w:fill="FFFFFF" w:themeFill="background1"/>
            <w:vAlign w:val="center"/>
          </w:tcPr>
          <w:p w14:paraId="0AC53F4C"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-2.0</w:t>
            </w:r>
          </w:p>
          <w:p w14:paraId="4C19F31E"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(-3.0, - 1.1)</w:t>
            </w:r>
          </w:p>
        </w:tc>
        <w:tc>
          <w:tcPr>
            <w:tcW w:w="379" w:type="pct"/>
            <w:shd w:val="clear" w:color="auto" w:fill="FFFFFF" w:themeFill="background1"/>
            <w:vAlign w:val="center"/>
          </w:tcPr>
          <w:p w14:paraId="1A909BB2"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-2.8</w:t>
            </w:r>
          </w:p>
          <w:p w14:paraId="38B1AE51"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(-3.7, - 1.9)</w:t>
            </w:r>
          </w:p>
        </w:tc>
        <w:tc>
          <w:tcPr>
            <w:tcW w:w="379" w:type="pct"/>
            <w:shd w:val="clear" w:color="auto" w:fill="FFFFFF" w:themeFill="background1"/>
            <w:vAlign w:val="center"/>
          </w:tcPr>
          <w:p w14:paraId="13792B2D"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-2.6</w:t>
            </w:r>
          </w:p>
          <w:p w14:paraId="2A7A1758"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(-3.6, - 1.7)</w:t>
            </w:r>
          </w:p>
        </w:tc>
        <w:tc>
          <w:tcPr>
            <w:tcW w:w="379" w:type="pct"/>
            <w:shd w:val="clear" w:color="auto" w:fill="FFFFFF" w:themeFill="background1"/>
            <w:vAlign w:val="center"/>
          </w:tcPr>
          <w:p w14:paraId="28DE5513"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74728607"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688CA95C"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-1.2</w:t>
            </w:r>
          </w:p>
          <w:p w14:paraId="774A2122"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(-1.9, -0.5)</w:t>
            </w:r>
          </w:p>
        </w:tc>
        <w:tc>
          <w:tcPr>
            <w:tcW w:w="455" w:type="pct"/>
            <w:shd w:val="clear" w:color="auto" w:fill="FFFFFF" w:themeFill="background1"/>
            <w:vAlign w:val="center"/>
          </w:tcPr>
          <w:p w14:paraId="71E61913"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-1.5</w:t>
            </w:r>
          </w:p>
          <w:p w14:paraId="235CD455"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(-2.2, -0.8)</w:t>
            </w:r>
          </w:p>
        </w:tc>
        <w:tc>
          <w:tcPr>
            <w:tcW w:w="454" w:type="pct"/>
            <w:shd w:val="clear" w:color="auto" w:fill="FFFFFF" w:themeFill="background1"/>
            <w:vAlign w:val="center"/>
          </w:tcPr>
          <w:p w14:paraId="3B4A800B"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-2.1</w:t>
            </w:r>
          </w:p>
          <w:p w14:paraId="341F048F" w14:textId="77777777" w:rsidR="005D2FF5" w:rsidRPr="00482A36" w:rsidRDefault="005D2FF5" w:rsidP="00452A16">
            <w:pPr>
              <w:pStyle w:val="PBACTabletext"/>
              <w:keepNext w:val="0"/>
              <w:keepLines w:val="0"/>
              <w:widowControl w:val="0"/>
              <w:suppressLineNumbers w:val="0"/>
              <w:jc w:val="center"/>
              <w:rPr>
                <w:b/>
                <w:sz w:val="19"/>
                <w:szCs w:val="19"/>
              </w:rPr>
            </w:pPr>
            <w:r w:rsidRPr="00482A36">
              <w:rPr>
                <w:sz w:val="19"/>
                <w:szCs w:val="19"/>
              </w:rPr>
              <w:t>(-2.8, -1.4)</w:t>
            </w:r>
          </w:p>
        </w:tc>
        <w:tc>
          <w:tcPr>
            <w:tcW w:w="455" w:type="pct"/>
            <w:shd w:val="clear" w:color="auto" w:fill="FFFFFF" w:themeFill="background1"/>
            <w:vAlign w:val="center"/>
          </w:tcPr>
          <w:p w14:paraId="24FE9E45"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-1.8</w:t>
            </w:r>
          </w:p>
          <w:p w14:paraId="570A7902"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(-2.5, -1.1)</w:t>
            </w:r>
          </w:p>
        </w:tc>
        <w:tc>
          <w:tcPr>
            <w:tcW w:w="379" w:type="pct"/>
            <w:shd w:val="clear" w:color="auto" w:fill="FFFFFF" w:themeFill="background1"/>
            <w:vAlign w:val="center"/>
          </w:tcPr>
          <w:p w14:paraId="47D1278E"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5E7B8E6D" w14:textId="77777777" w:rsidTr="00A54DD1">
        <w:trPr>
          <w:trHeight w:val="20"/>
        </w:trPr>
        <w:tc>
          <w:tcPr>
            <w:tcW w:w="528" w:type="pct"/>
            <w:shd w:val="clear" w:color="auto" w:fill="FFFFFF" w:themeFill="background1"/>
            <w:vAlign w:val="center"/>
          </w:tcPr>
          <w:p w14:paraId="6C8E6D3A" w14:textId="77777777" w:rsidR="005D2FF5" w:rsidRPr="00482A36" w:rsidRDefault="005D2FF5" w:rsidP="00452A16">
            <w:pPr>
              <w:pStyle w:val="Tabletext"/>
              <w:rPr>
                <w:sz w:val="19"/>
                <w:szCs w:val="19"/>
              </w:rPr>
            </w:pPr>
            <w:r w:rsidRPr="00482A36">
              <w:rPr>
                <w:sz w:val="19"/>
                <w:szCs w:val="19"/>
              </w:rPr>
              <w:t>p-value, w24</w:t>
            </w:r>
          </w:p>
        </w:tc>
        <w:tc>
          <w:tcPr>
            <w:tcW w:w="379" w:type="pct"/>
            <w:shd w:val="clear" w:color="auto" w:fill="FFFFFF" w:themeFill="background1"/>
            <w:vAlign w:val="center"/>
          </w:tcPr>
          <w:p w14:paraId="2F012DE0"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5B49C21D"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37A8C746"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60F1A21E"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tcPr>
          <w:p w14:paraId="30E54300"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66481244"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75F1AE8A"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53C1DD4A" w14:textId="77777777" w:rsidR="005D2FF5" w:rsidRPr="00482A36" w:rsidRDefault="005D2FF5" w:rsidP="00452A16">
            <w:pPr>
              <w:pStyle w:val="Tabletext"/>
              <w:jc w:val="center"/>
              <w:rPr>
                <w:b/>
                <w:bCs/>
                <w:sz w:val="19"/>
                <w:szCs w:val="19"/>
              </w:rPr>
            </w:pPr>
            <w:r w:rsidRPr="00482A36">
              <w:rPr>
                <w:b/>
                <w:bCs/>
                <w:sz w:val="19"/>
                <w:szCs w:val="19"/>
              </w:rPr>
              <w:t>&lt;0.001</w:t>
            </w:r>
          </w:p>
        </w:tc>
        <w:tc>
          <w:tcPr>
            <w:tcW w:w="454" w:type="pct"/>
            <w:shd w:val="clear" w:color="auto" w:fill="FFFFFF" w:themeFill="background1"/>
            <w:vAlign w:val="center"/>
          </w:tcPr>
          <w:p w14:paraId="4F535525"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4AF6508C"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667CD81C"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5A81BDDE" w14:textId="77777777" w:rsidTr="00A54DD1">
        <w:trPr>
          <w:trHeight w:val="20"/>
        </w:trPr>
        <w:tc>
          <w:tcPr>
            <w:tcW w:w="528" w:type="pct"/>
            <w:shd w:val="clear" w:color="auto" w:fill="FFFFFF" w:themeFill="background1"/>
            <w:vAlign w:val="center"/>
          </w:tcPr>
          <w:p w14:paraId="4513C6C9" w14:textId="77777777" w:rsidR="005D2FF5" w:rsidRPr="00482A36" w:rsidRDefault="005D2FF5" w:rsidP="00452A16">
            <w:pPr>
              <w:pStyle w:val="Tabletext"/>
              <w:rPr>
                <w:sz w:val="19"/>
                <w:szCs w:val="19"/>
              </w:rPr>
            </w:pPr>
            <w:r w:rsidRPr="00482A36">
              <w:rPr>
                <w:sz w:val="19"/>
                <w:szCs w:val="19"/>
              </w:rPr>
              <w:t>CFB (SD), w24</w:t>
            </w:r>
          </w:p>
        </w:tc>
        <w:tc>
          <w:tcPr>
            <w:tcW w:w="379" w:type="pct"/>
            <w:shd w:val="clear" w:color="auto" w:fill="FFFFFF" w:themeFill="background1"/>
            <w:vAlign w:val="center"/>
          </w:tcPr>
          <w:p w14:paraId="22BDE909" w14:textId="77777777" w:rsidR="005D2FF5" w:rsidRPr="00482A36" w:rsidRDefault="005D2FF5" w:rsidP="00452A16">
            <w:pPr>
              <w:pStyle w:val="Tabletext"/>
              <w:jc w:val="center"/>
              <w:rPr>
                <w:b/>
                <w:bCs/>
                <w:sz w:val="19"/>
                <w:szCs w:val="19"/>
              </w:rPr>
            </w:pPr>
            <w:r w:rsidRPr="00482A36">
              <w:rPr>
                <w:b/>
                <w:sz w:val="19"/>
                <w:szCs w:val="19"/>
              </w:rPr>
              <w:t>-2.8 (3.4)</w:t>
            </w:r>
          </w:p>
        </w:tc>
        <w:tc>
          <w:tcPr>
            <w:tcW w:w="379" w:type="pct"/>
            <w:shd w:val="clear" w:color="auto" w:fill="FFFFFF" w:themeFill="background1"/>
            <w:vAlign w:val="center"/>
          </w:tcPr>
          <w:p w14:paraId="6AA1B3D7" w14:textId="77777777" w:rsidR="005D2FF5" w:rsidRPr="00482A36" w:rsidRDefault="005D2FF5" w:rsidP="00452A16">
            <w:pPr>
              <w:pStyle w:val="Tabletext"/>
              <w:jc w:val="center"/>
              <w:rPr>
                <w:b/>
                <w:bCs/>
                <w:sz w:val="19"/>
                <w:szCs w:val="19"/>
              </w:rPr>
            </w:pPr>
            <w:r w:rsidRPr="00482A36">
              <w:rPr>
                <w:b/>
                <w:sz w:val="19"/>
                <w:szCs w:val="19"/>
              </w:rPr>
              <w:t>-3.5 (3.3)</w:t>
            </w:r>
          </w:p>
        </w:tc>
        <w:tc>
          <w:tcPr>
            <w:tcW w:w="379" w:type="pct"/>
            <w:shd w:val="clear" w:color="auto" w:fill="FFFFFF" w:themeFill="background1"/>
            <w:vAlign w:val="center"/>
          </w:tcPr>
          <w:p w14:paraId="587D3A70" w14:textId="77777777" w:rsidR="005D2FF5" w:rsidRPr="00482A36" w:rsidRDefault="005D2FF5" w:rsidP="00452A16">
            <w:pPr>
              <w:pStyle w:val="Tabletext"/>
              <w:jc w:val="center"/>
              <w:rPr>
                <w:b/>
                <w:bCs/>
                <w:sz w:val="19"/>
                <w:szCs w:val="19"/>
              </w:rPr>
            </w:pPr>
            <w:r w:rsidRPr="00482A36">
              <w:rPr>
                <w:b/>
                <w:sz w:val="19"/>
                <w:szCs w:val="19"/>
              </w:rPr>
              <w:t>-3.9 (3.7)</w:t>
            </w:r>
          </w:p>
        </w:tc>
        <w:tc>
          <w:tcPr>
            <w:tcW w:w="379" w:type="pct"/>
            <w:shd w:val="clear" w:color="auto" w:fill="FFFFFF" w:themeFill="background1"/>
            <w:vAlign w:val="center"/>
          </w:tcPr>
          <w:p w14:paraId="5737B3C7" w14:textId="77777777" w:rsidR="005D2FF5" w:rsidRPr="00482A36" w:rsidRDefault="005D2FF5" w:rsidP="00452A16">
            <w:pPr>
              <w:pStyle w:val="Tabletext"/>
              <w:jc w:val="center"/>
              <w:rPr>
                <w:b/>
                <w:bCs/>
                <w:sz w:val="19"/>
                <w:szCs w:val="19"/>
              </w:rPr>
            </w:pPr>
            <w:r w:rsidRPr="00482A36">
              <w:rPr>
                <w:b/>
                <w:sz w:val="19"/>
                <w:szCs w:val="19"/>
              </w:rPr>
              <w:t>-3.7 (3.5)</w:t>
            </w:r>
          </w:p>
        </w:tc>
        <w:tc>
          <w:tcPr>
            <w:tcW w:w="379" w:type="pct"/>
            <w:shd w:val="clear" w:color="auto" w:fill="FFFFFF" w:themeFill="background1"/>
          </w:tcPr>
          <w:p w14:paraId="0EF8B203" w14:textId="77777777" w:rsidR="005D2FF5" w:rsidRPr="00482A36" w:rsidRDefault="005D2FF5" w:rsidP="00452A16">
            <w:pPr>
              <w:pStyle w:val="Tabletext"/>
              <w:jc w:val="center"/>
              <w:rPr>
                <w:sz w:val="19"/>
                <w:szCs w:val="19"/>
              </w:rPr>
            </w:pPr>
          </w:p>
        </w:tc>
        <w:tc>
          <w:tcPr>
            <w:tcW w:w="380" w:type="pct"/>
            <w:tcBorders>
              <w:right w:val="double" w:sz="4" w:space="0" w:color="auto"/>
            </w:tcBorders>
            <w:shd w:val="clear" w:color="auto" w:fill="FFFFFF" w:themeFill="background1"/>
            <w:vAlign w:val="center"/>
          </w:tcPr>
          <w:p w14:paraId="75D1D2F6" w14:textId="77777777" w:rsidR="005D2FF5" w:rsidRPr="00482A36" w:rsidRDefault="005D2FF5" w:rsidP="00452A16">
            <w:pPr>
              <w:pStyle w:val="Tabletext"/>
              <w:jc w:val="center"/>
              <w:rPr>
                <w:sz w:val="19"/>
                <w:szCs w:val="19"/>
              </w:rPr>
            </w:pPr>
            <w:r w:rsidRPr="00482A36">
              <w:rPr>
                <w:sz w:val="19"/>
                <w:szCs w:val="19"/>
              </w:rPr>
              <w:t>-0.6 (2.6)</w:t>
            </w:r>
          </w:p>
        </w:tc>
        <w:tc>
          <w:tcPr>
            <w:tcW w:w="454" w:type="pct"/>
            <w:tcBorders>
              <w:left w:val="double" w:sz="4" w:space="0" w:color="auto"/>
            </w:tcBorders>
            <w:shd w:val="clear" w:color="auto" w:fill="FFFFFF" w:themeFill="background1"/>
            <w:vAlign w:val="center"/>
          </w:tcPr>
          <w:p w14:paraId="0D971836" w14:textId="77777777" w:rsidR="005D2FF5" w:rsidRPr="00482A36" w:rsidRDefault="005D2FF5" w:rsidP="00452A16">
            <w:pPr>
              <w:pStyle w:val="Tabletext"/>
              <w:jc w:val="center"/>
              <w:rPr>
                <w:b/>
                <w:bCs/>
                <w:sz w:val="19"/>
                <w:szCs w:val="19"/>
              </w:rPr>
            </w:pPr>
            <w:r w:rsidRPr="00482A36">
              <w:rPr>
                <w:b/>
                <w:sz w:val="19"/>
                <w:szCs w:val="19"/>
              </w:rPr>
              <w:t>-2.2 (2.9)</w:t>
            </w:r>
          </w:p>
        </w:tc>
        <w:tc>
          <w:tcPr>
            <w:tcW w:w="455" w:type="pct"/>
            <w:shd w:val="clear" w:color="auto" w:fill="FFFFFF" w:themeFill="background1"/>
            <w:vAlign w:val="center"/>
          </w:tcPr>
          <w:p w14:paraId="7888985F" w14:textId="77777777" w:rsidR="005D2FF5" w:rsidRPr="00482A36" w:rsidRDefault="005D2FF5" w:rsidP="00452A16">
            <w:pPr>
              <w:pStyle w:val="Tabletext"/>
              <w:jc w:val="center"/>
              <w:rPr>
                <w:b/>
                <w:bCs/>
                <w:sz w:val="19"/>
                <w:szCs w:val="19"/>
              </w:rPr>
            </w:pPr>
            <w:r w:rsidRPr="00482A36">
              <w:rPr>
                <w:b/>
                <w:sz w:val="19"/>
                <w:szCs w:val="19"/>
              </w:rPr>
              <w:t>-2.2 (2.9)</w:t>
            </w:r>
          </w:p>
        </w:tc>
        <w:tc>
          <w:tcPr>
            <w:tcW w:w="454" w:type="pct"/>
            <w:shd w:val="clear" w:color="auto" w:fill="FFFFFF" w:themeFill="background1"/>
            <w:vAlign w:val="center"/>
          </w:tcPr>
          <w:p w14:paraId="2B4A5CAA" w14:textId="77777777" w:rsidR="005D2FF5" w:rsidRPr="00482A36" w:rsidRDefault="005D2FF5" w:rsidP="00452A16">
            <w:pPr>
              <w:pStyle w:val="Tabletext"/>
              <w:jc w:val="center"/>
              <w:rPr>
                <w:b/>
                <w:bCs/>
                <w:sz w:val="19"/>
                <w:szCs w:val="19"/>
              </w:rPr>
            </w:pPr>
            <w:r w:rsidRPr="00482A36">
              <w:rPr>
                <w:b/>
                <w:sz w:val="19"/>
                <w:szCs w:val="19"/>
              </w:rPr>
              <w:t>-3.1 (3.1)</w:t>
            </w:r>
          </w:p>
        </w:tc>
        <w:tc>
          <w:tcPr>
            <w:tcW w:w="455" w:type="pct"/>
            <w:shd w:val="clear" w:color="auto" w:fill="FFFFFF" w:themeFill="background1"/>
            <w:vAlign w:val="center"/>
          </w:tcPr>
          <w:p w14:paraId="5ED1ABD0" w14:textId="77777777" w:rsidR="005D2FF5" w:rsidRPr="00482A36" w:rsidRDefault="005D2FF5" w:rsidP="00452A16">
            <w:pPr>
              <w:pStyle w:val="Tabletext"/>
              <w:jc w:val="center"/>
              <w:rPr>
                <w:b/>
                <w:bCs/>
                <w:sz w:val="19"/>
                <w:szCs w:val="19"/>
              </w:rPr>
            </w:pPr>
            <w:r w:rsidRPr="00482A36">
              <w:rPr>
                <w:b/>
                <w:sz w:val="19"/>
                <w:szCs w:val="19"/>
              </w:rPr>
              <w:t>-2.1 (3.4)</w:t>
            </w:r>
          </w:p>
        </w:tc>
        <w:tc>
          <w:tcPr>
            <w:tcW w:w="379" w:type="pct"/>
            <w:shd w:val="clear" w:color="auto" w:fill="FFFFFF" w:themeFill="background1"/>
            <w:vAlign w:val="center"/>
          </w:tcPr>
          <w:p w14:paraId="2CB94466" w14:textId="77777777" w:rsidR="005D2FF5" w:rsidRPr="00482A36" w:rsidRDefault="005D2FF5" w:rsidP="00452A16">
            <w:pPr>
              <w:pStyle w:val="Tabletext"/>
              <w:jc w:val="center"/>
              <w:rPr>
                <w:sz w:val="19"/>
                <w:szCs w:val="19"/>
              </w:rPr>
            </w:pPr>
            <w:r w:rsidRPr="00482A36">
              <w:rPr>
                <w:sz w:val="19"/>
                <w:szCs w:val="19"/>
              </w:rPr>
              <w:t>-0.6 (2.7)</w:t>
            </w:r>
          </w:p>
        </w:tc>
      </w:tr>
      <w:tr w:rsidR="005D2FF5" w:rsidRPr="00482A36" w14:paraId="770DCB78" w14:textId="77777777" w:rsidTr="00A54DD1">
        <w:trPr>
          <w:trHeight w:val="20"/>
        </w:trPr>
        <w:tc>
          <w:tcPr>
            <w:tcW w:w="528" w:type="pct"/>
            <w:shd w:val="clear" w:color="auto" w:fill="FFFFFF" w:themeFill="background1"/>
            <w:vAlign w:val="center"/>
          </w:tcPr>
          <w:p w14:paraId="3E5DCC0F" w14:textId="77777777" w:rsidR="005D2FF5" w:rsidRPr="00482A36" w:rsidRDefault="005D2FF5" w:rsidP="00452A16">
            <w:pPr>
              <w:pStyle w:val="Tabletext"/>
              <w:rPr>
                <w:sz w:val="19"/>
                <w:szCs w:val="19"/>
              </w:rPr>
            </w:pPr>
            <w:r w:rsidRPr="00482A36">
              <w:rPr>
                <w:sz w:val="19"/>
                <w:szCs w:val="19"/>
              </w:rPr>
              <w:t>CFB (SD), w52</w:t>
            </w:r>
          </w:p>
        </w:tc>
        <w:tc>
          <w:tcPr>
            <w:tcW w:w="379" w:type="pct"/>
            <w:shd w:val="clear" w:color="auto" w:fill="FFFFFF" w:themeFill="background1"/>
            <w:vAlign w:val="center"/>
          </w:tcPr>
          <w:p w14:paraId="2F6A3032" w14:textId="77777777" w:rsidR="005D2FF5" w:rsidRPr="00482A36" w:rsidRDefault="005D2FF5" w:rsidP="00452A16">
            <w:pPr>
              <w:pStyle w:val="Tabletext"/>
              <w:jc w:val="center"/>
              <w:rPr>
                <w:b/>
                <w:bCs/>
                <w:sz w:val="19"/>
                <w:szCs w:val="19"/>
              </w:rPr>
            </w:pPr>
            <w:r w:rsidRPr="00482A36">
              <w:rPr>
                <w:sz w:val="19"/>
                <w:szCs w:val="19"/>
              </w:rPr>
              <w:t>-3.3 (3.1)</w:t>
            </w:r>
          </w:p>
        </w:tc>
        <w:tc>
          <w:tcPr>
            <w:tcW w:w="379" w:type="pct"/>
            <w:shd w:val="clear" w:color="auto" w:fill="FFFFFF" w:themeFill="background1"/>
            <w:vAlign w:val="center"/>
          </w:tcPr>
          <w:p w14:paraId="17C7B25A" w14:textId="77777777" w:rsidR="005D2FF5" w:rsidRPr="00482A36" w:rsidRDefault="005D2FF5" w:rsidP="00452A16">
            <w:pPr>
              <w:pStyle w:val="Tabletext"/>
              <w:jc w:val="center"/>
              <w:rPr>
                <w:b/>
                <w:bCs/>
                <w:sz w:val="19"/>
                <w:szCs w:val="19"/>
              </w:rPr>
            </w:pPr>
            <w:r w:rsidRPr="00482A36">
              <w:rPr>
                <w:sz w:val="19"/>
                <w:szCs w:val="19"/>
              </w:rPr>
              <w:t>-2.7 (3.2)</w:t>
            </w:r>
          </w:p>
        </w:tc>
        <w:tc>
          <w:tcPr>
            <w:tcW w:w="379" w:type="pct"/>
            <w:shd w:val="clear" w:color="auto" w:fill="FFFFFF" w:themeFill="background1"/>
            <w:vAlign w:val="center"/>
          </w:tcPr>
          <w:p w14:paraId="6311E569" w14:textId="77777777" w:rsidR="005D2FF5" w:rsidRPr="00482A36" w:rsidRDefault="005D2FF5" w:rsidP="00452A16">
            <w:pPr>
              <w:pStyle w:val="Tabletext"/>
              <w:jc w:val="center"/>
              <w:rPr>
                <w:b/>
                <w:bCs/>
                <w:sz w:val="19"/>
                <w:szCs w:val="19"/>
              </w:rPr>
            </w:pPr>
            <w:r w:rsidRPr="00482A36">
              <w:rPr>
                <w:sz w:val="19"/>
                <w:szCs w:val="19"/>
              </w:rPr>
              <w:t>-2.6 (3.0)</w:t>
            </w:r>
          </w:p>
        </w:tc>
        <w:tc>
          <w:tcPr>
            <w:tcW w:w="379" w:type="pct"/>
            <w:shd w:val="clear" w:color="auto" w:fill="FFFFFF" w:themeFill="background1"/>
            <w:vAlign w:val="center"/>
          </w:tcPr>
          <w:p w14:paraId="409AC842" w14:textId="77777777" w:rsidR="005D2FF5" w:rsidRPr="00482A36" w:rsidRDefault="005D2FF5" w:rsidP="00452A16">
            <w:pPr>
              <w:pStyle w:val="Tabletext"/>
              <w:jc w:val="center"/>
              <w:rPr>
                <w:b/>
                <w:bCs/>
                <w:sz w:val="19"/>
                <w:szCs w:val="19"/>
              </w:rPr>
            </w:pPr>
            <w:r w:rsidRPr="00482A36">
              <w:rPr>
                <w:sz w:val="19"/>
                <w:szCs w:val="19"/>
              </w:rPr>
              <w:t>-3.9 (3.2)</w:t>
            </w:r>
          </w:p>
        </w:tc>
        <w:tc>
          <w:tcPr>
            <w:tcW w:w="379" w:type="pct"/>
            <w:shd w:val="clear" w:color="auto" w:fill="FFFFFF" w:themeFill="background1"/>
            <w:vAlign w:val="center"/>
          </w:tcPr>
          <w:p w14:paraId="0D016106" w14:textId="77777777" w:rsidR="005D2FF5" w:rsidRPr="00482A36" w:rsidRDefault="005D2FF5" w:rsidP="00452A16">
            <w:pPr>
              <w:pStyle w:val="Tabletext"/>
              <w:jc w:val="center"/>
              <w:rPr>
                <w:sz w:val="19"/>
                <w:szCs w:val="19"/>
              </w:rPr>
            </w:pPr>
            <w:r w:rsidRPr="00482A36">
              <w:rPr>
                <w:sz w:val="19"/>
                <w:szCs w:val="19"/>
              </w:rPr>
              <w:t>-2.3 (2.5)</w:t>
            </w:r>
          </w:p>
        </w:tc>
        <w:tc>
          <w:tcPr>
            <w:tcW w:w="380" w:type="pct"/>
            <w:tcBorders>
              <w:right w:val="double" w:sz="4" w:space="0" w:color="auto"/>
            </w:tcBorders>
            <w:shd w:val="clear" w:color="auto" w:fill="FFFFFF" w:themeFill="background1"/>
            <w:vAlign w:val="center"/>
          </w:tcPr>
          <w:p w14:paraId="08F3DCE1" w14:textId="77777777" w:rsidR="005D2FF5" w:rsidRPr="00482A36" w:rsidRDefault="005D2FF5" w:rsidP="00452A16">
            <w:pPr>
              <w:pStyle w:val="Tabletext"/>
              <w:jc w:val="center"/>
              <w:rPr>
                <w:sz w:val="19"/>
                <w:szCs w:val="19"/>
              </w:rPr>
            </w:pPr>
            <w:r w:rsidRPr="00482A36">
              <w:rPr>
                <w:sz w:val="19"/>
                <w:szCs w:val="19"/>
              </w:rPr>
              <w:t>-0.4 (2)</w:t>
            </w:r>
          </w:p>
        </w:tc>
        <w:tc>
          <w:tcPr>
            <w:tcW w:w="454" w:type="pct"/>
            <w:tcBorders>
              <w:left w:val="double" w:sz="4" w:space="0" w:color="auto"/>
            </w:tcBorders>
            <w:shd w:val="clear" w:color="auto" w:fill="FFFFFF" w:themeFill="background1"/>
            <w:vAlign w:val="center"/>
          </w:tcPr>
          <w:p w14:paraId="0E6D51F9"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12EE73B5" w14:textId="77777777" w:rsidR="005D2FF5" w:rsidRPr="00482A36" w:rsidRDefault="005D2FF5" w:rsidP="00452A16">
            <w:pPr>
              <w:pStyle w:val="Tabletext"/>
              <w:jc w:val="center"/>
              <w:rPr>
                <w:b/>
                <w:bCs/>
                <w:sz w:val="19"/>
                <w:szCs w:val="19"/>
              </w:rPr>
            </w:pPr>
            <w:r w:rsidRPr="00482A36">
              <w:rPr>
                <w:sz w:val="19"/>
                <w:szCs w:val="19"/>
              </w:rPr>
              <w:t>NR</w:t>
            </w:r>
          </w:p>
        </w:tc>
        <w:tc>
          <w:tcPr>
            <w:tcW w:w="454" w:type="pct"/>
            <w:shd w:val="clear" w:color="auto" w:fill="FFFFFF" w:themeFill="background1"/>
            <w:vAlign w:val="center"/>
          </w:tcPr>
          <w:p w14:paraId="60D9ADB6"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19E9F97C" w14:textId="77777777" w:rsidR="005D2FF5" w:rsidRPr="00482A36" w:rsidRDefault="005D2FF5" w:rsidP="00452A16">
            <w:pPr>
              <w:pStyle w:val="Tabletext"/>
              <w:jc w:val="center"/>
              <w:rPr>
                <w:b/>
                <w:bCs/>
                <w:sz w:val="19"/>
                <w:szCs w:val="19"/>
              </w:rPr>
            </w:pPr>
            <w:r w:rsidRPr="00482A36">
              <w:rPr>
                <w:sz w:val="19"/>
                <w:szCs w:val="19"/>
              </w:rPr>
              <w:t>NR</w:t>
            </w:r>
          </w:p>
        </w:tc>
        <w:tc>
          <w:tcPr>
            <w:tcW w:w="379" w:type="pct"/>
            <w:shd w:val="clear" w:color="auto" w:fill="FFFFFF" w:themeFill="background1"/>
            <w:vAlign w:val="center"/>
          </w:tcPr>
          <w:p w14:paraId="4014BFC5" w14:textId="77777777" w:rsidR="005D2FF5" w:rsidRPr="00482A36" w:rsidRDefault="005D2FF5" w:rsidP="00452A16">
            <w:pPr>
              <w:pStyle w:val="Tabletext"/>
              <w:jc w:val="center"/>
              <w:rPr>
                <w:sz w:val="19"/>
                <w:szCs w:val="19"/>
              </w:rPr>
            </w:pPr>
            <w:r w:rsidRPr="00482A36">
              <w:rPr>
                <w:sz w:val="19"/>
                <w:szCs w:val="19"/>
              </w:rPr>
              <w:t>NR</w:t>
            </w:r>
          </w:p>
        </w:tc>
      </w:tr>
      <w:tr w:rsidR="005D2FF5" w:rsidRPr="00482A36" w14:paraId="2B090560" w14:textId="77777777" w:rsidTr="005D2FF5">
        <w:trPr>
          <w:trHeight w:val="20"/>
        </w:trPr>
        <w:tc>
          <w:tcPr>
            <w:tcW w:w="5000" w:type="pct"/>
            <w:gridSpan w:val="12"/>
            <w:shd w:val="clear" w:color="auto" w:fill="FFFFFF" w:themeFill="background1"/>
          </w:tcPr>
          <w:p w14:paraId="6743B1CD" w14:textId="77777777" w:rsidR="005D2FF5" w:rsidRPr="00482A36" w:rsidRDefault="005D2FF5" w:rsidP="00452A16">
            <w:pPr>
              <w:pStyle w:val="Tabletext"/>
              <w:rPr>
                <w:b/>
                <w:bCs/>
                <w:sz w:val="19"/>
                <w:szCs w:val="19"/>
              </w:rPr>
            </w:pPr>
            <w:r w:rsidRPr="00482A36">
              <w:rPr>
                <w:b/>
                <w:bCs/>
                <w:sz w:val="19"/>
                <w:szCs w:val="19"/>
              </w:rPr>
              <w:t>Uterine fibroid volume change from baseline (mean mL) up to weeks 24 and 52</w:t>
            </w:r>
          </w:p>
        </w:tc>
      </w:tr>
      <w:tr w:rsidR="005D2FF5" w:rsidRPr="00482A36" w14:paraId="50241CC3" w14:textId="77777777" w:rsidTr="00A54DD1">
        <w:trPr>
          <w:trHeight w:val="20"/>
        </w:trPr>
        <w:tc>
          <w:tcPr>
            <w:tcW w:w="528" w:type="pct"/>
            <w:shd w:val="clear" w:color="auto" w:fill="FFFFFF" w:themeFill="background1"/>
            <w:vAlign w:val="center"/>
          </w:tcPr>
          <w:p w14:paraId="1420100A" w14:textId="77777777" w:rsidR="005D2FF5" w:rsidRPr="00482A36"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2D141325" w14:textId="77777777" w:rsidR="005D2FF5" w:rsidRPr="00482A36" w:rsidRDefault="005D2FF5" w:rsidP="00452A16">
            <w:pPr>
              <w:pStyle w:val="Tabletext"/>
              <w:jc w:val="center"/>
              <w:rPr>
                <w:sz w:val="19"/>
                <w:szCs w:val="19"/>
              </w:rPr>
            </w:pPr>
            <w:r w:rsidRPr="00482A36">
              <w:rPr>
                <w:sz w:val="19"/>
                <w:szCs w:val="19"/>
              </w:rPr>
              <w:t>0.8</w:t>
            </w:r>
          </w:p>
          <w:p w14:paraId="762F3F2A" w14:textId="77777777" w:rsidR="005D2FF5" w:rsidRPr="00482A36" w:rsidRDefault="005D2FF5" w:rsidP="00452A16">
            <w:pPr>
              <w:pStyle w:val="Tabletext"/>
              <w:jc w:val="center"/>
              <w:rPr>
                <w:sz w:val="19"/>
                <w:szCs w:val="19"/>
              </w:rPr>
            </w:pPr>
            <w:r w:rsidRPr="00482A36">
              <w:rPr>
                <w:sz w:val="19"/>
                <w:szCs w:val="19"/>
              </w:rPr>
              <w:t>(0.6, 1.0)</w:t>
            </w:r>
          </w:p>
        </w:tc>
        <w:tc>
          <w:tcPr>
            <w:tcW w:w="379" w:type="pct"/>
            <w:shd w:val="clear" w:color="auto" w:fill="FFFFFF" w:themeFill="background1"/>
            <w:vAlign w:val="center"/>
          </w:tcPr>
          <w:p w14:paraId="0D972E77" w14:textId="77777777" w:rsidR="005D2FF5" w:rsidRPr="00482A36" w:rsidRDefault="005D2FF5" w:rsidP="00452A16">
            <w:pPr>
              <w:pStyle w:val="Tabletext"/>
              <w:jc w:val="center"/>
              <w:rPr>
                <w:sz w:val="19"/>
                <w:szCs w:val="19"/>
              </w:rPr>
            </w:pPr>
            <w:r w:rsidRPr="00482A36">
              <w:rPr>
                <w:sz w:val="19"/>
                <w:szCs w:val="19"/>
              </w:rPr>
              <w:t>1.0</w:t>
            </w:r>
          </w:p>
          <w:p w14:paraId="7BDE369C" w14:textId="77777777" w:rsidR="005D2FF5" w:rsidRPr="00482A36" w:rsidRDefault="005D2FF5" w:rsidP="00452A16">
            <w:pPr>
              <w:pStyle w:val="Tabletext"/>
              <w:jc w:val="center"/>
              <w:rPr>
                <w:sz w:val="19"/>
                <w:szCs w:val="19"/>
              </w:rPr>
            </w:pPr>
            <w:r w:rsidRPr="00482A36">
              <w:rPr>
                <w:sz w:val="19"/>
                <w:szCs w:val="19"/>
              </w:rPr>
              <w:t>(0.7, 1.4)</w:t>
            </w:r>
          </w:p>
        </w:tc>
        <w:tc>
          <w:tcPr>
            <w:tcW w:w="379" w:type="pct"/>
            <w:shd w:val="clear" w:color="auto" w:fill="FFFFFF" w:themeFill="background1"/>
            <w:vAlign w:val="center"/>
          </w:tcPr>
          <w:p w14:paraId="16E20565" w14:textId="77777777" w:rsidR="005D2FF5" w:rsidRPr="00482A36" w:rsidRDefault="005D2FF5" w:rsidP="00452A16">
            <w:pPr>
              <w:pStyle w:val="Tabletext"/>
              <w:jc w:val="center"/>
              <w:rPr>
                <w:sz w:val="19"/>
                <w:szCs w:val="19"/>
              </w:rPr>
            </w:pPr>
            <w:r w:rsidRPr="00482A36">
              <w:rPr>
                <w:sz w:val="19"/>
                <w:szCs w:val="19"/>
              </w:rPr>
              <w:t>0.6</w:t>
            </w:r>
          </w:p>
          <w:p w14:paraId="77F5BDF1" w14:textId="77777777" w:rsidR="005D2FF5" w:rsidRPr="00482A36" w:rsidRDefault="005D2FF5" w:rsidP="00452A16">
            <w:pPr>
              <w:pStyle w:val="Tabletext"/>
              <w:jc w:val="center"/>
              <w:rPr>
                <w:sz w:val="19"/>
                <w:szCs w:val="19"/>
              </w:rPr>
            </w:pPr>
            <w:r w:rsidRPr="00482A36">
              <w:rPr>
                <w:sz w:val="19"/>
                <w:szCs w:val="19"/>
              </w:rPr>
              <w:t>(0.4, 0.8)</w:t>
            </w:r>
          </w:p>
        </w:tc>
        <w:tc>
          <w:tcPr>
            <w:tcW w:w="379" w:type="pct"/>
            <w:shd w:val="clear" w:color="auto" w:fill="FFFFFF" w:themeFill="background1"/>
            <w:vAlign w:val="center"/>
          </w:tcPr>
          <w:p w14:paraId="2984C6FB" w14:textId="77777777" w:rsidR="005D2FF5" w:rsidRPr="00482A36" w:rsidRDefault="005D2FF5" w:rsidP="00452A16">
            <w:pPr>
              <w:pStyle w:val="Tabletext"/>
              <w:jc w:val="center"/>
              <w:rPr>
                <w:sz w:val="19"/>
                <w:szCs w:val="19"/>
              </w:rPr>
            </w:pPr>
            <w:r w:rsidRPr="00482A36">
              <w:rPr>
                <w:sz w:val="19"/>
                <w:szCs w:val="19"/>
              </w:rPr>
              <w:t>0.9</w:t>
            </w:r>
          </w:p>
          <w:p w14:paraId="65D24B8C" w14:textId="77777777" w:rsidR="005D2FF5" w:rsidRPr="00482A36" w:rsidRDefault="005D2FF5" w:rsidP="00452A16">
            <w:pPr>
              <w:pStyle w:val="Tabletext"/>
              <w:jc w:val="center"/>
              <w:rPr>
                <w:sz w:val="19"/>
                <w:szCs w:val="19"/>
              </w:rPr>
            </w:pPr>
            <w:r w:rsidRPr="00482A36">
              <w:rPr>
                <w:sz w:val="19"/>
                <w:szCs w:val="19"/>
              </w:rPr>
              <w:t>(0.7, 1.3)</w:t>
            </w:r>
          </w:p>
        </w:tc>
        <w:tc>
          <w:tcPr>
            <w:tcW w:w="379" w:type="pct"/>
            <w:shd w:val="clear" w:color="auto" w:fill="FFFFFF" w:themeFill="background1"/>
            <w:vAlign w:val="center"/>
          </w:tcPr>
          <w:p w14:paraId="4FA914D2"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2490A9C3"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5CCD5FC6" w14:textId="77777777" w:rsidR="005D2FF5" w:rsidRPr="00482A36" w:rsidRDefault="005D2FF5" w:rsidP="00452A16">
            <w:pPr>
              <w:pStyle w:val="Tabletext"/>
              <w:jc w:val="center"/>
              <w:rPr>
                <w:sz w:val="19"/>
                <w:szCs w:val="19"/>
              </w:rPr>
            </w:pPr>
            <w:r w:rsidRPr="00482A36">
              <w:rPr>
                <w:sz w:val="19"/>
                <w:szCs w:val="19"/>
              </w:rPr>
              <w:t>0.8</w:t>
            </w:r>
          </w:p>
          <w:p w14:paraId="4DE02923" w14:textId="77777777" w:rsidR="005D2FF5" w:rsidRPr="00482A36" w:rsidRDefault="005D2FF5" w:rsidP="00452A16">
            <w:pPr>
              <w:pStyle w:val="Tabletext"/>
              <w:jc w:val="center"/>
              <w:rPr>
                <w:sz w:val="19"/>
                <w:szCs w:val="19"/>
              </w:rPr>
            </w:pPr>
            <w:r w:rsidRPr="00482A36">
              <w:rPr>
                <w:sz w:val="19"/>
                <w:szCs w:val="19"/>
              </w:rPr>
              <w:t>(0.7, 1.0)</w:t>
            </w:r>
          </w:p>
        </w:tc>
        <w:tc>
          <w:tcPr>
            <w:tcW w:w="455" w:type="pct"/>
            <w:shd w:val="clear" w:color="auto" w:fill="FFFFFF" w:themeFill="background1"/>
            <w:vAlign w:val="center"/>
          </w:tcPr>
          <w:p w14:paraId="2B97075F" w14:textId="77777777" w:rsidR="005D2FF5" w:rsidRPr="00482A36" w:rsidRDefault="005D2FF5" w:rsidP="00452A16">
            <w:pPr>
              <w:pStyle w:val="Tabletext"/>
              <w:jc w:val="center"/>
              <w:rPr>
                <w:sz w:val="19"/>
                <w:szCs w:val="19"/>
              </w:rPr>
            </w:pPr>
            <w:r w:rsidRPr="00482A36">
              <w:rPr>
                <w:sz w:val="19"/>
                <w:szCs w:val="19"/>
              </w:rPr>
              <w:t>0.9</w:t>
            </w:r>
          </w:p>
          <w:p w14:paraId="5C029151" w14:textId="77777777" w:rsidR="005D2FF5" w:rsidRPr="00482A36" w:rsidRDefault="005D2FF5" w:rsidP="00452A16">
            <w:pPr>
              <w:pStyle w:val="Tabletext"/>
              <w:jc w:val="center"/>
              <w:rPr>
                <w:sz w:val="19"/>
                <w:szCs w:val="19"/>
              </w:rPr>
            </w:pPr>
            <w:r w:rsidRPr="00482A36">
              <w:rPr>
                <w:sz w:val="19"/>
                <w:szCs w:val="19"/>
              </w:rPr>
              <w:t>(0.7, 1.1)</w:t>
            </w:r>
          </w:p>
        </w:tc>
        <w:tc>
          <w:tcPr>
            <w:tcW w:w="454" w:type="pct"/>
            <w:shd w:val="clear" w:color="auto" w:fill="FFFFFF" w:themeFill="background1"/>
            <w:vAlign w:val="center"/>
          </w:tcPr>
          <w:p w14:paraId="698DA70A" w14:textId="77777777" w:rsidR="005D2FF5" w:rsidRPr="00482A36" w:rsidRDefault="005D2FF5" w:rsidP="00452A16">
            <w:pPr>
              <w:pStyle w:val="Tabletext"/>
              <w:jc w:val="center"/>
              <w:rPr>
                <w:sz w:val="19"/>
                <w:szCs w:val="19"/>
              </w:rPr>
            </w:pPr>
            <w:r w:rsidRPr="00482A36">
              <w:rPr>
                <w:sz w:val="19"/>
                <w:szCs w:val="19"/>
              </w:rPr>
              <w:t>0.5</w:t>
            </w:r>
          </w:p>
          <w:p w14:paraId="7A4E29EF" w14:textId="77777777" w:rsidR="005D2FF5" w:rsidRPr="00482A36" w:rsidRDefault="005D2FF5" w:rsidP="00452A16">
            <w:pPr>
              <w:pStyle w:val="Tabletext"/>
              <w:jc w:val="center"/>
              <w:rPr>
                <w:sz w:val="19"/>
                <w:szCs w:val="19"/>
              </w:rPr>
            </w:pPr>
            <w:r w:rsidRPr="00482A36">
              <w:rPr>
                <w:sz w:val="19"/>
                <w:szCs w:val="19"/>
              </w:rPr>
              <w:t>(0.4, 0.6)</w:t>
            </w:r>
          </w:p>
        </w:tc>
        <w:tc>
          <w:tcPr>
            <w:tcW w:w="455" w:type="pct"/>
            <w:shd w:val="clear" w:color="auto" w:fill="FFFFFF" w:themeFill="background1"/>
            <w:vAlign w:val="center"/>
          </w:tcPr>
          <w:p w14:paraId="23ABA6F8" w14:textId="77777777" w:rsidR="005D2FF5" w:rsidRPr="00482A36" w:rsidRDefault="005D2FF5" w:rsidP="00452A16">
            <w:pPr>
              <w:pStyle w:val="Tabletext"/>
              <w:jc w:val="center"/>
              <w:rPr>
                <w:sz w:val="19"/>
                <w:szCs w:val="19"/>
              </w:rPr>
            </w:pPr>
            <w:r w:rsidRPr="00482A36">
              <w:rPr>
                <w:sz w:val="19"/>
                <w:szCs w:val="19"/>
              </w:rPr>
              <w:t>0.8</w:t>
            </w:r>
          </w:p>
          <w:p w14:paraId="0B31365D" w14:textId="77777777" w:rsidR="005D2FF5" w:rsidRPr="00482A36" w:rsidRDefault="005D2FF5" w:rsidP="00452A16">
            <w:pPr>
              <w:pStyle w:val="Tabletext"/>
              <w:jc w:val="center"/>
              <w:rPr>
                <w:sz w:val="19"/>
                <w:szCs w:val="19"/>
              </w:rPr>
            </w:pPr>
            <w:r w:rsidRPr="00482A36">
              <w:rPr>
                <w:sz w:val="19"/>
                <w:szCs w:val="19"/>
              </w:rPr>
              <w:t>(0.6, 0.9)</w:t>
            </w:r>
          </w:p>
        </w:tc>
        <w:tc>
          <w:tcPr>
            <w:tcW w:w="379" w:type="pct"/>
            <w:shd w:val="clear" w:color="auto" w:fill="FFFFFF" w:themeFill="background1"/>
            <w:vAlign w:val="center"/>
          </w:tcPr>
          <w:p w14:paraId="79FF3F16"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307BF4FD" w14:textId="77777777" w:rsidTr="00A54DD1">
        <w:trPr>
          <w:trHeight w:val="20"/>
        </w:trPr>
        <w:tc>
          <w:tcPr>
            <w:tcW w:w="528" w:type="pct"/>
            <w:shd w:val="clear" w:color="auto" w:fill="FFFFFF" w:themeFill="background1"/>
            <w:vAlign w:val="center"/>
          </w:tcPr>
          <w:p w14:paraId="147042BA" w14:textId="77777777" w:rsidR="005D2FF5" w:rsidRPr="00482A36" w:rsidRDefault="005D2FF5" w:rsidP="00452A16">
            <w:pPr>
              <w:pStyle w:val="Tabletext"/>
              <w:rPr>
                <w:sz w:val="19"/>
                <w:szCs w:val="19"/>
              </w:rPr>
            </w:pPr>
            <w:r w:rsidRPr="00482A36">
              <w:rPr>
                <w:sz w:val="19"/>
                <w:szCs w:val="19"/>
              </w:rPr>
              <w:t>p-value, w24</w:t>
            </w:r>
          </w:p>
        </w:tc>
        <w:tc>
          <w:tcPr>
            <w:tcW w:w="379" w:type="pct"/>
            <w:shd w:val="clear" w:color="auto" w:fill="FFFFFF" w:themeFill="background1"/>
            <w:vAlign w:val="center"/>
          </w:tcPr>
          <w:p w14:paraId="31BCA3E6" w14:textId="77777777" w:rsidR="005D2FF5" w:rsidRPr="00482A36" w:rsidRDefault="005D2FF5" w:rsidP="00452A16">
            <w:pPr>
              <w:pStyle w:val="Tabletext"/>
              <w:jc w:val="center"/>
              <w:rPr>
                <w:sz w:val="19"/>
                <w:szCs w:val="19"/>
              </w:rPr>
            </w:pPr>
            <w:r w:rsidRPr="00482A36">
              <w:rPr>
                <w:sz w:val="19"/>
                <w:szCs w:val="19"/>
              </w:rPr>
              <w:t>0.151</w:t>
            </w:r>
          </w:p>
        </w:tc>
        <w:tc>
          <w:tcPr>
            <w:tcW w:w="379" w:type="pct"/>
            <w:shd w:val="clear" w:color="auto" w:fill="FFFFFF" w:themeFill="background1"/>
            <w:vAlign w:val="center"/>
          </w:tcPr>
          <w:p w14:paraId="2CE88F97" w14:textId="77777777" w:rsidR="005D2FF5" w:rsidRPr="00482A36" w:rsidRDefault="005D2FF5" w:rsidP="00452A16">
            <w:pPr>
              <w:pStyle w:val="Tabletext"/>
              <w:jc w:val="center"/>
              <w:rPr>
                <w:sz w:val="19"/>
                <w:szCs w:val="19"/>
              </w:rPr>
            </w:pPr>
            <w:r w:rsidRPr="00482A36">
              <w:rPr>
                <w:sz w:val="19"/>
                <w:szCs w:val="19"/>
              </w:rPr>
              <w:t>0.840</w:t>
            </w:r>
          </w:p>
        </w:tc>
        <w:tc>
          <w:tcPr>
            <w:tcW w:w="379" w:type="pct"/>
            <w:shd w:val="clear" w:color="auto" w:fill="FFFFFF" w:themeFill="background1"/>
            <w:vAlign w:val="center"/>
          </w:tcPr>
          <w:p w14:paraId="70D94FF2"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5BDCEAAD" w14:textId="77777777" w:rsidR="005D2FF5" w:rsidRPr="00482A36" w:rsidRDefault="005D2FF5" w:rsidP="00452A16">
            <w:pPr>
              <w:pStyle w:val="Tabletext"/>
              <w:jc w:val="center"/>
              <w:rPr>
                <w:sz w:val="19"/>
                <w:szCs w:val="19"/>
              </w:rPr>
            </w:pPr>
            <w:r w:rsidRPr="00482A36">
              <w:rPr>
                <w:sz w:val="19"/>
                <w:szCs w:val="19"/>
              </w:rPr>
              <w:t>0.622</w:t>
            </w:r>
          </w:p>
        </w:tc>
        <w:tc>
          <w:tcPr>
            <w:tcW w:w="379" w:type="pct"/>
            <w:shd w:val="clear" w:color="auto" w:fill="FFFFFF" w:themeFill="background1"/>
            <w:vAlign w:val="center"/>
          </w:tcPr>
          <w:p w14:paraId="4523E11D"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0C7FEF74"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2311E76B" w14:textId="77777777" w:rsidR="005D2FF5" w:rsidRPr="00482A36" w:rsidRDefault="005D2FF5" w:rsidP="00452A16">
            <w:pPr>
              <w:pStyle w:val="Tabletext"/>
              <w:jc w:val="center"/>
              <w:rPr>
                <w:sz w:val="19"/>
                <w:szCs w:val="19"/>
              </w:rPr>
            </w:pPr>
            <w:r w:rsidRPr="00482A36">
              <w:rPr>
                <w:sz w:val="19"/>
                <w:szCs w:val="19"/>
              </w:rPr>
              <w:t>0.057</w:t>
            </w:r>
          </w:p>
        </w:tc>
        <w:tc>
          <w:tcPr>
            <w:tcW w:w="455" w:type="pct"/>
            <w:shd w:val="clear" w:color="auto" w:fill="FFFFFF" w:themeFill="background1"/>
            <w:vAlign w:val="center"/>
          </w:tcPr>
          <w:p w14:paraId="00E7C925" w14:textId="77777777" w:rsidR="005D2FF5" w:rsidRPr="00482A36" w:rsidRDefault="005D2FF5" w:rsidP="00452A16">
            <w:pPr>
              <w:pStyle w:val="Tabletext"/>
              <w:jc w:val="center"/>
              <w:rPr>
                <w:sz w:val="19"/>
                <w:szCs w:val="19"/>
              </w:rPr>
            </w:pPr>
            <w:r w:rsidRPr="00482A36">
              <w:rPr>
                <w:sz w:val="19"/>
                <w:szCs w:val="19"/>
              </w:rPr>
              <w:t>0.331</w:t>
            </w:r>
          </w:p>
        </w:tc>
        <w:tc>
          <w:tcPr>
            <w:tcW w:w="454" w:type="pct"/>
            <w:shd w:val="clear" w:color="auto" w:fill="FFFFFF" w:themeFill="background1"/>
            <w:vAlign w:val="center"/>
          </w:tcPr>
          <w:p w14:paraId="571C38AD"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70B73371" w14:textId="77777777" w:rsidR="005D2FF5" w:rsidRPr="00482A36" w:rsidRDefault="005D2FF5" w:rsidP="00452A16">
            <w:pPr>
              <w:pStyle w:val="Tabletext"/>
              <w:jc w:val="center"/>
              <w:rPr>
                <w:b/>
                <w:bCs/>
                <w:sz w:val="19"/>
                <w:szCs w:val="19"/>
              </w:rPr>
            </w:pPr>
            <w:r w:rsidRPr="00482A36">
              <w:rPr>
                <w:b/>
                <w:bCs/>
                <w:sz w:val="19"/>
                <w:szCs w:val="19"/>
              </w:rPr>
              <w:t>0.011</w:t>
            </w:r>
          </w:p>
        </w:tc>
        <w:tc>
          <w:tcPr>
            <w:tcW w:w="379" w:type="pct"/>
            <w:shd w:val="clear" w:color="auto" w:fill="FFFFFF" w:themeFill="background1"/>
            <w:vAlign w:val="center"/>
          </w:tcPr>
          <w:p w14:paraId="3F3D5F40"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5DB99992" w14:textId="77777777" w:rsidTr="00A54DD1">
        <w:trPr>
          <w:trHeight w:val="20"/>
        </w:trPr>
        <w:tc>
          <w:tcPr>
            <w:tcW w:w="528" w:type="pct"/>
            <w:shd w:val="clear" w:color="auto" w:fill="FFFFFF" w:themeFill="background1"/>
            <w:vAlign w:val="center"/>
          </w:tcPr>
          <w:p w14:paraId="1E72667A" w14:textId="77777777" w:rsidR="005D2FF5" w:rsidRPr="00482A36" w:rsidRDefault="005D2FF5" w:rsidP="00452A16">
            <w:pPr>
              <w:pStyle w:val="Tabletext"/>
              <w:rPr>
                <w:sz w:val="19"/>
                <w:szCs w:val="19"/>
              </w:rPr>
            </w:pPr>
            <w:r w:rsidRPr="00482A36">
              <w:rPr>
                <w:sz w:val="19"/>
                <w:szCs w:val="19"/>
              </w:rPr>
              <w:t>CFB (SD), w24</w:t>
            </w:r>
          </w:p>
        </w:tc>
        <w:tc>
          <w:tcPr>
            <w:tcW w:w="379" w:type="pct"/>
            <w:shd w:val="clear" w:color="auto" w:fill="FFFFFF" w:themeFill="background1"/>
            <w:vAlign w:val="center"/>
          </w:tcPr>
          <w:p w14:paraId="25D2249F" w14:textId="77777777" w:rsidR="005D2FF5" w:rsidRPr="00482A36" w:rsidRDefault="005D2FF5" w:rsidP="00452A16">
            <w:pPr>
              <w:pStyle w:val="Tabletext"/>
              <w:jc w:val="center"/>
              <w:rPr>
                <w:sz w:val="19"/>
                <w:szCs w:val="19"/>
              </w:rPr>
            </w:pPr>
            <w:r w:rsidRPr="00482A36">
              <w:rPr>
                <w:sz w:val="19"/>
                <w:szCs w:val="19"/>
              </w:rPr>
              <w:t>-11.4 (66)</w:t>
            </w:r>
          </w:p>
        </w:tc>
        <w:tc>
          <w:tcPr>
            <w:tcW w:w="379" w:type="pct"/>
            <w:shd w:val="clear" w:color="auto" w:fill="FFFFFF" w:themeFill="background1"/>
            <w:vAlign w:val="center"/>
          </w:tcPr>
          <w:p w14:paraId="09D3BA7C" w14:textId="77777777" w:rsidR="005D2FF5" w:rsidRPr="00482A36" w:rsidRDefault="005D2FF5" w:rsidP="00452A16">
            <w:pPr>
              <w:pStyle w:val="Tabletext"/>
              <w:jc w:val="center"/>
              <w:rPr>
                <w:sz w:val="19"/>
                <w:szCs w:val="19"/>
              </w:rPr>
            </w:pPr>
            <w:r w:rsidRPr="00482A36">
              <w:rPr>
                <w:sz w:val="19"/>
                <w:szCs w:val="19"/>
              </w:rPr>
              <w:t>3.0 (83)</w:t>
            </w:r>
          </w:p>
        </w:tc>
        <w:tc>
          <w:tcPr>
            <w:tcW w:w="379" w:type="pct"/>
            <w:shd w:val="clear" w:color="auto" w:fill="FFFFFF" w:themeFill="background1"/>
            <w:vAlign w:val="center"/>
          </w:tcPr>
          <w:p w14:paraId="1AA5EEE8" w14:textId="77777777" w:rsidR="005D2FF5" w:rsidRPr="00482A36" w:rsidRDefault="005D2FF5" w:rsidP="00452A16">
            <w:pPr>
              <w:pStyle w:val="Tabletext"/>
              <w:jc w:val="center"/>
              <w:rPr>
                <w:sz w:val="19"/>
                <w:szCs w:val="19"/>
              </w:rPr>
            </w:pPr>
            <w:r w:rsidRPr="00482A36">
              <w:rPr>
                <w:b/>
                <w:sz w:val="19"/>
                <w:szCs w:val="19"/>
              </w:rPr>
              <w:t>-42.7 (92)</w:t>
            </w:r>
          </w:p>
        </w:tc>
        <w:tc>
          <w:tcPr>
            <w:tcW w:w="379" w:type="pct"/>
            <w:shd w:val="clear" w:color="auto" w:fill="FFFFFF" w:themeFill="background1"/>
            <w:vAlign w:val="center"/>
          </w:tcPr>
          <w:p w14:paraId="6ACAF52C" w14:textId="77777777" w:rsidR="005D2FF5" w:rsidRPr="00482A36" w:rsidRDefault="005D2FF5" w:rsidP="00452A16">
            <w:pPr>
              <w:pStyle w:val="Tabletext"/>
              <w:jc w:val="center"/>
              <w:rPr>
                <w:sz w:val="19"/>
                <w:szCs w:val="19"/>
              </w:rPr>
            </w:pPr>
            <w:r w:rsidRPr="00482A36">
              <w:rPr>
                <w:sz w:val="19"/>
                <w:szCs w:val="19"/>
              </w:rPr>
              <w:t>-0.1 (166)</w:t>
            </w:r>
          </w:p>
        </w:tc>
        <w:tc>
          <w:tcPr>
            <w:tcW w:w="379" w:type="pct"/>
            <w:shd w:val="clear" w:color="auto" w:fill="FFFFFF" w:themeFill="background1"/>
            <w:vAlign w:val="center"/>
          </w:tcPr>
          <w:p w14:paraId="072C9059"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53AA6772" w14:textId="77777777" w:rsidR="005D2FF5" w:rsidRPr="00482A36" w:rsidRDefault="005D2FF5" w:rsidP="00452A16">
            <w:pPr>
              <w:pStyle w:val="Tabletext"/>
              <w:jc w:val="center"/>
              <w:rPr>
                <w:sz w:val="19"/>
                <w:szCs w:val="19"/>
              </w:rPr>
            </w:pPr>
            <w:r w:rsidRPr="00482A36">
              <w:rPr>
                <w:sz w:val="19"/>
                <w:szCs w:val="19"/>
              </w:rPr>
              <w:t>25 (98)</w:t>
            </w:r>
          </w:p>
        </w:tc>
        <w:tc>
          <w:tcPr>
            <w:tcW w:w="454" w:type="pct"/>
            <w:tcBorders>
              <w:left w:val="double" w:sz="4" w:space="0" w:color="auto"/>
            </w:tcBorders>
            <w:shd w:val="clear" w:color="auto" w:fill="FFFFFF" w:themeFill="background1"/>
            <w:vAlign w:val="center"/>
          </w:tcPr>
          <w:p w14:paraId="4B4F5455" w14:textId="77777777" w:rsidR="005D2FF5" w:rsidRPr="00482A36" w:rsidRDefault="005D2FF5" w:rsidP="00452A16">
            <w:pPr>
              <w:pStyle w:val="Tabletext"/>
              <w:jc w:val="center"/>
              <w:rPr>
                <w:sz w:val="19"/>
                <w:szCs w:val="19"/>
              </w:rPr>
            </w:pPr>
            <w:r w:rsidRPr="00482A36">
              <w:rPr>
                <w:sz w:val="19"/>
                <w:szCs w:val="19"/>
              </w:rPr>
              <w:t>-16.2 (42)</w:t>
            </w:r>
          </w:p>
        </w:tc>
        <w:tc>
          <w:tcPr>
            <w:tcW w:w="455" w:type="pct"/>
            <w:shd w:val="clear" w:color="auto" w:fill="FFFFFF" w:themeFill="background1"/>
            <w:vAlign w:val="center"/>
          </w:tcPr>
          <w:p w14:paraId="3D632B81" w14:textId="77777777" w:rsidR="005D2FF5" w:rsidRPr="00482A36" w:rsidRDefault="005D2FF5" w:rsidP="00452A16">
            <w:pPr>
              <w:pStyle w:val="Tabletext"/>
              <w:jc w:val="center"/>
              <w:rPr>
                <w:sz w:val="19"/>
                <w:szCs w:val="19"/>
              </w:rPr>
            </w:pPr>
            <w:r w:rsidRPr="00482A36">
              <w:rPr>
                <w:sz w:val="19"/>
                <w:szCs w:val="19"/>
              </w:rPr>
              <w:t>-11.1 (47)</w:t>
            </w:r>
          </w:p>
        </w:tc>
        <w:tc>
          <w:tcPr>
            <w:tcW w:w="454" w:type="pct"/>
            <w:shd w:val="clear" w:color="auto" w:fill="FFFFFF" w:themeFill="background1"/>
            <w:vAlign w:val="center"/>
          </w:tcPr>
          <w:p w14:paraId="2088B98D" w14:textId="77777777" w:rsidR="005D2FF5" w:rsidRPr="00482A36" w:rsidRDefault="005D2FF5" w:rsidP="00452A16">
            <w:pPr>
              <w:pStyle w:val="Tabletext"/>
              <w:jc w:val="center"/>
              <w:rPr>
                <w:sz w:val="19"/>
                <w:szCs w:val="19"/>
              </w:rPr>
            </w:pPr>
            <w:r w:rsidRPr="00482A36">
              <w:rPr>
                <w:b/>
                <w:sz w:val="19"/>
                <w:szCs w:val="19"/>
              </w:rPr>
              <w:t>-46.5 (69)</w:t>
            </w:r>
          </w:p>
        </w:tc>
        <w:tc>
          <w:tcPr>
            <w:tcW w:w="455" w:type="pct"/>
            <w:shd w:val="clear" w:color="auto" w:fill="FFFFFF" w:themeFill="background1"/>
            <w:vAlign w:val="center"/>
          </w:tcPr>
          <w:p w14:paraId="384306DA" w14:textId="77777777" w:rsidR="005D2FF5" w:rsidRPr="00482A36" w:rsidRDefault="005D2FF5" w:rsidP="00452A16">
            <w:pPr>
              <w:pStyle w:val="Tabletext"/>
              <w:jc w:val="center"/>
              <w:rPr>
                <w:sz w:val="19"/>
                <w:szCs w:val="19"/>
              </w:rPr>
            </w:pPr>
            <w:r w:rsidRPr="00482A36">
              <w:rPr>
                <w:b/>
                <w:sz w:val="19"/>
                <w:szCs w:val="19"/>
              </w:rPr>
              <w:t>-25.6 (46)</w:t>
            </w:r>
          </w:p>
        </w:tc>
        <w:tc>
          <w:tcPr>
            <w:tcW w:w="379" w:type="pct"/>
            <w:shd w:val="clear" w:color="auto" w:fill="FFFFFF" w:themeFill="background1"/>
            <w:vAlign w:val="center"/>
          </w:tcPr>
          <w:p w14:paraId="7E6AAE9C" w14:textId="77777777" w:rsidR="005D2FF5" w:rsidRPr="00482A36" w:rsidRDefault="005D2FF5" w:rsidP="00452A16">
            <w:pPr>
              <w:pStyle w:val="Tabletext"/>
              <w:jc w:val="center"/>
              <w:rPr>
                <w:sz w:val="19"/>
                <w:szCs w:val="19"/>
              </w:rPr>
            </w:pPr>
            <w:r w:rsidRPr="00482A36">
              <w:rPr>
                <w:sz w:val="19"/>
                <w:szCs w:val="19"/>
              </w:rPr>
              <w:t>-0.8 (58)</w:t>
            </w:r>
          </w:p>
        </w:tc>
      </w:tr>
      <w:tr w:rsidR="005D2FF5" w:rsidRPr="00482A36" w14:paraId="1677EF22" w14:textId="77777777" w:rsidTr="00A54DD1">
        <w:trPr>
          <w:trHeight w:val="20"/>
        </w:trPr>
        <w:tc>
          <w:tcPr>
            <w:tcW w:w="528" w:type="pct"/>
            <w:shd w:val="clear" w:color="auto" w:fill="FFFFFF" w:themeFill="background1"/>
            <w:vAlign w:val="center"/>
          </w:tcPr>
          <w:p w14:paraId="34455C78" w14:textId="77777777" w:rsidR="005D2FF5" w:rsidRPr="00482A36" w:rsidRDefault="005D2FF5" w:rsidP="00452A16">
            <w:pPr>
              <w:pStyle w:val="Tabletext"/>
              <w:rPr>
                <w:sz w:val="19"/>
                <w:szCs w:val="19"/>
              </w:rPr>
            </w:pPr>
            <w:r w:rsidRPr="00482A36">
              <w:rPr>
                <w:sz w:val="19"/>
                <w:szCs w:val="19"/>
              </w:rPr>
              <w:t>CFB (SD), w52</w:t>
            </w:r>
          </w:p>
        </w:tc>
        <w:tc>
          <w:tcPr>
            <w:tcW w:w="379" w:type="pct"/>
            <w:shd w:val="clear" w:color="auto" w:fill="FFFFFF" w:themeFill="background1"/>
            <w:vAlign w:val="center"/>
          </w:tcPr>
          <w:p w14:paraId="63F926AE" w14:textId="77777777" w:rsidR="005D2FF5" w:rsidRPr="00482A36" w:rsidRDefault="005D2FF5" w:rsidP="00452A16">
            <w:pPr>
              <w:pStyle w:val="Tabletext"/>
              <w:jc w:val="center"/>
              <w:rPr>
                <w:sz w:val="19"/>
                <w:szCs w:val="19"/>
              </w:rPr>
            </w:pPr>
            <w:r w:rsidRPr="00482A36">
              <w:rPr>
                <w:sz w:val="19"/>
                <w:szCs w:val="19"/>
              </w:rPr>
              <w:t>9.4 (105)</w:t>
            </w:r>
          </w:p>
        </w:tc>
        <w:tc>
          <w:tcPr>
            <w:tcW w:w="379" w:type="pct"/>
            <w:shd w:val="clear" w:color="auto" w:fill="FFFFFF" w:themeFill="background1"/>
            <w:vAlign w:val="center"/>
          </w:tcPr>
          <w:p w14:paraId="684DDF2A" w14:textId="77777777" w:rsidR="005D2FF5" w:rsidRPr="00482A36" w:rsidRDefault="005D2FF5" w:rsidP="00452A16">
            <w:pPr>
              <w:pStyle w:val="Tabletext"/>
              <w:jc w:val="center"/>
              <w:rPr>
                <w:sz w:val="19"/>
                <w:szCs w:val="19"/>
              </w:rPr>
            </w:pPr>
            <w:r w:rsidRPr="00482A36">
              <w:rPr>
                <w:sz w:val="19"/>
                <w:szCs w:val="19"/>
              </w:rPr>
              <w:t>8.9 (164)</w:t>
            </w:r>
          </w:p>
        </w:tc>
        <w:tc>
          <w:tcPr>
            <w:tcW w:w="379" w:type="pct"/>
            <w:shd w:val="clear" w:color="auto" w:fill="FFFFFF" w:themeFill="background1"/>
            <w:vAlign w:val="center"/>
          </w:tcPr>
          <w:p w14:paraId="0E773510" w14:textId="77777777" w:rsidR="005D2FF5" w:rsidRPr="00482A36" w:rsidRDefault="005D2FF5" w:rsidP="00452A16">
            <w:pPr>
              <w:pStyle w:val="Tabletext"/>
              <w:jc w:val="center"/>
              <w:rPr>
                <w:b/>
                <w:bCs/>
                <w:sz w:val="19"/>
                <w:szCs w:val="19"/>
              </w:rPr>
            </w:pPr>
            <w:r w:rsidRPr="00482A36">
              <w:rPr>
                <w:sz w:val="19"/>
                <w:szCs w:val="19"/>
              </w:rPr>
              <w:t>-31.2 (75)</w:t>
            </w:r>
          </w:p>
        </w:tc>
        <w:tc>
          <w:tcPr>
            <w:tcW w:w="379" w:type="pct"/>
            <w:shd w:val="clear" w:color="auto" w:fill="FFFFFF" w:themeFill="background1"/>
            <w:vAlign w:val="center"/>
          </w:tcPr>
          <w:p w14:paraId="0E3B6262" w14:textId="77777777" w:rsidR="005D2FF5" w:rsidRPr="00482A36" w:rsidRDefault="005D2FF5" w:rsidP="00452A16">
            <w:pPr>
              <w:pStyle w:val="Tabletext"/>
              <w:jc w:val="center"/>
              <w:rPr>
                <w:sz w:val="19"/>
                <w:szCs w:val="19"/>
              </w:rPr>
            </w:pPr>
            <w:r w:rsidRPr="00482A36">
              <w:rPr>
                <w:sz w:val="19"/>
                <w:szCs w:val="19"/>
              </w:rPr>
              <w:t>-3.1 (67)</w:t>
            </w:r>
          </w:p>
        </w:tc>
        <w:tc>
          <w:tcPr>
            <w:tcW w:w="379" w:type="pct"/>
            <w:shd w:val="clear" w:color="auto" w:fill="FFFFFF" w:themeFill="background1"/>
            <w:vAlign w:val="center"/>
          </w:tcPr>
          <w:p w14:paraId="173A0C97" w14:textId="77777777" w:rsidR="005D2FF5" w:rsidRPr="00482A36" w:rsidRDefault="005D2FF5" w:rsidP="00452A16">
            <w:pPr>
              <w:pStyle w:val="Tabletext"/>
              <w:jc w:val="center"/>
              <w:rPr>
                <w:sz w:val="19"/>
                <w:szCs w:val="19"/>
              </w:rPr>
            </w:pPr>
            <w:r w:rsidRPr="00482A36">
              <w:rPr>
                <w:sz w:val="19"/>
                <w:szCs w:val="19"/>
              </w:rPr>
              <w:t>21.9 (111)</w:t>
            </w:r>
          </w:p>
        </w:tc>
        <w:tc>
          <w:tcPr>
            <w:tcW w:w="380" w:type="pct"/>
            <w:tcBorders>
              <w:right w:val="double" w:sz="4" w:space="0" w:color="auto"/>
            </w:tcBorders>
            <w:shd w:val="clear" w:color="auto" w:fill="FFFFFF" w:themeFill="background1"/>
            <w:vAlign w:val="center"/>
          </w:tcPr>
          <w:p w14:paraId="2901BF2B" w14:textId="77777777" w:rsidR="005D2FF5" w:rsidRPr="00482A36" w:rsidRDefault="005D2FF5" w:rsidP="00452A16">
            <w:pPr>
              <w:pStyle w:val="Tabletext"/>
              <w:jc w:val="center"/>
              <w:rPr>
                <w:sz w:val="19"/>
                <w:szCs w:val="19"/>
              </w:rPr>
            </w:pPr>
            <w:r w:rsidRPr="00482A36">
              <w:rPr>
                <w:sz w:val="19"/>
                <w:szCs w:val="19"/>
              </w:rPr>
              <w:t>-2.1 (78)</w:t>
            </w:r>
          </w:p>
        </w:tc>
        <w:tc>
          <w:tcPr>
            <w:tcW w:w="454" w:type="pct"/>
            <w:tcBorders>
              <w:left w:val="double" w:sz="4" w:space="0" w:color="auto"/>
            </w:tcBorders>
            <w:shd w:val="clear" w:color="auto" w:fill="FFFFFF" w:themeFill="background1"/>
            <w:vAlign w:val="center"/>
          </w:tcPr>
          <w:p w14:paraId="430FA4F2" w14:textId="77777777" w:rsidR="005D2FF5" w:rsidRPr="00482A36" w:rsidRDefault="005D2FF5" w:rsidP="00452A16">
            <w:pPr>
              <w:pStyle w:val="Tabletext"/>
              <w:jc w:val="center"/>
              <w:rPr>
                <w:sz w:val="19"/>
                <w:szCs w:val="19"/>
              </w:rPr>
            </w:pPr>
            <w:r w:rsidRPr="00482A36">
              <w:rPr>
                <w:sz w:val="19"/>
                <w:szCs w:val="19"/>
              </w:rPr>
              <w:t>NR</w:t>
            </w:r>
          </w:p>
        </w:tc>
        <w:tc>
          <w:tcPr>
            <w:tcW w:w="455" w:type="pct"/>
            <w:shd w:val="clear" w:color="auto" w:fill="FFFFFF" w:themeFill="background1"/>
            <w:vAlign w:val="center"/>
          </w:tcPr>
          <w:p w14:paraId="4A37A6F7" w14:textId="77777777" w:rsidR="005D2FF5" w:rsidRPr="00482A36" w:rsidRDefault="005D2FF5" w:rsidP="00452A16">
            <w:pPr>
              <w:pStyle w:val="Tabletext"/>
              <w:jc w:val="center"/>
              <w:rPr>
                <w:sz w:val="19"/>
                <w:szCs w:val="19"/>
              </w:rPr>
            </w:pPr>
            <w:r w:rsidRPr="00482A36">
              <w:rPr>
                <w:sz w:val="19"/>
                <w:szCs w:val="19"/>
              </w:rPr>
              <w:t>NR</w:t>
            </w:r>
          </w:p>
        </w:tc>
        <w:tc>
          <w:tcPr>
            <w:tcW w:w="454" w:type="pct"/>
            <w:shd w:val="clear" w:color="auto" w:fill="FFFFFF" w:themeFill="background1"/>
            <w:vAlign w:val="center"/>
          </w:tcPr>
          <w:p w14:paraId="540D1D68"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162E0A28" w14:textId="77777777" w:rsidR="005D2FF5" w:rsidRPr="00482A36" w:rsidRDefault="005D2FF5" w:rsidP="00452A16">
            <w:pPr>
              <w:pStyle w:val="Tabletext"/>
              <w:jc w:val="center"/>
              <w:rPr>
                <w:b/>
                <w:bCs/>
                <w:sz w:val="19"/>
                <w:szCs w:val="19"/>
              </w:rPr>
            </w:pPr>
            <w:r w:rsidRPr="00482A36">
              <w:rPr>
                <w:sz w:val="19"/>
                <w:szCs w:val="19"/>
              </w:rPr>
              <w:t>NR</w:t>
            </w:r>
          </w:p>
        </w:tc>
        <w:tc>
          <w:tcPr>
            <w:tcW w:w="379" w:type="pct"/>
            <w:shd w:val="clear" w:color="auto" w:fill="FFFFFF" w:themeFill="background1"/>
            <w:vAlign w:val="center"/>
          </w:tcPr>
          <w:p w14:paraId="7F485F2B" w14:textId="77777777" w:rsidR="005D2FF5" w:rsidRPr="00482A36" w:rsidRDefault="005D2FF5" w:rsidP="00452A16">
            <w:pPr>
              <w:pStyle w:val="Tabletext"/>
              <w:jc w:val="center"/>
              <w:rPr>
                <w:sz w:val="19"/>
                <w:szCs w:val="19"/>
              </w:rPr>
            </w:pPr>
            <w:r w:rsidRPr="00482A36">
              <w:rPr>
                <w:sz w:val="19"/>
                <w:szCs w:val="19"/>
              </w:rPr>
              <w:t>NR</w:t>
            </w:r>
          </w:p>
        </w:tc>
      </w:tr>
      <w:tr w:rsidR="005D2FF5" w:rsidRPr="00482A36" w14:paraId="154BFDBA" w14:textId="77777777" w:rsidTr="005D2FF5">
        <w:trPr>
          <w:trHeight w:val="20"/>
        </w:trPr>
        <w:tc>
          <w:tcPr>
            <w:tcW w:w="5000" w:type="pct"/>
            <w:gridSpan w:val="12"/>
            <w:shd w:val="clear" w:color="auto" w:fill="FFFFFF" w:themeFill="background1"/>
          </w:tcPr>
          <w:p w14:paraId="121D9E3B" w14:textId="77777777" w:rsidR="005D2FF5" w:rsidRPr="00482A36" w:rsidRDefault="005D2FF5" w:rsidP="00452A16">
            <w:pPr>
              <w:pStyle w:val="Tabletext"/>
              <w:rPr>
                <w:sz w:val="19"/>
                <w:szCs w:val="19"/>
              </w:rPr>
            </w:pPr>
            <w:r w:rsidRPr="00482A36">
              <w:rPr>
                <w:b/>
                <w:bCs/>
                <w:sz w:val="19"/>
                <w:szCs w:val="19"/>
              </w:rPr>
              <w:t>Uterine</w:t>
            </w:r>
            <w:r w:rsidRPr="00482A36">
              <w:rPr>
                <w:rFonts w:ascii="Calibri" w:hAnsi="Calibri" w:cs="Arial"/>
                <w:snapToGrid/>
                <w:sz w:val="19"/>
                <w:szCs w:val="19"/>
                <w:lang w:eastAsia="en-GB"/>
              </w:rPr>
              <w:t xml:space="preserve"> </w:t>
            </w:r>
            <w:r w:rsidRPr="00482A36">
              <w:rPr>
                <w:b/>
                <w:bCs/>
                <w:sz w:val="19"/>
                <w:szCs w:val="19"/>
              </w:rPr>
              <w:t>volume change from baseline (mean mL) up to weeks 24 and 52</w:t>
            </w:r>
          </w:p>
        </w:tc>
      </w:tr>
      <w:tr w:rsidR="005D2FF5" w:rsidRPr="00482A36" w14:paraId="1ED9D6B0" w14:textId="77777777" w:rsidTr="00A54DD1">
        <w:trPr>
          <w:trHeight w:val="20"/>
        </w:trPr>
        <w:tc>
          <w:tcPr>
            <w:tcW w:w="528" w:type="pct"/>
            <w:shd w:val="clear" w:color="auto" w:fill="FFFFFF" w:themeFill="background1"/>
            <w:vAlign w:val="center"/>
          </w:tcPr>
          <w:p w14:paraId="1F517634" w14:textId="77777777" w:rsidR="005D2FF5" w:rsidRPr="00482A36"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1330741F" w14:textId="77777777" w:rsidR="005D2FF5" w:rsidRPr="00482A36" w:rsidRDefault="005D2FF5" w:rsidP="00452A16">
            <w:pPr>
              <w:pStyle w:val="Tabletext"/>
              <w:jc w:val="center"/>
              <w:rPr>
                <w:sz w:val="19"/>
                <w:szCs w:val="19"/>
              </w:rPr>
            </w:pPr>
            <w:r w:rsidRPr="00482A36">
              <w:rPr>
                <w:sz w:val="19"/>
                <w:szCs w:val="19"/>
              </w:rPr>
              <w:t>0.8</w:t>
            </w:r>
          </w:p>
          <w:p w14:paraId="44E38AD3" w14:textId="77777777" w:rsidR="005D2FF5" w:rsidRPr="00482A36" w:rsidRDefault="005D2FF5" w:rsidP="00452A16">
            <w:pPr>
              <w:pStyle w:val="Tabletext"/>
              <w:jc w:val="center"/>
              <w:rPr>
                <w:sz w:val="19"/>
                <w:szCs w:val="19"/>
              </w:rPr>
            </w:pPr>
            <w:r w:rsidRPr="00482A36">
              <w:rPr>
                <w:sz w:val="19"/>
                <w:szCs w:val="19"/>
              </w:rPr>
              <w:t>(0.7, 0.97)</w:t>
            </w:r>
          </w:p>
        </w:tc>
        <w:tc>
          <w:tcPr>
            <w:tcW w:w="379" w:type="pct"/>
            <w:shd w:val="clear" w:color="auto" w:fill="FFFFFF" w:themeFill="background1"/>
            <w:vAlign w:val="center"/>
          </w:tcPr>
          <w:p w14:paraId="68519804" w14:textId="77777777" w:rsidR="005D2FF5" w:rsidRPr="00482A36" w:rsidRDefault="005D2FF5" w:rsidP="00452A16">
            <w:pPr>
              <w:pStyle w:val="Tabletext"/>
              <w:jc w:val="center"/>
              <w:rPr>
                <w:sz w:val="19"/>
                <w:szCs w:val="19"/>
              </w:rPr>
            </w:pPr>
            <w:r w:rsidRPr="00482A36">
              <w:rPr>
                <w:sz w:val="19"/>
                <w:szCs w:val="19"/>
              </w:rPr>
              <w:t>1.0</w:t>
            </w:r>
          </w:p>
          <w:p w14:paraId="1D41C9B7" w14:textId="77777777" w:rsidR="005D2FF5" w:rsidRPr="00482A36" w:rsidRDefault="005D2FF5" w:rsidP="00452A16">
            <w:pPr>
              <w:pStyle w:val="Tabletext"/>
              <w:jc w:val="center"/>
              <w:rPr>
                <w:sz w:val="19"/>
                <w:szCs w:val="19"/>
              </w:rPr>
            </w:pPr>
            <w:r w:rsidRPr="00482A36">
              <w:rPr>
                <w:sz w:val="19"/>
                <w:szCs w:val="19"/>
              </w:rPr>
              <w:t>(0.9, 1.2)</w:t>
            </w:r>
          </w:p>
        </w:tc>
        <w:tc>
          <w:tcPr>
            <w:tcW w:w="379" w:type="pct"/>
            <w:shd w:val="clear" w:color="auto" w:fill="FFFFFF" w:themeFill="background1"/>
            <w:vAlign w:val="center"/>
          </w:tcPr>
          <w:p w14:paraId="7FE43968" w14:textId="77777777" w:rsidR="005D2FF5" w:rsidRPr="00482A36" w:rsidRDefault="005D2FF5" w:rsidP="00452A16">
            <w:pPr>
              <w:pStyle w:val="Tabletext"/>
              <w:jc w:val="center"/>
              <w:rPr>
                <w:sz w:val="19"/>
                <w:szCs w:val="19"/>
              </w:rPr>
            </w:pPr>
            <w:r w:rsidRPr="00482A36">
              <w:rPr>
                <w:sz w:val="19"/>
                <w:szCs w:val="19"/>
              </w:rPr>
              <w:t>0.7</w:t>
            </w:r>
          </w:p>
          <w:p w14:paraId="717B595E" w14:textId="77777777" w:rsidR="005D2FF5" w:rsidRPr="00482A36" w:rsidRDefault="005D2FF5" w:rsidP="00452A16">
            <w:pPr>
              <w:pStyle w:val="Tabletext"/>
              <w:jc w:val="center"/>
              <w:rPr>
                <w:sz w:val="19"/>
                <w:szCs w:val="19"/>
              </w:rPr>
            </w:pPr>
            <w:r w:rsidRPr="00482A36">
              <w:rPr>
                <w:sz w:val="19"/>
                <w:szCs w:val="19"/>
              </w:rPr>
              <w:t>(0.6, 0.8)</w:t>
            </w:r>
          </w:p>
        </w:tc>
        <w:tc>
          <w:tcPr>
            <w:tcW w:w="379" w:type="pct"/>
            <w:shd w:val="clear" w:color="auto" w:fill="FFFFFF" w:themeFill="background1"/>
            <w:vAlign w:val="center"/>
          </w:tcPr>
          <w:p w14:paraId="24205E77" w14:textId="77777777" w:rsidR="005D2FF5" w:rsidRPr="00482A36" w:rsidRDefault="005D2FF5" w:rsidP="00452A16">
            <w:pPr>
              <w:pStyle w:val="Tabletext"/>
              <w:jc w:val="center"/>
              <w:rPr>
                <w:sz w:val="19"/>
                <w:szCs w:val="19"/>
              </w:rPr>
            </w:pPr>
            <w:r w:rsidRPr="00482A36">
              <w:rPr>
                <w:sz w:val="19"/>
                <w:szCs w:val="19"/>
              </w:rPr>
              <w:t>0.9</w:t>
            </w:r>
          </w:p>
          <w:p w14:paraId="08D4C3B1" w14:textId="77777777" w:rsidR="005D2FF5" w:rsidRPr="00482A36" w:rsidRDefault="005D2FF5" w:rsidP="00452A16">
            <w:pPr>
              <w:pStyle w:val="Tabletext"/>
              <w:jc w:val="center"/>
              <w:rPr>
                <w:sz w:val="19"/>
                <w:szCs w:val="19"/>
              </w:rPr>
            </w:pPr>
            <w:r w:rsidRPr="00482A36">
              <w:rPr>
                <w:sz w:val="19"/>
                <w:szCs w:val="19"/>
              </w:rPr>
              <w:t>(0.8, 1.1)</w:t>
            </w:r>
          </w:p>
        </w:tc>
        <w:tc>
          <w:tcPr>
            <w:tcW w:w="379" w:type="pct"/>
            <w:shd w:val="clear" w:color="auto" w:fill="FFFFFF" w:themeFill="background1"/>
            <w:vAlign w:val="center"/>
          </w:tcPr>
          <w:p w14:paraId="65640336"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48DC2B5F"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4178C5E9" w14:textId="77777777" w:rsidR="005D2FF5" w:rsidRPr="00482A36" w:rsidRDefault="005D2FF5" w:rsidP="00452A16">
            <w:pPr>
              <w:pStyle w:val="Tabletext"/>
              <w:jc w:val="center"/>
              <w:rPr>
                <w:sz w:val="19"/>
                <w:szCs w:val="19"/>
              </w:rPr>
            </w:pPr>
            <w:r w:rsidRPr="00482A36">
              <w:rPr>
                <w:sz w:val="19"/>
                <w:szCs w:val="19"/>
              </w:rPr>
              <w:t>0.8</w:t>
            </w:r>
          </w:p>
          <w:p w14:paraId="514D52C9" w14:textId="77777777" w:rsidR="005D2FF5" w:rsidRPr="00482A36" w:rsidRDefault="005D2FF5" w:rsidP="00452A16">
            <w:pPr>
              <w:pStyle w:val="Tabletext"/>
              <w:jc w:val="center"/>
              <w:rPr>
                <w:sz w:val="19"/>
                <w:szCs w:val="19"/>
              </w:rPr>
            </w:pPr>
            <w:r w:rsidRPr="00482A36">
              <w:rPr>
                <w:sz w:val="19"/>
                <w:szCs w:val="19"/>
              </w:rPr>
              <w:t>(0.7, 0.9)</w:t>
            </w:r>
          </w:p>
        </w:tc>
        <w:tc>
          <w:tcPr>
            <w:tcW w:w="455" w:type="pct"/>
            <w:shd w:val="clear" w:color="auto" w:fill="FFFFFF" w:themeFill="background1"/>
            <w:vAlign w:val="center"/>
          </w:tcPr>
          <w:p w14:paraId="1E6DCC60" w14:textId="77777777" w:rsidR="005D2FF5" w:rsidRPr="00482A36" w:rsidRDefault="005D2FF5" w:rsidP="00452A16">
            <w:pPr>
              <w:pStyle w:val="Tabletext"/>
              <w:jc w:val="center"/>
              <w:rPr>
                <w:sz w:val="19"/>
                <w:szCs w:val="19"/>
              </w:rPr>
            </w:pPr>
            <w:r w:rsidRPr="00482A36">
              <w:rPr>
                <w:sz w:val="19"/>
                <w:szCs w:val="19"/>
              </w:rPr>
              <w:t>0.8</w:t>
            </w:r>
          </w:p>
          <w:p w14:paraId="7546532B" w14:textId="77777777" w:rsidR="005D2FF5" w:rsidRPr="00482A36" w:rsidRDefault="005D2FF5" w:rsidP="00452A16">
            <w:pPr>
              <w:pStyle w:val="Tabletext"/>
              <w:jc w:val="center"/>
              <w:rPr>
                <w:sz w:val="19"/>
                <w:szCs w:val="19"/>
              </w:rPr>
            </w:pPr>
            <w:r w:rsidRPr="00482A36">
              <w:rPr>
                <w:sz w:val="19"/>
                <w:szCs w:val="19"/>
              </w:rPr>
              <w:t>(0.7, 0.9)</w:t>
            </w:r>
          </w:p>
        </w:tc>
        <w:tc>
          <w:tcPr>
            <w:tcW w:w="454" w:type="pct"/>
            <w:shd w:val="clear" w:color="auto" w:fill="FFFFFF" w:themeFill="background1"/>
            <w:vAlign w:val="center"/>
          </w:tcPr>
          <w:p w14:paraId="25F17FB9" w14:textId="77777777" w:rsidR="005D2FF5" w:rsidRPr="00482A36" w:rsidRDefault="005D2FF5" w:rsidP="00452A16">
            <w:pPr>
              <w:pStyle w:val="Tabletext"/>
              <w:jc w:val="center"/>
              <w:rPr>
                <w:sz w:val="19"/>
                <w:szCs w:val="19"/>
              </w:rPr>
            </w:pPr>
            <w:r w:rsidRPr="00482A36">
              <w:rPr>
                <w:sz w:val="19"/>
                <w:szCs w:val="19"/>
              </w:rPr>
              <w:t>0.5</w:t>
            </w:r>
          </w:p>
          <w:p w14:paraId="3CBDB3A6" w14:textId="77777777" w:rsidR="005D2FF5" w:rsidRPr="00482A36" w:rsidRDefault="005D2FF5" w:rsidP="00452A16">
            <w:pPr>
              <w:pStyle w:val="Tabletext"/>
              <w:jc w:val="center"/>
              <w:rPr>
                <w:sz w:val="19"/>
                <w:szCs w:val="19"/>
              </w:rPr>
            </w:pPr>
            <w:r w:rsidRPr="00482A36">
              <w:rPr>
                <w:sz w:val="19"/>
                <w:szCs w:val="19"/>
              </w:rPr>
              <w:t>(0.5, 0.6)</w:t>
            </w:r>
          </w:p>
        </w:tc>
        <w:tc>
          <w:tcPr>
            <w:tcW w:w="455" w:type="pct"/>
            <w:shd w:val="clear" w:color="auto" w:fill="FFFFFF" w:themeFill="background1"/>
            <w:vAlign w:val="center"/>
          </w:tcPr>
          <w:p w14:paraId="54A1C02B" w14:textId="77777777" w:rsidR="005D2FF5" w:rsidRPr="00482A36" w:rsidRDefault="005D2FF5" w:rsidP="00452A16">
            <w:pPr>
              <w:pStyle w:val="Tabletext"/>
              <w:jc w:val="center"/>
              <w:rPr>
                <w:sz w:val="19"/>
                <w:szCs w:val="19"/>
              </w:rPr>
            </w:pPr>
            <w:r w:rsidRPr="00482A36">
              <w:rPr>
                <w:sz w:val="19"/>
                <w:szCs w:val="19"/>
              </w:rPr>
              <w:t>0.8</w:t>
            </w:r>
          </w:p>
          <w:p w14:paraId="5C561BCB" w14:textId="77777777" w:rsidR="005D2FF5" w:rsidRPr="00482A36" w:rsidRDefault="005D2FF5" w:rsidP="00452A16">
            <w:pPr>
              <w:pStyle w:val="Tabletext"/>
              <w:jc w:val="center"/>
              <w:rPr>
                <w:sz w:val="19"/>
                <w:szCs w:val="19"/>
              </w:rPr>
            </w:pPr>
            <w:r w:rsidRPr="00482A36">
              <w:rPr>
                <w:sz w:val="19"/>
                <w:szCs w:val="19"/>
              </w:rPr>
              <w:t>(0.7, 0.9)</w:t>
            </w:r>
          </w:p>
        </w:tc>
        <w:tc>
          <w:tcPr>
            <w:tcW w:w="379" w:type="pct"/>
            <w:shd w:val="clear" w:color="auto" w:fill="FFFFFF" w:themeFill="background1"/>
            <w:vAlign w:val="center"/>
          </w:tcPr>
          <w:p w14:paraId="6E752358"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2CDE3F6C" w14:textId="77777777" w:rsidTr="00A54DD1">
        <w:trPr>
          <w:trHeight w:val="20"/>
        </w:trPr>
        <w:tc>
          <w:tcPr>
            <w:tcW w:w="528" w:type="pct"/>
            <w:shd w:val="clear" w:color="auto" w:fill="FFFFFF" w:themeFill="background1"/>
            <w:vAlign w:val="center"/>
          </w:tcPr>
          <w:p w14:paraId="260DF12F" w14:textId="77777777" w:rsidR="005D2FF5" w:rsidRPr="00482A36" w:rsidRDefault="005D2FF5" w:rsidP="00452A16">
            <w:pPr>
              <w:pStyle w:val="Tabletext"/>
              <w:rPr>
                <w:sz w:val="19"/>
                <w:szCs w:val="19"/>
              </w:rPr>
            </w:pPr>
            <w:r w:rsidRPr="00482A36">
              <w:rPr>
                <w:sz w:val="19"/>
                <w:szCs w:val="19"/>
              </w:rPr>
              <w:t>p-value, w24</w:t>
            </w:r>
          </w:p>
        </w:tc>
        <w:tc>
          <w:tcPr>
            <w:tcW w:w="379" w:type="pct"/>
            <w:shd w:val="clear" w:color="auto" w:fill="FFFFFF" w:themeFill="background1"/>
            <w:vAlign w:val="center"/>
          </w:tcPr>
          <w:p w14:paraId="7FEA6A58" w14:textId="77777777" w:rsidR="005D2FF5" w:rsidRPr="00482A36" w:rsidRDefault="005D2FF5" w:rsidP="00452A16">
            <w:pPr>
              <w:pStyle w:val="Tabletext"/>
              <w:jc w:val="center"/>
              <w:rPr>
                <w:b/>
                <w:sz w:val="19"/>
                <w:szCs w:val="19"/>
              </w:rPr>
            </w:pPr>
            <w:r w:rsidRPr="00482A36">
              <w:rPr>
                <w:b/>
                <w:bCs/>
                <w:sz w:val="19"/>
                <w:szCs w:val="19"/>
              </w:rPr>
              <w:t>0.015</w:t>
            </w:r>
          </w:p>
        </w:tc>
        <w:tc>
          <w:tcPr>
            <w:tcW w:w="379" w:type="pct"/>
            <w:shd w:val="clear" w:color="auto" w:fill="FFFFFF" w:themeFill="background1"/>
            <w:vAlign w:val="center"/>
          </w:tcPr>
          <w:p w14:paraId="5EFE9CBD" w14:textId="77777777" w:rsidR="005D2FF5" w:rsidRPr="00482A36" w:rsidRDefault="005D2FF5" w:rsidP="00452A16">
            <w:pPr>
              <w:pStyle w:val="Tabletext"/>
              <w:jc w:val="center"/>
              <w:rPr>
                <w:sz w:val="19"/>
                <w:szCs w:val="19"/>
              </w:rPr>
            </w:pPr>
            <w:r w:rsidRPr="00482A36">
              <w:rPr>
                <w:sz w:val="19"/>
                <w:szCs w:val="19"/>
              </w:rPr>
              <w:t>0.663</w:t>
            </w:r>
          </w:p>
        </w:tc>
        <w:tc>
          <w:tcPr>
            <w:tcW w:w="379" w:type="pct"/>
            <w:shd w:val="clear" w:color="auto" w:fill="FFFFFF" w:themeFill="background1"/>
            <w:vAlign w:val="center"/>
          </w:tcPr>
          <w:p w14:paraId="68CFF8B7" w14:textId="77777777" w:rsidR="005D2FF5" w:rsidRPr="00482A36" w:rsidRDefault="005D2FF5" w:rsidP="00452A16">
            <w:pPr>
              <w:pStyle w:val="Tabletext"/>
              <w:jc w:val="center"/>
              <w:rPr>
                <w:b/>
                <w:sz w:val="19"/>
                <w:szCs w:val="19"/>
              </w:rPr>
            </w:pPr>
            <w:r w:rsidRPr="00482A36">
              <w:rPr>
                <w:b/>
                <w:bCs/>
                <w:sz w:val="19"/>
                <w:szCs w:val="19"/>
              </w:rPr>
              <w:t>&lt;0.001</w:t>
            </w:r>
          </w:p>
        </w:tc>
        <w:tc>
          <w:tcPr>
            <w:tcW w:w="379" w:type="pct"/>
            <w:shd w:val="clear" w:color="auto" w:fill="FFFFFF" w:themeFill="background1"/>
            <w:vAlign w:val="center"/>
          </w:tcPr>
          <w:p w14:paraId="0D858091" w14:textId="77777777" w:rsidR="005D2FF5" w:rsidRPr="00482A36" w:rsidRDefault="005D2FF5" w:rsidP="00452A16">
            <w:pPr>
              <w:pStyle w:val="Tabletext"/>
              <w:jc w:val="center"/>
              <w:rPr>
                <w:sz w:val="19"/>
                <w:szCs w:val="19"/>
              </w:rPr>
            </w:pPr>
            <w:r w:rsidRPr="00482A36">
              <w:rPr>
                <w:sz w:val="19"/>
                <w:szCs w:val="19"/>
              </w:rPr>
              <w:t>0.209</w:t>
            </w:r>
          </w:p>
        </w:tc>
        <w:tc>
          <w:tcPr>
            <w:tcW w:w="379" w:type="pct"/>
            <w:shd w:val="clear" w:color="auto" w:fill="FFFFFF" w:themeFill="background1"/>
          </w:tcPr>
          <w:p w14:paraId="55A1E65C"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3F0F2D4A"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44494FDE" w14:textId="77777777" w:rsidR="005D2FF5" w:rsidRPr="00482A36" w:rsidRDefault="005D2FF5" w:rsidP="00452A16">
            <w:pPr>
              <w:pStyle w:val="Tabletext"/>
              <w:jc w:val="center"/>
              <w:rPr>
                <w:b/>
                <w:sz w:val="19"/>
                <w:szCs w:val="19"/>
              </w:rPr>
            </w:pPr>
            <w:r w:rsidRPr="00482A36">
              <w:rPr>
                <w:b/>
                <w:bCs/>
                <w:sz w:val="19"/>
                <w:szCs w:val="19"/>
              </w:rPr>
              <w:t>0.001</w:t>
            </w:r>
          </w:p>
        </w:tc>
        <w:tc>
          <w:tcPr>
            <w:tcW w:w="455" w:type="pct"/>
            <w:shd w:val="clear" w:color="auto" w:fill="FFFFFF" w:themeFill="background1"/>
            <w:vAlign w:val="center"/>
          </w:tcPr>
          <w:p w14:paraId="4B89C546" w14:textId="77777777" w:rsidR="005D2FF5" w:rsidRPr="00482A36" w:rsidRDefault="005D2FF5" w:rsidP="00452A16">
            <w:pPr>
              <w:pStyle w:val="Tabletext"/>
              <w:jc w:val="center"/>
              <w:rPr>
                <w:b/>
                <w:sz w:val="19"/>
                <w:szCs w:val="19"/>
              </w:rPr>
            </w:pPr>
            <w:r w:rsidRPr="00482A36">
              <w:rPr>
                <w:b/>
                <w:bCs/>
                <w:sz w:val="19"/>
                <w:szCs w:val="19"/>
              </w:rPr>
              <w:t>0.005</w:t>
            </w:r>
          </w:p>
        </w:tc>
        <w:tc>
          <w:tcPr>
            <w:tcW w:w="454" w:type="pct"/>
            <w:shd w:val="clear" w:color="auto" w:fill="FFFFFF" w:themeFill="background1"/>
            <w:vAlign w:val="center"/>
          </w:tcPr>
          <w:p w14:paraId="7F61EF29" w14:textId="77777777" w:rsidR="005D2FF5" w:rsidRPr="00482A36" w:rsidRDefault="005D2FF5" w:rsidP="00452A16">
            <w:pPr>
              <w:pStyle w:val="Tabletext"/>
              <w:jc w:val="center"/>
              <w:rPr>
                <w:b/>
                <w:sz w:val="19"/>
                <w:szCs w:val="19"/>
              </w:rPr>
            </w:pPr>
            <w:r w:rsidRPr="00482A36">
              <w:rPr>
                <w:b/>
                <w:bCs/>
                <w:sz w:val="19"/>
                <w:szCs w:val="19"/>
              </w:rPr>
              <w:t>&lt;0.001</w:t>
            </w:r>
          </w:p>
        </w:tc>
        <w:tc>
          <w:tcPr>
            <w:tcW w:w="455" w:type="pct"/>
            <w:shd w:val="clear" w:color="auto" w:fill="FFFFFF" w:themeFill="background1"/>
            <w:vAlign w:val="center"/>
          </w:tcPr>
          <w:p w14:paraId="6B20E4D7" w14:textId="77777777" w:rsidR="005D2FF5" w:rsidRPr="00482A36" w:rsidRDefault="005D2FF5" w:rsidP="00452A16">
            <w:pPr>
              <w:pStyle w:val="Tabletext"/>
              <w:jc w:val="center"/>
              <w:rPr>
                <w:b/>
                <w:sz w:val="19"/>
                <w:szCs w:val="19"/>
              </w:rPr>
            </w:pPr>
            <w:r w:rsidRPr="00482A36">
              <w:rPr>
                <w:b/>
                <w:bCs/>
                <w:sz w:val="19"/>
                <w:szCs w:val="19"/>
              </w:rPr>
              <w:t>&lt;0.001</w:t>
            </w:r>
          </w:p>
        </w:tc>
        <w:tc>
          <w:tcPr>
            <w:tcW w:w="379" w:type="pct"/>
            <w:shd w:val="clear" w:color="auto" w:fill="FFFFFF" w:themeFill="background1"/>
            <w:vAlign w:val="center"/>
          </w:tcPr>
          <w:p w14:paraId="67F7EA23"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20F49AFC" w14:textId="77777777" w:rsidTr="00A54DD1">
        <w:trPr>
          <w:trHeight w:val="20"/>
        </w:trPr>
        <w:tc>
          <w:tcPr>
            <w:tcW w:w="528" w:type="pct"/>
            <w:shd w:val="clear" w:color="auto" w:fill="FFFFFF" w:themeFill="background1"/>
            <w:vAlign w:val="center"/>
          </w:tcPr>
          <w:p w14:paraId="6533CBA1" w14:textId="77777777" w:rsidR="005D2FF5" w:rsidRPr="00482A36" w:rsidRDefault="005D2FF5" w:rsidP="00452A16">
            <w:pPr>
              <w:pStyle w:val="Tabletext"/>
              <w:rPr>
                <w:sz w:val="19"/>
                <w:szCs w:val="19"/>
              </w:rPr>
            </w:pPr>
            <w:r w:rsidRPr="00482A36">
              <w:rPr>
                <w:sz w:val="19"/>
                <w:szCs w:val="19"/>
              </w:rPr>
              <w:t>CFB (SD), w24</w:t>
            </w:r>
          </w:p>
        </w:tc>
        <w:tc>
          <w:tcPr>
            <w:tcW w:w="379" w:type="pct"/>
            <w:shd w:val="clear" w:color="auto" w:fill="FFFFFF" w:themeFill="background1"/>
            <w:vAlign w:val="center"/>
          </w:tcPr>
          <w:p w14:paraId="0F17BE93" w14:textId="77777777" w:rsidR="005D2FF5" w:rsidRPr="00482A36" w:rsidRDefault="005D2FF5" w:rsidP="00452A16">
            <w:pPr>
              <w:pStyle w:val="Tabletext"/>
              <w:jc w:val="center"/>
              <w:rPr>
                <w:b/>
                <w:sz w:val="19"/>
                <w:szCs w:val="19"/>
              </w:rPr>
            </w:pPr>
            <w:r w:rsidRPr="00482A36">
              <w:rPr>
                <w:b/>
                <w:sz w:val="19"/>
                <w:szCs w:val="19"/>
              </w:rPr>
              <w:t>-54.5 (221)</w:t>
            </w:r>
          </w:p>
        </w:tc>
        <w:tc>
          <w:tcPr>
            <w:tcW w:w="379" w:type="pct"/>
            <w:shd w:val="clear" w:color="auto" w:fill="FFFFFF" w:themeFill="background1"/>
            <w:vAlign w:val="center"/>
          </w:tcPr>
          <w:p w14:paraId="1CF6D423" w14:textId="77777777" w:rsidR="005D2FF5" w:rsidRPr="00482A36" w:rsidRDefault="005D2FF5" w:rsidP="00452A16">
            <w:pPr>
              <w:pStyle w:val="Tabletext"/>
              <w:jc w:val="center"/>
              <w:rPr>
                <w:sz w:val="19"/>
                <w:szCs w:val="19"/>
              </w:rPr>
            </w:pPr>
            <w:r w:rsidRPr="00482A36">
              <w:rPr>
                <w:sz w:val="19"/>
                <w:szCs w:val="19"/>
              </w:rPr>
              <w:t>45.8 (378)</w:t>
            </w:r>
          </w:p>
        </w:tc>
        <w:tc>
          <w:tcPr>
            <w:tcW w:w="379" w:type="pct"/>
            <w:shd w:val="clear" w:color="auto" w:fill="FFFFFF" w:themeFill="background1"/>
            <w:vAlign w:val="center"/>
          </w:tcPr>
          <w:p w14:paraId="4435082C" w14:textId="77777777" w:rsidR="005D2FF5" w:rsidRPr="00482A36" w:rsidRDefault="005D2FF5" w:rsidP="00452A16">
            <w:pPr>
              <w:pStyle w:val="Tabletext"/>
              <w:jc w:val="center"/>
              <w:rPr>
                <w:b/>
                <w:sz w:val="19"/>
                <w:szCs w:val="19"/>
              </w:rPr>
            </w:pPr>
            <w:r w:rsidRPr="00482A36">
              <w:rPr>
                <w:b/>
                <w:sz w:val="19"/>
                <w:szCs w:val="19"/>
              </w:rPr>
              <w:t>-123 (207)</w:t>
            </w:r>
          </w:p>
        </w:tc>
        <w:tc>
          <w:tcPr>
            <w:tcW w:w="379" w:type="pct"/>
            <w:shd w:val="clear" w:color="auto" w:fill="FFFFFF" w:themeFill="background1"/>
            <w:vAlign w:val="center"/>
          </w:tcPr>
          <w:p w14:paraId="4187686F" w14:textId="77777777" w:rsidR="005D2FF5" w:rsidRPr="00482A36" w:rsidRDefault="005D2FF5" w:rsidP="00452A16">
            <w:pPr>
              <w:pStyle w:val="Tabletext"/>
              <w:jc w:val="center"/>
              <w:rPr>
                <w:sz w:val="19"/>
                <w:szCs w:val="19"/>
              </w:rPr>
            </w:pPr>
            <w:r w:rsidRPr="00482A36">
              <w:rPr>
                <w:sz w:val="19"/>
                <w:szCs w:val="19"/>
              </w:rPr>
              <w:t>3.5 (197)</w:t>
            </w:r>
          </w:p>
        </w:tc>
        <w:tc>
          <w:tcPr>
            <w:tcW w:w="379" w:type="pct"/>
            <w:shd w:val="clear" w:color="auto" w:fill="FFFFFF" w:themeFill="background1"/>
            <w:vAlign w:val="center"/>
          </w:tcPr>
          <w:p w14:paraId="02BE4C1C"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597A8338" w14:textId="77777777" w:rsidR="005D2FF5" w:rsidRPr="00482A36" w:rsidRDefault="005D2FF5" w:rsidP="00452A16">
            <w:pPr>
              <w:pStyle w:val="Tabletext"/>
              <w:jc w:val="center"/>
              <w:rPr>
                <w:sz w:val="19"/>
                <w:szCs w:val="19"/>
              </w:rPr>
            </w:pPr>
            <w:r w:rsidRPr="00482A36">
              <w:rPr>
                <w:sz w:val="19"/>
                <w:szCs w:val="19"/>
              </w:rPr>
              <w:t>18 (193)</w:t>
            </w:r>
          </w:p>
        </w:tc>
        <w:tc>
          <w:tcPr>
            <w:tcW w:w="454" w:type="pct"/>
            <w:tcBorders>
              <w:left w:val="double" w:sz="4" w:space="0" w:color="auto"/>
            </w:tcBorders>
            <w:shd w:val="clear" w:color="auto" w:fill="FFFFFF" w:themeFill="background1"/>
            <w:vAlign w:val="center"/>
          </w:tcPr>
          <w:p w14:paraId="4C08EC43" w14:textId="77777777" w:rsidR="005D2FF5" w:rsidRPr="00482A36" w:rsidRDefault="005D2FF5" w:rsidP="00452A16">
            <w:pPr>
              <w:pStyle w:val="Tabletext"/>
              <w:jc w:val="center"/>
              <w:rPr>
                <w:b/>
                <w:sz w:val="19"/>
                <w:szCs w:val="19"/>
              </w:rPr>
            </w:pPr>
            <w:r w:rsidRPr="00482A36">
              <w:rPr>
                <w:b/>
                <w:sz w:val="19"/>
                <w:szCs w:val="19"/>
              </w:rPr>
              <w:t>-38.6 (99)</w:t>
            </w:r>
          </w:p>
        </w:tc>
        <w:tc>
          <w:tcPr>
            <w:tcW w:w="455" w:type="pct"/>
            <w:shd w:val="clear" w:color="auto" w:fill="FFFFFF" w:themeFill="background1"/>
            <w:vAlign w:val="center"/>
          </w:tcPr>
          <w:p w14:paraId="0D5CACEC" w14:textId="77777777" w:rsidR="005D2FF5" w:rsidRPr="00482A36" w:rsidRDefault="005D2FF5" w:rsidP="00452A16">
            <w:pPr>
              <w:pStyle w:val="Tabletext"/>
              <w:jc w:val="center"/>
              <w:rPr>
                <w:b/>
                <w:sz w:val="19"/>
                <w:szCs w:val="19"/>
              </w:rPr>
            </w:pPr>
            <w:r w:rsidRPr="00482A36">
              <w:rPr>
                <w:b/>
                <w:sz w:val="19"/>
                <w:szCs w:val="19"/>
              </w:rPr>
              <w:t>-30.2 (90)</w:t>
            </w:r>
          </w:p>
        </w:tc>
        <w:tc>
          <w:tcPr>
            <w:tcW w:w="454" w:type="pct"/>
            <w:shd w:val="clear" w:color="auto" w:fill="FFFFFF" w:themeFill="background1"/>
            <w:vAlign w:val="center"/>
          </w:tcPr>
          <w:p w14:paraId="37628066" w14:textId="77777777" w:rsidR="005D2FF5" w:rsidRPr="00482A36" w:rsidRDefault="005D2FF5" w:rsidP="00452A16">
            <w:pPr>
              <w:pStyle w:val="Tabletext"/>
              <w:jc w:val="center"/>
              <w:rPr>
                <w:b/>
                <w:sz w:val="19"/>
                <w:szCs w:val="19"/>
              </w:rPr>
            </w:pPr>
            <w:r w:rsidRPr="00482A36">
              <w:rPr>
                <w:b/>
                <w:sz w:val="19"/>
                <w:szCs w:val="19"/>
              </w:rPr>
              <w:t>-124 (210)</w:t>
            </w:r>
          </w:p>
        </w:tc>
        <w:tc>
          <w:tcPr>
            <w:tcW w:w="455" w:type="pct"/>
            <w:shd w:val="clear" w:color="auto" w:fill="FFFFFF" w:themeFill="background1"/>
            <w:vAlign w:val="center"/>
          </w:tcPr>
          <w:p w14:paraId="58E49867" w14:textId="77777777" w:rsidR="005D2FF5" w:rsidRPr="00482A36" w:rsidRDefault="005D2FF5" w:rsidP="00452A16">
            <w:pPr>
              <w:pStyle w:val="Tabletext"/>
              <w:jc w:val="center"/>
              <w:rPr>
                <w:b/>
                <w:sz w:val="19"/>
                <w:szCs w:val="19"/>
              </w:rPr>
            </w:pPr>
            <w:r w:rsidRPr="00482A36">
              <w:rPr>
                <w:b/>
                <w:sz w:val="19"/>
                <w:szCs w:val="19"/>
              </w:rPr>
              <w:t>-57.8 (136)</w:t>
            </w:r>
          </w:p>
        </w:tc>
        <w:tc>
          <w:tcPr>
            <w:tcW w:w="379" w:type="pct"/>
            <w:shd w:val="clear" w:color="auto" w:fill="FFFFFF" w:themeFill="background1"/>
            <w:vAlign w:val="center"/>
          </w:tcPr>
          <w:p w14:paraId="54B78EF8" w14:textId="77777777" w:rsidR="005D2FF5" w:rsidRPr="00482A36" w:rsidRDefault="005D2FF5" w:rsidP="00452A16">
            <w:pPr>
              <w:pStyle w:val="Tabletext"/>
              <w:jc w:val="center"/>
              <w:rPr>
                <w:sz w:val="19"/>
                <w:szCs w:val="19"/>
              </w:rPr>
            </w:pPr>
            <w:r w:rsidRPr="00482A36">
              <w:rPr>
                <w:sz w:val="19"/>
                <w:szCs w:val="19"/>
              </w:rPr>
              <w:t>2.6 (124)</w:t>
            </w:r>
          </w:p>
        </w:tc>
      </w:tr>
      <w:tr w:rsidR="005D2FF5" w:rsidRPr="00482A36" w14:paraId="4B565CAB" w14:textId="77777777" w:rsidTr="00A54DD1">
        <w:trPr>
          <w:trHeight w:val="20"/>
        </w:trPr>
        <w:tc>
          <w:tcPr>
            <w:tcW w:w="528" w:type="pct"/>
            <w:shd w:val="clear" w:color="auto" w:fill="FFFFFF" w:themeFill="background1"/>
            <w:vAlign w:val="center"/>
          </w:tcPr>
          <w:p w14:paraId="62EA75AF" w14:textId="77777777" w:rsidR="005D2FF5" w:rsidRPr="00482A36" w:rsidRDefault="005D2FF5" w:rsidP="00452A16">
            <w:pPr>
              <w:pStyle w:val="Tabletext"/>
              <w:rPr>
                <w:sz w:val="19"/>
                <w:szCs w:val="19"/>
              </w:rPr>
            </w:pPr>
            <w:r w:rsidRPr="00482A36">
              <w:rPr>
                <w:sz w:val="19"/>
                <w:szCs w:val="19"/>
              </w:rPr>
              <w:t>CFB (SD), w52</w:t>
            </w:r>
          </w:p>
        </w:tc>
        <w:tc>
          <w:tcPr>
            <w:tcW w:w="379" w:type="pct"/>
            <w:shd w:val="clear" w:color="auto" w:fill="FFFFFF" w:themeFill="background1"/>
            <w:vAlign w:val="center"/>
          </w:tcPr>
          <w:p w14:paraId="57B1A6FF" w14:textId="77777777" w:rsidR="005D2FF5" w:rsidRPr="00482A36" w:rsidRDefault="005D2FF5" w:rsidP="00452A16">
            <w:pPr>
              <w:pStyle w:val="Tabletext"/>
              <w:jc w:val="center"/>
              <w:rPr>
                <w:sz w:val="19"/>
                <w:szCs w:val="19"/>
              </w:rPr>
            </w:pPr>
            <w:r w:rsidRPr="00482A36">
              <w:rPr>
                <w:sz w:val="19"/>
                <w:szCs w:val="19"/>
              </w:rPr>
              <w:t>8.0</w:t>
            </w:r>
          </w:p>
          <w:p w14:paraId="5560581B" w14:textId="77777777" w:rsidR="005D2FF5" w:rsidRPr="00482A36" w:rsidRDefault="005D2FF5" w:rsidP="00452A16">
            <w:pPr>
              <w:pStyle w:val="Tabletext"/>
              <w:jc w:val="center"/>
              <w:rPr>
                <w:b/>
                <w:bCs/>
                <w:sz w:val="19"/>
                <w:szCs w:val="19"/>
              </w:rPr>
            </w:pPr>
            <w:r w:rsidRPr="00482A36">
              <w:rPr>
                <w:sz w:val="19"/>
                <w:szCs w:val="19"/>
              </w:rPr>
              <w:t>(229)</w:t>
            </w:r>
          </w:p>
        </w:tc>
        <w:tc>
          <w:tcPr>
            <w:tcW w:w="379" w:type="pct"/>
            <w:shd w:val="clear" w:color="auto" w:fill="FFFFFF" w:themeFill="background1"/>
            <w:vAlign w:val="center"/>
          </w:tcPr>
          <w:p w14:paraId="6C20EAFC" w14:textId="77777777" w:rsidR="005D2FF5" w:rsidRPr="00482A36" w:rsidRDefault="005D2FF5" w:rsidP="00452A16">
            <w:pPr>
              <w:pStyle w:val="Tabletext"/>
              <w:jc w:val="center"/>
              <w:rPr>
                <w:sz w:val="19"/>
                <w:szCs w:val="19"/>
              </w:rPr>
            </w:pPr>
            <w:r w:rsidRPr="00482A36">
              <w:rPr>
                <w:sz w:val="19"/>
                <w:szCs w:val="19"/>
              </w:rPr>
              <w:t>-2.9 (229)</w:t>
            </w:r>
          </w:p>
        </w:tc>
        <w:tc>
          <w:tcPr>
            <w:tcW w:w="379" w:type="pct"/>
            <w:shd w:val="clear" w:color="auto" w:fill="FFFFFF" w:themeFill="background1"/>
            <w:vAlign w:val="center"/>
          </w:tcPr>
          <w:p w14:paraId="45E3A3F5" w14:textId="77777777" w:rsidR="005D2FF5" w:rsidRPr="00482A36" w:rsidRDefault="005D2FF5" w:rsidP="00452A16">
            <w:pPr>
              <w:pStyle w:val="Tabletext"/>
              <w:jc w:val="center"/>
              <w:rPr>
                <w:b/>
                <w:bCs/>
                <w:sz w:val="19"/>
                <w:szCs w:val="19"/>
              </w:rPr>
            </w:pPr>
            <w:r w:rsidRPr="00482A36">
              <w:rPr>
                <w:sz w:val="19"/>
                <w:szCs w:val="19"/>
              </w:rPr>
              <w:t>-25.3 (244)</w:t>
            </w:r>
          </w:p>
        </w:tc>
        <w:tc>
          <w:tcPr>
            <w:tcW w:w="379" w:type="pct"/>
            <w:shd w:val="clear" w:color="auto" w:fill="FFFFFF" w:themeFill="background1"/>
            <w:vAlign w:val="center"/>
          </w:tcPr>
          <w:p w14:paraId="4915C2BF" w14:textId="77777777" w:rsidR="005D2FF5" w:rsidRPr="00482A36" w:rsidRDefault="005D2FF5" w:rsidP="00452A16">
            <w:pPr>
              <w:pStyle w:val="Tabletext"/>
              <w:jc w:val="center"/>
              <w:rPr>
                <w:sz w:val="19"/>
                <w:szCs w:val="19"/>
              </w:rPr>
            </w:pPr>
            <w:r w:rsidRPr="00482A36">
              <w:rPr>
                <w:sz w:val="19"/>
                <w:szCs w:val="19"/>
              </w:rPr>
              <w:t>12.0 (162)</w:t>
            </w:r>
          </w:p>
        </w:tc>
        <w:tc>
          <w:tcPr>
            <w:tcW w:w="379" w:type="pct"/>
            <w:shd w:val="clear" w:color="auto" w:fill="FFFFFF" w:themeFill="background1"/>
            <w:vAlign w:val="center"/>
          </w:tcPr>
          <w:p w14:paraId="62DD03EF" w14:textId="77777777" w:rsidR="005D2FF5" w:rsidRPr="00482A36" w:rsidRDefault="005D2FF5" w:rsidP="00452A16">
            <w:pPr>
              <w:pStyle w:val="Tabletext"/>
              <w:jc w:val="center"/>
              <w:rPr>
                <w:sz w:val="19"/>
                <w:szCs w:val="19"/>
              </w:rPr>
            </w:pPr>
            <w:r w:rsidRPr="00482A36">
              <w:rPr>
                <w:sz w:val="19"/>
                <w:szCs w:val="19"/>
              </w:rPr>
              <w:t>-78.7 (274)</w:t>
            </w:r>
          </w:p>
        </w:tc>
        <w:tc>
          <w:tcPr>
            <w:tcW w:w="380" w:type="pct"/>
            <w:tcBorders>
              <w:right w:val="double" w:sz="4" w:space="0" w:color="auto"/>
            </w:tcBorders>
            <w:shd w:val="clear" w:color="auto" w:fill="FFFFFF" w:themeFill="background1"/>
            <w:vAlign w:val="center"/>
          </w:tcPr>
          <w:p w14:paraId="53ECCCE7" w14:textId="77777777" w:rsidR="005D2FF5" w:rsidRPr="00482A36" w:rsidRDefault="005D2FF5" w:rsidP="00452A16">
            <w:pPr>
              <w:pStyle w:val="Tabletext"/>
              <w:jc w:val="center"/>
              <w:rPr>
                <w:sz w:val="19"/>
                <w:szCs w:val="19"/>
              </w:rPr>
            </w:pPr>
            <w:r w:rsidRPr="00482A36">
              <w:rPr>
                <w:sz w:val="19"/>
                <w:szCs w:val="19"/>
              </w:rPr>
              <w:t>44.3 (107)</w:t>
            </w:r>
          </w:p>
        </w:tc>
        <w:tc>
          <w:tcPr>
            <w:tcW w:w="454" w:type="pct"/>
            <w:tcBorders>
              <w:left w:val="double" w:sz="4" w:space="0" w:color="auto"/>
            </w:tcBorders>
            <w:shd w:val="clear" w:color="auto" w:fill="FFFFFF" w:themeFill="background1"/>
            <w:vAlign w:val="center"/>
          </w:tcPr>
          <w:p w14:paraId="3E7D9508"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72CB28F2" w14:textId="77777777" w:rsidR="005D2FF5" w:rsidRPr="00482A36" w:rsidRDefault="005D2FF5" w:rsidP="00452A16">
            <w:pPr>
              <w:pStyle w:val="Tabletext"/>
              <w:jc w:val="center"/>
              <w:rPr>
                <w:b/>
                <w:bCs/>
                <w:sz w:val="19"/>
                <w:szCs w:val="19"/>
              </w:rPr>
            </w:pPr>
            <w:r w:rsidRPr="00482A36">
              <w:rPr>
                <w:sz w:val="19"/>
                <w:szCs w:val="19"/>
              </w:rPr>
              <w:t>NR</w:t>
            </w:r>
          </w:p>
        </w:tc>
        <w:tc>
          <w:tcPr>
            <w:tcW w:w="454" w:type="pct"/>
            <w:shd w:val="clear" w:color="auto" w:fill="FFFFFF" w:themeFill="background1"/>
            <w:vAlign w:val="center"/>
          </w:tcPr>
          <w:p w14:paraId="76EED255"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430801FC" w14:textId="77777777" w:rsidR="005D2FF5" w:rsidRPr="00482A36" w:rsidRDefault="005D2FF5" w:rsidP="00452A16">
            <w:pPr>
              <w:pStyle w:val="Tabletext"/>
              <w:jc w:val="center"/>
              <w:rPr>
                <w:b/>
                <w:bCs/>
                <w:sz w:val="19"/>
                <w:szCs w:val="19"/>
              </w:rPr>
            </w:pPr>
            <w:r w:rsidRPr="00482A36">
              <w:rPr>
                <w:sz w:val="19"/>
                <w:szCs w:val="19"/>
              </w:rPr>
              <w:t>NR</w:t>
            </w:r>
          </w:p>
        </w:tc>
        <w:tc>
          <w:tcPr>
            <w:tcW w:w="379" w:type="pct"/>
            <w:shd w:val="clear" w:color="auto" w:fill="FFFFFF" w:themeFill="background1"/>
            <w:vAlign w:val="center"/>
          </w:tcPr>
          <w:p w14:paraId="25410B2C" w14:textId="77777777" w:rsidR="005D2FF5" w:rsidRPr="00482A36" w:rsidRDefault="005D2FF5" w:rsidP="00452A16">
            <w:pPr>
              <w:pStyle w:val="Tabletext"/>
              <w:jc w:val="center"/>
              <w:rPr>
                <w:sz w:val="19"/>
                <w:szCs w:val="19"/>
              </w:rPr>
            </w:pPr>
            <w:r w:rsidRPr="00482A36">
              <w:rPr>
                <w:sz w:val="19"/>
                <w:szCs w:val="19"/>
              </w:rPr>
              <w:t>NR</w:t>
            </w:r>
          </w:p>
        </w:tc>
      </w:tr>
      <w:tr w:rsidR="005D2FF5" w:rsidRPr="00482A36" w14:paraId="3A6EA4F4" w14:textId="77777777" w:rsidTr="005D2FF5">
        <w:trPr>
          <w:trHeight w:val="20"/>
        </w:trPr>
        <w:tc>
          <w:tcPr>
            <w:tcW w:w="5000" w:type="pct"/>
            <w:gridSpan w:val="12"/>
            <w:shd w:val="clear" w:color="auto" w:fill="FFFFFF" w:themeFill="background1"/>
          </w:tcPr>
          <w:p w14:paraId="4B2DE31D" w14:textId="77777777" w:rsidR="005D2FF5" w:rsidRPr="00482A36" w:rsidRDefault="005D2FF5" w:rsidP="00224353">
            <w:pPr>
              <w:pStyle w:val="Tabletext"/>
              <w:keepNext/>
              <w:rPr>
                <w:b/>
                <w:bCs/>
                <w:sz w:val="19"/>
                <w:szCs w:val="19"/>
              </w:rPr>
            </w:pPr>
            <w:r w:rsidRPr="00482A36">
              <w:rPr>
                <w:b/>
                <w:bCs/>
                <w:sz w:val="19"/>
                <w:szCs w:val="19"/>
              </w:rPr>
              <w:t>Symptom severity score (UFS-QoL) change from baseline up to weeks 24 and 52</w:t>
            </w:r>
          </w:p>
        </w:tc>
      </w:tr>
      <w:tr w:rsidR="005D2FF5" w:rsidRPr="00482A36" w:rsidDel="00993AFD" w14:paraId="479105B0" w14:textId="77777777" w:rsidTr="00A54DD1">
        <w:trPr>
          <w:trHeight w:val="20"/>
        </w:trPr>
        <w:tc>
          <w:tcPr>
            <w:tcW w:w="528" w:type="pct"/>
            <w:shd w:val="clear" w:color="auto" w:fill="FFFFFF" w:themeFill="background1"/>
            <w:vAlign w:val="center"/>
          </w:tcPr>
          <w:p w14:paraId="41BB012D" w14:textId="77777777" w:rsidR="005D2FF5" w:rsidRPr="00482A36" w:rsidDel="00993AFD"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3E2901B3" w14:textId="77777777" w:rsidR="005D2FF5" w:rsidRPr="00482A36" w:rsidRDefault="005D2FF5" w:rsidP="00452A16">
            <w:pPr>
              <w:pStyle w:val="Tabletext"/>
              <w:jc w:val="center"/>
              <w:rPr>
                <w:sz w:val="19"/>
                <w:szCs w:val="19"/>
              </w:rPr>
            </w:pPr>
            <w:r w:rsidRPr="00482A36">
              <w:rPr>
                <w:sz w:val="19"/>
                <w:szCs w:val="19"/>
              </w:rPr>
              <w:t>-11.6</w:t>
            </w:r>
          </w:p>
          <w:p w14:paraId="46330E83" w14:textId="77777777" w:rsidR="005D2FF5" w:rsidRPr="00482A36" w:rsidDel="00993AFD" w:rsidRDefault="005D2FF5" w:rsidP="00452A16">
            <w:pPr>
              <w:pStyle w:val="Tabletext"/>
              <w:jc w:val="center"/>
              <w:rPr>
                <w:sz w:val="19"/>
                <w:szCs w:val="19"/>
              </w:rPr>
            </w:pPr>
            <w:r w:rsidRPr="00482A36">
              <w:rPr>
                <w:sz w:val="19"/>
                <w:szCs w:val="19"/>
              </w:rPr>
              <w:t>(-19, -4)</w:t>
            </w:r>
          </w:p>
        </w:tc>
        <w:tc>
          <w:tcPr>
            <w:tcW w:w="379" w:type="pct"/>
            <w:shd w:val="clear" w:color="auto" w:fill="FFFFFF" w:themeFill="background1"/>
            <w:vAlign w:val="center"/>
          </w:tcPr>
          <w:p w14:paraId="2FC0934E" w14:textId="77777777" w:rsidR="005D2FF5" w:rsidRPr="00482A36" w:rsidRDefault="005D2FF5" w:rsidP="00452A16">
            <w:pPr>
              <w:pStyle w:val="Tabletext"/>
              <w:jc w:val="center"/>
              <w:rPr>
                <w:sz w:val="19"/>
                <w:szCs w:val="19"/>
              </w:rPr>
            </w:pPr>
            <w:r w:rsidRPr="00482A36">
              <w:rPr>
                <w:sz w:val="19"/>
                <w:szCs w:val="19"/>
              </w:rPr>
              <w:t>-21.7</w:t>
            </w:r>
          </w:p>
          <w:p w14:paraId="09DFD767" w14:textId="77777777" w:rsidR="005D2FF5" w:rsidRPr="00482A36" w:rsidDel="00993AFD" w:rsidRDefault="005D2FF5" w:rsidP="00452A16">
            <w:pPr>
              <w:pStyle w:val="Tabletext"/>
              <w:jc w:val="center"/>
              <w:rPr>
                <w:sz w:val="19"/>
                <w:szCs w:val="19"/>
              </w:rPr>
            </w:pPr>
            <w:r w:rsidRPr="00482A36">
              <w:rPr>
                <w:sz w:val="19"/>
                <w:szCs w:val="19"/>
              </w:rPr>
              <w:t>(-29, -14)</w:t>
            </w:r>
          </w:p>
        </w:tc>
        <w:tc>
          <w:tcPr>
            <w:tcW w:w="379" w:type="pct"/>
            <w:shd w:val="clear" w:color="auto" w:fill="FFFFFF" w:themeFill="background1"/>
            <w:vAlign w:val="center"/>
          </w:tcPr>
          <w:p w14:paraId="6B574981" w14:textId="77777777" w:rsidR="005D2FF5" w:rsidRPr="00482A36" w:rsidRDefault="005D2FF5" w:rsidP="00452A16">
            <w:pPr>
              <w:pStyle w:val="Tabletext"/>
              <w:jc w:val="center"/>
              <w:rPr>
                <w:sz w:val="19"/>
                <w:szCs w:val="19"/>
              </w:rPr>
            </w:pPr>
            <w:r w:rsidRPr="00482A36">
              <w:rPr>
                <w:sz w:val="19"/>
                <w:szCs w:val="19"/>
              </w:rPr>
              <w:t>-23.4</w:t>
            </w:r>
          </w:p>
          <w:p w14:paraId="0EABD7D2" w14:textId="77777777" w:rsidR="005D2FF5" w:rsidRPr="00482A36" w:rsidDel="00993AFD" w:rsidRDefault="005D2FF5" w:rsidP="00452A16">
            <w:pPr>
              <w:pStyle w:val="Tabletext"/>
              <w:jc w:val="center"/>
              <w:rPr>
                <w:sz w:val="19"/>
                <w:szCs w:val="19"/>
              </w:rPr>
            </w:pPr>
            <w:r w:rsidRPr="00482A36">
              <w:rPr>
                <w:sz w:val="19"/>
                <w:szCs w:val="19"/>
              </w:rPr>
              <w:t>(-31, -16)</w:t>
            </w:r>
          </w:p>
        </w:tc>
        <w:tc>
          <w:tcPr>
            <w:tcW w:w="379" w:type="pct"/>
            <w:shd w:val="clear" w:color="auto" w:fill="FFFFFF" w:themeFill="background1"/>
            <w:vAlign w:val="center"/>
          </w:tcPr>
          <w:p w14:paraId="718353CD" w14:textId="77777777" w:rsidR="005D2FF5" w:rsidRPr="00482A36" w:rsidRDefault="005D2FF5" w:rsidP="00452A16">
            <w:pPr>
              <w:pStyle w:val="Tabletext"/>
              <w:jc w:val="center"/>
              <w:rPr>
                <w:sz w:val="19"/>
                <w:szCs w:val="19"/>
              </w:rPr>
            </w:pPr>
            <w:r w:rsidRPr="00482A36">
              <w:rPr>
                <w:sz w:val="19"/>
                <w:szCs w:val="19"/>
              </w:rPr>
              <w:t>-20.2</w:t>
            </w:r>
          </w:p>
          <w:p w14:paraId="5632C85F" w14:textId="33F77B89" w:rsidR="005D2FF5" w:rsidRPr="00482A36" w:rsidDel="00993AFD" w:rsidRDefault="005D2FF5" w:rsidP="00452A16">
            <w:pPr>
              <w:pStyle w:val="Tabletext"/>
              <w:jc w:val="center"/>
              <w:rPr>
                <w:sz w:val="19"/>
                <w:szCs w:val="19"/>
              </w:rPr>
            </w:pPr>
            <w:r w:rsidRPr="00482A36">
              <w:rPr>
                <w:sz w:val="19"/>
                <w:szCs w:val="19"/>
              </w:rPr>
              <w:t>(-27, -</w:t>
            </w:r>
            <w:r w:rsidR="00F161DE" w:rsidRPr="00482A36">
              <w:rPr>
                <w:sz w:val="19"/>
                <w:szCs w:val="19"/>
              </w:rPr>
              <w:t> </w:t>
            </w:r>
            <w:r w:rsidRPr="00482A36">
              <w:rPr>
                <w:sz w:val="19"/>
                <w:szCs w:val="19"/>
              </w:rPr>
              <w:t>13)</w:t>
            </w:r>
          </w:p>
        </w:tc>
        <w:tc>
          <w:tcPr>
            <w:tcW w:w="379" w:type="pct"/>
            <w:shd w:val="clear" w:color="auto" w:fill="FFFFFF" w:themeFill="background1"/>
            <w:vAlign w:val="center"/>
          </w:tcPr>
          <w:p w14:paraId="753DC9BD"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5E7140B5" w14:textId="77777777" w:rsidR="005D2FF5" w:rsidRPr="00482A36" w:rsidDel="00993AFD"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39CC5312" w14:textId="77777777" w:rsidR="005D2FF5" w:rsidRPr="00482A36" w:rsidRDefault="005D2FF5" w:rsidP="00452A16">
            <w:pPr>
              <w:pStyle w:val="Tabletext"/>
              <w:jc w:val="center"/>
              <w:rPr>
                <w:sz w:val="19"/>
                <w:szCs w:val="19"/>
              </w:rPr>
            </w:pPr>
            <w:r w:rsidRPr="00482A36">
              <w:rPr>
                <w:sz w:val="19"/>
                <w:szCs w:val="19"/>
              </w:rPr>
              <w:t>-8.7</w:t>
            </w:r>
          </w:p>
          <w:p w14:paraId="6E9BA1EB" w14:textId="77777777" w:rsidR="005D2FF5" w:rsidRPr="00482A36" w:rsidDel="00993AFD" w:rsidRDefault="005D2FF5" w:rsidP="00452A16">
            <w:pPr>
              <w:pStyle w:val="Tabletext"/>
              <w:jc w:val="center"/>
              <w:rPr>
                <w:sz w:val="19"/>
                <w:szCs w:val="19"/>
              </w:rPr>
            </w:pPr>
            <w:r w:rsidRPr="00482A36">
              <w:rPr>
                <w:sz w:val="19"/>
                <w:szCs w:val="19"/>
              </w:rPr>
              <w:t>(-14, -3)</w:t>
            </w:r>
          </w:p>
        </w:tc>
        <w:tc>
          <w:tcPr>
            <w:tcW w:w="455" w:type="pct"/>
            <w:shd w:val="clear" w:color="auto" w:fill="FFFFFF" w:themeFill="background1"/>
            <w:vAlign w:val="center"/>
          </w:tcPr>
          <w:p w14:paraId="639FA00B" w14:textId="77777777" w:rsidR="005D2FF5" w:rsidRPr="00482A36" w:rsidRDefault="005D2FF5" w:rsidP="00452A16">
            <w:pPr>
              <w:pStyle w:val="Tabletext"/>
              <w:jc w:val="center"/>
              <w:rPr>
                <w:sz w:val="19"/>
                <w:szCs w:val="19"/>
              </w:rPr>
            </w:pPr>
            <w:r w:rsidRPr="00482A36">
              <w:rPr>
                <w:sz w:val="19"/>
                <w:szCs w:val="19"/>
              </w:rPr>
              <w:t>-14.2</w:t>
            </w:r>
          </w:p>
          <w:p w14:paraId="7DCBA095" w14:textId="77777777" w:rsidR="005D2FF5" w:rsidRPr="00482A36" w:rsidDel="00993AFD" w:rsidRDefault="005D2FF5" w:rsidP="00452A16">
            <w:pPr>
              <w:pStyle w:val="Tabletext"/>
              <w:jc w:val="center"/>
              <w:rPr>
                <w:sz w:val="19"/>
                <w:szCs w:val="19"/>
              </w:rPr>
            </w:pPr>
            <w:r w:rsidRPr="00482A36">
              <w:rPr>
                <w:sz w:val="19"/>
                <w:szCs w:val="19"/>
              </w:rPr>
              <w:t>(-19, -9)</w:t>
            </w:r>
          </w:p>
        </w:tc>
        <w:tc>
          <w:tcPr>
            <w:tcW w:w="454" w:type="pct"/>
            <w:shd w:val="clear" w:color="auto" w:fill="FFFFFF" w:themeFill="background1"/>
            <w:vAlign w:val="center"/>
          </w:tcPr>
          <w:p w14:paraId="07DC6520" w14:textId="77777777" w:rsidR="005D2FF5" w:rsidRPr="00482A36" w:rsidRDefault="005D2FF5" w:rsidP="00452A16">
            <w:pPr>
              <w:pStyle w:val="Tabletext"/>
              <w:jc w:val="center"/>
              <w:rPr>
                <w:sz w:val="19"/>
                <w:szCs w:val="19"/>
              </w:rPr>
            </w:pPr>
            <w:r w:rsidRPr="00482A36">
              <w:rPr>
                <w:sz w:val="19"/>
                <w:szCs w:val="19"/>
              </w:rPr>
              <w:t>-20.8</w:t>
            </w:r>
          </w:p>
          <w:p w14:paraId="2D202CCE" w14:textId="77777777" w:rsidR="005D2FF5" w:rsidRPr="00482A36" w:rsidDel="00993AFD" w:rsidRDefault="005D2FF5" w:rsidP="00452A16">
            <w:pPr>
              <w:pStyle w:val="Tabletext"/>
              <w:jc w:val="center"/>
              <w:rPr>
                <w:sz w:val="19"/>
                <w:szCs w:val="19"/>
              </w:rPr>
            </w:pPr>
            <w:r w:rsidRPr="00482A36">
              <w:rPr>
                <w:sz w:val="19"/>
                <w:szCs w:val="19"/>
              </w:rPr>
              <w:t>(-26, -16)</w:t>
            </w:r>
          </w:p>
        </w:tc>
        <w:tc>
          <w:tcPr>
            <w:tcW w:w="455" w:type="pct"/>
            <w:shd w:val="clear" w:color="auto" w:fill="FFFFFF" w:themeFill="background1"/>
            <w:vAlign w:val="center"/>
          </w:tcPr>
          <w:p w14:paraId="4663ACCF" w14:textId="77777777" w:rsidR="005D2FF5" w:rsidRPr="00482A36" w:rsidRDefault="005D2FF5" w:rsidP="00452A16">
            <w:pPr>
              <w:pStyle w:val="Tabletext"/>
              <w:jc w:val="center"/>
              <w:rPr>
                <w:sz w:val="19"/>
                <w:szCs w:val="19"/>
              </w:rPr>
            </w:pPr>
            <w:r w:rsidRPr="00482A36">
              <w:rPr>
                <w:sz w:val="19"/>
                <w:szCs w:val="19"/>
              </w:rPr>
              <w:t>-22.7</w:t>
            </w:r>
          </w:p>
          <w:p w14:paraId="78E95018" w14:textId="77777777" w:rsidR="005D2FF5" w:rsidRPr="00482A36" w:rsidDel="00993AFD" w:rsidRDefault="005D2FF5" w:rsidP="00452A16">
            <w:pPr>
              <w:pStyle w:val="Tabletext"/>
              <w:jc w:val="center"/>
              <w:rPr>
                <w:sz w:val="19"/>
                <w:szCs w:val="19"/>
              </w:rPr>
            </w:pPr>
            <w:r w:rsidRPr="00482A36">
              <w:rPr>
                <w:sz w:val="19"/>
                <w:szCs w:val="19"/>
              </w:rPr>
              <w:t>(-28, -17)</w:t>
            </w:r>
          </w:p>
        </w:tc>
        <w:tc>
          <w:tcPr>
            <w:tcW w:w="379" w:type="pct"/>
            <w:shd w:val="clear" w:color="auto" w:fill="FFFFFF" w:themeFill="background1"/>
            <w:vAlign w:val="center"/>
          </w:tcPr>
          <w:p w14:paraId="29B2B330" w14:textId="77777777" w:rsidR="005D2FF5" w:rsidRPr="00482A36" w:rsidDel="00993AFD" w:rsidRDefault="005D2FF5" w:rsidP="00452A16">
            <w:pPr>
              <w:pStyle w:val="Tabletext"/>
              <w:jc w:val="center"/>
              <w:rPr>
                <w:sz w:val="19"/>
                <w:szCs w:val="19"/>
              </w:rPr>
            </w:pPr>
            <w:r w:rsidRPr="00482A36">
              <w:rPr>
                <w:sz w:val="19"/>
                <w:szCs w:val="19"/>
              </w:rPr>
              <w:t>-</w:t>
            </w:r>
          </w:p>
        </w:tc>
      </w:tr>
      <w:tr w:rsidR="005D2FF5" w:rsidRPr="00482A36" w14:paraId="5B3E68C3" w14:textId="77777777" w:rsidTr="00A54DD1">
        <w:trPr>
          <w:trHeight w:val="20"/>
        </w:trPr>
        <w:tc>
          <w:tcPr>
            <w:tcW w:w="528" w:type="pct"/>
            <w:shd w:val="clear" w:color="auto" w:fill="FFFFFF" w:themeFill="background1"/>
            <w:vAlign w:val="center"/>
          </w:tcPr>
          <w:p w14:paraId="21941532" w14:textId="77777777" w:rsidR="005D2FF5" w:rsidRPr="00482A36" w:rsidRDefault="005D2FF5" w:rsidP="00452A16">
            <w:pPr>
              <w:pStyle w:val="Tabletext"/>
              <w:rPr>
                <w:sz w:val="19"/>
                <w:szCs w:val="19"/>
              </w:rPr>
            </w:pPr>
            <w:r w:rsidRPr="00482A36">
              <w:rPr>
                <w:sz w:val="19"/>
                <w:szCs w:val="19"/>
              </w:rPr>
              <w:t>p-value, w24</w:t>
            </w:r>
          </w:p>
        </w:tc>
        <w:tc>
          <w:tcPr>
            <w:tcW w:w="379" w:type="pct"/>
            <w:shd w:val="clear" w:color="auto" w:fill="FFFFFF" w:themeFill="background1"/>
            <w:vAlign w:val="center"/>
          </w:tcPr>
          <w:p w14:paraId="48FDD3FD" w14:textId="77777777" w:rsidR="005D2FF5" w:rsidRPr="00482A36" w:rsidRDefault="005D2FF5" w:rsidP="00452A16">
            <w:pPr>
              <w:pStyle w:val="Tabletext"/>
              <w:jc w:val="center"/>
              <w:rPr>
                <w:b/>
                <w:bCs/>
                <w:sz w:val="19"/>
                <w:szCs w:val="19"/>
              </w:rPr>
            </w:pPr>
            <w:r w:rsidRPr="00482A36">
              <w:rPr>
                <w:b/>
                <w:bCs/>
                <w:sz w:val="19"/>
                <w:szCs w:val="19"/>
              </w:rPr>
              <w:t>0.002</w:t>
            </w:r>
          </w:p>
        </w:tc>
        <w:tc>
          <w:tcPr>
            <w:tcW w:w="379" w:type="pct"/>
            <w:shd w:val="clear" w:color="auto" w:fill="FFFFFF" w:themeFill="background1"/>
            <w:vAlign w:val="center"/>
          </w:tcPr>
          <w:p w14:paraId="4CBA6CEC"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26F175AC"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183C1C75"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tcPr>
          <w:p w14:paraId="551C673B" w14:textId="77777777" w:rsidR="005D2FF5" w:rsidRPr="00482A36" w:rsidRDefault="005D2FF5" w:rsidP="00452A16">
            <w:pPr>
              <w:pStyle w:val="Tabletext"/>
              <w:jc w:val="center"/>
              <w:rPr>
                <w:sz w:val="19"/>
                <w:szCs w:val="19"/>
              </w:rPr>
            </w:pPr>
          </w:p>
        </w:tc>
        <w:tc>
          <w:tcPr>
            <w:tcW w:w="380" w:type="pct"/>
            <w:tcBorders>
              <w:right w:val="double" w:sz="4" w:space="0" w:color="auto"/>
            </w:tcBorders>
            <w:shd w:val="clear" w:color="auto" w:fill="FFFFFF" w:themeFill="background1"/>
            <w:vAlign w:val="center"/>
          </w:tcPr>
          <w:p w14:paraId="3DB11B26"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4E6B5D0A"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07DD397B" w14:textId="77777777" w:rsidR="005D2FF5" w:rsidRPr="00482A36" w:rsidRDefault="005D2FF5" w:rsidP="00452A16">
            <w:pPr>
              <w:pStyle w:val="Tabletext"/>
              <w:jc w:val="center"/>
              <w:rPr>
                <w:b/>
                <w:bCs/>
                <w:sz w:val="19"/>
                <w:szCs w:val="19"/>
              </w:rPr>
            </w:pPr>
            <w:r w:rsidRPr="00482A36">
              <w:rPr>
                <w:b/>
                <w:bCs/>
                <w:sz w:val="19"/>
                <w:szCs w:val="19"/>
              </w:rPr>
              <w:t>&lt;0.001</w:t>
            </w:r>
          </w:p>
        </w:tc>
        <w:tc>
          <w:tcPr>
            <w:tcW w:w="454" w:type="pct"/>
            <w:shd w:val="clear" w:color="auto" w:fill="FFFFFF" w:themeFill="background1"/>
            <w:vAlign w:val="center"/>
          </w:tcPr>
          <w:p w14:paraId="4CF2C5ED"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189FEF50"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4AAC9E36" w14:textId="77777777" w:rsidR="005D2FF5" w:rsidRPr="00482A36" w:rsidRDefault="005D2FF5" w:rsidP="00452A16">
            <w:pPr>
              <w:pStyle w:val="Tabletext"/>
              <w:jc w:val="center"/>
              <w:rPr>
                <w:sz w:val="19"/>
                <w:szCs w:val="19"/>
              </w:rPr>
            </w:pPr>
            <w:r w:rsidRPr="00482A36">
              <w:rPr>
                <w:sz w:val="19"/>
                <w:szCs w:val="19"/>
              </w:rPr>
              <w:t>-</w:t>
            </w:r>
          </w:p>
        </w:tc>
      </w:tr>
      <w:tr w:rsidR="005D2FF5" w:rsidRPr="00616367" w14:paraId="0ABAEC2E" w14:textId="77777777" w:rsidTr="00A54DD1">
        <w:trPr>
          <w:trHeight w:val="20"/>
        </w:trPr>
        <w:tc>
          <w:tcPr>
            <w:tcW w:w="528" w:type="pct"/>
            <w:shd w:val="clear" w:color="auto" w:fill="FFFFFF" w:themeFill="background1"/>
            <w:vAlign w:val="center"/>
          </w:tcPr>
          <w:p w14:paraId="0445F74E" w14:textId="77777777" w:rsidR="005D2FF5" w:rsidRPr="00616367" w:rsidRDefault="005D2FF5" w:rsidP="00452A16">
            <w:pPr>
              <w:pStyle w:val="Tabletext"/>
              <w:rPr>
                <w:sz w:val="19"/>
                <w:szCs w:val="19"/>
              </w:rPr>
            </w:pPr>
            <w:r w:rsidRPr="00616367">
              <w:rPr>
                <w:sz w:val="19"/>
                <w:szCs w:val="19"/>
              </w:rPr>
              <w:t>CFB (SD), w24</w:t>
            </w:r>
          </w:p>
        </w:tc>
        <w:tc>
          <w:tcPr>
            <w:tcW w:w="379" w:type="pct"/>
            <w:shd w:val="clear" w:color="auto" w:fill="FFFFFF" w:themeFill="background1"/>
            <w:vAlign w:val="center"/>
          </w:tcPr>
          <w:p w14:paraId="0B2D257C" w14:textId="77777777" w:rsidR="005D2FF5" w:rsidRPr="00616367" w:rsidRDefault="005D2FF5" w:rsidP="00452A16">
            <w:pPr>
              <w:pStyle w:val="Tabletext"/>
              <w:jc w:val="center"/>
              <w:rPr>
                <w:iCs/>
                <w:sz w:val="19"/>
                <w:szCs w:val="19"/>
              </w:rPr>
            </w:pPr>
            <w:r w:rsidRPr="00616367">
              <w:rPr>
                <w:iCs/>
                <w:sz w:val="19"/>
                <w:szCs w:val="19"/>
              </w:rPr>
              <w:t>NR</w:t>
            </w:r>
          </w:p>
        </w:tc>
        <w:tc>
          <w:tcPr>
            <w:tcW w:w="379" w:type="pct"/>
            <w:shd w:val="clear" w:color="auto" w:fill="FFFFFF" w:themeFill="background1"/>
            <w:vAlign w:val="center"/>
          </w:tcPr>
          <w:p w14:paraId="5E03B7B9" w14:textId="77777777" w:rsidR="005D2FF5" w:rsidRPr="00616367" w:rsidRDefault="005D2FF5" w:rsidP="00452A16">
            <w:pPr>
              <w:pStyle w:val="Tabletext"/>
              <w:jc w:val="center"/>
              <w:rPr>
                <w:iCs/>
                <w:sz w:val="19"/>
                <w:szCs w:val="19"/>
              </w:rPr>
            </w:pPr>
            <w:r w:rsidRPr="00616367">
              <w:rPr>
                <w:iCs/>
                <w:sz w:val="19"/>
                <w:szCs w:val="19"/>
              </w:rPr>
              <w:t>NR</w:t>
            </w:r>
          </w:p>
        </w:tc>
        <w:tc>
          <w:tcPr>
            <w:tcW w:w="379" w:type="pct"/>
            <w:shd w:val="clear" w:color="auto" w:fill="FFFFFF" w:themeFill="background1"/>
            <w:vAlign w:val="center"/>
          </w:tcPr>
          <w:p w14:paraId="4FAC1E74" w14:textId="77777777" w:rsidR="005D2FF5" w:rsidRPr="00616367" w:rsidRDefault="005D2FF5" w:rsidP="00452A16">
            <w:pPr>
              <w:pStyle w:val="Tabletext"/>
              <w:jc w:val="center"/>
              <w:rPr>
                <w:iCs/>
                <w:sz w:val="19"/>
                <w:szCs w:val="19"/>
              </w:rPr>
            </w:pPr>
            <w:r w:rsidRPr="00616367">
              <w:rPr>
                <w:iCs/>
                <w:sz w:val="19"/>
                <w:szCs w:val="19"/>
              </w:rPr>
              <w:t>NR</w:t>
            </w:r>
          </w:p>
        </w:tc>
        <w:tc>
          <w:tcPr>
            <w:tcW w:w="379" w:type="pct"/>
            <w:shd w:val="clear" w:color="auto" w:fill="FFFFFF" w:themeFill="background1"/>
            <w:vAlign w:val="center"/>
          </w:tcPr>
          <w:p w14:paraId="191937B6" w14:textId="77777777" w:rsidR="005D2FF5" w:rsidRPr="00616367" w:rsidRDefault="005D2FF5" w:rsidP="00452A16">
            <w:pPr>
              <w:pStyle w:val="Tabletext"/>
              <w:jc w:val="center"/>
              <w:rPr>
                <w:iCs/>
                <w:sz w:val="19"/>
                <w:szCs w:val="19"/>
              </w:rPr>
            </w:pPr>
            <w:r w:rsidRPr="00616367">
              <w:rPr>
                <w:iCs/>
                <w:sz w:val="19"/>
                <w:szCs w:val="19"/>
              </w:rPr>
              <w:t>NR</w:t>
            </w:r>
          </w:p>
        </w:tc>
        <w:tc>
          <w:tcPr>
            <w:tcW w:w="379" w:type="pct"/>
            <w:shd w:val="clear" w:color="auto" w:fill="FFFFFF" w:themeFill="background1"/>
            <w:vAlign w:val="center"/>
          </w:tcPr>
          <w:p w14:paraId="777B0659" w14:textId="77777777" w:rsidR="005D2FF5" w:rsidRPr="00616367" w:rsidRDefault="005D2FF5" w:rsidP="00452A16">
            <w:pPr>
              <w:pStyle w:val="Tabletext"/>
              <w:jc w:val="center"/>
              <w:rPr>
                <w:iCs/>
                <w:sz w:val="19"/>
                <w:szCs w:val="19"/>
              </w:rPr>
            </w:pPr>
            <w:r w:rsidRPr="00616367">
              <w:rPr>
                <w:iCs/>
                <w:sz w:val="19"/>
                <w:szCs w:val="19"/>
              </w:rPr>
              <w:t>NR</w:t>
            </w:r>
          </w:p>
        </w:tc>
        <w:tc>
          <w:tcPr>
            <w:tcW w:w="380" w:type="pct"/>
            <w:tcBorders>
              <w:right w:val="double" w:sz="4" w:space="0" w:color="auto"/>
            </w:tcBorders>
            <w:shd w:val="clear" w:color="auto" w:fill="FFFFFF" w:themeFill="background1"/>
            <w:vAlign w:val="center"/>
          </w:tcPr>
          <w:p w14:paraId="45AF7E3E" w14:textId="77777777" w:rsidR="005D2FF5" w:rsidRPr="00616367" w:rsidRDefault="005D2FF5" w:rsidP="00452A16">
            <w:pPr>
              <w:pStyle w:val="Tabletext"/>
              <w:jc w:val="center"/>
              <w:rPr>
                <w:iCs/>
                <w:sz w:val="19"/>
                <w:szCs w:val="19"/>
              </w:rPr>
            </w:pPr>
            <w:r w:rsidRPr="00616367">
              <w:rPr>
                <w:iCs/>
                <w:sz w:val="19"/>
                <w:szCs w:val="19"/>
              </w:rPr>
              <w:t>-</w:t>
            </w:r>
          </w:p>
        </w:tc>
        <w:tc>
          <w:tcPr>
            <w:tcW w:w="454" w:type="pct"/>
            <w:tcBorders>
              <w:left w:val="double" w:sz="4" w:space="0" w:color="auto"/>
            </w:tcBorders>
            <w:shd w:val="clear" w:color="auto" w:fill="FFFFFF" w:themeFill="background1"/>
            <w:vAlign w:val="center"/>
          </w:tcPr>
          <w:p w14:paraId="788AD860" w14:textId="77777777" w:rsidR="005D2FF5" w:rsidRPr="00616367" w:rsidRDefault="005D2FF5" w:rsidP="00452A16">
            <w:pPr>
              <w:pStyle w:val="Tabletext"/>
              <w:jc w:val="center"/>
              <w:rPr>
                <w:iCs/>
                <w:sz w:val="19"/>
                <w:szCs w:val="19"/>
              </w:rPr>
            </w:pPr>
            <w:r w:rsidRPr="00616367">
              <w:rPr>
                <w:iCs/>
                <w:sz w:val="19"/>
                <w:szCs w:val="19"/>
              </w:rPr>
              <w:t>NR</w:t>
            </w:r>
          </w:p>
        </w:tc>
        <w:tc>
          <w:tcPr>
            <w:tcW w:w="455" w:type="pct"/>
            <w:shd w:val="clear" w:color="auto" w:fill="FFFFFF" w:themeFill="background1"/>
            <w:vAlign w:val="center"/>
          </w:tcPr>
          <w:p w14:paraId="019BE280" w14:textId="77777777" w:rsidR="005D2FF5" w:rsidRPr="00616367" w:rsidRDefault="005D2FF5" w:rsidP="00452A16">
            <w:pPr>
              <w:pStyle w:val="Tabletext"/>
              <w:jc w:val="center"/>
              <w:rPr>
                <w:iCs/>
                <w:sz w:val="19"/>
                <w:szCs w:val="19"/>
              </w:rPr>
            </w:pPr>
            <w:r w:rsidRPr="00616367">
              <w:rPr>
                <w:iCs/>
                <w:sz w:val="19"/>
                <w:szCs w:val="19"/>
              </w:rPr>
              <w:t>NR</w:t>
            </w:r>
          </w:p>
        </w:tc>
        <w:tc>
          <w:tcPr>
            <w:tcW w:w="454" w:type="pct"/>
            <w:shd w:val="clear" w:color="auto" w:fill="FFFFFF" w:themeFill="background1"/>
            <w:vAlign w:val="center"/>
          </w:tcPr>
          <w:p w14:paraId="544CF348" w14:textId="77777777" w:rsidR="005D2FF5" w:rsidRPr="00616367" w:rsidRDefault="005D2FF5" w:rsidP="00452A16">
            <w:pPr>
              <w:pStyle w:val="Tabletext"/>
              <w:jc w:val="center"/>
              <w:rPr>
                <w:iCs/>
                <w:sz w:val="19"/>
                <w:szCs w:val="19"/>
              </w:rPr>
            </w:pPr>
            <w:r w:rsidRPr="00616367">
              <w:rPr>
                <w:iCs/>
                <w:sz w:val="19"/>
                <w:szCs w:val="19"/>
              </w:rPr>
              <w:t>NR</w:t>
            </w:r>
          </w:p>
        </w:tc>
        <w:tc>
          <w:tcPr>
            <w:tcW w:w="455" w:type="pct"/>
            <w:shd w:val="clear" w:color="auto" w:fill="FFFFFF" w:themeFill="background1"/>
            <w:vAlign w:val="center"/>
          </w:tcPr>
          <w:p w14:paraId="271E067F" w14:textId="77777777" w:rsidR="005D2FF5" w:rsidRPr="00616367" w:rsidRDefault="005D2FF5" w:rsidP="00452A16">
            <w:pPr>
              <w:pStyle w:val="Tabletext"/>
              <w:jc w:val="center"/>
              <w:rPr>
                <w:iCs/>
                <w:sz w:val="19"/>
                <w:szCs w:val="19"/>
              </w:rPr>
            </w:pPr>
            <w:r w:rsidRPr="00616367">
              <w:rPr>
                <w:iCs/>
                <w:sz w:val="19"/>
                <w:szCs w:val="19"/>
              </w:rPr>
              <w:t>NR</w:t>
            </w:r>
          </w:p>
        </w:tc>
        <w:tc>
          <w:tcPr>
            <w:tcW w:w="379" w:type="pct"/>
            <w:shd w:val="clear" w:color="auto" w:fill="FFFFFF" w:themeFill="background1"/>
            <w:vAlign w:val="center"/>
          </w:tcPr>
          <w:p w14:paraId="45EC064F" w14:textId="77777777" w:rsidR="005D2FF5" w:rsidRPr="00616367" w:rsidRDefault="005D2FF5" w:rsidP="00452A16">
            <w:pPr>
              <w:pStyle w:val="Tabletext"/>
              <w:jc w:val="center"/>
              <w:rPr>
                <w:iCs/>
                <w:sz w:val="19"/>
                <w:szCs w:val="19"/>
              </w:rPr>
            </w:pPr>
            <w:r w:rsidRPr="00616367">
              <w:rPr>
                <w:iCs/>
                <w:sz w:val="19"/>
                <w:szCs w:val="19"/>
              </w:rPr>
              <w:t>NR</w:t>
            </w:r>
          </w:p>
        </w:tc>
      </w:tr>
      <w:tr w:rsidR="005D2FF5" w:rsidRPr="00482A36" w14:paraId="5C458F95" w14:textId="77777777" w:rsidTr="00A54DD1">
        <w:trPr>
          <w:trHeight w:val="20"/>
        </w:trPr>
        <w:tc>
          <w:tcPr>
            <w:tcW w:w="528" w:type="pct"/>
            <w:shd w:val="clear" w:color="auto" w:fill="FFFFFF" w:themeFill="background1"/>
            <w:vAlign w:val="center"/>
          </w:tcPr>
          <w:p w14:paraId="40034E45" w14:textId="77777777" w:rsidR="005D2FF5" w:rsidRPr="00482A36" w:rsidRDefault="005D2FF5" w:rsidP="00452A16">
            <w:pPr>
              <w:pStyle w:val="Tabletext"/>
              <w:rPr>
                <w:sz w:val="19"/>
                <w:szCs w:val="19"/>
              </w:rPr>
            </w:pPr>
            <w:r w:rsidRPr="00482A36">
              <w:rPr>
                <w:sz w:val="19"/>
                <w:szCs w:val="19"/>
              </w:rPr>
              <w:lastRenderedPageBreak/>
              <w:t>CFB (SD), w52</w:t>
            </w:r>
          </w:p>
        </w:tc>
        <w:tc>
          <w:tcPr>
            <w:tcW w:w="379" w:type="pct"/>
            <w:shd w:val="clear" w:color="auto" w:fill="FFFFFF" w:themeFill="background1"/>
            <w:vAlign w:val="center"/>
          </w:tcPr>
          <w:p w14:paraId="59DE7153" w14:textId="77777777" w:rsidR="005D2FF5" w:rsidRPr="00482A36" w:rsidRDefault="005D2FF5" w:rsidP="00452A16">
            <w:pPr>
              <w:pStyle w:val="Tabletext"/>
              <w:jc w:val="center"/>
              <w:rPr>
                <w:b/>
                <w:bCs/>
                <w:sz w:val="19"/>
                <w:szCs w:val="19"/>
              </w:rPr>
            </w:pPr>
            <w:r w:rsidRPr="00482A36">
              <w:rPr>
                <w:sz w:val="19"/>
                <w:szCs w:val="19"/>
              </w:rPr>
              <w:t>-22.0 (26)</w:t>
            </w:r>
          </w:p>
        </w:tc>
        <w:tc>
          <w:tcPr>
            <w:tcW w:w="379" w:type="pct"/>
            <w:shd w:val="clear" w:color="auto" w:fill="FFFFFF" w:themeFill="background1"/>
            <w:vAlign w:val="center"/>
          </w:tcPr>
          <w:p w14:paraId="45AE6933" w14:textId="77777777" w:rsidR="005D2FF5" w:rsidRPr="00482A36" w:rsidRDefault="005D2FF5" w:rsidP="00452A16">
            <w:pPr>
              <w:pStyle w:val="Tabletext"/>
              <w:jc w:val="center"/>
              <w:rPr>
                <w:b/>
                <w:bCs/>
                <w:sz w:val="19"/>
                <w:szCs w:val="19"/>
              </w:rPr>
            </w:pPr>
            <w:r w:rsidRPr="00482A36">
              <w:rPr>
                <w:sz w:val="19"/>
                <w:szCs w:val="19"/>
              </w:rPr>
              <w:t>-31.6 (28)</w:t>
            </w:r>
          </w:p>
        </w:tc>
        <w:tc>
          <w:tcPr>
            <w:tcW w:w="379" w:type="pct"/>
            <w:shd w:val="clear" w:color="auto" w:fill="FFFFFF" w:themeFill="background1"/>
            <w:vAlign w:val="center"/>
          </w:tcPr>
          <w:p w14:paraId="4F06A085" w14:textId="77777777" w:rsidR="005D2FF5" w:rsidRPr="00482A36" w:rsidRDefault="005D2FF5" w:rsidP="00452A16">
            <w:pPr>
              <w:pStyle w:val="Tabletext"/>
              <w:jc w:val="center"/>
              <w:rPr>
                <w:b/>
                <w:bCs/>
                <w:sz w:val="19"/>
                <w:szCs w:val="19"/>
              </w:rPr>
            </w:pPr>
            <w:r w:rsidRPr="00482A36">
              <w:rPr>
                <w:sz w:val="19"/>
                <w:szCs w:val="19"/>
              </w:rPr>
              <w:t>-28.1 (29)</w:t>
            </w:r>
          </w:p>
        </w:tc>
        <w:tc>
          <w:tcPr>
            <w:tcW w:w="379" w:type="pct"/>
            <w:shd w:val="clear" w:color="auto" w:fill="FFFFFF" w:themeFill="background1"/>
            <w:vAlign w:val="center"/>
          </w:tcPr>
          <w:p w14:paraId="4C48E3BC" w14:textId="77777777" w:rsidR="005D2FF5" w:rsidRPr="00482A36" w:rsidRDefault="005D2FF5" w:rsidP="00452A16">
            <w:pPr>
              <w:pStyle w:val="Tabletext"/>
              <w:jc w:val="center"/>
              <w:rPr>
                <w:b/>
                <w:bCs/>
                <w:sz w:val="19"/>
                <w:szCs w:val="19"/>
              </w:rPr>
            </w:pPr>
            <w:r w:rsidRPr="00482A36">
              <w:rPr>
                <w:sz w:val="19"/>
                <w:szCs w:val="19"/>
              </w:rPr>
              <w:t>-35.4 (27)</w:t>
            </w:r>
          </w:p>
        </w:tc>
        <w:tc>
          <w:tcPr>
            <w:tcW w:w="379" w:type="pct"/>
            <w:shd w:val="clear" w:color="auto" w:fill="FFFFFF" w:themeFill="background1"/>
            <w:vAlign w:val="center"/>
          </w:tcPr>
          <w:p w14:paraId="23557FD6" w14:textId="77777777" w:rsidR="005D2FF5" w:rsidRPr="00482A36" w:rsidRDefault="005D2FF5" w:rsidP="00452A16">
            <w:pPr>
              <w:pStyle w:val="Tabletext"/>
              <w:jc w:val="center"/>
              <w:rPr>
                <w:sz w:val="19"/>
                <w:szCs w:val="19"/>
              </w:rPr>
            </w:pPr>
            <w:r w:rsidRPr="00482A36">
              <w:rPr>
                <w:sz w:val="19"/>
                <w:szCs w:val="19"/>
              </w:rPr>
              <w:t>-25.3 (29)</w:t>
            </w:r>
          </w:p>
        </w:tc>
        <w:tc>
          <w:tcPr>
            <w:tcW w:w="380" w:type="pct"/>
            <w:tcBorders>
              <w:right w:val="double" w:sz="4" w:space="0" w:color="auto"/>
            </w:tcBorders>
            <w:shd w:val="clear" w:color="auto" w:fill="FFFFFF" w:themeFill="background1"/>
            <w:vAlign w:val="center"/>
          </w:tcPr>
          <w:p w14:paraId="2215F4BC" w14:textId="77777777" w:rsidR="005D2FF5" w:rsidRPr="00482A36" w:rsidRDefault="005D2FF5" w:rsidP="00452A16">
            <w:pPr>
              <w:pStyle w:val="Tabletext"/>
              <w:jc w:val="center"/>
              <w:rPr>
                <w:sz w:val="19"/>
                <w:szCs w:val="19"/>
              </w:rPr>
            </w:pPr>
            <w:r w:rsidRPr="00482A36">
              <w:rPr>
                <w:sz w:val="19"/>
                <w:szCs w:val="19"/>
              </w:rPr>
              <w:t>-13.1 (22)</w:t>
            </w:r>
          </w:p>
        </w:tc>
        <w:tc>
          <w:tcPr>
            <w:tcW w:w="454" w:type="pct"/>
            <w:tcBorders>
              <w:left w:val="double" w:sz="4" w:space="0" w:color="auto"/>
            </w:tcBorders>
            <w:shd w:val="clear" w:color="auto" w:fill="FFFFFF" w:themeFill="background1"/>
            <w:vAlign w:val="center"/>
          </w:tcPr>
          <w:p w14:paraId="3F5A886B"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0F304C96" w14:textId="77777777" w:rsidR="005D2FF5" w:rsidRPr="00482A36" w:rsidRDefault="005D2FF5" w:rsidP="00452A16">
            <w:pPr>
              <w:pStyle w:val="Tabletext"/>
              <w:jc w:val="center"/>
              <w:rPr>
                <w:b/>
                <w:bCs/>
                <w:sz w:val="19"/>
                <w:szCs w:val="19"/>
              </w:rPr>
            </w:pPr>
            <w:r w:rsidRPr="00482A36">
              <w:rPr>
                <w:sz w:val="19"/>
                <w:szCs w:val="19"/>
              </w:rPr>
              <w:t>NR</w:t>
            </w:r>
          </w:p>
        </w:tc>
        <w:tc>
          <w:tcPr>
            <w:tcW w:w="454" w:type="pct"/>
            <w:shd w:val="clear" w:color="auto" w:fill="FFFFFF" w:themeFill="background1"/>
            <w:vAlign w:val="center"/>
          </w:tcPr>
          <w:p w14:paraId="4AF6D68E"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7A91EB09" w14:textId="77777777" w:rsidR="005D2FF5" w:rsidRPr="00482A36" w:rsidRDefault="005D2FF5" w:rsidP="00452A16">
            <w:pPr>
              <w:pStyle w:val="Tabletext"/>
              <w:jc w:val="center"/>
              <w:rPr>
                <w:b/>
                <w:bCs/>
                <w:sz w:val="19"/>
                <w:szCs w:val="19"/>
              </w:rPr>
            </w:pPr>
            <w:r w:rsidRPr="00482A36">
              <w:rPr>
                <w:sz w:val="19"/>
                <w:szCs w:val="19"/>
              </w:rPr>
              <w:t>NR</w:t>
            </w:r>
          </w:p>
        </w:tc>
        <w:tc>
          <w:tcPr>
            <w:tcW w:w="379" w:type="pct"/>
            <w:shd w:val="clear" w:color="auto" w:fill="FFFFFF" w:themeFill="background1"/>
            <w:vAlign w:val="center"/>
          </w:tcPr>
          <w:p w14:paraId="4AF2B639" w14:textId="77777777" w:rsidR="005D2FF5" w:rsidRPr="00482A36" w:rsidRDefault="005D2FF5" w:rsidP="00452A16">
            <w:pPr>
              <w:pStyle w:val="Tabletext"/>
              <w:jc w:val="center"/>
              <w:rPr>
                <w:sz w:val="19"/>
                <w:szCs w:val="19"/>
              </w:rPr>
            </w:pPr>
            <w:r w:rsidRPr="00482A36">
              <w:rPr>
                <w:sz w:val="19"/>
                <w:szCs w:val="19"/>
              </w:rPr>
              <w:t>NR</w:t>
            </w:r>
          </w:p>
        </w:tc>
      </w:tr>
      <w:tr w:rsidR="005D2FF5" w:rsidRPr="00482A36" w14:paraId="301961C6" w14:textId="77777777" w:rsidTr="005D2FF5">
        <w:trPr>
          <w:trHeight w:val="20"/>
        </w:trPr>
        <w:tc>
          <w:tcPr>
            <w:tcW w:w="5000" w:type="pct"/>
            <w:gridSpan w:val="12"/>
            <w:shd w:val="clear" w:color="auto" w:fill="FFFFFF" w:themeFill="background1"/>
          </w:tcPr>
          <w:p w14:paraId="73A23007" w14:textId="77777777" w:rsidR="005D2FF5" w:rsidRPr="00482A36" w:rsidRDefault="005D2FF5" w:rsidP="00452A16">
            <w:pPr>
              <w:pStyle w:val="Tabletext"/>
              <w:rPr>
                <w:b/>
                <w:bCs/>
                <w:sz w:val="19"/>
                <w:szCs w:val="19"/>
              </w:rPr>
            </w:pPr>
            <w:r w:rsidRPr="00482A36">
              <w:rPr>
                <w:b/>
                <w:bCs/>
                <w:sz w:val="19"/>
                <w:szCs w:val="19"/>
              </w:rPr>
              <w:t>HRQoL total score (UFS-QoL) changes from baseline up to weeks 24 and 52</w:t>
            </w:r>
          </w:p>
        </w:tc>
      </w:tr>
      <w:tr w:rsidR="005D2FF5" w:rsidRPr="00482A36" w14:paraId="7F60EDB7" w14:textId="77777777" w:rsidTr="00A54DD1">
        <w:trPr>
          <w:trHeight w:val="20"/>
        </w:trPr>
        <w:tc>
          <w:tcPr>
            <w:tcW w:w="528" w:type="pct"/>
            <w:shd w:val="clear" w:color="auto" w:fill="FFFFFF" w:themeFill="background1"/>
            <w:vAlign w:val="center"/>
          </w:tcPr>
          <w:p w14:paraId="58C8ABB1" w14:textId="77777777" w:rsidR="005D2FF5" w:rsidRPr="00482A36"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256F7913" w14:textId="77777777" w:rsidR="005D2FF5" w:rsidRPr="00482A36" w:rsidRDefault="005D2FF5" w:rsidP="00452A16">
            <w:pPr>
              <w:pStyle w:val="Tabletext"/>
              <w:jc w:val="center"/>
              <w:rPr>
                <w:sz w:val="19"/>
                <w:szCs w:val="19"/>
              </w:rPr>
            </w:pPr>
            <w:r w:rsidRPr="00482A36">
              <w:rPr>
                <w:sz w:val="19"/>
                <w:szCs w:val="19"/>
              </w:rPr>
              <w:t>10.6</w:t>
            </w:r>
          </w:p>
          <w:p w14:paraId="4084843A" w14:textId="77777777" w:rsidR="005D2FF5" w:rsidRPr="00482A36" w:rsidRDefault="005D2FF5" w:rsidP="00452A16">
            <w:pPr>
              <w:pStyle w:val="Tabletext"/>
              <w:jc w:val="center"/>
              <w:rPr>
                <w:sz w:val="19"/>
                <w:szCs w:val="19"/>
              </w:rPr>
            </w:pPr>
            <w:r w:rsidRPr="00482A36">
              <w:rPr>
                <w:sz w:val="19"/>
                <w:szCs w:val="19"/>
              </w:rPr>
              <w:t>(2, 19)</w:t>
            </w:r>
          </w:p>
        </w:tc>
        <w:tc>
          <w:tcPr>
            <w:tcW w:w="379" w:type="pct"/>
            <w:shd w:val="clear" w:color="auto" w:fill="FFFFFF" w:themeFill="background1"/>
            <w:vAlign w:val="center"/>
          </w:tcPr>
          <w:p w14:paraId="36D172FF" w14:textId="77777777" w:rsidR="005D2FF5" w:rsidRPr="00482A36" w:rsidRDefault="005D2FF5" w:rsidP="00452A16">
            <w:pPr>
              <w:pStyle w:val="Tabletext"/>
              <w:jc w:val="center"/>
              <w:rPr>
                <w:sz w:val="19"/>
                <w:szCs w:val="19"/>
              </w:rPr>
            </w:pPr>
            <w:r w:rsidRPr="00482A36">
              <w:rPr>
                <w:sz w:val="19"/>
                <w:szCs w:val="19"/>
              </w:rPr>
              <w:t>21.7</w:t>
            </w:r>
          </w:p>
          <w:p w14:paraId="1C3576E2" w14:textId="77777777" w:rsidR="005D2FF5" w:rsidRPr="00482A36" w:rsidRDefault="005D2FF5" w:rsidP="00452A16">
            <w:pPr>
              <w:pStyle w:val="Tabletext"/>
              <w:jc w:val="center"/>
              <w:rPr>
                <w:sz w:val="19"/>
                <w:szCs w:val="19"/>
              </w:rPr>
            </w:pPr>
            <w:r w:rsidRPr="00482A36">
              <w:rPr>
                <w:sz w:val="19"/>
                <w:szCs w:val="19"/>
              </w:rPr>
              <w:t>(13, 30)</w:t>
            </w:r>
          </w:p>
        </w:tc>
        <w:tc>
          <w:tcPr>
            <w:tcW w:w="379" w:type="pct"/>
            <w:shd w:val="clear" w:color="auto" w:fill="FFFFFF" w:themeFill="background1"/>
            <w:vAlign w:val="center"/>
          </w:tcPr>
          <w:p w14:paraId="4A1E7233" w14:textId="77777777" w:rsidR="005D2FF5" w:rsidRPr="00482A36" w:rsidRDefault="005D2FF5" w:rsidP="00452A16">
            <w:pPr>
              <w:pStyle w:val="Tabletext"/>
              <w:jc w:val="center"/>
              <w:rPr>
                <w:sz w:val="19"/>
                <w:szCs w:val="19"/>
              </w:rPr>
            </w:pPr>
            <w:r w:rsidRPr="00482A36">
              <w:rPr>
                <w:sz w:val="19"/>
                <w:szCs w:val="19"/>
              </w:rPr>
              <w:t>19.9</w:t>
            </w:r>
          </w:p>
          <w:p w14:paraId="0D0FEDEA" w14:textId="77777777" w:rsidR="005D2FF5" w:rsidRPr="00482A36" w:rsidRDefault="005D2FF5" w:rsidP="00452A16">
            <w:pPr>
              <w:pStyle w:val="Tabletext"/>
              <w:jc w:val="center"/>
              <w:rPr>
                <w:sz w:val="19"/>
                <w:szCs w:val="19"/>
              </w:rPr>
            </w:pPr>
            <w:r w:rsidRPr="00482A36">
              <w:rPr>
                <w:sz w:val="19"/>
                <w:szCs w:val="19"/>
              </w:rPr>
              <w:t>(11, 28)</w:t>
            </w:r>
          </w:p>
        </w:tc>
        <w:tc>
          <w:tcPr>
            <w:tcW w:w="379" w:type="pct"/>
            <w:shd w:val="clear" w:color="auto" w:fill="FFFFFF" w:themeFill="background1"/>
            <w:vAlign w:val="center"/>
          </w:tcPr>
          <w:p w14:paraId="3726E640" w14:textId="77777777" w:rsidR="005D2FF5" w:rsidRPr="00482A36" w:rsidRDefault="005D2FF5" w:rsidP="00452A16">
            <w:pPr>
              <w:pStyle w:val="Tabletext"/>
              <w:jc w:val="center"/>
              <w:rPr>
                <w:sz w:val="19"/>
                <w:szCs w:val="19"/>
              </w:rPr>
            </w:pPr>
            <w:r w:rsidRPr="00482A36">
              <w:rPr>
                <w:sz w:val="19"/>
                <w:szCs w:val="19"/>
              </w:rPr>
              <w:t>18.7</w:t>
            </w:r>
          </w:p>
          <w:p w14:paraId="6A5C0096" w14:textId="77777777" w:rsidR="005D2FF5" w:rsidRPr="00482A36" w:rsidRDefault="005D2FF5" w:rsidP="00452A16">
            <w:pPr>
              <w:pStyle w:val="Tabletext"/>
              <w:jc w:val="center"/>
              <w:rPr>
                <w:sz w:val="19"/>
                <w:szCs w:val="19"/>
              </w:rPr>
            </w:pPr>
            <w:r w:rsidRPr="00482A36">
              <w:rPr>
                <w:sz w:val="19"/>
                <w:szCs w:val="19"/>
              </w:rPr>
              <w:t>(10, 27)</w:t>
            </w:r>
          </w:p>
        </w:tc>
        <w:tc>
          <w:tcPr>
            <w:tcW w:w="379" w:type="pct"/>
            <w:shd w:val="clear" w:color="auto" w:fill="FFFFFF" w:themeFill="background1"/>
            <w:vAlign w:val="center"/>
          </w:tcPr>
          <w:p w14:paraId="668F6470"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260D16BF"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5F2E731A" w14:textId="77777777" w:rsidR="005D2FF5" w:rsidRPr="00482A36" w:rsidRDefault="005D2FF5" w:rsidP="00452A16">
            <w:pPr>
              <w:pStyle w:val="Tabletext"/>
              <w:jc w:val="center"/>
              <w:rPr>
                <w:sz w:val="19"/>
                <w:szCs w:val="19"/>
              </w:rPr>
            </w:pPr>
            <w:r w:rsidRPr="00482A36">
              <w:rPr>
                <w:sz w:val="19"/>
                <w:szCs w:val="19"/>
              </w:rPr>
              <w:t>10.3</w:t>
            </w:r>
          </w:p>
          <w:p w14:paraId="1402A4DC" w14:textId="77777777" w:rsidR="005D2FF5" w:rsidRPr="00482A36" w:rsidRDefault="005D2FF5" w:rsidP="00452A16">
            <w:pPr>
              <w:pStyle w:val="Tabletext"/>
              <w:jc w:val="center"/>
              <w:rPr>
                <w:sz w:val="19"/>
                <w:szCs w:val="19"/>
              </w:rPr>
            </w:pPr>
            <w:r w:rsidRPr="00482A36">
              <w:rPr>
                <w:sz w:val="19"/>
                <w:szCs w:val="19"/>
              </w:rPr>
              <w:t>(4, 17)</w:t>
            </w:r>
          </w:p>
        </w:tc>
        <w:tc>
          <w:tcPr>
            <w:tcW w:w="455" w:type="pct"/>
            <w:shd w:val="clear" w:color="auto" w:fill="FFFFFF" w:themeFill="background1"/>
            <w:vAlign w:val="center"/>
          </w:tcPr>
          <w:p w14:paraId="447B3B6D" w14:textId="77777777" w:rsidR="005D2FF5" w:rsidRPr="00482A36" w:rsidRDefault="005D2FF5" w:rsidP="00452A16">
            <w:pPr>
              <w:pStyle w:val="Tabletext"/>
              <w:jc w:val="center"/>
              <w:rPr>
                <w:sz w:val="19"/>
                <w:szCs w:val="19"/>
              </w:rPr>
            </w:pPr>
            <w:r w:rsidRPr="00482A36">
              <w:rPr>
                <w:sz w:val="19"/>
                <w:szCs w:val="19"/>
              </w:rPr>
              <w:t>12.6</w:t>
            </w:r>
          </w:p>
          <w:p w14:paraId="46A3A495" w14:textId="77777777" w:rsidR="005D2FF5" w:rsidRPr="00482A36" w:rsidRDefault="005D2FF5" w:rsidP="00452A16">
            <w:pPr>
              <w:pStyle w:val="Tabletext"/>
              <w:jc w:val="center"/>
              <w:rPr>
                <w:sz w:val="19"/>
                <w:szCs w:val="19"/>
              </w:rPr>
            </w:pPr>
            <w:r w:rsidRPr="00482A36">
              <w:rPr>
                <w:sz w:val="19"/>
                <w:szCs w:val="19"/>
              </w:rPr>
              <w:t>(6, 19)</w:t>
            </w:r>
          </w:p>
        </w:tc>
        <w:tc>
          <w:tcPr>
            <w:tcW w:w="454" w:type="pct"/>
            <w:shd w:val="clear" w:color="auto" w:fill="FFFFFF" w:themeFill="background1"/>
            <w:vAlign w:val="center"/>
          </w:tcPr>
          <w:p w14:paraId="0EEDB5C2" w14:textId="77777777" w:rsidR="005D2FF5" w:rsidRPr="00482A36" w:rsidRDefault="005D2FF5" w:rsidP="00452A16">
            <w:pPr>
              <w:pStyle w:val="Tabletext"/>
              <w:jc w:val="center"/>
              <w:rPr>
                <w:sz w:val="19"/>
                <w:szCs w:val="19"/>
              </w:rPr>
            </w:pPr>
            <w:r w:rsidRPr="00482A36">
              <w:rPr>
                <w:sz w:val="19"/>
                <w:szCs w:val="19"/>
              </w:rPr>
              <w:t>19.8</w:t>
            </w:r>
          </w:p>
          <w:p w14:paraId="50628DD8" w14:textId="77777777" w:rsidR="005D2FF5" w:rsidRPr="00482A36" w:rsidRDefault="005D2FF5" w:rsidP="00452A16">
            <w:pPr>
              <w:pStyle w:val="Tabletext"/>
              <w:jc w:val="center"/>
              <w:rPr>
                <w:sz w:val="19"/>
                <w:szCs w:val="19"/>
              </w:rPr>
            </w:pPr>
            <w:r w:rsidRPr="00482A36">
              <w:rPr>
                <w:sz w:val="19"/>
                <w:szCs w:val="19"/>
              </w:rPr>
              <w:t>(14, 26)</w:t>
            </w:r>
          </w:p>
        </w:tc>
        <w:tc>
          <w:tcPr>
            <w:tcW w:w="455" w:type="pct"/>
            <w:shd w:val="clear" w:color="auto" w:fill="FFFFFF" w:themeFill="background1"/>
            <w:vAlign w:val="center"/>
          </w:tcPr>
          <w:p w14:paraId="6FE88469" w14:textId="77777777" w:rsidR="005D2FF5" w:rsidRPr="00482A36" w:rsidRDefault="005D2FF5" w:rsidP="00452A16">
            <w:pPr>
              <w:pStyle w:val="Tabletext"/>
              <w:jc w:val="center"/>
              <w:rPr>
                <w:sz w:val="19"/>
                <w:szCs w:val="19"/>
              </w:rPr>
            </w:pPr>
            <w:r w:rsidRPr="00482A36">
              <w:rPr>
                <w:sz w:val="19"/>
                <w:szCs w:val="19"/>
              </w:rPr>
              <w:t>20.3</w:t>
            </w:r>
          </w:p>
          <w:p w14:paraId="462CB465" w14:textId="77777777" w:rsidR="005D2FF5" w:rsidRPr="00482A36" w:rsidRDefault="005D2FF5" w:rsidP="00452A16">
            <w:pPr>
              <w:pStyle w:val="Tabletext"/>
              <w:jc w:val="center"/>
              <w:rPr>
                <w:sz w:val="19"/>
                <w:szCs w:val="19"/>
              </w:rPr>
            </w:pPr>
            <w:r w:rsidRPr="00482A36">
              <w:rPr>
                <w:sz w:val="19"/>
                <w:szCs w:val="19"/>
              </w:rPr>
              <w:t>(14, 27)</w:t>
            </w:r>
          </w:p>
        </w:tc>
        <w:tc>
          <w:tcPr>
            <w:tcW w:w="379" w:type="pct"/>
            <w:shd w:val="clear" w:color="auto" w:fill="FFFFFF" w:themeFill="background1"/>
            <w:vAlign w:val="center"/>
          </w:tcPr>
          <w:p w14:paraId="3C115119"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4B7D1BF7" w14:textId="77777777" w:rsidTr="00A54DD1">
        <w:trPr>
          <w:trHeight w:val="20"/>
        </w:trPr>
        <w:tc>
          <w:tcPr>
            <w:tcW w:w="528" w:type="pct"/>
            <w:shd w:val="clear" w:color="auto" w:fill="FFFFFF" w:themeFill="background1"/>
            <w:vAlign w:val="center"/>
          </w:tcPr>
          <w:p w14:paraId="448C8A2E" w14:textId="77777777" w:rsidR="005D2FF5" w:rsidRPr="00482A36" w:rsidRDefault="005D2FF5" w:rsidP="00452A16">
            <w:pPr>
              <w:pStyle w:val="Tabletext"/>
              <w:rPr>
                <w:sz w:val="19"/>
                <w:szCs w:val="19"/>
              </w:rPr>
            </w:pPr>
            <w:r w:rsidRPr="00482A36">
              <w:rPr>
                <w:sz w:val="19"/>
                <w:szCs w:val="19"/>
              </w:rPr>
              <w:t>p-value, w24</w:t>
            </w:r>
          </w:p>
        </w:tc>
        <w:tc>
          <w:tcPr>
            <w:tcW w:w="379" w:type="pct"/>
            <w:shd w:val="clear" w:color="auto" w:fill="FFFFFF" w:themeFill="background1"/>
            <w:vAlign w:val="center"/>
          </w:tcPr>
          <w:p w14:paraId="5E9DD48F" w14:textId="77777777" w:rsidR="005D2FF5" w:rsidRPr="00482A36" w:rsidRDefault="005D2FF5" w:rsidP="00452A16">
            <w:pPr>
              <w:pStyle w:val="Tabletext"/>
              <w:jc w:val="center"/>
              <w:rPr>
                <w:b/>
                <w:bCs/>
                <w:sz w:val="19"/>
                <w:szCs w:val="19"/>
              </w:rPr>
            </w:pPr>
            <w:r w:rsidRPr="00482A36">
              <w:rPr>
                <w:b/>
                <w:bCs/>
                <w:sz w:val="19"/>
                <w:szCs w:val="19"/>
              </w:rPr>
              <w:t>0.017</w:t>
            </w:r>
          </w:p>
        </w:tc>
        <w:tc>
          <w:tcPr>
            <w:tcW w:w="379" w:type="pct"/>
            <w:shd w:val="clear" w:color="auto" w:fill="FFFFFF" w:themeFill="background1"/>
            <w:vAlign w:val="center"/>
          </w:tcPr>
          <w:p w14:paraId="67F06796"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0CC2C614"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2735A5EA"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tcPr>
          <w:p w14:paraId="502AC1C5"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13589283"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47F96D4D"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46E30847" w14:textId="77777777" w:rsidR="005D2FF5" w:rsidRPr="00482A36" w:rsidRDefault="005D2FF5" w:rsidP="00452A16">
            <w:pPr>
              <w:pStyle w:val="Tabletext"/>
              <w:jc w:val="center"/>
              <w:rPr>
                <w:b/>
                <w:bCs/>
                <w:sz w:val="19"/>
                <w:szCs w:val="19"/>
              </w:rPr>
            </w:pPr>
            <w:r w:rsidRPr="00482A36">
              <w:rPr>
                <w:b/>
                <w:bCs/>
                <w:sz w:val="19"/>
                <w:szCs w:val="19"/>
              </w:rPr>
              <w:t>&lt;0.001</w:t>
            </w:r>
          </w:p>
        </w:tc>
        <w:tc>
          <w:tcPr>
            <w:tcW w:w="454" w:type="pct"/>
            <w:shd w:val="clear" w:color="auto" w:fill="FFFFFF" w:themeFill="background1"/>
            <w:vAlign w:val="center"/>
          </w:tcPr>
          <w:p w14:paraId="0EC15573" w14:textId="77777777" w:rsidR="005D2FF5" w:rsidRPr="00482A36" w:rsidRDefault="005D2FF5" w:rsidP="00452A16">
            <w:pPr>
              <w:pStyle w:val="Tabletext"/>
              <w:jc w:val="center"/>
              <w:rPr>
                <w:b/>
                <w:bCs/>
                <w:sz w:val="19"/>
                <w:szCs w:val="19"/>
              </w:rPr>
            </w:pPr>
            <w:r w:rsidRPr="00482A36">
              <w:rPr>
                <w:b/>
                <w:bCs/>
                <w:sz w:val="19"/>
                <w:szCs w:val="19"/>
              </w:rPr>
              <w:t>&lt;0.001</w:t>
            </w:r>
          </w:p>
        </w:tc>
        <w:tc>
          <w:tcPr>
            <w:tcW w:w="455" w:type="pct"/>
            <w:shd w:val="clear" w:color="auto" w:fill="FFFFFF" w:themeFill="background1"/>
            <w:vAlign w:val="center"/>
          </w:tcPr>
          <w:p w14:paraId="29F7E576" w14:textId="77777777" w:rsidR="005D2FF5" w:rsidRPr="00482A36" w:rsidRDefault="005D2FF5" w:rsidP="00452A16">
            <w:pPr>
              <w:pStyle w:val="Tabletext"/>
              <w:jc w:val="center"/>
              <w:rPr>
                <w:b/>
                <w:bCs/>
                <w:sz w:val="19"/>
                <w:szCs w:val="19"/>
              </w:rPr>
            </w:pPr>
            <w:r w:rsidRPr="00482A36">
              <w:rPr>
                <w:b/>
                <w:bCs/>
                <w:sz w:val="19"/>
                <w:szCs w:val="19"/>
              </w:rPr>
              <w:t>&lt;0.001</w:t>
            </w:r>
          </w:p>
        </w:tc>
        <w:tc>
          <w:tcPr>
            <w:tcW w:w="379" w:type="pct"/>
            <w:shd w:val="clear" w:color="auto" w:fill="FFFFFF" w:themeFill="background1"/>
            <w:vAlign w:val="center"/>
          </w:tcPr>
          <w:p w14:paraId="262A9AB0"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11D177F7" w14:textId="77777777" w:rsidTr="00A54DD1">
        <w:trPr>
          <w:trHeight w:val="20"/>
        </w:trPr>
        <w:tc>
          <w:tcPr>
            <w:tcW w:w="528" w:type="pct"/>
            <w:shd w:val="clear" w:color="auto" w:fill="FFFFFF" w:themeFill="background1"/>
            <w:vAlign w:val="center"/>
          </w:tcPr>
          <w:p w14:paraId="19A6BE41" w14:textId="77777777" w:rsidR="005D2FF5" w:rsidRPr="00482A36" w:rsidRDefault="005D2FF5" w:rsidP="00452A16">
            <w:pPr>
              <w:pStyle w:val="Tabletext"/>
              <w:rPr>
                <w:sz w:val="19"/>
                <w:szCs w:val="19"/>
              </w:rPr>
            </w:pPr>
            <w:r w:rsidRPr="00482A36">
              <w:rPr>
                <w:sz w:val="19"/>
                <w:szCs w:val="19"/>
              </w:rPr>
              <w:t>CFB (SD), w24</w:t>
            </w:r>
          </w:p>
        </w:tc>
        <w:tc>
          <w:tcPr>
            <w:tcW w:w="379" w:type="pct"/>
            <w:shd w:val="clear" w:color="auto" w:fill="FFFFFF" w:themeFill="background1"/>
            <w:vAlign w:val="center"/>
          </w:tcPr>
          <w:p w14:paraId="2CDD9031" w14:textId="77777777" w:rsidR="005D2FF5" w:rsidRPr="00482A36" w:rsidRDefault="005D2FF5" w:rsidP="00452A16">
            <w:pPr>
              <w:pStyle w:val="Tabletext"/>
              <w:jc w:val="center"/>
              <w:rPr>
                <w:b/>
                <w:sz w:val="19"/>
                <w:szCs w:val="19"/>
              </w:rPr>
            </w:pPr>
            <w:r w:rsidRPr="00482A36">
              <w:rPr>
                <w:b/>
                <w:sz w:val="19"/>
                <w:szCs w:val="19"/>
              </w:rPr>
              <w:t>27.7 (24)</w:t>
            </w:r>
          </w:p>
        </w:tc>
        <w:tc>
          <w:tcPr>
            <w:tcW w:w="379" w:type="pct"/>
            <w:shd w:val="clear" w:color="auto" w:fill="FFFFFF" w:themeFill="background1"/>
            <w:vAlign w:val="center"/>
          </w:tcPr>
          <w:p w14:paraId="4AF173B4" w14:textId="77777777" w:rsidR="005D2FF5" w:rsidRPr="00482A36" w:rsidRDefault="005D2FF5" w:rsidP="00452A16">
            <w:pPr>
              <w:pStyle w:val="Tabletext"/>
              <w:jc w:val="center"/>
              <w:rPr>
                <w:b/>
                <w:sz w:val="19"/>
                <w:szCs w:val="19"/>
              </w:rPr>
            </w:pPr>
            <w:r w:rsidRPr="00482A36">
              <w:rPr>
                <w:b/>
                <w:sz w:val="19"/>
                <w:szCs w:val="19"/>
              </w:rPr>
              <w:t>39.2 (28)</w:t>
            </w:r>
          </w:p>
        </w:tc>
        <w:tc>
          <w:tcPr>
            <w:tcW w:w="379" w:type="pct"/>
            <w:shd w:val="clear" w:color="auto" w:fill="FFFFFF" w:themeFill="background1"/>
            <w:vAlign w:val="center"/>
          </w:tcPr>
          <w:p w14:paraId="2BF09A4E" w14:textId="77777777" w:rsidR="005D2FF5" w:rsidRPr="00482A36" w:rsidRDefault="005D2FF5" w:rsidP="00452A16">
            <w:pPr>
              <w:pStyle w:val="Tabletext"/>
              <w:jc w:val="center"/>
              <w:rPr>
                <w:b/>
                <w:sz w:val="19"/>
                <w:szCs w:val="19"/>
              </w:rPr>
            </w:pPr>
            <w:r w:rsidRPr="00482A36">
              <w:rPr>
                <w:b/>
                <w:sz w:val="19"/>
                <w:szCs w:val="19"/>
              </w:rPr>
              <w:t>37.4 (33)</w:t>
            </w:r>
          </w:p>
        </w:tc>
        <w:tc>
          <w:tcPr>
            <w:tcW w:w="379" w:type="pct"/>
            <w:shd w:val="clear" w:color="auto" w:fill="FFFFFF" w:themeFill="background1"/>
            <w:vAlign w:val="center"/>
          </w:tcPr>
          <w:p w14:paraId="485C7AFA" w14:textId="77777777" w:rsidR="005D2FF5" w:rsidRPr="00482A36" w:rsidRDefault="005D2FF5" w:rsidP="00452A16">
            <w:pPr>
              <w:pStyle w:val="Tabletext"/>
              <w:jc w:val="center"/>
              <w:rPr>
                <w:b/>
                <w:sz w:val="19"/>
                <w:szCs w:val="19"/>
              </w:rPr>
            </w:pPr>
            <w:r w:rsidRPr="00482A36">
              <w:rPr>
                <w:b/>
                <w:sz w:val="19"/>
                <w:szCs w:val="19"/>
              </w:rPr>
              <w:t>31.5 (28)</w:t>
            </w:r>
          </w:p>
        </w:tc>
        <w:tc>
          <w:tcPr>
            <w:tcW w:w="379" w:type="pct"/>
            <w:shd w:val="clear" w:color="auto" w:fill="FFFFFF" w:themeFill="background1"/>
          </w:tcPr>
          <w:p w14:paraId="1EE69E17"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104BA6F5" w14:textId="77777777" w:rsidR="005D2FF5" w:rsidRPr="00482A36" w:rsidRDefault="005D2FF5" w:rsidP="00452A16">
            <w:pPr>
              <w:pStyle w:val="Tabletext"/>
              <w:jc w:val="center"/>
              <w:rPr>
                <w:sz w:val="19"/>
                <w:szCs w:val="19"/>
              </w:rPr>
            </w:pPr>
            <w:r w:rsidRPr="00482A36">
              <w:rPr>
                <w:sz w:val="19"/>
                <w:szCs w:val="19"/>
              </w:rPr>
              <w:t>13 (23)</w:t>
            </w:r>
          </w:p>
        </w:tc>
        <w:tc>
          <w:tcPr>
            <w:tcW w:w="454" w:type="pct"/>
            <w:tcBorders>
              <w:left w:val="double" w:sz="4" w:space="0" w:color="auto"/>
            </w:tcBorders>
            <w:shd w:val="clear" w:color="auto" w:fill="FFFFFF" w:themeFill="background1"/>
            <w:vAlign w:val="center"/>
          </w:tcPr>
          <w:p w14:paraId="4150CD3C" w14:textId="77777777" w:rsidR="005D2FF5" w:rsidRPr="00482A36" w:rsidRDefault="005D2FF5" w:rsidP="00452A16">
            <w:pPr>
              <w:pStyle w:val="Tabletext"/>
              <w:jc w:val="center"/>
              <w:rPr>
                <w:b/>
                <w:sz w:val="19"/>
                <w:szCs w:val="19"/>
              </w:rPr>
            </w:pPr>
            <w:r w:rsidRPr="00482A36">
              <w:rPr>
                <w:b/>
                <w:sz w:val="19"/>
                <w:szCs w:val="19"/>
              </w:rPr>
              <w:t>19.0 (25)</w:t>
            </w:r>
          </w:p>
        </w:tc>
        <w:tc>
          <w:tcPr>
            <w:tcW w:w="455" w:type="pct"/>
            <w:shd w:val="clear" w:color="auto" w:fill="FFFFFF" w:themeFill="background1"/>
            <w:vAlign w:val="center"/>
          </w:tcPr>
          <w:p w14:paraId="53DE5488" w14:textId="77777777" w:rsidR="005D2FF5" w:rsidRPr="00482A36" w:rsidRDefault="005D2FF5" w:rsidP="00452A16">
            <w:pPr>
              <w:pStyle w:val="Tabletext"/>
              <w:jc w:val="center"/>
              <w:rPr>
                <w:b/>
                <w:sz w:val="19"/>
                <w:szCs w:val="19"/>
              </w:rPr>
            </w:pPr>
            <w:r w:rsidRPr="00482A36">
              <w:rPr>
                <w:b/>
                <w:sz w:val="19"/>
                <w:szCs w:val="19"/>
              </w:rPr>
              <w:t>21.6 (24)</w:t>
            </w:r>
          </w:p>
        </w:tc>
        <w:tc>
          <w:tcPr>
            <w:tcW w:w="454" w:type="pct"/>
            <w:shd w:val="clear" w:color="auto" w:fill="FFFFFF" w:themeFill="background1"/>
            <w:vAlign w:val="center"/>
          </w:tcPr>
          <w:p w14:paraId="135DC82A" w14:textId="77777777" w:rsidR="005D2FF5" w:rsidRPr="00482A36" w:rsidRDefault="005D2FF5" w:rsidP="00452A16">
            <w:pPr>
              <w:pStyle w:val="Tabletext"/>
              <w:jc w:val="center"/>
              <w:rPr>
                <w:b/>
                <w:sz w:val="19"/>
                <w:szCs w:val="19"/>
              </w:rPr>
            </w:pPr>
            <w:r w:rsidRPr="00482A36">
              <w:rPr>
                <w:b/>
                <w:sz w:val="19"/>
                <w:szCs w:val="19"/>
              </w:rPr>
              <w:t>29.9 (26)</w:t>
            </w:r>
          </w:p>
        </w:tc>
        <w:tc>
          <w:tcPr>
            <w:tcW w:w="455" w:type="pct"/>
            <w:shd w:val="clear" w:color="auto" w:fill="FFFFFF" w:themeFill="background1"/>
            <w:vAlign w:val="center"/>
          </w:tcPr>
          <w:p w14:paraId="0FD4B62C" w14:textId="77777777" w:rsidR="005D2FF5" w:rsidRPr="00482A36" w:rsidRDefault="005D2FF5" w:rsidP="00452A16">
            <w:pPr>
              <w:pStyle w:val="Tabletext"/>
              <w:jc w:val="center"/>
              <w:rPr>
                <w:b/>
                <w:sz w:val="19"/>
                <w:szCs w:val="19"/>
              </w:rPr>
            </w:pPr>
            <w:r w:rsidRPr="00482A36">
              <w:rPr>
                <w:b/>
                <w:sz w:val="19"/>
                <w:szCs w:val="19"/>
              </w:rPr>
              <w:t>26.9 (25)</w:t>
            </w:r>
          </w:p>
        </w:tc>
        <w:tc>
          <w:tcPr>
            <w:tcW w:w="379" w:type="pct"/>
            <w:shd w:val="clear" w:color="auto" w:fill="FFFFFF" w:themeFill="background1"/>
            <w:vAlign w:val="center"/>
          </w:tcPr>
          <w:p w14:paraId="6E5D7153" w14:textId="77777777" w:rsidR="005D2FF5" w:rsidRPr="00482A36" w:rsidRDefault="005D2FF5" w:rsidP="00452A16">
            <w:pPr>
              <w:pStyle w:val="Tabletext"/>
              <w:jc w:val="center"/>
              <w:rPr>
                <w:sz w:val="19"/>
                <w:szCs w:val="19"/>
              </w:rPr>
            </w:pPr>
            <w:r w:rsidRPr="00482A36">
              <w:rPr>
                <w:sz w:val="19"/>
                <w:szCs w:val="19"/>
              </w:rPr>
              <w:t>8.0 (17)</w:t>
            </w:r>
          </w:p>
        </w:tc>
      </w:tr>
      <w:tr w:rsidR="005D2FF5" w:rsidRPr="00482A36" w14:paraId="0F01AC37" w14:textId="77777777" w:rsidTr="00A54DD1">
        <w:trPr>
          <w:trHeight w:val="20"/>
        </w:trPr>
        <w:tc>
          <w:tcPr>
            <w:tcW w:w="528" w:type="pct"/>
            <w:shd w:val="clear" w:color="auto" w:fill="FFFFFF" w:themeFill="background1"/>
            <w:vAlign w:val="center"/>
          </w:tcPr>
          <w:p w14:paraId="2BF3E71E" w14:textId="77777777" w:rsidR="005D2FF5" w:rsidRPr="00482A36" w:rsidRDefault="005D2FF5" w:rsidP="00452A16">
            <w:pPr>
              <w:pStyle w:val="Tabletext"/>
              <w:rPr>
                <w:sz w:val="19"/>
                <w:szCs w:val="19"/>
              </w:rPr>
            </w:pPr>
            <w:r w:rsidRPr="00482A36">
              <w:rPr>
                <w:sz w:val="19"/>
                <w:szCs w:val="19"/>
              </w:rPr>
              <w:t>CFB (SD), w52</w:t>
            </w:r>
          </w:p>
        </w:tc>
        <w:tc>
          <w:tcPr>
            <w:tcW w:w="379" w:type="pct"/>
            <w:shd w:val="clear" w:color="auto" w:fill="FFFFFF" w:themeFill="background1"/>
            <w:vAlign w:val="center"/>
          </w:tcPr>
          <w:p w14:paraId="46F64011" w14:textId="77777777" w:rsidR="005D2FF5" w:rsidRPr="00482A36" w:rsidRDefault="005D2FF5" w:rsidP="00452A16">
            <w:pPr>
              <w:pStyle w:val="Tabletext"/>
              <w:jc w:val="center"/>
              <w:rPr>
                <w:b/>
                <w:bCs/>
                <w:sz w:val="19"/>
                <w:szCs w:val="19"/>
              </w:rPr>
            </w:pPr>
            <w:r w:rsidRPr="00482A36">
              <w:rPr>
                <w:sz w:val="19"/>
                <w:szCs w:val="19"/>
              </w:rPr>
              <w:t>25.0 (26)</w:t>
            </w:r>
          </w:p>
        </w:tc>
        <w:tc>
          <w:tcPr>
            <w:tcW w:w="379" w:type="pct"/>
            <w:shd w:val="clear" w:color="auto" w:fill="FFFFFF" w:themeFill="background1"/>
            <w:vAlign w:val="center"/>
          </w:tcPr>
          <w:p w14:paraId="7004A1AB" w14:textId="77777777" w:rsidR="005D2FF5" w:rsidRPr="00482A36" w:rsidRDefault="005D2FF5" w:rsidP="00452A16">
            <w:pPr>
              <w:pStyle w:val="Tabletext"/>
              <w:jc w:val="center"/>
              <w:rPr>
                <w:b/>
                <w:bCs/>
                <w:sz w:val="19"/>
                <w:szCs w:val="19"/>
              </w:rPr>
            </w:pPr>
            <w:r w:rsidRPr="00482A36">
              <w:rPr>
                <w:sz w:val="19"/>
                <w:szCs w:val="19"/>
              </w:rPr>
              <w:t>34.2 (30)</w:t>
            </w:r>
          </w:p>
        </w:tc>
        <w:tc>
          <w:tcPr>
            <w:tcW w:w="379" w:type="pct"/>
            <w:shd w:val="clear" w:color="auto" w:fill="FFFFFF" w:themeFill="background1"/>
            <w:vAlign w:val="center"/>
          </w:tcPr>
          <w:p w14:paraId="7CBB009F" w14:textId="77777777" w:rsidR="005D2FF5" w:rsidRPr="00482A36" w:rsidRDefault="005D2FF5" w:rsidP="00452A16">
            <w:pPr>
              <w:pStyle w:val="Tabletext"/>
              <w:jc w:val="center"/>
              <w:rPr>
                <w:b/>
                <w:bCs/>
                <w:sz w:val="19"/>
                <w:szCs w:val="19"/>
              </w:rPr>
            </w:pPr>
            <w:r w:rsidRPr="00482A36">
              <w:rPr>
                <w:sz w:val="19"/>
                <w:szCs w:val="19"/>
              </w:rPr>
              <w:t>29.7 (29)</w:t>
            </w:r>
          </w:p>
        </w:tc>
        <w:tc>
          <w:tcPr>
            <w:tcW w:w="379" w:type="pct"/>
            <w:shd w:val="clear" w:color="auto" w:fill="FFFFFF" w:themeFill="background1"/>
            <w:vAlign w:val="center"/>
          </w:tcPr>
          <w:p w14:paraId="2D13DC5C" w14:textId="77777777" w:rsidR="005D2FF5" w:rsidRPr="00482A36" w:rsidRDefault="005D2FF5" w:rsidP="00452A16">
            <w:pPr>
              <w:pStyle w:val="Tabletext"/>
              <w:jc w:val="center"/>
              <w:rPr>
                <w:b/>
                <w:bCs/>
                <w:sz w:val="19"/>
                <w:szCs w:val="19"/>
              </w:rPr>
            </w:pPr>
            <w:r w:rsidRPr="00482A36">
              <w:rPr>
                <w:sz w:val="19"/>
                <w:szCs w:val="19"/>
              </w:rPr>
              <w:t>38.2 (29)</w:t>
            </w:r>
          </w:p>
        </w:tc>
        <w:tc>
          <w:tcPr>
            <w:tcW w:w="379" w:type="pct"/>
            <w:shd w:val="clear" w:color="auto" w:fill="FFFFFF" w:themeFill="background1"/>
            <w:vAlign w:val="center"/>
          </w:tcPr>
          <w:p w14:paraId="6DF96DFE" w14:textId="77777777" w:rsidR="005D2FF5" w:rsidRPr="00482A36" w:rsidRDefault="005D2FF5" w:rsidP="00452A16">
            <w:pPr>
              <w:pStyle w:val="Tabletext"/>
              <w:jc w:val="center"/>
              <w:rPr>
                <w:sz w:val="19"/>
                <w:szCs w:val="19"/>
              </w:rPr>
            </w:pPr>
            <w:r w:rsidRPr="00482A36">
              <w:rPr>
                <w:sz w:val="19"/>
                <w:szCs w:val="19"/>
              </w:rPr>
              <w:t>25.22 (24.24)</w:t>
            </w:r>
          </w:p>
        </w:tc>
        <w:tc>
          <w:tcPr>
            <w:tcW w:w="380" w:type="pct"/>
            <w:tcBorders>
              <w:right w:val="double" w:sz="4" w:space="0" w:color="auto"/>
            </w:tcBorders>
            <w:shd w:val="clear" w:color="auto" w:fill="FFFFFF" w:themeFill="background1"/>
            <w:vAlign w:val="center"/>
          </w:tcPr>
          <w:p w14:paraId="14FD886F" w14:textId="77777777" w:rsidR="005D2FF5" w:rsidRPr="00482A36" w:rsidRDefault="005D2FF5" w:rsidP="00452A16">
            <w:pPr>
              <w:pStyle w:val="Tabletext"/>
              <w:jc w:val="center"/>
              <w:rPr>
                <w:sz w:val="19"/>
                <w:szCs w:val="19"/>
              </w:rPr>
            </w:pPr>
            <w:r w:rsidRPr="00482A36">
              <w:rPr>
                <w:sz w:val="19"/>
                <w:szCs w:val="19"/>
              </w:rPr>
              <w:t>14.6 (24)</w:t>
            </w:r>
          </w:p>
        </w:tc>
        <w:tc>
          <w:tcPr>
            <w:tcW w:w="454" w:type="pct"/>
            <w:tcBorders>
              <w:left w:val="double" w:sz="4" w:space="0" w:color="auto"/>
            </w:tcBorders>
            <w:shd w:val="clear" w:color="auto" w:fill="FFFFFF" w:themeFill="background1"/>
            <w:vAlign w:val="center"/>
          </w:tcPr>
          <w:p w14:paraId="5D67D82C"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73DD059E" w14:textId="77777777" w:rsidR="005D2FF5" w:rsidRPr="00482A36" w:rsidRDefault="005D2FF5" w:rsidP="00452A16">
            <w:pPr>
              <w:pStyle w:val="Tabletext"/>
              <w:jc w:val="center"/>
              <w:rPr>
                <w:b/>
                <w:bCs/>
                <w:sz w:val="19"/>
                <w:szCs w:val="19"/>
              </w:rPr>
            </w:pPr>
            <w:r w:rsidRPr="00482A36">
              <w:rPr>
                <w:sz w:val="19"/>
                <w:szCs w:val="19"/>
              </w:rPr>
              <w:t>NR</w:t>
            </w:r>
          </w:p>
        </w:tc>
        <w:tc>
          <w:tcPr>
            <w:tcW w:w="454" w:type="pct"/>
            <w:shd w:val="clear" w:color="auto" w:fill="FFFFFF" w:themeFill="background1"/>
            <w:vAlign w:val="center"/>
          </w:tcPr>
          <w:p w14:paraId="012D8559" w14:textId="77777777" w:rsidR="005D2FF5" w:rsidRPr="00482A36" w:rsidRDefault="005D2FF5" w:rsidP="00452A16">
            <w:pPr>
              <w:pStyle w:val="Tabletext"/>
              <w:jc w:val="center"/>
              <w:rPr>
                <w:b/>
                <w:bCs/>
                <w:sz w:val="19"/>
                <w:szCs w:val="19"/>
              </w:rPr>
            </w:pPr>
            <w:r w:rsidRPr="00482A36">
              <w:rPr>
                <w:sz w:val="19"/>
                <w:szCs w:val="19"/>
              </w:rPr>
              <w:t>NR</w:t>
            </w:r>
          </w:p>
        </w:tc>
        <w:tc>
          <w:tcPr>
            <w:tcW w:w="455" w:type="pct"/>
            <w:shd w:val="clear" w:color="auto" w:fill="FFFFFF" w:themeFill="background1"/>
            <w:vAlign w:val="center"/>
          </w:tcPr>
          <w:p w14:paraId="4A61600D" w14:textId="77777777" w:rsidR="005D2FF5" w:rsidRPr="00482A36" w:rsidRDefault="005D2FF5" w:rsidP="00452A16">
            <w:pPr>
              <w:pStyle w:val="Tabletext"/>
              <w:jc w:val="center"/>
              <w:rPr>
                <w:b/>
                <w:bCs/>
                <w:sz w:val="19"/>
                <w:szCs w:val="19"/>
              </w:rPr>
            </w:pPr>
            <w:r w:rsidRPr="00482A36">
              <w:rPr>
                <w:sz w:val="19"/>
                <w:szCs w:val="19"/>
              </w:rPr>
              <w:t>NR</w:t>
            </w:r>
          </w:p>
        </w:tc>
        <w:tc>
          <w:tcPr>
            <w:tcW w:w="379" w:type="pct"/>
            <w:shd w:val="clear" w:color="auto" w:fill="FFFFFF" w:themeFill="background1"/>
            <w:vAlign w:val="center"/>
          </w:tcPr>
          <w:p w14:paraId="14AEBFD3" w14:textId="77777777" w:rsidR="005D2FF5" w:rsidRPr="00482A36" w:rsidRDefault="005D2FF5" w:rsidP="00452A16">
            <w:pPr>
              <w:pStyle w:val="Tabletext"/>
              <w:jc w:val="center"/>
              <w:rPr>
                <w:sz w:val="19"/>
                <w:szCs w:val="19"/>
              </w:rPr>
            </w:pPr>
            <w:r w:rsidRPr="00482A36">
              <w:rPr>
                <w:sz w:val="19"/>
                <w:szCs w:val="19"/>
              </w:rPr>
              <w:t>NR</w:t>
            </w:r>
          </w:p>
        </w:tc>
      </w:tr>
      <w:tr w:rsidR="005D2FF5" w:rsidRPr="00482A36" w14:paraId="66C8E7CB" w14:textId="77777777" w:rsidTr="005D2FF5">
        <w:trPr>
          <w:trHeight w:val="20"/>
        </w:trPr>
        <w:tc>
          <w:tcPr>
            <w:tcW w:w="5000" w:type="pct"/>
            <w:gridSpan w:val="12"/>
            <w:shd w:val="clear" w:color="auto" w:fill="FFFFFF" w:themeFill="background1"/>
          </w:tcPr>
          <w:p w14:paraId="4E38740D" w14:textId="77777777" w:rsidR="005D2FF5" w:rsidRPr="00482A36" w:rsidRDefault="005D2FF5" w:rsidP="00452A16">
            <w:pPr>
              <w:pStyle w:val="Tabletext"/>
              <w:rPr>
                <w:b/>
                <w:bCs/>
                <w:sz w:val="19"/>
                <w:szCs w:val="19"/>
              </w:rPr>
            </w:pPr>
            <w:r w:rsidRPr="00482A36">
              <w:rPr>
                <w:b/>
                <w:bCs/>
                <w:sz w:val="19"/>
                <w:szCs w:val="19"/>
              </w:rPr>
              <w:t>Quality of life EQ-5D-5L index value change from baseline up to weeks 24 and 52</w:t>
            </w:r>
          </w:p>
        </w:tc>
      </w:tr>
      <w:tr w:rsidR="005D2FF5" w:rsidRPr="00482A36" w14:paraId="68F1EA45" w14:textId="77777777" w:rsidTr="00A54DD1">
        <w:trPr>
          <w:trHeight w:val="20"/>
        </w:trPr>
        <w:tc>
          <w:tcPr>
            <w:tcW w:w="528" w:type="pct"/>
            <w:shd w:val="clear" w:color="auto" w:fill="FFFFFF" w:themeFill="background1"/>
            <w:vAlign w:val="center"/>
          </w:tcPr>
          <w:p w14:paraId="4471451E" w14:textId="77777777" w:rsidR="005D2FF5" w:rsidRPr="00482A36" w:rsidRDefault="005D2FF5" w:rsidP="00452A16">
            <w:pPr>
              <w:pStyle w:val="Tabletext"/>
              <w:rPr>
                <w:sz w:val="19"/>
                <w:szCs w:val="19"/>
              </w:rPr>
            </w:pPr>
            <w:r w:rsidRPr="00482A36">
              <w:rPr>
                <w:sz w:val="19"/>
                <w:szCs w:val="19"/>
              </w:rPr>
              <w:t>LS mean diff v PBO (CI), w24</w:t>
            </w:r>
          </w:p>
        </w:tc>
        <w:tc>
          <w:tcPr>
            <w:tcW w:w="379" w:type="pct"/>
            <w:shd w:val="clear" w:color="auto" w:fill="FFFFFF" w:themeFill="background1"/>
            <w:vAlign w:val="center"/>
          </w:tcPr>
          <w:p w14:paraId="487558BB"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0.02</w:t>
            </w:r>
          </w:p>
          <w:p w14:paraId="58D9C6B0"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(-0.01, 0.07)</w:t>
            </w:r>
          </w:p>
        </w:tc>
        <w:tc>
          <w:tcPr>
            <w:tcW w:w="379" w:type="pct"/>
            <w:shd w:val="clear" w:color="auto" w:fill="FFFFFF" w:themeFill="background1"/>
            <w:vAlign w:val="center"/>
          </w:tcPr>
          <w:p w14:paraId="35A83617"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0.01</w:t>
            </w:r>
          </w:p>
          <w:p w14:paraId="112FD644"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(-0.03, 0.06)</w:t>
            </w:r>
          </w:p>
        </w:tc>
        <w:tc>
          <w:tcPr>
            <w:tcW w:w="379" w:type="pct"/>
            <w:shd w:val="clear" w:color="auto" w:fill="FFFFFF" w:themeFill="background1"/>
            <w:vAlign w:val="center"/>
          </w:tcPr>
          <w:p w14:paraId="733BB43C"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0.004</w:t>
            </w:r>
          </w:p>
          <w:p w14:paraId="547E5137"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(-0.03, 0.04)</w:t>
            </w:r>
          </w:p>
        </w:tc>
        <w:tc>
          <w:tcPr>
            <w:tcW w:w="379" w:type="pct"/>
            <w:shd w:val="clear" w:color="auto" w:fill="FFFFFF" w:themeFill="background1"/>
            <w:vAlign w:val="center"/>
          </w:tcPr>
          <w:p w14:paraId="0CFE88B8"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0.009</w:t>
            </w:r>
          </w:p>
          <w:p w14:paraId="1BCFB73D"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(-0.03, 0.05)</w:t>
            </w:r>
          </w:p>
        </w:tc>
        <w:tc>
          <w:tcPr>
            <w:tcW w:w="379" w:type="pct"/>
            <w:shd w:val="clear" w:color="auto" w:fill="FFFFFF" w:themeFill="background1"/>
            <w:vAlign w:val="center"/>
          </w:tcPr>
          <w:p w14:paraId="0AB56213"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6B802E3E"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2F7AFB55"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0.02</w:t>
            </w:r>
          </w:p>
          <w:p w14:paraId="1C08BAA2"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(-0.03, 0.07)</w:t>
            </w:r>
          </w:p>
        </w:tc>
        <w:tc>
          <w:tcPr>
            <w:tcW w:w="455" w:type="pct"/>
            <w:shd w:val="clear" w:color="auto" w:fill="FFFFFF" w:themeFill="background1"/>
            <w:vAlign w:val="center"/>
          </w:tcPr>
          <w:p w14:paraId="15EC88A9"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-0.02</w:t>
            </w:r>
          </w:p>
          <w:p w14:paraId="2E436A87"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(-0.07, 0.03)</w:t>
            </w:r>
          </w:p>
        </w:tc>
        <w:tc>
          <w:tcPr>
            <w:tcW w:w="454" w:type="pct"/>
            <w:shd w:val="clear" w:color="auto" w:fill="FFFFFF" w:themeFill="background1"/>
            <w:vAlign w:val="center"/>
          </w:tcPr>
          <w:p w14:paraId="6B5A7A2F"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-0.001</w:t>
            </w:r>
          </w:p>
          <w:p w14:paraId="090E3F4F"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(-0.05, 0.05)</w:t>
            </w:r>
          </w:p>
        </w:tc>
        <w:tc>
          <w:tcPr>
            <w:tcW w:w="455" w:type="pct"/>
            <w:shd w:val="clear" w:color="auto" w:fill="FFFFFF" w:themeFill="background1"/>
            <w:vAlign w:val="center"/>
          </w:tcPr>
          <w:p w14:paraId="029F7246"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0.03</w:t>
            </w:r>
          </w:p>
          <w:p w14:paraId="39EFA03A" w14:textId="77777777" w:rsidR="005D2FF5" w:rsidRPr="00482A36" w:rsidRDefault="005D2FF5" w:rsidP="00452A16">
            <w:pPr>
              <w:pStyle w:val="PBACTabletext"/>
              <w:keepNext w:val="0"/>
              <w:keepLines w:val="0"/>
              <w:widowControl w:val="0"/>
              <w:suppressLineNumbers w:val="0"/>
              <w:jc w:val="center"/>
              <w:rPr>
                <w:sz w:val="19"/>
                <w:szCs w:val="19"/>
              </w:rPr>
            </w:pPr>
            <w:r w:rsidRPr="00482A36">
              <w:rPr>
                <w:sz w:val="19"/>
                <w:szCs w:val="19"/>
              </w:rPr>
              <w:t>(-0.02, 0.08)</w:t>
            </w:r>
          </w:p>
        </w:tc>
        <w:tc>
          <w:tcPr>
            <w:tcW w:w="379" w:type="pct"/>
            <w:shd w:val="clear" w:color="auto" w:fill="FFFFFF" w:themeFill="background1"/>
            <w:vAlign w:val="center"/>
          </w:tcPr>
          <w:p w14:paraId="38E29EC6"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4910859E" w14:textId="77777777" w:rsidTr="00A54DD1">
        <w:trPr>
          <w:trHeight w:val="20"/>
        </w:trPr>
        <w:tc>
          <w:tcPr>
            <w:tcW w:w="528" w:type="pct"/>
            <w:shd w:val="clear" w:color="auto" w:fill="FFFFFF" w:themeFill="background1"/>
            <w:vAlign w:val="center"/>
          </w:tcPr>
          <w:p w14:paraId="23B538D4" w14:textId="77777777" w:rsidR="005D2FF5" w:rsidRPr="00482A36" w:rsidRDefault="005D2FF5" w:rsidP="00452A16">
            <w:pPr>
              <w:pStyle w:val="Tabletext"/>
              <w:rPr>
                <w:sz w:val="19"/>
                <w:szCs w:val="19"/>
              </w:rPr>
            </w:pPr>
            <w:r w:rsidRPr="00482A36">
              <w:rPr>
                <w:sz w:val="19"/>
                <w:szCs w:val="19"/>
              </w:rPr>
              <w:t>p- value, w24</w:t>
            </w:r>
          </w:p>
        </w:tc>
        <w:tc>
          <w:tcPr>
            <w:tcW w:w="379" w:type="pct"/>
            <w:shd w:val="clear" w:color="auto" w:fill="FFFFFF" w:themeFill="background1"/>
            <w:vAlign w:val="center"/>
          </w:tcPr>
          <w:p w14:paraId="7A51D5BC" w14:textId="77777777" w:rsidR="005D2FF5" w:rsidRPr="00482A36" w:rsidRDefault="005D2FF5" w:rsidP="00452A16">
            <w:pPr>
              <w:pStyle w:val="Tabletext"/>
              <w:jc w:val="center"/>
              <w:rPr>
                <w:sz w:val="19"/>
                <w:szCs w:val="19"/>
              </w:rPr>
            </w:pPr>
            <w:r w:rsidRPr="00482A36">
              <w:rPr>
                <w:sz w:val="19"/>
                <w:szCs w:val="19"/>
              </w:rPr>
              <w:t>0.243</w:t>
            </w:r>
          </w:p>
        </w:tc>
        <w:tc>
          <w:tcPr>
            <w:tcW w:w="379" w:type="pct"/>
            <w:shd w:val="clear" w:color="auto" w:fill="FFFFFF" w:themeFill="background1"/>
            <w:vAlign w:val="center"/>
          </w:tcPr>
          <w:p w14:paraId="30817A65" w14:textId="77777777" w:rsidR="005D2FF5" w:rsidRPr="00482A36" w:rsidRDefault="005D2FF5" w:rsidP="00452A16">
            <w:pPr>
              <w:pStyle w:val="Tabletext"/>
              <w:jc w:val="center"/>
              <w:rPr>
                <w:sz w:val="19"/>
                <w:szCs w:val="19"/>
              </w:rPr>
            </w:pPr>
            <w:r w:rsidRPr="00482A36">
              <w:rPr>
                <w:sz w:val="19"/>
                <w:szCs w:val="19"/>
              </w:rPr>
              <w:t>0.542</w:t>
            </w:r>
          </w:p>
        </w:tc>
        <w:tc>
          <w:tcPr>
            <w:tcW w:w="379" w:type="pct"/>
            <w:shd w:val="clear" w:color="auto" w:fill="FFFFFF" w:themeFill="background1"/>
            <w:vAlign w:val="center"/>
          </w:tcPr>
          <w:p w14:paraId="72413A26" w14:textId="77777777" w:rsidR="005D2FF5" w:rsidRPr="00482A36" w:rsidRDefault="005D2FF5" w:rsidP="00452A16">
            <w:pPr>
              <w:pStyle w:val="Tabletext"/>
              <w:jc w:val="center"/>
              <w:rPr>
                <w:sz w:val="19"/>
                <w:szCs w:val="19"/>
              </w:rPr>
            </w:pPr>
            <w:r w:rsidRPr="00482A36">
              <w:rPr>
                <w:sz w:val="19"/>
                <w:szCs w:val="19"/>
              </w:rPr>
              <w:t>0.830</w:t>
            </w:r>
          </w:p>
        </w:tc>
        <w:tc>
          <w:tcPr>
            <w:tcW w:w="379" w:type="pct"/>
            <w:shd w:val="clear" w:color="auto" w:fill="FFFFFF" w:themeFill="background1"/>
            <w:vAlign w:val="center"/>
          </w:tcPr>
          <w:p w14:paraId="4B60AC41" w14:textId="77777777" w:rsidR="005D2FF5" w:rsidRPr="00482A36" w:rsidRDefault="005D2FF5" w:rsidP="00452A16">
            <w:pPr>
              <w:pStyle w:val="Tabletext"/>
              <w:jc w:val="center"/>
              <w:rPr>
                <w:sz w:val="19"/>
                <w:szCs w:val="19"/>
              </w:rPr>
            </w:pPr>
            <w:r w:rsidRPr="00482A36">
              <w:rPr>
                <w:sz w:val="19"/>
                <w:szCs w:val="19"/>
              </w:rPr>
              <w:t>0.667</w:t>
            </w:r>
          </w:p>
        </w:tc>
        <w:tc>
          <w:tcPr>
            <w:tcW w:w="379" w:type="pct"/>
            <w:shd w:val="clear" w:color="auto" w:fill="FFFFFF" w:themeFill="background1"/>
          </w:tcPr>
          <w:p w14:paraId="56BD1B8B"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2FD68CD9" w14:textId="77777777" w:rsidR="005D2FF5" w:rsidRPr="00482A36" w:rsidRDefault="005D2FF5" w:rsidP="00452A16">
            <w:pPr>
              <w:pStyle w:val="Tabletext"/>
              <w:jc w:val="center"/>
              <w:rPr>
                <w:sz w:val="19"/>
                <w:szCs w:val="19"/>
              </w:rPr>
            </w:pPr>
            <w:r w:rsidRPr="00482A36">
              <w:rPr>
                <w:sz w:val="19"/>
                <w:szCs w:val="19"/>
              </w:rPr>
              <w:t>-</w:t>
            </w:r>
          </w:p>
        </w:tc>
        <w:tc>
          <w:tcPr>
            <w:tcW w:w="454" w:type="pct"/>
            <w:tcBorders>
              <w:left w:val="double" w:sz="4" w:space="0" w:color="auto"/>
            </w:tcBorders>
            <w:shd w:val="clear" w:color="auto" w:fill="FFFFFF" w:themeFill="background1"/>
            <w:vAlign w:val="center"/>
          </w:tcPr>
          <w:p w14:paraId="54E62325" w14:textId="77777777" w:rsidR="005D2FF5" w:rsidRPr="00482A36" w:rsidRDefault="005D2FF5" w:rsidP="00452A16">
            <w:pPr>
              <w:pStyle w:val="Tabletext"/>
              <w:jc w:val="center"/>
              <w:rPr>
                <w:sz w:val="19"/>
                <w:szCs w:val="19"/>
              </w:rPr>
            </w:pPr>
            <w:r w:rsidRPr="00482A36">
              <w:rPr>
                <w:sz w:val="19"/>
                <w:szCs w:val="19"/>
              </w:rPr>
              <w:t>0.542</w:t>
            </w:r>
          </w:p>
        </w:tc>
        <w:tc>
          <w:tcPr>
            <w:tcW w:w="455" w:type="pct"/>
            <w:shd w:val="clear" w:color="auto" w:fill="FFFFFF" w:themeFill="background1"/>
            <w:vAlign w:val="center"/>
          </w:tcPr>
          <w:p w14:paraId="1BDF12C4" w14:textId="77777777" w:rsidR="005D2FF5" w:rsidRPr="00482A36" w:rsidRDefault="005D2FF5" w:rsidP="00452A16">
            <w:pPr>
              <w:pStyle w:val="Tabletext"/>
              <w:jc w:val="center"/>
              <w:rPr>
                <w:sz w:val="19"/>
                <w:szCs w:val="19"/>
              </w:rPr>
            </w:pPr>
            <w:r w:rsidRPr="00482A36">
              <w:rPr>
                <w:sz w:val="19"/>
                <w:szCs w:val="19"/>
              </w:rPr>
              <w:t>0.361</w:t>
            </w:r>
          </w:p>
        </w:tc>
        <w:tc>
          <w:tcPr>
            <w:tcW w:w="454" w:type="pct"/>
            <w:shd w:val="clear" w:color="auto" w:fill="FFFFFF" w:themeFill="background1"/>
            <w:vAlign w:val="center"/>
          </w:tcPr>
          <w:p w14:paraId="57DFB840" w14:textId="77777777" w:rsidR="005D2FF5" w:rsidRPr="00482A36" w:rsidRDefault="005D2FF5" w:rsidP="00452A16">
            <w:pPr>
              <w:pStyle w:val="Tabletext"/>
              <w:jc w:val="center"/>
              <w:rPr>
                <w:sz w:val="19"/>
                <w:szCs w:val="19"/>
              </w:rPr>
            </w:pPr>
            <w:r w:rsidRPr="00482A36">
              <w:rPr>
                <w:sz w:val="19"/>
                <w:szCs w:val="19"/>
              </w:rPr>
              <w:t>0.970</w:t>
            </w:r>
          </w:p>
        </w:tc>
        <w:tc>
          <w:tcPr>
            <w:tcW w:w="455" w:type="pct"/>
            <w:shd w:val="clear" w:color="auto" w:fill="FFFFFF" w:themeFill="background1"/>
            <w:vAlign w:val="center"/>
          </w:tcPr>
          <w:p w14:paraId="3CAC614B" w14:textId="77777777" w:rsidR="005D2FF5" w:rsidRPr="00482A36" w:rsidRDefault="005D2FF5" w:rsidP="00452A16">
            <w:pPr>
              <w:pStyle w:val="Tabletext"/>
              <w:jc w:val="center"/>
              <w:rPr>
                <w:sz w:val="19"/>
                <w:szCs w:val="19"/>
              </w:rPr>
            </w:pPr>
            <w:r w:rsidRPr="00482A36">
              <w:rPr>
                <w:sz w:val="19"/>
                <w:szCs w:val="19"/>
              </w:rPr>
              <w:t>0.215</w:t>
            </w:r>
          </w:p>
        </w:tc>
        <w:tc>
          <w:tcPr>
            <w:tcW w:w="379" w:type="pct"/>
            <w:shd w:val="clear" w:color="auto" w:fill="FFFFFF" w:themeFill="background1"/>
            <w:vAlign w:val="center"/>
          </w:tcPr>
          <w:p w14:paraId="3C1D3F41" w14:textId="77777777" w:rsidR="005D2FF5" w:rsidRPr="00482A36" w:rsidRDefault="005D2FF5" w:rsidP="00452A16">
            <w:pPr>
              <w:pStyle w:val="Tabletext"/>
              <w:jc w:val="center"/>
              <w:rPr>
                <w:sz w:val="19"/>
                <w:szCs w:val="19"/>
              </w:rPr>
            </w:pPr>
            <w:r w:rsidRPr="00482A36">
              <w:rPr>
                <w:sz w:val="19"/>
                <w:szCs w:val="19"/>
              </w:rPr>
              <w:t>-</w:t>
            </w:r>
          </w:p>
        </w:tc>
      </w:tr>
      <w:tr w:rsidR="005D2FF5" w:rsidRPr="00482A36" w14:paraId="65D6ACD7" w14:textId="77777777" w:rsidTr="00A54DD1">
        <w:trPr>
          <w:trHeight w:val="20"/>
        </w:trPr>
        <w:tc>
          <w:tcPr>
            <w:tcW w:w="528" w:type="pct"/>
            <w:shd w:val="clear" w:color="auto" w:fill="FFFFFF" w:themeFill="background1"/>
            <w:vAlign w:val="center"/>
          </w:tcPr>
          <w:p w14:paraId="19E2D28C" w14:textId="77777777" w:rsidR="005D2FF5" w:rsidRPr="00482A36" w:rsidRDefault="005D2FF5" w:rsidP="00452A16">
            <w:pPr>
              <w:pStyle w:val="Tabletext"/>
              <w:rPr>
                <w:sz w:val="19"/>
                <w:szCs w:val="19"/>
              </w:rPr>
            </w:pPr>
            <w:r w:rsidRPr="00482A36">
              <w:rPr>
                <w:sz w:val="19"/>
                <w:szCs w:val="19"/>
              </w:rPr>
              <w:t>CFB (SD), w24</w:t>
            </w:r>
          </w:p>
        </w:tc>
        <w:tc>
          <w:tcPr>
            <w:tcW w:w="379" w:type="pct"/>
            <w:shd w:val="clear" w:color="auto" w:fill="FFFFFF" w:themeFill="background1"/>
            <w:vAlign w:val="center"/>
          </w:tcPr>
          <w:p w14:paraId="2DB3F7AA" w14:textId="77777777" w:rsidR="005D2FF5" w:rsidRPr="00482A36" w:rsidRDefault="005D2FF5" w:rsidP="00452A16">
            <w:pPr>
              <w:pStyle w:val="Tabletext"/>
              <w:jc w:val="center"/>
              <w:rPr>
                <w:sz w:val="19"/>
                <w:szCs w:val="19"/>
              </w:rPr>
            </w:pPr>
            <w:r w:rsidRPr="00482A36">
              <w:rPr>
                <w:sz w:val="19"/>
                <w:szCs w:val="19"/>
              </w:rPr>
              <w:t>0.067 (0.2)</w:t>
            </w:r>
          </w:p>
        </w:tc>
        <w:tc>
          <w:tcPr>
            <w:tcW w:w="379" w:type="pct"/>
            <w:shd w:val="clear" w:color="auto" w:fill="FFFFFF" w:themeFill="background1"/>
            <w:vAlign w:val="center"/>
          </w:tcPr>
          <w:p w14:paraId="6C30EE13" w14:textId="77777777" w:rsidR="005D2FF5" w:rsidRPr="00482A36" w:rsidRDefault="005D2FF5" w:rsidP="00452A16">
            <w:pPr>
              <w:pStyle w:val="Tabletext"/>
              <w:jc w:val="center"/>
              <w:rPr>
                <w:sz w:val="19"/>
                <w:szCs w:val="19"/>
              </w:rPr>
            </w:pPr>
            <w:r w:rsidRPr="00482A36">
              <w:rPr>
                <w:sz w:val="19"/>
                <w:szCs w:val="19"/>
              </w:rPr>
              <w:t>0.061 (0.1)</w:t>
            </w:r>
          </w:p>
        </w:tc>
        <w:tc>
          <w:tcPr>
            <w:tcW w:w="379" w:type="pct"/>
            <w:shd w:val="clear" w:color="auto" w:fill="FFFFFF" w:themeFill="background1"/>
            <w:vAlign w:val="center"/>
          </w:tcPr>
          <w:p w14:paraId="2C2A4D62" w14:textId="77777777" w:rsidR="005D2FF5" w:rsidRPr="00482A36" w:rsidRDefault="005D2FF5" w:rsidP="00452A16">
            <w:pPr>
              <w:pStyle w:val="Tabletext"/>
              <w:jc w:val="center"/>
              <w:rPr>
                <w:sz w:val="19"/>
                <w:szCs w:val="19"/>
              </w:rPr>
            </w:pPr>
            <w:r w:rsidRPr="00482A36">
              <w:rPr>
                <w:sz w:val="19"/>
                <w:szCs w:val="19"/>
              </w:rPr>
              <w:t>0.032 (0.1)</w:t>
            </w:r>
          </w:p>
        </w:tc>
        <w:tc>
          <w:tcPr>
            <w:tcW w:w="379" w:type="pct"/>
            <w:shd w:val="clear" w:color="auto" w:fill="FFFFFF" w:themeFill="background1"/>
            <w:vAlign w:val="center"/>
          </w:tcPr>
          <w:p w14:paraId="6DE77374" w14:textId="77777777" w:rsidR="005D2FF5" w:rsidRPr="00482A36" w:rsidRDefault="005D2FF5" w:rsidP="00452A16">
            <w:pPr>
              <w:pStyle w:val="Tabletext"/>
              <w:jc w:val="center"/>
              <w:rPr>
                <w:sz w:val="19"/>
                <w:szCs w:val="19"/>
              </w:rPr>
            </w:pPr>
            <w:r w:rsidRPr="00482A36">
              <w:rPr>
                <w:sz w:val="19"/>
                <w:szCs w:val="19"/>
              </w:rPr>
              <w:t>0.030 (0.2)</w:t>
            </w:r>
          </w:p>
        </w:tc>
        <w:tc>
          <w:tcPr>
            <w:tcW w:w="379" w:type="pct"/>
            <w:shd w:val="clear" w:color="auto" w:fill="FFFFFF" w:themeFill="background1"/>
          </w:tcPr>
          <w:p w14:paraId="63451496" w14:textId="77777777" w:rsidR="005D2FF5" w:rsidRPr="00482A36" w:rsidRDefault="005D2FF5" w:rsidP="00452A16">
            <w:pPr>
              <w:pStyle w:val="Tabletext"/>
              <w:jc w:val="center"/>
              <w:rPr>
                <w:sz w:val="19"/>
                <w:szCs w:val="19"/>
              </w:rPr>
            </w:pPr>
            <w:r w:rsidRPr="00482A36">
              <w:rPr>
                <w:sz w:val="19"/>
                <w:szCs w:val="19"/>
              </w:rPr>
              <w:t>-</w:t>
            </w:r>
          </w:p>
        </w:tc>
        <w:tc>
          <w:tcPr>
            <w:tcW w:w="380" w:type="pct"/>
            <w:tcBorders>
              <w:right w:val="double" w:sz="4" w:space="0" w:color="auto"/>
            </w:tcBorders>
            <w:shd w:val="clear" w:color="auto" w:fill="FFFFFF" w:themeFill="background1"/>
            <w:vAlign w:val="center"/>
          </w:tcPr>
          <w:p w14:paraId="6C33AA9D" w14:textId="77777777" w:rsidR="005D2FF5" w:rsidRPr="00482A36" w:rsidRDefault="005D2FF5" w:rsidP="00452A16">
            <w:pPr>
              <w:pStyle w:val="Tabletext"/>
              <w:jc w:val="center"/>
              <w:rPr>
                <w:sz w:val="19"/>
                <w:szCs w:val="19"/>
              </w:rPr>
            </w:pPr>
            <w:r w:rsidRPr="00482A36">
              <w:rPr>
                <w:sz w:val="19"/>
                <w:szCs w:val="19"/>
              </w:rPr>
              <w:t>0.03 (0.1)</w:t>
            </w:r>
          </w:p>
        </w:tc>
        <w:tc>
          <w:tcPr>
            <w:tcW w:w="454" w:type="pct"/>
            <w:tcBorders>
              <w:left w:val="double" w:sz="4" w:space="0" w:color="auto"/>
            </w:tcBorders>
            <w:shd w:val="clear" w:color="auto" w:fill="FFFFFF" w:themeFill="background1"/>
            <w:vAlign w:val="center"/>
          </w:tcPr>
          <w:p w14:paraId="15252700" w14:textId="77777777" w:rsidR="005D2FF5" w:rsidRPr="00482A36" w:rsidRDefault="005D2FF5" w:rsidP="00452A16">
            <w:pPr>
              <w:pStyle w:val="Tabletext"/>
              <w:jc w:val="center"/>
              <w:rPr>
                <w:sz w:val="19"/>
                <w:szCs w:val="19"/>
              </w:rPr>
            </w:pPr>
            <w:r w:rsidRPr="00482A36">
              <w:rPr>
                <w:sz w:val="19"/>
                <w:szCs w:val="19"/>
              </w:rPr>
              <w:t>0.068 (0.2)</w:t>
            </w:r>
          </w:p>
        </w:tc>
        <w:tc>
          <w:tcPr>
            <w:tcW w:w="455" w:type="pct"/>
            <w:shd w:val="clear" w:color="auto" w:fill="FFFFFF" w:themeFill="background1"/>
            <w:vAlign w:val="center"/>
          </w:tcPr>
          <w:p w14:paraId="4D55D615" w14:textId="77777777" w:rsidR="005D2FF5" w:rsidRPr="00482A36" w:rsidRDefault="005D2FF5" w:rsidP="00452A16">
            <w:pPr>
              <w:pStyle w:val="Tabletext"/>
              <w:jc w:val="center"/>
              <w:rPr>
                <w:sz w:val="19"/>
                <w:szCs w:val="19"/>
              </w:rPr>
            </w:pPr>
            <w:r w:rsidRPr="00482A36">
              <w:rPr>
                <w:sz w:val="19"/>
                <w:szCs w:val="19"/>
              </w:rPr>
              <w:t>0.038 (0.2)</w:t>
            </w:r>
          </w:p>
        </w:tc>
        <w:tc>
          <w:tcPr>
            <w:tcW w:w="454" w:type="pct"/>
            <w:shd w:val="clear" w:color="auto" w:fill="FFFFFF" w:themeFill="background1"/>
            <w:vAlign w:val="center"/>
          </w:tcPr>
          <w:p w14:paraId="7102CE79" w14:textId="77777777" w:rsidR="005D2FF5" w:rsidRPr="00482A36" w:rsidRDefault="005D2FF5" w:rsidP="00452A16">
            <w:pPr>
              <w:pStyle w:val="Tabletext"/>
              <w:jc w:val="center"/>
              <w:rPr>
                <w:sz w:val="19"/>
                <w:szCs w:val="19"/>
              </w:rPr>
            </w:pPr>
            <w:r w:rsidRPr="00482A36">
              <w:rPr>
                <w:sz w:val="19"/>
                <w:szCs w:val="19"/>
              </w:rPr>
              <w:t>0.090 (0.2)</w:t>
            </w:r>
          </w:p>
        </w:tc>
        <w:tc>
          <w:tcPr>
            <w:tcW w:w="455" w:type="pct"/>
            <w:shd w:val="clear" w:color="auto" w:fill="FFFFFF" w:themeFill="background1"/>
            <w:vAlign w:val="center"/>
          </w:tcPr>
          <w:p w14:paraId="13B7F8E9" w14:textId="77777777" w:rsidR="005D2FF5" w:rsidRPr="00482A36" w:rsidRDefault="005D2FF5" w:rsidP="00452A16">
            <w:pPr>
              <w:pStyle w:val="Tabletext"/>
              <w:jc w:val="center"/>
              <w:rPr>
                <w:sz w:val="19"/>
                <w:szCs w:val="19"/>
              </w:rPr>
            </w:pPr>
            <w:r w:rsidRPr="00482A36">
              <w:rPr>
                <w:sz w:val="19"/>
                <w:szCs w:val="19"/>
              </w:rPr>
              <w:t>0.079 (0.2)</w:t>
            </w:r>
          </w:p>
        </w:tc>
        <w:tc>
          <w:tcPr>
            <w:tcW w:w="379" w:type="pct"/>
            <w:shd w:val="clear" w:color="auto" w:fill="FFFFFF" w:themeFill="background1"/>
            <w:vAlign w:val="center"/>
          </w:tcPr>
          <w:p w14:paraId="13D4CD5A" w14:textId="77777777" w:rsidR="005D2FF5" w:rsidRPr="00482A36" w:rsidRDefault="005D2FF5" w:rsidP="00452A16">
            <w:pPr>
              <w:pStyle w:val="Tabletext"/>
              <w:jc w:val="center"/>
              <w:rPr>
                <w:sz w:val="19"/>
                <w:szCs w:val="19"/>
              </w:rPr>
            </w:pPr>
            <w:r w:rsidRPr="00482A36">
              <w:rPr>
                <w:sz w:val="19"/>
                <w:szCs w:val="19"/>
              </w:rPr>
              <w:t>0.1 (0.2)</w:t>
            </w:r>
          </w:p>
        </w:tc>
      </w:tr>
      <w:tr w:rsidR="005D2FF5" w:rsidRPr="00482A36" w14:paraId="773EF7D2" w14:textId="77777777" w:rsidTr="00A54DD1">
        <w:trPr>
          <w:trHeight w:val="20"/>
        </w:trPr>
        <w:tc>
          <w:tcPr>
            <w:tcW w:w="528" w:type="pct"/>
            <w:shd w:val="clear" w:color="auto" w:fill="FFFFFF" w:themeFill="background1"/>
            <w:vAlign w:val="center"/>
          </w:tcPr>
          <w:p w14:paraId="77B1A851" w14:textId="77777777" w:rsidR="005D2FF5" w:rsidRPr="00482A36" w:rsidRDefault="005D2FF5" w:rsidP="00452A16">
            <w:pPr>
              <w:pStyle w:val="Tabletext"/>
              <w:rPr>
                <w:sz w:val="19"/>
                <w:szCs w:val="19"/>
              </w:rPr>
            </w:pPr>
            <w:r w:rsidRPr="00482A36">
              <w:rPr>
                <w:sz w:val="19"/>
                <w:szCs w:val="19"/>
              </w:rPr>
              <w:t>CFB (SD), w52</w:t>
            </w:r>
          </w:p>
        </w:tc>
        <w:tc>
          <w:tcPr>
            <w:tcW w:w="379" w:type="pct"/>
            <w:shd w:val="clear" w:color="auto" w:fill="FFFFFF" w:themeFill="background1"/>
            <w:vAlign w:val="center"/>
          </w:tcPr>
          <w:p w14:paraId="7593210F" w14:textId="77777777" w:rsidR="005D2FF5" w:rsidRPr="00482A36" w:rsidRDefault="005D2FF5" w:rsidP="00452A16">
            <w:pPr>
              <w:pStyle w:val="Tabletext"/>
              <w:jc w:val="center"/>
              <w:rPr>
                <w:sz w:val="19"/>
                <w:szCs w:val="19"/>
              </w:rPr>
            </w:pPr>
            <w:r w:rsidRPr="00482A36">
              <w:rPr>
                <w:sz w:val="19"/>
                <w:szCs w:val="19"/>
              </w:rPr>
              <w:t>0.058 (0.2)</w:t>
            </w:r>
          </w:p>
        </w:tc>
        <w:tc>
          <w:tcPr>
            <w:tcW w:w="379" w:type="pct"/>
            <w:shd w:val="clear" w:color="auto" w:fill="FFFFFF" w:themeFill="background1"/>
            <w:vAlign w:val="center"/>
          </w:tcPr>
          <w:p w14:paraId="2868438C" w14:textId="77777777" w:rsidR="005D2FF5" w:rsidRPr="00482A36" w:rsidRDefault="005D2FF5" w:rsidP="00452A16">
            <w:pPr>
              <w:pStyle w:val="Tabletext"/>
              <w:jc w:val="center"/>
              <w:rPr>
                <w:sz w:val="19"/>
                <w:szCs w:val="19"/>
              </w:rPr>
            </w:pPr>
            <w:r w:rsidRPr="00482A36">
              <w:rPr>
                <w:sz w:val="19"/>
                <w:szCs w:val="19"/>
              </w:rPr>
              <w:t>0.064 (0.1)</w:t>
            </w:r>
          </w:p>
        </w:tc>
        <w:tc>
          <w:tcPr>
            <w:tcW w:w="379" w:type="pct"/>
            <w:shd w:val="clear" w:color="auto" w:fill="FFFFFF" w:themeFill="background1"/>
            <w:vAlign w:val="center"/>
          </w:tcPr>
          <w:p w14:paraId="42F41884" w14:textId="77777777" w:rsidR="005D2FF5" w:rsidRPr="00482A36" w:rsidRDefault="005D2FF5" w:rsidP="00452A16">
            <w:pPr>
              <w:pStyle w:val="Tabletext"/>
              <w:jc w:val="center"/>
              <w:rPr>
                <w:sz w:val="19"/>
                <w:szCs w:val="19"/>
              </w:rPr>
            </w:pPr>
            <w:r w:rsidRPr="00482A36">
              <w:rPr>
                <w:sz w:val="19"/>
                <w:szCs w:val="19"/>
              </w:rPr>
              <w:t>0.030 (0.2)</w:t>
            </w:r>
          </w:p>
        </w:tc>
        <w:tc>
          <w:tcPr>
            <w:tcW w:w="379" w:type="pct"/>
            <w:shd w:val="clear" w:color="auto" w:fill="FFFFFF" w:themeFill="background1"/>
            <w:vAlign w:val="center"/>
          </w:tcPr>
          <w:p w14:paraId="295D64CF" w14:textId="77777777" w:rsidR="005D2FF5" w:rsidRPr="00482A36" w:rsidRDefault="005D2FF5" w:rsidP="00452A16">
            <w:pPr>
              <w:pStyle w:val="Tabletext"/>
              <w:jc w:val="center"/>
              <w:rPr>
                <w:sz w:val="19"/>
                <w:szCs w:val="19"/>
              </w:rPr>
            </w:pPr>
            <w:r w:rsidRPr="00482A36">
              <w:rPr>
                <w:sz w:val="19"/>
                <w:szCs w:val="19"/>
              </w:rPr>
              <w:t>0.038 (0.1)</w:t>
            </w:r>
          </w:p>
        </w:tc>
        <w:tc>
          <w:tcPr>
            <w:tcW w:w="379" w:type="pct"/>
            <w:shd w:val="clear" w:color="auto" w:fill="FFFFFF" w:themeFill="background1"/>
            <w:vAlign w:val="center"/>
          </w:tcPr>
          <w:p w14:paraId="7EF11F67" w14:textId="77777777" w:rsidR="005D2FF5" w:rsidRPr="00482A36" w:rsidRDefault="005D2FF5" w:rsidP="00452A16">
            <w:pPr>
              <w:pStyle w:val="Tabletext"/>
              <w:jc w:val="center"/>
              <w:rPr>
                <w:sz w:val="19"/>
                <w:szCs w:val="19"/>
              </w:rPr>
            </w:pPr>
            <w:r w:rsidRPr="00482A36">
              <w:rPr>
                <w:sz w:val="19"/>
                <w:szCs w:val="19"/>
              </w:rPr>
              <w:t>0.037 (0.2)</w:t>
            </w:r>
          </w:p>
        </w:tc>
        <w:tc>
          <w:tcPr>
            <w:tcW w:w="380" w:type="pct"/>
            <w:tcBorders>
              <w:right w:val="double" w:sz="4" w:space="0" w:color="auto"/>
            </w:tcBorders>
            <w:shd w:val="clear" w:color="auto" w:fill="FFFFFF" w:themeFill="background1"/>
            <w:vAlign w:val="center"/>
          </w:tcPr>
          <w:p w14:paraId="034EBA31" w14:textId="77777777" w:rsidR="005D2FF5" w:rsidRPr="00482A36" w:rsidRDefault="005D2FF5" w:rsidP="00452A16">
            <w:pPr>
              <w:pStyle w:val="Tabletext"/>
              <w:jc w:val="center"/>
              <w:rPr>
                <w:sz w:val="19"/>
                <w:szCs w:val="19"/>
              </w:rPr>
            </w:pPr>
            <w:r w:rsidRPr="00482A36">
              <w:rPr>
                <w:sz w:val="19"/>
                <w:szCs w:val="19"/>
              </w:rPr>
              <w:t>-0.003 (0.1)</w:t>
            </w:r>
          </w:p>
        </w:tc>
        <w:tc>
          <w:tcPr>
            <w:tcW w:w="454" w:type="pct"/>
            <w:tcBorders>
              <w:left w:val="double" w:sz="4" w:space="0" w:color="auto"/>
            </w:tcBorders>
            <w:shd w:val="clear" w:color="auto" w:fill="FFFFFF" w:themeFill="background1"/>
            <w:vAlign w:val="center"/>
          </w:tcPr>
          <w:p w14:paraId="7E49A25E" w14:textId="77777777" w:rsidR="005D2FF5" w:rsidRPr="00482A36" w:rsidRDefault="005D2FF5" w:rsidP="00452A16">
            <w:pPr>
              <w:pStyle w:val="Tabletext"/>
              <w:jc w:val="center"/>
              <w:rPr>
                <w:sz w:val="19"/>
                <w:szCs w:val="19"/>
              </w:rPr>
            </w:pPr>
            <w:r w:rsidRPr="00482A36">
              <w:rPr>
                <w:sz w:val="19"/>
                <w:szCs w:val="19"/>
              </w:rPr>
              <w:t>NR</w:t>
            </w:r>
          </w:p>
        </w:tc>
        <w:tc>
          <w:tcPr>
            <w:tcW w:w="455" w:type="pct"/>
            <w:shd w:val="clear" w:color="auto" w:fill="FFFFFF" w:themeFill="background1"/>
            <w:vAlign w:val="center"/>
          </w:tcPr>
          <w:p w14:paraId="69E6F5AC" w14:textId="77777777" w:rsidR="005D2FF5" w:rsidRPr="00482A36" w:rsidRDefault="005D2FF5" w:rsidP="00452A16">
            <w:pPr>
              <w:pStyle w:val="Tabletext"/>
              <w:jc w:val="center"/>
              <w:rPr>
                <w:sz w:val="19"/>
                <w:szCs w:val="19"/>
              </w:rPr>
            </w:pPr>
            <w:r w:rsidRPr="00482A36">
              <w:rPr>
                <w:sz w:val="19"/>
                <w:szCs w:val="19"/>
              </w:rPr>
              <w:t>NR</w:t>
            </w:r>
          </w:p>
        </w:tc>
        <w:tc>
          <w:tcPr>
            <w:tcW w:w="454" w:type="pct"/>
            <w:shd w:val="clear" w:color="auto" w:fill="FFFFFF" w:themeFill="background1"/>
            <w:vAlign w:val="center"/>
          </w:tcPr>
          <w:p w14:paraId="5C6BAC43" w14:textId="77777777" w:rsidR="005D2FF5" w:rsidRPr="00482A36" w:rsidRDefault="005D2FF5" w:rsidP="00452A16">
            <w:pPr>
              <w:pStyle w:val="Tabletext"/>
              <w:jc w:val="center"/>
              <w:rPr>
                <w:sz w:val="19"/>
                <w:szCs w:val="19"/>
              </w:rPr>
            </w:pPr>
            <w:r w:rsidRPr="00482A36">
              <w:rPr>
                <w:sz w:val="19"/>
                <w:szCs w:val="19"/>
              </w:rPr>
              <w:t>NR</w:t>
            </w:r>
          </w:p>
        </w:tc>
        <w:tc>
          <w:tcPr>
            <w:tcW w:w="455" w:type="pct"/>
            <w:shd w:val="clear" w:color="auto" w:fill="FFFFFF" w:themeFill="background1"/>
            <w:vAlign w:val="center"/>
          </w:tcPr>
          <w:p w14:paraId="29BC6BF2" w14:textId="77777777" w:rsidR="005D2FF5" w:rsidRPr="00482A36" w:rsidRDefault="005D2FF5" w:rsidP="00452A16">
            <w:pPr>
              <w:pStyle w:val="Tabletext"/>
              <w:jc w:val="center"/>
              <w:rPr>
                <w:sz w:val="19"/>
                <w:szCs w:val="19"/>
              </w:rPr>
            </w:pPr>
            <w:r w:rsidRPr="00482A36">
              <w:rPr>
                <w:sz w:val="19"/>
                <w:szCs w:val="19"/>
              </w:rPr>
              <w:t>NR</w:t>
            </w:r>
          </w:p>
        </w:tc>
        <w:tc>
          <w:tcPr>
            <w:tcW w:w="379" w:type="pct"/>
            <w:shd w:val="clear" w:color="auto" w:fill="FFFFFF" w:themeFill="background1"/>
            <w:vAlign w:val="center"/>
          </w:tcPr>
          <w:p w14:paraId="3C85E214" w14:textId="77777777" w:rsidR="005D2FF5" w:rsidRPr="00482A36" w:rsidRDefault="005D2FF5" w:rsidP="00452A16">
            <w:pPr>
              <w:pStyle w:val="Tabletext"/>
              <w:jc w:val="center"/>
              <w:rPr>
                <w:sz w:val="19"/>
                <w:szCs w:val="19"/>
              </w:rPr>
            </w:pPr>
            <w:r w:rsidRPr="00482A36">
              <w:rPr>
                <w:sz w:val="19"/>
                <w:szCs w:val="19"/>
              </w:rPr>
              <w:t>NR</w:t>
            </w:r>
          </w:p>
        </w:tc>
      </w:tr>
    </w:tbl>
    <w:p w14:paraId="726BE20D" w14:textId="77777777" w:rsidR="00342D01" w:rsidRPr="00482A36" w:rsidRDefault="00342D01" w:rsidP="00574259">
      <w:pPr>
        <w:pStyle w:val="Caption"/>
        <w:rPr>
          <w:rFonts w:eastAsiaTheme="minorEastAsia"/>
          <w:b w:val="0"/>
          <w:snapToGrid w:val="0"/>
          <w:sz w:val="18"/>
          <w:szCs w:val="22"/>
          <w:lang w:eastAsia="en-US"/>
        </w:rPr>
      </w:pPr>
      <w:r w:rsidRPr="00482A36">
        <w:rPr>
          <w:rFonts w:eastAsiaTheme="minorEastAsia"/>
          <w:b w:val="0"/>
          <w:snapToGrid w:val="0"/>
          <w:sz w:val="18"/>
          <w:szCs w:val="22"/>
          <w:lang w:eastAsia="en-US"/>
        </w:rPr>
        <w:t>Bold text=statistically significant.</w:t>
      </w:r>
    </w:p>
    <w:p w14:paraId="2FCC1073" w14:textId="74D5B322" w:rsidR="00342D01" w:rsidRPr="00482A36" w:rsidRDefault="00342D01" w:rsidP="00342D01">
      <w:pPr>
        <w:pStyle w:val="TableFigureFooter"/>
      </w:pPr>
      <w:r w:rsidRPr="00482A36">
        <w:t>Source: Table 34, p114, Table 35, p117, Table 36, p119, Table 37, p122, Table 38, p124, Table 39, p127, Table 41, p132, Table 46, p138, Table 47, p139, Table 48, p140, Table 49, p141, Table 51, p142, Figure 25, p135 of the submission and Table 7, p100 of P1, W52 CSR and Table 4, p125 , Table 23, p152, Table 28, p161 of the P2, W52 CSR.</w:t>
      </w:r>
    </w:p>
    <w:p w14:paraId="429FCBD7" w14:textId="1CFD19C6" w:rsidR="00342D01" w:rsidRPr="00482A36" w:rsidRDefault="00342D01" w:rsidP="00342D01">
      <w:pPr>
        <w:pStyle w:val="TableFigureFooter"/>
      </w:pPr>
      <w:r w:rsidRPr="00482A36">
        <w:t>ABT=add-back therapy; CFB=change from baseline (mean, SD); CI=95% confidence intervals; EQ-5D-5L=EuroQol health-related quality of life questionnaire; FAS=full analysis set; HRQoL=health related quality of life; LGX 100</w:t>
      </w:r>
      <w:r w:rsidRPr="00482A36">
        <w:rPr>
          <w:rFonts w:eastAsiaTheme="minorEastAsia"/>
        </w:rPr>
        <w:t>=</w:t>
      </w:r>
      <w:r w:rsidRPr="00482A36">
        <w:t>linzagolix 100 mg; LGX 200= linzagolix 200 mg; LS=least squares; MBL=menstrual blood loss; N=total number of participants in treatment arm (FAS); n=number of participants; NR=not reported; PBO=placebo; SD=standard deviation; UFS-QoL=Uterine Fibroid Symptom-Quality of Life questionnaire.</w:t>
      </w:r>
    </w:p>
    <w:p w14:paraId="075BDC90" w14:textId="08EDE9C7" w:rsidR="00342D01" w:rsidRPr="00482A36" w:rsidRDefault="00B31290" w:rsidP="00A54DD1">
      <w:pPr>
        <w:pStyle w:val="TableFigureFooter"/>
        <w:ind w:left="165" w:hanging="165"/>
      </w:pPr>
      <w:r w:rsidRPr="00482A36">
        <w:rPr>
          <w:vertAlign w:val="superscript"/>
        </w:rPr>
        <w:t>a</w:t>
      </w:r>
      <w:r w:rsidR="00A54DD1" w:rsidRPr="00482A36">
        <w:rPr>
          <w:vertAlign w:val="superscript"/>
        </w:rPr>
        <w:tab/>
      </w:r>
      <w:r w:rsidR="00342D01" w:rsidRPr="00616367">
        <w:rPr>
          <w:iCs/>
        </w:rPr>
        <w:t>A discrepancy in patient counts was noted for the linzagolix 100 mg and placebo arms in the FAS. The submission (Table 16, p70 of the submission) listed 62 participants for the linzagolix 100 mg arm and 32 for the placebo arm, while outcome reports for week 52 and the CSR indicated 61 and 31 patients, respectively.</w:t>
      </w:r>
    </w:p>
    <w:p w14:paraId="253F195A" w14:textId="77777777" w:rsidR="00342D01" w:rsidRPr="00482A36" w:rsidRDefault="00342D01" w:rsidP="00342D01">
      <w:pPr>
        <w:pStyle w:val="TableFigureFooter"/>
        <w:ind w:left="165" w:hanging="165"/>
      </w:pPr>
      <w:r w:rsidRPr="00482A36">
        <w:rPr>
          <w:vertAlign w:val="superscript"/>
        </w:rPr>
        <w:t>b</w:t>
      </w:r>
      <w:r w:rsidRPr="00482A36">
        <w:tab/>
        <w:t>Defined as having no data from the alkaline hematin method from the central laboratory or volume below the lower limit of quantification over at least a 35-day interval and without showing bleeding after this interval.</w:t>
      </w:r>
    </w:p>
    <w:p w14:paraId="44DFEFC1" w14:textId="3C1819D8" w:rsidR="00342D01" w:rsidRPr="00482A36" w:rsidRDefault="00342D01" w:rsidP="00342D01">
      <w:pPr>
        <w:pStyle w:val="TableFigureFooter"/>
        <w:ind w:left="165" w:hanging="165"/>
      </w:pPr>
      <w:r w:rsidRPr="00482A36">
        <w:rPr>
          <w:vertAlign w:val="superscript"/>
        </w:rPr>
        <w:t>c</w:t>
      </w:r>
      <w:r w:rsidRPr="00482A36">
        <w:tab/>
      </w:r>
      <w:r w:rsidRPr="00616367">
        <w:rPr>
          <w:iCs/>
        </w:rPr>
        <w:t>Full analysis set (FAS) numbers were used to calculate “n” during the evaluation.</w:t>
      </w:r>
    </w:p>
    <w:p w14:paraId="0FFD52BD" w14:textId="712A3FC3" w:rsidR="00793F65" w:rsidRPr="00482A36" w:rsidRDefault="005F2621" w:rsidP="006E4B25">
      <w:pPr>
        <w:pStyle w:val="3-BodyText"/>
      </w:pPr>
      <w:r w:rsidRPr="00482A36">
        <w:t xml:space="preserve">Secondary outcomes in PRIMROSE 1 and 2 were largely consistent with the primary outcome. </w:t>
      </w:r>
      <w:r w:rsidR="00A54DD1" w:rsidRPr="00482A36">
        <w:t>Menstrual b</w:t>
      </w:r>
      <w:r w:rsidR="00007D77" w:rsidRPr="00482A36">
        <w:t>leeding related outcomes,</w:t>
      </w:r>
      <w:r w:rsidRPr="00482A36">
        <w:t xml:space="preserve"> including time to reduced MBL, proportion with and time to amenorrhea, haemoglobin levels in anaemic subjects, </w:t>
      </w:r>
      <w:r w:rsidR="00EC5A6D" w:rsidRPr="00482A36">
        <w:t xml:space="preserve">all </w:t>
      </w:r>
      <w:r w:rsidRPr="00482A36">
        <w:t>showed significant improvements at week 24 compared to placebo across all treatment arms.</w:t>
      </w:r>
      <w:r w:rsidR="00115364" w:rsidRPr="00482A36">
        <w:t xml:space="preserve"> </w:t>
      </w:r>
      <w:r w:rsidR="00955953" w:rsidRPr="00482A36">
        <w:t>In PRIMROSE 1, the only trial reporting data at week 52, s</w:t>
      </w:r>
      <w:r w:rsidR="00115364" w:rsidRPr="00482A36">
        <w:t xml:space="preserve">imilar trends were </w:t>
      </w:r>
      <w:r w:rsidR="00007D77" w:rsidRPr="00482A36">
        <w:t xml:space="preserve">observed </w:t>
      </w:r>
      <w:r w:rsidR="00115364" w:rsidRPr="00482A36">
        <w:t>up to week 52</w:t>
      </w:r>
      <w:r w:rsidR="00955953" w:rsidRPr="00482A36">
        <w:t>. No</w:t>
      </w:r>
      <w:r w:rsidR="00BD38A4" w:rsidRPr="00482A36">
        <w:t xml:space="preserve"> </w:t>
      </w:r>
      <w:r w:rsidR="00115364" w:rsidRPr="00482A36">
        <w:t>statistical comparison</w:t>
      </w:r>
      <w:r w:rsidR="00007D77" w:rsidRPr="00482A36">
        <w:t>s were</w:t>
      </w:r>
      <w:r w:rsidR="00BD38A4" w:rsidRPr="00482A36">
        <w:t xml:space="preserve"> </w:t>
      </w:r>
      <w:r w:rsidR="00115364" w:rsidRPr="00482A36">
        <w:t xml:space="preserve">provided </w:t>
      </w:r>
      <w:r w:rsidR="00955953" w:rsidRPr="00482A36">
        <w:t xml:space="preserve">as </w:t>
      </w:r>
      <w:r w:rsidR="00115364" w:rsidRPr="00482A36">
        <w:t xml:space="preserve">50% of patients </w:t>
      </w:r>
      <w:r w:rsidR="00007D77" w:rsidRPr="00482A36">
        <w:t xml:space="preserve">in the </w:t>
      </w:r>
      <w:r w:rsidR="00115364" w:rsidRPr="00482A36">
        <w:t>placebo arm</w:t>
      </w:r>
      <w:r w:rsidR="00007D77" w:rsidRPr="00482A36">
        <w:t>s</w:t>
      </w:r>
      <w:r w:rsidR="00115364" w:rsidRPr="00482A36">
        <w:t xml:space="preserve"> </w:t>
      </w:r>
      <w:r w:rsidR="00007D77" w:rsidRPr="00482A36">
        <w:t xml:space="preserve">of </w:t>
      </w:r>
      <w:r w:rsidR="00115364" w:rsidRPr="00482A36">
        <w:t xml:space="preserve">PRIMROSE 1 </w:t>
      </w:r>
      <w:r w:rsidR="00007D77" w:rsidRPr="00482A36">
        <w:t xml:space="preserve">had switched to </w:t>
      </w:r>
      <w:r w:rsidR="00115364" w:rsidRPr="00482A36">
        <w:t>linzagolix 200</w:t>
      </w:r>
      <w:r w:rsidR="00F161DE" w:rsidRPr="00482A36">
        <w:t> </w:t>
      </w:r>
      <w:r w:rsidR="00115364" w:rsidRPr="00482A36">
        <w:t xml:space="preserve">mg + ABT </w:t>
      </w:r>
      <w:r w:rsidR="00007D77" w:rsidRPr="00482A36">
        <w:t xml:space="preserve">treatment </w:t>
      </w:r>
      <w:r w:rsidR="00955953" w:rsidRPr="00482A36">
        <w:t xml:space="preserve">after </w:t>
      </w:r>
      <w:r w:rsidR="00007D77" w:rsidRPr="00482A36">
        <w:t>trial unblind a</w:t>
      </w:r>
      <w:r w:rsidR="00EC5A6D" w:rsidRPr="00482A36">
        <w:t>t</w:t>
      </w:r>
      <w:r w:rsidR="00007D77" w:rsidRPr="00482A36">
        <w:t xml:space="preserve"> week </w:t>
      </w:r>
      <w:r w:rsidR="00115364" w:rsidRPr="00482A36">
        <w:t>24.</w:t>
      </w:r>
    </w:p>
    <w:p w14:paraId="3D5F8F51" w14:textId="6CE1AD92" w:rsidR="00115364" w:rsidRPr="00616367" w:rsidRDefault="00BD38A4" w:rsidP="005F2621">
      <w:pPr>
        <w:pStyle w:val="3-BodyText"/>
        <w:rPr>
          <w:iCs/>
        </w:rPr>
      </w:pPr>
      <w:r w:rsidRPr="00482A36">
        <w:t>Larger reductions in u</w:t>
      </w:r>
      <w:r w:rsidR="007A2AD4" w:rsidRPr="00482A36">
        <w:t>terine fibroid volume</w:t>
      </w:r>
      <w:r w:rsidRPr="00482A36">
        <w:t xml:space="preserve"> from baseline w</w:t>
      </w:r>
      <w:r w:rsidR="00B9340F" w:rsidRPr="00482A36">
        <w:t>ere</w:t>
      </w:r>
      <w:r w:rsidRPr="00482A36">
        <w:t xml:space="preserve"> observed for all linzagolix treatment arms </w:t>
      </w:r>
      <w:r w:rsidR="007A2AD4" w:rsidRPr="00482A36">
        <w:t xml:space="preserve">compared to placebo up to week 24. </w:t>
      </w:r>
      <w:r w:rsidRPr="00482A36">
        <w:t>In PRIMROSE 1, this difference reached statistical significance for the l</w:t>
      </w:r>
      <w:r w:rsidR="007A2AD4" w:rsidRPr="00482A36">
        <w:t xml:space="preserve">inzagolix 200 mg </w:t>
      </w:r>
      <w:r w:rsidRPr="00482A36">
        <w:t xml:space="preserve">treatment arm, and </w:t>
      </w:r>
      <w:r w:rsidR="00955953" w:rsidRPr="00482A36">
        <w:lastRenderedPageBreak/>
        <w:t xml:space="preserve">in </w:t>
      </w:r>
      <w:r w:rsidRPr="00482A36">
        <w:t xml:space="preserve">PRIMROSE 2 </w:t>
      </w:r>
      <w:r w:rsidR="00955953" w:rsidRPr="00482A36">
        <w:t>this was statistically significant for both linzagolix 200</w:t>
      </w:r>
      <w:r w:rsidR="000A6E26" w:rsidRPr="00482A36">
        <w:t xml:space="preserve"> </w:t>
      </w:r>
      <w:r w:rsidR="00955953" w:rsidRPr="00482A36">
        <w:t>mg and linzagolix 200</w:t>
      </w:r>
      <w:r w:rsidR="001626C8">
        <w:t> </w:t>
      </w:r>
      <w:r w:rsidR="00955953" w:rsidRPr="00482A36">
        <w:t>mg + ABT arms</w:t>
      </w:r>
      <w:r w:rsidR="007A2AD4" w:rsidRPr="00482A36">
        <w:t>.</w:t>
      </w:r>
      <w:r w:rsidR="007A2AD4" w:rsidRPr="00616367">
        <w:rPr>
          <w:iCs/>
        </w:rPr>
        <w:t xml:space="preserve"> </w:t>
      </w:r>
      <w:r w:rsidR="00955953" w:rsidRPr="00616367">
        <w:rPr>
          <w:iCs/>
        </w:rPr>
        <w:t>The reduction</w:t>
      </w:r>
      <w:r w:rsidR="00F161DE" w:rsidRPr="00616367">
        <w:rPr>
          <w:iCs/>
        </w:rPr>
        <w:t>s</w:t>
      </w:r>
      <w:r w:rsidR="00955953" w:rsidRPr="00616367">
        <w:rPr>
          <w:iCs/>
        </w:rPr>
        <w:t xml:space="preserve"> however did not appear to be maintained over time. By </w:t>
      </w:r>
      <w:r w:rsidR="007A2AD4" w:rsidRPr="00616367">
        <w:rPr>
          <w:iCs/>
        </w:rPr>
        <w:t>week 52</w:t>
      </w:r>
      <w:r w:rsidR="00955953" w:rsidRPr="00616367">
        <w:rPr>
          <w:iCs/>
        </w:rPr>
        <w:t>,</w:t>
      </w:r>
      <w:r w:rsidR="007A2AD4" w:rsidRPr="00616367">
        <w:rPr>
          <w:iCs/>
        </w:rPr>
        <w:t xml:space="preserve"> </w:t>
      </w:r>
      <w:r w:rsidR="00955953" w:rsidRPr="00616367">
        <w:rPr>
          <w:iCs/>
        </w:rPr>
        <w:t xml:space="preserve">the </w:t>
      </w:r>
      <w:r w:rsidR="009359D1" w:rsidRPr="00616367">
        <w:rPr>
          <w:iCs/>
        </w:rPr>
        <w:t xml:space="preserve">extent of </w:t>
      </w:r>
      <w:r w:rsidR="00955953" w:rsidRPr="00616367">
        <w:rPr>
          <w:iCs/>
        </w:rPr>
        <w:t xml:space="preserve">reductions </w:t>
      </w:r>
      <w:r w:rsidR="009359D1" w:rsidRPr="00616367">
        <w:rPr>
          <w:iCs/>
        </w:rPr>
        <w:t xml:space="preserve">from baseline </w:t>
      </w:r>
      <w:r w:rsidR="00955953" w:rsidRPr="00616367">
        <w:rPr>
          <w:iCs/>
        </w:rPr>
        <w:t>were reduced for linzagolix 200</w:t>
      </w:r>
      <w:r w:rsidR="001626C8">
        <w:rPr>
          <w:iCs/>
        </w:rPr>
        <w:t> </w:t>
      </w:r>
      <w:r w:rsidR="00955953" w:rsidRPr="00616367">
        <w:rPr>
          <w:iCs/>
        </w:rPr>
        <w:t xml:space="preserve">mg/ linzagolix 200 mg + ABT </w:t>
      </w:r>
      <w:r w:rsidR="004938FD" w:rsidRPr="00616367">
        <w:rPr>
          <w:iCs/>
        </w:rPr>
        <w:t xml:space="preserve">and fibroid volume had </w:t>
      </w:r>
      <w:r w:rsidR="00955953" w:rsidRPr="00616367">
        <w:rPr>
          <w:iCs/>
        </w:rPr>
        <w:t xml:space="preserve">increased compared to baseline in the </w:t>
      </w:r>
      <w:r w:rsidR="007A2AD4" w:rsidRPr="00616367">
        <w:rPr>
          <w:iCs/>
        </w:rPr>
        <w:t xml:space="preserve">linzagolix 100 mg and linzagolix </w:t>
      </w:r>
      <w:r w:rsidR="00F161DE" w:rsidRPr="00616367">
        <w:rPr>
          <w:iCs/>
        </w:rPr>
        <w:t>1</w:t>
      </w:r>
      <w:r w:rsidR="007A2AD4" w:rsidRPr="00616367">
        <w:rPr>
          <w:iCs/>
        </w:rPr>
        <w:t>00 mg + ABT</w:t>
      </w:r>
      <w:r w:rsidR="00955953" w:rsidRPr="00616367">
        <w:rPr>
          <w:iCs/>
        </w:rPr>
        <w:t xml:space="preserve"> arms. The only exception was for those randomised to the </w:t>
      </w:r>
      <w:r w:rsidR="007A2AD4" w:rsidRPr="00616367">
        <w:rPr>
          <w:iCs/>
        </w:rPr>
        <w:t>linzagolix 200 mg + ABT</w:t>
      </w:r>
      <w:r w:rsidR="00955953" w:rsidRPr="00616367">
        <w:rPr>
          <w:iCs/>
        </w:rPr>
        <w:t xml:space="preserve"> arm</w:t>
      </w:r>
      <w:r w:rsidR="007A2AD4" w:rsidRPr="00616367">
        <w:rPr>
          <w:iCs/>
        </w:rPr>
        <w:t xml:space="preserve">, which </w:t>
      </w:r>
      <w:r w:rsidR="00955953" w:rsidRPr="00616367">
        <w:rPr>
          <w:iCs/>
        </w:rPr>
        <w:t xml:space="preserve">continued to </w:t>
      </w:r>
      <w:r w:rsidR="007A2AD4" w:rsidRPr="00616367">
        <w:rPr>
          <w:iCs/>
        </w:rPr>
        <w:t xml:space="preserve">show </w:t>
      </w:r>
      <w:r w:rsidR="00955953" w:rsidRPr="00616367">
        <w:rPr>
          <w:iCs/>
        </w:rPr>
        <w:t xml:space="preserve">a </w:t>
      </w:r>
      <w:r w:rsidR="007A2AD4" w:rsidRPr="00616367">
        <w:rPr>
          <w:iCs/>
        </w:rPr>
        <w:t>higher reduction in fibroid volume from baseline.</w:t>
      </w:r>
      <w:r w:rsidR="00115364" w:rsidRPr="00616367">
        <w:rPr>
          <w:iCs/>
        </w:rPr>
        <w:t xml:space="preserve"> </w:t>
      </w:r>
    </w:p>
    <w:p w14:paraId="0638ABDF" w14:textId="02CFFBBF" w:rsidR="006152F0" w:rsidRPr="00482A36" w:rsidRDefault="00115364" w:rsidP="006152F0">
      <w:pPr>
        <w:pStyle w:val="3-BodyText"/>
      </w:pPr>
      <w:r w:rsidRPr="00482A36">
        <w:t>HRQoL</w:t>
      </w:r>
      <w:r w:rsidR="00B9340F" w:rsidRPr="00482A36">
        <w:t xml:space="preserve"> </w:t>
      </w:r>
      <w:r w:rsidRPr="00482A36">
        <w:t xml:space="preserve">and symptom severity scores, assessed through the Uterine Fibroid Symptom-Quality of Life questionnaire (UFS-QoL), showed significant improvement across all </w:t>
      </w:r>
      <w:r w:rsidR="00895119" w:rsidRPr="00482A36">
        <w:t xml:space="preserve">linzagolix </w:t>
      </w:r>
      <w:r w:rsidRPr="00482A36">
        <w:t xml:space="preserve">treatment arms versus placebo at week 24. </w:t>
      </w:r>
      <w:r w:rsidR="00007D77" w:rsidRPr="00482A36">
        <w:t>Pain had also improved from baseline</w:t>
      </w:r>
      <w:r w:rsidR="00C00806" w:rsidRPr="00482A36">
        <w:t xml:space="preserve"> at both week 24 and week 52.</w:t>
      </w:r>
      <w:r w:rsidR="00007D77" w:rsidRPr="00482A36">
        <w:t xml:space="preserve"> </w:t>
      </w:r>
      <w:r w:rsidRPr="00482A36">
        <w:t xml:space="preserve">However, HRQoL assessed through the EuroQol health-related quality of life questionnaire (EQ-5D) did not show significant changes in any arm. The submission suggested that the EQ-5D questionnaire may not accurately capture cyclical issues in women's quality of life due to its point-in-time assessment. In contrast, the UFS-QoL questionnaire, which is specific to the disease, employs a 3-month recall period for patient assessments, allowing for a better representation of women's cyclical changes. UFS-QoL was used to inform utility values in </w:t>
      </w:r>
      <w:r w:rsidR="001A244B">
        <w:t>the economic model</w:t>
      </w:r>
      <w:r w:rsidRPr="00482A36">
        <w:t>.</w:t>
      </w:r>
    </w:p>
    <w:p w14:paraId="422BA2CD" w14:textId="2291B858" w:rsidR="003146C9" w:rsidRPr="00482A36" w:rsidRDefault="003146C9" w:rsidP="003146C9">
      <w:pPr>
        <w:pStyle w:val="4-SubsectionHeading"/>
      </w:pPr>
      <w:bookmarkStart w:id="38" w:name="_Toc167269201"/>
      <w:r w:rsidRPr="00482A36">
        <w:t>Comparative harms</w:t>
      </w:r>
      <w:bookmarkEnd w:id="33"/>
      <w:bookmarkEnd w:id="38"/>
    </w:p>
    <w:p w14:paraId="33D13D20" w14:textId="3072EB08" w:rsidR="00895119" w:rsidRPr="00482A36" w:rsidRDefault="00895119" w:rsidP="00895119">
      <w:pPr>
        <w:pStyle w:val="3-BodyText"/>
      </w:pPr>
      <w:r w:rsidRPr="00482A36">
        <w:fldChar w:fldCharType="begin"/>
      </w:r>
      <w:r w:rsidRPr="00482A36">
        <w:instrText xml:space="preserve"> REF _Ref165035059 \h </w:instrText>
      </w:r>
      <w:r w:rsidRPr="00482A36">
        <w:fldChar w:fldCharType="separate"/>
      </w:r>
      <w:r w:rsidR="003E4FD0" w:rsidRPr="00482A36">
        <w:t xml:space="preserve">Table </w:t>
      </w:r>
      <w:r w:rsidR="003E4FD0">
        <w:rPr>
          <w:noProof/>
        </w:rPr>
        <w:t>6</w:t>
      </w:r>
      <w:r w:rsidRPr="00482A36">
        <w:fldChar w:fldCharType="end"/>
      </w:r>
      <w:r w:rsidRPr="00482A36">
        <w:t xml:space="preserve"> presents a summary of main safety outcomes in PRIMROSE 1 and 2 </w:t>
      </w:r>
      <w:r w:rsidR="00FC59E8" w:rsidRPr="00482A36">
        <w:t>for the pooled linzagolix groups versus placebo</w:t>
      </w:r>
      <w:r w:rsidR="001A244B">
        <w:t>,</w:t>
      </w:r>
      <w:r w:rsidR="00FC59E8" w:rsidRPr="00482A36">
        <w:t xml:space="preserve"> </w:t>
      </w:r>
      <w:r w:rsidR="006459E6" w:rsidRPr="00482A36">
        <w:t>up to week</w:t>
      </w:r>
      <w:r w:rsidR="00F50371" w:rsidRPr="00482A36">
        <w:t>s</w:t>
      </w:r>
      <w:r w:rsidR="006459E6" w:rsidRPr="00482A36">
        <w:t xml:space="preserve"> 24 and 52</w:t>
      </w:r>
      <w:r w:rsidR="00FC59E8" w:rsidRPr="00482A36">
        <w:t>.</w:t>
      </w:r>
    </w:p>
    <w:p w14:paraId="797DD5DA" w14:textId="4C957827" w:rsidR="003146C9" w:rsidRPr="00482A36" w:rsidRDefault="003146C9" w:rsidP="00E159E4">
      <w:pPr>
        <w:pStyle w:val="TableFigureHeading"/>
        <w:rPr>
          <w:rStyle w:val="CommentReference"/>
          <w:b/>
          <w:szCs w:val="24"/>
        </w:rPr>
      </w:pPr>
      <w:bookmarkStart w:id="39" w:name="_Ref165035059"/>
      <w:r w:rsidRPr="00482A36">
        <w:t xml:space="preserve">Table </w:t>
      </w:r>
      <w:r w:rsidR="00747D8C">
        <w:fldChar w:fldCharType="begin"/>
      </w:r>
      <w:r w:rsidR="00747D8C">
        <w:instrText xml:space="preserve"> SEQ Table \* ARABIC </w:instrText>
      </w:r>
      <w:r w:rsidR="00747D8C">
        <w:fldChar w:fldCharType="separate"/>
      </w:r>
      <w:r w:rsidR="003E4FD0">
        <w:rPr>
          <w:noProof/>
        </w:rPr>
        <w:t>6</w:t>
      </w:r>
      <w:r w:rsidR="00747D8C">
        <w:rPr>
          <w:noProof/>
        </w:rPr>
        <w:fldChar w:fldCharType="end"/>
      </w:r>
      <w:bookmarkEnd w:id="39"/>
      <w:r w:rsidRPr="00482A36">
        <w:t xml:space="preserve">: </w:t>
      </w:r>
      <w:r w:rsidRPr="00482A36">
        <w:rPr>
          <w:rStyle w:val="CommentReference"/>
          <w:b/>
          <w:szCs w:val="24"/>
        </w:rPr>
        <w:t>Summary of key adverse events in the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key adverse events in the trials"/>
      </w:tblPr>
      <w:tblGrid>
        <w:gridCol w:w="2305"/>
        <w:gridCol w:w="1734"/>
        <w:gridCol w:w="1701"/>
        <w:gridCol w:w="1559"/>
        <w:gridCol w:w="1651"/>
      </w:tblGrid>
      <w:tr w:rsidR="008618CA" w:rsidRPr="00482A36" w14:paraId="149AE471" w14:textId="3CD6CED8" w:rsidTr="00C00806">
        <w:trPr>
          <w:cantSplit/>
          <w:tblHeader/>
        </w:trPr>
        <w:tc>
          <w:tcPr>
            <w:tcW w:w="0" w:type="auto"/>
            <w:vAlign w:val="center"/>
          </w:tcPr>
          <w:p w14:paraId="6B821516" w14:textId="77777777" w:rsidR="008618CA" w:rsidRPr="00482A36" w:rsidRDefault="008618CA" w:rsidP="00E159E4">
            <w:pPr>
              <w:pStyle w:val="Tabletext"/>
              <w:keepNext/>
              <w:rPr>
                <w:b/>
                <w:bCs/>
              </w:rPr>
            </w:pPr>
            <w:r w:rsidRPr="00482A36">
              <w:rPr>
                <w:b/>
                <w:bCs/>
              </w:rPr>
              <w:t>Trial ID</w:t>
            </w:r>
          </w:p>
        </w:tc>
        <w:tc>
          <w:tcPr>
            <w:tcW w:w="1734" w:type="dxa"/>
            <w:vAlign w:val="center"/>
          </w:tcPr>
          <w:p w14:paraId="786FE7CC" w14:textId="4686A5DF" w:rsidR="008618CA" w:rsidRPr="00482A36" w:rsidRDefault="008618CA" w:rsidP="00E159E4">
            <w:pPr>
              <w:pStyle w:val="Tabletext"/>
              <w:keepNext/>
              <w:jc w:val="center"/>
              <w:rPr>
                <w:b/>
                <w:bCs/>
              </w:rPr>
            </w:pPr>
            <w:r w:rsidRPr="00482A36">
              <w:rPr>
                <w:b/>
                <w:bCs/>
              </w:rPr>
              <w:t>Linzagolix</w:t>
            </w:r>
          </w:p>
          <w:p w14:paraId="781C7238" w14:textId="77777777" w:rsidR="008618CA" w:rsidRPr="00482A36" w:rsidRDefault="008618CA" w:rsidP="00E159E4">
            <w:pPr>
              <w:pStyle w:val="Tabletext"/>
              <w:keepNext/>
              <w:jc w:val="center"/>
              <w:rPr>
                <w:b/>
                <w:bCs/>
              </w:rPr>
            </w:pPr>
            <w:r w:rsidRPr="00482A36">
              <w:rPr>
                <w:b/>
                <w:bCs/>
              </w:rPr>
              <w:t>n with event/N (%)</w:t>
            </w:r>
          </w:p>
        </w:tc>
        <w:tc>
          <w:tcPr>
            <w:tcW w:w="1701" w:type="dxa"/>
            <w:vAlign w:val="center"/>
          </w:tcPr>
          <w:p w14:paraId="7656CAF2" w14:textId="33982D11" w:rsidR="008618CA" w:rsidRPr="00482A36" w:rsidRDefault="008618CA" w:rsidP="00E159E4">
            <w:pPr>
              <w:pStyle w:val="Tabletext"/>
              <w:keepNext/>
              <w:jc w:val="center"/>
              <w:rPr>
                <w:b/>
                <w:bCs/>
              </w:rPr>
            </w:pPr>
            <w:r w:rsidRPr="00482A36">
              <w:rPr>
                <w:b/>
                <w:bCs/>
              </w:rPr>
              <w:t>Placebo</w:t>
            </w:r>
          </w:p>
          <w:p w14:paraId="7AB4A8CF" w14:textId="77777777" w:rsidR="008618CA" w:rsidRPr="00482A36" w:rsidRDefault="008618CA" w:rsidP="00E159E4">
            <w:pPr>
              <w:pStyle w:val="Tabletext"/>
              <w:keepNext/>
              <w:jc w:val="center"/>
              <w:rPr>
                <w:b/>
                <w:bCs/>
              </w:rPr>
            </w:pPr>
            <w:r w:rsidRPr="00482A36">
              <w:rPr>
                <w:b/>
                <w:bCs/>
              </w:rPr>
              <w:t>n with event/N (%)</w:t>
            </w:r>
          </w:p>
        </w:tc>
        <w:tc>
          <w:tcPr>
            <w:tcW w:w="1559" w:type="dxa"/>
            <w:vAlign w:val="center"/>
          </w:tcPr>
          <w:p w14:paraId="7FBD19FC" w14:textId="156C8354" w:rsidR="008618CA" w:rsidRPr="00482A36" w:rsidRDefault="008618CA" w:rsidP="00E159E4">
            <w:pPr>
              <w:pStyle w:val="Tabletext"/>
              <w:keepNext/>
              <w:jc w:val="center"/>
              <w:rPr>
                <w:b/>
                <w:bCs/>
              </w:rPr>
            </w:pPr>
            <w:r w:rsidRPr="00482A36">
              <w:rPr>
                <w:b/>
                <w:bCs/>
              </w:rPr>
              <w:t xml:space="preserve">Odds Ratio </w:t>
            </w:r>
            <w:r w:rsidRPr="00482A36">
              <w:rPr>
                <w:b/>
                <w:bCs/>
              </w:rPr>
              <w:br/>
              <w:t>(95% CI)</w:t>
            </w:r>
          </w:p>
        </w:tc>
        <w:tc>
          <w:tcPr>
            <w:tcW w:w="1651" w:type="dxa"/>
            <w:vAlign w:val="center"/>
          </w:tcPr>
          <w:p w14:paraId="5C809543" w14:textId="44B9FAD4" w:rsidR="008618CA" w:rsidRPr="00482A36" w:rsidRDefault="008618CA" w:rsidP="00E159E4">
            <w:pPr>
              <w:pStyle w:val="Tabletext"/>
              <w:keepNext/>
              <w:jc w:val="center"/>
              <w:rPr>
                <w:b/>
                <w:bCs/>
              </w:rPr>
            </w:pPr>
            <w:r w:rsidRPr="00482A36">
              <w:rPr>
                <w:b/>
                <w:bCs/>
              </w:rPr>
              <w:t>Risk Difference</w:t>
            </w:r>
            <w:r w:rsidR="00F50371" w:rsidRPr="00091231">
              <w:rPr>
                <w:b/>
                <w:bCs/>
                <w:vertAlign w:val="superscript"/>
              </w:rPr>
              <w:t>^</w:t>
            </w:r>
            <w:r w:rsidRPr="00482A36">
              <w:rPr>
                <w:b/>
                <w:bCs/>
              </w:rPr>
              <w:t xml:space="preserve"> (95% CI)</w:t>
            </w:r>
          </w:p>
        </w:tc>
      </w:tr>
      <w:tr w:rsidR="006459E6" w:rsidRPr="00482A36" w14:paraId="7F99E26F" w14:textId="3DD01BA8" w:rsidTr="00C00806">
        <w:trPr>
          <w:cantSplit/>
        </w:trPr>
        <w:tc>
          <w:tcPr>
            <w:tcW w:w="0" w:type="auto"/>
            <w:gridSpan w:val="5"/>
            <w:vAlign w:val="center"/>
          </w:tcPr>
          <w:p w14:paraId="12F8DE76" w14:textId="7E59A383" w:rsidR="006459E6" w:rsidRPr="00482A36" w:rsidRDefault="006459E6" w:rsidP="00E159E4">
            <w:pPr>
              <w:pStyle w:val="Tabletext"/>
              <w:keepNext/>
            </w:pPr>
            <w:r w:rsidRPr="00482A36">
              <w:rPr>
                <w:b/>
                <w:bCs/>
              </w:rPr>
              <w:t>Pooled PRIMROSE 1 and 2 trials- week 24</w:t>
            </w:r>
          </w:p>
        </w:tc>
      </w:tr>
      <w:tr w:rsidR="008618CA" w:rsidRPr="00616367" w14:paraId="2F75A585" w14:textId="6CACCF66" w:rsidTr="00C00806">
        <w:trPr>
          <w:cantSplit/>
        </w:trPr>
        <w:tc>
          <w:tcPr>
            <w:tcW w:w="0" w:type="auto"/>
            <w:vAlign w:val="center"/>
          </w:tcPr>
          <w:p w14:paraId="4D90C0DF" w14:textId="09DE4976" w:rsidR="008618CA" w:rsidRPr="00616367" w:rsidRDefault="008618CA" w:rsidP="00E159E4">
            <w:pPr>
              <w:pStyle w:val="Tabletext"/>
              <w:keepNext/>
            </w:pPr>
            <w:r w:rsidRPr="00616367">
              <w:rPr>
                <w:sz w:val="18"/>
                <w:szCs w:val="18"/>
              </w:rPr>
              <w:t>Any TEAE</w:t>
            </w:r>
          </w:p>
        </w:tc>
        <w:tc>
          <w:tcPr>
            <w:tcW w:w="1734" w:type="dxa"/>
            <w:vAlign w:val="center"/>
          </w:tcPr>
          <w:p w14:paraId="4544114A" w14:textId="60073BF1" w:rsidR="008618CA" w:rsidRPr="00616367" w:rsidRDefault="008618CA" w:rsidP="00E159E4">
            <w:pPr>
              <w:pStyle w:val="Tabletext"/>
              <w:keepNext/>
              <w:jc w:val="center"/>
            </w:pPr>
            <w:r w:rsidRPr="00616367">
              <w:t>470/828 (57%)</w:t>
            </w:r>
          </w:p>
        </w:tc>
        <w:tc>
          <w:tcPr>
            <w:tcW w:w="1701" w:type="dxa"/>
            <w:vAlign w:val="center"/>
          </w:tcPr>
          <w:p w14:paraId="5F581B66" w14:textId="2052A1C9" w:rsidR="008618CA" w:rsidRPr="00616367" w:rsidRDefault="008618CA" w:rsidP="00E159E4">
            <w:pPr>
              <w:pStyle w:val="Tabletext"/>
              <w:keepNext/>
              <w:jc w:val="center"/>
            </w:pPr>
            <w:r w:rsidRPr="00616367">
              <w:t>103/209 (49%)</w:t>
            </w:r>
          </w:p>
        </w:tc>
        <w:tc>
          <w:tcPr>
            <w:tcW w:w="1559" w:type="dxa"/>
            <w:vAlign w:val="center"/>
          </w:tcPr>
          <w:p w14:paraId="521FF7E3" w14:textId="64DEC765" w:rsidR="008618CA" w:rsidRPr="00616367" w:rsidRDefault="008618CA" w:rsidP="00E159E4">
            <w:pPr>
              <w:pStyle w:val="Tabletext"/>
              <w:keepNext/>
              <w:jc w:val="center"/>
            </w:pPr>
            <w:r w:rsidRPr="00616367">
              <w:t>1.35 (1.00, 1.83)</w:t>
            </w:r>
          </w:p>
        </w:tc>
        <w:tc>
          <w:tcPr>
            <w:tcW w:w="1651" w:type="dxa"/>
            <w:vAlign w:val="center"/>
          </w:tcPr>
          <w:p w14:paraId="3E4BE37D" w14:textId="46FAC02D" w:rsidR="008618CA" w:rsidRPr="00616367" w:rsidRDefault="006459E6" w:rsidP="00E159E4">
            <w:pPr>
              <w:pStyle w:val="Tabletext"/>
              <w:keepNext/>
              <w:jc w:val="center"/>
              <w:rPr>
                <w:iCs/>
              </w:rPr>
            </w:pPr>
            <w:r w:rsidRPr="00616367">
              <w:rPr>
                <w:iCs/>
              </w:rPr>
              <w:t>0.07 (-0.00, 0.15)</w:t>
            </w:r>
          </w:p>
        </w:tc>
      </w:tr>
      <w:tr w:rsidR="008618CA" w:rsidRPr="00616367" w14:paraId="43F0C3F7" w14:textId="7F05951E" w:rsidTr="00C00806">
        <w:trPr>
          <w:cantSplit/>
        </w:trPr>
        <w:tc>
          <w:tcPr>
            <w:tcW w:w="0" w:type="auto"/>
            <w:vAlign w:val="center"/>
          </w:tcPr>
          <w:p w14:paraId="4F5BA1ED" w14:textId="2FB4F1C2" w:rsidR="008618CA" w:rsidRPr="00616367" w:rsidRDefault="008618CA" w:rsidP="00E159E4">
            <w:pPr>
              <w:pStyle w:val="Tabletext"/>
              <w:keepNext/>
            </w:pPr>
            <w:r w:rsidRPr="00616367">
              <w:rPr>
                <w:sz w:val="18"/>
                <w:szCs w:val="18"/>
              </w:rPr>
              <w:t>Severe TEAE</w:t>
            </w:r>
          </w:p>
        </w:tc>
        <w:tc>
          <w:tcPr>
            <w:tcW w:w="1734" w:type="dxa"/>
            <w:vAlign w:val="center"/>
          </w:tcPr>
          <w:p w14:paraId="095FED4C" w14:textId="122F849A" w:rsidR="008618CA" w:rsidRPr="00616367" w:rsidRDefault="008618CA" w:rsidP="00E159E4">
            <w:pPr>
              <w:pStyle w:val="Tabletext"/>
              <w:keepNext/>
              <w:jc w:val="center"/>
            </w:pPr>
            <w:r w:rsidRPr="00616367">
              <w:t>40/828 (5%)</w:t>
            </w:r>
          </w:p>
        </w:tc>
        <w:tc>
          <w:tcPr>
            <w:tcW w:w="1701" w:type="dxa"/>
            <w:vAlign w:val="center"/>
          </w:tcPr>
          <w:p w14:paraId="401F3B2D" w14:textId="11BE2DB5" w:rsidR="008618CA" w:rsidRPr="00616367" w:rsidRDefault="008618CA" w:rsidP="00E159E4">
            <w:pPr>
              <w:pStyle w:val="Tabletext"/>
              <w:keepNext/>
              <w:jc w:val="center"/>
            </w:pPr>
            <w:r w:rsidRPr="00616367">
              <w:t>11/209 (5%)</w:t>
            </w:r>
          </w:p>
        </w:tc>
        <w:tc>
          <w:tcPr>
            <w:tcW w:w="1559" w:type="dxa"/>
            <w:vAlign w:val="center"/>
          </w:tcPr>
          <w:p w14:paraId="092DFA87" w14:textId="190CF25E" w:rsidR="008618CA" w:rsidRPr="00616367" w:rsidRDefault="008618CA" w:rsidP="00E159E4">
            <w:pPr>
              <w:pStyle w:val="Tabletext"/>
              <w:keepNext/>
              <w:jc w:val="center"/>
            </w:pPr>
            <w:r w:rsidRPr="00616367">
              <w:t>0.91 (0.46, 1.81)</w:t>
            </w:r>
          </w:p>
        </w:tc>
        <w:tc>
          <w:tcPr>
            <w:tcW w:w="1651" w:type="dxa"/>
            <w:vAlign w:val="center"/>
          </w:tcPr>
          <w:p w14:paraId="74947101" w14:textId="66B29097" w:rsidR="008618CA" w:rsidRPr="00616367" w:rsidRDefault="006459E6" w:rsidP="00E159E4">
            <w:pPr>
              <w:pStyle w:val="Tabletext"/>
              <w:keepNext/>
              <w:jc w:val="center"/>
              <w:rPr>
                <w:iCs/>
              </w:rPr>
            </w:pPr>
            <w:r w:rsidRPr="00616367">
              <w:rPr>
                <w:iCs/>
              </w:rPr>
              <w:t>-0.00 (-0.04, 0.03)</w:t>
            </w:r>
          </w:p>
        </w:tc>
      </w:tr>
      <w:tr w:rsidR="008618CA" w:rsidRPr="00616367" w14:paraId="326BA193" w14:textId="1049A45E" w:rsidTr="00C00806">
        <w:trPr>
          <w:cantSplit/>
        </w:trPr>
        <w:tc>
          <w:tcPr>
            <w:tcW w:w="0" w:type="auto"/>
            <w:vAlign w:val="center"/>
          </w:tcPr>
          <w:p w14:paraId="069ABA0B" w14:textId="4BAB7AAA" w:rsidR="008618CA" w:rsidRPr="00616367" w:rsidRDefault="008618CA" w:rsidP="00E159E4">
            <w:pPr>
              <w:pStyle w:val="Tabletext"/>
              <w:keepNext/>
            </w:pPr>
            <w:r w:rsidRPr="00616367">
              <w:rPr>
                <w:sz w:val="18"/>
                <w:szCs w:val="18"/>
              </w:rPr>
              <w:t>TEAE related to study treatment</w:t>
            </w:r>
          </w:p>
        </w:tc>
        <w:tc>
          <w:tcPr>
            <w:tcW w:w="1734" w:type="dxa"/>
            <w:vAlign w:val="center"/>
          </w:tcPr>
          <w:p w14:paraId="78DFED44" w14:textId="4E49CDBD" w:rsidR="008618CA" w:rsidRPr="00616367" w:rsidRDefault="008618CA" w:rsidP="00E159E4">
            <w:pPr>
              <w:pStyle w:val="Tabletext"/>
              <w:keepNext/>
              <w:jc w:val="center"/>
            </w:pPr>
            <w:r w:rsidRPr="00616367">
              <w:t>390/828 (47%)</w:t>
            </w:r>
          </w:p>
        </w:tc>
        <w:tc>
          <w:tcPr>
            <w:tcW w:w="1701" w:type="dxa"/>
            <w:vAlign w:val="center"/>
          </w:tcPr>
          <w:p w14:paraId="419E4F86" w14:textId="4F984261" w:rsidR="008618CA" w:rsidRPr="00616367" w:rsidRDefault="008618CA" w:rsidP="00E159E4">
            <w:pPr>
              <w:pStyle w:val="Tabletext"/>
              <w:keepNext/>
              <w:jc w:val="center"/>
            </w:pPr>
            <w:r w:rsidRPr="00616367">
              <w:t>52/209 (25%)</w:t>
            </w:r>
          </w:p>
        </w:tc>
        <w:tc>
          <w:tcPr>
            <w:tcW w:w="1559" w:type="dxa"/>
            <w:vAlign w:val="center"/>
          </w:tcPr>
          <w:p w14:paraId="715DB167" w14:textId="43095159" w:rsidR="008618CA" w:rsidRPr="00616367" w:rsidRDefault="008618CA" w:rsidP="00E159E4">
            <w:pPr>
              <w:pStyle w:val="Tabletext"/>
              <w:keepNext/>
              <w:jc w:val="center"/>
              <w:rPr>
                <w:b/>
                <w:bCs/>
              </w:rPr>
            </w:pPr>
            <w:r w:rsidRPr="00616367">
              <w:rPr>
                <w:b/>
                <w:bCs/>
              </w:rPr>
              <w:t>2.69 (1.91, 3.78)</w:t>
            </w:r>
          </w:p>
        </w:tc>
        <w:tc>
          <w:tcPr>
            <w:tcW w:w="1651" w:type="dxa"/>
            <w:vAlign w:val="center"/>
          </w:tcPr>
          <w:p w14:paraId="4E56C689" w14:textId="72531C4B" w:rsidR="008618CA" w:rsidRPr="00616367" w:rsidRDefault="006459E6" w:rsidP="00E159E4">
            <w:pPr>
              <w:pStyle w:val="Tabletext"/>
              <w:keepNext/>
              <w:jc w:val="center"/>
              <w:rPr>
                <w:iCs/>
              </w:rPr>
            </w:pPr>
            <w:r w:rsidRPr="00616367">
              <w:rPr>
                <w:iCs/>
              </w:rPr>
              <w:t>0.22 (0.15, 0.29)</w:t>
            </w:r>
          </w:p>
        </w:tc>
      </w:tr>
      <w:tr w:rsidR="008618CA" w:rsidRPr="00616367" w14:paraId="2C1ECF5C" w14:textId="73FA1982" w:rsidTr="00C00806">
        <w:trPr>
          <w:cantSplit/>
        </w:trPr>
        <w:tc>
          <w:tcPr>
            <w:tcW w:w="0" w:type="auto"/>
            <w:vAlign w:val="center"/>
          </w:tcPr>
          <w:p w14:paraId="041D4E54" w14:textId="0C8DA7C6" w:rsidR="008618CA" w:rsidRPr="00616367" w:rsidRDefault="008618CA" w:rsidP="00E159E4">
            <w:pPr>
              <w:pStyle w:val="Tabletext"/>
              <w:keepNext/>
              <w:rPr>
                <w:sz w:val="18"/>
                <w:szCs w:val="18"/>
              </w:rPr>
            </w:pPr>
            <w:r w:rsidRPr="00616367">
              <w:rPr>
                <w:sz w:val="18"/>
                <w:szCs w:val="18"/>
              </w:rPr>
              <w:t xml:space="preserve">Serious TEAE </w:t>
            </w:r>
          </w:p>
        </w:tc>
        <w:tc>
          <w:tcPr>
            <w:tcW w:w="1734" w:type="dxa"/>
            <w:vAlign w:val="center"/>
          </w:tcPr>
          <w:p w14:paraId="7352A17D" w14:textId="7B07E6C4" w:rsidR="008618CA" w:rsidRPr="00616367" w:rsidRDefault="008618CA" w:rsidP="00E159E4">
            <w:pPr>
              <w:pStyle w:val="Tabletext"/>
              <w:keepNext/>
              <w:jc w:val="center"/>
            </w:pPr>
            <w:r w:rsidRPr="00616367">
              <w:t>14/828 (2%)</w:t>
            </w:r>
          </w:p>
        </w:tc>
        <w:tc>
          <w:tcPr>
            <w:tcW w:w="1701" w:type="dxa"/>
            <w:vAlign w:val="center"/>
          </w:tcPr>
          <w:p w14:paraId="440A225C" w14:textId="36D0985A" w:rsidR="008618CA" w:rsidRPr="00616367" w:rsidRDefault="008618CA" w:rsidP="00E159E4">
            <w:pPr>
              <w:pStyle w:val="Tabletext"/>
              <w:keepNext/>
              <w:jc w:val="center"/>
            </w:pPr>
            <w:r w:rsidRPr="00616367">
              <w:t>4/209 (2%)</w:t>
            </w:r>
          </w:p>
        </w:tc>
        <w:tc>
          <w:tcPr>
            <w:tcW w:w="1559" w:type="dxa"/>
            <w:vAlign w:val="center"/>
          </w:tcPr>
          <w:p w14:paraId="53D4F744" w14:textId="44430825" w:rsidR="008618CA" w:rsidRPr="00616367" w:rsidRDefault="008618CA" w:rsidP="00E159E4">
            <w:pPr>
              <w:pStyle w:val="Tabletext"/>
              <w:keepNext/>
              <w:jc w:val="center"/>
            </w:pPr>
            <w:r w:rsidRPr="00616367">
              <w:t>0.88 (0.29, 2.71)</w:t>
            </w:r>
          </w:p>
        </w:tc>
        <w:tc>
          <w:tcPr>
            <w:tcW w:w="1651" w:type="dxa"/>
            <w:vAlign w:val="center"/>
          </w:tcPr>
          <w:p w14:paraId="3A2A409E" w14:textId="480A64D6" w:rsidR="008618CA" w:rsidRPr="00616367" w:rsidRDefault="006459E6" w:rsidP="00E159E4">
            <w:pPr>
              <w:pStyle w:val="Tabletext"/>
              <w:keepNext/>
              <w:jc w:val="center"/>
              <w:rPr>
                <w:iCs/>
              </w:rPr>
            </w:pPr>
            <w:r w:rsidRPr="00616367">
              <w:rPr>
                <w:iCs/>
              </w:rPr>
              <w:t>-0.00 (-0.02, 0.02)</w:t>
            </w:r>
          </w:p>
        </w:tc>
      </w:tr>
      <w:tr w:rsidR="008618CA" w:rsidRPr="00616367" w14:paraId="7021F3D3" w14:textId="1F1C0A75" w:rsidTr="00C00806">
        <w:trPr>
          <w:cantSplit/>
        </w:trPr>
        <w:tc>
          <w:tcPr>
            <w:tcW w:w="0" w:type="auto"/>
            <w:vAlign w:val="center"/>
          </w:tcPr>
          <w:p w14:paraId="6AB9276E" w14:textId="316A0C81" w:rsidR="008618CA" w:rsidRPr="00616367" w:rsidRDefault="008618CA" w:rsidP="00E159E4">
            <w:pPr>
              <w:pStyle w:val="Tabletext"/>
              <w:keepNext/>
              <w:rPr>
                <w:sz w:val="18"/>
                <w:szCs w:val="18"/>
              </w:rPr>
            </w:pPr>
            <w:r w:rsidRPr="00616367">
              <w:rPr>
                <w:sz w:val="18"/>
                <w:szCs w:val="18"/>
              </w:rPr>
              <w:t>Serious TEAE related to treatment</w:t>
            </w:r>
          </w:p>
        </w:tc>
        <w:tc>
          <w:tcPr>
            <w:tcW w:w="1734" w:type="dxa"/>
            <w:vAlign w:val="center"/>
          </w:tcPr>
          <w:p w14:paraId="5C2A970D" w14:textId="5FF354D1" w:rsidR="008618CA" w:rsidRPr="00616367" w:rsidRDefault="008618CA" w:rsidP="00E159E4">
            <w:pPr>
              <w:pStyle w:val="Tabletext"/>
              <w:keepNext/>
              <w:jc w:val="center"/>
            </w:pPr>
            <w:r w:rsidRPr="00616367">
              <w:t>3/828 (0%)</w:t>
            </w:r>
          </w:p>
        </w:tc>
        <w:tc>
          <w:tcPr>
            <w:tcW w:w="1701" w:type="dxa"/>
            <w:vAlign w:val="center"/>
          </w:tcPr>
          <w:p w14:paraId="68F1C3BC" w14:textId="2C676556" w:rsidR="008618CA" w:rsidRPr="00616367" w:rsidRDefault="008618CA" w:rsidP="00E159E4">
            <w:pPr>
              <w:pStyle w:val="Tabletext"/>
              <w:keepNext/>
              <w:jc w:val="center"/>
            </w:pPr>
            <w:r w:rsidRPr="00616367">
              <w:t>0/209 (0%)</w:t>
            </w:r>
          </w:p>
        </w:tc>
        <w:tc>
          <w:tcPr>
            <w:tcW w:w="1559" w:type="dxa"/>
            <w:vAlign w:val="center"/>
          </w:tcPr>
          <w:p w14:paraId="1DEEE05C" w14:textId="28E10956" w:rsidR="008618CA" w:rsidRPr="00616367" w:rsidRDefault="008618CA" w:rsidP="00E159E4">
            <w:pPr>
              <w:pStyle w:val="Tabletext"/>
              <w:keepNext/>
              <w:jc w:val="center"/>
            </w:pPr>
            <w:r w:rsidRPr="00616367">
              <w:t>1.78 (0.09, 34.53)</w:t>
            </w:r>
          </w:p>
        </w:tc>
        <w:tc>
          <w:tcPr>
            <w:tcW w:w="1651" w:type="dxa"/>
            <w:vAlign w:val="center"/>
          </w:tcPr>
          <w:p w14:paraId="7CDA62F8" w14:textId="7F13749F" w:rsidR="008618CA" w:rsidRPr="00616367" w:rsidRDefault="006459E6" w:rsidP="00E159E4">
            <w:pPr>
              <w:pStyle w:val="Tabletext"/>
              <w:keepNext/>
              <w:jc w:val="center"/>
              <w:rPr>
                <w:iCs/>
              </w:rPr>
            </w:pPr>
            <w:r w:rsidRPr="00616367">
              <w:rPr>
                <w:iCs/>
              </w:rPr>
              <w:t>0.00 (-0.00, 0.01)</w:t>
            </w:r>
          </w:p>
        </w:tc>
      </w:tr>
      <w:tr w:rsidR="008618CA" w:rsidRPr="00616367" w14:paraId="57B8B045" w14:textId="0A47017C" w:rsidTr="00C00806">
        <w:trPr>
          <w:cantSplit/>
        </w:trPr>
        <w:tc>
          <w:tcPr>
            <w:tcW w:w="0" w:type="auto"/>
            <w:vAlign w:val="center"/>
          </w:tcPr>
          <w:p w14:paraId="1F84170D" w14:textId="4C6E85D5" w:rsidR="008618CA" w:rsidRPr="00616367" w:rsidRDefault="008618CA" w:rsidP="00E159E4">
            <w:pPr>
              <w:pStyle w:val="Tabletext"/>
              <w:keepNext/>
              <w:rPr>
                <w:sz w:val="18"/>
                <w:szCs w:val="18"/>
              </w:rPr>
            </w:pPr>
            <w:r w:rsidRPr="00616367">
              <w:rPr>
                <w:sz w:val="18"/>
                <w:szCs w:val="18"/>
              </w:rPr>
              <w:t>TEAE leading to discontinuation</w:t>
            </w:r>
          </w:p>
        </w:tc>
        <w:tc>
          <w:tcPr>
            <w:tcW w:w="1734" w:type="dxa"/>
            <w:vAlign w:val="center"/>
          </w:tcPr>
          <w:p w14:paraId="2974FDC1" w14:textId="542249CC" w:rsidR="008618CA" w:rsidRPr="00616367" w:rsidRDefault="008618CA" w:rsidP="00E159E4">
            <w:pPr>
              <w:pStyle w:val="Tabletext"/>
              <w:keepNext/>
              <w:jc w:val="center"/>
            </w:pPr>
            <w:r w:rsidRPr="00616367">
              <w:t>70/828 (8%)</w:t>
            </w:r>
          </w:p>
        </w:tc>
        <w:tc>
          <w:tcPr>
            <w:tcW w:w="1701" w:type="dxa"/>
            <w:vAlign w:val="center"/>
          </w:tcPr>
          <w:p w14:paraId="08379927" w14:textId="4A029F68" w:rsidR="008618CA" w:rsidRPr="00616367" w:rsidRDefault="008618CA" w:rsidP="00E159E4">
            <w:pPr>
              <w:pStyle w:val="Tabletext"/>
              <w:keepNext/>
              <w:jc w:val="center"/>
            </w:pPr>
            <w:r w:rsidRPr="00616367">
              <w:t>17/209 (8%)</w:t>
            </w:r>
          </w:p>
        </w:tc>
        <w:tc>
          <w:tcPr>
            <w:tcW w:w="1559" w:type="dxa"/>
            <w:vAlign w:val="center"/>
          </w:tcPr>
          <w:p w14:paraId="57FB1DF2" w14:textId="6CB04219" w:rsidR="008618CA" w:rsidRPr="00616367" w:rsidRDefault="008618CA" w:rsidP="00E159E4">
            <w:pPr>
              <w:pStyle w:val="Tabletext"/>
              <w:keepNext/>
              <w:jc w:val="center"/>
            </w:pPr>
            <w:r w:rsidRPr="00616367">
              <w:t>1.04 (0.60, 1.81)</w:t>
            </w:r>
          </w:p>
        </w:tc>
        <w:tc>
          <w:tcPr>
            <w:tcW w:w="1651" w:type="dxa"/>
            <w:vAlign w:val="center"/>
          </w:tcPr>
          <w:p w14:paraId="505E2943" w14:textId="1F21C138" w:rsidR="008618CA" w:rsidRPr="00616367" w:rsidRDefault="006459E6" w:rsidP="00E159E4">
            <w:pPr>
              <w:pStyle w:val="Tabletext"/>
              <w:keepNext/>
              <w:jc w:val="center"/>
              <w:rPr>
                <w:iCs/>
              </w:rPr>
            </w:pPr>
            <w:r w:rsidRPr="00616367">
              <w:rPr>
                <w:iCs/>
              </w:rPr>
              <w:t>0.00 (-0.04, 0.04)</w:t>
            </w:r>
          </w:p>
        </w:tc>
      </w:tr>
      <w:tr w:rsidR="008618CA" w:rsidRPr="00616367" w14:paraId="4FF3B77F" w14:textId="58FDDC94" w:rsidTr="00C00806">
        <w:trPr>
          <w:cantSplit/>
        </w:trPr>
        <w:tc>
          <w:tcPr>
            <w:tcW w:w="0" w:type="auto"/>
            <w:vAlign w:val="center"/>
          </w:tcPr>
          <w:p w14:paraId="70B022BE" w14:textId="47111578" w:rsidR="008618CA" w:rsidRPr="00616367" w:rsidRDefault="008618CA" w:rsidP="00E159E4">
            <w:pPr>
              <w:pStyle w:val="Tabletext"/>
              <w:keepNext/>
              <w:rPr>
                <w:sz w:val="18"/>
                <w:szCs w:val="18"/>
              </w:rPr>
            </w:pPr>
            <w:r w:rsidRPr="00616367">
              <w:rPr>
                <w:sz w:val="18"/>
                <w:szCs w:val="18"/>
              </w:rPr>
              <w:t>Fatal TEAE</w:t>
            </w:r>
          </w:p>
        </w:tc>
        <w:tc>
          <w:tcPr>
            <w:tcW w:w="1734" w:type="dxa"/>
            <w:vAlign w:val="center"/>
          </w:tcPr>
          <w:p w14:paraId="3031BE79" w14:textId="6E2D0DB3" w:rsidR="008618CA" w:rsidRPr="00616367" w:rsidRDefault="008618CA" w:rsidP="00E159E4">
            <w:pPr>
              <w:pStyle w:val="Tabletext"/>
              <w:keepNext/>
              <w:jc w:val="center"/>
            </w:pPr>
            <w:r w:rsidRPr="00616367">
              <w:t>0/828 (0%)</w:t>
            </w:r>
          </w:p>
        </w:tc>
        <w:tc>
          <w:tcPr>
            <w:tcW w:w="1701" w:type="dxa"/>
            <w:vAlign w:val="center"/>
          </w:tcPr>
          <w:p w14:paraId="7F64EDB6" w14:textId="2A6FA80A" w:rsidR="008618CA" w:rsidRPr="00616367" w:rsidRDefault="008618CA" w:rsidP="00E159E4">
            <w:pPr>
              <w:pStyle w:val="Tabletext"/>
              <w:keepNext/>
              <w:jc w:val="center"/>
            </w:pPr>
            <w:r w:rsidRPr="00616367">
              <w:t>0/209 (0%)</w:t>
            </w:r>
          </w:p>
        </w:tc>
        <w:tc>
          <w:tcPr>
            <w:tcW w:w="1559" w:type="dxa"/>
            <w:vAlign w:val="center"/>
          </w:tcPr>
          <w:p w14:paraId="5E006370" w14:textId="3E38C36F" w:rsidR="008618CA" w:rsidRPr="00616367" w:rsidRDefault="008618CA" w:rsidP="00E159E4">
            <w:pPr>
              <w:pStyle w:val="Tabletext"/>
              <w:keepNext/>
              <w:jc w:val="center"/>
            </w:pPr>
            <w:r w:rsidRPr="00616367">
              <w:t>Not estimable</w:t>
            </w:r>
          </w:p>
        </w:tc>
        <w:tc>
          <w:tcPr>
            <w:tcW w:w="1651" w:type="dxa"/>
            <w:vAlign w:val="center"/>
          </w:tcPr>
          <w:p w14:paraId="1110319D" w14:textId="3A1AB507" w:rsidR="008618CA" w:rsidRPr="00616367" w:rsidRDefault="006459E6" w:rsidP="00E159E4">
            <w:pPr>
              <w:pStyle w:val="Tabletext"/>
              <w:keepNext/>
              <w:jc w:val="center"/>
              <w:rPr>
                <w:iCs/>
              </w:rPr>
            </w:pPr>
            <w:r w:rsidRPr="00616367">
              <w:rPr>
                <w:iCs/>
              </w:rPr>
              <w:t>0.00 (-0.01, 0.01)</w:t>
            </w:r>
          </w:p>
        </w:tc>
      </w:tr>
      <w:tr w:rsidR="006459E6" w:rsidRPr="00482A36" w14:paraId="3CB016EC" w14:textId="1CF80131" w:rsidTr="00C00806">
        <w:trPr>
          <w:cantSplit/>
        </w:trPr>
        <w:tc>
          <w:tcPr>
            <w:tcW w:w="0" w:type="auto"/>
            <w:gridSpan w:val="5"/>
            <w:vAlign w:val="center"/>
          </w:tcPr>
          <w:p w14:paraId="42754AFE" w14:textId="2730C76D" w:rsidR="006459E6" w:rsidRPr="00482A36" w:rsidRDefault="006459E6" w:rsidP="00E159E4">
            <w:pPr>
              <w:pStyle w:val="Tabletext"/>
              <w:keepNext/>
              <w:rPr>
                <w:b/>
                <w:bCs/>
              </w:rPr>
            </w:pPr>
            <w:r w:rsidRPr="00482A36">
              <w:rPr>
                <w:b/>
                <w:bCs/>
              </w:rPr>
              <w:t>Pooled PRIMROSE 1 and 2 trials- week 52</w:t>
            </w:r>
          </w:p>
        </w:tc>
      </w:tr>
      <w:tr w:rsidR="008618CA" w:rsidRPr="00616367" w14:paraId="1BA4EC2B" w14:textId="0517B3B2" w:rsidTr="00C00806">
        <w:trPr>
          <w:cantSplit/>
        </w:trPr>
        <w:tc>
          <w:tcPr>
            <w:tcW w:w="0" w:type="auto"/>
            <w:vAlign w:val="center"/>
          </w:tcPr>
          <w:p w14:paraId="41ECB2FA" w14:textId="73617115" w:rsidR="008618CA" w:rsidRPr="00616367" w:rsidRDefault="008618CA" w:rsidP="00E159E4">
            <w:pPr>
              <w:pStyle w:val="Tabletext"/>
              <w:keepNext/>
              <w:rPr>
                <w:sz w:val="18"/>
                <w:szCs w:val="18"/>
              </w:rPr>
            </w:pPr>
            <w:r w:rsidRPr="00616367">
              <w:rPr>
                <w:sz w:val="18"/>
                <w:szCs w:val="18"/>
              </w:rPr>
              <w:t>Any TEAE</w:t>
            </w:r>
          </w:p>
        </w:tc>
        <w:tc>
          <w:tcPr>
            <w:tcW w:w="1734" w:type="dxa"/>
            <w:vAlign w:val="center"/>
          </w:tcPr>
          <w:p w14:paraId="309B01C7" w14:textId="6879CF72" w:rsidR="008618CA" w:rsidRPr="00616367" w:rsidRDefault="008618CA" w:rsidP="00E159E4">
            <w:pPr>
              <w:pStyle w:val="Tabletext"/>
              <w:keepNext/>
              <w:jc w:val="center"/>
            </w:pPr>
            <w:r w:rsidRPr="00616367">
              <w:t>260/745 (38%)</w:t>
            </w:r>
          </w:p>
        </w:tc>
        <w:tc>
          <w:tcPr>
            <w:tcW w:w="1701" w:type="dxa"/>
            <w:vAlign w:val="center"/>
          </w:tcPr>
          <w:p w14:paraId="45A00AC8" w14:textId="2D4ECA01" w:rsidR="008618CA" w:rsidRPr="00616367" w:rsidRDefault="008618CA" w:rsidP="00E159E4">
            <w:pPr>
              <w:pStyle w:val="Tabletext"/>
              <w:keepNext/>
              <w:jc w:val="center"/>
            </w:pPr>
            <w:r w:rsidRPr="00616367">
              <w:t>12/31 (39%)</w:t>
            </w:r>
          </w:p>
        </w:tc>
        <w:tc>
          <w:tcPr>
            <w:tcW w:w="1559" w:type="dxa"/>
            <w:vAlign w:val="center"/>
          </w:tcPr>
          <w:p w14:paraId="27CA6C2E" w14:textId="7ECAAB08" w:rsidR="008618CA" w:rsidRPr="00616367" w:rsidRDefault="008618CA" w:rsidP="00E159E4">
            <w:pPr>
              <w:pStyle w:val="Tabletext"/>
              <w:keepNext/>
              <w:jc w:val="center"/>
            </w:pPr>
            <w:r w:rsidRPr="00616367">
              <w:t>0.85 (0.41, 1.78)</w:t>
            </w:r>
          </w:p>
        </w:tc>
        <w:tc>
          <w:tcPr>
            <w:tcW w:w="1651" w:type="dxa"/>
            <w:vAlign w:val="center"/>
          </w:tcPr>
          <w:p w14:paraId="06EB6760" w14:textId="72146D3D" w:rsidR="008618CA" w:rsidRPr="00616367" w:rsidRDefault="006459E6" w:rsidP="00E159E4">
            <w:pPr>
              <w:pStyle w:val="Tabletext"/>
              <w:keepNext/>
              <w:jc w:val="center"/>
              <w:rPr>
                <w:iCs/>
              </w:rPr>
            </w:pPr>
            <w:r w:rsidRPr="00616367">
              <w:rPr>
                <w:iCs/>
              </w:rPr>
              <w:t>-0.04 (-0.21, 0.14)</w:t>
            </w:r>
          </w:p>
        </w:tc>
      </w:tr>
      <w:tr w:rsidR="008618CA" w:rsidRPr="00616367" w14:paraId="5066083E" w14:textId="5E11CE59" w:rsidTr="00C00806">
        <w:trPr>
          <w:cantSplit/>
        </w:trPr>
        <w:tc>
          <w:tcPr>
            <w:tcW w:w="0" w:type="auto"/>
            <w:vAlign w:val="center"/>
          </w:tcPr>
          <w:p w14:paraId="693B4780" w14:textId="7C3C2E08" w:rsidR="008618CA" w:rsidRPr="00616367" w:rsidRDefault="008618CA" w:rsidP="00E159E4">
            <w:pPr>
              <w:pStyle w:val="Tabletext"/>
              <w:keepNext/>
              <w:rPr>
                <w:sz w:val="18"/>
                <w:szCs w:val="18"/>
              </w:rPr>
            </w:pPr>
            <w:r w:rsidRPr="00616367">
              <w:rPr>
                <w:sz w:val="18"/>
                <w:szCs w:val="18"/>
              </w:rPr>
              <w:t>Severe TEAE</w:t>
            </w:r>
          </w:p>
        </w:tc>
        <w:tc>
          <w:tcPr>
            <w:tcW w:w="1734" w:type="dxa"/>
            <w:vAlign w:val="center"/>
          </w:tcPr>
          <w:p w14:paraId="2232F25D" w14:textId="76CB6215" w:rsidR="008618CA" w:rsidRPr="00616367" w:rsidRDefault="008618CA" w:rsidP="00E159E4">
            <w:pPr>
              <w:pStyle w:val="Tabletext"/>
              <w:keepNext/>
              <w:jc w:val="center"/>
            </w:pPr>
            <w:r w:rsidRPr="00616367">
              <w:t>24/745 (3%)</w:t>
            </w:r>
          </w:p>
        </w:tc>
        <w:tc>
          <w:tcPr>
            <w:tcW w:w="1701" w:type="dxa"/>
            <w:vAlign w:val="center"/>
          </w:tcPr>
          <w:p w14:paraId="17888CBD" w14:textId="25EEE1D4" w:rsidR="008618CA" w:rsidRPr="00616367" w:rsidRDefault="008618CA" w:rsidP="00E159E4">
            <w:pPr>
              <w:pStyle w:val="Tabletext"/>
              <w:keepNext/>
              <w:jc w:val="center"/>
            </w:pPr>
            <w:r w:rsidRPr="00616367">
              <w:t>0/31 (0%)</w:t>
            </w:r>
          </w:p>
        </w:tc>
        <w:tc>
          <w:tcPr>
            <w:tcW w:w="1559" w:type="dxa"/>
            <w:vAlign w:val="center"/>
          </w:tcPr>
          <w:p w14:paraId="6C8BF5EA" w14:textId="18C2180B" w:rsidR="008618CA" w:rsidRPr="00616367" w:rsidRDefault="008618CA" w:rsidP="00E159E4">
            <w:pPr>
              <w:pStyle w:val="Tabletext"/>
              <w:keepNext/>
              <w:jc w:val="center"/>
            </w:pPr>
            <w:r w:rsidRPr="00616367">
              <w:t>2.14 (0.13, 35.98)</w:t>
            </w:r>
          </w:p>
        </w:tc>
        <w:tc>
          <w:tcPr>
            <w:tcW w:w="1651" w:type="dxa"/>
            <w:vAlign w:val="center"/>
          </w:tcPr>
          <w:p w14:paraId="0BD20E58" w14:textId="33EC76F3" w:rsidR="008618CA" w:rsidRPr="00616367" w:rsidRDefault="006459E6" w:rsidP="00E159E4">
            <w:pPr>
              <w:pStyle w:val="Tabletext"/>
              <w:keepNext/>
              <w:jc w:val="center"/>
              <w:rPr>
                <w:iCs/>
              </w:rPr>
            </w:pPr>
            <w:r w:rsidRPr="00616367">
              <w:rPr>
                <w:iCs/>
              </w:rPr>
              <w:t>0.03 (-0.01, 0.08)</w:t>
            </w:r>
          </w:p>
        </w:tc>
      </w:tr>
      <w:tr w:rsidR="008618CA" w:rsidRPr="00616367" w14:paraId="074959B9" w14:textId="0ECF5DB9" w:rsidTr="00C00806">
        <w:trPr>
          <w:cantSplit/>
        </w:trPr>
        <w:tc>
          <w:tcPr>
            <w:tcW w:w="0" w:type="auto"/>
            <w:vAlign w:val="center"/>
          </w:tcPr>
          <w:p w14:paraId="249C38F6" w14:textId="2BBEEF67" w:rsidR="008618CA" w:rsidRPr="00616367" w:rsidRDefault="008618CA" w:rsidP="00E159E4">
            <w:pPr>
              <w:pStyle w:val="Tabletext"/>
              <w:keepNext/>
              <w:rPr>
                <w:sz w:val="18"/>
                <w:szCs w:val="18"/>
              </w:rPr>
            </w:pPr>
            <w:r w:rsidRPr="00616367">
              <w:rPr>
                <w:sz w:val="18"/>
                <w:szCs w:val="18"/>
              </w:rPr>
              <w:t>TEAE related to study treatment</w:t>
            </w:r>
          </w:p>
        </w:tc>
        <w:tc>
          <w:tcPr>
            <w:tcW w:w="1734" w:type="dxa"/>
            <w:vAlign w:val="center"/>
          </w:tcPr>
          <w:p w14:paraId="18420133" w14:textId="6D17C9A5" w:rsidR="008618CA" w:rsidRPr="00616367" w:rsidRDefault="008618CA" w:rsidP="00E159E4">
            <w:pPr>
              <w:pStyle w:val="Tabletext"/>
              <w:keepNext/>
              <w:jc w:val="center"/>
            </w:pPr>
            <w:r w:rsidRPr="00616367">
              <w:t>144/745 (19%)</w:t>
            </w:r>
          </w:p>
        </w:tc>
        <w:tc>
          <w:tcPr>
            <w:tcW w:w="1701" w:type="dxa"/>
            <w:vAlign w:val="center"/>
          </w:tcPr>
          <w:p w14:paraId="3734AE1C" w14:textId="58566C62" w:rsidR="008618CA" w:rsidRPr="00616367" w:rsidRDefault="008618CA" w:rsidP="00E159E4">
            <w:pPr>
              <w:pStyle w:val="Tabletext"/>
              <w:keepNext/>
              <w:jc w:val="center"/>
            </w:pPr>
            <w:r w:rsidRPr="00616367">
              <w:t>1/31 (3%)</w:t>
            </w:r>
          </w:p>
        </w:tc>
        <w:tc>
          <w:tcPr>
            <w:tcW w:w="1559" w:type="dxa"/>
            <w:vAlign w:val="center"/>
          </w:tcPr>
          <w:p w14:paraId="7B0844EE" w14:textId="3792EC81" w:rsidR="008618CA" w:rsidRPr="00616367" w:rsidRDefault="008618CA" w:rsidP="00E159E4">
            <w:pPr>
              <w:pStyle w:val="Tabletext"/>
              <w:keepNext/>
              <w:jc w:val="center"/>
            </w:pPr>
            <w:r w:rsidRPr="00616367">
              <w:t>7.19 (0.97, 53.15)</w:t>
            </w:r>
          </w:p>
        </w:tc>
        <w:tc>
          <w:tcPr>
            <w:tcW w:w="1651" w:type="dxa"/>
            <w:vAlign w:val="center"/>
          </w:tcPr>
          <w:p w14:paraId="1C1DDDB2" w14:textId="2ADBECD8" w:rsidR="008618CA" w:rsidRPr="00616367" w:rsidRDefault="006459E6" w:rsidP="00E159E4">
            <w:pPr>
              <w:pStyle w:val="Tabletext"/>
              <w:keepNext/>
              <w:jc w:val="center"/>
              <w:rPr>
                <w:iCs/>
              </w:rPr>
            </w:pPr>
            <w:r w:rsidRPr="00616367">
              <w:rPr>
                <w:iCs/>
              </w:rPr>
              <w:t>0.16 (0.09, 0.23)</w:t>
            </w:r>
          </w:p>
        </w:tc>
      </w:tr>
      <w:tr w:rsidR="008618CA" w:rsidRPr="00616367" w14:paraId="4676171D" w14:textId="1393D50B" w:rsidTr="00C00806">
        <w:trPr>
          <w:cantSplit/>
        </w:trPr>
        <w:tc>
          <w:tcPr>
            <w:tcW w:w="0" w:type="auto"/>
            <w:vAlign w:val="center"/>
          </w:tcPr>
          <w:p w14:paraId="5B9D07EE" w14:textId="56F31E0E" w:rsidR="008618CA" w:rsidRPr="00616367" w:rsidRDefault="008618CA" w:rsidP="00E159E4">
            <w:pPr>
              <w:pStyle w:val="Tabletext"/>
              <w:keepNext/>
              <w:rPr>
                <w:sz w:val="18"/>
                <w:szCs w:val="18"/>
              </w:rPr>
            </w:pPr>
            <w:r w:rsidRPr="00616367">
              <w:rPr>
                <w:sz w:val="18"/>
                <w:szCs w:val="18"/>
              </w:rPr>
              <w:t xml:space="preserve">Serious TEAE </w:t>
            </w:r>
          </w:p>
        </w:tc>
        <w:tc>
          <w:tcPr>
            <w:tcW w:w="1734" w:type="dxa"/>
            <w:vAlign w:val="center"/>
          </w:tcPr>
          <w:p w14:paraId="32461F90" w14:textId="69B07982" w:rsidR="008618CA" w:rsidRPr="00616367" w:rsidRDefault="008618CA" w:rsidP="00E159E4">
            <w:pPr>
              <w:pStyle w:val="Tabletext"/>
              <w:keepNext/>
              <w:jc w:val="center"/>
            </w:pPr>
            <w:r w:rsidRPr="00616367">
              <w:t>17/745 (2%)</w:t>
            </w:r>
          </w:p>
        </w:tc>
        <w:tc>
          <w:tcPr>
            <w:tcW w:w="1701" w:type="dxa"/>
            <w:vAlign w:val="center"/>
          </w:tcPr>
          <w:p w14:paraId="4735A0F8" w14:textId="088E2274" w:rsidR="008618CA" w:rsidRPr="00616367" w:rsidRDefault="008618CA" w:rsidP="00E159E4">
            <w:pPr>
              <w:pStyle w:val="Tabletext"/>
              <w:keepNext/>
              <w:jc w:val="center"/>
            </w:pPr>
            <w:r w:rsidRPr="00616367">
              <w:t>0/31 (0%)</w:t>
            </w:r>
          </w:p>
        </w:tc>
        <w:tc>
          <w:tcPr>
            <w:tcW w:w="1559" w:type="dxa"/>
            <w:vAlign w:val="center"/>
          </w:tcPr>
          <w:p w14:paraId="6F6D12C6" w14:textId="023E40D3" w:rsidR="008618CA" w:rsidRPr="00616367" w:rsidRDefault="008618CA" w:rsidP="00E159E4">
            <w:pPr>
              <w:pStyle w:val="Tabletext"/>
              <w:keepNext/>
              <w:jc w:val="center"/>
            </w:pPr>
            <w:r w:rsidRPr="00616367">
              <w:t>1.51 (0.09, 25.74)</w:t>
            </w:r>
          </w:p>
        </w:tc>
        <w:tc>
          <w:tcPr>
            <w:tcW w:w="1651" w:type="dxa"/>
            <w:vAlign w:val="center"/>
          </w:tcPr>
          <w:p w14:paraId="5782CA7A" w14:textId="459C5074" w:rsidR="008618CA" w:rsidRPr="00616367" w:rsidRDefault="006459E6" w:rsidP="00E159E4">
            <w:pPr>
              <w:pStyle w:val="Tabletext"/>
              <w:keepNext/>
              <w:jc w:val="center"/>
              <w:rPr>
                <w:iCs/>
              </w:rPr>
            </w:pPr>
            <w:r w:rsidRPr="00616367">
              <w:rPr>
                <w:iCs/>
              </w:rPr>
              <w:t>0.02 (-0.02, 0.07)</w:t>
            </w:r>
          </w:p>
        </w:tc>
      </w:tr>
      <w:tr w:rsidR="008618CA" w:rsidRPr="00616367" w14:paraId="5FD92C41" w14:textId="008DB23C" w:rsidTr="00C00806">
        <w:trPr>
          <w:cantSplit/>
        </w:trPr>
        <w:tc>
          <w:tcPr>
            <w:tcW w:w="0" w:type="auto"/>
            <w:vAlign w:val="center"/>
          </w:tcPr>
          <w:p w14:paraId="46E9AE95" w14:textId="47D4DE8B" w:rsidR="008618CA" w:rsidRPr="00616367" w:rsidRDefault="008618CA" w:rsidP="00E159E4">
            <w:pPr>
              <w:pStyle w:val="Tabletext"/>
              <w:keepNext/>
              <w:rPr>
                <w:sz w:val="18"/>
                <w:szCs w:val="18"/>
              </w:rPr>
            </w:pPr>
            <w:r w:rsidRPr="00616367">
              <w:rPr>
                <w:sz w:val="18"/>
                <w:szCs w:val="18"/>
              </w:rPr>
              <w:t>Serious TEAE related to treatment</w:t>
            </w:r>
          </w:p>
        </w:tc>
        <w:tc>
          <w:tcPr>
            <w:tcW w:w="1734" w:type="dxa"/>
            <w:vAlign w:val="center"/>
          </w:tcPr>
          <w:p w14:paraId="0DDB7488" w14:textId="51B89F67" w:rsidR="008618CA" w:rsidRPr="00616367" w:rsidRDefault="008618CA" w:rsidP="00E159E4">
            <w:pPr>
              <w:pStyle w:val="Tabletext"/>
              <w:keepNext/>
              <w:jc w:val="center"/>
            </w:pPr>
            <w:r w:rsidRPr="00616367">
              <w:t>5/745 (1%)</w:t>
            </w:r>
          </w:p>
        </w:tc>
        <w:tc>
          <w:tcPr>
            <w:tcW w:w="1701" w:type="dxa"/>
            <w:vAlign w:val="center"/>
          </w:tcPr>
          <w:p w14:paraId="3712362F" w14:textId="4AA7D719" w:rsidR="008618CA" w:rsidRPr="00616367" w:rsidRDefault="008618CA" w:rsidP="00E159E4">
            <w:pPr>
              <w:pStyle w:val="Tabletext"/>
              <w:keepNext/>
              <w:jc w:val="center"/>
            </w:pPr>
            <w:r w:rsidRPr="00616367">
              <w:t>0/31 (0%)</w:t>
            </w:r>
          </w:p>
        </w:tc>
        <w:tc>
          <w:tcPr>
            <w:tcW w:w="1559" w:type="dxa"/>
            <w:vAlign w:val="center"/>
          </w:tcPr>
          <w:p w14:paraId="50B58C6E" w14:textId="6168D1B0" w:rsidR="008618CA" w:rsidRPr="00616367" w:rsidRDefault="008618CA" w:rsidP="00E159E4">
            <w:pPr>
              <w:pStyle w:val="Tabletext"/>
              <w:keepNext/>
              <w:jc w:val="center"/>
            </w:pPr>
            <w:r w:rsidRPr="00616367">
              <w:t>0.47 (0.03, 8.65)</w:t>
            </w:r>
          </w:p>
        </w:tc>
        <w:tc>
          <w:tcPr>
            <w:tcW w:w="1651" w:type="dxa"/>
            <w:vAlign w:val="center"/>
          </w:tcPr>
          <w:p w14:paraId="0F9A0690" w14:textId="307E5093" w:rsidR="008618CA" w:rsidRPr="00616367" w:rsidRDefault="006459E6" w:rsidP="00E159E4">
            <w:pPr>
              <w:pStyle w:val="Tabletext"/>
              <w:keepNext/>
              <w:jc w:val="center"/>
              <w:rPr>
                <w:iCs/>
              </w:rPr>
            </w:pPr>
            <w:r w:rsidRPr="00616367">
              <w:rPr>
                <w:iCs/>
              </w:rPr>
              <w:t>0.01 (-0.04, 0.05)</w:t>
            </w:r>
          </w:p>
        </w:tc>
      </w:tr>
      <w:tr w:rsidR="008618CA" w:rsidRPr="00616367" w14:paraId="35C34298" w14:textId="03316662" w:rsidTr="00C00806">
        <w:trPr>
          <w:cantSplit/>
        </w:trPr>
        <w:tc>
          <w:tcPr>
            <w:tcW w:w="0" w:type="auto"/>
            <w:vAlign w:val="center"/>
          </w:tcPr>
          <w:p w14:paraId="12C844B7" w14:textId="4C6A6412" w:rsidR="008618CA" w:rsidRPr="00616367" w:rsidRDefault="008618CA" w:rsidP="00E159E4">
            <w:pPr>
              <w:pStyle w:val="Tabletext"/>
              <w:keepNext/>
              <w:rPr>
                <w:sz w:val="18"/>
                <w:szCs w:val="18"/>
              </w:rPr>
            </w:pPr>
            <w:r w:rsidRPr="00616367">
              <w:rPr>
                <w:sz w:val="18"/>
                <w:szCs w:val="18"/>
              </w:rPr>
              <w:t>TEAE leading to discontinuation</w:t>
            </w:r>
          </w:p>
        </w:tc>
        <w:tc>
          <w:tcPr>
            <w:tcW w:w="1734" w:type="dxa"/>
            <w:vAlign w:val="center"/>
          </w:tcPr>
          <w:p w14:paraId="2800E9D6" w14:textId="391B1085" w:rsidR="008618CA" w:rsidRPr="00616367" w:rsidRDefault="008618CA" w:rsidP="00E159E4">
            <w:pPr>
              <w:pStyle w:val="Tabletext"/>
              <w:keepNext/>
              <w:jc w:val="center"/>
            </w:pPr>
            <w:r w:rsidRPr="00616367">
              <w:t>41/745 (6%)</w:t>
            </w:r>
          </w:p>
        </w:tc>
        <w:tc>
          <w:tcPr>
            <w:tcW w:w="1701" w:type="dxa"/>
            <w:vAlign w:val="center"/>
          </w:tcPr>
          <w:p w14:paraId="461789EA" w14:textId="2765BDFE" w:rsidR="008618CA" w:rsidRPr="00616367" w:rsidRDefault="008618CA" w:rsidP="00E159E4">
            <w:pPr>
              <w:pStyle w:val="Tabletext"/>
              <w:keepNext/>
              <w:jc w:val="center"/>
            </w:pPr>
            <w:r w:rsidRPr="00616367">
              <w:t>1/31 (3%)</w:t>
            </w:r>
          </w:p>
        </w:tc>
        <w:tc>
          <w:tcPr>
            <w:tcW w:w="1559" w:type="dxa"/>
            <w:vAlign w:val="center"/>
          </w:tcPr>
          <w:p w14:paraId="1012A150" w14:textId="117D80A1" w:rsidR="008618CA" w:rsidRPr="00616367" w:rsidRDefault="008618CA" w:rsidP="00E159E4">
            <w:pPr>
              <w:pStyle w:val="Tabletext"/>
              <w:keepNext/>
              <w:jc w:val="center"/>
            </w:pPr>
            <w:r w:rsidRPr="00616367">
              <w:t>1.75 (0.23, 13.13)</w:t>
            </w:r>
          </w:p>
        </w:tc>
        <w:tc>
          <w:tcPr>
            <w:tcW w:w="1651" w:type="dxa"/>
            <w:vAlign w:val="center"/>
          </w:tcPr>
          <w:p w14:paraId="7B8E8EAF" w14:textId="240C3B3F" w:rsidR="008618CA" w:rsidRPr="00616367" w:rsidRDefault="006459E6" w:rsidP="00E159E4">
            <w:pPr>
              <w:pStyle w:val="Tabletext"/>
              <w:keepNext/>
              <w:jc w:val="center"/>
              <w:rPr>
                <w:iCs/>
              </w:rPr>
            </w:pPr>
            <w:r w:rsidRPr="00616367">
              <w:rPr>
                <w:iCs/>
              </w:rPr>
              <w:t>0.02 (-0.04, 0.09)</w:t>
            </w:r>
          </w:p>
        </w:tc>
      </w:tr>
      <w:tr w:rsidR="008618CA" w:rsidRPr="00616367" w14:paraId="60B3C66E" w14:textId="19BA7335" w:rsidTr="00C00806">
        <w:trPr>
          <w:cantSplit/>
        </w:trPr>
        <w:tc>
          <w:tcPr>
            <w:tcW w:w="0" w:type="auto"/>
            <w:vAlign w:val="center"/>
          </w:tcPr>
          <w:p w14:paraId="6E89E678" w14:textId="288DDDC2" w:rsidR="008618CA" w:rsidRPr="00616367" w:rsidRDefault="008618CA" w:rsidP="00E159E4">
            <w:pPr>
              <w:pStyle w:val="Tabletext"/>
              <w:keepNext/>
              <w:rPr>
                <w:sz w:val="18"/>
                <w:szCs w:val="18"/>
              </w:rPr>
            </w:pPr>
            <w:r w:rsidRPr="00616367">
              <w:rPr>
                <w:sz w:val="18"/>
                <w:szCs w:val="18"/>
              </w:rPr>
              <w:t>Fatal TEAE</w:t>
            </w:r>
          </w:p>
        </w:tc>
        <w:tc>
          <w:tcPr>
            <w:tcW w:w="1734" w:type="dxa"/>
            <w:vAlign w:val="center"/>
          </w:tcPr>
          <w:p w14:paraId="3B5B8620" w14:textId="6EABE848" w:rsidR="008618CA" w:rsidRPr="00616367" w:rsidRDefault="008618CA" w:rsidP="00E159E4">
            <w:pPr>
              <w:pStyle w:val="Tabletext"/>
              <w:keepNext/>
              <w:jc w:val="center"/>
            </w:pPr>
            <w:r w:rsidRPr="00616367">
              <w:t>0/745 (0%)</w:t>
            </w:r>
          </w:p>
        </w:tc>
        <w:tc>
          <w:tcPr>
            <w:tcW w:w="1701" w:type="dxa"/>
            <w:vAlign w:val="center"/>
          </w:tcPr>
          <w:p w14:paraId="41354F45" w14:textId="49323EA7" w:rsidR="008618CA" w:rsidRPr="00616367" w:rsidRDefault="008618CA" w:rsidP="00E159E4">
            <w:pPr>
              <w:pStyle w:val="Tabletext"/>
              <w:keepNext/>
              <w:jc w:val="center"/>
            </w:pPr>
            <w:r w:rsidRPr="00616367">
              <w:t>0/31 (0%)</w:t>
            </w:r>
          </w:p>
        </w:tc>
        <w:tc>
          <w:tcPr>
            <w:tcW w:w="1559" w:type="dxa"/>
            <w:vAlign w:val="center"/>
          </w:tcPr>
          <w:p w14:paraId="352ED525" w14:textId="1323F62B" w:rsidR="008618CA" w:rsidRPr="00616367" w:rsidRDefault="008618CA" w:rsidP="00E159E4">
            <w:pPr>
              <w:pStyle w:val="Tabletext"/>
              <w:keepNext/>
              <w:jc w:val="center"/>
            </w:pPr>
            <w:r w:rsidRPr="00616367">
              <w:t>Not estimable</w:t>
            </w:r>
          </w:p>
        </w:tc>
        <w:tc>
          <w:tcPr>
            <w:tcW w:w="1651" w:type="dxa"/>
            <w:vAlign w:val="center"/>
          </w:tcPr>
          <w:p w14:paraId="7D6A8535" w14:textId="556466C3" w:rsidR="008618CA" w:rsidRPr="00616367" w:rsidRDefault="006459E6" w:rsidP="00E159E4">
            <w:pPr>
              <w:pStyle w:val="Tabletext"/>
              <w:keepNext/>
              <w:jc w:val="center"/>
              <w:rPr>
                <w:iCs/>
              </w:rPr>
            </w:pPr>
            <w:r w:rsidRPr="00616367">
              <w:rPr>
                <w:iCs/>
              </w:rPr>
              <w:t>0.00 (-0.04, 0.04)</w:t>
            </w:r>
          </w:p>
        </w:tc>
      </w:tr>
    </w:tbl>
    <w:p w14:paraId="1D5E9ADD" w14:textId="5FBFCD43" w:rsidR="006D5263" w:rsidRPr="00482A36" w:rsidRDefault="006D5263" w:rsidP="00E159E4">
      <w:pPr>
        <w:keepNext/>
        <w:rPr>
          <w:rFonts w:ascii="Arial Narrow" w:eastAsiaTheme="minorEastAsia" w:hAnsi="Arial Narrow"/>
          <w:snapToGrid w:val="0"/>
          <w:sz w:val="18"/>
          <w:szCs w:val="22"/>
          <w:lang w:eastAsia="en-US"/>
        </w:rPr>
      </w:pPr>
      <w:r w:rsidRPr="00482A36">
        <w:rPr>
          <w:rFonts w:ascii="Arial Narrow" w:eastAsiaTheme="minorEastAsia" w:hAnsi="Arial Narrow"/>
          <w:b/>
          <w:snapToGrid w:val="0"/>
          <w:sz w:val="18"/>
          <w:szCs w:val="22"/>
          <w:lang w:eastAsia="en-US"/>
        </w:rPr>
        <w:t>Bold</w:t>
      </w:r>
      <w:r w:rsidRPr="00482A36">
        <w:rPr>
          <w:rFonts w:ascii="Arial Narrow" w:eastAsiaTheme="minorEastAsia" w:hAnsi="Arial Narrow"/>
          <w:snapToGrid w:val="0"/>
          <w:sz w:val="18"/>
          <w:szCs w:val="22"/>
          <w:lang w:eastAsia="en-US"/>
        </w:rPr>
        <w:t xml:space="preserve"> text=statistically significant.</w:t>
      </w:r>
      <w:r w:rsidR="00F50371" w:rsidRPr="00482A36">
        <w:rPr>
          <w:rFonts w:ascii="Arial Narrow" w:eastAsiaTheme="minorEastAsia" w:hAnsi="Arial Narrow"/>
          <w:snapToGrid w:val="0"/>
          <w:sz w:val="18"/>
          <w:szCs w:val="22"/>
          <w:lang w:eastAsia="en-US"/>
        </w:rPr>
        <w:t xml:space="preserve"> </w:t>
      </w:r>
    </w:p>
    <w:p w14:paraId="28AF26AA" w14:textId="55635BA6" w:rsidR="00895119" w:rsidRPr="00482A36" w:rsidRDefault="003146C9" w:rsidP="00E159E4">
      <w:pPr>
        <w:pStyle w:val="TableFigureFooter"/>
        <w:keepNext/>
        <w:rPr>
          <w:lang w:eastAsia="en-US"/>
        </w:rPr>
      </w:pPr>
      <w:r w:rsidRPr="00482A36">
        <w:t xml:space="preserve">Source: </w:t>
      </w:r>
      <w:r w:rsidR="00895119" w:rsidRPr="00482A36">
        <w:rPr>
          <w:lang w:eastAsia="en-US"/>
        </w:rPr>
        <w:t xml:space="preserve">Figure 32, p145 and Figure 34, p150 of the </w:t>
      </w:r>
      <w:r w:rsidR="00616367">
        <w:rPr>
          <w:lang w:eastAsia="en-US"/>
        </w:rPr>
        <w:t>submission and compiled during the evaluation</w:t>
      </w:r>
    </w:p>
    <w:p w14:paraId="6573C8F2" w14:textId="63CDD0CE" w:rsidR="003146C9" w:rsidRPr="00482A36" w:rsidRDefault="00895119" w:rsidP="00E159E4">
      <w:pPr>
        <w:pStyle w:val="TableFigureFooter"/>
        <w:keepNext/>
        <w:rPr>
          <w:lang w:eastAsia="en-US"/>
        </w:rPr>
      </w:pPr>
      <w:r w:rsidRPr="00482A36">
        <w:rPr>
          <w:lang w:eastAsia="en-US"/>
        </w:rPr>
        <w:t xml:space="preserve">ABT= add-back therapy; CI=confidence intervals; IMP=investigational medicinal product; LGX=linzagolix; </w:t>
      </w:r>
      <w:r w:rsidRPr="00482A36">
        <w:rPr>
          <w:rFonts w:eastAsia="Calibri"/>
        </w:rPr>
        <w:t xml:space="preserve">n=number of participants reporting </w:t>
      </w:r>
      <w:r w:rsidR="00F353C9" w:rsidRPr="00482A36">
        <w:rPr>
          <w:rFonts w:eastAsia="Calibri"/>
        </w:rPr>
        <w:t>outcome</w:t>
      </w:r>
      <w:r w:rsidRPr="00482A36">
        <w:rPr>
          <w:lang w:eastAsia="en-US"/>
        </w:rPr>
        <w:t xml:space="preserve">; </w:t>
      </w:r>
      <w:r w:rsidRPr="00482A36">
        <w:rPr>
          <w:rFonts w:eastAsia="Calibri"/>
        </w:rPr>
        <w:t>N=total participants in group</w:t>
      </w:r>
      <w:r w:rsidRPr="00482A36">
        <w:rPr>
          <w:lang w:eastAsia="en-US"/>
        </w:rPr>
        <w:t>; TEAE=treatment-emergent adverse event</w:t>
      </w:r>
      <w:r w:rsidR="00F353C9" w:rsidRPr="00482A36">
        <w:rPr>
          <w:lang w:eastAsia="en-US"/>
        </w:rPr>
        <w:t>.</w:t>
      </w:r>
    </w:p>
    <w:p w14:paraId="52291CA2" w14:textId="39FFC588" w:rsidR="006D5263" w:rsidRPr="00616367" w:rsidRDefault="00F50371" w:rsidP="001626C8">
      <w:pPr>
        <w:pStyle w:val="TableFigureFooter"/>
        <w:rPr>
          <w:iCs/>
          <w:lang w:eastAsia="en-US"/>
        </w:rPr>
      </w:pPr>
      <w:r w:rsidRPr="00616367">
        <w:rPr>
          <w:iCs/>
          <w:vertAlign w:val="superscript"/>
          <w:lang w:eastAsia="en-US"/>
        </w:rPr>
        <w:t>^</w:t>
      </w:r>
      <w:r w:rsidRPr="00616367">
        <w:rPr>
          <w:iCs/>
          <w:lang w:eastAsia="en-US"/>
        </w:rPr>
        <w:tab/>
        <w:t>Rev</w:t>
      </w:r>
      <w:r w:rsidR="003D345A" w:rsidRPr="00616367">
        <w:rPr>
          <w:iCs/>
          <w:lang w:eastAsia="en-US"/>
        </w:rPr>
        <w:t>M</w:t>
      </w:r>
      <w:r w:rsidRPr="00616367">
        <w:rPr>
          <w:iCs/>
          <w:lang w:eastAsia="en-US"/>
        </w:rPr>
        <w:t>an</w:t>
      </w:r>
      <w:r w:rsidR="003D345A" w:rsidRPr="00616367">
        <w:rPr>
          <w:iCs/>
          <w:lang w:eastAsia="en-US"/>
        </w:rPr>
        <w:t xml:space="preserve"> v5.4 was used to generate results, during the evaluation</w:t>
      </w:r>
      <w:r w:rsidRPr="00616367">
        <w:rPr>
          <w:iCs/>
          <w:lang w:eastAsia="en-US"/>
        </w:rPr>
        <w:t>.</w:t>
      </w:r>
    </w:p>
    <w:p w14:paraId="30213926" w14:textId="66385A10" w:rsidR="006D5263" w:rsidRPr="00482A36" w:rsidRDefault="00F161DE" w:rsidP="006D5263">
      <w:pPr>
        <w:pStyle w:val="3-BodyText"/>
      </w:pPr>
      <w:bookmarkStart w:id="40" w:name="_Hlk165275228"/>
      <w:r w:rsidRPr="00482A36">
        <w:lastRenderedPageBreak/>
        <w:t>There were greater number</w:t>
      </w:r>
      <w:r w:rsidR="00FC59E8" w:rsidRPr="00482A36">
        <w:t>s</w:t>
      </w:r>
      <w:r w:rsidRPr="00482A36">
        <w:t xml:space="preserve"> of </w:t>
      </w:r>
      <w:r w:rsidR="00666A3E" w:rsidRPr="00482A36">
        <w:t xml:space="preserve">treatment-emergent adverse events (TEAEs) </w:t>
      </w:r>
      <w:r w:rsidR="00FC59E8" w:rsidRPr="00482A36">
        <w:t xml:space="preserve">for </w:t>
      </w:r>
      <w:r w:rsidR="00666A3E" w:rsidRPr="00482A36">
        <w:t xml:space="preserve">linzagolix </w:t>
      </w:r>
      <w:r w:rsidR="00FC59E8" w:rsidRPr="00482A36">
        <w:t xml:space="preserve">treated groups </w:t>
      </w:r>
      <w:r w:rsidR="00666A3E" w:rsidRPr="00482A36">
        <w:t xml:space="preserve">compared to placebo, with TEAEs related to study treatment </w:t>
      </w:r>
      <w:r w:rsidRPr="00482A36">
        <w:t xml:space="preserve">reaching statistical </w:t>
      </w:r>
      <w:r w:rsidR="00666A3E" w:rsidRPr="00482A36">
        <w:t>significan</w:t>
      </w:r>
      <w:r w:rsidRPr="00482A36">
        <w:t>ce. M</w:t>
      </w:r>
      <w:bookmarkEnd w:id="40"/>
      <w:r w:rsidR="00666A3E" w:rsidRPr="00482A36">
        <w:t>ost</w:t>
      </w:r>
      <w:r w:rsidRPr="00482A36">
        <w:t xml:space="preserve"> of the reported</w:t>
      </w:r>
      <w:r w:rsidR="00666A3E" w:rsidRPr="00482A36">
        <w:t xml:space="preserve"> adverse events were mild to moderate, with 5% being severe across both treatment and placebo arms</w:t>
      </w:r>
      <w:r w:rsidR="006D5263" w:rsidRPr="00482A36">
        <w:t xml:space="preserve">. </w:t>
      </w:r>
      <w:r w:rsidR="00666A3E" w:rsidRPr="00482A36">
        <w:fldChar w:fldCharType="begin"/>
      </w:r>
      <w:r w:rsidR="00666A3E" w:rsidRPr="00482A36">
        <w:instrText xml:space="preserve"> REF _Ref165274997 \h </w:instrText>
      </w:r>
      <w:r w:rsidR="00666A3E" w:rsidRPr="00482A36">
        <w:fldChar w:fldCharType="separate"/>
      </w:r>
      <w:r w:rsidR="003E4FD0" w:rsidRPr="00482A36">
        <w:t xml:space="preserve">Figure </w:t>
      </w:r>
      <w:r w:rsidR="003E4FD0">
        <w:rPr>
          <w:noProof/>
        </w:rPr>
        <w:t>2</w:t>
      </w:r>
      <w:r w:rsidR="00666A3E" w:rsidRPr="00482A36">
        <w:fldChar w:fldCharType="end"/>
      </w:r>
      <w:r w:rsidR="00666A3E" w:rsidRPr="00482A36">
        <w:t xml:space="preserve"> </w:t>
      </w:r>
      <w:r w:rsidRPr="00482A36">
        <w:t xml:space="preserve">summarises </w:t>
      </w:r>
      <w:r w:rsidR="00666A3E" w:rsidRPr="00482A36">
        <w:t>frequent (≥</w:t>
      </w:r>
      <w:r w:rsidR="001626C8">
        <w:t> </w:t>
      </w:r>
      <w:r w:rsidR="00666A3E" w:rsidRPr="00482A36">
        <w:t>2%) TEAEs at week 24</w:t>
      </w:r>
      <w:r w:rsidR="00FC59E8" w:rsidRPr="00482A36">
        <w:t xml:space="preserve"> for pooled linzagolix versus placebo</w:t>
      </w:r>
      <w:r w:rsidR="00666A3E" w:rsidRPr="00482A36">
        <w:t>.</w:t>
      </w:r>
    </w:p>
    <w:p w14:paraId="6CD7428E" w14:textId="78E46AB7" w:rsidR="006D5263" w:rsidRPr="00482A36" w:rsidRDefault="006D5263" w:rsidP="001626C8">
      <w:pPr>
        <w:pStyle w:val="TableFigureHeading"/>
        <w:rPr>
          <w:snapToGrid w:val="0"/>
        </w:rPr>
      </w:pPr>
      <w:bookmarkStart w:id="41" w:name="_Ref165274997"/>
      <w:r w:rsidRPr="00482A36">
        <w:t xml:space="preserve">Figure </w:t>
      </w:r>
      <w:r w:rsidR="00747D8C">
        <w:fldChar w:fldCharType="begin"/>
      </w:r>
      <w:r w:rsidR="00747D8C">
        <w:instrText xml:space="preserve"> SEQ Figure \* ARABIC </w:instrText>
      </w:r>
      <w:r w:rsidR="00747D8C">
        <w:fldChar w:fldCharType="separate"/>
      </w:r>
      <w:r w:rsidR="003E4FD0">
        <w:rPr>
          <w:noProof/>
        </w:rPr>
        <w:t>2</w:t>
      </w:r>
      <w:r w:rsidR="00747D8C">
        <w:rPr>
          <w:noProof/>
        </w:rPr>
        <w:fldChar w:fldCharType="end"/>
      </w:r>
      <w:bookmarkEnd w:id="41"/>
      <w:r w:rsidRPr="00482A36">
        <w:t>. Forest plot of pooled analysis TEAEs reported in ≥2% participants (linzagolix vs placebo) at week 24</w:t>
      </w:r>
      <w:r w:rsidRPr="00482A36">
        <w:rPr>
          <w:snapToGrid w:val="0"/>
        </w:rPr>
        <w:t xml:space="preserve"> </w:t>
      </w:r>
    </w:p>
    <w:p w14:paraId="3CC2DFD4" w14:textId="77777777" w:rsidR="00666A3E" w:rsidRPr="00482A36" w:rsidRDefault="00666A3E" w:rsidP="001626C8">
      <w:pPr>
        <w:pStyle w:val="TableFigureFooter"/>
        <w:keepNext/>
        <w:spacing w:after="0"/>
        <w:rPr>
          <w:lang w:eastAsia="en-US"/>
        </w:rPr>
      </w:pPr>
      <w:r w:rsidRPr="00482A36">
        <w:rPr>
          <w:noProof/>
        </w:rPr>
        <w:drawing>
          <wp:inline distT="0" distB="0" distL="0" distR="0" wp14:anchorId="0F109982" wp14:editId="7820875B">
            <wp:extent cx="5724525" cy="2676525"/>
            <wp:effectExtent l="0" t="0" r="9525" b="9525"/>
            <wp:docPr id="12" name="Picture 12" descr="Figure 2. Forest plot of pooled analysis TEAEs reported in ≥2% participants (linzagolix vs placebo) at week 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Forest plot of pooled analysis TEAEs reported in ≥2% participants (linzagolix vs placebo) at week 24 "/>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724525" cy="2676525"/>
                    </a:xfrm>
                    <a:prstGeom prst="rect">
                      <a:avLst/>
                    </a:prstGeom>
                    <a:noFill/>
                    <a:ln>
                      <a:noFill/>
                    </a:ln>
                    <a:extLst>
                      <a:ext uri="{53640926-AAD7-44D8-BBD7-CCE9431645EC}">
                        <a14:shadowObscured xmlns:a14="http://schemas.microsoft.com/office/drawing/2010/main"/>
                      </a:ext>
                    </a:extLst>
                  </pic:spPr>
                </pic:pic>
              </a:graphicData>
            </a:graphic>
          </wp:inline>
        </w:drawing>
      </w:r>
      <w:r w:rsidRPr="00482A36">
        <w:rPr>
          <w:lang w:eastAsia="en-US"/>
        </w:rPr>
        <w:t>Source: Figure 33, p146 of the submission</w:t>
      </w:r>
    </w:p>
    <w:p w14:paraId="1B11A5C1" w14:textId="4112BC49" w:rsidR="00666A3E" w:rsidRPr="00482A36" w:rsidRDefault="00666A3E" w:rsidP="00666A3E">
      <w:pPr>
        <w:pStyle w:val="TableFigureFooter"/>
        <w:rPr>
          <w:lang w:eastAsia="en-US"/>
        </w:rPr>
      </w:pPr>
      <w:r w:rsidRPr="00482A36">
        <w:rPr>
          <w:lang w:eastAsia="en-US"/>
        </w:rPr>
        <w:t>CI=confidence intervals; LGX=linzagolix; M-H=Mantel-Haenszel; TEAE=treatment-emergent adverse event</w:t>
      </w:r>
    </w:p>
    <w:p w14:paraId="53B0E1ED" w14:textId="5A54D221" w:rsidR="00666A3E" w:rsidRPr="00482A36" w:rsidRDefault="00FC59E8" w:rsidP="00666A3E">
      <w:pPr>
        <w:pStyle w:val="3-BodyText"/>
      </w:pPr>
      <w:r w:rsidRPr="00482A36">
        <w:rPr>
          <w:snapToGrid/>
        </w:rPr>
        <w:t>T</w:t>
      </w:r>
      <w:r w:rsidR="00666A3E" w:rsidRPr="00482A36">
        <w:rPr>
          <w:snapToGrid/>
        </w:rPr>
        <w:t>he most common TEAEs across the linzagolix arms were hot flush</w:t>
      </w:r>
      <w:r w:rsidR="00F22961">
        <w:rPr>
          <w:snapToGrid/>
        </w:rPr>
        <w:t>es</w:t>
      </w:r>
      <w:r w:rsidR="00666A3E" w:rsidRPr="00482A36">
        <w:rPr>
          <w:snapToGrid/>
        </w:rPr>
        <w:t xml:space="preserve"> (14.6%), headache (7.7%), and </w:t>
      </w:r>
      <w:r w:rsidR="005D5EB6" w:rsidRPr="00482A36">
        <w:rPr>
          <w:snapToGrid/>
        </w:rPr>
        <w:t>anaemia</w:t>
      </w:r>
      <w:r w:rsidR="00666A3E" w:rsidRPr="00482A36">
        <w:rPr>
          <w:snapToGrid/>
        </w:rPr>
        <w:t xml:space="preserve"> (6.0%). </w:t>
      </w:r>
      <w:r w:rsidR="00AF34FC">
        <w:rPr>
          <w:snapToGrid/>
        </w:rPr>
        <w:t>T</w:t>
      </w:r>
      <w:r w:rsidR="00666A3E" w:rsidRPr="00482A36">
        <w:rPr>
          <w:snapToGrid/>
        </w:rPr>
        <w:t>he incidence of hot flushes was higher in the linzagolix arms without ABT compared to those with ABT, indicating that the use of ABT helps alleviate estrogen suppression-related TEAEs</w:t>
      </w:r>
      <w:r w:rsidR="00D40D3B">
        <w:rPr>
          <w:snapToGrid/>
        </w:rPr>
        <w:t>.</w:t>
      </w:r>
      <w:r w:rsidR="00666A3E" w:rsidRPr="00482A36">
        <w:rPr>
          <w:snapToGrid/>
        </w:rPr>
        <w:t xml:space="preserve"> Moreover, headaches were more frequently reported in the linzagolix 200 mg group, suggesting a potential dose-exposure response concerning estradiol depletion. </w:t>
      </w:r>
      <w:r w:rsidR="00B24FA7">
        <w:rPr>
          <w:iCs/>
          <w:snapToGrid/>
        </w:rPr>
        <w:t>A</w:t>
      </w:r>
      <w:r w:rsidR="005D5EB6" w:rsidRPr="00616367">
        <w:rPr>
          <w:iCs/>
          <w:snapToGrid/>
        </w:rPr>
        <w:t>naemia</w:t>
      </w:r>
      <w:r w:rsidR="00666A3E" w:rsidRPr="00616367">
        <w:rPr>
          <w:iCs/>
          <w:snapToGrid/>
        </w:rPr>
        <w:t xml:space="preserve"> </w:t>
      </w:r>
      <w:r w:rsidR="00AA5046" w:rsidRPr="00616367">
        <w:rPr>
          <w:iCs/>
          <w:snapToGrid/>
        </w:rPr>
        <w:t>was</w:t>
      </w:r>
      <w:r w:rsidR="00666A3E" w:rsidRPr="00616367">
        <w:rPr>
          <w:iCs/>
          <w:snapToGrid/>
        </w:rPr>
        <w:t xml:space="preserve"> an anticipated TEAE in this patient cohort.</w:t>
      </w:r>
      <w:r w:rsidR="00666A3E" w:rsidRPr="00482A36">
        <w:rPr>
          <w:snapToGrid/>
        </w:rPr>
        <w:t xml:space="preserve"> </w:t>
      </w:r>
    </w:p>
    <w:p w14:paraId="526BD0B3" w14:textId="67AA406A" w:rsidR="00411F47" w:rsidRPr="00616367" w:rsidRDefault="00AA5046" w:rsidP="00411F47">
      <w:pPr>
        <w:pStyle w:val="3-BodyText"/>
        <w:rPr>
          <w:iCs/>
        </w:rPr>
      </w:pPr>
      <w:r w:rsidRPr="00616367">
        <w:rPr>
          <w:iCs/>
          <w:snapToGrid/>
        </w:rPr>
        <w:t>Results at week 52 were not precise enough for statistical comparison, as 27% of the Safety Analysis Set (SAF) had discontinued</w:t>
      </w:r>
      <w:r w:rsidR="00411F47" w:rsidRPr="00616367">
        <w:rPr>
          <w:iCs/>
          <w:snapToGrid/>
        </w:rPr>
        <w:t xml:space="preserve"> </w:t>
      </w:r>
      <w:r w:rsidR="00FC59E8" w:rsidRPr="00616367">
        <w:rPr>
          <w:iCs/>
          <w:snapToGrid/>
        </w:rPr>
        <w:t xml:space="preserve">by week 52 </w:t>
      </w:r>
      <w:r w:rsidR="00411F47" w:rsidRPr="00616367">
        <w:rPr>
          <w:iCs/>
          <w:snapToGrid/>
        </w:rPr>
        <w:t>due to various reasons including lack of efficacy</w:t>
      </w:r>
      <w:r w:rsidRPr="00616367">
        <w:rPr>
          <w:iCs/>
          <w:snapToGrid/>
        </w:rPr>
        <w:t>. Additionally, only 31 patients from the SAF</w:t>
      </w:r>
      <w:r w:rsidR="00411F47" w:rsidRPr="00616367">
        <w:rPr>
          <w:iCs/>
          <w:snapToGrid/>
        </w:rPr>
        <w:t xml:space="preserve"> </w:t>
      </w:r>
      <w:r w:rsidRPr="00616367">
        <w:rPr>
          <w:iCs/>
          <w:snapToGrid/>
        </w:rPr>
        <w:t>continued receiving placebo between weeks 24 and 52</w:t>
      </w:r>
      <w:r w:rsidR="00411F47" w:rsidRPr="00616367">
        <w:rPr>
          <w:iCs/>
          <w:snapToGrid/>
        </w:rPr>
        <w:t xml:space="preserve"> (50% of PRIMROSE 1 placebo arm), which further decreased precision due to the small sample size in the comparator arm.</w:t>
      </w:r>
      <w:bookmarkStart w:id="42" w:name="_Toc22897643"/>
    </w:p>
    <w:p w14:paraId="71A548BF" w14:textId="109B38AB" w:rsidR="00D87288" w:rsidRPr="00616367" w:rsidRDefault="00D87288" w:rsidP="00411F47">
      <w:pPr>
        <w:pStyle w:val="3-BodyText"/>
        <w:rPr>
          <w:iCs/>
        </w:rPr>
      </w:pPr>
      <w:bookmarkStart w:id="43" w:name="_Ref169778715"/>
      <w:r w:rsidRPr="00482A36">
        <w:t>BMD change was reported</w:t>
      </w:r>
      <w:r w:rsidR="008F07C3" w:rsidRPr="00482A36">
        <w:t xml:space="preserve"> as a safety outcome</w:t>
      </w:r>
      <w:r w:rsidRPr="00482A36">
        <w:t xml:space="preserve"> at weeks 24, 52 and 76 in PRIMROSE 1 and 2. Patients who completed at least 20 weeks o</w:t>
      </w:r>
      <w:r w:rsidR="00C00806" w:rsidRPr="00482A36">
        <w:t>f</w:t>
      </w:r>
      <w:r w:rsidRPr="00482A36">
        <w:t xml:space="preserve"> treatment in PRIMROSE 1 and 2 were also eligible to enter PRIMROSE 3 which was a safety extension study assessing long term impact of linzagolix on BMD up to 24 months (104 weeks).</w:t>
      </w:r>
      <w:bookmarkEnd w:id="43"/>
      <w:r w:rsidRPr="00482A36">
        <w:t xml:space="preserve"> </w:t>
      </w:r>
    </w:p>
    <w:p w14:paraId="6357AE25" w14:textId="21B61B70" w:rsidR="00411F47" w:rsidRPr="00616367" w:rsidRDefault="00D87288" w:rsidP="00411F47">
      <w:pPr>
        <w:pStyle w:val="3-BodyText"/>
        <w:rPr>
          <w:iCs/>
        </w:rPr>
      </w:pPr>
      <w:r w:rsidRPr="00482A36">
        <w:fldChar w:fldCharType="begin"/>
      </w:r>
      <w:r w:rsidRPr="00482A36">
        <w:instrText xml:space="preserve"> REF _Ref165289701 \h </w:instrText>
      </w:r>
      <w:r w:rsidRPr="00482A36">
        <w:fldChar w:fldCharType="separate"/>
      </w:r>
      <w:r w:rsidR="003E4FD0" w:rsidRPr="00482A36">
        <w:t xml:space="preserve">Figure </w:t>
      </w:r>
      <w:r w:rsidR="003E4FD0">
        <w:rPr>
          <w:noProof/>
        </w:rPr>
        <w:t>3</w:t>
      </w:r>
      <w:r w:rsidRPr="00482A36">
        <w:fldChar w:fldCharType="end"/>
      </w:r>
      <w:r w:rsidRPr="00482A36">
        <w:t xml:space="preserve"> summaris</w:t>
      </w:r>
      <w:r w:rsidR="00FC59E8" w:rsidRPr="00482A36">
        <w:t>es</w:t>
      </w:r>
      <w:r w:rsidR="00411F47" w:rsidRPr="00482A36">
        <w:t xml:space="preserve"> BMD mean change over time in PRIMROSE 1 and 2.</w:t>
      </w:r>
    </w:p>
    <w:p w14:paraId="3B1D134B" w14:textId="0954E0D9" w:rsidR="00411F47" w:rsidRPr="00482A36" w:rsidRDefault="00D87288" w:rsidP="00D87288">
      <w:pPr>
        <w:pStyle w:val="Caption"/>
      </w:pPr>
      <w:bookmarkStart w:id="44" w:name="_Ref165289701"/>
      <w:r w:rsidRPr="00482A36">
        <w:lastRenderedPageBreak/>
        <w:t xml:space="preserve">Figure </w:t>
      </w:r>
      <w:r w:rsidR="00747D8C">
        <w:fldChar w:fldCharType="begin"/>
      </w:r>
      <w:r w:rsidR="00747D8C">
        <w:instrText xml:space="preserve"> SEQ Figure \* ARABIC </w:instrText>
      </w:r>
      <w:r w:rsidR="00747D8C">
        <w:fldChar w:fldCharType="separate"/>
      </w:r>
      <w:r w:rsidR="003E4FD0">
        <w:rPr>
          <w:noProof/>
        </w:rPr>
        <w:t>3</w:t>
      </w:r>
      <w:r w:rsidR="00747D8C">
        <w:rPr>
          <w:noProof/>
        </w:rPr>
        <w:fldChar w:fldCharType="end"/>
      </w:r>
      <w:bookmarkEnd w:id="44"/>
      <w:r w:rsidRPr="00482A36">
        <w:t>. BMD mean change during treatment to week 52 in PRIMROSE 1 and 2</w:t>
      </w:r>
    </w:p>
    <w:p w14:paraId="1038BC11" w14:textId="77777777" w:rsidR="00D87288" w:rsidRPr="00482A36" w:rsidRDefault="00D87288" w:rsidP="00D87288">
      <w:pPr>
        <w:pStyle w:val="TableFigureFooter"/>
      </w:pPr>
      <w:r w:rsidRPr="00482A36">
        <w:rPr>
          <w:noProof/>
          <w:lang w:eastAsia="zh-CN"/>
        </w:rPr>
        <w:drawing>
          <wp:inline distT="0" distB="0" distL="0" distR="0" wp14:anchorId="1B6E245A" wp14:editId="047DB163">
            <wp:extent cx="4516979" cy="5424985"/>
            <wp:effectExtent l="0" t="0" r="0" b="4445"/>
            <wp:docPr id="13" name="Picture 13" descr="Figure 3. BMD mean change during treatment to week 52 in PRIMROSE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3. BMD mean change during treatment to week 52 in PRIMROSE 1 and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5180" cy="5434835"/>
                    </a:xfrm>
                    <a:prstGeom prst="rect">
                      <a:avLst/>
                    </a:prstGeom>
                    <a:noFill/>
                    <a:ln>
                      <a:noFill/>
                    </a:ln>
                  </pic:spPr>
                </pic:pic>
              </a:graphicData>
            </a:graphic>
          </wp:inline>
        </w:drawing>
      </w:r>
      <w:r w:rsidRPr="00482A36">
        <w:t xml:space="preserve"> </w:t>
      </w:r>
    </w:p>
    <w:p w14:paraId="3DDA54D5" w14:textId="02945976" w:rsidR="00D87288" w:rsidRPr="00482A36" w:rsidRDefault="00D87288" w:rsidP="00D87288">
      <w:pPr>
        <w:pStyle w:val="TableFigureFooter"/>
      </w:pPr>
      <w:r w:rsidRPr="00482A36">
        <w:t>Source: extracted during evaluation from Figure 3, Donnez et al 2022</w:t>
      </w:r>
    </w:p>
    <w:p w14:paraId="7BF54817" w14:textId="77777777" w:rsidR="00D87288" w:rsidRPr="00482A36" w:rsidRDefault="00D87288" w:rsidP="00D87288">
      <w:pPr>
        <w:pStyle w:val="TableFigureFooter"/>
      </w:pPr>
      <w:r w:rsidRPr="00482A36">
        <w:t>ABT=add-back therapy; BMD=bone marrow density.</w:t>
      </w:r>
    </w:p>
    <w:p w14:paraId="4B3D6FB1" w14:textId="5E94B4FB" w:rsidR="001515AC" w:rsidRPr="00616367" w:rsidRDefault="00D87288" w:rsidP="00D87288">
      <w:pPr>
        <w:pStyle w:val="3-BodyText"/>
        <w:rPr>
          <w:iCs/>
        </w:rPr>
      </w:pPr>
      <w:r w:rsidRPr="00482A36">
        <w:t xml:space="preserve">The analysis of PRIMROSE 1 and 2 trials </w:t>
      </w:r>
      <w:r w:rsidR="003F17F4">
        <w:t>reported</w:t>
      </w:r>
      <w:r w:rsidR="003F17F4" w:rsidRPr="00482A36">
        <w:t xml:space="preserve"> </w:t>
      </w:r>
      <w:r w:rsidR="001515AC">
        <w:t>changes</w:t>
      </w:r>
      <w:r w:rsidR="001515AC" w:rsidRPr="00482A36">
        <w:t xml:space="preserve"> </w:t>
      </w:r>
      <w:r w:rsidRPr="00482A36">
        <w:t>in BMD at all three anatomical sites (lumbar spine, femoral neck, and total hip) by week</w:t>
      </w:r>
      <w:r w:rsidR="00C00806" w:rsidRPr="00482A36">
        <w:t>s</w:t>
      </w:r>
      <w:r w:rsidRPr="00482A36">
        <w:t xml:space="preserve"> 24 and 52. At week 24, the most significant mean </w:t>
      </w:r>
      <w:r w:rsidR="001515AC">
        <w:t>changes from baseline in BMD</w:t>
      </w:r>
      <w:r w:rsidR="001515AC" w:rsidRPr="00482A36">
        <w:t xml:space="preserve"> </w:t>
      </w:r>
      <w:r w:rsidRPr="00482A36">
        <w:t>were observed in the lumbar spine, with linzagolix-treated groups experiencing decreases of 1.0%</w:t>
      </w:r>
      <w:r w:rsidR="00BD46E0" w:rsidRPr="00482A36">
        <w:t xml:space="preserve"> to </w:t>
      </w:r>
      <w:r w:rsidRPr="00482A36">
        <w:t>3.7% for different dosage combinations compared to a 0.4% increase in the placebo group. By week 52, percent decreases in lumbar spine BMD ranged from 1.0% to 2.6% in the linzagolix-treated groups, while stabili</w:t>
      </w:r>
      <w:r w:rsidR="00BD46E0" w:rsidRPr="00482A36">
        <w:t>s</w:t>
      </w:r>
      <w:r w:rsidRPr="00482A36">
        <w:t>ing in those receiving linzagolix 200</w:t>
      </w:r>
      <w:r w:rsidR="001626C8">
        <w:t> </w:t>
      </w:r>
      <w:r w:rsidRPr="00482A36">
        <w:t xml:space="preserve">mg </w:t>
      </w:r>
      <w:r w:rsidR="00BD46E0" w:rsidRPr="00482A36">
        <w:t>+</w:t>
      </w:r>
      <w:r w:rsidRPr="00482A36">
        <w:t xml:space="preserve"> ABT. </w:t>
      </w:r>
    </w:p>
    <w:p w14:paraId="7F07166B" w14:textId="563B929A" w:rsidR="00D87288" w:rsidRPr="00616367" w:rsidRDefault="001515AC" w:rsidP="00D87288">
      <w:pPr>
        <w:pStyle w:val="3-BodyText"/>
        <w:rPr>
          <w:iCs/>
        </w:rPr>
      </w:pPr>
      <w:r>
        <w:lastRenderedPageBreak/>
        <w:t>Z-scores</w:t>
      </w:r>
      <w:r w:rsidR="00727F11">
        <w:rPr>
          <w:rStyle w:val="FootnoteReference"/>
        </w:rPr>
        <w:footnoteReference w:id="18"/>
      </w:r>
      <w:r>
        <w:t xml:space="preserve"> </w:t>
      </w:r>
      <w:r w:rsidRPr="001515AC">
        <w:t>for BMD</w:t>
      </w:r>
      <w:r>
        <w:t xml:space="preserve"> at baseline</w:t>
      </w:r>
      <w:r w:rsidRPr="001515AC">
        <w:t xml:space="preserve"> were generally comparable across treatment groups</w:t>
      </w:r>
      <w:r w:rsidR="00E72858">
        <w:t xml:space="preserve"> in the pooled </w:t>
      </w:r>
      <w:r w:rsidR="00ED20B1">
        <w:t>safety analysis set (</w:t>
      </w:r>
      <w:r w:rsidR="00E72858">
        <w:t>SAF</w:t>
      </w:r>
      <w:r w:rsidR="00ED20B1">
        <w:t>)</w:t>
      </w:r>
      <w:r w:rsidR="00E72858">
        <w:t xml:space="preserve"> (median</w:t>
      </w:r>
      <w:r w:rsidR="00ED20B1">
        <w:t>s</w:t>
      </w:r>
      <w:r w:rsidR="00E72858">
        <w:t xml:space="preserve">: 0.3-0.5 in </w:t>
      </w:r>
      <w:r w:rsidR="00ED20B1">
        <w:t xml:space="preserve">the active arms </w:t>
      </w:r>
      <w:r w:rsidR="00E72858">
        <w:t xml:space="preserve">and 0.6 in the placebo arm). </w:t>
      </w:r>
      <w:r w:rsidR="00727F11" w:rsidRPr="009B54FA">
        <w:t xml:space="preserve">Medians at </w:t>
      </w:r>
      <w:r w:rsidR="00727F11">
        <w:t>w</w:t>
      </w:r>
      <w:r w:rsidR="00727F11" w:rsidRPr="009B54FA">
        <w:t xml:space="preserve">eek 24 </w:t>
      </w:r>
      <w:r w:rsidR="00727F11">
        <w:t xml:space="preserve">were between </w:t>
      </w:r>
      <w:r w:rsidR="00727F11" w:rsidRPr="009B54FA">
        <w:t>-0.10 to 0.55 for the lumbar spine, from 0.20 to 0.30 for the femoral neck, and from 0.50 to 0.60 for the total hip</w:t>
      </w:r>
      <w:r w:rsidR="00727F11">
        <w:t xml:space="preserve">. </w:t>
      </w:r>
      <w:r w:rsidR="00E72858" w:rsidRPr="009B54FA">
        <w:t xml:space="preserve">At </w:t>
      </w:r>
      <w:r w:rsidR="00E72858">
        <w:t>w</w:t>
      </w:r>
      <w:r w:rsidR="00E72858" w:rsidRPr="009B54FA">
        <w:t xml:space="preserve">eek 24, median absolute changes from baseline in Z-scores for the lumbar spine </w:t>
      </w:r>
      <w:r w:rsidR="00ED20B1">
        <w:t xml:space="preserve">were </w:t>
      </w:r>
      <w:r w:rsidR="00E72858">
        <w:t>between</w:t>
      </w:r>
      <w:r w:rsidR="00E72858" w:rsidRPr="009B54FA">
        <w:t xml:space="preserve"> -0.10 for linzagolix 200 mg + ABT </w:t>
      </w:r>
      <w:r w:rsidR="00E72858">
        <w:t xml:space="preserve">to </w:t>
      </w:r>
      <w:r w:rsidR="00E72858" w:rsidRPr="009B54FA">
        <w:t>-0.40 for linzagolix 200 mg, versus 0.0</w:t>
      </w:r>
      <w:r w:rsidR="006D05CE">
        <w:t>0 (range: -1.0, 0.9)</w:t>
      </w:r>
      <w:r w:rsidR="00E72858" w:rsidRPr="009B54FA">
        <w:t xml:space="preserve"> for placebo. For the femoral neck, median absolute changes from baseline </w:t>
      </w:r>
      <w:r w:rsidR="006941F0">
        <w:t xml:space="preserve">varied </w:t>
      </w:r>
      <w:r w:rsidR="00E72858">
        <w:t>from</w:t>
      </w:r>
      <w:r w:rsidR="00E72858" w:rsidRPr="009B54FA">
        <w:t xml:space="preserve"> 0.0</w:t>
      </w:r>
      <w:r w:rsidR="006D05CE">
        <w:t>0 (range: -0.6, 1.1)</w:t>
      </w:r>
      <w:r w:rsidR="00E72858" w:rsidRPr="009B54FA">
        <w:t xml:space="preserve"> for linzagolix 100 + ABT and placebo </w:t>
      </w:r>
      <w:r w:rsidR="00E72858">
        <w:t xml:space="preserve">to </w:t>
      </w:r>
      <w:r w:rsidR="001626C8">
        <w:noBreakHyphen/>
      </w:r>
      <w:r w:rsidR="00E72858" w:rsidRPr="009B54FA">
        <w:t>0.20 for linzagolix 200 mg. For the total hip, median absolute changes from baseline were -0.10 for linzagolix 200 mg, and 0.00</w:t>
      </w:r>
      <w:r w:rsidR="006D05CE">
        <w:t xml:space="preserve"> (range: -1.4, 1.1)</w:t>
      </w:r>
      <w:r w:rsidR="00E72858" w:rsidRPr="009B54FA">
        <w:t xml:space="preserve"> for all other treatment groups. </w:t>
      </w:r>
      <w:r w:rsidR="00D87288" w:rsidRPr="00482A36">
        <w:t>The median</w:t>
      </w:r>
      <w:r w:rsidR="00C00806" w:rsidRPr="00482A36">
        <w:t>s</w:t>
      </w:r>
      <w:r w:rsidR="00D87288" w:rsidRPr="00482A36">
        <w:t xml:space="preserve"> and interquartile range</w:t>
      </w:r>
      <w:r w:rsidR="00C00806" w:rsidRPr="00482A36">
        <w:t>s</w:t>
      </w:r>
      <w:r w:rsidR="00D87288" w:rsidRPr="00482A36">
        <w:t xml:space="preserve"> of </w:t>
      </w:r>
      <w:r w:rsidR="00F24A4D">
        <w:t>Z</w:t>
      </w:r>
      <w:r w:rsidR="00D87288" w:rsidRPr="00482A36">
        <w:t xml:space="preserve">-scores remained relatively stable over time. </w:t>
      </w:r>
      <w:r w:rsidR="006D05CE">
        <w:t>Median</w:t>
      </w:r>
      <w:r w:rsidR="00E72858" w:rsidRPr="009B54FA">
        <w:t xml:space="preserve"> absolute changes from baseline in Z-scores</w:t>
      </w:r>
      <w:r w:rsidR="00E72E01">
        <w:t xml:space="preserve"> at week 52</w:t>
      </w:r>
      <w:r w:rsidR="005F69D8">
        <w:t xml:space="preserve"> in the treatment arms</w:t>
      </w:r>
      <w:r w:rsidR="00E72858">
        <w:t xml:space="preserve"> </w:t>
      </w:r>
      <w:r w:rsidR="006941F0">
        <w:t xml:space="preserve">were </w:t>
      </w:r>
      <w:r w:rsidR="00E72858">
        <w:t>between -0.1 to -0.3</w:t>
      </w:r>
      <w:r w:rsidR="00E72858" w:rsidRPr="00E72858">
        <w:t xml:space="preserve"> </w:t>
      </w:r>
      <w:r w:rsidR="00E72858" w:rsidRPr="009B54FA">
        <w:t>for the lumbar spine</w:t>
      </w:r>
      <w:r w:rsidR="00E72858">
        <w:t xml:space="preserve"> and -0.1 to 0.0</w:t>
      </w:r>
      <w:r w:rsidR="006D05CE">
        <w:t>0</w:t>
      </w:r>
      <w:r w:rsidR="00E72858">
        <w:t xml:space="preserve"> for</w:t>
      </w:r>
      <w:r w:rsidR="00E72858" w:rsidRPr="00E72858">
        <w:t xml:space="preserve"> </w:t>
      </w:r>
      <w:r w:rsidR="00E72858">
        <w:t xml:space="preserve">femoral neck and total hip. </w:t>
      </w:r>
      <w:r w:rsidR="00E72858" w:rsidRPr="00E72858">
        <w:t>Medians at Week 52 were all above zero and ranged from 0.10 to 0.70 for the lumbar spine, from 0.10 to 0.35 for the femoral neck, and from 0.50 to 0.60 for the total hip.</w:t>
      </w:r>
      <w:r w:rsidR="00E72858">
        <w:t xml:space="preserve"> </w:t>
      </w:r>
      <w:r w:rsidR="00D87288" w:rsidRPr="00482A36">
        <w:t>The submission suggested that BMD decreases stabili</w:t>
      </w:r>
      <w:r w:rsidR="00BD46E0" w:rsidRPr="00482A36">
        <w:t>s</w:t>
      </w:r>
      <w:r w:rsidR="00D87288" w:rsidRPr="00482A36">
        <w:t>ed by week 52 in linzagolix-treated patients compared to earlier periods.</w:t>
      </w:r>
      <w:r w:rsidR="00BD46E0" w:rsidRPr="00482A36">
        <w:t xml:space="preserve"> </w:t>
      </w:r>
      <w:r w:rsidR="00BD46E0" w:rsidRPr="00616367">
        <w:rPr>
          <w:iCs/>
        </w:rPr>
        <w:t>Although the rates of decline were slowed compared to the initial treatment period</w:t>
      </w:r>
      <w:r w:rsidR="00C00806" w:rsidRPr="00616367">
        <w:rPr>
          <w:iCs/>
        </w:rPr>
        <w:t>,</w:t>
      </w:r>
      <w:r w:rsidR="00BD46E0" w:rsidRPr="00616367">
        <w:rPr>
          <w:iCs/>
        </w:rPr>
        <w:t xml:space="preserve"> large </w:t>
      </w:r>
      <w:r w:rsidR="008E2120" w:rsidRPr="00616367">
        <w:rPr>
          <w:iCs/>
        </w:rPr>
        <w:t xml:space="preserve">reductions </w:t>
      </w:r>
      <w:r w:rsidR="00BD46E0" w:rsidRPr="00616367">
        <w:rPr>
          <w:iCs/>
        </w:rPr>
        <w:t>in BMD</w:t>
      </w:r>
      <w:r w:rsidR="00E72E01" w:rsidRPr="00616367">
        <w:rPr>
          <w:iCs/>
        </w:rPr>
        <w:t xml:space="preserve">, specifically in lumbar spine, </w:t>
      </w:r>
      <w:r w:rsidR="00BD46E0" w:rsidRPr="00616367">
        <w:rPr>
          <w:iCs/>
        </w:rPr>
        <w:t xml:space="preserve">were </w:t>
      </w:r>
      <w:r w:rsidR="00C00806" w:rsidRPr="00616367">
        <w:rPr>
          <w:iCs/>
        </w:rPr>
        <w:t xml:space="preserve">still </w:t>
      </w:r>
      <w:r w:rsidR="00BD46E0" w:rsidRPr="00616367">
        <w:rPr>
          <w:iCs/>
        </w:rPr>
        <w:t xml:space="preserve">observed in all linzagolix treatment arms </w:t>
      </w:r>
      <w:r w:rsidR="009059B7" w:rsidRPr="00616367">
        <w:rPr>
          <w:iCs/>
        </w:rPr>
        <w:t xml:space="preserve">at week 52 </w:t>
      </w:r>
      <w:r w:rsidR="00BD46E0" w:rsidRPr="00616367">
        <w:rPr>
          <w:iCs/>
        </w:rPr>
        <w:t>(especially those originally administered linzagolix 100</w:t>
      </w:r>
      <w:r w:rsidR="001626C8">
        <w:rPr>
          <w:iCs/>
        </w:rPr>
        <w:t> </w:t>
      </w:r>
      <w:r w:rsidR="00BD46E0" w:rsidRPr="00616367">
        <w:rPr>
          <w:iCs/>
        </w:rPr>
        <w:t>mg or 200 mg, alone).</w:t>
      </w:r>
    </w:p>
    <w:p w14:paraId="45B5E43F" w14:textId="46740E6A" w:rsidR="00BD46E0" w:rsidRPr="00F362FE" w:rsidRDefault="00D95A3E" w:rsidP="00D95A3E">
      <w:pPr>
        <w:pStyle w:val="3-BodyText"/>
      </w:pPr>
      <w:r w:rsidRPr="00F362FE">
        <w:t xml:space="preserve">At week 24, patients with more than 8% decrease in BMD from baseline or a </w:t>
      </w:r>
      <w:r w:rsidR="00F24A4D">
        <w:t>Z</w:t>
      </w:r>
      <w:r w:rsidRPr="00F362FE">
        <w:t xml:space="preserve">-score </w:t>
      </w:r>
      <w:r w:rsidR="001626C8" w:rsidRPr="00F362FE">
        <w:t>≤</w:t>
      </w:r>
      <w:r w:rsidR="001626C8">
        <w:t> </w:t>
      </w:r>
      <w:r w:rsidRPr="00F362FE">
        <w:t xml:space="preserve">-2.5 discontinued treatment. </w:t>
      </w:r>
      <w:r w:rsidR="000D5665" w:rsidRPr="00F362FE">
        <w:t xml:space="preserve">Discontinuations due to </w:t>
      </w:r>
      <w:r w:rsidR="00BD46E0" w:rsidRPr="00F362FE">
        <w:t>decrease</w:t>
      </w:r>
      <w:r w:rsidR="000D5665" w:rsidRPr="00F362FE">
        <w:t>d</w:t>
      </w:r>
      <w:r w:rsidR="00BD46E0" w:rsidRPr="00F362FE">
        <w:t xml:space="preserve"> BMD </w:t>
      </w:r>
      <w:r w:rsidR="00E72E01" w:rsidRPr="00F362FE">
        <w:t xml:space="preserve">at week 24 </w:t>
      </w:r>
      <w:r w:rsidR="00BD46E0" w:rsidRPr="00F362FE">
        <w:t>rang</w:t>
      </w:r>
      <w:r w:rsidR="000D5665" w:rsidRPr="00F362FE">
        <w:t xml:space="preserve">ed </w:t>
      </w:r>
      <w:r w:rsidR="00BD46E0" w:rsidRPr="00F362FE">
        <w:t xml:space="preserve">from 0.9% (linzagolix 200 mg + ABT) to 4.6% (linzagolix 100 mg + ABT) and from 1.0% (linzagolix 100 mg + ABT) to 6.7% (linzagolix 200 mg) in the linzagolix arms of PRIMROSE 1 and 2, respectively. </w:t>
      </w:r>
      <w:r w:rsidR="005F1184" w:rsidRPr="00F362FE">
        <w:t xml:space="preserve">The </w:t>
      </w:r>
      <w:r w:rsidR="006941F0" w:rsidRPr="00F362FE">
        <w:t xml:space="preserve">pooled </w:t>
      </w:r>
      <w:r w:rsidR="005F1184" w:rsidRPr="00F362FE">
        <w:t xml:space="preserve">average discontinuation </w:t>
      </w:r>
      <w:r w:rsidR="006941F0" w:rsidRPr="00F362FE">
        <w:t xml:space="preserve">rate across all linzagolix treatment arms </w:t>
      </w:r>
      <w:r w:rsidR="005F1184" w:rsidRPr="00F362FE">
        <w:t>due to BMD decrease at week 24 were 2.4% in PRIMROSE 1 and 3.2% in PRIMROSE 2</w:t>
      </w:r>
      <w:r w:rsidR="00110F49" w:rsidRPr="00F362FE">
        <w:t xml:space="preserve">. </w:t>
      </w:r>
      <w:r w:rsidR="00BD46E0" w:rsidRPr="00F362FE">
        <w:t>In comparison, the discontinuation rate in the placebo arm</w:t>
      </w:r>
      <w:r w:rsidR="009059B7" w:rsidRPr="00F362FE">
        <w:t>s</w:t>
      </w:r>
      <w:r w:rsidR="00BD46E0" w:rsidRPr="00F362FE">
        <w:t xml:space="preserve"> across both trials was 2.5%.</w:t>
      </w:r>
    </w:p>
    <w:p w14:paraId="428B43F0" w14:textId="2A8FC986" w:rsidR="00BD46E0" w:rsidRPr="00616367" w:rsidRDefault="00BD46E0" w:rsidP="00D87288">
      <w:pPr>
        <w:pStyle w:val="3-BodyText"/>
        <w:rPr>
          <w:iCs/>
        </w:rPr>
      </w:pPr>
      <w:r w:rsidRPr="00616367">
        <w:rPr>
          <w:lang w:eastAsia="en-US"/>
        </w:rPr>
        <w:t xml:space="preserve">BMD decrease was </w:t>
      </w:r>
      <w:r w:rsidRPr="00616367">
        <w:t xml:space="preserve">the most frequent reason for permanent discontinuation due to any TEAEs between weeks 24 and 52 (10 of 42 discontinued cases). Additionally, </w:t>
      </w:r>
      <w:r w:rsidR="006941F0" w:rsidRPr="00616367">
        <w:t xml:space="preserve">the trial CSR for pooled </w:t>
      </w:r>
      <w:r w:rsidR="00F76D8D" w:rsidRPr="00616367">
        <w:t xml:space="preserve">PRIMROSE 1 and 2 indicated patients had ceased linzagolix due to </w:t>
      </w:r>
      <w:r w:rsidRPr="00616367">
        <w:t xml:space="preserve">bone loss </w:t>
      </w:r>
      <w:r w:rsidR="00F76D8D" w:rsidRPr="00616367">
        <w:t xml:space="preserve">(2 patients) </w:t>
      </w:r>
      <w:r w:rsidRPr="00616367">
        <w:t>and osteoporosis</w:t>
      </w:r>
      <w:r w:rsidR="00F76D8D" w:rsidRPr="00616367">
        <w:t xml:space="preserve"> (2 patients) in the linzagolix treatment arms between week 24 and 52. </w:t>
      </w:r>
      <w:r w:rsidR="00110F49" w:rsidRPr="00616367">
        <w:t xml:space="preserve"> </w:t>
      </w:r>
    </w:p>
    <w:p w14:paraId="5733A393" w14:textId="458B77C5" w:rsidR="00BD46E0" w:rsidRPr="00110F49" w:rsidRDefault="009059B7" w:rsidP="00D87288">
      <w:pPr>
        <w:pStyle w:val="3-BodyText"/>
      </w:pPr>
      <w:r w:rsidRPr="00482A36">
        <w:t xml:space="preserve">All treatments in the PRIMROSE 1 and 2 trials ceased at week 52. By week 76, some rebound in </w:t>
      </w:r>
      <w:r w:rsidR="00BD46E0" w:rsidRPr="00482A36">
        <w:t xml:space="preserve">BMD </w:t>
      </w:r>
      <w:r w:rsidRPr="00482A36">
        <w:t>was evident</w:t>
      </w:r>
      <w:r w:rsidR="00BD46E0" w:rsidRPr="00482A36">
        <w:t>, especially in the lumbar spine, except for those in the linzagolix</w:t>
      </w:r>
      <w:r w:rsidR="001626C8">
        <w:t xml:space="preserve"> </w:t>
      </w:r>
      <w:r w:rsidR="00BD46E0" w:rsidRPr="00482A36">
        <w:t>100</w:t>
      </w:r>
      <w:r w:rsidR="001626C8">
        <w:t> </w:t>
      </w:r>
      <w:r w:rsidR="00BD46E0" w:rsidRPr="00482A36">
        <w:t>mg + ABT arm of PRIMROSE 1, wh</w:t>
      </w:r>
      <w:r w:rsidR="000D5665" w:rsidRPr="00482A36">
        <w:t>o</w:t>
      </w:r>
      <w:r w:rsidR="00BD46E0" w:rsidRPr="00482A36">
        <w:t xml:space="preserve"> experienced a larger decline of 0.98% from baseline at week 76 compared to a reduction of 0.05% at week 52. BMD </w:t>
      </w:r>
      <w:r w:rsidR="00BD46E0" w:rsidRPr="00482A36">
        <w:lastRenderedPageBreak/>
        <w:t xml:space="preserve">recovery was slowest in patients not receiving ABT, as evidenced in </w:t>
      </w:r>
      <w:r w:rsidR="001626C8" w:rsidRPr="00482A36">
        <w:t>PRIMROSE</w:t>
      </w:r>
      <w:r w:rsidR="001626C8">
        <w:t> </w:t>
      </w:r>
      <w:r w:rsidR="00BD46E0" w:rsidRPr="00482A36">
        <w:t>2, where the linzagolix 100 mg (without ABT) treatment arm showed less BMD rebound from week 52 to week 76 compared to other treatment groups.</w:t>
      </w:r>
      <w:r w:rsidR="00110F49" w:rsidRPr="00110F49">
        <w:t xml:space="preserve"> </w:t>
      </w:r>
      <w:r w:rsidR="00110F49">
        <w:fldChar w:fldCharType="begin"/>
      </w:r>
      <w:r w:rsidR="00110F49">
        <w:instrText xml:space="preserve"> REF _Ref166245566 \h </w:instrText>
      </w:r>
      <w:r w:rsidR="00110F49">
        <w:fldChar w:fldCharType="separate"/>
      </w:r>
      <w:r w:rsidR="003E4FD0">
        <w:t xml:space="preserve">Figure </w:t>
      </w:r>
      <w:r w:rsidR="003E4FD0">
        <w:rPr>
          <w:noProof/>
        </w:rPr>
        <w:t>4</w:t>
      </w:r>
      <w:r w:rsidR="00110F49">
        <w:fldChar w:fldCharType="end"/>
      </w:r>
      <w:r w:rsidR="00110F49">
        <w:t xml:space="preserve"> shows BMD </w:t>
      </w:r>
      <w:r w:rsidR="00110F49" w:rsidRPr="00110F49">
        <w:t>change</w:t>
      </w:r>
      <w:r w:rsidR="00110F49">
        <w:t>s</w:t>
      </w:r>
      <w:r w:rsidR="00110F49" w:rsidRPr="00110F49">
        <w:t xml:space="preserve"> from baseline </w:t>
      </w:r>
      <w:r w:rsidR="001A6864">
        <w:t>to week</w:t>
      </w:r>
      <w:r w:rsidR="00110F49">
        <w:t xml:space="preserve"> </w:t>
      </w:r>
      <w:r w:rsidR="00110F49" w:rsidRPr="00110F49">
        <w:t>76</w:t>
      </w:r>
      <w:r w:rsidR="00110F49">
        <w:t>.</w:t>
      </w:r>
      <w:r w:rsidR="008F07C3" w:rsidRPr="00482A36">
        <w:t xml:space="preserve"> </w:t>
      </w:r>
      <w:r w:rsidR="008F07C3" w:rsidRPr="00616367">
        <w:rPr>
          <w:iCs/>
        </w:rPr>
        <w:t xml:space="preserve">BMD results at week 76 </w:t>
      </w:r>
      <w:r w:rsidRPr="00616367">
        <w:rPr>
          <w:iCs/>
        </w:rPr>
        <w:t xml:space="preserve">are not generalisable to any patients </w:t>
      </w:r>
      <w:r w:rsidR="008F07C3" w:rsidRPr="00616367">
        <w:rPr>
          <w:iCs/>
        </w:rPr>
        <w:t xml:space="preserve">treated beyond </w:t>
      </w:r>
      <w:r w:rsidR="00E55BCF" w:rsidRPr="00616367">
        <w:rPr>
          <w:iCs/>
        </w:rPr>
        <w:t>one</w:t>
      </w:r>
      <w:r w:rsidR="008F07C3" w:rsidRPr="00616367">
        <w:rPr>
          <w:iCs/>
        </w:rPr>
        <w:t xml:space="preserve"> year.</w:t>
      </w:r>
    </w:p>
    <w:p w14:paraId="63D4D01C" w14:textId="68D6CACB" w:rsidR="00110F49" w:rsidRDefault="00110F49" w:rsidP="00110F49">
      <w:pPr>
        <w:pStyle w:val="Caption"/>
      </w:pPr>
      <w:bookmarkStart w:id="45" w:name="_Ref166245566"/>
      <w:r>
        <w:t xml:space="preserve">Figure </w:t>
      </w:r>
      <w:r w:rsidR="00747D8C">
        <w:fldChar w:fldCharType="begin"/>
      </w:r>
      <w:r w:rsidR="00747D8C">
        <w:instrText xml:space="preserve"> SEQ Figure \* ARABIC </w:instrText>
      </w:r>
      <w:r w:rsidR="00747D8C">
        <w:fldChar w:fldCharType="separate"/>
      </w:r>
      <w:r w:rsidR="003E4FD0">
        <w:rPr>
          <w:noProof/>
        </w:rPr>
        <w:t>4</w:t>
      </w:r>
      <w:r w:rsidR="00747D8C">
        <w:rPr>
          <w:noProof/>
        </w:rPr>
        <w:fldChar w:fldCharType="end"/>
      </w:r>
      <w:bookmarkEnd w:id="45"/>
      <w:r>
        <w:t xml:space="preserve">. </w:t>
      </w:r>
      <w:r w:rsidRPr="008705C8">
        <w:t>BMD mean percentage change from baseline to week 76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2"/>
      </w:tblGrid>
      <w:tr w:rsidR="00110F49" w:rsidRPr="00482A36" w14:paraId="6727444E" w14:textId="77777777" w:rsidTr="00BA1ECE">
        <w:tc>
          <w:tcPr>
            <w:tcW w:w="4485" w:type="dxa"/>
          </w:tcPr>
          <w:p w14:paraId="0FCF4E98" w14:textId="77777777" w:rsidR="00110F49" w:rsidRPr="00482A36" w:rsidRDefault="00110F49" w:rsidP="00BA1ECE">
            <w:pPr>
              <w:pStyle w:val="In-tableHeading"/>
              <w:keepLines/>
              <w:jc w:val="center"/>
              <w:rPr>
                <w:lang w:val="en-AU" w:eastAsia="en-US"/>
              </w:rPr>
            </w:pPr>
            <w:r w:rsidRPr="00482A36">
              <w:rPr>
                <w:lang w:val="en-AU" w:eastAsia="en-US"/>
              </w:rPr>
              <w:t>PRIMROSE 1</w:t>
            </w:r>
          </w:p>
        </w:tc>
        <w:tc>
          <w:tcPr>
            <w:tcW w:w="4542" w:type="dxa"/>
          </w:tcPr>
          <w:p w14:paraId="1F06E90C" w14:textId="77777777" w:rsidR="00110F49" w:rsidRPr="00482A36" w:rsidRDefault="00110F49" w:rsidP="00BA1ECE">
            <w:pPr>
              <w:pStyle w:val="In-tableHeading"/>
              <w:keepLines/>
              <w:jc w:val="center"/>
              <w:rPr>
                <w:lang w:val="en-AU" w:eastAsia="en-US"/>
              </w:rPr>
            </w:pPr>
            <w:r w:rsidRPr="00482A36">
              <w:rPr>
                <w:lang w:val="en-AU" w:eastAsia="en-US"/>
              </w:rPr>
              <w:t>PRIMROSE 2</w:t>
            </w:r>
          </w:p>
        </w:tc>
      </w:tr>
      <w:tr w:rsidR="00110F49" w:rsidRPr="00482A36" w14:paraId="3C4DB8F1" w14:textId="77777777" w:rsidTr="00BA1ECE">
        <w:tc>
          <w:tcPr>
            <w:tcW w:w="4485" w:type="dxa"/>
          </w:tcPr>
          <w:p w14:paraId="68744118" w14:textId="77777777" w:rsidR="00110F49" w:rsidRPr="00482A36" w:rsidRDefault="00110F49" w:rsidP="00666AB0">
            <w:pPr>
              <w:pStyle w:val="In-tableHeading"/>
              <w:keepLines/>
              <w:numPr>
                <w:ilvl w:val="0"/>
                <w:numId w:val="8"/>
              </w:numPr>
              <w:rPr>
                <w:lang w:val="en-AU" w:eastAsia="en-US"/>
              </w:rPr>
            </w:pPr>
            <w:r w:rsidRPr="00482A36">
              <w:rPr>
                <w:lang w:val="en-AU" w:eastAsia="en-US"/>
              </w:rPr>
              <w:t>Lumbar spine</w:t>
            </w:r>
          </w:p>
        </w:tc>
        <w:tc>
          <w:tcPr>
            <w:tcW w:w="4542" w:type="dxa"/>
          </w:tcPr>
          <w:p w14:paraId="4EF230FA" w14:textId="77777777" w:rsidR="00110F49" w:rsidRPr="00482A36" w:rsidRDefault="00110F49" w:rsidP="00666AB0">
            <w:pPr>
              <w:pStyle w:val="In-tableHeading"/>
              <w:keepLines/>
              <w:numPr>
                <w:ilvl w:val="0"/>
                <w:numId w:val="9"/>
              </w:numPr>
              <w:rPr>
                <w:lang w:val="en-AU" w:eastAsia="en-US"/>
              </w:rPr>
            </w:pPr>
            <w:r w:rsidRPr="00482A36">
              <w:rPr>
                <w:lang w:val="en-AU" w:eastAsia="en-US"/>
              </w:rPr>
              <w:t>Lumbar spine</w:t>
            </w:r>
          </w:p>
        </w:tc>
      </w:tr>
      <w:tr w:rsidR="00110F49" w:rsidRPr="00482A36" w14:paraId="25CCC205" w14:textId="77777777" w:rsidTr="00BA1ECE">
        <w:tc>
          <w:tcPr>
            <w:tcW w:w="4485" w:type="dxa"/>
          </w:tcPr>
          <w:p w14:paraId="0CBCD264" w14:textId="77777777" w:rsidR="00110F49" w:rsidRPr="00482A36" w:rsidRDefault="00110F49" w:rsidP="00BA1ECE">
            <w:pPr>
              <w:pStyle w:val="In-tableHeading"/>
              <w:keepLines/>
              <w:rPr>
                <w:lang w:val="en-AU" w:eastAsia="en-US"/>
              </w:rPr>
            </w:pPr>
            <w:r w:rsidRPr="00482A36">
              <w:rPr>
                <w:noProof/>
                <w:lang w:val="en-AU" w:eastAsia="en-US"/>
              </w:rPr>
              <w:drawing>
                <wp:inline distT="0" distB="0" distL="0" distR="0" wp14:anchorId="116C7C40" wp14:editId="7F685D40">
                  <wp:extent cx="2874289" cy="2046692"/>
                  <wp:effectExtent l="0" t="0" r="2540" b="0"/>
                  <wp:docPr id="11" name="Picture 11" descr="Figure 4. BMD mean percentage change from baseline to week 76. PRIMROSE 1 a. Lumbar s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 BMD mean percentage change from baseline to week 76. PRIMROSE 1 a. Lumbar spine"/>
                          <pic:cNvPicPr/>
                        </pic:nvPicPr>
                        <pic:blipFill>
                          <a:blip r:embed="rId13"/>
                          <a:stretch>
                            <a:fillRect/>
                          </a:stretch>
                        </pic:blipFill>
                        <pic:spPr>
                          <a:xfrm>
                            <a:off x="0" y="0"/>
                            <a:ext cx="2882130" cy="2052275"/>
                          </a:xfrm>
                          <a:prstGeom prst="rect">
                            <a:avLst/>
                          </a:prstGeom>
                        </pic:spPr>
                      </pic:pic>
                    </a:graphicData>
                  </a:graphic>
                </wp:inline>
              </w:drawing>
            </w:r>
          </w:p>
        </w:tc>
        <w:tc>
          <w:tcPr>
            <w:tcW w:w="4542" w:type="dxa"/>
          </w:tcPr>
          <w:p w14:paraId="42DFFBD4" w14:textId="77777777" w:rsidR="00110F49" w:rsidRPr="00482A36" w:rsidRDefault="00110F49" w:rsidP="00BA1ECE">
            <w:pPr>
              <w:pStyle w:val="In-tableHeading"/>
              <w:keepLines/>
              <w:rPr>
                <w:noProof/>
                <w:lang w:val="en-AU"/>
              </w:rPr>
            </w:pPr>
            <w:r w:rsidRPr="00482A36">
              <w:rPr>
                <w:noProof/>
                <w:lang w:val="en-AU"/>
              </w:rPr>
              <w:drawing>
                <wp:inline distT="0" distB="0" distL="0" distR="0" wp14:anchorId="097000D6" wp14:editId="72E9E3F0">
                  <wp:extent cx="2831164" cy="1976034"/>
                  <wp:effectExtent l="0" t="0" r="7620" b="5715"/>
                  <wp:docPr id="16" name="Picture 16" descr="Figure 4. BMD mean percentage change from baseline to week 76. PRIMROSE 2. a) Lumbar sp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BMD mean percentage change from baseline to week 76. PRIMROSE 2. a) Lumbar spine&#10;"/>
                          <pic:cNvPicPr>
                            <a:picLocks noChangeAspect="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2841913" cy="1983536"/>
                          </a:xfrm>
                          <a:prstGeom prst="rect">
                            <a:avLst/>
                          </a:prstGeom>
                          <a:ln>
                            <a:noFill/>
                          </a:ln>
                          <a:extLst>
                            <a:ext uri="{53640926-AAD7-44D8-BBD7-CCE9431645EC}">
                              <a14:shadowObscured xmlns:a14="http://schemas.microsoft.com/office/drawing/2010/main"/>
                            </a:ext>
                          </a:extLst>
                        </pic:spPr>
                      </pic:pic>
                    </a:graphicData>
                  </a:graphic>
                </wp:inline>
              </w:drawing>
            </w:r>
          </w:p>
        </w:tc>
      </w:tr>
      <w:tr w:rsidR="00110F49" w:rsidRPr="00482A36" w14:paraId="7A67D8D6" w14:textId="77777777" w:rsidTr="00BA1ECE">
        <w:tc>
          <w:tcPr>
            <w:tcW w:w="4485" w:type="dxa"/>
          </w:tcPr>
          <w:p w14:paraId="3B3BF0AA" w14:textId="77777777" w:rsidR="00110F49" w:rsidRPr="00482A36" w:rsidRDefault="00110F49" w:rsidP="00666AB0">
            <w:pPr>
              <w:pStyle w:val="In-tableHeading"/>
              <w:keepLines/>
              <w:numPr>
                <w:ilvl w:val="0"/>
                <w:numId w:val="9"/>
              </w:numPr>
              <w:rPr>
                <w:lang w:val="en-AU" w:eastAsia="en-US"/>
              </w:rPr>
            </w:pPr>
            <w:r w:rsidRPr="00482A36">
              <w:rPr>
                <w:lang w:val="en-AU" w:eastAsia="en-US"/>
              </w:rPr>
              <w:t>Femoral neck</w:t>
            </w:r>
          </w:p>
        </w:tc>
        <w:tc>
          <w:tcPr>
            <w:tcW w:w="4542" w:type="dxa"/>
          </w:tcPr>
          <w:p w14:paraId="058C821A" w14:textId="77777777" w:rsidR="00110F49" w:rsidRPr="00482A36" w:rsidRDefault="00110F49" w:rsidP="00BA1ECE">
            <w:pPr>
              <w:pStyle w:val="In-tableHeading"/>
              <w:keepLines/>
              <w:ind w:left="518" w:hanging="142"/>
              <w:rPr>
                <w:lang w:val="en-AU" w:eastAsia="en-US"/>
              </w:rPr>
            </w:pPr>
            <w:r w:rsidRPr="00482A36">
              <w:rPr>
                <w:bCs/>
                <w:lang w:val="en-AU" w:eastAsia="en-US"/>
              </w:rPr>
              <w:t>b.</w:t>
            </w:r>
            <w:r w:rsidRPr="00482A36">
              <w:rPr>
                <w:bCs/>
                <w:lang w:val="en-AU" w:eastAsia="en-US"/>
              </w:rPr>
              <w:tab/>
              <w:t xml:space="preserve"> Femoral</w:t>
            </w:r>
            <w:r w:rsidRPr="00482A36">
              <w:rPr>
                <w:lang w:val="en-AU" w:eastAsia="en-US"/>
              </w:rPr>
              <w:t xml:space="preserve"> neck</w:t>
            </w:r>
          </w:p>
        </w:tc>
      </w:tr>
      <w:tr w:rsidR="00110F49" w:rsidRPr="00482A36" w14:paraId="44105A2C" w14:textId="77777777" w:rsidTr="00BA1ECE">
        <w:tc>
          <w:tcPr>
            <w:tcW w:w="4485" w:type="dxa"/>
          </w:tcPr>
          <w:p w14:paraId="7CF68F30" w14:textId="19AE4B36" w:rsidR="00110F49" w:rsidRPr="00482A36" w:rsidRDefault="005943F7" w:rsidP="00BA1ECE">
            <w:pPr>
              <w:pStyle w:val="In-tableHeading"/>
              <w:keepLines/>
              <w:rPr>
                <w:lang w:val="en-AU" w:eastAsia="en-US"/>
              </w:rPr>
            </w:pPr>
            <w:r w:rsidRPr="00482A36">
              <w:rPr>
                <w:noProof/>
                <w:lang w:val="en-AU" w:eastAsia="en-US"/>
              </w:rPr>
              <w:drawing>
                <wp:inline distT="0" distB="0" distL="0" distR="0" wp14:anchorId="4E881628" wp14:editId="6838B216">
                  <wp:extent cx="2268220" cy="1452439"/>
                  <wp:effectExtent l="0" t="0" r="0" b="0"/>
                  <wp:docPr id="17" name="Picture 17" descr="Figure 4. BMD mean percentage change from baseline to week 76&#10;PRIMROSE 1 b. Femoral neck&#10;"/>
                  <wp:cNvGraphicFramePr/>
                  <a:graphic xmlns:a="http://schemas.openxmlformats.org/drawingml/2006/main">
                    <a:graphicData uri="http://schemas.openxmlformats.org/drawingml/2006/picture">
                      <pic:pic xmlns:pic="http://schemas.openxmlformats.org/drawingml/2006/picture">
                        <pic:nvPicPr>
                          <pic:cNvPr id="17" name="Picture 17" descr="Figure 4. BMD mean percentage change from baseline to week 76&#10;PRIMROSE 1 b. Femoral neck&#10;"/>
                          <pic:cNvPicPr/>
                        </pic:nvPicPr>
                        <pic:blipFill rotWithShape="1">
                          <a:blip r:embed="rId15"/>
                          <a:srcRect l="50450" t="1306" r="3687" b="51051"/>
                          <a:stretch/>
                        </pic:blipFill>
                        <pic:spPr bwMode="auto">
                          <a:xfrm>
                            <a:off x="0" y="0"/>
                            <a:ext cx="2268790" cy="1452804"/>
                          </a:xfrm>
                          <a:prstGeom prst="rect">
                            <a:avLst/>
                          </a:prstGeom>
                          <a:ln>
                            <a:noFill/>
                          </a:ln>
                          <a:extLst>
                            <a:ext uri="{53640926-AAD7-44D8-BBD7-CCE9431645EC}">
                              <a14:shadowObscured xmlns:a14="http://schemas.microsoft.com/office/drawing/2010/main"/>
                            </a:ext>
                          </a:extLst>
                        </pic:spPr>
                      </pic:pic>
                    </a:graphicData>
                  </a:graphic>
                </wp:inline>
              </w:drawing>
            </w:r>
          </w:p>
        </w:tc>
        <w:tc>
          <w:tcPr>
            <w:tcW w:w="4542" w:type="dxa"/>
          </w:tcPr>
          <w:p w14:paraId="19E0119C" w14:textId="77777777" w:rsidR="00110F49" w:rsidRPr="00482A36" w:rsidRDefault="00110F49" w:rsidP="00BA1ECE">
            <w:pPr>
              <w:pStyle w:val="In-tableHeading"/>
              <w:keepLines/>
              <w:rPr>
                <w:noProof/>
                <w:lang w:val="en-AU"/>
              </w:rPr>
            </w:pPr>
            <w:r w:rsidRPr="00482A36">
              <w:rPr>
                <w:noProof/>
                <w:lang w:val="en-AU"/>
              </w:rPr>
              <w:drawing>
                <wp:inline distT="0" distB="0" distL="0" distR="0" wp14:anchorId="22504BED" wp14:editId="3C0BB74C">
                  <wp:extent cx="2840032" cy="1463040"/>
                  <wp:effectExtent l="0" t="0" r="0" b="3810"/>
                  <wp:docPr id="18" name="Picture 18" descr="Figure 4. BMD mean percentage change from baseline to week 76. PRIMROSE 2. b) Femoral 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4. BMD mean percentage change from baseline to week 76. PRIMROSE 2. b) Femoral neck"/>
                          <pic:cNvPicPr>
                            <a:picLocks noChangeAspect="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2840846" cy="1463459"/>
                          </a:xfrm>
                          <a:prstGeom prst="rect">
                            <a:avLst/>
                          </a:prstGeom>
                          <a:ln>
                            <a:noFill/>
                          </a:ln>
                          <a:extLst>
                            <a:ext uri="{53640926-AAD7-44D8-BBD7-CCE9431645EC}">
                              <a14:shadowObscured xmlns:a14="http://schemas.microsoft.com/office/drawing/2010/main"/>
                            </a:ext>
                          </a:extLst>
                        </pic:spPr>
                      </pic:pic>
                    </a:graphicData>
                  </a:graphic>
                </wp:inline>
              </w:drawing>
            </w:r>
          </w:p>
        </w:tc>
      </w:tr>
      <w:tr w:rsidR="00110F49" w:rsidRPr="00482A36" w14:paraId="2546D511" w14:textId="77777777" w:rsidTr="00BA1ECE">
        <w:tc>
          <w:tcPr>
            <w:tcW w:w="4485" w:type="dxa"/>
          </w:tcPr>
          <w:p w14:paraId="42603548" w14:textId="77777777" w:rsidR="00110F49" w:rsidRPr="00482A36" w:rsidRDefault="00110F49" w:rsidP="00666AB0">
            <w:pPr>
              <w:pStyle w:val="In-tableHeading"/>
              <w:keepLines/>
              <w:numPr>
                <w:ilvl w:val="0"/>
                <w:numId w:val="9"/>
              </w:numPr>
              <w:rPr>
                <w:lang w:val="en-AU" w:eastAsia="en-US"/>
              </w:rPr>
            </w:pPr>
            <w:r w:rsidRPr="00482A36">
              <w:rPr>
                <w:lang w:val="en-AU" w:eastAsia="en-US"/>
              </w:rPr>
              <w:t>Total hip</w:t>
            </w:r>
          </w:p>
        </w:tc>
        <w:tc>
          <w:tcPr>
            <w:tcW w:w="4542" w:type="dxa"/>
          </w:tcPr>
          <w:p w14:paraId="7FE8E930" w14:textId="77777777" w:rsidR="00110F49" w:rsidRPr="00482A36" w:rsidRDefault="00110F49" w:rsidP="00BA1ECE">
            <w:pPr>
              <w:pStyle w:val="In-tableHeading"/>
              <w:keepLines/>
              <w:ind w:left="802" w:hanging="426"/>
              <w:rPr>
                <w:noProof/>
                <w:lang w:val="en-AU"/>
              </w:rPr>
            </w:pPr>
            <w:r w:rsidRPr="00482A36">
              <w:rPr>
                <w:noProof/>
                <w:lang w:val="en-AU"/>
              </w:rPr>
              <w:t xml:space="preserve">c.    Total </w:t>
            </w:r>
            <w:r w:rsidRPr="00482A36">
              <w:rPr>
                <w:bCs/>
                <w:lang w:val="en-AU" w:eastAsia="en-US"/>
              </w:rPr>
              <w:t>hip</w:t>
            </w:r>
          </w:p>
        </w:tc>
      </w:tr>
      <w:tr w:rsidR="00110F49" w:rsidRPr="00482A36" w14:paraId="18B5CC54" w14:textId="77777777" w:rsidTr="00BA1ECE">
        <w:tc>
          <w:tcPr>
            <w:tcW w:w="4485" w:type="dxa"/>
          </w:tcPr>
          <w:p w14:paraId="2968C61E" w14:textId="77777777" w:rsidR="00110F49" w:rsidRPr="00482A36" w:rsidRDefault="00110F49" w:rsidP="00BA1ECE">
            <w:pPr>
              <w:pStyle w:val="In-tableHeading"/>
              <w:keepLines/>
              <w:rPr>
                <w:lang w:val="en-AU" w:eastAsia="en-US"/>
              </w:rPr>
            </w:pPr>
            <w:r w:rsidRPr="00482A36">
              <w:rPr>
                <w:noProof/>
                <w:lang w:val="en-AU" w:eastAsia="en-US"/>
              </w:rPr>
              <w:drawing>
                <wp:inline distT="0" distB="0" distL="0" distR="0" wp14:anchorId="5459D31F" wp14:editId="111B2735">
                  <wp:extent cx="2434791" cy="1542553"/>
                  <wp:effectExtent l="0" t="0" r="3810" b="635"/>
                  <wp:docPr id="24" name="Picture 24" descr="Figure 4. BMD mean percentage change from baseline to week 76. PRIMROSE 1. c) Total hip">
                    <a:extLst xmlns:a="http://schemas.openxmlformats.org/drawingml/2006/main">
                      <a:ext uri="{FF2B5EF4-FFF2-40B4-BE49-F238E27FC236}">
                        <a16:creationId xmlns:a16="http://schemas.microsoft.com/office/drawing/2014/main" id="{C012C2A4-62A4-4BD0-B328-D066726D2AA0}"/>
                      </a:ext>
                    </a:extLst>
                  </wp:docPr>
                  <wp:cNvGraphicFramePr/>
                  <a:graphic xmlns:a="http://schemas.openxmlformats.org/drawingml/2006/main">
                    <a:graphicData uri="http://schemas.openxmlformats.org/drawingml/2006/picture">
                      <pic:pic xmlns:pic="http://schemas.openxmlformats.org/drawingml/2006/picture">
                        <pic:nvPicPr>
                          <pic:cNvPr id="24" name="Picture 24" descr="Figure 4. BMD mean percentage change from baseline to week 76. PRIMROSE 1. c) Total hip">
                            <a:extLst>
                              <a:ext uri="{FF2B5EF4-FFF2-40B4-BE49-F238E27FC236}">
                                <a16:creationId xmlns:a16="http://schemas.microsoft.com/office/drawing/2014/main" id="{C012C2A4-62A4-4BD0-B328-D066726D2AA0}"/>
                              </a:ext>
                            </a:extLst>
                          </pic:cNvPr>
                          <pic:cNvPicPr/>
                        </pic:nvPicPr>
                        <pic:blipFill rotWithShape="1">
                          <a:blip r:embed="rId15"/>
                          <a:srcRect l="26668" t="49846" r="27891" b="966"/>
                          <a:stretch/>
                        </pic:blipFill>
                        <pic:spPr bwMode="auto">
                          <a:xfrm>
                            <a:off x="0" y="0"/>
                            <a:ext cx="2434791" cy="1542553"/>
                          </a:xfrm>
                          <a:prstGeom prst="rect">
                            <a:avLst/>
                          </a:prstGeom>
                          <a:ln>
                            <a:noFill/>
                          </a:ln>
                          <a:extLst>
                            <a:ext uri="{53640926-AAD7-44D8-BBD7-CCE9431645EC}">
                              <a14:shadowObscured xmlns:a14="http://schemas.microsoft.com/office/drawing/2010/main"/>
                            </a:ext>
                          </a:extLst>
                        </pic:spPr>
                      </pic:pic>
                    </a:graphicData>
                  </a:graphic>
                </wp:inline>
              </w:drawing>
            </w:r>
          </w:p>
        </w:tc>
        <w:tc>
          <w:tcPr>
            <w:tcW w:w="4542" w:type="dxa"/>
          </w:tcPr>
          <w:p w14:paraId="338537AE" w14:textId="77777777" w:rsidR="00110F49" w:rsidRPr="00482A36" w:rsidRDefault="00110F49" w:rsidP="00BA1ECE">
            <w:pPr>
              <w:pStyle w:val="In-tableHeading"/>
              <w:keepLines/>
              <w:rPr>
                <w:noProof/>
                <w:lang w:val="en-AU"/>
              </w:rPr>
            </w:pPr>
            <w:r w:rsidRPr="00482A36">
              <w:rPr>
                <w:noProof/>
                <w:lang w:val="en-AU"/>
              </w:rPr>
              <w:drawing>
                <wp:inline distT="0" distB="0" distL="0" distR="0" wp14:anchorId="024B7CD8" wp14:editId="1262AFEA">
                  <wp:extent cx="2906395" cy="1470992"/>
                  <wp:effectExtent l="0" t="0" r="8255" b="0"/>
                  <wp:docPr id="25" name="Picture 25" descr="Figure 4. BMD mean percentage change from baseline to week 76. PRIMROSE 2. c) Total 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BMD mean percentage change from baseline to week 76. PRIMROSE 2. c) Total hip"/>
                          <pic:cNvPicPr>
                            <a:picLocks noChangeAspect="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2907500" cy="14715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F756A8" w14:textId="77777777" w:rsidR="00110F49" w:rsidRPr="00110F49" w:rsidRDefault="00110F49" w:rsidP="00110F49"/>
    <w:p w14:paraId="586286BF" w14:textId="55146A1A" w:rsidR="008F07C3" w:rsidRPr="00482A36" w:rsidRDefault="008F07C3" w:rsidP="00D87288">
      <w:pPr>
        <w:pStyle w:val="3-BodyText"/>
      </w:pPr>
      <w:r w:rsidRPr="00482A36">
        <w:t>Based on PRIMROSE 3 results at week 104</w:t>
      </w:r>
      <w:r w:rsidR="006152F0" w:rsidRPr="00482A36">
        <w:t xml:space="preserve"> regarding BMD decrease</w:t>
      </w:r>
      <w:r w:rsidRPr="00482A36">
        <w:t xml:space="preserve">, some recovery in BMD was noted across treatment arms, particularly in the linzagolix 100 mg and </w:t>
      </w:r>
      <w:r w:rsidR="00283237" w:rsidRPr="00482A36">
        <w:t xml:space="preserve">linzagolix </w:t>
      </w:r>
      <w:r w:rsidRPr="00482A36">
        <w:t>200 mg</w:t>
      </w:r>
      <w:r w:rsidR="009059B7" w:rsidRPr="00482A36">
        <w:t xml:space="preserve"> to </w:t>
      </w:r>
      <w:r w:rsidRPr="00482A36">
        <w:t>200 mg + ABT</w:t>
      </w:r>
      <w:r w:rsidR="009059B7" w:rsidRPr="00482A36">
        <w:t xml:space="preserve"> arm</w:t>
      </w:r>
      <w:r w:rsidRPr="00482A36">
        <w:t xml:space="preserve">. However, linzagolix 200 mg + ABT and linzagolix 100 mg + ABT showed further declines in BMD for certain sites. Increases in BMD were observed for the lumbar spine in </w:t>
      </w:r>
      <w:r w:rsidR="00482A36">
        <w:t xml:space="preserve">the </w:t>
      </w:r>
      <w:r w:rsidR="00283237" w:rsidRPr="00482A36">
        <w:t xml:space="preserve">linzagolix </w:t>
      </w:r>
      <w:r w:rsidRPr="00482A36">
        <w:t xml:space="preserve">100 mg, 100 mg + ABT, </w:t>
      </w:r>
      <w:r w:rsidR="00283237" w:rsidRPr="00482A36">
        <w:t xml:space="preserve">and </w:t>
      </w:r>
      <w:r w:rsidRPr="00482A36">
        <w:lastRenderedPageBreak/>
        <w:t>200</w:t>
      </w:r>
      <w:r w:rsidR="009059B7" w:rsidRPr="00482A36">
        <w:t> </w:t>
      </w:r>
      <w:r w:rsidRPr="00482A36">
        <w:t>mg switched to 200 mg + ABT</w:t>
      </w:r>
      <w:r w:rsidR="00482A36">
        <w:t xml:space="preserve"> arms</w:t>
      </w:r>
      <w:r w:rsidRPr="00482A36">
        <w:t xml:space="preserve">, while reductions were seen in </w:t>
      </w:r>
      <w:r w:rsidR="00283237" w:rsidRPr="00482A36">
        <w:t>linzagolix 200</w:t>
      </w:r>
      <w:r w:rsidR="001626C8">
        <w:t> </w:t>
      </w:r>
      <w:r w:rsidR="00283237" w:rsidRPr="00482A36">
        <w:t>mg + ABT and placebo patients who switched to 200 mg + ABT</w:t>
      </w:r>
      <w:r w:rsidRPr="00482A36">
        <w:t>.</w:t>
      </w:r>
    </w:p>
    <w:p w14:paraId="63761653" w14:textId="1ACA5E09" w:rsidR="006152F0" w:rsidRPr="00482A36" w:rsidRDefault="006152F0" w:rsidP="00D87288">
      <w:pPr>
        <w:pStyle w:val="3-BodyText"/>
      </w:pPr>
      <w:r w:rsidRPr="00482A36">
        <w:t xml:space="preserve">Additionally, based on PRIMROSE 3 results regarding BMD recovery, the submission highlighted that by </w:t>
      </w:r>
      <w:r w:rsidR="009059B7" w:rsidRPr="00482A36">
        <w:t>week 104</w:t>
      </w:r>
      <w:r w:rsidRPr="00482A36">
        <w:t>, most participants showed partial or complete recovery of their BMD across various anatomical sites. Notably, over 50% of subjects achieved this recovery in the lumbar spine in all treatment groups. However, there were some variations among treatment arms, with the linzagolix 200 mg + ABT group showing lower recovery rates in the femoral neck compared to other arms. The linzagolix 100</w:t>
      </w:r>
      <w:r w:rsidR="009059B7" w:rsidRPr="00482A36">
        <w:t> </w:t>
      </w:r>
      <w:r w:rsidRPr="00482A36">
        <w:t xml:space="preserve">mg treatment arm demonstrated the highest recovery in spinal BMD, while the arm switching to linzagolix 200 mg + ABT had the highest recovery in femoral neck and total hip BMDs. </w:t>
      </w:r>
    </w:p>
    <w:p w14:paraId="4C025F2F" w14:textId="114BE358" w:rsidR="005943F7" w:rsidRPr="00616367" w:rsidRDefault="00476DF9" w:rsidP="00283237">
      <w:pPr>
        <w:pStyle w:val="3-BodyText"/>
        <w:rPr>
          <w:iCs/>
        </w:rPr>
      </w:pPr>
      <w:r w:rsidRPr="00476DF9">
        <w:rPr>
          <w:lang w:eastAsia="en-US"/>
        </w:rPr>
        <w:t>BMD</w:t>
      </w:r>
      <w:r>
        <w:rPr>
          <w:lang w:eastAsia="en-US"/>
        </w:rPr>
        <w:t xml:space="preserve"> recovery</w:t>
      </w:r>
      <w:r w:rsidRPr="00476DF9">
        <w:rPr>
          <w:lang w:eastAsia="en-US"/>
        </w:rPr>
        <w:t xml:space="preserve"> </w:t>
      </w:r>
      <w:r w:rsidR="00F76D8D">
        <w:rPr>
          <w:lang w:eastAsia="en-US"/>
        </w:rPr>
        <w:t xml:space="preserve">status </w:t>
      </w:r>
      <w:r w:rsidRPr="00476DF9">
        <w:rPr>
          <w:lang w:eastAsia="en-US"/>
        </w:rPr>
        <w:t xml:space="preserve">up to </w:t>
      </w:r>
      <w:r>
        <w:rPr>
          <w:lang w:eastAsia="en-US"/>
        </w:rPr>
        <w:t xml:space="preserve">24 </w:t>
      </w:r>
      <w:r w:rsidRPr="00476DF9">
        <w:rPr>
          <w:lang w:eastAsia="en-US"/>
        </w:rPr>
        <w:t>month</w:t>
      </w:r>
      <w:r>
        <w:rPr>
          <w:lang w:eastAsia="en-US"/>
        </w:rPr>
        <w:t>s after ceasing treatment</w:t>
      </w:r>
      <w:r w:rsidRPr="00476DF9">
        <w:rPr>
          <w:lang w:eastAsia="en-US"/>
        </w:rPr>
        <w:t xml:space="preserve"> is summarised</w:t>
      </w:r>
      <w:r w:rsidR="005943F7">
        <w:rPr>
          <w:lang w:eastAsia="en-US"/>
        </w:rPr>
        <w:t xml:space="preserve"> </w:t>
      </w:r>
      <w:r w:rsidR="00F76D8D">
        <w:rPr>
          <w:lang w:eastAsia="en-US"/>
        </w:rPr>
        <w:t xml:space="preserve">in </w:t>
      </w:r>
      <w:r>
        <w:rPr>
          <w:lang w:eastAsia="en-US"/>
        </w:rPr>
        <w:fldChar w:fldCharType="begin"/>
      </w:r>
      <w:r>
        <w:rPr>
          <w:lang w:eastAsia="en-US"/>
        </w:rPr>
        <w:instrText xml:space="preserve"> REF _Ref166246425 \h </w:instrText>
      </w:r>
      <w:r>
        <w:rPr>
          <w:lang w:eastAsia="en-US"/>
        </w:rPr>
      </w:r>
      <w:r>
        <w:rPr>
          <w:lang w:eastAsia="en-US"/>
        </w:rPr>
        <w:fldChar w:fldCharType="separate"/>
      </w:r>
      <w:r w:rsidR="003E4FD0">
        <w:t xml:space="preserve">Table </w:t>
      </w:r>
      <w:r w:rsidR="003E4FD0">
        <w:rPr>
          <w:noProof/>
        </w:rPr>
        <w:t>7</w:t>
      </w:r>
      <w:r>
        <w:rPr>
          <w:lang w:eastAsia="en-US"/>
        </w:rPr>
        <w:fldChar w:fldCharType="end"/>
      </w:r>
      <w:r w:rsidR="005943F7">
        <w:rPr>
          <w:lang w:eastAsia="en-US"/>
        </w:rPr>
        <w:t xml:space="preserve">. </w:t>
      </w:r>
    </w:p>
    <w:p w14:paraId="0F02F9D2" w14:textId="23D18D71" w:rsidR="005943F7" w:rsidRPr="00482A36" w:rsidRDefault="005943F7" w:rsidP="005943F7">
      <w:pPr>
        <w:pStyle w:val="Caption"/>
        <w:rPr>
          <w:lang w:eastAsia="en-US"/>
        </w:rPr>
      </w:pPr>
      <w:bookmarkStart w:id="46" w:name="_Ref166246425"/>
      <w:r>
        <w:t xml:space="preserve">Table </w:t>
      </w:r>
      <w:r w:rsidR="00747D8C">
        <w:fldChar w:fldCharType="begin"/>
      </w:r>
      <w:r w:rsidR="00747D8C">
        <w:instrText xml:space="preserve"> SEQ Table \* ARABIC </w:instrText>
      </w:r>
      <w:r w:rsidR="00747D8C">
        <w:fldChar w:fldCharType="separate"/>
      </w:r>
      <w:r w:rsidR="003E4FD0">
        <w:rPr>
          <w:noProof/>
        </w:rPr>
        <w:t>7</w:t>
      </w:r>
      <w:r w:rsidR="00747D8C">
        <w:rPr>
          <w:noProof/>
        </w:rPr>
        <w:fldChar w:fldCharType="end"/>
      </w:r>
      <w:bookmarkEnd w:id="46"/>
      <w:r>
        <w:t xml:space="preserve">. </w:t>
      </w:r>
      <w:r w:rsidRPr="000D15EB">
        <w:t>BMD recovery status 24 months after end of treatment (SAF)</w:t>
      </w:r>
    </w:p>
    <w:tbl>
      <w:tblPr>
        <w:tblStyle w:val="TableGrid"/>
        <w:tblW w:w="9072" w:type="dxa"/>
        <w:tblInd w:w="-5" w:type="dxa"/>
        <w:shd w:val="clear" w:color="auto" w:fill="FFFFFF" w:themeFill="background1"/>
        <w:tblCellMar>
          <w:left w:w="28" w:type="dxa"/>
          <w:right w:w="28" w:type="dxa"/>
        </w:tblCellMar>
        <w:tblLook w:val="04A0" w:firstRow="1" w:lastRow="0" w:firstColumn="1" w:lastColumn="0" w:noHBand="0" w:noVBand="1"/>
        <w:tblCaption w:val="Table 7. BMD recovery status 24 months after end of treatment (SAF)"/>
      </w:tblPr>
      <w:tblGrid>
        <w:gridCol w:w="1701"/>
        <w:gridCol w:w="1267"/>
        <w:gridCol w:w="1267"/>
        <w:gridCol w:w="1267"/>
        <w:gridCol w:w="1267"/>
        <w:gridCol w:w="1267"/>
        <w:gridCol w:w="1036"/>
      </w:tblGrid>
      <w:tr w:rsidR="005943F7" w:rsidRPr="00482A36" w14:paraId="278B4794" w14:textId="77777777" w:rsidTr="00BA1ECE">
        <w:tc>
          <w:tcPr>
            <w:tcW w:w="1701" w:type="dxa"/>
            <w:vMerge w:val="restart"/>
            <w:shd w:val="clear" w:color="auto" w:fill="FFFFFF" w:themeFill="background1"/>
            <w:vAlign w:val="center"/>
          </w:tcPr>
          <w:p w14:paraId="00369D79" w14:textId="77777777" w:rsidR="005943F7" w:rsidRPr="00482A36" w:rsidRDefault="005943F7" w:rsidP="00BA1ECE">
            <w:pPr>
              <w:pStyle w:val="Tabletext"/>
              <w:rPr>
                <w:b/>
                <w:bCs/>
                <w:highlight w:val="green"/>
              </w:rPr>
            </w:pPr>
          </w:p>
        </w:tc>
        <w:tc>
          <w:tcPr>
            <w:tcW w:w="7371" w:type="dxa"/>
            <w:gridSpan w:val="6"/>
            <w:shd w:val="clear" w:color="auto" w:fill="FFFFFF" w:themeFill="background1"/>
            <w:vAlign w:val="center"/>
          </w:tcPr>
          <w:p w14:paraId="4A43D691" w14:textId="77777777" w:rsidR="005943F7" w:rsidRPr="00482A36" w:rsidRDefault="005943F7" w:rsidP="00BA1ECE">
            <w:pPr>
              <w:pStyle w:val="Tabletext"/>
              <w:jc w:val="center"/>
              <w:rPr>
                <w:b/>
                <w:bCs/>
              </w:rPr>
            </w:pPr>
            <w:r w:rsidRPr="00482A36">
              <w:rPr>
                <w:b/>
                <w:bCs/>
              </w:rPr>
              <w:t>PRIMROSE 3</w:t>
            </w:r>
          </w:p>
        </w:tc>
      </w:tr>
      <w:tr w:rsidR="005943F7" w:rsidRPr="00482A36" w14:paraId="733C3F75" w14:textId="77777777" w:rsidTr="00BA1ECE">
        <w:tc>
          <w:tcPr>
            <w:tcW w:w="1701" w:type="dxa"/>
            <w:vMerge/>
            <w:tcBorders>
              <w:bottom w:val="single" w:sz="4" w:space="0" w:color="auto"/>
            </w:tcBorders>
            <w:shd w:val="clear" w:color="auto" w:fill="FFFFFF" w:themeFill="background1"/>
            <w:vAlign w:val="center"/>
          </w:tcPr>
          <w:p w14:paraId="2545C4E5" w14:textId="77777777" w:rsidR="005943F7" w:rsidRPr="00482A36" w:rsidRDefault="005943F7" w:rsidP="00BA1ECE">
            <w:pPr>
              <w:pStyle w:val="Tabletext"/>
              <w:rPr>
                <w:b/>
                <w:bCs/>
                <w:highlight w:val="green"/>
              </w:rPr>
            </w:pPr>
          </w:p>
        </w:tc>
        <w:tc>
          <w:tcPr>
            <w:tcW w:w="1267" w:type="dxa"/>
            <w:tcBorders>
              <w:bottom w:val="single" w:sz="4" w:space="0" w:color="auto"/>
            </w:tcBorders>
            <w:shd w:val="clear" w:color="auto" w:fill="FFFFFF" w:themeFill="background1"/>
            <w:vAlign w:val="center"/>
          </w:tcPr>
          <w:p w14:paraId="009F4DA7" w14:textId="77777777" w:rsidR="005943F7" w:rsidRPr="00482A36" w:rsidRDefault="005943F7" w:rsidP="00BA1ECE">
            <w:pPr>
              <w:pStyle w:val="Tabletext"/>
              <w:jc w:val="center"/>
              <w:rPr>
                <w:b/>
                <w:bCs/>
              </w:rPr>
            </w:pPr>
            <w:r w:rsidRPr="00482A36">
              <w:rPr>
                <w:b/>
                <w:bCs/>
              </w:rPr>
              <w:t>LGX 100mg</w:t>
            </w:r>
          </w:p>
          <w:p w14:paraId="7A72A594" w14:textId="77777777" w:rsidR="005943F7" w:rsidRPr="00482A36" w:rsidRDefault="005943F7" w:rsidP="00BA1ECE">
            <w:pPr>
              <w:pStyle w:val="Tabletext"/>
              <w:jc w:val="center"/>
              <w:rPr>
                <w:b/>
                <w:bCs/>
              </w:rPr>
            </w:pPr>
            <w:r w:rsidRPr="00482A36">
              <w:rPr>
                <w:b/>
                <w:bCs/>
              </w:rPr>
              <w:t>(N=22)</w:t>
            </w:r>
          </w:p>
        </w:tc>
        <w:tc>
          <w:tcPr>
            <w:tcW w:w="1267" w:type="dxa"/>
            <w:tcBorders>
              <w:bottom w:val="single" w:sz="4" w:space="0" w:color="auto"/>
            </w:tcBorders>
            <w:shd w:val="clear" w:color="auto" w:fill="FFFFFF" w:themeFill="background1"/>
            <w:vAlign w:val="center"/>
          </w:tcPr>
          <w:p w14:paraId="1B471B86" w14:textId="77777777" w:rsidR="005943F7" w:rsidRPr="00482A36" w:rsidRDefault="005943F7" w:rsidP="00BA1ECE">
            <w:pPr>
              <w:pStyle w:val="Tabletext"/>
              <w:jc w:val="center"/>
              <w:rPr>
                <w:b/>
                <w:bCs/>
              </w:rPr>
            </w:pPr>
            <w:r w:rsidRPr="00482A36">
              <w:rPr>
                <w:b/>
                <w:bCs/>
              </w:rPr>
              <w:t>LGX 100mg</w:t>
            </w:r>
          </w:p>
          <w:p w14:paraId="11F7B355" w14:textId="77777777" w:rsidR="005943F7" w:rsidRPr="00482A36" w:rsidRDefault="005943F7" w:rsidP="00BA1ECE">
            <w:pPr>
              <w:pStyle w:val="Tabletext"/>
              <w:jc w:val="center"/>
              <w:rPr>
                <w:b/>
                <w:bCs/>
              </w:rPr>
            </w:pPr>
            <w:r w:rsidRPr="00482A36">
              <w:rPr>
                <w:b/>
                <w:bCs/>
              </w:rPr>
              <w:t>+ ABT</w:t>
            </w:r>
          </w:p>
          <w:p w14:paraId="66A77A93" w14:textId="77777777" w:rsidR="005943F7" w:rsidRPr="00482A36" w:rsidRDefault="005943F7" w:rsidP="00BA1ECE">
            <w:pPr>
              <w:pStyle w:val="Tabletext"/>
              <w:jc w:val="center"/>
              <w:rPr>
                <w:b/>
                <w:bCs/>
              </w:rPr>
            </w:pPr>
            <w:r w:rsidRPr="00482A36">
              <w:rPr>
                <w:b/>
                <w:bCs/>
              </w:rPr>
              <w:t>(N=23)</w:t>
            </w:r>
          </w:p>
        </w:tc>
        <w:tc>
          <w:tcPr>
            <w:tcW w:w="1267" w:type="dxa"/>
            <w:tcBorders>
              <w:bottom w:val="single" w:sz="4" w:space="0" w:color="auto"/>
            </w:tcBorders>
            <w:shd w:val="clear" w:color="auto" w:fill="FFFFFF" w:themeFill="background1"/>
            <w:vAlign w:val="center"/>
          </w:tcPr>
          <w:p w14:paraId="42164A2B" w14:textId="77777777" w:rsidR="005943F7" w:rsidRPr="00482A36" w:rsidRDefault="005943F7" w:rsidP="00BA1ECE">
            <w:pPr>
              <w:pStyle w:val="Tabletext"/>
              <w:jc w:val="center"/>
              <w:rPr>
                <w:b/>
                <w:bCs/>
              </w:rPr>
            </w:pPr>
            <w:r w:rsidRPr="00482A36">
              <w:rPr>
                <w:b/>
                <w:bCs/>
              </w:rPr>
              <w:t>LGX 200mg/LGX 200mg + ABT</w:t>
            </w:r>
          </w:p>
          <w:p w14:paraId="6C283B9F" w14:textId="77777777" w:rsidR="005943F7" w:rsidRPr="00482A36" w:rsidRDefault="005943F7" w:rsidP="00BA1ECE">
            <w:pPr>
              <w:pStyle w:val="Tabletext"/>
              <w:jc w:val="center"/>
              <w:rPr>
                <w:b/>
                <w:bCs/>
              </w:rPr>
            </w:pPr>
            <w:r w:rsidRPr="00482A36">
              <w:rPr>
                <w:b/>
                <w:bCs/>
              </w:rPr>
              <w:t>(N=30)</w:t>
            </w:r>
          </w:p>
        </w:tc>
        <w:tc>
          <w:tcPr>
            <w:tcW w:w="1267" w:type="dxa"/>
            <w:tcBorders>
              <w:bottom w:val="single" w:sz="4" w:space="0" w:color="auto"/>
            </w:tcBorders>
            <w:shd w:val="clear" w:color="auto" w:fill="FFFFFF" w:themeFill="background1"/>
            <w:vAlign w:val="center"/>
          </w:tcPr>
          <w:p w14:paraId="5E842118" w14:textId="77777777" w:rsidR="005943F7" w:rsidRPr="00482A36" w:rsidRDefault="005943F7" w:rsidP="00BA1ECE">
            <w:pPr>
              <w:pStyle w:val="Tabletext"/>
              <w:jc w:val="center"/>
              <w:rPr>
                <w:b/>
                <w:bCs/>
              </w:rPr>
            </w:pPr>
            <w:r w:rsidRPr="00482A36">
              <w:rPr>
                <w:b/>
                <w:bCs/>
              </w:rPr>
              <w:t>LGX 200mg</w:t>
            </w:r>
          </w:p>
          <w:p w14:paraId="0DF689F0" w14:textId="77777777" w:rsidR="005943F7" w:rsidRPr="00482A36" w:rsidRDefault="005943F7" w:rsidP="00BA1ECE">
            <w:pPr>
              <w:pStyle w:val="Tabletext"/>
              <w:jc w:val="center"/>
              <w:rPr>
                <w:b/>
                <w:bCs/>
              </w:rPr>
            </w:pPr>
            <w:r w:rsidRPr="00482A36">
              <w:rPr>
                <w:b/>
                <w:bCs/>
              </w:rPr>
              <w:t>+ ABT</w:t>
            </w:r>
          </w:p>
          <w:p w14:paraId="46166519" w14:textId="77777777" w:rsidR="005943F7" w:rsidRPr="00482A36" w:rsidRDefault="005943F7" w:rsidP="00BA1ECE">
            <w:pPr>
              <w:pStyle w:val="Tabletext"/>
              <w:jc w:val="center"/>
              <w:rPr>
                <w:b/>
                <w:bCs/>
              </w:rPr>
            </w:pPr>
            <w:r w:rsidRPr="00482A36">
              <w:rPr>
                <w:b/>
                <w:bCs/>
              </w:rPr>
              <w:t>(N=21)</w:t>
            </w:r>
          </w:p>
        </w:tc>
        <w:tc>
          <w:tcPr>
            <w:tcW w:w="1267" w:type="dxa"/>
            <w:tcBorders>
              <w:bottom w:val="single" w:sz="4" w:space="0" w:color="auto"/>
            </w:tcBorders>
            <w:shd w:val="clear" w:color="auto" w:fill="FFFFFF" w:themeFill="background1"/>
            <w:vAlign w:val="center"/>
          </w:tcPr>
          <w:p w14:paraId="643150AA" w14:textId="77777777" w:rsidR="005943F7" w:rsidRPr="00715F24" w:rsidRDefault="005943F7" w:rsidP="00BA1ECE">
            <w:pPr>
              <w:pStyle w:val="Tabletext"/>
              <w:jc w:val="center"/>
              <w:rPr>
                <w:b/>
                <w:bCs/>
                <w:lang w:val="pt-PT"/>
              </w:rPr>
            </w:pPr>
            <w:r w:rsidRPr="00715F24">
              <w:rPr>
                <w:b/>
                <w:bCs/>
                <w:lang w:val="pt-PT"/>
              </w:rPr>
              <w:t>PBO/LGX 200mg + ABT (N=26)</w:t>
            </w:r>
          </w:p>
        </w:tc>
        <w:tc>
          <w:tcPr>
            <w:tcW w:w="1036" w:type="dxa"/>
            <w:tcBorders>
              <w:bottom w:val="single" w:sz="4" w:space="0" w:color="auto"/>
            </w:tcBorders>
            <w:shd w:val="clear" w:color="auto" w:fill="FFFFFF" w:themeFill="background1"/>
            <w:vAlign w:val="center"/>
          </w:tcPr>
          <w:p w14:paraId="52F068C4" w14:textId="77777777" w:rsidR="005943F7" w:rsidRPr="00482A36" w:rsidRDefault="005943F7" w:rsidP="00BA1ECE">
            <w:pPr>
              <w:pStyle w:val="Tabletext"/>
              <w:jc w:val="center"/>
              <w:rPr>
                <w:b/>
                <w:bCs/>
              </w:rPr>
            </w:pPr>
            <w:r w:rsidRPr="00482A36">
              <w:rPr>
                <w:b/>
                <w:bCs/>
              </w:rPr>
              <w:t>PBO</w:t>
            </w:r>
          </w:p>
          <w:p w14:paraId="6BF00D54" w14:textId="77777777" w:rsidR="005943F7" w:rsidRPr="00482A36" w:rsidRDefault="005943F7" w:rsidP="00BA1ECE">
            <w:pPr>
              <w:pStyle w:val="Tabletext"/>
              <w:jc w:val="center"/>
              <w:rPr>
                <w:b/>
                <w:bCs/>
              </w:rPr>
            </w:pPr>
            <w:r w:rsidRPr="00482A36">
              <w:rPr>
                <w:b/>
                <w:bCs/>
              </w:rPr>
              <w:t>(N=7)</w:t>
            </w:r>
          </w:p>
        </w:tc>
      </w:tr>
      <w:tr w:rsidR="005943F7" w:rsidRPr="00482A36" w14:paraId="6FA7F9E2" w14:textId="77777777" w:rsidTr="00BA1ECE">
        <w:tc>
          <w:tcPr>
            <w:tcW w:w="9072" w:type="dxa"/>
            <w:gridSpan w:val="7"/>
            <w:tcBorders>
              <w:bottom w:val="single" w:sz="4" w:space="0" w:color="auto"/>
            </w:tcBorders>
            <w:shd w:val="clear" w:color="auto" w:fill="FFFFFF" w:themeFill="background1"/>
            <w:vAlign w:val="center"/>
          </w:tcPr>
          <w:p w14:paraId="695B53BA" w14:textId="77777777" w:rsidR="005943F7" w:rsidRPr="00482A36" w:rsidRDefault="005943F7" w:rsidP="00BA1ECE">
            <w:pPr>
              <w:pStyle w:val="Tabletext"/>
              <w:rPr>
                <w:b/>
                <w:bCs/>
                <w:highlight w:val="green"/>
              </w:rPr>
            </w:pPr>
            <w:r w:rsidRPr="00482A36">
              <w:rPr>
                <w:b/>
                <w:bCs/>
              </w:rPr>
              <w:t>Anterior posterior lumbar spine</w:t>
            </w:r>
          </w:p>
        </w:tc>
      </w:tr>
      <w:tr w:rsidR="005943F7" w:rsidRPr="00482A36" w14:paraId="5C4F823B" w14:textId="77777777" w:rsidTr="00BA1ECE">
        <w:tc>
          <w:tcPr>
            <w:tcW w:w="1701" w:type="dxa"/>
            <w:tcBorders>
              <w:top w:val="single" w:sz="4" w:space="0" w:color="auto"/>
              <w:bottom w:val="single" w:sz="4" w:space="0" w:color="auto"/>
            </w:tcBorders>
            <w:shd w:val="clear" w:color="auto" w:fill="FFFFFF" w:themeFill="background1"/>
            <w:vAlign w:val="center"/>
          </w:tcPr>
          <w:p w14:paraId="1A2A41D9" w14:textId="77777777" w:rsidR="005943F7" w:rsidRPr="00482A36" w:rsidRDefault="005943F7" w:rsidP="00BA1ECE">
            <w:pPr>
              <w:pStyle w:val="Tabletext"/>
            </w:pPr>
            <w:r w:rsidRPr="00482A36">
              <w:t>n (%)</w:t>
            </w:r>
          </w:p>
        </w:tc>
        <w:tc>
          <w:tcPr>
            <w:tcW w:w="1267" w:type="dxa"/>
            <w:tcBorders>
              <w:top w:val="single" w:sz="4" w:space="0" w:color="auto"/>
              <w:bottom w:val="single" w:sz="4" w:space="0" w:color="auto"/>
            </w:tcBorders>
            <w:shd w:val="clear" w:color="auto" w:fill="FFFFFF" w:themeFill="background1"/>
            <w:vAlign w:val="center"/>
          </w:tcPr>
          <w:p w14:paraId="622CE74A" w14:textId="77777777" w:rsidR="005943F7" w:rsidRPr="00482A36" w:rsidRDefault="005943F7" w:rsidP="00BA1ECE">
            <w:pPr>
              <w:pStyle w:val="Tabletext"/>
              <w:jc w:val="center"/>
              <w:rPr>
                <w:highlight w:val="yellow"/>
              </w:rPr>
            </w:pPr>
            <w:r w:rsidRPr="00482A36">
              <w:t>15 (68.2%)</w:t>
            </w:r>
          </w:p>
        </w:tc>
        <w:tc>
          <w:tcPr>
            <w:tcW w:w="1267" w:type="dxa"/>
            <w:tcBorders>
              <w:top w:val="single" w:sz="4" w:space="0" w:color="auto"/>
              <w:bottom w:val="single" w:sz="4" w:space="0" w:color="auto"/>
            </w:tcBorders>
            <w:shd w:val="clear" w:color="auto" w:fill="FFFFFF" w:themeFill="background1"/>
            <w:vAlign w:val="center"/>
          </w:tcPr>
          <w:p w14:paraId="6FB1EA55" w14:textId="77777777" w:rsidR="005943F7" w:rsidRPr="00482A36" w:rsidRDefault="005943F7" w:rsidP="00BA1ECE">
            <w:pPr>
              <w:pStyle w:val="Tabletext"/>
              <w:jc w:val="center"/>
              <w:rPr>
                <w:highlight w:val="yellow"/>
              </w:rPr>
            </w:pPr>
            <w:r w:rsidRPr="00482A36">
              <w:t>17 (73.9%)</w:t>
            </w:r>
          </w:p>
        </w:tc>
        <w:tc>
          <w:tcPr>
            <w:tcW w:w="1267" w:type="dxa"/>
            <w:tcBorders>
              <w:top w:val="single" w:sz="4" w:space="0" w:color="auto"/>
              <w:bottom w:val="single" w:sz="4" w:space="0" w:color="auto"/>
            </w:tcBorders>
            <w:shd w:val="clear" w:color="auto" w:fill="FFFFFF" w:themeFill="background1"/>
            <w:vAlign w:val="center"/>
          </w:tcPr>
          <w:p w14:paraId="1777A0AA" w14:textId="77777777" w:rsidR="005943F7" w:rsidRPr="00482A36" w:rsidRDefault="005943F7" w:rsidP="00BA1ECE">
            <w:pPr>
              <w:pStyle w:val="Tabletext"/>
              <w:jc w:val="center"/>
              <w:rPr>
                <w:highlight w:val="yellow"/>
              </w:rPr>
            </w:pPr>
            <w:r w:rsidRPr="00482A36">
              <w:t>20 (66.7%)</w:t>
            </w:r>
          </w:p>
        </w:tc>
        <w:tc>
          <w:tcPr>
            <w:tcW w:w="1267" w:type="dxa"/>
            <w:tcBorders>
              <w:top w:val="single" w:sz="4" w:space="0" w:color="auto"/>
              <w:bottom w:val="single" w:sz="4" w:space="0" w:color="auto"/>
            </w:tcBorders>
            <w:shd w:val="clear" w:color="auto" w:fill="FFFFFF" w:themeFill="background1"/>
            <w:vAlign w:val="center"/>
          </w:tcPr>
          <w:p w14:paraId="635B4EE1" w14:textId="77777777" w:rsidR="005943F7" w:rsidRPr="00482A36" w:rsidRDefault="005943F7" w:rsidP="00BA1ECE">
            <w:pPr>
              <w:pStyle w:val="Tabletext"/>
              <w:jc w:val="center"/>
              <w:rPr>
                <w:highlight w:val="yellow"/>
              </w:rPr>
            </w:pPr>
            <w:r w:rsidRPr="00482A36">
              <w:t>18 (85.7%)</w:t>
            </w:r>
          </w:p>
        </w:tc>
        <w:tc>
          <w:tcPr>
            <w:tcW w:w="1267" w:type="dxa"/>
            <w:tcBorders>
              <w:top w:val="single" w:sz="4" w:space="0" w:color="auto"/>
              <w:bottom w:val="single" w:sz="4" w:space="0" w:color="auto"/>
            </w:tcBorders>
            <w:shd w:val="clear" w:color="auto" w:fill="FFFFFF" w:themeFill="background1"/>
            <w:vAlign w:val="center"/>
          </w:tcPr>
          <w:p w14:paraId="40EE05A0" w14:textId="77777777" w:rsidR="005943F7" w:rsidRPr="00482A36" w:rsidRDefault="005943F7" w:rsidP="00BA1ECE">
            <w:pPr>
              <w:pStyle w:val="Tabletext"/>
              <w:jc w:val="center"/>
              <w:rPr>
                <w:highlight w:val="yellow"/>
              </w:rPr>
            </w:pPr>
            <w:r w:rsidRPr="00482A36">
              <w:t>20 (76.9%)</w:t>
            </w:r>
          </w:p>
        </w:tc>
        <w:tc>
          <w:tcPr>
            <w:tcW w:w="1036" w:type="dxa"/>
            <w:tcBorders>
              <w:top w:val="single" w:sz="4" w:space="0" w:color="auto"/>
              <w:bottom w:val="single" w:sz="4" w:space="0" w:color="auto"/>
            </w:tcBorders>
            <w:shd w:val="clear" w:color="auto" w:fill="FFFFFF" w:themeFill="background1"/>
            <w:vAlign w:val="center"/>
          </w:tcPr>
          <w:p w14:paraId="065A9695" w14:textId="77777777" w:rsidR="005943F7" w:rsidRPr="00482A36" w:rsidRDefault="005943F7" w:rsidP="00BA1ECE">
            <w:pPr>
              <w:pStyle w:val="Tabletext"/>
              <w:jc w:val="center"/>
              <w:rPr>
                <w:highlight w:val="yellow"/>
              </w:rPr>
            </w:pPr>
            <w:r w:rsidRPr="00482A36">
              <w:t>7 (100.0%)</w:t>
            </w:r>
          </w:p>
        </w:tc>
      </w:tr>
      <w:tr w:rsidR="005943F7" w:rsidRPr="00482A36" w14:paraId="04572E02" w14:textId="77777777" w:rsidTr="00BA1ECE">
        <w:tc>
          <w:tcPr>
            <w:tcW w:w="1701" w:type="dxa"/>
            <w:tcBorders>
              <w:top w:val="single" w:sz="4" w:space="0" w:color="auto"/>
              <w:bottom w:val="single" w:sz="4" w:space="0" w:color="auto"/>
            </w:tcBorders>
            <w:shd w:val="clear" w:color="auto" w:fill="FFFFFF" w:themeFill="background1"/>
            <w:vAlign w:val="center"/>
          </w:tcPr>
          <w:p w14:paraId="714402CC" w14:textId="77777777" w:rsidR="005943F7" w:rsidRPr="00482A36" w:rsidRDefault="005943F7" w:rsidP="00BA1ECE">
            <w:pPr>
              <w:pStyle w:val="Tabletext"/>
            </w:pPr>
            <w:r w:rsidRPr="00482A36">
              <w:t>Continued loss</w:t>
            </w:r>
          </w:p>
        </w:tc>
        <w:tc>
          <w:tcPr>
            <w:tcW w:w="1267" w:type="dxa"/>
            <w:tcBorders>
              <w:top w:val="single" w:sz="4" w:space="0" w:color="auto"/>
              <w:bottom w:val="single" w:sz="4" w:space="0" w:color="auto"/>
            </w:tcBorders>
            <w:shd w:val="clear" w:color="auto" w:fill="FFFFFF" w:themeFill="background1"/>
            <w:vAlign w:val="center"/>
          </w:tcPr>
          <w:p w14:paraId="592C457E" w14:textId="77777777" w:rsidR="005943F7" w:rsidRPr="00482A36" w:rsidRDefault="005943F7" w:rsidP="00BA1ECE">
            <w:pPr>
              <w:pStyle w:val="Tabletext"/>
              <w:jc w:val="center"/>
            </w:pPr>
            <w:r w:rsidRPr="00482A36">
              <w:t>3 (20.0%)</w:t>
            </w:r>
          </w:p>
        </w:tc>
        <w:tc>
          <w:tcPr>
            <w:tcW w:w="1267" w:type="dxa"/>
            <w:tcBorders>
              <w:top w:val="single" w:sz="4" w:space="0" w:color="auto"/>
              <w:bottom w:val="single" w:sz="4" w:space="0" w:color="auto"/>
            </w:tcBorders>
            <w:shd w:val="clear" w:color="auto" w:fill="FFFFFF" w:themeFill="background1"/>
            <w:vAlign w:val="center"/>
          </w:tcPr>
          <w:p w14:paraId="1272D682" w14:textId="77777777" w:rsidR="005943F7" w:rsidRPr="00482A36" w:rsidRDefault="005943F7" w:rsidP="00BA1ECE">
            <w:pPr>
              <w:pStyle w:val="Tabletext"/>
              <w:jc w:val="center"/>
            </w:pPr>
            <w:r w:rsidRPr="00482A36">
              <w:t>6 (35.3%)</w:t>
            </w:r>
          </w:p>
        </w:tc>
        <w:tc>
          <w:tcPr>
            <w:tcW w:w="1267" w:type="dxa"/>
            <w:tcBorders>
              <w:top w:val="single" w:sz="4" w:space="0" w:color="auto"/>
              <w:bottom w:val="single" w:sz="4" w:space="0" w:color="auto"/>
            </w:tcBorders>
            <w:shd w:val="clear" w:color="auto" w:fill="FFFFFF" w:themeFill="background1"/>
            <w:vAlign w:val="center"/>
          </w:tcPr>
          <w:p w14:paraId="5A9BE3A2" w14:textId="77777777" w:rsidR="005943F7" w:rsidRPr="00482A36" w:rsidRDefault="005943F7" w:rsidP="00BA1ECE">
            <w:pPr>
              <w:pStyle w:val="Tabletext"/>
              <w:jc w:val="center"/>
            </w:pPr>
            <w:r w:rsidRPr="00482A36">
              <w:t>5 (23.8%)</w:t>
            </w:r>
          </w:p>
        </w:tc>
        <w:tc>
          <w:tcPr>
            <w:tcW w:w="1267" w:type="dxa"/>
            <w:tcBorders>
              <w:top w:val="single" w:sz="4" w:space="0" w:color="auto"/>
              <w:bottom w:val="single" w:sz="4" w:space="0" w:color="auto"/>
            </w:tcBorders>
            <w:shd w:val="clear" w:color="auto" w:fill="FFFFFF" w:themeFill="background1"/>
            <w:vAlign w:val="center"/>
          </w:tcPr>
          <w:p w14:paraId="2978B6B6" w14:textId="77777777" w:rsidR="005943F7" w:rsidRPr="00482A36" w:rsidRDefault="005943F7" w:rsidP="00BA1ECE">
            <w:pPr>
              <w:pStyle w:val="Tabletext"/>
              <w:jc w:val="center"/>
            </w:pPr>
            <w:r w:rsidRPr="00482A36">
              <w:t>9 (50.0%)</w:t>
            </w:r>
          </w:p>
        </w:tc>
        <w:tc>
          <w:tcPr>
            <w:tcW w:w="1267" w:type="dxa"/>
            <w:tcBorders>
              <w:top w:val="single" w:sz="4" w:space="0" w:color="auto"/>
              <w:bottom w:val="single" w:sz="4" w:space="0" w:color="auto"/>
            </w:tcBorders>
            <w:shd w:val="clear" w:color="auto" w:fill="FFFFFF" w:themeFill="background1"/>
            <w:vAlign w:val="center"/>
          </w:tcPr>
          <w:p w14:paraId="17063D6F" w14:textId="77777777" w:rsidR="005943F7" w:rsidRPr="00482A36" w:rsidRDefault="005943F7" w:rsidP="00BA1ECE">
            <w:pPr>
              <w:pStyle w:val="Tabletext"/>
              <w:jc w:val="center"/>
            </w:pPr>
            <w:r w:rsidRPr="00482A36">
              <w:t>9 (45.0%)</w:t>
            </w:r>
          </w:p>
        </w:tc>
        <w:tc>
          <w:tcPr>
            <w:tcW w:w="1036" w:type="dxa"/>
            <w:tcBorders>
              <w:top w:val="single" w:sz="4" w:space="0" w:color="auto"/>
              <w:bottom w:val="single" w:sz="4" w:space="0" w:color="auto"/>
            </w:tcBorders>
            <w:shd w:val="clear" w:color="auto" w:fill="FFFFFF" w:themeFill="background1"/>
            <w:vAlign w:val="center"/>
          </w:tcPr>
          <w:p w14:paraId="656F9294" w14:textId="77777777" w:rsidR="005943F7" w:rsidRPr="00482A36" w:rsidRDefault="005943F7" w:rsidP="00BA1ECE">
            <w:pPr>
              <w:pStyle w:val="Tabletext"/>
              <w:jc w:val="center"/>
            </w:pPr>
            <w:r w:rsidRPr="00482A36">
              <w:t>3 (42.9%)</w:t>
            </w:r>
          </w:p>
        </w:tc>
      </w:tr>
      <w:tr w:rsidR="005943F7" w:rsidRPr="00482A36" w14:paraId="1BB3ABA7" w14:textId="77777777" w:rsidTr="00BA1ECE">
        <w:tc>
          <w:tcPr>
            <w:tcW w:w="1701" w:type="dxa"/>
            <w:tcBorders>
              <w:top w:val="single" w:sz="4" w:space="0" w:color="auto"/>
              <w:bottom w:val="single" w:sz="4" w:space="0" w:color="auto"/>
            </w:tcBorders>
            <w:shd w:val="clear" w:color="auto" w:fill="FFFFFF" w:themeFill="background1"/>
            <w:vAlign w:val="center"/>
          </w:tcPr>
          <w:p w14:paraId="1F8CA7F8" w14:textId="77777777" w:rsidR="005943F7" w:rsidRPr="00482A36" w:rsidRDefault="005943F7" w:rsidP="00BA1ECE">
            <w:pPr>
              <w:pStyle w:val="Tabletext"/>
            </w:pPr>
            <w:r w:rsidRPr="00482A36">
              <w:t>Partially recovered</w:t>
            </w:r>
          </w:p>
        </w:tc>
        <w:tc>
          <w:tcPr>
            <w:tcW w:w="1267" w:type="dxa"/>
            <w:tcBorders>
              <w:top w:val="single" w:sz="4" w:space="0" w:color="auto"/>
              <w:bottom w:val="single" w:sz="4" w:space="0" w:color="auto"/>
            </w:tcBorders>
            <w:shd w:val="clear" w:color="auto" w:fill="FFFFFF" w:themeFill="background1"/>
            <w:vAlign w:val="center"/>
          </w:tcPr>
          <w:p w14:paraId="72149322" w14:textId="77777777" w:rsidR="005943F7" w:rsidRPr="00482A36" w:rsidRDefault="005943F7" w:rsidP="00BA1ECE">
            <w:pPr>
              <w:pStyle w:val="Tabletext"/>
              <w:jc w:val="center"/>
            </w:pPr>
            <w:r w:rsidRPr="00482A36">
              <w:t>5 (33.3%)</w:t>
            </w:r>
          </w:p>
        </w:tc>
        <w:tc>
          <w:tcPr>
            <w:tcW w:w="1267" w:type="dxa"/>
            <w:tcBorders>
              <w:top w:val="single" w:sz="4" w:space="0" w:color="auto"/>
              <w:bottom w:val="single" w:sz="4" w:space="0" w:color="auto"/>
            </w:tcBorders>
            <w:shd w:val="clear" w:color="auto" w:fill="FFFFFF" w:themeFill="background1"/>
            <w:vAlign w:val="center"/>
          </w:tcPr>
          <w:p w14:paraId="1A5D687B" w14:textId="77777777" w:rsidR="005943F7" w:rsidRPr="00482A36" w:rsidRDefault="005943F7" w:rsidP="00BA1ECE">
            <w:pPr>
              <w:pStyle w:val="Tabletext"/>
              <w:jc w:val="center"/>
            </w:pPr>
            <w:r w:rsidRPr="00482A36">
              <w:t>3 (17.6%)</w:t>
            </w:r>
          </w:p>
        </w:tc>
        <w:tc>
          <w:tcPr>
            <w:tcW w:w="1267" w:type="dxa"/>
            <w:tcBorders>
              <w:top w:val="single" w:sz="4" w:space="0" w:color="auto"/>
              <w:bottom w:val="single" w:sz="4" w:space="0" w:color="auto"/>
            </w:tcBorders>
            <w:shd w:val="clear" w:color="auto" w:fill="FFFFFF" w:themeFill="background1"/>
            <w:vAlign w:val="center"/>
          </w:tcPr>
          <w:p w14:paraId="0C7DE42B" w14:textId="77777777" w:rsidR="005943F7" w:rsidRPr="00482A36" w:rsidRDefault="005943F7" w:rsidP="00BA1ECE">
            <w:pPr>
              <w:pStyle w:val="Tabletext"/>
              <w:jc w:val="center"/>
            </w:pPr>
            <w:r w:rsidRPr="00482A36">
              <w:t>6 (28.6%)</w:t>
            </w:r>
          </w:p>
        </w:tc>
        <w:tc>
          <w:tcPr>
            <w:tcW w:w="1267" w:type="dxa"/>
            <w:tcBorders>
              <w:top w:val="single" w:sz="4" w:space="0" w:color="auto"/>
              <w:bottom w:val="single" w:sz="4" w:space="0" w:color="auto"/>
            </w:tcBorders>
            <w:shd w:val="clear" w:color="auto" w:fill="FFFFFF" w:themeFill="background1"/>
            <w:vAlign w:val="center"/>
          </w:tcPr>
          <w:p w14:paraId="54A702E9" w14:textId="77777777" w:rsidR="005943F7" w:rsidRPr="00482A36" w:rsidRDefault="005943F7" w:rsidP="00BA1ECE">
            <w:pPr>
              <w:pStyle w:val="Tabletext"/>
              <w:jc w:val="center"/>
            </w:pPr>
            <w:r w:rsidRPr="00482A36">
              <w:t>4 (22.2%)</w:t>
            </w:r>
          </w:p>
        </w:tc>
        <w:tc>
          <w:tcPr>
            <w:tcW w:w="1267" w:type="dxa"/>
            <w:tcBorders>
              <w:top w:val="single" w:sz="4" w:space="0" w:color="auto"/>
              <w:bottom w:val="single" w:sz="4" w:space="0" w:color="auto"/>
            </w:tcBorders>
            <w:shd w:val="clear" w:color="auto" w:fill="FFFFFF" w:themeFill="background1"/>
            <w:vAlign w:val="center"/>
          </w:tcPr>
          <w:p w14:paraId="262794D0" w14:textId="77777777" w:rsidR="005943F7" w:rsidRPr="00482A36" w:rsidRDefault="005943F7" w:rsidP="00BA1ECE">
            <w:pPr>
              <w:pStyle w:val="Tabletext"/>
              <w:jc w:val="center"/>
            </w:pPr>
            <w:r w:rsidRPr="00482A36">
              <w:t>5 (25.0%)</w:t>
            </w:r>
          </w:p>
        </w:tc>
        <w:tc>
          <w:tcPr>
            <w:tcW w:w="1036" w:type="dxa"/>
            <w:tcBorders>
              <w:top w:val="single" w:sz="4" w:space="0" w:color="auto"/>
              <w:bottom w:val="single" w:sz="4" w:space="0" w:color="auto"/>
            </w:tcBorders>
            <w:shd w:val="clear" w:color="auto" w:fill="FFFFFF" w:themeFill="background1"/>
            <w:vAlign w:val="center"/>
          </w:tcPr>
          <w:p w14:paraId="5784C62E" w14:textId="77777777" w:rsidR="005943F7" w:rsidRPr="00482A36" w:rsidRDefault="005943F7" w:rsidP="00BA1ECE">
            <w:pPr>
              <w:pStyle w:val="Tabletext"/>
              <w:jc w:val="center"/>
            </w:pPr>
            <w:r w:rsidRPr="00482A36">
              <w:t>1 (14.3%)</w:t>
            </w:r>
          </w:p>
        </w:tc>
      </w:tr>
      <w:tr w:rsidR="005943F7" w:rsidRPr="00482A36" w14:paraId="6297CBBA" w14:textId="77777777" w:rsidTr="00BA1ECE">
        <w:tc>
          <w:tcPr>
            <w:tcW w:w="1701" w:type="dxa"/>
            <w:tcBorders>
              <w:top w:val="single" w:sz="4" w:space="0" w:color="auto"/>
              <w:bottom w:val="single" w:sz="4" w:space="0" w:color="auto"/>
            </w:tcBorders>
            <w:shd w:val="clear" w:color="auto" w:fill="FFFFFF" w:themeFill="background1"/>
            <w:vAlign w:val="center"/>
          </w:tcPr>
          <w:p w14:paraId="56CCF072" w14:textId="77777777" w:rsidR="005943F7" w:rsidRPr="00482A36" w:rsidRDefault="005943F7" w:rsidP="00BA1ECE">
            <w:pPr>
              <w:pStyle w:val="Tabletext"/>
            </w:pPr>
            <w:r w:rsidRPr="00482A36">
              <w:t>Completely recovered</w:t>
            </w:r>
          </w:p>
        </w:tc>
        <w:tc>
          <w:tcPr>
            <w:tcW w:w="1267" w:type="dxa"/>
            <w:tcBorders>
              <w:top w:val="single" w:sz="4" w:space="0" w:color="auto"/>
              <w:bottom w:val="single" w:sz="4" w:space="0" w:color="auto"/>
            </w:tcBorders>
            <w:shd w:val="clear" w:color="auto" w:fill="FFFFFF" w:themeFill="background1"/>
            <w:vAlign w:val="center"/>
          </w:tcPr>
          <w:p w14:paraId="0F3129E5" w14:textId="77777777" w:rsidR="005943F7" w:rsidRPr="00482A36" w:rsidRDefault="005943F7" w:rsidP="00BA1ECE">
            <w:pPr>
              <w:pStyle w:val="Tabletext"/>
              <w:jc w:val="center"/>
            </w:pPr>
            <w:r w:rsidRPr="00482A36">
              <w:t>7 (46.7%)</w:t>
            </w:r>
          </w:p>
        </w:tc>
        <w:tc>
          <w:tcPr>
            <w:tcW w:w="1267" w:type="dxa"/>
            <w:tcBorders>
              <w:top w:val="single" w:sz="4" w:space="0" w:color="auto"/>
              <w:bottom w:val="single" w:sz="4" w:space="0" w:color="auto"/>
            </w:tcBorders>
            <w:shd w:val="clear" w:color="auto" w:fill="FFFFFF" w:themeFill="background1"/>
            <w:vAlign w:val="center"/>
          </w:tcPr>
          <w:p w14:paraId="6C20FFEB" w14:textId="77777777" w:rsidR="005943F7" w:rsidRPr="00482A36" w:rsidRDefault="005943F7" w:rsidP="00BA1ECE">
            <w:pPr>
              <w:pStyle w:val="Tabletext"/>
              <w:jc w:val="center"/>
            </w:pPr>
            <w:r w:rsidRPr="00482A36">
              <w:t>8 (47.1%)</w:t>
            </w:r>
          </w:p>
        </w:tc>
        <w:tc>
          <w:tcPr>
            <w:tcW w:w="1267" w:type="dxa"/>
            <w:tcBorders>
              <w:top w:val="single" w:sz="4" w:space="0" w:color="auto"/>
              <w:bottom w:val="single" w:sz="4" w:space="0" w:color="auto"/>
            </w:tcBorders>
            <w:shd w:val="clear" w:color="auto" w:fill="FFFFFF" w:themeFill="background1"/>
            <w:vAlign w:val="center"/>
          </w:tcPr>
          <w:p w14:paraId="4906D062" w14:textId="77777777" w:rsidR="005943F7" w:rsidRPr="00482A36" w:rsidRDefault="005943F7" w:rsidP="00BA1ECE">
            <w:pPr>
              <w:pStyle w:val="Tabletext"/>
              <w:jc w:val="center"/>
            </w:pPr>
            <w:r w:rsidRPr="00482A36">
              <w:t>10 (47.6%)</w:t>
            </w:r>
          </w:p>
        </w:tc>
        <w:tc>
          <w:tcPr>
            <w:tcW w:w="1267" w:type="dxa"/>
            <w:tcBorders>
              <w:top w:val="single" w:sz="4" w:space="0" w:color="auto"/>
              <w:bottom w:val="single" w:sz="4" w:space="0" w:color="auto"/>
            </w:tcBorders>
            <w:shd w:val="clear" w:color="auto" w:fill="FFFFFF" w:themeFill="background1"/>
            <w:vAlign w:val="center"/>
          </w:tcPr>
          <w:p w14:paraId="25751CBD" w14:textId="77777777" w:rsidR="005943F7" w:rsidRPr="00482A36" w:rsidRDefault="005943F7" w:rsidP="00BA1ECE">
            <w:pPr>
              <w:pStyle w:val="Tabletext"/>
              <w:jc w:val="center"/>
            </w:pPr>
            <w:r w:rsidRPr="00482A36">
              <w:t>5 (27.78%)</w:t>
            </w:r>
          </w:p>
        </w:tc>
        <w:tc>
          <w:tcPr>
            <w:tcW w:w="1267" w:type="dxa"/>
            <w:tcBorders>
              <w:top w:val="single" w:sz="4" w:space="0" w:color="auto"/>
              <w:bottom w:val="single" w:sz="4" w:space="0" w:color="auto"/>
            </w:tcBorders>
            <w:shd w:val="clear" w:color="auto" w:fill="FFFFFF" w:themeFill="background1"/>
            <w:vAlign w:val="center"/>
          </w:tcPr>
          <w:p w14:paraId="18DC5009" w14:textId="77777777" w:rsidR="005943F7" w:rsidRPr="00482A36" w:rsidRDefault="005943F7" w:rsidP="00BA1ECE">
            <w:pPr>
              <w:pStyle w:val="Tabletext"/>
              <w:jc w:val="center"/>
            </w:pPr>
            <w:r w:rsidRPr="00482A36">
              <w:t>6 (30.0%)</w:t>
            </w:r>
          </w:p>
        </w:tc>
        <w:tc>
          <w:tcPr>
            <w:tcW w:w="1036" w:type="dxa"/>
            <w:tcBorders>
              <w:top w:val="single" w:sz="4" w:space="0" w:color="auto"/>
              <w:bottom w:val="single" w:sz="4" w:space="0" w:color="auto"/>
            </w:tcBorders>
            <w:shd w:val="clear" w:color="auto" w:fill="FFFFFF" w:themeFill="background1"/>
            <w:vAlign w:val="center"/>
          </w:tcPr>
          <w:p w14:paraId="56F726C9" w14:textId="77777777" w:rsidR="005943F7" w:rsidRPr="00482A36" w:rsidRDefault="005943F7" w:rsidP="00BA1ECE">
            <w:pPr>
              <w:pStyle w:val="Tabletext"/>
              <w:jc w:val="center"/>
            </w:pPr>
            <w:r w:rsidRPr="00482A36">
              <w:t>3 (42.9%)</w:t>
            </w:r>
          </w:p>
        </w:tc>
      </w:tr>
      <w:tr w:rsidR="005943F7" w:rsidRPr="00482A36" w14:paraId="76D4FE80" w14:textId="77777777" w:rsidTr="00BA1ECE">
        <w:tc>
          <w:tcPr>
            <w:tcW w:w="9072" w:type="dxa"/>
            <w:gridSpan w:val="7"/>
            <w:tcBorders>
              <w:bottom w:val="single" w:sz="4" w:space="0" w:color="auto"/>
            </w:tcBorders>
            <w:shd w:val="clear" w:color="auto" w:fill="FFFFFF" w:themeFill="background1"/>
            <w:vAlign w:val="center"/>
          </w:tcPr>
          <w:p w14:paraId="746F8F2F" w14:textId="77777777" w:rsidR="005943F7" w:rsidRPr="00482A36" w:rsidRDefault="005943F7" w:rsidP="00BA1ECE">
            <w:pPr>
              <w:pStyle w:val="Tabletext"/>
              <w:rPr>
                <w:b/>
                <w:bCs/>
              </w:rPr>
            </w:pPr>
            <w:r w:rsidRPr="00482A36">
              <w:rPr>
                <w:b/>
                <w:bCs/>
              </w:rPr>
              <w:t>Femoral neck</w:t>
            </w:r>
          </w:p>
        </w:tc>
      </w:tr>
      <w:tr w:rsidR="005943F7" w:rsidRPr="00482A36" w14:paraId="3A846279" w14:textId="77777777" w:rsidTr="00BA1ECE">
        <w:tc>
          <w:tcPr>
            <w:tcW w:w="1701" w:type="dxa"/>
            <w:tcBorders>
              <w:top w:val="single" w:sz="4" w:space="0" w:color="auto"/>
              <w:bottom w:val="single" w:sz="4" w:space="0" w:color="auto"/>
            </w:tcBorders>
            <w:shd w:val="clear" w:color="auto" w:fill="FFFFFF" w:themeFill="background1"/>
            <w:vAlign w:val="center"/>
          </w:tcPr>
          <w:p w14:paraId="64345B3A" w14:textId="77777777" w:rsidR="005943F7" w:rsidRPr="00482A36" w:rsidRDefault="005943F7" w:rsidP="00BA1ECE">
            <w:pPr>
              <w:pStyle w:val="Tabletext"/>
            </w:pPr>
            <w:r w:rsidRPr="00482A36">
              <w:t>n (%)</w:t>
            </w:r>
          </w:p>
        </w:tc>
        <w:tc>
          <w:tcPr>
            <w:tcW w:w="1267" w:type="dxa"/>
            <w:tcBorders>
              <w:top w:val="single" w:sz="4" w:space="0" w:color="auto"/>
              <w:bottom w:val="single" w:sz="4" w:space="0" w:color="auto"/>
            </w:tcBorders>
            <w:shd w:val="clear" w:color="auto" w:fill="FFFFFF" w:themeFill="background1"/>
            <w:vAlign w:val="center"/>
          </w:tcPr>
          <w:p w14:paraId="479C9B1C" w14:textId="77777777" w:rsidR="005943F7" w:rsidRPr="00482A36" w:rsidRDefault="005943F7" w:rsidP="00BA1ECE">
            <w:pPr>
              <w:pStyle w:val="Tabletext"/>
              <w:jc w:val="center"/>
              <w:rPr>
                <w:highlight w:val="yellow"/>
              </w:rPr>
            </w:pPr>
            <w:r w:rsidRPr="00482A36">
              <w:t>15 (68.2%)</w:t>
            </w:r>
          </w:p>
        </w:tc>
        <w:tc>
          <w:tcPr>
            <w:tcW w:w="1267" w:type="dxa"/>
            <w:tcBorders>
              <w:top w:val="single" w:sz="4" w:space="0" w:color="auto"/>
              <w:bottom w:val="single" w:sz="4" w:space="0" w:color="auto"/>
            </w:tcBorders>
            <w:shd w:val="clear" w:color="auto" w:fill="FFFFFF" w:themeFill="background1"/>
            <w:vAlign w:val="center"/>
          </w:tcPr>
          <w:p w14:paraId="5DF74F3F" w14:textId="77777777" w:rsidR="005943F7" w:rsidRPr="00482A36" w:rsidRDefault="005943F7" w:rsidP="00BA1ECE">
            <w:pPr>
              <w:pStyle w:val="Tabletext"/>
              <w:jc w:val="center"/>
              <w:rPr>
                <w:highlight w:val="yellow"/>
              </w:rPr>
            </w:pPr>
            <w:r w:rsidRPr="00482A36">
              <w:t>17 (73.9%)</w:t>
            </w:r>
          </w:p>
        </w:tc>
        <w:tc>
          <w:tcPr>
            <w:tcW w:w="1267" w:type="dxa"/>
            <w:tcBorders>
              <w:top w:val="single" w:sz="4" w:space="0" w:color="auto"/>
              <w:bottom w:val="single" w:sz="4" w:space="0" w:color="auto"/>
            </w:tcBorders>
            <w:shd w:val="clear" w:color="auto" w:fill="FFFFFF" w:themeFill="background1"/>
            <w:vAlign w:val="center"/>
          </w:tcPr>
          <w:p w14:paraId="73A80810" w14:textId="77777777" w:rsidR="005943F7" w:rsidRPr="00482A36" w:rsidRDefault="005943F7" w:rsidP="00BA1ECE">
            <w:pPr>
              <w:pStyle w:val="Tabletext"/>
              <w:jc w:val="center"/>
              <w:rPr>
                <w:highlight w:val="yellow"/>
              </w:rPr>
            </w:pPr>
            <w:r w:rsidRPr="00482A36">
              <w:t>20 (66.7%)</w:t>
            </w:r>
          </w:p>
        </w:tc>
        <w:tc>
          <w:tcPr>
            <w:tcW w:w="1267" w:type="dxa"/>
            <w:tcBorders>
              <w:top w:val="single" w:sz="4" w:space="0" w:color="auto"/>
              <w:bottom w:val="single" w:sz="4" w:space="0" w:color="auto"/>
            </w:tcBorders>
            <w:shd w:val="clear" w:color="auto" w:fill="FFFFFF" w:themeFill="background1"/>
            <w:vAlign w:val="center"/>
          </w:tcPr>
          <w:p w14:paraId="104A4866" w14:textId="77777777" w:rsidR="005943F7" w:rsidRPr="00482A36" w:rsidRDefault="005943F7" w:rsidP="00BA1ECE">
            <w:pPr>
              <w:pStyle w:val="Tabletext"/>
              <w:jc w:val="center"/>
              <w:rPr>
                <w:highlight w:val="yellow"/>
              </w:rPr>
            </w:pPr>
            <w:r w:rsidRPr="00482A36">
              <w:t>18 (85.7%)</w:t>
            </w:r>
          </w:p>
        </w:tc>
        <w:tc>
          <w:tcPr>
            <w:tcW w:w="1267" w:type="dxa"/>
            <w:tcBorders>
              <w:top w:val="single" w:sz="4" w:space="0" w:color="auto"/>
              <w:bottom w:val="single" w:sz="4" w:space="0" w:color="auto"/>
            </w:tcBorders>
            <w:shd w:val="clear" w:color="auto" w:fill="FFFFFF" w:themeFill="background1"/>
            <w:vAlign w:val="center"/>
          </w:tcPr>
          <w:p w14:paraId="0CC82AD4" w14:textId="77777777" w:rsidR="005943F7" w:rsidRPr="00482A36" w:rsidRDefault="005943F7" w:rsidP="00BA1ECE">
            <w:pPr>
              <w:pStyle w:val="Tabletext"/>
              <w:jc w:val="center"/>
              <w:rPr>
                <w:highlight w:val="yellow"/>
              </w:rPr>
            </w:pPr>
            <w:r w:rsidRPr="00482A36">
              <w:t>20 (76.9%)</w:t>
            </w:r>
          </w:p>
        </w:tc>
        <w:tc>
          <w:tcPr>
            <w:tcW w:w="1036" w:type="dxa"/>
            <w:tcBorders>
              <w:top w:val="single" w:sz="4" w:space="0" w:color="auto"/>
              <w:bottom w:val="single" w:sz="4" w:space="0" w:color="auto"/>
            </w:tcBorders>
            <w:shd w:val="clear" w:color="auto" w:fill="FFFFFF" w:themeFill="background1"/>
            <w:vAlign w:val="center"/>
          </w:tcPr>
          <w:p w14:paraId="761FBC36" w14:textId="77777777" w:rsidR="005943F7" w:rsidRPr="00482A36" w:rsidRDefault="005943F7" w:rsidP="00BA1ECE">
            <w:pPr>
              <w:pStyle w:val="Tabletext"/>
              <w:jc w:val="center"/>
              <w:rPr>
                <w:highlight w:val="yellow"/>
              </w:rPr>
            </w:pPr>
            <w:r w:rsidRPr="00482A36">
              <w:t>7 (100.0%)</w:t>
            </w:r>
          </w:p>
        </w:tc>
      </w:tr>
      <w:tr w:rsidR="005943F7" w:rsidRPr="00482A36" w14:paraId="2610400F" w14:textId="77777777" w:rsidTr="00BA1ECE">
        <w:tc>
          <w:tcPr>
            <w:tcW w:w="1701" w:type="dxa"/>
            <w:tcBorders>
              <w:top w:val="single" w:sz="4" w:space="0" w:color="auto"/>
              <w:bottom w:val="single" w:sz="4" w:space="0" w:color="auto"/>
            </w:tcBorders>
            <w:shd w:val="clear" w:color="auto" w:fill="FFFFFF" w:themeFill="background1"/>
            <w:vAlign w:val="center"/>
          </w:tcPr>
          <w:p w14:paraId="03C2835E" w14:textId="77777777" w:rsidR="005943F7" w:rsidRPr="00482A36" w:rsidRDefault="005943F7" w:rsidP="00BA1ECE">
            <w:pPr>
              <w:pStyle w:val="Tabletext"/>
            </w:pPr>
            <w:r w:rsidRPr="00482A36">
              <w:t>Continued loss</w:t>
            </w:r>
          </w:p>
        </w:tc>
        <w:tc>
          <w:tcPr>
            <w:tcW w:w="1267" w:type="dxa"/>
            <w:tcBorders>
              <w:top w:val="single" w:sz="4" w:space="0" w:color="auto"/>
              <w:bottom w:val="single" w:sz="4" w:space="0" w:color="auto"/>
            </w:tcBorders>
            <w:shd w:val="clear" w:color="auto" w:fill="FFFFFF" w:themeFill="background1"/>
            <w:vAlign w:val="center"/>
          </w:tcPr>
          <w:p w14:paraId="58366498" w14:textId="77777777" w:rsidR="005943F7" w:rsidRPr="00482A36" w:rsidRDefault="005943F7" w:rsidP="00BA1ECE">
            <w:pPr>
              <w:pStyle w:val="Tabletext"/>
              <w:jc w:val="center"/>
            </w:pPr>
            <w:r w:rsidRPr="00482A36">
              <w:t>6 (40.0%)</w:t>
            </w:r>
          </w:p>
        </w:tc>
        <w:tc>
          <w:tcPr>
            <w:tcW w:w="1267" w:type="dxa"/>
            <w:tcBorders>
              <w:top w:val="single" w:sz="4" w:space="0" w:color="auto"/>
              <w:bottom w:val="single" w:sz="4" w:space="0" w:color="auto"/>
            </w:tcBorders>
            <w:shd w:val="clear" w:color="auto" w:fill="FFFFFF" w:themeFill="background1"/>
            <w:vAlign w:val="center"/>
          </w:tcPr>
          <w:p w14:paraId="39BE04F1" w14:textId="77777777" w:rsidR="005943F7" w:rsidRPr="00482A36" w:rsidRDefault="005943F7" w:rsidP="00BA1ECE">
            <w:pPr>
              <w:pStyle w:val="Tabletext"/>
              <w:jc w:val="center"/>
            </w:pPr>
            <w:r w:rsidRPr="00482A36">
              <w:t>8 (47.1%)</w:t>
            </w:r>
          </w:p>
        </w:tc>
        <w:tc>
          <w:tcPr>
            <w:tcW w:w="1267" w:type="dxa"/>
            <w:tcBorders>
              <w:top w:val="single" w:sz="4" w:space="0" w:color="auto"/>
              <w:bottom w:val="single" w:sz="4" w:space="0" w:color="auto"/>
            </w:tcBorders>
            <w:shd w:val="clear" w:color="auto" w:fill="FFFFFF" w:themeFill="background1"/>
            <w:vAlign w:val="center"/>
          </w:tcPr>
          <w:p w14:paraId="49D076B4" w14:textId="77777777" w:rsidR="005943F7" w:rsidRPr="00482A36" w:rsidRDefault="005943F7" w:rsidP="00BA1ECE">
            <w:pPr>
              <w:pStyle w:val="Tabletext"/>
              <w:jc w:val="center"/>
            </w:pPr>
            <w:r w:rsidRPr="00482A36">
              <w:t>4 (20.0%)</w:t>
            </w:r>
          </w:p>
        </w:tc>
        <w:tc>
          <w:tcPr>
            <w:tcW w:w="1267" w:type="dxa"/>
            <w:tcBorders>
              <w:top w:val="single" w:sz="4" w:space="0" w:color="auto"/>
              <w:bottom w:val="single" w:sz="4" w:space="0" w:color="auto"/>
            </w:tcBorders>
            <w:shd w:val="clear" w:color="auto" w:fill="FFFFFF" w:themeFill="background1"/>
            <w:vAlign w:val="center"/>
          </w:tcPr>
          <w:p w14:paraId="5D66B978" w14:textId="77777777" w:rsidR="005943F7" w:rsidRPr="00482A36" w:rsidRDefault="005943F7" w:rsidP="00BA1ECE">
            <w:pPr>
              <w:pStyle w:val="Tabletext"/>
              <w:jc w:val="center"/>
            </w:pPr>
            <w:r w:rsidRPr="00482A36">
              <w:t>11 (61.1%)</w:t>
            </w:r>
          </w:p>
        </w:tc>
        <w:tc>
          <w:tcPr>
            <w:tcW w:w="1267" w:type="dxa"/>
            <w:tcBorders>
              <w:top w:val="single" w:sz="4" w:space="0" w:color="auto"/>
              <w:bottom w:val="single" w:sz="4" w:space="0" w:color="auto"/>
            </w:tcBorders>
            <w:shd w:val="clear" w:color="auto" w:fill="FFFFFF" w:themeFill="background1"/>
            <w:vAlign w:val="center"/>
          </w:tcPr>
          <w:p w14:paraId="48E627E1" w14:textId="77777777" w:rsidR="005943F7" w:rsidRPr="00482A36" w:rsidRDefault="005943F7" w:rsidP="00BA1ECE">
            <w:pPr>
              <w:pStyle w:val="Tabletext"/>
              <w:jc w:val="center"/>
            </w:pPr>
            <w:r w:rsidRPr="00482A36">
              <w:t>10 (50.0%)</w:t>
            </w:r>
          </w:p>
        </w:tc>
        <w:tc>
          <w:tcPr>
            <w:tcW w:w="1036" w:type="dxa"/>
            <w:tcBorders>
              <w:top w:val="single" w:sz="4" w:space="0" w:color="auto"/>
              <w:bottom w:val="single" w:sz="4" w:space="0" w:color="auto"/>
            </w:tcBorders>
            <w:shd w:val="clear" w:color="auto" w:fill="FFFFFF" w:themeFill="background1"/>
            <w:vAlign w:val="center"/>
          </w:tcPr>
          <w:p w14:paraId="4094C32C" w14:textId="77777777" w:rsidR="005943F7" w:rsidRPr="00482A36" w:rsidRDefault="005943F7" w:rsidP="00BA1ECE">
            <w:pPr>
              <w:pStyle w:val="Tabletext"/>
              <w:jc w:val="center"/>
            </w:pPr>
            <w:r w:rsidRPr="00482A36">
              <w:t>2 (28.6%)</w:t>
            </w:r>
          </w:p>
        </w:tc>
      </w:tr>
      <w:tr w:rsidR="005943F7" w:rsidRPr="00482A36" w14:paraId="57A092C7" w14:textId="77777777" w:rsidTr="00BA1ECE">
        <w:tc>
          <w:tcPr>
            <w:tcW w:w="1701" w:type="dxa"/>
            <w:tcBorders>
              <w:top w:val="single" w:sz="4" w:space="0" w:color="auto"/>
              <w:bottom w:val="single" w:sz="4" w:space="0" w:color="auto"/>
            </w:tcBorders>
            <w:shd w:val="clear" w:color="auto" w:fill="FFFFFF" w:themeFill="background1"/>
            <w:vAlign w:val="center"/>
          </w:tcPr>
          <w:p w14:paraId="58764774" w14:textId="77777777" w:rsidR="005943F7" w:rsidRPr="00482A36" w:rsidRDefault="005943F7" w:rsidP="00BA1ECE">
            <w:pPr>
              <w:pStyle w:val="Tabletext"/>
            </w:pPr>
            <w:r w:rsidRPr="00482A36">
              <w:t>Partially recovered</w:t>
            </w:r>
          </w:p>
        </w:tc>
        <w:tc>
          <w:tcPr>
            <w:tcW w:w="1267" w:type="dxa"/>
            <w:tcBorders>
              <w:top w:val="single" w:sz="4" w:space="0" w:color="auto"/>
              <w:bottom w:val="single" w:sz="4" w:space="0" w:color="auto"/>
            </w:tcBorders>
            <w:shd w:val="clear" w:color="auto" w:fill="FFFFFF" w:themeFill="background1"/>
            <w:vAlign w:val="center"/>
          </w:tcPr>
          <w:p w14:paraId="4CA01C55" w14:textId="77777777" w:rsidR="005943F7" w:rsidRPr="00482A36" w:rsidRDefault="005943F7" w:rsidP="00BA1ECE">
            <w:pPr>
              <w:pStyle w:val="Tabletext"/>
              <w:jc w:val="center"/>
            </w:pPr>
            <w:r w:rsidRPr="00482A36">
              <w:t>4 (26.7%)</w:t>
            </w:r>
          </w:p>
        </w:tc>
        <w:tc>
          <w:tcPr>
            <w:tcW w:w="1267" w:type="dxa"/>
            <w:tcBorders>
              <w:top w:val="single" w:sz="4" w:space="0" w:color="auto"/>
              <w:bottom w:val="single" w:sz="4" w:space="0" w:color="auto"/>
            </w:tcBorders>
            <w:shd w:val="clear" w:color="auto" w:fill="FFFFFF" w:themeFill="background1"/>
            <w:vAlign w:val="center"/>
          </w:tcPr>
          <w:p w14:paraId="356BD800" w14:textId="77777777" w:rsidR="005943F7" w:rsidRPr="00482A36" w:rsidRDefault="005943F7" w:rsidP="00BA1ECE">
            <w:pPr>
              <w:pStyle w:val="Tabletext"/>
              <w:jc w:val="center"/>
            </w:pPr>
            <w:r w:rsidRPr="00482A36">
              <w:t>2 (11.8%)</w:t>
            </w:r>
          </w:p>
        </w:tc>
        <w:tc>
          <w:tcPr>
            <w:tcW w:w="1267" w:type="dxa"/>
            <w:tcBorders>
              <w:top w:val="single" w:sz="4" w:space="0" w:color="auto"/>
              <w:bottom w:val="single" w:sz="4" w:space="0" w:color="auto"/>
            </w:tcBorders>
            <w:shd w:val="clear" w:color="auto" w:fill="FFFFFF" w:themeFill="background1"/>
            <w:vAlign w:val="center"/>
          </w:tcPr>
          <w:p w14:paraId="054A39CA" w14:textId="77777777" w:rsidR="005943F7" w:rsidRPr="00482A36" w:rsidRDefault="005943F7" w:rsidP="00BA1ECE">
            <w:pPr>
              <w:pStyle w:val="Tabletext"/>
              <w:jc w:val="center"/>
            </w:pPr>
            <w:r w:rsidRPr="00482A36">
              <w:t>2 (10.0%)</w:t>
            </w:r>
          </w:p>
        </w:tc>
        <w:tc>
          <w:tcPr>
            <w:tcW w:w="1267" w:type="dxa"/>
            <w:tcBorders>
              <w:top w:val="single" w:sz="4" w:space="0" w:color="auto"/>
              <w:bottom w:val="single" w:sz="4" w:space="0" w:color="auto"/>
            </w:tcBorders>
            <w:shd w:val="clear" w:color="auto" w:fill="FFFFFF" w:themeFill="background1"/>
            <w:vAlign w:val="center"/>
          </w:tcPr>
          <w:p w14:paraId="0B97C04B" w14:textId="77777777" w:rsidR="005943F7" w:rsidRPr="00482A36" w:rsidRDefault="005943F7" w:rsidP="00BA1ECE">
            <w:pPr>
              <w:pStyle w:val="Tabletext"/>
              <w:jc w:val="center"/>
            </w:pPr>
            <w:r w:rsidRPr="00482A36">
              <w:t>4 (22.2%)</w:t>
            </w:r>
          </w:p>
        </w:tc>
        <w:tc>
          <w:tcPr>
            <w:tcW w:w="1267" w:type="dxa"/>
            <w:tcBorders>
              <w:top w:val="single" w:sz="4" w:space="0" w:color="auto"/>
              <w:bottom w:val="single" w:sz="4" w:space="0" w:color="auto"/>
            </w:tcBorders>
            <w:shd w:val="clear" w:color="auto" w:fill="FFFFFF" w:themeFill="background1"/>
            <w:vAlign w:val="center"/>
          </w:tcPr>
          <w:p w14:paraId="57B8C2C7" w14:textId="77777777" w:rsidR="005943F7" w:rsidRPr="00482A36" w:rsidRDefault="005943F7" w:rsidP="00BA1ECE">
            <w:pPr>
              <w:pStyle w:val="Tabletext"/>
              <w:jc w:val="center"/>
            </w:pPr>
            <w:r w:rsidRPr="00482A36">
              <w:t>2 (10.0%)</w:t>
            </w:r>
          </w:p>
        </w:tc>
        <w:tc>
          <w:tcPr>
            <w:tcW w:w="1036" w:type="dxa"/>
            <w:tcBorders>
              <w:top w:val="single" w:sz="4" w:space="0" w:color="auto"/>
              <w:bottom w:val="single" w:sz="4" w:space="0" w:color="auto"/>
            </w:tcBorders>
            <w:shd w:val="clear" w:color="auto" w:fill="FFFFFF" w:themeFill="background1"/>
            <w:vAlign w:val="center"/>
          </w:tcPr>
          <w:p w14:paraId="66153BB6" w14:textId="77777777" w:rsidR="005943F7" w:rsidRPr="00482A36" w:rsidRDefault="005943F7" w:rsidP="00BA1ECE">
            <w:pPr>
              <w:pStyle w:val="Tabletext"/>
              <w:jc w:val="center"/>
            </w:pPr>
            <w:r w:rsidRPr="00482A36">
              <w:t>1 (14.3%)</w:t>
            </w:r>
          </w:p>
        </w:tc>
      </w:tr>
      <w:tr w:rsidR="005943F7" w:rsidRPr="00482A36" w14:paraId="41EACC9A" w14:textId="77777777" w:rsidTr="00BA1ECE">
        <w:tc>
          <w:tcPr>
            <w:tcW w:w="1701" w:type="dxa"/>
            <w:tcBorders>
              <w:top w:val="single" w:sz="4" w:space="0" w:color="auto"/>
              <w:bottom w:val="single" w:sz="4" w:space="0" w:color="auto"/>
            </w:tcBorders>
            <w:shd w:val="clear" w:color="auto" w:fill="FFFFFF" w:themeFill="background1"/>
            <w:vAlign w:val="center"/>
          </w:tcPr>
          <w:p w14:paraId="462BB814" w14:textId="77777777" w:rsidR="005943F7" w:rsidRPr="00482A36" w:rsidRDefault="005943F7" w:rsidP="00BA1ECE">
            <w:pPr>
              <w:pStyle w:val="Tabletext"/>
            </w:pPr>
            <w:r w:rsidRPr="00482A36">
              <w:t>Completely recovered</w:t>
            </w:r>
          </w:p>
        </w:tc>
        <w:tc>
          <w:tcPr>
            <w:tcW w:w="1267" w:type="dxa"/>
            <w:tcBorders>
              <w:top w:val="single" w:sz="4" w:space="0" w:color="auto"/>
              <w:bottom w:val="single" w:sz="4" w:space="0" w:color="auto"/>
            </w:tcBorders>
            <w:shd w:val="clear" w:color="auto" w:fill="FFFFFF" w:themeFill="background1"/>
            <w:vAlign w:val="center"/>
          </w:tcPr>
          <w:p w14:paraId="1641C4AA" w14:textId="77777777" w:rsidR="005943F7" w:rsidRPr="00482A36" w:rsidRDefault="005943F7" w:rsidP="00BA1ECE">
            <w:pPr>
              <w:pStyle w:val="Tabletext"/>
              <w:jc w:val="center"/>
            </w:pPr>
            <w:r w:rsidRPr="00482A36">
              <w:t>5 (33.3%)</w:t>
            </w:r>
          </w:p>
        </w:tc>
        <w:tc>
          <w:tcPr>
            <w:tcW w:w="1267" w:type="dxa"/>
            <w:tcBorders>
              <w:top w:val="single" w:sz="4" w:space="0" w:color="auto"/>
              <w:bottom w:val="single" w:sz="4" w:space="0" w:color="auto"/>
            </w:tcBorders>
            <w:shd w:val="clear" w:color="auto" w:fill="FFFFFF" w:themeFill="background1"/>
            <w:vAlign w:val="center"/>
          </w:tcPr>
          <w:p w14:paraId="742268B9" w14:textId="77777777" w:rsidR="005943F7" w:rsidRPr="00482A36" w:rsidRDefault="005943F7" w:rsidP="00BA1ECE">
            <w:pPr>
              <w:pStyle w:val="Tabletext"/>
              <w:jc w:val="center"/>
            </w:pPr>
            <w:r w:rsidRPr="00482A36">
              <w:t>7 (41.2%)</w:t>
            </w:r>
          </w:p>
        </w:tc>
        <w:tc>
          <w:tcPr>
            <w:tcW w:w="1267" w:type="dxa"/>
            <w:tcBorders>
              <w:top w:val="single" w:sz="4" w:space="0" w:color="auto"/>
              <w:bottom w:val="single" w:sz="4" w:space="0" w:color="auto"/>
            </w:tcBorders>
            <w:shd w:val="clear" w:color="auto" w:fill="FFFFFF" w:themeFill="background1"/>
            <w:vAlign w:val="center"/>
          </w:tcPr>
          <w:p w14:paraId="67187F89" w14:textId="77777777" w:rsidR="005943F7" w:rsidRPr="00482A36" w:rsidRDefault="005943F7" w:rsidP="00BA1ECE">
            <w:pPr>
              <w:pStyle w:val="Tabletext"/>
              <w:jc w:val="center"/>
            </w:pPr>
            <w:r w:rsidRPr="00482A36">
              <w:t>14 (70.0%)</w:t>
            </w:r>
          </w:p>
        </w:tc>
        <w:tc>
          <w:tcPr>
            <w:tcW w:w="1267" w:type="dxa"/>
            <w:tcBorders>
              <w:top w:val="single" w:sz="4" w:space="0" w:color="auto"/>
              <w:bottom w:val="single" w:sz="4" w:space="0" w:color="auto"/>
            </w:tcBorders>
            <w:shd w:val="clear" w:color="auto" w:fill="FFFFFF" w:themeFill="background1"/>
            <w:vAlign w:val="center"/>
          </w:tcPr>
          <w:p w14:paraId="31E18E33" w14:textId="77777777" w:rsidR="005943F7" w:rsidRPr="00482A36" w:rsidRDefault="005943F7" w:rsidP="00BA1ECE">
            <w:pPr>
              <w:pStyle w:val="Tabletext"/>
              <w:jc w:val="center"/>
            </w:pPr>
            <w:r w:rsidRPr="00482A36">
              <w:t>3 (16.7%)</w:t>
            </w:r>
          </w:p>
        </w:tc>
        <w:tc>
          <w:tcPr>
            <w:tcW w:w="1267" w:type="dxa"/>
            <w:tcBorders>
              <w:top w:val="single" w:sz="4" w:space="0" w:color="auto"/>
              <w:bottom w:val="single" w:sz="4" w:space="0" w:color="auto"/>
            </w:tcBorders>
            <w:shd w:val="clear" w:color="auto" w:fill="FFFFFF" w:themeFill="background1"/>
            <w:vAlign w:val="center"/>
          </w:tcPr>
          <w:p w14:paraId="351915CA" w14:textId="77777777" w:rsidR="005943F7" w:rsidRPr="00482A36" w:rsidRDefault="005943F7" w:rsidP="00BA1ECE">
            <w:pPr>
              <w:pStyle w:val="Tabletext"/>
              <w:jc w:val="center"/>
            </w:pPr>
            <w:r w:rsidRPr="00482A36">
              <w:t>8 (40.0%)</w:t>
            </w:r>
          </w:p>
        </w:tc>
        <w:tc>
          <w:tcPr>
            <w:tcW w:w="1036" w:type="dxa"/>
            <w:tcBorders>
              <w:top w:val="single" w:sz="4" w:space="0" w:color="auto"/>
              <w:bottom w:val="single" w:sz="4" w:space="0" w:color="auto"/>
            </w:tcBorders>
            <w:shd w:val="clear" w:color="auto" w:fill="FFFFFF" w:themeFill="background1"/>
            <w:vAlign w:val="center"/>
          </w:tcPr>
          <w:p w14:paraId="1E65C95E" w14:textId="77777777" w:rsidR="005943F7" w:rsidRPr="00482A36" w:rsidRDefault="005943F7" w:rsidP="00BA1ECE">
            <w:pPr>
              <w:pStyle w:val="Tabletext"/>
              <w:jc w:val="center"/>
            </w:pPr>
            <w:r w:rsidRPr="00482A36">
              <w:t>4 (57.1%)</w:t>
            </w:r>
          </w:p>
        </w:tc>
      </w:tr>
      <w:tr w:rsidR="005943F7" w:rsidRPr="00482A36" w14:paraId="19AFBD74" w14:textId="77777777" w:rsidTr="00BA1ECE">
        <w:tc>
          <w:tcPr>
            <w:tcW w:w="9072" w:type="dxa"/>
            <w:gridSpan w:val="7"/>
            <w:tcBorders>
              <w:bottom w:val="single" w:sz="4" w:space="0" w:color="auto"/>
            </w:tcBorders>
            <w:shd w:val="clear" w:color="auto" w:fill="FFFFFF" w:themeFill="background1"/>
            <w:vAlign w:val="center"/>
          </w:tcPr>
          <w:p w14:paraId="67B80549" w14:textId="77777777" w:rsidR="005943F7" w:rsidRPr="00482A36" w:rsidRDefault="005943F7" w:rsidP="00BA1ECE">
            <w:pPr>
              <w:pStyle w:val="Tabletext"/>
              <w:rPr>
                <w:b/>
                <w:bCs/>
              </w:rPr>
            </w:pPr>
            <w:r w:rsidRPr="00482A36">
              <w:rPr>
                <w:b/>
                <w:bCs/>
              </w:rPr>
              <w:t>Total hip</w:t>
            </w:r>
          </w:p>
        </w:tc>
      </w:tr>
      <w:tr w:rsidR="005943F7" w:rsidRPr="00482A36" w14:paraId="34A9874C" w14:textId="77777777" w:rsidTr="00BA1ECE">
        <w:tc>
          <w:tcPr>
            <w:tcW w:w="1701" w:type="dxa"/>
            <w:tcBorders>
              <w:top w:val="single" w:sz="4" w:space="0" w:color="auto"/>
              <w:bottom w:val="single" w:sz="4" w:space="0" w:color="auto"/>
            </w:tcBorders>
            <w:shd w:val="clear" w:color="auto" w:fill="FFFFFF" w:themeFill="background1"/>
            <w:vAlign w:val="center"/>
          </w:tcPr>
          <w:p w14:paraId="0603CF41" w14:textId="77777777" w:rsidR="005943F7" w:rsidRPr="00482A36" w:rsidRDefault="005943F7" w:rsidP="00BA1ECE">
            <w:pPr>
              <w:pStyle w:val="Tabletext"/>
            </w:pPr>
            <w:r w:rsidRPr="00482A36">
              <w:t>n (%)</w:t>
            </w:r>
          </w:p>
        </w:tc>
        <w:tc>
          <w:tcPr>
            <w:tcW w:w="1267" w:type="dxa"/>
            <w:tcBorders>
              <w:top w:val="single" w:sz="4" w:space="0" w:color="auto"/>
              <w:bottom w:val="single" w:sz="4" w:space="0" w:color="auto"/>
            </w:tcBorders>
            <w:shd w:val="clear" w:color="auto" w:fill="FFFFFF" w:themeFill="background1"/>
            <w:vAlign w:val="center"/>
          </w:tcPr>
          <w:p w14:paraId="5B32A85C" w14:textId="77777777" w:rsidR="005943F7" w:rsidRPr="00482A36" w:rsidRDefault="005943F7" w:rsidP="00BA1ECE">
            <w:pPr>
              <w:pStyle w:val="Tabletext"/>
              <w:jc w:val="center"/>
              <w:rPr>
                <w:highlight w:val="yellow"/>
              </w:rPr>
            </w:pPr>
            <w:r w:rsidRPr="00482A36">
              <w:t>15 (68.2%)</w:t>
            </w:r>
          </w:p>
        </w:tc>
        <w:tc>
          <w:tcPr>
            <w:tcW w:w="1267" w:type="dxa"/>
            <w:tcBorders>
              <w:top w:val="single" w:sz="4" w:space="0" w:color="auto"/>
              <w:bottom w:val="single" w:sz="4" w:space="0" w:color="auto"/>
            </w:tcBorders>
            <w:shd w:val="clear" w:color="auto" w:fill="FFFFFF" w:themeFill="background1"/>
            <w:vAlign w:val="center"/>
          </w:tcPr>
          <w:p w14:paraId="4171B0A8" w14:textId="77777777" w:rsidR="005943F7" w:rsidRPr="00482A36" w:rsidRDefault="005943F7" w:rsidP="00BA1ECE">
            <w:pPr>
              <w:pStyle w:val="Tabletext"/>
              <w:jc w:val="center"/>
              <w:rPr>
                <w:highlight w:val="yellow"/>
              </w:rPr>
            </w:pPr>
            <w:r w:rsidRPr="00482A36">
              <w:t>17 (73.9%)</w:t>
            </w:r>
          </w:p>
        </w:tc>
        <w:tc>
          <w:tcPr>
            <w:tcW w:w="1267" w:type="dxa"/>
            <w:tcBorders>
              <w:top w:val="single" w:sz="4" w:space="0" w:color="auto"/>
              <w:bottom w:val="single" w:sz="4" w:space="0" w:color="auto"/>
            </w:tcBorders>
            <w:shd w:val="clear" w:color="auto" w:fill="FFFFFF" w:themeFill="background1"/>
            <w:vAlign w:val="center"/>
          </w:tcPr>
          <w:p w14:paraId="4192F1B3" w14:textId="77777777" w:rsidR="005943F7" w:rsidRPr="00482A36" w:rsidRDefault="005943F7" w:rsidP="00BA1ECE">
            <w:pPr>
              <w:pStyle w:val="Tabletext"/>
              <w:jc w:val="center"/>
              <w:rPr>
                <w:highlight w:val="yellow"/>
              </w:rPr>
            </w:pPr>
            <w:r w:rsidRPr="00482A36">
              <w:t>20 (66.7%)</w:t>
            </w:r>
          </w:p>
        </w:tc>
        <w:tc>
          <w:tcPr>
            <w:tcW w:w="1267" w:type="dxa"/>
            <w:tcBorders>
              <w:top w:val="single" w:sz="4" w:space="0" w:color="auto"/>
              <w:bottom w:val="single" w:sz="4" w:space="0" w:color="auto"/>
            </w:tcBorders>
            <w:shd w:val="clear" w:color="auto" w:fill="FFFFFF" w:themeFill="background1"/>
            <w:vAlign w:val="center"/>
          </w:tcPr>
          <w:p w14:paraId="3D4F439C" w14:textId="77777777" w:rsidR="005943F7" w:rsidRPr="00482A36" w:rsidRDefault="005943F7" w:rsidP="00BA1ECE">
            <w:pPr>
              <w:pStyle w:val="Tabletext"/>
              <w:jc w:val="center"/>
              <w:rPr>
                <w:highlight w:val="yellow"/>
              </w:rPr>
            </w:pPr>
            <w:r w:rsidRPr="00482A36">
              <w:t>18 (85.7%)</w:t>
            </w:r>
          </w:p>
        </w:tc>
        <w:tc>
          <w:tcPr>
            <w:tcW w:w="1267" w:type="dxa"/>
            <w:tcBorders>
              <w:top w:val="single" w:sz="4" w:space="0" w:color="auto"/>
              <w:bottom w:val="single" w:sz="4" w:space="0" w:color="auto"/>
            </w:tcBorders>
            <w:shd w:val="clear" w:color="auto" w:fill="FFFFFF" w:themeFill="background1"/>
            <w:vAlign w:val="center"/>
          </w:tcPr>
          <w:p w14:paraId="24E17A83" w14:textId="77777777" w:rsidR="005943F7" w:rsidRPr="00482A36" w:rsidRDefault="005943F7" w:rsidP="00BA1ECE">
            <w:pPr>
              <w:pStyle w:val="Tabletext"/>
              <w:jc w:val="center"/>
              <w:rPr>
                <w:highlight w:val="yellow"/>
              </w:rPr>
            </w:pPr>
            <w:r w:rsidRPr="00482A36">
              <w:t>20 (76.9%)</w:t>
            </w:r>
          </w:p>
        </w:tc>
        <w:tc>
          <w:tcPr>
            <w:tcW w:w="1036" w:type="dxa"/>
            <w:tcBorders>
              <w:top w:val="single" w:sz="4" w:space="0" w:color="auto"/>
              <w:bottom w:val="single" w:sz="4" w:space="0" w:color="auto"/>
            </w:tcBorders>
            <w:shd w:val="clear" w:color="auto" w:fill="FFFFFF" w:themeFill="background1"/>
            <w:vAlign w:val="center"/>
          </w:tcPr>
          <w:p w14:paraId="7925A7F6" w14:textId="77777777" w:rsidR="005943F7" w:rsidRPr="00482A36" w:rsidRDefault="005943F7" w:rsidP="00BA1ECE">
            <w:pPr>
              <w:pStyle w:val="Tabletext"/>
              <w:jc w:val="center"/>
              <w:rPr>
                <w:highlight w:val="yellow"/>
              </w:rPr>
            </w:pPr>
            <w:r w:rsidRPr="00482A36">
              <w:t>7 (100.0%)</w:t>
            </w:r>
          </w:p>
        </w:tc>
      </w:tr>
      <w:tr w:rsidR="005943F7" w:rsidRPr="00482A36" w14:paraId="26E1596C" w14:textId="77777777" w:rsidTr="00BA1ECE">
        <w:tc>
          <w:tcPr>
            <w:tcW w:w="1701" w:type="dxa"/>
            <w:tcBorders>
              <w:top w:val="single" w:sz="4" w:space="0" w:color="auto"/>
              <w:bottom w:val="single" w:sz="4" w:space="0" w:color="auto"/>
            </w:tcBorders>
            <w:shd w:val="clear" w:color="auto" w:fill="FFFFFF" w:themeFill="background1"/>
            <w:vAlign w:val="center"/>
          </w:tcPr>
          <w:p w14:paraId="66B83D0F" w14:textId="77777777" w:rsidR="005943F7" w:rsidRPr="00482A36" w:rsidRDefault="005943F7" w:rsidP="00BA1ECE">
            <w:pPr>
              <w:pStyle w:val="Tabletext"/>
            </w:pPr>
            <w:r w:rsidRPr="00482A36">
              <w:t>Continued loss</w:t>
            </w:r>
          </w:p>
        </w:tc>
        <w:tc>
          <w:tcPr>
            <w:tcW w:w="1267" w:type="dxa"/>
            <w:tcBorders>
              <w:top w:val="single" w:sz="4" w:space="0" w:color="auto"/>
              <w:bottom w:val="single" w:sz="4" w:space="0" w:color="auto"/>
            </w:tcBorders>
            <w:shd w:val="clear" w:color="auto" w:fill="FFFFFF" w:themeFill="background1"/>
            <w:vAlign w:val="center"/>
          </w:tcPr>
          <w:p w14:paraId="450B491B" w14:textId="77777777" w:rsidR="005943F7" w:rsidRPr="00482A36" w:rsidRDefault="005943F7" w:rsidP="00BA1ECE">
            <w:pPr>
              <w:pStyle w:val="Tabletext"/>
              <w:jc w:val="center"/>
            </w:pPr>
            <w:r w:rsidRPr="00482A36">
              <w:t>7 (46.7%)</w:t>
            </w:r>
          </w:p>
        </w:tc>
        <w:tc>
          <w:tcPr>
            <w:tcW w:w="1267" w:type="dxa"/>
            <w:tcBorders>
              <w:top w:val="single" w:sz="4" w:space="0" w:color="auto"/>
              <w:bottom w:val="single" w:sz="4" w:space="0" w:color="auto"/>
            </w:tcBorders>
            <w:shd w:val="clear" w:color="auto" w:fill="FFFFFF" w:themeFill="background1"/>
            <w:vAlign w:val="center"/>
          </w:tcPr>
          <w:p w14:paraId="5D0076C9" w14:textId="77777777" w:rsidR="005943F7" w:rsidRPr="00482A36" w:rsidRDefault="005943F7" w:rsidP="00BA1ECE">
            <w:pPr>
              <w:pStyle w:val="Tabletext"/>
              <w:jc w:val="center"/>
            </w:pPr>
            <w:r w:rsidRPr="00482A36">
              <w:t>9 (52.9%)</w:t>
            </w:r>
          </w:p>
        </w:tc>
        <w:tc>
          <w:tcPr>
            <w:tcW w:w="1267" w:type="dxa"/>
            <w:tcBorders>
              <w:top w:val="single" w:sz="4" w:space="0" w:color="auto"/>
              <w:bottom w:val="single" w:sz="4" w:space="0" w:color="auto"/>
            </w:tcBorders>
            <w:shd w:val="clear" w:color="auto" w:fill="FFFFFF" w:themeFill="background1"/>
            <w:vAlign w:val="center"/>
          </w:tcPr>
          <w:p w14:paraId="75D9DF06" w14:textId="77777777" w:rsidR="005943F7" w:rsidRPr="00482A36" w:rsidRDefault="005943F7" w:rsidP="00BA1ECE">
            <w:pPr>
              <w:pStyle w:val="Tabletext"/>
              <w:jc w:val="center"/>
            </w:pPr>
            <w:r w:rsidRPr="00482A36">
              <w:t>6 (30.0%)</w:t>
            </w:r>
          </w:p>
        </w:tc>
        <w:tc>
          <w:tcPr>
            <w:tcW w:w="1267" w:type="dxa"/>
            <w:tcBorders>
              <w:top w:val="single" w:sz="4" w:space="0" w:color="auto"/>
              <w:bottom w:val="single" w:sz="4" w:space="0" w:color="auto"/>
            </w:tcBorders>
            <w:shd w:val="clear" w:color="auto" w:fill="FFFFFF" w:themeFill="background1"/>
            <w:vAlign w:val="center"/>
          </w:tcPr>
          <w:p w14:paraId="424DD97F" w14:textId="77777777" w:rsidR="005943F7" w:rsidRPr="00482A36" w:rsidRDefault="005943F7" w:rsidP="00BA1ECE">
            <w:pPr>
              <w:pStyle w:val="Tabletext"/>
              <w:jc w:val="center"/>
            </w:pPr>
            <w:r w:rsidRPr="00482A36">
              <w:t>6 (33.3%)</w:t>
            </w:r>
          </w:p>
        </w:tc>
        <w:tc>
          <w:tcPr>
            <w:tcW w:w="1267" w:type="dxa"/>
            <w:tcBorders>
              <w:top w:val="single" w:sz="4" w:space="0" w:color="auto"/>
              <w:bottom w:val="single" w:sz="4" w:space="0" w:color="auto"/>
            </w:tcBorders>
            <w:shd w:val="clear" w:color="auto" w:fill="FFFFFF" w:themeFill="background1"/>
            <w:vAlign w:val="center"/>
          </w:tcPr>
          <w:p w14:paraId="3F9DC1C4" w14:textId="77777777" w:rsidR="005943F7" w:rsidRPr="00482A36" w:rsidRDefault="005943F7" w:rsidP="00BA1ECE">
            <w:pPr>
              <w:pStyle w:val="Tabletext"/>
              <w:jc w:val="center"/>
            </w:pPr>
            <w:r w:rsidRPr="00482A36">
              <w:t>11 (55.0%)</w:t>
            </w:r>
          </w:p>
        </w:tc>
        <w:tc>
          <w:tcPr>
            <w:tcW w:w="1036" w:type="dxa"/>
            <w:tcBorders>
              <w:top w:val="single" w:sz="4" w:space="0" w:color="auto"/>
              <w:bottom w:val="single" w:sz="4" w:space="0" w:color="auto"/>
            </w:tcBorders>
            <w:shd w:val="clear" w:color="auto" w:fill="FFFFFF" w:themeFill="background1"/>
            <w:vAlign w:val="center"/>
          </w:tcPr>
          <w:p w14:paraId="221F53DF" w14:textId="77777777" w:rsidR="005943F7" w:rsidRPr="00482A36" w:rsidRDefault="005943F7" w:rsidP="00BA1ECE">
            <w:pPr>
              <w:pStyle w:val="Tabletext"/>
              <w:jc w:val="center"/>
            </w:pPr>
            <w:r w:rsidRPr="00482A36">
              <w:t>2 (28.6%)</w:t>
            </w:r>
          </w:p>
        </w:tc>
      </w:tr>
      <w:tr w:rsidR="005943F7" w:rsidRPr="00482A36" w14:paraId="10579622" w14:textId="77777777" w:rsidTr="00BA1ECE">
        <w:tc>
          <w:tcPr>
            <w:tcW w:w="1701" w:type="dxa"/>
            <w:tcBorders>
              <w:top w:val="single" w:sz="4" w:space="0" w:color="auto"/>
              <w:bottom w:val="single" w:sz="4" w:space="0" w:color="auto"/>
            </w:tcBorders>
            <w:shd w:val="clear" w:color="auto" w:fill="FFFFFF" w:themeFill="background1"/>
            <w:vAlign w:val="center"/>
          </w:tcPr>
          <w:p w14:paraId="2E303BAF" w14:textId="77777777" w:rsidR="005943F7" w:rsidRPr="00482A36" w:rsidRDefault="005943F7" w:rsidP="00BA1ECE">
            <w:pPr>
              <w:pStyle w:val="Tabletext"/>
            </w:pPr>
            <w:r w:rsidRPr="00482A36">
              <w:t>Partially recovered</w:t>
            </w:r>
          </w:p>
        </w:tc>
        <w:tc>
          <w:tcPr>
            <w:tcW w:w="1267" w:type="dxa"/>
            <w:tcBorders>
              <w:top w:val="single" w:sz="4" w:space="0" w:color="auto"/>
              <w:bottom w:val="single" w:sz="4" w:space="0" w:color="auto"/>
            </w:tcBorders>
            <w:shd w:val="clear" w:color="auto" w:fill="FFFFFF" w:themeFill="background1"/>
            <w:vAlign w:val="center"/>
          </w:tcPr>
          <w:p w14:paraId="0B6E6BF0" w14:textId="77777777" w:rsidR="005943F7" w:rsidRPr="00482A36" w:rsidRDefault="005943F7" w:rsidP="00BA1ECE">
            <w:pPr>
              <w:pStyle w:val="Tabletext"/>
              <w:jc w:val="center"/>
            </w:pPr>
            <w:r w:rsidRPr="00482A36">
              <w:t>3 (20.0%)</w:t>
            </w:r>
          </w:p>
        </w:tc>
        <w:tc>
          <w:tcPr>
            <w:tcW w:w="1267" w:type="dxa"/>
            <w:tcBorders>
              <w:top w:val="single" w:sz="4" w:space="0" w:color="auto"/>
              <w:bottom w:val="single" w:sz="4" w:space="0" w:color="auto"/>
            </w:tcBorders>
            <w:shd w:val="clear" w:color="auto" w:fill="FFFFFF" w:themeFill="background1"/>
            <w:vAlign w:val="center"/>
          </w:tcPr>
          <w:p w14:paraId="262F94FB" w14:textId="77777777" w:rsidR="005943F7" w:rsidRPr="00482A36" w:rsidRDefault="005943F7" w:rsidP="00BA1ECE">
            <w:pPr>
              <w:pStyle w:val="Tabletext"/>
              <w:jc w:val="center"/>
            </w:pPr>
            <w:r w:rsidRPr="00482A36">
              <w:t>2 (11.8%)</w:t>
            </w:r>
          </w:p>
        </w:tc>
        <w:tc>
          <w:tcPr>
            <w:tcW w:w="1267" w:type="dxa"/>
            <w:tcBorders>
              <w:top w:val="single" w:sz="4" w:space="0" w:color="auto"/>
              <w:bottom w:val="single" w:sz="4" w:space="0" w:color="auto"/>
            </w:tcBorders>
            <w:shd w:val="clear" w:color="auto" w:fill="FFFFFF" w:themeFill="background1"/>
            <w:vAlign w:val="center"/>
          </w:tcPr>
          <w:p w14:paraId="0A731CE8" w14:textId="77777777" w:rsidR="005943F7" w:rsidRPr="00482A36" w:rsidRDefault="005943F7" w:rsidP="00BA1ECE">
            <w:pPr>
              <w:pStyle w:val="Tabletext"/>
              <w:jc w:val="center"/>
            </w:pPr>
            <w:r w:rsidRPr="00482A36">
              <w:t>2 (10.0%)</w:t>
            </w:r>
          </w:p>
        </w:tc>
        <w:tc>
          <w:tcPr>
            <w:tcW w:w="1267" w:type="dxa"/>
            <w:tcBorders>
              <w:top w:val="single" w:sz="4" w:space="0" w:color="auto"/>
              <w:bottom w:val="single" w:sz="4" w:space="0" w:color="auto"/>
            </w:tcBorders>
            <w:shd w:val="clear" w:color="auto" w:fill="FFFFFF" w:themeFill="background1"/>
            <w:vAlign w:val="center"/>
          </w:tcPr>
          <w:p w14:paraId="7D289AD6" w14:textId="77777777" w:rsidR="005943F7" w:rsidRPr="00482A36" w:rsidRDefault="005943F7" w:rsidP="00BA1ECE">
            <w:pPr>
              <w:pStyle w:val="Tabletext"/>
              <w:jc w:val="center"/>
            </w:pPr>
            <w:r w:rsidRPr="00482A36">
              <w:t>0 (0.0%)</w:t>
            </w:r>
          </w:p>
        </w:tc>
        <w:tc>
          <w:tcPr>
            <w:tcW w:w="1267" w:type="dxa"/>
            <w:tcBorders>
              <w:top w:val="single" w:sz="4" w:space="0" w:color="auto"/>
              <w:bottom w:val="single" w:sz="4" w:space="0" w:color="auto"/>
            </w:tcBorders>
            <w:shd w:val="clear" w:color="auto" w:fill="FFFFFF" w:themeFill="background1"/>
            <w:vAlign w:val="center"/>
          </w:tcPr>
          <w:p w14:paraId="19C90A8A" w14:textId="77777777" w:rsidR="005943F7" w:rsidRPr="00482A36" w:rsidRDefault="005943F7" w:rsidP="00BA1ECE">
            <w:pPr>
              <w:pStyle w:val="Tabletext"/>
              <w:jc w:val="center"/>
            </w:pPr>
            <w:r w:rsidRPr="00482A36">
              <w:t>0 (0.0%)</w:t>
            </w:r>
          </w:p>
        </w:tc>
        <w:tc>
          <w:tcPr>
            <w:tcW w:w="1036" w:type="dxa"/>
            <w:tcBorders>
              <w:top w:val="single" w:sz="4" w:space="0" w:color="auto"/>
              <w:bottom w:val="single" w:sz="4" w:space="0" w:color="auto"/>
            </w:tcBorders>
            <w:shd w:val="clear" w:color="auto" w:fill="FFFFFF" w:themeFill="background1"/>
            <w:vAlign w:val="center"/>
          </w:tcPr>
          <w:p w14:paraId="50A62148" w14:textId="77777777" w:rsidR="005943F7" w:rsidRPr="00482A36" w:rsidRDefault="005943F7" w:rsidP="00BA1ECE">
            <w:pPr>
              <w:pStyle w:val="Tabletext"/>
              <w:jc w:val="center"/>
            </w:pPr>
            <w:r w:rsidRPr="00482A36">
              <w:t>0 (0.0%)</w:t>
            </w:r>
          </w:p>
        </w:tc>
      </w:tr>
      <w:tr w:rsidR="005943F7" w:rsidRPr="00482A36" w14:paraId="1534C642" w14:textId="77777777" w:rsidTr="00BA1ECE">
        <w:tc>
          <w:tcPr>
            <w:tcW w:w="1701" w:type="dxa"/>
            <w:tcBorders>
              <w:top w:val="single" w:sz="4" w:space="0" w:color="auto"/>
              <w:bottom w:val="single" w:sz="4" w:space="0" w:color="auto"/>
            </w:tcBorders>
            <w:shd w:val="clear" w:color="auto" w:fill="FFFFFF" w:themeFill="background1"/>
            <w:vAlign w:val="center"/>
          </w:tcPr>
          <w:p w14:paraId="0B275B10" w14:textId="77777777" w:rsidR="005943F7" w:rsidRPr="00482A36" w:rsidRDefault="005943F7" w:rsidP="00BA1ECE">
            <w:pPr>
              <w:pStyle w:val="Tabletext"/>
            </w:pPr>
            <w:r w:rsidRPr="00482A36">
              <w:t>Completely recovered</w:t>
            </w:r>
          </w:p>
        </w:tc>
        <w:tc>
          <w:tcPr>
            <w:tcW w:w="1267" w:type="dxa"/>
            <w:tcBorders>
              <w:top w:val="single" w:sz="4" w:space="0" w:color="auto"/>
              <w:bottom w:val="single" w:sz="4" w:space="0" w:color="auto"/>
            </w:tcBorders>
            <w:shd w:val="clear" w:color="auto" w:fill="FFFFFF" w:themeFill="background1"/>
            <w:vAlign w:val="center"/>
          </w:tcPr>
          <w:p w14:paraId="7FDD3DF0" w14:textId="77777777" w:rsidR="005943F7" w:rsidRPr="00482A36" w:rsidRDefault="005943F7" w:rsidP="00BA1ECE">
            <w:pPr>
              <w:pStyle w:val="Tabletext"/>
              <w:jc w:val="center"/>
            </w:pPr>
            <w:r w:rsidRPr="00482A36">
              <w:t>5 (33.3%)</w:t>
            </w:r>
          </w:p>
        </w:tc>
        <w:tc>
          <w:tcPr>
            <w:tcW w:w="1267" w:type="dxa"/>
            <w:tcBorders>
              <w:top w:val="single" w:sz="4" w:space="0" w:color="auto"/>
              <w:bottom w:val="single" w:sz="4" w:space="0" w:color="auto"/>
            </w:tcBorders>
            <w:shd w:val="clear" w:color="auto" w:fill="FFFFFF" w:themeFill="background1"/>
            <w:vAlign w:val="center"/>
          </w:tcPr>
          <w:p w14:paraId="659E2B2D" w14:textId="77777777" w:rsidR="005943F7" w:rsidRPr="00482A36" w:rsidRDefault="005943F7" w:rsidP="00BA1ECE">
            <w:pPr>
              <w:pStyle w:val="Tabletext"/>
              <w:jc w:val="center"/>
            </w:pPr>
            <w:r w:rsidRPr="00482A36">
              <w:t>6 (35.3%)</w:t>
            </w:r>
          </w:p>
        </w:tc>
        <w:tc>
          <w:tcPr>
            <w:tcW w:w="1267" w:type="dxa"/>
            <w:tcBorders>
              <w:top w:val="single" w:sz="4" w:space="0" w:color="auto"/>
              <w:bottom w:val="single" w:sz="4" w:space="0" w:color="auto"/>
            </w:tcBorders>
            <w:shd w:val="clear" w:color="auto" w:fill="FFFFFF" w:themeFill="background1"/>
            <w:vAlign w:val="center"/>
          </w:tcPr>
          <w:p w14:paraId="7FEB5B73" w14:textId="77777777" w:rsidR="005943F7" w:rsidRPr="00482A36" w:rsidRDefault="005943F7" w:rsidP="00BA1ECE">
            <w:pPr>
              <w:pStyle w:val="Tabletext"/>
              <w:jc w:val="center"/>
            </w:pPr>
            <w:r w:rsidRPr="00482A36">
              <w:t>12 (60.0%)</w:t>
            </w:r>
          </w:p>
        </w:tc>
        <w:tc>
          <w:tcPr>
            <w:tcW w:w="1267" w:type="dxa"/>
            <w:tcBorders>
              <w:top w:val="single" w:sz="4" w:space="0" w:color="auto"/>
              <w:bottom w:val="single" w:sz="4" w:space="0" w:color="auto"/>
            </w:tcBorders>
            <w:shd w:val="clear" w:color="auto" w:fill="FFFFFF" w:themeFill="background1"/>
            <w:vAlign w:val="center"/>
          </w:tcPr>
          <w:p w14:paraId="03203F85" w14:textId="77777777" w:rsidR="005943F7" w:rsidRPr="00482A36" w:rsidRDefault="005943F7" w:rsidP="00BA1ECE">
            <w:pPr>
              <w:pStyle w:val="Tabletext"/>
              <w:jc w:val="center"/>
            </w:pPr>
            <w:r w:rsidRPr="00482A36">
              <w:t>12 (66.7%)</w:t>
            </w:r>
          </w:p>
        </w:tc>
        <w:tc>
          <w:tcPr>
            <w:tcW w:w="1267" w:type="dxa"/>
            <w:tcBorders>
              <w:top w:val="single" w:sz="4" w:space="0" w:color="auto"/>
              <w:bottom w:val="single" w:sz="4" w:space="0" w:color="auto"/>
            </w:tcBorders>
            <w:shd w:val="clear" w:color="auto" w:fill="FFFFFF" w:themeFill="background1"/>
            <w:vAlign w:val="center"/>
          </w:tcPr>
          <w:p w14:paraId="073184CC" w14:textId="77777777" w:rsidR="005943F7" w:rsidRPr="00482A36" w:rsidRDefault="005943F7" w:rsidP="00BA1ECE">
            <w:pPr>
              <w:pStyle w:val="Tabletext"/>
              <w:jc w:val="center"/>
            </w:pPr>
            <w:r w:rsidRPr="00482A36">
              <w:t>9 (45.0%)</w:t>
            </w:r>
          </w:p>
        </w:tc>
        <w:tc>
          <w:tcPr>
            <w:tcW w:w="1036" w:type="dxa"/>
            <w:tcBorders>
              <w:top w:val="single" w:sz="4" w:space="0" w:color="auto"/>
              <w:bottom w:val="single" w:sz="4" w:space="0" w:color="auto"/>
            </w:tcBorders>
            <w:shd w:val="clear" w:color="auto" w:fill="FFFFFF" w:themeFill="background1"/>
            <w:vAlign w:val="center"/>
          </w:tcPr>
          <w:p w14:paraId="11C0316C" w14:textId="77777777" w:rsidR="005943F7" w:rsidRPr="00482A36" w:rsidRDefault="005943F7" w:rsidP="00BA1ECE">
            <w:pPr>
              <w:pStyle w:val="Tabletext"/>
              <w:jc w:val="center"/>
            </w:pPr>
            <w:r w:rsidRPr="00482A36">
              <w:t>5 (71.4%)</w:t>
            </w:r>
          </w:p>
        </w:tc>
      </w:tr>
    </w:tbl>
    <w:p w14:paraId="24A687E4" w14:textId="77777777" w:rsidR="005943F7" w:rsidRPr="00482A36" w:rsidRDefault="005943F7" w:rsidP="005943F7">
      <w:pPr>
        <w:pStyle w:val="TableFigureFooter"/>
      </w:pPr>
      <w:r w:rsidRPr="00482A36">
        <w:t>Source: Table 73, p184 of the submission</w:t>
      </w:r>
    </w:p>
    <w:p w14:paraId="23B7F09D" w14:textId="77777777" w:rsidR="005943F7" w:rsidRPr="00482A36" w:rsidRDefault="005943F7" w:rsidP="005943F7">
      <w:pPr>
        <w:pStyle w:val="TableFigureFooter"/>
      </w:pPr>
      <w:r w:rsidRPr="00482A36">
        <w:t>ABT=add-back therapy; BMD=bone mineral density; LGX=linzagolix; n=number of participants with available data; N=total number of participants in treatment arm; PBO=placebo; SAF=safety analysis set</w:t>
      </w:r>
    </w:p>
    <w:p w14:paraId="33F970EA" w14:textId="4ABC1E2C" w:rsidR="005943F7" w:rsidRDefault="005943F7" w:rsidP="00476DF9">
      <w:pPr>
        <w:pStyle w:val="TableFigureFooter"/>
      </w:pPr>
      <w:r w:rsidRPr="00482A36">
        <w:t>Note: Subjects were considered completely recovered if study visit assessment was greater than or equal to pre-treatment baseline BMD assessment; subjects were considered partially recovered if they were not completely recovered and study visit assessment was greater than or equal to the post-treatment baseline within analysis window; subjects continued to lose BMD if they were not completely recovered, and study visit assessment was less than the post-treatment baseline within analysis window.</w:t>
      </w:r>
    </w:p>
    <w:p w14:paraId="0DEDA2FD" w14:textId="4730FFAA" w:rsidR="00283237" w:rsidRPr="00F76D8D" w:rsidRDefault="00283237" w:rsidP="00F76D8D">
      <w:pPr>
        <w:pStyle w:val="3-BodyText"/>
        <w:rPr>
          <w:lang w:eastAsia="en-US"/>
        </w:rPr>
      </w:pPr>
      <w:bookmarkStart w:id="47" w:name="_Ref169778755"/>
      <w:r w:rsidRPr="00F76D8D">
        <w:rPr>
          <w:lang w:eastAsia="en-US"/>
        </w:rPr>
        <w:t xml:space="preserve">BMD loss </w:t>
      </w:r>
      <w:r w:rsidR="00690D83" w:rsidRPr="00F76D8D">
        <w:rPr>
          <w:lang w:eastAsia="en-US"/>
        </w:rPr>
        <w:t xml:space="preserve">24 months after end of treatment </w:t>
      </w:r>
      <w:r w:rsidR="007360AC">
        <w:rPr>
          <w:lang w:eastAsia="en-US"/>
        </w:rPr>
        <w:t>was</w:t>
      </w:r>
      <w:r w:rsidRPr="00F76D8D">
        <w:rPr>
          <w:lang w:eastAsia="en-US"/>
        </w:rPr>
        <w:t xml:space="preserve"> reported for over 50% of subjects in PRIMROSE</w:t>
      </w:r>
      <w:r w:rsidR="009059B7" w:rsidRPr="00F76D8D">
        <w:rPr>
          <w:lang w:eastAsia="en-US"/>
        </w:rPr>
        <w:t> </w:t>
      </w:r>
      <w:r w:rsidRPr="00F76D8D">
        <w:rPr>
          <w:lang w:eastAsia="en-US"/>
        </w:rPr>
        <w:t>3 despite all treatments ceasing at 52 weeks, including:</w:t>
      </w:r>
      <w:bookmarkEnd w:id="47"/>
    </w:p>
    <w:p w14:paraId="08AF8F21" w14:textId="12EF33E0" w:rsidR="00283237" w:rsidRPr="00616367" w:rsidRDefault="00283237" w:rsidP="001626C8">
      <w:pPr>
        <w:pStyle w:val="Bulletpoints"/>
      </w:pPr>
      <w:r w:rsidRPr="00616367">
        <w:t>Lumbar spine: In the linzagolix 200 mg + ABT group, 50% of participants continued to experience BMD loss.</w:t>
      </w:r>
    </w:p>
    <w:p w14:paraId="64D2750A" w14:textId="138A25E5" w:rsidR="00283237" w:rsidRPr="00616367" w:rsidRDefault="00283237" w:rsidP="001626C8">
      <w:pPr>
        <w:pStyle w:val="Bulletpoints"/>
      </w:pPr>
      <w:r w:rsidRPr="00616367">
        <w:lastRenderedPageBreak/>
        <w:t xml:space="preserve">Femoral neck: </w:t>
      </w:r>
      <w:r w:rsidR="003D32DA" w:rsidRPr="00616367">
        <w:t xml:space="preserve">continued </w:t>
      </w:r>
      <w:r w:rsidRPr="00616367">
        <w:t>BMD loss was observed in 61% of participants in the linzagolix 200 mg + ABT group and in 50% of participants in the placebo group who switched to linzagolix 200 mg + ABT.</w:t>
      </w:r>
    </w:p>
    <w:p w14:paraId="74207262" w14:textId="51487C39" w:rsidR="00283237" w:rsidRPr="00616367" w:rsidRDefault="00283237" w:rsidP="001626C8">
      <w:pPr>
        <w:pStyle w:val="Bulletpoints"/>
      </w:pPr>
      <w:r w:rsidRPr="00616367">
        <w:t>Total hip: BMD loss affected 55% of participants in the placebo group who switched to linzagolix 200 mg + ABT.</w:t>
      </w:r>
    </w:p>
    <w:p w14:paraId="46CDE3FD" w14:textId="77777777" w:rsidR="00666AB0" w:rsidRDefault="00283237" w:rsidP="00476DF9">
      <w:pPr>
        <w:pStyle w:val="3-BodyText"/>
        <w:numPr>
          <w:ilvl w:val="0"/>
          <w:numId w:val="0"/>
        </w:numPr>
        <w:ind w:left="709"/>
        <w:rPr>
          <w:iCs/>
        </w:rPr>
      </w:pPr>
      <w:r w:rsidRPr="00616367">
        <w:rPr>
          <w:iCs/>
        </w:rPr>
        <w:t>These findings raise concern regarding the safety of</w:t>
      </w:r>
      <w:r w:rsidR="009059B7" w:rsidRPr="00616367">
        <w:rPr>
          <w:iCs/>
        </w:rPr>
        <w:t xml:space="preserve"> </w:t>
      </w:r>
      <w:r w:rsidR="00864035" w:rsidRPr="00616367">
        <w:rPr>
          <w:iCs/>
        </w:rPr>
        <w:t xml:space="preserve">long term </w:t>
      </w:r>
      <w:r w:rsidRPr="00616367">
        <w:rPr>
          <w:iCs/>
        </w:rPr>
        <w:t>linzagolix</w:t>
      </w:r>
      <w:r w:rsidR="009059B7" w:rsidRPr="00616367">
        <w:rPr>
          <w:iCs/>
        </w:rPr>
        <w:t xml:space="preserve"> treatment</w:t>
      </w:r>
      <w:r w:rsidRPr="00616367">
        <w:rPr>
          <w:iCs/>
        </w:rPr>
        <w:t xml:space="preserve">. </w:t>
      </w:r>
      <w:r w:rsidR="00476DF9" w:rsidRPr="00616367">
        <w:rPr>
          <w:iCs/>
        </w:rPr>
        <w:t xml:space="preserve">Although </w:t>
      </w:r>
      <w:r w:rsidR="003D32DA" w:rsidRPr="00616367">
        <w:rPr>
          <w:iCs/>
        </w:rPr>
        <w:t xml:space="preserve">a </w:t>
      </w:r>
      <w:r w:rsidR="00476DF9" w:rsidRPr="00616367">
        <w:rPr>
          <w:iCs/>
        </w:rPr>
        <w:t>high risk of bias, specifically attrition bias, in PRIMROSE 3 study should be noted</w:t>
      </w:r>
      <w:r w:rsidR="005F1184" w:rsidRPr="00616367">
        <w:rPr>
          <w:iCs/>
        </w:rPr>
        <w:t xml:space="preserve"> while interpreting the results</w:t>
      </w:r>
      <w:r w:rsidR="00476DF9" w:rsidRPr="00616367">
        <w:rPr>
          <w:iCs/>
        </w:rPr>
        <w:t xml:space="preserve">. </w:t>
      </w:r>
      <w:r w:rsidRPr="00616367">
        <w:rPr>
          <w:iCs/>
        </w:rPr>
        <w:t>No data was provided in the submission to address safety of</w:t>
      </w:r>
      <w:r w:rsidR="00482A36" w:rsidRPr="00616367">
        <w:rPr>
          <w:iCs/>
        </w:rPr>
        <w:t xml:space="preserve"> continuous</w:t>
      </w:r>
      <w:r w:rsidRPr="00616367">
        <w:rPr>
          <w:iCs/>
        </w:rPr>
        <w:t xml:space="preserve"> linzagolix </w:t>
      </w:r>
      <w:r w:rsidR="00864035" w:rsidRPr="00616367">
        <w:rPr>
          <w:iCs/>
        </w:rPr>
        <w:t xml:space="preserve">treatment </w:t>
      </w:r>
      <w:r w:rsidRPr="00616367">
        <w:rPr>
          <w:iCs/>
        </w:rPr>
        <w:t>beyond 52 weeks.</w:t>
      </w:r>
      <w:r w:rsidR="00666AB0">
        <w:rPr>
          <w:iCs/>
        </w:rPr>
        <w:t xml:space="preserve"> </w:t>
      </w:r>
    </w:p>
    <w:p w14:paraId="059646AC" w14:textId="45935098" w:rsidR="00D87288" w:rsidRPr="00FD5102" w:rsidRDefault="00666AB0" w:rsidP="00666AB0">
      <w:pPr>
        <w:pStyle w:val="3-BodyText"/>
        <w:rPr>
          <w:iCs/>
        </w:rPr>
      </w:pPr>
      <w:r w:rsidRPr="00FD5102">
        <w:rPr>
          <w:iCs/>
        </w:rPr>
        <w:t xml:space="preserve">The </w:t>
      </w:r>
      <w:bookmarkStart w:id="48" w:name="_Hlk169951242"/>
      <w:r w:rsidR="00DE3785" w:rsidRPr="00FD5102">
        <w:rPr>
          <w:iCs/>
        </w:rPr>
        <w:t>PSCR stated</w:t>
      </w:r>
      <w:r w:rsidRPr="00FD5102">
        <w:rPr>
          <w:iCs/>
        </w:rPr>
        <w:t xml:space="preserve"> that continued treatment with linzagolix will be required, and BMD loss over time can be accurately, and relatively inexpensively, monitored allowing patients and clinicians to make informed risk benefit treatment decisions over time</w:t>
      </w:r>
      <w:bookmarkEnd w:id="48"/>
      <w:r w:rsidRPr="00FD5102">
        <w:rPr>
          <w:iCs/>
        </w:rPr>
        <w:t xml:space="preserve">. The PSCR also included the November 2023 Periodic Safety Update Report (PSUR), which showed no significant safety concerns regarding the use of linzagolix during the six-month reporting period. However, there was no post-marketing exposure to linzagolix during this reporting period as no products had been launched. Consequently, there remains no data available for cumulative post-marketing analysis. Overall, the ESC considered safety in long-term use </w:t>
      </w:r>
      <w:r w:rsidR="007360AC" w:rsidRPr="00FD5102">
        <w:rPr>
          <w:iCs/>
        </w:rPr>
        <w:t xml:space="preserve">of linzagolix </w:t>
      </w:r>
      <w:r w:rsidRPr="00FD5102">
        <w:rPr>
          <w:iCs/>
        </w:rPr>
        <w:t>remains unknown.</w:t>
      </w:r>
    </w:p>
    <w:p w14:paraId="2634B15B" w14:textId="241F644D" w:rsidR="003146C9" w:rsidRPr="00482A36" w:rsidRDefault="003146C9" w:rsidP="003146C9">
      <w:pPr>
        <w:pStyle w:val="4-SubsectionHeading"/>
      </w:pPr>
      <w:bookmarkStart w:id="49" w:name="_Toc167269202"/>
      <w:r w:rsidRPr="00482A36">
        <w:t>Benefits/harms</w:t>
      </w:r>
      <w:bookmarkEnd w:id="42"/>
      <w:bookmarkEnd w:id="49"/>
    </w:p>
    <w:p w14:paraId="79977114" w14:textId="546B42BB" w:rsidR="003146C9" w:rsidRPr="00482A36" w:rsidRDefault="003146C9" w:rsidP="003146C9">
      <w:pPr>
        <w:pStyle w:val="3-BodyText"/>
        <w:rPr>
          <w:rStyle w:val="CommentReference"/>
          <w:color w:val="0066FF"/>
        </w:rPr>
      </w:pPr>
      <w:r w:rsidRPr="00482A36">
        <w:t xml:space="preserve">A summary of the comparative benefits and harms for </w:t>
      </w:r>
      <w:r w:rsidR="000F42D9" w:rsidRPr="00482A36">
        <w:t>linzagolix</w:t>
      </w:r>
      <w:r w:rsidRPr="00482A36">
        <w:t xml:space="preserve"> versus </w:t>
      </w:r>
      <w:r w:rsidR="000F42D9" w:rsidRPr="00482A36">
        <w:t>placebo</w:t>
      </w:r>
      <w:r w:rsidRPr="00482A36">
        <w:t xml:space="preserve"> is presented in</w:t>
      </w:r>
      <w:r w:rsidR="00EB5519">
        <w:t xml:space="preserve"> </w:t>
      </w:r>
      <w:r w:rsidR="00EB5519">
        <w:fldChar w:fldCharType="begin"/>
      </w:r>
      <w:r w:rsidR="00EB5519">
        <w:instrText xml:space="preserve"> REF _Ref104805037 \h </w:instrText>
      </w:r>
      <w:r w:rsidR="00EB5519">
        <w:fldChar w:fldCharType="separate"/>
      </w:r>
      <w:r w:rsidR="003E4FD0" w:rsidRPr="00482A36">
        <w:t xml:space="preserve">Table </w:t>
      </w:r>
      <w:r w:rsidR="003E4FD0">
        <w:rPr>
          <w:noProof/>
        </w:rPr>
        <w:t>8</w:t>
      </w:r>
      <w:r w:rsidR="00EB5519">
        <w:fldChar w:fldCharType="end"/>
      </w:r>
      <w:r w:rsidR="00474E21" w:rsidRPr="003E4FD0">
        <w:rPr>
          <w:color w:val="000000"/>
          <w:spacing w:val="-130"/>
          <w:shd w:val="solid" w:color="000000" w:fill="000000"/>
          <w:fitText w:val="-20" w:id="-894212608"/>
          <w14:textFill>
            <w14:solidFill>
              <w14:srgbClr w14:val="000000">
                <w14:alpha w14:val="100000"/>
              </w14:srgbClr>
            </w14:solidFill>
          </w14:textFill>
        </w:rPr>
        <w:t>|</w:t>
      </w:r>
      <w:r w:rsidRPr="00482A36">
        <w:t>.</w:t>
      </w:r>
      <w:r w:rsidR="00864035" w:rsidRPr="00482A36">
        <w:t xml:space="preserve"> As many benefits reported in the submission related to MBL</w:t>
      </w:r>
      <w:r w:rsidR="000D5665" w:rsidRPr="00482A36">
        <w:t xml:space="preserve"> benefits</w:t>
      </w:r>
      <w:r w:rsidR="007360AC">
        <w:t>,</w:t>
      </w:r>
      <w:r w:rsidR="000D5665" w:rsidRPr="00482A36">
        <w:t xml:space="preserve"> </w:t>
      </w:r>
      <w:r w:rsidR="00864035" w:rsidRPr="00482A36">
        <w:t xml:space="preserve">estimates are focused on MBL response. Other benefits not included below are </w:t>
      </w:r>
      <w:r w:rsidR="000D5665" w:rsidRPr="00482A36">
        <w:t xml:space="preserve">as presented </w:t>
      </w:r>
      <w:r w:rsidR="00864035" w:rsidRPr="00482A36">
        <w:t xml:space="preserve">in </w:t>
      </w:r>
      <w:r w:rsidR="00864035" w:rsidRPr="00482A36">
        <w:fldChar w:fldCharType="begin"/>
      </w:r>
      <w:r w:rsidR="00864035" w:rsidRPr="00482A36">
        <w:instrText xml:space="preserve"> REF _Ref165035059 \h </w:instrText>
      </w:r>
      <w:r w:rsidR="00864035" w:rsidRPr="00482A36">
        <w:fldChar w:fldCharType="separate"/>
      </w:r>
      <w:r w:rsidR="003E4FD0" w:rsidRPr="00482A36">
        <w:t xml:space="preserve">Table </w:t>
      </w:r>
      <w:r w:rsidR="003E4FD0">
        <w:rPr>
          <w:noProof/>
        </w:rPr>
        <w:t>6</w:t>
      </w:r>
      <w:r w:rsidR="00864035" w:rsidRPr="00482A36">
        <w:fldChar w:fldCharType="end"/>
      </w:r>
      <w:r w:rsidR="00864035" w:rsidRPr="00482A36">
        <w:t>.</w:t>
      </w:r>
    </w:p>
    <w:p w14:paraId="41DA0161" w14:textId="2C58AB4D" w:rsidR="003146C9" w:rsidRPr="00482A36" w:rsidRDefault="003146C9" w:rsidP="007360AC">
      <w:pPr>
        <w:pStyle w:val="Caption"/>
        <w:widowControl w:val="0"/>
        <w:rPr>
          <w:rStyle w:val="CommentReference"/>
          <w:b/>
          <w:szCs w:val="24"/>
        </w:rPr>
      </w:pPr>
      <w:bookmarkStart w:id="50" w:name="_Ref104805037"/>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8</w:t>
      </w:r>
      <w:r w:rsidR="00747D8C">
        <w:rPr>
          <w:noProof/>
        </w:rPr>
        <w:fldChar w:fldCharType="end"/>
      </w:r>
      <w:bookmarkEnd w:id="50"/>
      <w:r w:rsidRPr="00482A36">
        <w:t xml:space="preserve">: </w:t>
      </w:r>
      <w:r w:rsidRPr="00482A36">
        <w:rPr>
          <w:rStyle w:val="CommentReference"/>
          <w:b/>
          <w:szCs w:val="24"/>
        </w:rPr>
        <w:t xml:space="preserve">Summary of comparative benefits and harms for </w:t>
      </w:r>
      <w:r w:rsidR="00FE50F1" w:rsidRPr="00482A36">
        <w:rPr>
          <w:rStyle w:val="CommentReference"/>
          <w:b/>
          <w:szCs w:val="24"/>
        </w:rPr>
        <w:t>linzagolix</w:t>
      </w:r>
      <w:r w:rsidRPr="00482A36">
        <w:rPr>
          <w:rStyle w:val="CommentReference"/>
          <w:b/>
          <w:szCs w:val="24"/>
        </w:rPr>
        <w:t xml:space="preserve"> and </w:t>
      </w:r>
      <w:r w:rsidR="00FE50F1" w:rsidRPr="00482A36">
        <w:rPr>
          <w:rStyle w:val="CommentReference"/>
          <w:b/>
          <w:szCs w:val="24"/>
        </w:rPr>
        <w:t>placebo</w:t>
      </w:r>
    </w:p>
    <w:tbl>
      <w:tblPr>
        <w:tblW w:w="5000" w:type="pct"/>
        <w:tblCellMar>
          <w:left w:w="28" w:type="dxa"/>
          <w:right w:w="28" w:type="dxa"/>
        </w:tblCellMar>
        <w:tblLook w:val="04A0" w:firstRow="1" w:lastRow="0" w:firstColumn="1" w:lastColumn="0" w:noHBand="0" w:noVBand="1"/>
        <w:tblCaption w:val="Table 8: Summary of comparative benefits and harms for linzagolix and placebo"/>
      </w:tblPr>
      <w:tblGrid>
        <w:gridCol w:w="2501"/>
        <w:gridCol w:w="1087"/>
        <w:gridCol w:w="1650"/>
        <w:gridCol w:w="1277"/>
        <w:gridCol w:w="855"/>
        <w:gridCol w:w="1647"/>
      </w:tblGrid>
      <w:tr w:rsidR="00E00DE6" w:rsidRPr="00482A36" w14:paraId="07FBAEF4" w14:textId="77777777" w:rsidTr="006D3D30">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73BC7B" w14:textId="77777777" w:rsidR="004777FB" w:rsidRPr="00482A36" w:rsidRDefault="004777FB" w:rsidP="007360AC">
            <w:pPr>
              <w:pStyle w:val="Tabletext"/>
              <w:keepNext/>
              <w:keepLines/>
              <w:widowControl w:val="0"/>
              <w:jc w:val="center"/>
              <w:rPr>
                <w:b/>
                <w:bCs/>
                <w:szCs w:val="20"/>
              </w:rPr>
            </w:pPr>
            <w:r w:rsidRPr="00482A36">
              <w:rPr>
                <w:b/>
                <w:bCs/>
                <w:szCs w:val="20"/>
              </w:rPr>
              <w:t>Trial</w:t>
            </w:r>
          </w:p>
        </w:tc>
        <w:tc>
          <w:tcPr>
            <w:tcW w:w="603" w:type="pct"/>
            <w:vMerge w:val="restart"/>
            <w:tcBorders>
              <w:top w:val="single" w:sz="4" w:space="0" w:color="auto"/>
              <w:left w:val="single" w:sz="4" w:space="0" w:color="auto"/>
              <w:bottom w:val="single" w:sz="4" w:space="0" w:color="auto"/>
              <w:right w:val="single" w:sz="4" w:space="0" w:color="auto"/>
            </w:tcBorders>
            <w:vAlign w:val="center"/>
          </w:tcPr>
          <w:p w14:paraId="663D45D3" w14:textId="77777777" w:rsidR="004777FB" w:rsidRPr="00482A36" w:rsidRDefault="004777FB" w:rsidP="007360AC">
            <w:pPr>
              <w:pStyle w:val="Tabletext"/>
              <w:keepNext/>
              <w:keepLines/>
              <w:widowControl w:val="0"/>
              <w:jc w:val="center"/>
              <w:rPr>
                <w:b/>
                <w:bCs/>
                <w:szCs w:val="20"/>
              </w:rPr>
            </w:pPr>
            <w:r w:rsidRPr="00482A36">
              <w:rPr>
                <w:b/>
                <w:bCs/>
                <w:szCs w:val="20"/>
              </w:rPr>
              <w:t>n/N</w:t>
            </w:r>
          </w:p>
        </w:tc>
        <w:tc>
          <w:tcPr>
            <w:tcW w:w="915" w:type="pct"/>
            <w:vMerge w:val="restart"/>
            <w:tcBorders>
              <w:top w:val="single" w:sz="4" w:space="0" w:color="auto"/>
              <w:left w:val="single" w:sz="4" w:space="0" w:color="auto"/>
              <w:right w:val="single" w:sz="4" w:space="0" w:color="auto"/>
            </w:tcBorders>
            <w:vAlign w:val="center"/>
          </w:tcPr>
          <w:p w14:paraId="14B102CA" w14:textId="0170F996" w:rsidR="00B54381" w:rsidRPr="00482A36" w:rsidRDefault="004777FB" w:rsidP="007360AC">
            <w:pPr>
              <w:pStyle w:val="Tabletext"/>
              <w:keepNext/>
              <w:keepLines/>
              <w:widowControl w:val="0"/>
              <w:jc w:val="center"/>
              <w:rPr>
                <w:b/>
                <w:bCs/>
                <w:szCs w:val="20"/>
              </w:rPr>
            </w:pPr>
            <w:r w:rsidRPr="00482A36">
              <w:rPr>
                <w:b/>
                <w:bCs/>
                <w:szCs w:val="20"/>
              </w:rPr>
              <w:t>OR</w:t>
            </w:r>
            <w:r w:rsidR="003D345A" w:rsidRPr="00091231">
              <w:rPr>
                <w:b/>
                <w:bCs/>
                <w:szCs w:val="20"/>
                <w:vertAlign w:val="superscript"/>
              </w:rPr>
              <w:t>^</w:t>
            </w:r>
            <w:r w:rsidRPr="00482A36">
              <w:rPr>
                <w:b/>
                <w:bCs/>
                <w:szCs w:val="20"/>
              </w:rPr>
              <w:t xml:space="preserve"> (95% CI)</w:t>
            </w:r>
          </w:p>
        </w:tc>
        <w:tc>
          <w:tcPr>
            <w:tcW w:w="1182" w:type="pct"/>
            <w:gridSpan w:val="2"/>
            <w:tcBorders>
              <w:top w:val="single" w:sz="4" w:space="0" w:color="auto"/>
              <w:left w:val="single" w:sz="4" w:space="0" w:color="auto"/>
              <w:bottom w:val="single" w:sz="4" w:space="0" w:color="auto"/>
              <w:right w:val="single" w:sz="4" w:space="0" w:color="auto"/>
            </w:tcBorders>
            <w:vAlign w:val="center"/>
          </w:tcPr>
          <w:p w14:paraId="65C4AECF" w14:textId="0E6BFC94" w:rsidR="004777FB" w:rsidRPr="00482A36" w:rsidRDefault="004777FB" w:rsidP="007360AC">
            <w:pPr>
              <w:pStyle w:val="Tabletext"/>
              <w:keepNext/>
              <w:keepLines/>
              <w:widowControl w:val="0"/>
              <w:jc w:val="center"/>
              <w:rPr>
                <w:b/>
                <w:bCs/>
                <w:szCs w:val="20"/>
              </w:rPr>
            </w:pPr>
            <w:r w:rsidRPr="00482A36">
              <w:rPr>
                <w:b/>
                <w:bCs/>
                <w:szCs w:val="20"/>
              </w:rPr>
              <w:t>Event rate/100 patients</w:t>
            </w:r>
          </w:p>
        </w:tc>
        <w:tc>
          <w:tcPr>
            <w:tcW w:w="913" w:type="pct"/>
            <w:vMerge w:val="restart"/>
            <w:tcBorders>
              <w:top w:val="single" w:sz="4" w:space="0" w:color="auto"/>
              <w:left w:val="single" w:sz="4" w:space="0" w:color="auto"/>
              <w:bottom w:val="single" w:sz="4" w:space="0" w:color="auto"/>
              <w:right w:val="single" w:sz="4" w:space="0" w:color="auto"/>
            </w:tcBorders>
            <w:vAlign w:val="center"/>
          </w:tcPr>
          <w:p w14:paraId="709B1182" w14:textId="5953DDCD" w:rsidR="004777FB" w:rsidRPr="00482A36" w:rsidRDefault="004777FB" w:rsidP="007360AC">
            <w:pPr>
              <w:pStyle w:val="Tabletext"/>
              <w:keepNext/>
              <w:keepLines/>
              <w:widowControl w:val="0"/>
              <w:jc w:val="center"/>
              <w:rPr>
                <w:b/>
                <w:bCs/>
                <w:szCs w:val="20"/>
              </w:rPr>
            </w:pPr>
            <w:r w:rsidRPr="00482A36">
              <w:rPr>
                <w:b/>
                <w:bCs/>
                <w:szCs w:val="20"/>
              </w:rPr>
              <w:t>RD</w:t>
            </w:r>
            <w:r w:rsidR="003D345A" w:rsidRPr="00091231">
              <w:rPr>
                <w:b/>
                <w:bCs/>
                <w:szCs w:val="20"/>
                <w:vertAlign w:val="superscript"/>
              </w:rPr>
              <w:t>^</w:t>
            </w:r>
            <w:r w:rsidRPr="00482A36">
              <w:rPr>
                <w:b/>
                <w:bCs/>
                <w:szCs w:val="20"/>
              </w:rPr>
              <w:t xml:space="preserve"> (95% CI)</w:t>
            </w:r>
          </w:p>
        </w:tc>
      </w:tr>
      <w:tr w:rsidR="00207AED" w:rsidRPr="00482A36" w14:paraId="6DAA0B49" w14:textId="77777777" w:rsidTr="006D3D30">
        <w:trPr>
          <w:cantSplit/>
          <w:trHeight w:val="20"/>
        </w:trPr>
        <w:tc>
          <w:tcPr>
            <w:tcW w:w="138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D736A88" w14:textId="77777777" w:rsidR="004777FB" w:rsidRPr="00482A36" w:rsidRDefault="004777FB" w:rsidP="007360AC">
            <w:pPr>
              <w:pStyle w:val="Tabletext"/>
              <w:keepNext/>
              <w:keepLines/>
              <w:widowControl w:val="0"/>
              <w:jc w:val="center"/>
              <w:rPr>
                <w:b/>
                <w:bCs/>
                <w:szCs w:val="20"/>
              </w:rPr>
            </w:pPr>
          </w:p>
        </w:tc>
        <w:tc>
          <w:tcPr>
            <w:tcW w:w="603" w:type="pct"/>
            <w:vMerge/>
            <w:tcBorders>
              <w:top w:val="single" w:sz="4" w:space="0" w:color="auto"/>
              <w:left w:val="single" w:sz="4" w:space="0" w:color="auto"/>
              <w:bottom w:val="single" w:sz="4" w:space="0" w:color="auto"/>
              <w:right w:val="single" w:sz="4" w:space="0" w:color="auto"/>
            </w:tcBorders>
            <w:vAlign w:val="center"/>
          </w:tcPr>
          <w:p w14:paraId="2FCABD79" w14:textId="77777777" w:rsidR="004777FB" w:rsidRPr="00482A36" w:rsidRDefault="004777FB" w:rsidP="007360AC">
            <w:pPr>
              <w:pStyle w:val="Tabletext"/>
              <w:keepNext/>
              <w:keepLines/>
              <w:widowControl w:val="0"/>
              <w:jc w:val="center"/>
              <w:rPr>
                <w:b/>
                <w:bCs/>
                <w:szCs w:val="20"/>
              </w:rPr>
            </w:pPr>
          </w:p>
        </w:tc>
        <w:tc>
          <w:tcPr>
            <w:tcW w:w="915" w:type="pct"/>
            <w:vMerge/>
            <w:tcBorders>
              <w:left w:val="single" w:sz="4" w:space="0" w:color="auto"/>
              <w:bottom w:val="single" w:sz="4" w:space="0" w:color="auto"/>
              <w:right w:val="single" w:sz="4" w:space="0" w:color="auto"/>
            </w:tcBorders>
            <w:vAlign w:val="center"/>
          </w:tcPr>
          <w:p w14:paraId="418EE403" w14:textId="77777777" w:rsidR="004777FB" w:rsidRPr="00482A36" w:rsidRDefault="004777FB" w:rsidP="007360AC">
            <w:pPr>
              <w:pStyle w:val="Tabletext"/>
              <w:keepNext/>
              <w:keepLines/>
              <w:widowControl w:val="0"/>
              <w:jc w:val="center"/>
              <w:rPr>
                <w:b/>
                <w:bCs/>
                <w:szCs w:val="20"/>
              </w:rPr>
            </w:pPr>
          </w:p>
        </w:tc>
        <w:tc>
          <w:tcPr>
            <w:tcW w:w="708" w:type="pct"/>
            <w:tcBorders>
              <w:top w:val="single" w:sz="4" w:space="0" w:color="auto"/>
              <w:left w:val="single" w:sz="4" w:space="0" w:color="auto"/>
              <w:bottom w:val="single" w:sz="4" w:space="0" w:color="auto"/>
              <w:right w:val="single" w:sz="4" w:space="0" w:color="auto"/>
            </w:tcBorders>
            <w:vAlign w:val="center"/>
          </w:tcPr>
          <w:p w14:paraId="21CE1671" w14:textId="48A58EAD" w:rsidR="004777FB" w:rsidRPr="00482A36" w:rsidRDefault="004777FB" w:rsidP="007360AC">
            <w:pPr>
              <w:pStyle w:val="Tabletext"/>
              <w:keepNext/>
              <w:keepLines/>
              <w:widowControl w:val="0"/>
              <w:jc w:val="center"/>
              <w:rPr>
                <w:b/>
                <w:bCs/>
                <w:szCs w:val="20"/>
              </w:rPr>
            </w:pPr>
            <w:r w:rsidRPr="00482A36">
              <w:rPr>
                <w:b/>
                <w:bCs/>
                <w:szCs w:val="20"/>
              </w:rPr>
              <w:t>Linzagolix</w:t>
            </w:r>
          </w:p>
        </w:tc>
        <w:tc>
          <w:tcPr>
            <w:tcW w:w="474" w:type="pct"/>
            <w:tcBorders>
              <w:top w:val="single" w:sz="4" w:space="0" w:color="auto"/>
              <w:left w:val="single" w:sz="4" w:space="0" w:color="auto"/>
              <w:bottom w:val="single" w:sz="4" w:space="0" w:color="auto"/>
              <w:right w:val="single" w:sz="4" w:space="0" w:color="auto"/>
            </w:tcBorders>
            <w:vAlign w:val="center"/>
          </w:tcPr>
          <w:p w14:paraId="780C350C" w14:textId="77777777" w:rsidR="004777FB" w:rsidRPr="00482A36" w:rsidRDefault="004777FB" w:rsidP="007360AC">
            <w:pPr>
              <w:pStyle w:val="Tabletext"/>
              <w:keepNext/>
              <w:keepLines/>
              <w:widowControl w:val="0"/>
              <w:jc w:val="center"/>
              <w:rPr>
                <w:b/>
                <w:bCs/>
                <w:szCs w:val="20"/>
              </w:rPr>
            </w:pPr>
            <w:r w:rsidRPr="00482A36">
              <w:rPr>
                <w:b/>
                <w:bCs/>
                <w:szCs w:val="20"/>
              </w:rPr>
              <w:t>PBO</w:t>
            </w:r>
          </w:p>
        </w:tc>
        <w:tc>
          <w:tcPr>
            <w:tcW w:w="913" w:type="pct"/>
            <w:vMerge/>
            <w:tcBorders>
              <w:top w:val="single" w:sz="4" w:space="0" w:color="auto"/>
              <w:left w:val="single" w:sz="4" w:space="0" w:color="auto"/>
              <w:bottom w:val="single" w:sz="4" w:space="0" w:color="auto"/>
              <w:right w:val="single" w:sz="4" w:space="0" w:color="auto"/>
            </w:tcBorders>
            <w:vAlign w:val="center"/>
          </w:tcPr>
          <w:p w14:paraId="075BF3F1" w14:textId="77777777" w:rsidR="004777FB" w:rsidRPr="00482A36" w:rsidRDefault="004777FB" w:rsidP="007360AC">
            <w:pPr>
              <w:pStyle w:val="Tabletext"/>
              <w:keepNext/>
              <w:keepLines/>
              <w:widowControl w:val="0"/>
              <w:rPr>
                <w:szCs w:val="20"/>
              </w:rPr>
            </w:pPr>
          </w:p>
        </w:tc>
      </w:tr>
      <w:tr w:rsidR="003146C9" w:rsidRPr="00482A36" w14:paraId="599543F5" w14:textId="77777777" w:rsidTr="00CD1982">
        <w:trPr>
          <w:cantSplit/>
          <w:trHeight w:val="20"/>
        </w:trPr>
        <w:tc>
          <w:tcPr>
            <w:tcW w:w="5000" w:type="pct"/>
            <w:gridSpan w:val="6"/>
            <w:tcBorders>
              <w:top w:val="single" w:sz="4" w:space="0" w:color="auto"/>
              <w:left w:val="single" w:sz="4" w:space="0" w:color="auto"/>
              <w:bottom w:val="double" w:sz="4" w:space="0" w:color="auto"/>
              <w:right w:val="single" w:sz="4" w:space="0" w:color="auto"/>
            </w:tcBorders>
            <w:shd w:val="clear" w:color="auto" w:fill="auto"/>
            <w:vAlign w:val="center"/>
          </w:tcPr>
          <w:p w14:paraId="2F7FEC34" w14:textId="63D92BE2" w:rsidR="003146C9" w:rsidRPr="00482A36" w:rsidRDefault="003146C9" w:rsidP="007360AC">
            <w:pPr>
              <w:pStyle w:val="Tabletext"/>
              <w:keepNext/>
              <w:keepLines/>
              <w:widowControl w:val="0"/>
              <w:rPr>
                <w:b/>
                <w:bCs/>
                <w:szCs w:val="20"/>
              </w:rPr>
            </w:pPr>
            <w:r w:rsidRPr="00482A36">
              <w:rPr>
                <w:b/>
                <w:bCs/>
                <w:szCs w:val="20"/>
              </w:rPr>
              <w:t>Benefits</w:t>
            </w:r>
            <w:r w:rsidR="004777FB" w:rsidRPr="00482A36">
              <w:rPr>
                <w:b/>
                <w:bCs/>
                <w:szCs w:val="20"/>
              </w:rPr>
              <w:t xml:space="preserve"> (FAS, pooled PRIMROSE 1 and 2)</w:t>
            </w:r>
          </w:p>
        </w:tc>
      </w:tr>
      <w:tr w:rsidR="003146C9" w:rsidRPr="00482A36" w14:paraId="5D6DB8AF" w14:textId="77777777" w:rsidTr="00CD1982">
        <w:trPr>
          <w:cantSplit/>
          <w:trHeight w:val="20"/>
        </w:trPr>
        <w:tc>
          <w:tcPr>
            <w:tcW w:w="5000" w:type="pct"/>
            <w:gridSpan w:val="6"/>
            <w:tcBorders>
              <w:top w:val="double" w:sz="4" w:space="0" w:color="auto"/>
              <w:left w:val="single" w:sz="4" w:space="0" w:color="auto"/>
              <w:bottom w:val="single" w:sz="4" w:space="0" w:color="auto"/>
              <w:right w:val="single" w:sz="4" w:space="0" w:color="auto"/>
            </w:tcBorders>
            <w:shd w:val="clear" w:color="auto" w:fill="auto"/>
            <w:vAlign w:val="center"/>
          </w:tcPr>
          <w:p w14:paraId="4E5CE944" w14:textId="11812374" w:rsidR="003146C9" w:rsidRPr="00482A36" w:rsidRDefault="00FE50F1" w:rsidP="007360AC">
            <w:pPr>
              <w:pStyle w:val="Tabletext"/>
              <w:keepNext/>
              <w:keepLines/>
              <w:widowControl w:val="0"/>
              <w:rPr>
                <w:b/>
                <w:bCs/>
                <w:szCs w:val="20"/>
              </w:rPr>
            </w:pPr>
            <w:r w:rsidRPr="00482A36">
              <w:rPr>
                <w:b/>
                <w:bCs/>
                <w:szCs w:val="20"/>
              </w:rPr>
              <w:t>MBL response</w:t>
            </w:r>
            <w:r w:rsidR="00091231" w:rsidRPr="00091231">
              <w:rPr>
                <w:b/>
                <w:bCs/>
                <w:szCs w:val="20"/>
                <w:vertAlign w:val="superscript"/>
              </w:rPr>
              <w:t>*</w:t>
            </w:r>
            <w:r w:rsidR="00B54381" w:rsidRPr="00482A36">
              <w:rPr>
                <w:b/>
                <w:bCs/>
                <w:szCs w:val="20"/>
              </w:rPr>
              <w:t>, vs PBO (n=66, N=205)</w:t>
            </w:r>
            <w:r w:rsidR="00A1711A" w:rsidRPr="00482A36">
              <w:rPr>
                <w:b/>
                <w:bCs/>
                <w:szCs w:val="20"/>
              </w:rPr>
              <w:t>, at week 24</w:t>
            </w:r>
          </w:p>
        </w:tc>
      </w:tr>
      <w:tr w:rsidR="00207AED" w:rsidRPr="00616367" w14:paraId="1241A69A"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tcPr>
          <w:p w14:paraId="5552E964" w14:textId="25F3C75B" w:rsidR="00B54381" w:rsidRPr="00616367" w:rsidRDefault="00B54381" w:rsidP="007360AC">
            <w:pPr>
              <w:pStyle w:val="Tabletext"/>
              <w:keepNext/>
              <w:keepLines/>
              <w:widowControl w:val="0"/>
              <w:rPr>
                <w:szCs w:val="20"/>
              </w:rPr>
            </w:pPr>
            <w:r w:rsidRPr="00616367">
              <w:rPr>
                <w:b/>
                <w:bCs/>
                <w:szCs w:val="20"/>
              </w:rPr>
              <w:t>LGX 100</w:t>
            </w:r>
          </w:p>
        </w:tc>
        <w:tc>
          <w:tcPr>
            <w:tcW w:w="603" w:type="pct"/>
            <w:tcBorders>
              <w:top w:val="single" w:sz="4" w:space="0" w:color="auto"/>
              <w:left w:val="single" w:sz="4" w:space="0" w:color="auto"/>
              <w:bottom w:val="single" w:sz="4" w:space="0" w:color="auto"/>
              <w:right w:val="single" w:sz="4" w:space="0" w:color="auto"/>
            </w:tcBorders>
            <w:vAlign w:val="center"/>
          </w:tcPr>
          <w:p w14:paraId="68D076AB" w14:textId="7D1FCE77" w:rsidR="00B54381" w:rsidRPr="00616367" w:rsidRDefault="00B54381" w:rsidP="007360AC">
            <w:pPr>
              <w:pStyle w:val="Tabletext"/>
              <w:keepNext/>
              <w:keepLines/>
              <w:widowControl w:val="0"/>
              <w:jc w:val="center"/>
              <w:rPr>
                <w:szCs w:val="20"/>
              </w:rPr>
            </w:pPr>
            <w:r w:rsidRPr="00616367">
              <w:rPr>
                <w:szCs w:val="20"/>
              </w:rPr>
              <w:t>108/191</w:t>
            </w:r>
          </w:p>
        </w:tc>
        <w:tc>
          <w:tcPr>
            <w:tcW w:w="915" w:type="pct"/>
            <w:tcBorders>
              <w:top w:val="single" w:sz="4" w:space="0" w:color="auto"/>
              <w:left w:val="single" w:sz="4" w:space="0" w:color="auto"/>
              <w:bottom w:val="single" w:sz="4" w:space="0" w:color="auto"/>
              <w:right w:val="single" w:sz="4" w:space="0" w:color="auto"/>
            </w:tcBorders>
            <w:vAlign w:val="center"/>
          </w:tcPr>
          <w:p w14:paraId="05076F47" w14:textId="2127F4DB" w:rsidR="00B54381" w:rsidRPr="00616367" w:rsidRDefault="00B54381" w:rsidP="007360AC">
            <w:pPr>
              <w:pStyle w:val="Tabletext"/>
              <w:keepNext/>
              <w:keepLines/>
              <w:widowControl w:val="0"/>
              <w:jc w:val="center"/>
              <w:rPr>
                <w:b/>
                <w:bCs/>
                <w:szCs w:val="20"/>
              </w:rPr>
            </w:pPr>
            <w:r w:rsidRPr="00616367">
              <w:rPr>
                <w:b/>
                <w:bCs/>
                <w:szCs w:val="20"/>
              </w:rPr>
              <w:t>2.7</w:t>
            </w:r>
            <w:r w:rsidR="00156674" w:rsidRPr="00616367">
              <w:rPr>
                <w:b/>
                <w:bCs/>
                <w:szCs w:val="20"/>
              </w:rPr>
              <w:t>4</w:t>
            </w:r>
            <w:r w:rsidRPr="00616367">
              <w:rPr>
                <w:b/>
                <w:bCs/>
                <w:szCs w:val="20"/>
              </w:rPr>
              <w:t xml:space="preserve"> (</w:t>
            </w:r>
            <w:r w:rsidR="00156674" w:rsidRPr="00616367">
              <w:rPr>
                <w:b/>
                <w:bCs/>
                <w:szCs w:val="20"/>
              </w:rPr>
              <w:t>1.82</w:t>
            </w:r>
            <w:r w:rsidRPr="00616367">
              <w:rPr>
                <w:b/>
                <w:bCs/>
                <w:szCs w:val="20"/>
              </w:rPr>
              <w:t>, 4</w:t>
            </w:r>
            <w:r w:rsidR="00156674" w:rsidRPr="00616367">
              <w:rPr>
                <w:b/>
                <w:bCs/>
                <w:szCs w:val="20"/>
              </w:rPr>
              <w:t>.13</w:t>
            </w:r>
            <w:r w:rsidRPr="00616367">
              <w:rPr>
                <w:b/>
                <w:b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0944AFAB" w14:textId="5E57F1BF" w:rsidR="00B54381" w:rsidRPr="00616367" w:rsidRDefault="00B54381" w:rsidP="007360AC">
            <w:pPr>
              <w:pStyle w:val="Tabletext"/>
              <w:keepNext/>
              <w:keepLines/>
              <w:widowControl w:val="0"/>
              <w:jc w:val="center"/>
              <w:rPr>
                <w:iCs/>
                <w:szCs w:val="20"/>
              </w:rPr>
            </w:pPr>
            <w:r w:rsidRPr="00616367">
              <w:rPr>
                <w:iCs/>
                <w:szCs w:val="20"/>
              </w:rPr>
              <w:t>56</w:t>
            </w:r>
          </w:p>
        </w:tc>
        <w:tc>
          <w:tcPr>
            <w:tcW w:w="474" w:type="pct"/>
            <w:vMerge w:val="restart"/>
            <w:tcBorders>
              <w:top w:val="single" w:sz="4" w:space="0" w:color="auto"/>
              <w:left w:val="single" w:sz="4" w:space="0" w:color="auto"/>
              <w:right w:val="single" w:sz="4" w:space="0" w:color="auto"/>
            </w:tcBorders>
          </w:tcPr>
          <w:p w14:paraId="2B13E16E" w14:textId="09529BF7" w:rsidR="00B54381" w:rsidRPr="00616367" w:rsidRDefault="00B54381" w:rsidP="007360AC">
            <w:pPr>
              <w:pStyle w:val="Tabletext"/>
              <w:keepNext/>
              <w:keepLines/>
              <w:widowControl w:val="0"/>
              <w:jc w:val="center"/>
              <w:rPr>
                <w:iCs/>
                <w:szCs w:val="20"/>
              </w:rPr>
            </w:pPr>
            <w:r w:rsidRPr="00616367">
              <w:rPr>
                <w:iCs/>
                <w:szCs w:val="20"/>
              </w:rPr>
              <w:t>32</w:t>
            </w:r>
          </w:p>
        </w:tc>
        <w:tc>
          <w:tcPr>
            <w:tcW w:w="913" w:type="pct"/>
            <w:tcBorders>
              <w:top w:val="single" w:sz="4" w:space="0" w:color="auto"/>
              <w:left w:val="single" w:sz="4" w:space="0" w:color="auto"/>
              <w:bottom w:val="single" w:sz="4" w:space="0" w:color="auto"/>
              <w:right w:val="single" w:sz="4" w:space="0" w:color="auto"/>
            </w:tcBorders>
            <w:vAlign w:val="center"/>
          </w:tcPr>
          <w:p w14:paraId="29E0058C" w14:textId="7F0CB7B2" w:rsidR="00B54381" w:rsidRPr="00616367" w:rsidRDefault="00F27EC9" w:rsidP="007360AC">
            <w:pPr>
              <w:pStyle w:val="Tabletext"/>
              <w:keepNext/>
              <w:keepLines/>
              <w:widowControl w:val="0"/>
              <w:jc w:val="center"/>
              <w:rPr>
                <w:szCs w:val="20"/>
              </w:rPr>
            </w:pPr>
            <w:r w:rsidRPr="00616367">
              <w:rPr>
                <w:b/>
                <w:szCs w:val="20"/>
              </w:rPr>
              <w:t>0.2</w:t>
            </w:r>
            <w:r w:rsidR="00156674" w:rsidRPr="00616367">
              <w:rPr>
                <w:b/>
                <w:szCs w:val="20"/>
              </w:rPr>
              <w:t>4</w:t>
            </w:r>
            <w:r w:rsidR="00B54381" w:rsidRPr="00616367">
              <w:rPr>
                <w:b/>
                <w:szCs w:val="20"/>
              </w:rPr>
              <w:t xml:space="preserve"> (</w:t>
            </w:r>
            <w:r w:rsidRPr="00616367">
              <w:rPr>
                <w:b/>
                <w:szCs w:val="20"/>
              </w:rPr>
              <w:t>0.</w:t>
            </w:r>
            <w:r w:rsidR="00B54381" w:rsidRPr="00616367">
              <w:rPr>
                <w:b/>
                <w:szCs w:val="20"/>
              </w:rPr>
              <w:t>1</w:t>
            </w:r>
            <w:r w:rsidR="00156674" w:rsidRPr="00616367">
              <w:rPr>
                <w:b/>
                <w:szCs w:val="20"/>
              </w:rPr>
              <w:t>5</w:t>
            </w:r>
            <w:r w:rsidR="00B54381" w:rsidRPr="00616367">
              <w:rPr>
                <w:b/>
                <w:szCs w:val="20"/>
              </w:rPr>
              <w:t xml:space="preserve">, </w:t>
            </w:r>
            <w:r w:rsidRPr="00616367">
              <w:rPr>
                <w:b/>
                <w:szCs w:val="20"/>
              </w:rPr>
              <w:t>0.</w:t>
            </w:r>
            <w:r w:rsidR="00B54381" w:rsidRPr="00616367">
              <w:rPr>
                <w:b/>
                <w:szCs w:val="20"/>
              </w:rPr>
              <w:t>3</w:t>
            </w:r>
            <w:r w:rsidR="00156674" w:rsidRPr="00616367">
              <w:rPr>
                <w:b/>
                <w:szCs w:val="20"/>
              </w:rPr>
              <w:t>4</w:t>
            </w:r>
            <w:r w:rsidR="00B54381" w:rsidRPr="00616367">
              <w:rPr>
                <w:b/>
                <w:szCs w:val="20"/>
              </w:rPr>
              <w:t>)</w:t>
            </w:r>
          </w:p>
        </w:tc>
      </w:tr>
      <w:tr w:rsidR="00207AED" w:rsidRPr="00616367" w14:paraId="0406F464"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11159DF0" w14:textId="20D65C3F" w:rsidR="00B54381" w:rsidRPr="00616367" w:rsidRDefault="00B54381" w:rsidP="007360AC">
            <w:pPr>
              <w:pStyle w:val="Tabletext"/>
              <w:keepNext/>
              <w:keepLines/>
              <w:widowControl w:val="0"/>
              <w:rPr>
                <w:szCs w:val="20"/>
              </w:rPr>
            </w:pPr>
            <w:r w:rsidRPr="00616367">
              <w:rPr>
                <w:b/>
                <w:bCs/>
                <w:szCs w:val="20"/>
              </w:rPr>
              <w:t>LGX 100 + ABT</w:t>
            </w:r>
          </w:p>
        </w:tc>
        <w:tc>
          <w:tcPr>
            <w:tcW w:w="603" w:type="pct"/>
            <w:tcBorders>
              <w:top w:val="single" w:sz="4" w:space="0" w:color="auto"/>
              <w:left w:val="single" w:sz="4" w:space="0" w:color="auto"/>
              <w:bottom w:val="single" w:sz="4" w:space="0" w:color="auto"/>
              <w:right w:val="single" w:sz="4" w:space="0" w:color="auto"/>
            </w:tcBorders>
            <w:vAlign w:val="center"/>
          </w:tcPr>
          <w:p w14:paraId="0558B3E4" w14:textId="63539F65" w:rsidR="00B54381" w:rsidRPr="00616367" w:rsidRDefault="00B54381" w:rsidP="007360AC">
            <w:pPr>
              <w:pStyle w:val="Tabletext"/>
              <w:keepNext/>
              <w:keepLines/>
              <w:widowControl w:val="0"/>
              <w:jc w:val="center"/>
              <w:rPr>
                <w:szCs w:val="20"/>
              </w:rPr>
            </w:pPr>
            <w:r w:rsidRPr="00616367">
              <w:rPr>
                <w:szCs w:val="20"/>
              </w:rPr>
              <w:t>149/208</w:t>
            </w:r>
          </w:p>
        </w:tc>
        <w:tc>
          <w:tcPr>
            <w:tcW w:w="915" w:type="pct"/>
            <w:tcBorders>
              <w:top w:val="single" w:sz="4" w:space="0" w:color="auto"/>
              <w:left w:val="single" w:sz="4" w:space="0" w:color="auto"/>
              <w:bottom w:val="single" w:sz="4" w:space="0" w:color="auto"/>
              <w:right w:val="single" w:sz="4" w:space="0" w:color="auto"/>
            </w:tcBorders>
            <w:vAlign w:val="center"/>
          </w:tcPr>
          <w:p w14:paraId="2DC75D06" w14:textId="53CEC24A" w:rsidR="00B54381" w:rsidRPr="00616367" w:rsidRDefault="00B54381" w:rsidP="007360AC">
            <w:pPr>
              <w:pStyle w:val="Tabletext"/>
              <w:keepNext/>
              <w:keepLines/>
              <w:widowControl w:val="0"/>
              <w:jc w:val="center"/>
              <w:rPr>
                <w:b/>
                <w:bCs/>
                <w:szCs w:val="20"/>
              </w:rPr>
            </w:pPr>
            <w:r w:rsidRPr="00616367">
              <w:rPr>
                <w:b/>
                <w:bCs/>
                <w:szCs w:val="20"/>
              </w:rPr>
              <w:t>5.</w:t>
            </w:r>
            <w:r w:rsidR="00156674" w:rsidRPr="00616367">
              <w:rPr>
                <w:b/>
                <w:bCs/>
                <w:szCs w:val="20"/>
              </w:rPr>
              <w:t>32</w:t>
            </w:r>
            <w:r w:rsidRPr="00616367">
              <w:rPr>
                <w:b/>
                <w:bCs/>
                <w:szCs w:val="20"/>
              </w:rPr>
              <w:t xml:space="preserve"> (</w:t>
            </w:r>
            <w:r w:rsidR="00156674" w:rsidRPr="00616367">
              <w:rPr>
                <w:b/>
                <w:bCs/>
                <w:szCs w:val="20"/>
              </w:rPr>
              <w:t>3.49</w:t>
            </w:r>
            <w:r w:rsidRPr="00616367">
              <w:rPr>
                <w:b/>
                <w:bCs/>
                <w:szCs w:val="20"/>
              </w:rPr>
              <w:t>, 8</w:t>
            </w:r>
            <w:r w:rsidR="00156674" w:rsidRPr="00616367">
              <w:rPr>
                <w:b/>
                <w:bCs/>
                <w:szCs w:val="20"/>
              </w:rPr>
              <w:t>.10</w:t>
            </w:r>
            <w:r w:rsidRPr="00616367">
              <w:rPr>
                <w:b/>
                <w:b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54487E87" w14:textId="5A55C63B" w:rsidR="00B54381" w:rsidRPr="00616367" w:rsidRDefault="00B54381" w:rsidP="007360AC">
            <w:pPr>
              <w:pStyle w:val="Tabletext"/>
              <w:keepNext/>
              <w:keepLines/>
              <w:widowControl w:val="0"/>
              <w:jc w:val="center"/>
              <w:rPr>
                <w:iCs/>
                <w:szCs w:val="20"/>
              </w:rPr>
            </w:pPr>
            <w:r w:rsidRPr="00616367">
              <w:rPr>
                <w:iCs/>
                <w:szCs w:val="20"/>
              </w:rPr>
              <w:t>72</w:t>
            </w:r>
          </w:p>
        </w:tc>
        <w:tc>
          <w:tcPr>
            <w:tcW w:w="474" w:type="pct"/>
            <w:vMerge/>
            <w:tcBorders>
              <w:left w:val="single" w:sz="4" w:space="0" w:color="auto"/>
              <w:right w:val="single" w:sz="4" w:space="0" w:color="auto"/>
            </w:tcBorders>
            <w:vAlign w:val="center"/>
          </w:tcPr>
          <w:p w14:paraId="7C2AE897" w14:textId="1A61AFBF" w:rsidR="00B54381" w:rsidRPr="00616367" w:rsidRDefault="00B54381"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1529EA1C" w14:textId="316FA85B" w:rsidR="00B54381" w:rsidRPr="00616367" w:rsidRDefault="00F27EC9" w:rsidP="007360AC">
            <w:pPr>
              <w:pStyle w:val="Tabletext"/>
              <w:keepNext/>
              <w:keepLines/>
              <w:widowControl w:val="0"/>
              <w:jc w:val="center"/>
              <w:rPr>
                <w:szCs w:val="20"/>
              </w:rPr>
            </w:pPr>
            <w:r w:rsidRPr="00616367">
              <w:rPr>
                <w:b/>
                <w:szCs w:val="20"/>
              </w:rPr>
              <w:t>0.</w:t>
            </w:r>
            <w:r w:rsidR="00156674" w:rsidRPr="00616367">
              <w:rPr>
                <w:b/>
                <w:szCs w:val="20"/>
              </w:rPr>
              <w:t>39</w:t>
            </w:r>
            <w:r w:rsidR="00B54381" w:rsidRPr="00616367">
              <w:rPr>
                <w:b/>
                <w:szCs w:val="20"/>
              </w:rPr>
              <w:t xml:space="preserve"> (</w:t>
            </w:r>
            <w:r w:rsidRPr="00616367">
              <w:rPr>
                <w:b/>
                <w:szCs w:val="20"/>
              </w:rPr>
              <w:t>0.</w:t>
            </w:r>
            <w:r w:rsidR="00B54381" w:rsidRPr="00616367">
              <w:rPr>
                <w:b/>
                <w:szCs w:val="20"/>
              </w:rPr>
              <w:t>3</w:t>
            </w:r>
            <w:r w:rsidR="00156674" w:rsidRPr="00616367">
              <w:rPr>
                <w:b/>
                <w:szCs w:val="20"/>
              </w:rPr>
              <w:t>1</w:t>
            </w:r>
            <w:r w:rsidR="00B54381" w:rsidRPr="00616367">
              <w:rPr>
                <w:b/>
                <w:szCs w:val="20"/>
              </w:rPr>
              <w:t xml:space="preserve">, </w:t>
            </w:r>
            <w:r w:rsidRPr="00616367">
              <w:rPr>
                <w:b/>
                <w:szCs w:val="20"/>
              </w:rPr>
              <w:t>0.</w:t>
            </w:r>
            <w:r w:rsidR="00156674" w:rsidRPr="00616367">
              <w:rPr>
                <w:b/>
                <w:szCs w:val="20"/>
              </w:rPr>
              <w:t>48</w:t>
            </w:r>
            <w:r w:rsidR="00B54381" w:rsidRPr="00616367">
              <w:rPr>
                <w:b/>
                <w:szCs w:val="20"/>
              </w:rPr>
              <w:t>)</w:t>
            </w:r>
          </w:p>
        </w:tc>
      </w:tr>
      <w:tr w:rsidR="00207AED" w:rsidRPr="00616367" w14:paraId="66D1FE2D"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1A3D1D75" w14:textId="460BA8DA" w:rsidR="00B54381" w:rsidRPr="00616367" w:rsidRDefault="00B54381" w:rsidP="007360AC">
            <w:pPr>
              <w:pStyle w:val="Tabletext"/>
              <w:keepNext/>
              <w:keepLines/>
              <w:widowControl w:val="0"/>
              <w:rPr>
                <w:b/>
                <w:bCs/>
                <w:szCs w:val="20"/>
              </w:rPr>
            </w:pPr>
            <w:r w:rsidRPr="00616367">
              <w:rPr>
                <w:b/>
                <w:bCs/>
                <w:szCs w:val="20"/>
              </w:rPr>
              <w:t>LGX 200</w:t>
            </w:r>
          </w:p>
        </w:tc>
        <w:tc>
          <w:tcPr>
            <w:tcW w:w="603" w:type="pct"/>
            <w:tcBorders>
              <w:top w:val="single" w:sz="4" w:space="0" w:color="auto"/>
              <w:left w:val="single" w:sz="4" w:space="0" w:color="auto"/>
              <w:bottom w:val="single" w:sz="4" w:space="0" w:color="auto"/>
              <w:right w:val="single" w:sz="4" w:space="0" w:color="auto"/>
            </w:tcBorders>
            <w:vAlign w:val="center"/>
          </w:tcPr>
          <w:p w14:paraId="359FC98D" w14:textId="1002C34E" w:rsidR="00B54381" w:rsidRPr="00616367" w:rsidRDefault="00B54381" w:rsidP="007360AC">
            <w:pPr>
              <w:pStyle w:val="Tabletext"/>
              <w:keepNext/>
              <w:keepLines/>
              <w:widowControl w:val="0"/>
              <w:jc w:val="center"/>
              <w:rPr>
                <w:szCs w:val="20"/>
              </w:rPr>
            </w:pPr>
            <w:r w:rsidRPr="00616367">
              <w:rPr>
                <w:szCs w:val="20"/>
              </w:rPr>
              <w:t>155/208</w:t>
            </w:r>
          </w:p>
        </w:tc>
        <w:tc>
          <w:tcPr>
            <w:tcW w:w="915" w:type="pct"/>
            <w:tcBorders>
              <w:top w:val="single" w:sz="4" w:space="0" w:color="auto"/>
              <w:left w:val="single" w:sz="4" w:space="0" w:color="auto"/>
              <w:bottom w:val="single" w:sz="4" w:space="0" w:color="auto"/>
              <w:right w:val="single" w:sz="4" w:space="0" w:color="auto"/>
            </w:tcBorders>
            <w:vAlign w:val="center"/>
          </w:tcPr>
          <w:p w14:paraId="09BFC048" w14:textId="239A674E" w:rsidR="00B54381" w:rsidRPr="00616367" w:rsidRDefault="00B54381" w:rsidP="007360AC">
            <w:pPr>
              <w:pStyle w:val="Tabletext"/>
              <w:keepNext/>
              <w:keepLines/>
              <w:widowControl w:val="0"/>
              <w:jc w:val="center"/>
              <w:rPr>
                <w:b/>
                <w:bCs/>
                <w:szCs w:val="20"/>
              </w:rPr>
            </w:pPr>
            <w:r w:rsidRPr="00616367">
              <w:rPr>
                <w:b/>
                <w:bCs/>
                <w:szCs w:val="20"/>
              </w:rPr>
              <w:t>6.</w:t>
            </w:r>
            <w:r w:rsidR="00156674" w:rsidRPr="00616367">
              <w:rPr>
                <w:b/>
                <w:bCs/>
                <w:szCs w:val="20"/>
              </w:rPr>
              <w:t>16</w:t>
            </w:r>
            <w:r w:rsidRPr="00616367">
              <w:rPr>
                <w:b/>
                <w:bCs/>
                <w:szCs w:val="20"/>
              </w:rPr>
              <w:t xml:space="preserve"> (4</w:t>
            </w:r>
            <w:r w:rsidR="00156674" w:rsidRPr="00616367">
              <w:rPr>
                <w:b/>
                <w:bCs/>
                <w:szCs w:val="20"/>
              </w:rPr>
              <w:t>.02</w:t>
            </w:r>
            <w:r w:rsidRPr="00616367">
              <w:rPr>
                <w:b/>
                <w:bCs/>
                <w:szCs w:val="20"/>
              </w:rPr>
              <w:t>, 9</w:t>
            </w:r>
            <w:r w:rsidR="00156674" w:rsidRPr="00616367">
              <w:rPr>
                <w:b/>
                <w:bCs/>
                <w:szCs w:val="20"/>
              </w:rPr>
              <w:t>.45</w:t>
            </w:r>
            <w:r w:rsidRPr="00616367">
              <w:rPr>
                <w:b/>
                <w:b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1C4048E0" w14:textId="29319F26" w:rsidR="00B54381" w:rsidRPr="00616367" w:rsidRDefault="00B54381" w:rsidP="007360AC">
            <w:pPr>
              <w:pStyle w:val="Tabletext"/>
              <w:keepNext/>
              <w:keepLines/>
              <w:widowControl w:val="0"/>
              <w:jc w:val="center"/>
              <w:rPr>
                <w:iCs/>
                <w:szCs w:val="20"/>
              </w:rPr>
            </w:pPr>
            <w:r w:rsidRPr="00616367">
              <w:rPr>
                <w:iCs/>
                <w:szCs w:val="20"/>
              </w:rPr>
              <w:t>74</w:t>
            </w:r>
          </w:p>
        </w:tc>
        <w:tc>
          <w:tcPr>
            <w:tcW w:w="474" w:type="pct"/>
            <w:vMerge/>
            <w:tcBorders>
              <w:left w:val="single" w:sz="4" w:space="0" w:color="auto"/>
              <w:right w:val="single" w:sz="4" w:space="0" w:color="auto"/>
            </w:tcBorders>
            <w:vAlign w:val="center"/>
          </w:tcPr>
          <w:p w14:paraId="69386E1F" w14:textId="1E51AAC7" w:rsidR="00B54381" w:rsidRPr="00616367" w:rsidRDefault="00B54381"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34E596AB" w14:textId="7B6D6BC2" w:rsidR="00B54381" w:rsidRPr="00616367" w:rsidRDefault="00F27EC9" w:rsidP="007360AC">
            <w:pPr>
              <w:pStyle w:val="Tabletext"/>
              <w:keepNext/>
              <w:keepLines/>
              <w:widowControl w:val="0"/>
              <w:jc w:val="center"/>
              <w:rPr>
                <w:szCs w:val="20"/>
              </w:rPr>
            </w:pPr>
            <w:r w:rsidRPr="00616367">
              <w:rPr>
                <w:b/>
                <w:szCs w:val="20"/>
              </w:rPr>
              <w:t>0.4</w:t>
            </w:r>
            <w:r w:rsidR="00156674" w:rsidRPr="00616367">
              <w:rPr>
                <w:b/>
                <w:szCs w:val="20"/>
              </w:rPr>
              <w:t>2</w:t>
            </w:r>
            <w:r w:rsidR="00B54381" w:rsidRPr="00616367">
              <w:rPr>
                <w:b/>
                <w:szCs w:val="20"/>
              </w:rPr>
              <w:t xml:space="preserve"> (</w:t>
            </w:r>
            <w:r w:rsidRPr="00616367">
              <w:rPr>
                <w:b/>
                <w:szCs w:val="20"/>
              </w:rPr>
              <w:t>0.3</w:t>
            </w:r>
            <w:r w:rsidR="00156674" w:rsidRPr="00616367">
              <w:rPr>
                <w:b/>
                <w:szCs w:val="20"/>
              </w:rPr>
              <w:t>4</w:t>
            </w:r>
            <w:r w:rsidR="00B54381" w:rsidRPr="00616367">
              <w:rPr>
                <w:b/>
                <w:szCs w:val="20"/>
              </w:rPr>
              <w:t xml:space="preserve">, </w:t>
            </w:r>
            <w:r w:rsidRPr="00616367">
              <w:rPr>
                <w:b/>
                <w:szCs w:val="20"/>
              </w:rPr>
              <w:t>0.</w:t>
            </w:r>
            <w:r w:rsidR="00B54381" w:rsidRPr="00616367">
              <w:rPr>
                <w:b/>
                <w:szCs w:val="20"/>
              </w:rPr>
              <w:t>5</w:t>
            </w:r>
            <w:r w:rsidR="00156674" w:rsidRPr="00616367">
              <w:rPr>
                <w:b/>
                <w:szCs w:val="20"/>
              </w:rPr>
              <w:t>1</w:t>
            </w:r>
            <w:r w:rsidR="00B54381" w:rsidRPr="00616367">
              <w:rPr>
                <w:b/>
                <w:szCs w:val="20"/>
              </w:rPr>
              <w:t>)</w:t>
            </w:r>
          </w:p>
        </w:tc>
      </w:tr>
      <w:tr w:rsidR="00207AED" w:rsidRPr="00616367" w14:paraId="5AA26C3C"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767585D7" w14:textId="084DB2AE" w:rsidR="00B54381" w:rsidRPr="00616367" w:rsidRDefault="00B54381" w:rsidP="007360AC">
            <w:pPr>
              <w:pStyle w:val="Tabletext"/>
              <w:keepNext/>
              <w:keepLines/>
              <w:widowControl w:val="0"/>
              <w:rPr>
                <w:szCs w:val="20"/>
              </w:rPr>
            </w:pPr>
            <w:r w:rsidRPr="00616367">
              <w:rPr>
                <w:b/>
                <w:bCs/>
                <w:szCs w:val="20"/>
              </w:rPr>
              <w:t>LGX 200 + ABT</w:t>
            </w:r>
          </w:p>
        </w:tc>
        <w:tc>
          <w:tcPr>
            <w:tcW w:w="603" w:type="pct"/>
            <w:tcBorders>
              <w:top w:val="single" w:sz="4" w:space="0" w:color="auto"/>
              <w:left w:val="single" w:sz="4" w:space="0" w:color="auto"/>
              <w:bottom w:val="single" w:sz="4" w:space="0" w:color="auto"/>
              <w:right w:val="single" w:sz="4" w:space="0" w:color="auto"/>
            </w:tcBorders>
            <w:vAlign w:val="center"/>
          </w:tcPr>
          <w:p w14:paraId="159C8EC8" w14:textId="5599CDE9" w:rsidR="00B54381" w:rsidRPr="00616367" w:rsidRDefault="00B54381" w:rsidP="007360AC">
            <w:pPr>
              <w:pStyle w:val="Tabletext"/>
              <w:keepNext/>
              <w:keepLines/>
              <w:widowControl w:val="0"/>
              <w:jc w:val="center"/>
              <w:rPr>
                <w:szCs w:val="20"/>
              </w:rPr>
            </w:pPr>
            <w:r w:rsidRPr="00616367">
              <w:rPr>
                <w:szCs w:val="20"/>
              </w:rPr>
              <w:t>169/200</w:t>
            </w:r>
          </w:p>
        </w:tc>
        <w:tc>
          <w:tcPr>
            <w:tcW w:w="915" w:type="pct"/>
            <w:tcBorders>
              <w:top w:val="single" w:sz="4" w:space="0" w:color="auto"/>
              <w:left w:val="single" w:sz="4" w:space="0" w:color="auto"/>
              <w:bottom w:val="single" w:sz="4" w:space="0" w:color="auto"/>
              <w:right w:val="single" w:sz="4" w:space="0" w:color="auto"/>
            </w:tcBorders>
            <w:vAlign w:val="center"/>
          </w:tcPr>
          <w:p w14:paraId="4E20E0EB" w14:textId="5D3950A5" w:rsidR="00B54381" w:rsidRPr="00616367" w:rsidRDefault="00B54381" w:rsidP="007360AC">
            <w:pPr>
              <w:pStyle w:val="Tabletext"/>
              <w:keepNext/>
              <w:keepLines/>
              <w:widowControl w:val="0"/>
              <w:jc w:val="center"/>
              <w:rPr>
                <w:b/>
                <w:bCs/>
                <w:szCs w:val="20"/>
              </w:rPr>
            </w:pPr>
            <w:r w:rsidRPr="00616367">
              <w:rPr>
                <w:b/>
                <w:bCs/>
                <w:szCs w:val="20"/>
              </w:rPr>
              <w:t>1</w:t>
            </w:r>
            <w:r w:rsidR="00156674" w:rsidRPr="00616367">
              <w:rPr>
                <w:b/>
                <w:bCs/>
                <w:szCs w:val="20"/>
              </w:rPr>
              <w:t>1.48</w:t>
            </w:r>
            <w:r w:rsidRPr="00616367">
              <w:rPr>
                <w:b/>
                <w:bCs/>
                <w:szCs w:val="20"/>
              </w:rPr>
              <w:t xml:space="preserve"> (7</w:t>
            </w:r>
            <w:r w:rsidR="00156674" w:rsidRPr="00616367">
              <w:rPr>
                <w:b/>
                <w:bCs/>
                <w:szCs w:val="20"/>
              </w:rPr>
              <w:t>.09</w:t>
            </w:r>
            <w:r w:rsidRPr="00616367">
              <w:rPr>
                <w:b/>
                <w:bCs/>
                <w:szCs w:val="20"/>
              </w:rPr>
              <w:t>, 1</w:t>
            </w:r>
            <w:r w:rsidR="00156674" w:rsidRPr="00616367">
              <w:rPr>
                <w:b/>
                <w:bCs/>
                <w:szCs w:val="20"/>
              </w:rPr>
              <w:t>8.6</w:t>
            </w:r>
            <w:r w:rsidRPr="00616367">
              <w:rPr>
                <w:b/>
                <w:b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5E6180F2" w14:textId="4AEE77DB" w:rsidR="00B54381" w:rsidRPr="00616367" w:rsidRDefault="00B54381" w:rsidP="007360AC">
            <w:pPr>
              <w:pStyle w:val="Tabletext"/>
              <w:keepNext/>
              <w:keepLines/>
              <w:widowControl w:val="0"/>
              <w:jc w:val="center"/>
              <w:rPr>
                <w:iCs/>
                <w:szCs w:val="20"/>
              </w:rPr>
            </w:pPr>
            <w:r w:rsidRPr="00616367">
              <w:rPr>
                <w:iCs/>
                <w:szCs w:val="20"/>
              </w:rPr>
              <w:t>84</w:t>
            </w:r>
          </w:p>
        </w:tc>
        <w:tc>
          <w:tcPr>
            <w:tcW w:w="474" w:type="pct"/>
            <w:vMerge/>
            <w:tcBorders>
              <w:left w:val="single" w:sz="4" w:space="0" w:color="auto"/>
              <w:bottom w:val="single" w:sz="4" w:space="0" w:color="auto"/>
              <w:right w:val="single" w:sz="4" w:space="0" w:color="auto"/>
            </w:tcBorders>
            <w:vAlign w:val="center"/>
          </w:tcPr>
          <w:p w14:paraId="5D9C9B21" w14:textId="7FF36A59" w:rsidR="00B54381" w:rsidRPr="00616367" w:rsidRDefault="00B54381"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5BF82B4F" w14:textId="59BE8DE0" w:rsidR="00B54381" w:rsidRPr="00616367" w:rsidRDefault="00F27EC9" w:rsidP="007360AC">
            <w:pPr>
              <w:pStyle w:val="Tabletext"/>
              <w:keepNext/>
              <w:keepLines/>
              <w:widowControl w:val="0"/>
              <w:jc w:val="center"/>
              <w:rPr>
                <w:szCs w:val="20"/>
              </w:rPr>
            </w:pPr>
            <w:r w:rsidRPr="00616367">
              <w:rPr>
                <w:b/>
                <w:szCs w:val="20"/>
              </w:rPr>
              <w:t>0.5</w:t>
            </w:r>
            <w:r w:rsidR="00156674" w:rsidRPr="00616367">
              <w:rPr>
                <w:b/>
                <w:szCs w:val="20"/>
              </w:rPr>
              <w:t>2</w:t>
            </w:r>
            <w:r w:rsidR="00B54381" w:rsidRPr="00616367">
              <w:rPr>
                <w:b/>
                <w:szCs w:val="20"/>
              </w:rPr>
              <w:t xml:space="preserve"> (</w:t>
            </w:r>
            <w:r w:rsidRPr="00616367">
              <w:rPr>
                <w:b/>
                <w:szCs w:val="20"/>
              </w:rPr>
              <w:t>0.</w:t>
            </w:r>
            <w:r w:rsidR="00B54381" w:rsidRPr="00616367">
              <w:rPr>
                <w:b/>
                <w:szCs w:val="20"/>
              </w:rPr>
              <w:t>4</w:t>
            </w:r>
            <w:r w:rsidR="00156674" w:rsidRPr="00616367">
              <w:rPr>
                <w:b/>
                <w:szCs w:val="20"/>
              </w:rPr>
              <w:t>4</w:t>
            </w:r>
            <w:r w:rsidR="00B54381" w:rsidRPr="00616367">
              <w:rPr>
                <w:b/>
                <w:szCs w:val="20"/>
              </w:rPr>
              <w:t xml:space="preserve">, </w:t>
            </w:r>
            <w:r w:rsidRPr="00616367">
              <w:rPr>
                <w:b/>
                <w:szCs w:val="20"/>
              </w:rPr>
              <w:t>0.</w:t>
            </w:r>
            <w:r w:rsidR="00B54381" w:rsidRPr="00616367">
              <w:rPr>
                <w:b/>
                <w:szCs w:val="20"/>
              </w:rPr>
              <w:t>6</w:t>
            </w:r>
            <w:r w:rsidR="00156674" w:rsidRPr="00616367">
              <w:rPr>
                <w:b/>
                <w:szCs w:val="20"/>
              </w:rPr>
              <w:t>0</w:t>
            </w:r>
            <w:r w:rsidR="00B54381" w:rsidRPr="00616367">
              <w:rPr>
                <w:b/>
                <w:szCs w:val="20"/>
              </w:rPr>
              <w:t>)</w:t>
            </w:r>
          </w:p>
        </w:tc>
      </w:tr>
      <w:tr w:rsidR="003B5E0E" w:rsidRPr="00482A36" w14:paraId="1B61628F" w14:textId="77777777" w:rsidTr="00CD1982">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B19301" w14:textId="2239D5AF" w:rsidR="003B5E0E" w:rsidRPr="00482A36" w:rsidRDefault="003B5E0E" w:rsidP="007360AC">
            <w:pPr>
              <w:pStyle w:val="Tabletext"/>
              <w:keepNext/>
              <w:keepLines/>
              <w:widowControl w:val="0"/>
              <w:rPr>
                <w:b/>
                <w:szCs w:val="20"/>
              </w:rPr>
            </w:pPr>
            <w:r w:rsidRPr="00482A36">
              <w:rPr>
                <w:b/>
                <w:szCs w:val="20"/>
              </w:rPr>
              <w:t>MBL response</w:t>
            </w:r>
            <w:r w:rsidR="00091231" w:rsidRPr="00091231">
              <w:rPr>
                <w:b/>
                <w:szCs w:val="20"/>
                <w:vertAlign w:val="superscript"/>
              </w:rPr>
              <w:t>*</w:t>
            </w:r>
            <w:r w:rsidRPr="00482A36">
              <w:rPr>
                <w:b/>
                <w:szCs w:val="20"/>
              </w:rPr>
              <w:t>, vs PBO (n=13, N=31)</w:t>
            </w:r>
            <w:r w:rsidR="00A1711A" w:rsidRPr="00482A36">
              <w:rPr>
                <w:b/>
                <w:szCs w:val="20"/>
              </w:rPr>
              <w:t>, at week 52</w:t>
            </w:r>
          </w:p>
        </w:tc>
      </w:tr>
      <w:tr w:rsidR="00E00DE6" w:rsidRPr="00616367" w14:paraId="29F5C1AA"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tcPr>
          <w:p w14:paraId="19DFB0D6" w14:textId="3EF94514" w:rsidR="003B5E0E" w:rsidRPr="00616367" w:rsidRDefault="003B5E0E" w:rsidP="007360AC">
            <w:pPr>
              <w:pStyle w:val="Tabletext"/>
              <w:keepNext/>
              <w:keepLines/>
              <w:widowControl w:val="0"/>
              <w:rPr>
                <w:b/>
                <w:szCs w:val="20"/>
              </w:rPr>
            </w:pPr>
            <w:r w:rsidRPr="00616367">
              <w:rPr>
                <w:b/>
                <w:bCs/>
                <w:szCs w:val="20"/>
              </w:rPr>
              <w:t>LGX 100</w:t>
            </w:r>
          </w:p>
        </w:tc>
        <w:tc>
          <w:tcPr>
            <w:tcW w:w="603" w:type="pct"/>
            <w:tcBorders>
              <w:top w:val="single" w:sz="4" w:space="0" w:color="auto"/>
              <w:left w:val="single" w:sz="4" w:space="0" w:color="auto"/>
              <w:bottom w:val="single" w:sz="4" w:space="0" w:color="auto"/>
              <w:right w:val="single" w:sz="4" w:space="0" w:color="auto"/>
            </w:tcBorders>
            <w:vAlign w:val="center"/>
          </w:tcPr>
          <w:p w14:paraId="358FCEFF" w14:textId="36BF83FC" w:rsidR="003B5E0E" w:rsidRPr="00616367" w:rsidRDefault="003B5E0E" w:rsidP="007360AC">
            <w:pPr>
              <w:pStyle w:val="Tabletext"/>
              <w:keepNext/>
              <w:keepLines/>
              <w:widowControl w:val="0"/>
              <w:jc w:val="center"/>
              <w:rPr>
                <w:iCs/>
                <w:szCs w:val="20"/>
              </w:rPr>
            </w:pPr>
            <w:r w:rsidRPr="00616367">
              <w:rPr>
                <w:iCs/>
                <w:szCs w:val="20"/>
              </w:rPr>
              <w:t>77/140</w:t>
            </w:r>
          </w:p>
        </w:tc>
        <w:tc>
          <w:tcPr>
            <w:tcW w:w="915" w:type="pct"/>
            <w:tcBorders>
              <w:top w:val="single" w:sz="4" w:space="0" w:color="auto"/>
              <w:left w:val="single" w:sz="4" w:space="0" w:color="auto"/>
              <w:bottom w:val="single" w:sz="4" w:space="0" w:color="auto"/>
              <w:right w:val="single" w:sz="4" w:space="0" w:color="auto"/>
            </w:tcBorders>
            <w:vAlign w:val="center"/>
          </w:tcPr>
          <w:p w14:paraId="6904CA86" w14:textId="428CC976" w:rsidR="003B5E0E" w:rsidRPr="00616367" w:rsidRDefault="003B5E0E" w:rsidP="007360AC">
            <w:pPr>
              <w:pStyle w:val="Tabletext"/>
              <w:keepNext/>
              <w:keepLines/>
              <w:widowControl w:val="0"/>
              <w:jc w:val="center"/>
              <w:rPr>
                <w:b/>
                <w:bCs/>
                <w:iCs/>
                <w:szCs w:val="20"/>
              </w:rPr>
            </w:pPr>
            <w:r w:rsidRPr="00616367">
              <w:rPr>
                <w:iCs/>
                <w:szCs w:val="20"/>
              </w:rPr>
              <w:t>1.</w:t>
            </w:r>
            <w:r w:rsidR="00B37645" w:rsidRPr="00616367">
              <w:rPr>
                <w:iCs/>
                <w:szCs w:val="20"/>
              </w:rPr>
              <w:t>69</w:t>
            </w:r>
            <w:r w:rsidRPr="00616367">
              <w:rPr>
                <w:iCs/>
                <w:szCs w:val="20"/>
              </w:rPr>
              <w:t xml:space="preserve"> (0.</w:t>
            </w:r>
            <w:r w:rsidR="00B37645" w:rsidRPr="00616367">
              <w:rPr>
                <w:iCs/>
                <w:szCs w:val="20"/>
              </w:rPr>
              <w:t>77</w:t>
            </w:r>
            <w:r w:rsidRPr="00616367">
              <w:rPr>
                <w:iCs/>
                <w:szCs w:val="20"/>
              </w:rPr>
              <w:t>, 3.7</w:t>
            </w:r>
            <w:r w:rsidR="00B37645" w:rsidRPr="00616367">
              <w:rPr>
                <w:iCs/>
                <w:szCs w:val="20"/>
              </w:rPr>
              <w:t>2</w:t>
            </w:r>
            <w:r w:rsidRPr="00616367">
              <w:rPr>
                <w:i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77DA783A" w14:textId="0A2AFA8B" w:rsidR="003B5E0E" w:rsidRPr="00616367" w:rsidRDefault="003B5E0E" w:rsidP="007360AC">
            <w:pPr>
              <w:pStyle w:val="Tabletext"/>
              <w:keepNext/>
              <w:keepLines/>
              <w:widowControl w:val="0"/>
              <w:jc w:val="center"/>
              <w:rPr>
                <w:iCs/>
                <w:szCs w:val="20"/>
              </w:rPr>
            </w:pPr>
            <w:r w:rsidRPr="00616367">
              <w:rPr>
                <w:iCs/>
                <w:szCs w:val="20"/>
              </w:rPr>
              <w:t>55</w:t>
            </w:r>
          </w:p>
        </w:tc>
        <w:tc>
          <w:tcPr>
            <w:tcW w:w="474" w:type="pct"/>
            <w:vMerge w:val="restart"/>
            <w:tcBorders>
              <w:left w:val="single" w:sz="4" w:space="0" w:color="auto"/>
              <w:right w:val="single" w:sz="4" w:space="0" w:color="auto"/>
            </w:tcBorders>
          </w:tcPr>
          <w:p w14:paraId="13434B73" w14:textId="52D29265" w:rsidR="003B5E0E" w:rsidRPr="00616367" w:rsidRDefault="003B5E0E" w:rsidP="007360AC">
            <w:pPr>
              <w:pStyle w:val="Tabletext"/>
              <w:keepNext/>
              <w:keepLines/>
              <w:widowControl w:val="0"/>
              <w:jc w:val="center"/>
              <w:rPr>
                <w:iCs/>
                <w:szCs w:val="20"/>
              </w:rPr>
            </w:pPr>
            <w:r w:rsidRPr="00616367">
              <w:rPr>
                <w:iCs/>
                <w:szCs w:val="20"/>
              </w:rPr>
              <w:t>42</w:t>
            </w:r>
          </w:p>
        </w:tc>
        <w:tc>
          <w:tcPr>
            <w:tcW w:w="913" w:type="pct"/>
            <w:tcBorders>
              <w:top w:val="single" w:sz="4" w:space="0" w:color="auto"/>
              <w:left w:val="single" w:sz="4" w:space="0" w:color="auto"/>
              <w:bottom w:val="single" w:sz="4" w:space="0" w:color="auto"/>
              <w:right w:val="single" w:sz="4" w:space="0" w:color="auto"/>
            </w:tcBorders>
            <w:vAlign w:val="center"/>
          </w:tcPr>
          <w:p w14:paraId="17B2305B" w14:textId="2E197DD3" w:rsidR="003B5E0E" w:rsidRPr="00616367" w:rsidRDefault="003B5E0E" w:rsidP="007360AC">
            <w:pPr>
              <w:pStyle w:val="Tabletext"/>
              <w:keepNext/>
              <w:keepLines/>
              <w:widowControl w:val="0"/>
              <w:jc w:val="center"/>
              <w:rPr>
                <w:b/>
                <w:iCs/>
                <w:szCs w:val="20"/>
              </w:rPr>
            </w:pPr>
            <w:r w:rsidRPr="00616367">
              <w:rPr>
                <w:iCs/>
                <w:szCs w:val="20"/>
              </w:rPr>
              <w:t>0.1</w:t>
            </w:r>
            <w:r w:rsidR="00156674" w:rsidRPr="00616367">
              <w:rPr>
                <w:iCs/>
                <w:szCs w:val="20"/>
              </w:rPr>
              <w:t>3</w:t>
            </w:r>
            <w:r w:rsidRPr="00616367">
              <w:rPr>
                <w:iCs/>
                <w:szCs w:val="20"/>
              </w:rPr>
              <w:t xml:space="preserve"> (-0.</w:t>
            </w:r>
            <w:r w:rsidR="00156674" w:rsidRPr="00616367">
              <w:rPr>
                <w:iCs/>
                <w:szCs w:val="20"/>
              </w:rPr>
              <w:t>06</w:t>
            </w:r>
            <w:r w:rsidRPr="00616367">
              <w:rPr>
                <w:iCs/>
                <w:szCs w:val="20"/>
              </w:rPr>
              <w:t>, 0.3</w:t>
            </w:r>
            <w:r w:rsidR="00156674" w:rsidRPr="00616367">
              <w:rPr>
                <w:iCs/>
                <w:szCs w:val="20"/>
              </w:rPr>
              <w:t>2</w:t>
            </w:r>
            <w:r w:rsidRPr="00616367">
              <w:rPr>
                <w:iCs/>
                <w:szCs w:val="20"/>
              </w:rPr>
              <w:t>)</w:t>
            </w:r>
          </w:p>
        </w:tc>
      </w:tr>
      <w:tr w:rsidR="00E00DE6" w:rsidRPr="00616367" w14:paraId="0694019B"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49E2D5A4" w14:textId="7BDBF198" w:rsidR="003B5E0E" w:rsidRPr="00616367" w:rsidRDefault="003B5E0E" w:rsidP="007360AC">
            <w:pPr>
              <w:pStyle w:val="Tabletext"/>
              <w:keepNext/>
              <w:keepLines/>
              <w:widowControl w:val="0"/>
              <w:rPr>
                <w:b/>
                <w:szCs w:val="20"/>
              </w:rPr>
            </w:pPr>
            <w:r w:rsidRPr="00616367">
              <w:rPr>
                <w:b/>
                <w:bCs/>
                <w:szCs w:val="20"/>
              </w:rPr>
              <w:t>LGX 100 + ABT</w:t>
            </w:r>
          </w:p>
        </w:tc>
        <w:tc>
          <w:tcPr>
            <w:tcW w:w="603" w:type="pct"/>
            <w:tcBorders>
              <w:top w:val="single" w:sz="4" w:space="0" w:color="auto"/>
              <w:left w:val="single" w:sz="4" w:space="0" w:color="auto"/>
              <w:bottom w:val="single" w:sz="4" w:space="0" w:color="auto"/>
              <w:right w:val="single" w:sz="4" w:space="0" w:color="auto"/>
            </w:tcBorders>
            <w:vAlign w:val="center"/>
          </w:tcPr>
          <w:p w14:paraId="1E2ADFBA" w14:textId="4200C0D5" w:rsidR="003B5E0E" w:rsidRPr="00616367" w:rsidRDefault="003B5E0E" w:rsidP="007360AC">
            <w:pPr>
              <w:pStyle w:val="Tabletext"/>
              <w:keepNext/>
              <w:keepLines/>
              <w:widowControl w:val="0"/>
              <w:jc w:val="center"/>
              <w:rPr>
                <w:iCs/>
                <w:szCs w:val="20"/>
              </w:rPr>
            </w:pPr>
            <w:r w:rsidRPr="00616367">
              <w:rPr>
                <w:iCs/>
                <w:szCs w:val="20"/>
              </w:rPr>
              <w:t>124/144</w:t>
            </w:r>
          </w:p>
        </w:tc>
        <w:tc>
          <w:tcPr>
            <w:tcW w:w="915" w:type="pct"/>
            <w:tcBorders>
              <w:top w:val="single" w:sz="4" w:space="0" w:color="auto"/>
              <w:left w:val="single" w:sz="4" w:space="0" w:color="auto"/>
              <w:bottom w:val="single" w:sz="4" w:space="0" w:color="auto"/>
              <w:right w:val="single" w:sz="4" w:space="0" w:color="auto"/>
            </w:tcBorders>
            <w:vAlign w:val="center"/>
          </w:tcPr>
          <w:p w14:paraId="6DD5B2AB" w14:textId="2856F0DD" w:rsidR="003B5E0E" w:rsidRPr="00616367" w:rsidRDefault="003B5E0E" w:rsidP="007360AC">
            <w:pPr>
              <w:pStyle w:val="Tabletext"/>
              <w:keepNext/>
              <w:keepLines/>
              <w:widowControl w:val="0"/>
              <w:jc w:val="center"/>
              <w:rPr>
                <w:b/>
                <w:bCs/>
                <w:iCs/>
                <w:szCs w:val="20"/>
              </w:rPr>
            </w:pPr>
            <w:r w:rsidRPr="00616367">
              <w:rPr>
                <w:b/>
                <w:bCs/>
                <w:iCs/>
                <w:szCs w:val="20"/>
              </w:rPr>
              <w:t>8.</w:t>
            </w:r>
            <w:r w:rsidR="00B37645" w:rsidRPr="00616367">
              <w:rPr>
                <w:b/>
                <w:bCs/>
                <w:iCs/>
                <w:szCs w:val="20"/>
              </w:rPr>
              <w:t>58</w:t>
            </w:r>
            <w:r w:rsidRPr="00616367">
              <w:rPr>
                <w:b/>
                <w:bCs/>
                <w:iCs/>
                <w:szCs w:val="20"/>
              </w:rPr>
              <w:t xml:space="preserve"> (3.6</w:t>
            </w:r>
            <w:r w:rsidR="00B37645" w:rsidRPr="00616367">
              <w:rPr>
                <w:b/>
                <w:bCs/>
                <w:iCs/>
                <w:szCs w:val="20"/>
              </w:rPr>
              <w:t>5</w:t>
            </w:r>
            <w:r w:rsidRPr="00616367">
              <w:rPr>
                <w:b/>
                <w:bCs/>
                <w:iCs/>
                <w:szCs w:val="20"/>
              </w:rPr>
              <w:t>, 20.2</w:t>
            </w:r>
            <w:r w:rsidR="00B37645" w:rsidRPr="00616367">
              <w:rPr>
                <w:b/>
                <w:bCs/>
                <w:iCs/>
                <w:szCs w:val="20"/>
              </w:rPr>
              <w:t>0</w:t>
            </w:r>
            <w:r w:rsidRPr="00616367">
              <w:rPr>
                <w:b/>
                <w:bCs/>
                <w:i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3A342AA1" w14:textId="2C97F8AF" w:rsidR="003B5E0E" w:rsidRPr="00616367" w:rsidRDefault="003B5E0E" w:rsidP="007360AC">
            <w:pPr>
              <w:pStyle w:val="Tabletext"/>
              <w:keepNext/>
              <w:keepLines/>
              <w:widowControl w:val="0"/>
              <w:jc w:val="center"/>
              <w:rPr>
                <w:iCs/>
                <w:szCs w:val="20"/>
              </w:rPr>
            </w:pPr>
            <w:r w:rsidRPr="00616367">
              <w:rPr>
                <w:iCs/>
                <w:szCs w:val="20"/>
              </w:rPr>
              <w:t>86</w:t>
            </w:r>
          </w:p>
        </w:tc>
        <w:tc>
          <w:tcPr>
            <w:tcW w:w="474" w:type="pct"/>
            <w:vMerge/>
            <w:tcBorders>
              <w:left w:val="single" w:sz="4" w:space="0" w:color="auto"/>
              <w:right w:val="single" w:sz="4" w:space="0" w:color="auto"/>
            </w:tcBorders>
            <w:vAlign w:val="center"/>
          </w:tcPr>
          <w:p w14:paraId="7E543A87" w14:textId="77777777" w:rsidR="003B5E0E" w:rsidRPr="00616367" w:rsidRDefault="003B5E0E"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0056374C" w14:textId="2A631F6F" w:rsidR="003B5E0E" w:rsidRPr="00616367" w:rsidRDefault="003B5E0E" w:rsidP="007360AC">
            <w:pPr>
              <w:pStyle w:val="Tabletext"/>
              <w:keepNext/>
              <w:keepLines/>
              <w:widowControl w:val="0"/>
              <w:jc w:val="center"/>
              <w:rPr>
                <w:b/>
                <w:bCs/>
                <w:iCs/>
                <w:szCs w:val="20"/>
              </w:rPr>
            </w:pPr>
            <w:r w:rsidRPr="00616367">
              <w:rPr>
                <w:b/>
                <w:bCs/>
                <w:iCs/>
                <w:szCs w:val="20"/>
              </w:rPr>
              <w:t>0.4</w:t>
            </w:r>
            <w:r w:rsidR="00B37645" w:rsidRPr="00616367">
              <w:rPr>
                <w:b/>
                <w:bCs/>
                <w:iCs/>
                <w:szCs w:val="20"/>
              </w:rPr>
              <w:t>4</w:t>
            </w:r>
            <w:r w:rsidRPr="00616367">
              <w:rPr>
                <w:b/>
                <w:bCs/>
                <w:iCs/>
                <w:szCs w:val="20"/>
              </w:rPr>
              <w:t xml:space="preserve"> (0.</w:t>
            </w:r>
            <w:r w:rsidR="00B37645" w:rsidRPr="00616367">
              <w:rPr>
                <w:b/>
                <w:bCs/>
                <w:iCs/>
                <w:szCs w:val="20"/>
              </w:rPr>
              <w:t>26</w:t>
            </w:r>
            <w:r w:rsidRPr="00616367">
              <w:rPr>
                <w:b/>
                <w:bCs/>
                <w:iCs/>
                <w:szCs w:val="20"/>
              </w:rPr>
              <w:t>, 0.6</w:t>
            </w:r>
            <w:r w:rsidR="00B37645" w:rsidRPr="00616367">
              <w:rPr>
                <w:b/>
                <w:bCs/>
                <w:iCs/>
                <w:szCs w:val="20"/>
              </w:rPr>
              <w:t>2</w:t>
            </w:r>
            <w:r w:rsidRPr="00616367">
              <w:rPr>
                <w:b/>
                <w:bCs/>
                <w:iCs/>
                <w:szCs w:val="20"/>
              </w:rPr>
              <w:t>)</w:t>
            </w:r>
          </w:p>
        </w:tc>
      </w:tr>
      <w:tr w:rsidR="00E00DE6" w:rsidRPr="00616367" w14:paraId="3CA27734"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4A83880C" w14:textId="69D1DF19" w:rsidR="003B5E0E" w:rsidRPr="00616367" w:rsidRDefault="003B5E0E" w:rsidP="007360AC">
            <w:pPr>
              <w:pStyle w:val="Tabletext"/>
              <w:keepNext/>
              <w:keepLines/>
              <w:widowControl w:val="0"/>
              <w:rPr>
                <w:b/>
                <w:bCs/>
                <w:szCs w:val="20"/>
              </w:rPr>
            </w:pPr>
            <w:r w:rsidRPr="00616367">
              <w:rPr>
                <w:b/>
                <w:bCs/>
                <w:szCs w:val="20"/>
              </w:rPr>
              <w:t>LGX 200→LGX 200 + ABT</w:t>
            </w:r>
          </w:p>
        </w:tc>
        <w:tc>
          <w:tcPr>
            <w:tcW w:w="603" w:type="pct"/>
            <w:tcBorders>
              <w:top w:val="single" w:sz="4" w:space="0" w:color="auto"/>
              <w:left w:val="single" w:sz="4" w:space="0" w:color="auto"/>
              <w:bottom w:val="single" w:sz="4" w:space="0" w:color="auto"/>
              <w:right w:val="single" w:sz="4" w:space="0" w:color="auto"/>
            </w:tcBorders>
            <w:vAlign w:val="center"/>
          </w:tcPr>
          <w:p w14:paraId="33070702" w14:textId="5691D788" w:rsidR="003B5E0E" w:rsidRPr="00616367" w:rsidRDefault="003B5E0E" w:rsidP="007360AC">
            <w:pPr>
              <w:pStyle w:val="Tabletext"/>
              <w:keepNext/>
              <w:keepLines/>
              <w:widowControl w:val="0"/>
              <w:jc w:val="center"/>
              <w:rPr>
                <w:iCs/>
                <w:szCs w:val="20"/>
              </w:rPr>
            </w:pPr>
            <w:r w:rsidRPr="00616367">
              <w:rPr>
                <w:iCs/>
                <w:szCs w:val="20"/>
              </w:rPr>
              <w:t>125/163</w:t>
            </w:r>
          </w:p>
        </w:tc>
        <w:tc>
          <w:tcPr>
            <w:tcW w:w="915" w:type="pct"/>
            <w:tcBorders>
              <w:top w:val="single" w:sz="4" w:space="0" w:color="auto"/>
              <w:left w:val="single" w:sz="4" w:space="0" w:color="auto"/>
              <w:bottom w:val="single" w:sz="4" w:space="0" w:color="auto"/>
              <w:right w:val="single" w:sz="4" w:space="0" w:color="auto"/>
            </w:tcBorders>
            <w:vAlign w:val="center"/>
          </w:tcPr>
          <w:p w14:paraId="2FA4989E" w14:textId="37B9B44D" w:rsidR="003B5E0E" w:rsidRPr="00616367" w:rsidRDefault="003B5E0E" w:rsidP="007360AC">
            <w:pPr>
              <w:pStyle w:val="Tabletext"/>
              <w:keepNext/>
              <w:keepLines/>
              <w:widowControl w:val="0"/>
              <w:jc w:val="center"/>
              <w:rPr>
                <w:b/>
                <w:bCs/>
                <w:iCs/>
                <w:szCs w:val="20"/>
              </w:rPr>
            </w:pPr>
            <w:r w:rsidRPr="00616367">
              <w:rPr>
                <w:b/>
                <w:bCs/>
                <w:iCs/>
                <w:szCs w:val="20"/>
              </w:rPr>
              <w:t>4.</w:t>
            </w:r>
            <w:r w:rsidR="00B37645" w:rsidRPr="00616367">
              <w:rPr>
                <w:b/>
                <w:bCs/>
                <w:iCs/>
                <w:szCs w:val="20"/>
              </w:rPr>
              <w:t>55</w:t>
            </w:r>
            <w:r w:rsidRPr="00616367">
              <w:rPr>
                <w:b/>
                <w:bCs/>
                <w:iCs/>
                <w:szCs w:val="20"/>
              </w:rPr>
              <w:t xml:space="preserve"> (2.0</w:t>
            </w:r>
            <w:r w:rsidR="00B37645" w:rsidRPr="00616367">
              <w:rPr>
                <w:b/>
                <w:bCs/>
                <w:iCs/>
                <w:szCs w:val="20"/>
              </w:rPr>
              <w:t>5</w:t>
            </w:r>
            <w:r w:rsidRPr="00616367">
              <w:rPr>
                <w:b/>
                <w:bCs/>
                <w:iCs/>
                <w:szCs w:val="20"/>
              </w:rPr>
              <w:t>, 10.1</w:t>
            </w:r>
            <w:r w:rsidR="00B37645" w:rsidRPr="00616367">
              <w:rPr>
                <w:b/>
                <w:bCs/>
                <w:iCs/>
                <w:szCs w:val="20"/>
              </w:rPr>
              <w:t>4</w:t>
            </w:r>
            <w:r w:rsidRPr="00616367">
              <w:rPr>
                <w:b/>
                <w:bCs/>
                <w:i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587FA469" w14:textId="7E62C307" w:rsidR="003B5E0E" w:rsidRPr="00616367" w:rsidRDefault="003B5E0E" w:rsidP="007360AC">
            <w:pPr>
              <w:pStyle w:val="Tabletext"/>
              <w:keepNext/>
              <w:keepLines/>
              <w:widowControl w:val="0"/>
              <w:jc w:val="center"/>
              <w:rPr>
                <w:iCs/>
                <w:szCs w:val="20"/>
              </w:rPr>
            </w:pPr>
            <w:r w:rsidRPr="00616367">
              <w:rPr>
                <w:iCs/>
                <w:szCs w:val="20"/>
              </w:rPr>
              <w:t>77</w:t>
            </w:r>
          </w:p>
        </w:tc>
        <w:tc>
          <w:tcPr>
            <w:tcW w:w="474" w:type="pct"/>
            <w:vMerge/>
            <w:tcBorders>
              <w:left w:val="single" w:sz="4" w:space="0" w:color="auto"/>
              <w:right w:val="single" w:sz="4" w:space="0" w:color="auto"/>
            </w:tcBorders>
            <w:vAlign w:val="center"/>
          </w:tcPr>
          <w:p w14:paraId="33D34722" w14:textId="77777777" w:rsidR="003B5E0E" w:rsidRPr="00616367" w:rsidRDefault="003B5E0E"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4B5CA7E9" w14:textId="3541ACB5" w:rsidR="003B5E0E" w:rsidRPr="00616367" w:rsidRDefault="003B5E0E" w:rsidP="007360AC">
            <w:pPr>
              <w:pStyle w:val="Tabletext"/>
              <w:keepNext/>
              <w:keepLines/>
              <w:widowControl w:val="0"/>
              <w:jc w:val="center"/>
              <w:rPr>
                <w:b/>
                <w:bCs/>
                <w:iCs/>
                <w:szCs w:val="20"/>
              </w:rPr>
            </w:pPr>
            <w:r w:rsidRPr="00616367">
              <w:rPr>
                <w:b/>
                <w:bCs/>
                <w:iCs/>
                <w:szCs w:val="20"/>
              </w:rPr>
              <w:t>0.</w:t>
            </w:r>
            <w:r w:rsidR="00B37645" w:rsidRPr="00616367">
              <w:rPr>
                <w:b/>
                <w:bCs/>
                <w:iCs/>
                <w:szCs w:val="20"/>
              </w:rPr>
              <w:t>35</w:t>
            </w:r>
            <w:r w:rsidRPr="00616367">
              <w:rPr>
                <w:b/>
                <w:bCs/>
                <w:iCs/>
                <w:szCs w:val="20"/>
              </w:rPr>
              <w:t xml:space="preserve"> (0.</w:t>
            </w:r>
            <w:r w:rsidR="00B37645" w:rsidRPr="00616367">
              <w:rPr>
                <w:b/>
                <w:bCs/>
                <w:iCs/>
                <w:szCs w:val="20"/>
              </w:rPr>
              <w:t>16</w:t>
            </w:r>
            <w:r w:rsidRPr="00616367">
              <w:rPr>
                <w:b/>
                <w:bCs/>
                <w:iCs/>
                <w:szCs w:val="20"/>
              </w:rPr>
              <w:t>, 0.5</w:t>
            </w:r>
            <w:r w:rsidR="00B37645" w:rsidRPr="00616367">
              <w:rPr>
                <w:b/>
                <w:bCs/>
                <w:iCs/>
                <w:szCs w:val="20"/>
              </w:rPr>
              <w:t>3</w:t>
            </w:r>
            <w:r w:rsidRPr="00616367">
              <w:rPr>
                <w:b/>
                <w:bCs/>
                <w:iCs/>
                <w:szCs w:val="20"/>
              </w:rPr>
              <w:t>)</w:t>
            </w:r>
          </w:p>
        </w:tc>
      </w:tr>
      <w:tr w:rsidR="00E00DE6" w:rsidRPr="00616367" w14:paraId="3ABBEE98" w14:textId="77777777" w:rsidTr="006D3D30">
        <w:trPr>
          <w:cantSplit/>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1D88DD50" w14:textId="35FBA84A" w:rsidR="003B5E0E" w:rsidRPr="00616367" w:rsidRDefault="003B5E0E" w:rsidP="007360AC">
            <w:pPr>
              <w:pStyle w:val="Tabletext"/>
              <w:keepNext/>
              <w:keepLines/>
              <w:widowControl w:val="0"/>
              <w:rPr>
                <w:b/>
                <w:szCs w:val="20"/>
              </w:rPr>
            </w:pPr>
            <w:r w:rsidRPr="00616367">
              <w:rPr>
                <w:b/>
                <w:bCs/>
                <w:szCs w:val="20"/>
              </w:rPr>
              <w:t>LGX 200 + ABT</w:t>
            </w:r>
          </w:p>
        </w:tc>
        <w:tc>
          <w:tcPr>
            <w:tcW w:w="603" w:type="pct"/>
            <w:tcBorders>
              <w:top w:val="single" w:sz="4" w:space="0" w:color="auto"/>
              <w:left w:val="single" w:sz="4" w:space="0" w:color="auto"/>
              <w:bottom w:val="single" w:sz="4" w:space="0" w:color="auto"/>
              <w:right w:val="single" w:sz="4" w:space="0" w:color="auto"/>
            </w:tcBorders>
            <w:vAlign w:val="center"/>
          </w:tcPr>
          <w:p w14:paraId="269F00E2" w14:textId="64523125" w:rsidR="003B5E0E" w:rsidRPr="00616367" w:rsidRDefault="003B5E0E" w:rsidP="007360AC">
            <w:pPr>
              <w:pStyle w:val="Tabletext"/>
              <w:keepNext/>
              <w:keepLines/>
              <w:widowControl w:val="0"/>
              <w:jc w:val="center"/>
              <w:rPr>
                <w:iCs/>
                <w:szCs w:val="20"/>
              </w:rPr>
            </w:pPr>
            <w:r w:rsidRPr="00616367">
              <w:rPr>
                <w:iCs/>
                <w:szCs w:val="20"/>
              </w:rPr>
              <w:t>134/149</w:t>
            </w:r>
          </w:p>
        </w:tc>
        <w:tc>
          <w:tcPr>
            <w:tcW w:w="915" w:type="pct"/>
            <w:tcBorders>
              <w:top w:val="single" w:sz="4" w:space="0" w:color="auto"/>
              <w:left w:val="single" w:sz="4" w:space="0" w:color="auto"/>
              <w:bottom w:val="single" w:sz="4" w:space="0" w:color="auto"/>
              <w:right w:val="single" w:sz="4" w:space="0" w:color="auto"/>
            </w:tcBorders>
            <w:vAlign w:val="center"/>
          </w:tcPr>
          <w:p w14:paraId="3CF1A822" w14:textId="0409497D" w:rsidR="003B5E0E" w:rsidRPr="00616367" w:rsidRDefault="003B5E0E" w:rsidP="007360AC">
            <w:pPr>
              <w:pStyle w:val="Tabletext"/>
              <w:keepNext/>
              <w:keepLines/>
              <w:widowControl w:val="0"/>
              <w:jc w:val="center"/>
              <w:rPr>
                <w:b/>
                <w:bCs/>
                <w:iCs/>
                <w:szCs w:val="20"/>
              </w:rPr>
            </w:pPr>
            <w:r w:rsidRPr="00616367">
              <w:rPr>
                <w:b/>
                <w:bCs/>
                <w:iCs/>
                <w:szCs w:val="20"/>
              </w:rPr>
              <w:t>12.</w:t>
            </w:r>
            <w:r w:rsidR="00B37645" w:rsidRPr="00616367">
              <w:rPr>
                <w:b/>
                <w:bCs/>
                <w:iCs/>
                <w:szCs w:val="20"/>
              </w:rPr>
              <w:t>37</w:t>
            </w:r>
            <w:r w:rsidRPr="00616367">
              <w:rPr>
                <w:b/>
                <w:bCs/>
                <w:iCs/>
                <w:szCs w:val="20"/>
              </w:rPr>
              <w:t xml:space="preserve"> (5.</w:t>
            </w:r>
            <w:r w:rsidR="00B37645" w:rsidRPr="00616367">
              <w:rPr>
                <w:b/>
                <w:bCs/>
                <w:iCs/>
                <w:szCs w:val="20"/>
              </w:rPr>
              <w:t>08</w:t>
            </w:r>
            <w:r w:rsidRPr="00616367">
              <w:rPr>
                <w:b/>
                <w:bCs/>
                <w:iCs/>
                <w:szCs w:val="20"/>
              </w:rPr>
              <w:t>, 30.1</w:t>
            </w:r>
            <w:r w:rsidR="00B37645" w:rsidRPr="00616367">
              <w:rPr>
                <w:b/>
                <w:bCs/>
                <w:iCs/>
                <w:szCs w:val="20"/>
              </w:rPr>
              <w:t>5</w:t>
            </w:r>
            <w:r w:rsidRPr="00616367">
              <w:rPr>
                <w:b/>
                <w:bCs/>
                <w:iCs/>
                <w:szCs w:val="20"/>
              </w:rPr>
              <w:t>)</w:t>
            </w:r>
          </w:p>
        </w:tc>
        <w:tc>
          <w:tcPr>
            <w:tcW w:w="708" w:type="pct"/>
            <w:tcBorders>
              <w:top w:val="single" w:sz="4" w:space="0" w:color="auto"/>
              <w:left w:val="single" w:sz="4" w:space="0" w:color="auto"/>
              <w:bottom w:val="single" w:sz="4" w:space="0" w:color="auto"/>
              <w:right w:val="single" w:sz="4" w:space="0" w:color="auto"/>
            </w:tcBorders>
            <w:vAlign w:val="center"/>
          </w:tcPr>
          <w:p w14:paraId="1DCBE583" w14:textId="2606F9B9" w:rsidR="003B5E0E" w:rsidRPr="00616367" w:rsidRDefault="003B5E0E" w:rsidP="007360AC">
            <w:pPr>
              <w:pStyle w:val="Tabletext"/>
              <w:keepNext/>
              <w:keepLines/>
              <w:widowControl w:val="0"/>
              <w:jc w:val="center"/>
              <w:rPr>
                <w:iCs/>
                <w:szCs w:val="20"/>
              </w:rPr>
            </w:pPr>
            <w:r w:rsidRPr="00616367">
              <w:rPr>
                <w:iCs/>
                <w:szCs w:val="20"/>
              </w:rPr>
              <w:t>90</w:t>
            </w:r>
          </w:p>
        </w:tc>
        <w:tc>
          <w:tcPr>
            <w:tcW w:w="474" w:type="pct"/>
            <w:vMerge/>
            <w:tcBorders>
              <w:left w:val="single" w:sz="4" w:space="0" w:color="auto"/>
              <w:right w:val="single" w:sz="4" w:space="0" w:color="auto"/>
            </w:tcBorders>
            <w:vAlign w:val="center"/>
          </w:tcPr>
          <w:p w14:paraId="32309F2B" w14:textId="77777777" w:rsidR="003B5E0E" w:rsidRPr="00616367" w:rsidRDefault="003B5E0E" w:rsidP="007360AC">
            <w:pPr>
              <w:pStyle w:val="Tabletext"/>
              <w:keepNext/>
              <w:keepLines/>
              <w:widowControl w:val="0"/>
              <w:jc w:val="center"/>
              <w:rPr>
                <w:i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0E570087" w14:textId="1A59FCF4" w:rsidR="003B5E0E" w:rsidRPr="00616367" w:rsidRDefault="003B5E0E" w:rsidP="007360AC">
            <w:pPr>
              <w:pStyle w:val="Tabletext"/>
              <w:keepNext/>
              <w:keepLines/>
              <w:widowControl w:val="0"/>
              <w:jc w:val="center"/>
              <w:rPr>
                <w:b/>
                <w:bCs/>
                <w:iCs/>
                <w:szCs w:val="20"/>
              </w:rPr>
            </w:pPr>
            <w:r w:rsidRPr="00616367">
              <w:rPr>
                <w:b/>
                <w:bCs/>
                <w:iCs/>
                <w:szCs w:val="20"/>
              </w:rPr>
              <w:t>0.</w:t>
            </w:r>
            <w:r w:rsidR="00B37645" w:rsidRPr="00616367">
              <w:rPr>
                <w:b/>
                <w:bCs/>
                <w:iCs/>
                <w:szCs w:val="20"/>
              </w:rPr>
              <w:t>48</w:t>
            </w:r>
            <w:r w:rsidRPr="00616367">
              <w:rPr>
                <w:b/>
                <w:bCs/>
                <w:iCs/>
                <w:szCs w:val="20"/>
              </w:rPr>
              <w:t xml:space="preserve"> (0.3</w:t>
            </w:r>
            <w:r w:rsidR="00B37645" w:rsidRPr="00616367">
              <w:rPr>
                <w:b/>
                <w:bCs/>
                <w:iCs/>
                <w:szCs w:val="20"/>
              </w:rPr>
              <w:t>0</w:t>
            </w:r>
            <w:r w:rsidRPr="00616367">
              <w:rPr>
                <w:b/>
                <w:bCs/>
                <w:iCs/>
                <w:szCs w:val="20"/>
              </w:rPr>
              <w:t>, 0.</w:t>
            </w:r>
            <w:r w:rsidR="00B37645" w:rsidRPr="00616367">
              <w:rPr>
                <w:b/>
                <w:bCs/>
                <w:iCs/>
                <w:szCs w:val="20"/>
              </w:rPr>
              <w:t>66</w:t>
            </w:r>
            <w:r w:rsidRPr="00616367">
              <w:rPr>
                <w:b/>
                <w:bCs/>
                <w:iCs/>
                <w:szCs w:val="20"/>
              </w:rPr>
              <w:t>)</w:t>
            </w:r>
          </w:p>
        </w:tc>
      </w:tr>
      <w:tr w:rsidR="003B5E0E" w:rsidRPr="00482A36" w14:paraId="5FC0A666" w14:textId="77777777" w:rsidTr="00CD1982">
        <w:trPr>
          <w:trHeight w:val="20"/>
        </w:trPr>
        <w:tc>
          <w:tcPr>
            <w:tcW w:w="5000" w:type="pct"/>
            <w:gridSpan w:val="6"/>
            <w:tcBorders>
              <w:top w:val="double" w:sz="4" w:space="0" w:color="auto"/>
              <w:left w:val="single" w:sz="4" w:space="0" w:color="auto"/>
              <w:bottom w:val="single" w:sz="4" w:space="0" w:color="auto"/>
              <w:right w:val="single" w:sz="4" w:space="0" w:color="auto"/>
            </w:tcBorders>
            <w:shd w:val="clear" w:color="auto" w:fill="auto"/>
            <w:vAlign w:val="center"/>
          </w:tcPr>
          <w:p w14:paraId="5D429E52" w14:textId="17065DA8" w:rsidR="003B5E0E" w:rsidRPr="00482A36" w:rsidRDefault="00A1711A" w:rsidP="007360AC">
            <w:pPr>
              <w:pStyle w:val="Tabletext"/>
              <w:keepNext/>
              <w:keepLines/>
              <w:widowControl w:val="0"/>
              <w:rPr>
                <w:b/>
                <w:bCs/>
                <w:szCs w:val="20"/>
              </w:rPr>
            </w:pPr>
            <w:r w:rsidRPr="00482A36">
              <w:rPr>
                <w:b/>
                <w:bCs/>
                <w:szCs w:val="20"/>
              </w:rPr>
              <w:t>Harms (</w:t>
            </w:r>
            <w:r w:rsidR="00690D83" w:rsidRPr="00482A36">
              <w:rPr>
                <w:b/>
                <w:bCs/>
                <w:szCs w:val="20"/>
              </w:rPr>
              <w:t>SAF</w:t>
            </w:r>
            <w:r w:rsidRPr="00482A36">
              <w:rPr>
                <w:b/>
                <w:bCs/>
                <w:szCs w:val="20"/>
              </w:rPr>
              <w:t>, pooled PRIMROSE 1 and 2)</w:t>
            </w:r>
          </w:p>
        </w:tc>
      </w:tr>
      <w:tr w:rsidR="00B37645" w:rsidRPr="00482A36" w14:paraId="285CCFFA" w14:textId="77777777" w:rsidTr="006D3D30">
        <w:trPr>
          <w:trHeight w:val="20"/>
        </w:trPr>
        <w:tc>
          <w:tcPr>
            <w:tcW w:w="1387" w:type="pct"/>
            <w:vMerge w:val="restart"/>
            <w:tcBorders>
              <w:top w:val="single" w:sz="4" w:space="0" w:color="auto"/>
              <w:left w:val="single" w:sz="4" w:space="0" w:color="auto"/>
              <w:right w:val="single" w:sz="4" w:space="0" w:color="auto"/>
            </w:tcBorders>
            <w:shd w:val="clear" w:color="auto" w:fill="auto"/>
            <w:vAlign w:val="center"/>
          </w:tcPr>
          <w:p w14:paraId="724FF8B5" w14:textId="0D3CF38A" w:rsidR="00B37645" w:rsidRPr="00482A36" w:rsidRDefault="00B37645" w:rsidP="007360AC">
            <w:pPr>
              <w:pStyle w:val="Tabletext"/>
              <w:keepNext/>
              <w:keepLines/>
              <w:widowControl w:val="0"/>
              <w:jc w:val="center"/>
              <w:rPr>
                <w:b/>
                <w:szCs w:val="20"/>
              </w:rPr>
            </w:pPr>
            <w:r w:rsidRPr="00482A36">
              <w:rPr>
                <w:b/>
                <w:szCs w:val="20"/>
              </w:rPr>
              <w:t>TEAEs</w:t>
            </w:r>
          </w:p>
        </w:tc>
        <w:tc>
          <w:tcPr>
            <w:tcW w:w="603" w:type="pct"/>
            <w:vMerge w:val="restart"/>
            <w:tcBorders>
              <w:top w:val="single" w:sz="4" w:space="0" w:color="auto"/>
              <w:left w:val="single" w:sz="4" w:space="0" w:color="auto"/>
              <w:right w:val="single" w:sz="4" w:space="0" w:color="auto"/>
            </w:tcBorders>
            <w:vAlign w:val="center"/>
          </w:tcPr>
          <w:p w14:paraId="01052B4C" w14:textId="454A5F46" w:rsidR="00B37645" w:rsidRPr="00482A36" w:rsidRDefault="00B37645" w:rsidP="007360AC">
            <w:pPr>
              <w:pStyle w:val="Tabletext"/>
              <w:keepNext/>
              <w:keepLines/>
              <w:widowControl w:val="0"/>
              <w:jc w:val="center"/>
              <w:rPr>
                <w:b/>
                <w:szCs w:val="20"/>
              </w:rPr>
            </w:pPr>
            <w:r w:rsidRPr="00482A36">
              <w:rPr>
                <w:b/>
                <w:szCs w:val="20"/>
              </w:rPr>
              <w:t>n/N</w:t>
            </w:r>
          </w:p>
        </w:tc>
        <w:tc>
          <w:tcPr>
            <w:tcW w:w="915" w:type="pct"/>
            <w:vMerge w:val="restart"/>
            <w:tcBorders>
              <w:top w:val="single" w:sz="4" w:space="0" w:color="auto"/>
              <w:left w:val="single" w:sz="4" w:space="0" w:color="auto"/>
              <w:right w:val="single" w:sz="4" w:space="0" w:color="auto"/>
            </w:tcBorders>
            <w:vAlign w:val="center"/>
          </w:tcPr>
          <w:p w14:paraId="3E5AB9AF" w14:textId="36984C74" w:rsidR="00B37645" w:rsidRPr="00482A36" w:rsidRDefault="00B37645" w:rsidP="007360AC">
            <w:pPr>
              <w:pStyle w:val="Tabletext"/>
              <w:keepNext/>
              <w:keepLines/>
              <w:widowControl w:val="0"/>
              <w:jc w:val="center"/>
              <w:rPr>
                <w:b/>
                <w:szCs w:val="20"/>
              </w:rPr>
            </w:pPr>
            <w:r w:rsidRPr="00482A36">
              <w:rPr>
                <w:b/>
                <w:szCs w:val="20"/>
              </w:rPr>
              <w:t>OR</w:t>
            </w:r>
            <w:r w:rsidR="00091231" w:rsidRPr="00091231">
              <w:rPr>
                <w:b/>
                <w:bCs/>
                <w:szCs w:val="20"/>
                <w:vertAlign w:val="superscript"/>
              </w:rPr>
              <w:t>^</w:t>
            </w:r>
            <w:r w:rsidRPr="00482A36">
              <w:rPr>
                <w:b/>
                <w:szCs w:val="20"/>
              </w:rPr>
              <w:t xml:space="preserve"> (95% CI)</w:t>
            </w:r>
          </w:p>
        </w:tc>
        <w:tc>
          <w:tcPr>
            <w:tcW w:w="1182" w:type="pct"/>
            <w:gridSpan w:val="2"/>
            <w:tcBorders>
              <w:top w:val="single" w:sz="4" w:space="0" w:color="auto"/>
              <w:left w:val="single" w:sz="4" w:space="0" w:color="auto"/>
              <w:bottom w:val="single" w:sz="4" w:space="0" w:color="auto"/>
              <w:right w:val="single" w:sz="4" w:space="0" w:color="auto"/>
            </w:tcBorders>
            <w:vAlign w:val="center"/>
          </w:tcPr>
          <w:p w14:paraId="39923575" w14:textId="5566FF7E" w:rsidR="00B37645" w:rsidRPr="00482A36" w:rsidRDefault="00B37645" w:rsidP="007360AC">
            <w:pPr>
              <w:pStyle w:val="Tabletext"/>
              <w:keepNext/>
              <w:keepLines/>
              <w:widowControl w:val="0"/>
              <w:jc w:val="center"/>
              <w:rPr>
                <w:b/>
                <w:szCs w:val="20"/>
              </w:rPr>
            </w:pPr>
            <w:r w:rsidRPr="00482A36">
              <w:rPr>
                <w:b/>
                <w:szCs w:val="20"/>
              </w:rPr>
              <w:t>Event rate/100 patients</w:t>
            </w:r>
          </w:p>
        </w:tc>
        <w:tc>
          <w:tcPr>
            <w:tcW w:w="913" w:type="pct"/>
            <w:vMerge w:val="restart"/>
            <w:tcBorders>
              <w:top w:val="single" w:sz="4" w:space="0" w:color="auto"/>
              <w:left w:val="single" w:sz="4" w:space="0" w:color="auto"/>
              <w:right w:val="single" w:sz="4" w:space="0" w:color="auto"/>
            </w:tcBorders>
            <w:vAlign w:val="center"/>
          </w:tcPr>
          <w:p w14:paraId="3919A85D" w14:textId="0DBF010C" w:rsidR="00B37645" w:rsidRPr="00482A36" w:rsidRDefault="00B37645" w:rsidP="007360AC">
            <w:pPr>
              <w:pStyle w:val="Tabletext"/>
              <w:keepNext/>
              <w:keepLines/>
              <w:widowControl w:val="0"/>
              <w:jc w:val="center"/>
              <w:rPr>
                <w:b/>
                <w:bCs/>
                <w:szCs w:val="20"/>
              </w:rPr>
            </w:pPr>
            <w:r w:rsidRPr="00482A36">
              <w:rPr>
                <w:b/>
                <w:bCs/>
                <w:szCs w:val="20"/>
              </w:rPr>
              <w:t>RD</w:t>
            </w:r>
            <w:r w:rsidR="00CD1982" w:rsidRPr="00091231">
              <w:rPr>
                <w:b/>
                <w:bCs/>
                <w:szCs w:val="20"/>
                <w:vertAlign w:val="superscript"/>
              </w:rPr>
              <w:t>^</w:t>
            </w:r>
            <w:r w:rsidRPr="00482A36">
              <w:rPr>
                <w:b/>
                <w:bCs/>
                <w:szCs w:val="20"/>
              </w:rPr>
              <w:t xml:space="preserve"> (95% CI)</w:t>
            </w:r>
          </w:p>
        </w:tc>
      </w:tr>
      <w:tr w:rsidR="00B37645" w:rsidRPr="00482A36" w14:paraId="2629033B" w14:textId="77777777" w:rsidTr="006D3D30">
        <w:trPr>
          <w:trHeight w:val="20"/>
        </w:trPr>
        <w:tc>
          <w:tcPr>
            <w:tcW w:w="1387" w:type="pct"/>
            <w:vMerge/>
            <w:tcBorders>
              <w:left w:val="single" w:sz="4" w:space="0" w:color="auto"/>
              <w:bottom w:val="single" w:sz="4" w:space="0" w:color="auto"/>
              <w:right w:val="single" w:sz="4" w:space="0" w:color="auto"/>
            </w:tcBorders>
            <w:shd w:val="clear" w:color="auto" w:fill="auto"/>
            <w:vAlign w:val="center"/>
          </w:tcPr>
          <w:p w14:paraId="2507EC0C" w14:textId="77777777" w:rsidR="00B37645" w:rsidRPr="00482A36" w:rsidRDefault="00B37645" w:rsidP="007360AC">
            <w:pPr>
              <w:pStyle w:val="Tabletext"/>
              <w:keepNext/>
              <w:keepLines/>
              <w:widowControl w:val="0"/>
              <w:jc w:val="center"/>
              <w:rPr>
                <w:b/>
                <w:szCs w:val="20"/>
              </w:rPr>
            </w:pPr>
          </w:p>
        </w:tc>
        <w:tc>
          <w:tcPr>
            <w:tcW w:w="603" w:type="pct"/>
            <w:vMerge/>
            <w:tcBorders>
              <w:left w:val="single" w:sz="4" w:space="0" w:color="auto"/>
              <w:bottom w:val="single" w:sz="4" w:space="0" w:color="auto"/>
              <w:right w:val="single" w:sz="4" w:space="0" w:color="auto"/>
            </w:tcBorders>
            <w:vAlign w:val="center"/>
          </w:tcPr>
          <w:p w14:paraId="3BF75C0E" w14:textId="77777777" w:rsidR="00B37645" w:rsidRPr="00482A36" w:rsidRDefault="00B37645" w:rsidP="007360AC">
            <w:pPr>
              <w:pStyle w:val="Tabletext"/>
              <w:keepNext/>
              <w:keepLines/>
              <w:widowControl w:val="0"/>
              <w:jc w:val="center"/>
              <w:rPr>
                <w:b/>
                <w:szCs w:val="20"/>
              </w:rPr>
            </w:pPr>
          </w:p>
        </w:tc>
        <w:tc>
          <w:tcPr>
            <w:tcW w:w="915" w:type="pct"/>
            <w:vMerge/>
            <w:tcBorders>
              <w:left w:val="single" w:sz="4" w:space="0" w:color="auto"/>
              <w:right w:val="single" w:sz="4" w:space="0" w:color="auto"/>
            </w:tcBorders>
            <w:vAlign w:val="center"/>
          </w:tcPr>
          <w:p w14:paraId="1B935ACE" w14:textId="77777777" w:rsidR="00B37645" w:rsidRPr="00482A36" w:rsidRDefault="00B37645" w:rsidP="007360AC">
            <w:pPr>
              <w:pStyle w:val="Tabletext"/>
              <w:keepNext/>
              <w:keepLines/>
              <w:widowControl w:val="0"/>
              <w:jc w:val="center"/>
              <w:rPr>
                <w:b/>
                <w:szCs w:val="20"/>
              </w:rPr>
            </w:pPr>
          </w:p>
        </w:tc>
        <w:tc>
          <w:tcPr>
            <w:tcW w:w="708" w:type="pct"/>
            <w:tcBorders>
              <w:top w:val="single" w:sz="4" w:space="0" w:color="auto"/>
              <w:left w:val="single" w:sz="4" w:space="0" w:color="auto"/>
              <w:bottom w:val="single" w:sz="4" w:space="0" w:color="auto"/>
              <w:right w:val="single" w:sz="4" w:space="0" w:color="auto"/>
            </w:tcBorders>
            <w:vAlign w:val="center"/>
          </w:tcPr>
          <w:p w14:paraId="792BAD7D" w14:textId="6B6461D5" w:rsidR="00B37645" w:rsidRPr="00482A36" w:rsidRDefault="00B37645" w:rsidP="007360AC">
            <w:pPr>
              <w:pStyle w:val="Tabletext"/>
              <w:keepNext/>
              <w:keepLines/>
              <w:widowControl w:val="0"/>
              <w:jc w:val="center"/>
              <w:rPr>
                <w:b/>
                <w:szCs w:val="20"/>
              </w:rPr>
            </w:pPr>
            <w:r w:rsidRPr="00482A36">
              <w:rPr>
                <w:b/>
                <w:szCs w:val="20"/>
              </w:rPr>
              <w:t>Linzagolix</w:t>
            </w:r>
          </w:p>
        </w:tc>
        <w:tc>
          <w:tcPr>
            <w:tcW w:w="474" w:type="pct"/>
            <w:tcBorders>
              <w:top w:val="single" w:sz="4" w:space="0" w:color="auto"/>
              <w:left w:val="single" w:sz="4" w:space="0" w:color="auto"/>
              <w:bottom w:val="single" w:sz="4" w:space="0" w:color="auto"/>
              <w:right w:val="single" w:sz="4" w:space="0" w:color="auto"/>
            </w:tcBorders>
            <w:vAlign w:val="center"/>
          </w:tcPr>
          <w:p w14:paraId="7F0F62E1" w14:textId="16E49113" w:rsidR="00B37645" w:rsidRPr="00482A36" w:rsidRDefault="00954271" w:rsidP="007360AC">
            <w:pPr>
              <w:pStyle w:val="Tabletext"/>
              <w:keepNext/>
              <w:keepLines/>
              <w:widowControl w:val="0"/>
              <w:jc w:val="center"/>
              <w:rPr>
                <w:b/>
                <w:szCs w:val="20"/>
              </w:rPr>
            </w:pPr>
            <w:r w:rsidRPr="00482A36">
              <w:rPr>
                <w:b/>
                <w:szCs w:val="20"/>
              </w:rPr>
              <w:t>PBO</w:t>
            </w:r>
          </w:p>
        </w:tc>
        <w:tc>
          <w:tcPr>
            <w:tcW w:w="913" w:type="pct"/>
            <w:vMerge/>
            <w:tcBorders>
              <w:left w:val="single" w:sz="4" w:space="0" w:color="auto"/>
              <w:bottom w:val="single" w:sz="4" w:space="0" w:color="auto"/>
              <w:right w:val="single" w:sz="4" w:space="0" w:color="auto"/>
            </w:tcBorders>
            <w:vAlign w:val="center"/>
          </w:tcPr>
          <w:p w14:paraId="0C514DF9" w14:textId="77777777" w:rsidR="00B37645" w:rsidRPr="00482A36" w:rsidRDefault="00B37645" w:rsidP="007360AC">
            <w:pPr>
              <w:pStyle w:val="Tabletext"/>
              <w:keepNext/>
              <w:keepLines/>
              <w:widowControl w:val="0"/>
              <w:jc w:val="center"/>
              <w:rPr>
                <w:b/>
                <w:bCs/>
                <w:szCs w:val="20"/>
              </w:rPr>
            </w:pPr>
          </w:p>
        </w:tc>
      </w:tr>
      <w:tr w:rsidR="00954271" w:rsidRPr="00482A36" w14:paraId="267F9FEE" w14:textId="77777777" w:rsidTr="00CD1982">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3ACAB6" w14:textId="6F49FD15" w:rsidR="00954271" w:rsidRPr="00482A36" w:rsidRDefault="00954271" w:rsidP="007360AC">
            <w:pPr>
              <w:pStyle w:val="Tabletext"/>
              <w:keepNext/>
              <w:keepLines/>
              <w:widowControl w:val="0"/>
              <w:rPr>
                <w:b/>
                <w:bCs/>
                <w:szCs w:val="20"/>
              </w:rPr>
            </w:pPr>
            <w:r w:rsidRPr="00482A36">
              <w:rPr>
                <w:b/>
                <w:szCs w:val="20"/>
              </w:rPr>
              <w:t>TEAEs relevant to study treatment, vs PBO (n=52, N=209), up to week 24</w:t>
            </w:r>
          </w:p>
        </w:tc>
      </w:tr>
      <w:tr w:rsidR="00954271" w:rsidRPr="00616367" w14:paraId="0D4E928F" w14:textId="77777777" w:rsidTr="006D3D30">
        <w:trPr>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tcPr>
          <w:p w14:paraId="535DD8FA" w14:textId="001D2B9D" w:rsidR="00954271" w:rsidRPr="00616367" w:rsidRDefault="00954271" w:rsidP="007360AC">
            <w:pPr>
              <w:pStyle w:val="Tabletext"/>
              <w:keepNext/>
              <w:keepLines/>
              <w:widowControl w:val="0"/>
              <w:rPr>
                <w:b/>
                <w:szCs w:val="20"/>
              </w:rPr>
            </w:pPr>
            <w:r w:rsidRPr="00616367">
              <w:rPr>
                <w:b/>
                <w:bCs/>
                <w:szCs w:val="20"/>
              </w:rPr>
              <w:t>LGX 100</w:t>
            </w:r>
          </w:p>
        </w:tc>
        <w:tc>
          <w:tcPr>
            <w:tcW w:w="603" w:type="pct"/>
            <w:tcBorders>
              <w:top w:val="single" w:sz="4" w:space="0" w:color="auto"/>
              <w:left w:val="single" w:sz="4" w:space="0" w:color="auto"/>
              <w:bottom w:val="single" w:sz="4" w:space="0" w:color="auto"/>
              <w:right w:val="single" w:sz="4" w:space="0" w:color="auto"/>
            </w:tcBorders>
            <w:vAlign w:val="center"/>
          </w:tcPr>
          <w:p w14:paraId="5259C895" w14:textId="6399E794" w:rsidR="00954271" w:rsidRPr="00616367" w:rsidRDefault="00954271" w:rsidP="007360AC">
            <w:pPr>
              <w:pStyle w:val="Tabletext"/>
              <w:keepNext/>
              <w:keepLines/>
              <w:widowControl w:val="0"/>
              <w:jc w:val="center"/>
              <w:rPr>
                <w:bCs/>
                <w:szCs w:val="20"/>
              </w:rPr>
            </w:pPr>
            <w:r w:rsidRPr="00616367">
              <w:rPr>
                <w:bCs/>
                <w:szCs w:val="20"/>
              </w:rPr>
              <w:t>78/199</w:t>
            </w:r>
          </w:p>
        </w:tc>
        <w:tc>
          <w:tcPr>
            <w:tcW w:w="915" w:type="pct"/>
            <w:tcBorders>
              <w:top w:val="single" w:sz="4" w:space="0" w:color="auto"/>
              <w:left w:val="single" w:sz="4" w:space="0" w:color="auto"/>
              <w:right w:val="single" w:sz="4" w:space="0" w:color="auto"/>
            </w:tcBorders>
            <w:vAlign w:val="center"/>
          </w:tcPr>
          <w:p w14:paraId="5970ED32" w14:textId="34BF94EF" w:rsidR="00954271" w:rsidRPr="00616367" w:rsidRDefault="00392A3E" w:rsidP="007360AC">
            <w:pPr>
              <w:pStyle w:val="Tabletext"/>
              <w:keepNext/>
              <w:keepLines/>
              <w:widowControl w:val="0"/>
              <w:jc w:val="center"/>
              <w:rPr>
                <w:b/>
                <w:iCs/>
                <w:szCs w:val="20"/>
              </w:rPr>
            </w:pPr>
            <w:r w:rsidRPr="00616367">
              <w:rPr>
                <w:b/>
                <w:iCs/>
                <w:szCs w:val="20"/>
              </w:rPr>
              <w:t>1.95 (1.27, 2.97)</w:t>
            </w:r>
          </w:p>
        </w:tc>
        <w:tc>
          <w:tcPr>
            <w:tcW w:w="708" w:type="pct"/>
            <w:tcBorders>
              <w:top w:val="single" w:sz="4" w:space="0" w:color="auto"/>
              <w:left w:val="single" w:sz="4" w:space="0" w:color="auto"/>
              <w:bottom w:val="single" w:sz="4" w:space="0" w:color="auto"/>
              <w:right w:val="single" w:sz="4" w:space="0" w:color="auto"/>
            </w:tcBorders>
            <w:vAlign w:val="center"/>
          </w:tcPr>
          <w:p w14:paraId="5C4874AC" w14:textId="2AEBE510" w:rsidR="00954271" w:rsidRPr="00616367" w:rsidRDefault="00954271" w:rsidP="007360AC">
            <w:pPr>
              <w:pStyle w:val="Tabletext"/>
              <w:keepNext/>
              <w:keepLines/>
              <w:widowControl w:val="0"/>
              <w:jc w:val="center"/>
              <w:rPr>
                <w:bCs/>
                <w:szCs w:val="20"/>
              </w:rPr>
            </w:pPr>
            <w:r w:rsidRPr="00616367">
              <w:rPr>
                <w:bCs/>
                <w:szCs w:val="20"/>
              </w:rPr>
              <w:t>39</w:t>
            </w:r>
          </w:p>
        </w:tc>
        <w:tc>
          <w:tcPr>
            <w:tcW w:w="474" w:type="pct"/>
            <w:vMerge w:val="restart"/>
            <w:tcBorders>
              <w:top w:val="single" w:sz="4" w:space="0" w:color="auto"/>
              <w:left w:val="single" w:sz="4" w:space="0" w:color="auto"/>
              <w:right w:val="single" w:sz="4" w:space="0" w:color="auto"/>
            </w:tcBorders>
          </w:tcPr>
          <w:p w14:paraId="62B0DEB2" w14:textId="27D7FB38" w:rsidR="00954271" w:rsidRPr="00616367" w:rsidRDefault="00954271" w:rsidP="007360AC">
            <w:pPr>
              <w:pStyle w:val="Tabletext"/>
              <w:keepNext/>
              <w:keepLines/>
              <w:widowControl w:val="0"/>
              <w:jc w:val="center"/>
              <w:rPr>
                <w:bCs/>
                <w:szCs w:val="20"/>
              </w:rPr>
            </w:pPr>
            <w:r w:rsidRPr="00616367">
              <w:rPr>
                <w:bCs/>
                <w:szCs w:val="20"/>
              </w:rPr>
              <w:t>25</w:t>
            </w:r>
          </w:p>
        </w:tc>
        <w:tc>
          <w:tcPr>
            <w:tcW w:w="913" w:type="pct"/>
            <w:tcBorders>
              <w:top w:val="single" w:sz="4" w:space="0" w:color="auto"/>
              <w:left w:val="single" w:sz="4" w:space="0" w:color="auto"/>
              <w:bottom w:val="single" w:sz="4" w:space="0" w:color="auto"/>
              <w:right w:val="single" w:sz="4" w:space="0" w:color="auto"/>
            </w:tcBorders>
            <w:vAlign w:val="center"/>
          </w:tcPr>
          <w:p w14:paraId="365C484D" w14:textId="680432DD" w:rsidR="00954271" w:rsidRPr="00616367" w:rsidRDefault="00392A3E" w:rsidP="007360AC">
            <w:pPr>
              <w:pStyle w:val="Tabletext"/>
              <w:keepNext/>
              <w:keepLines/>
              <w:widowControl w:val="0"/>
              <w:jc w:val="center"/>
              <w:rPr>
                <w:b/>
                <w:iCs/>
                <w:szCs w:val="20"/>
              </w:rPr>
            </w:pPr>
            <w:r w:rsidRPr="00616367">
              <w:rPr>
                <w:b/>
                <w:iCs/>
                <w:szCs w:val="20"/>
              </w:rPr>
              <w:t>0.14 (0.05, 0.23)</w:t>
            </w:r>
          </w:p>
        </w:tc>
      </w:tr>
      <w:tr w:rsidR="00954271" w:rsidRPr="00616367" w14:paraId="761DF6CB" w14:textId="77777777" w:rsidTr="006D3D30">
        <w:trPr>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4EF7FAEF" w14:textId="7A1ED995" w:rsidR="00954271" w:rsidRPr="00616367" w:rsidRDefault="00954271" w:rsidP="007360AC">
            <w:pPr>
              <w:pStyle w:val="Tabletext"/>
              <w:keepNext/>
              <w:keepLines/>
              <w:widowControl w:val="0"/>
              <w:rPr>
                <w:b/>
                <w:szCs w:val="20"/>
              </w:rPr>
            </w:pPr>
            <w:r w:rsidRPr="00616367">
              <w:rPr>
                <w:b/>
                <w:bCs/>
                <w:szCs w:val="20"/>
              </w:rPr>
              <w:t>LGX 100 + ABT</w:t>
            </w:r>
          </w:p>
        </w:tc>
        <w:tc>
          <w:tcPr>
            <w:tcW w:w="603" w:type="pct"/>
            <w:tcBorders>
              <w:top w:val="single" w:sz="4" w:space="0" w:color="auto"/>
              <w:left w:val="single" w:sz="4" w:space="0" w:color="auto"/>
              <w:bottom w:val="single" w:sz="4" w:space="0" w:color="auto"/>
              <w:right w:val="single" w:sz="4" w:space="0" w:color="auto"/>
            </w:tcBorders>
            <w:vAlign w:val="center"/>
          </w:tcPr>
          <w:p w14:paraId="1A627120" w14:textId="77C0C4F8" w:rsidR="00954271" w:rsidRPr="00616367" w:rsidRDefault="00954271" w:rsidP="007360AC">
            <w:pPr>
              <w:pStyle w:val="Tabletext"/>
              <w:keepNext/>
              <w:keepLines/>
              <w:widowControl w:val="0"/>
              <w:jc w:val="center"/>
              <w:rPr>
                <w:bCs/>
                <w:szCs w:val="20"/>
              </w:rPr>
            </w:pPr>
            <w:r w:rsidRPr="00616367">
              <w:rPr>
                <w:bCs/>
                <w:szCs w:val="20"/>
              </w:rPr>
              <w:t>78/211</w:t>
            </w:r>
          </w:p>
        </w:tc>
        <w:tc>
          <w:tcPr>
            <w:tcW w:w="915" w:type="pct"/>
            <w:tcBorders>
              <w:top w:val="single" w:sz="4" w:space="0" w:color="auto"/>
              <w:left w:val="single" w:sz="4" w:space="0" w:color="auto"/>
              <w:right w:val="single" w:sz="4" w:space="0" w:color="auto"/>
            </w:tcBorders>
            <w:vAlign w:val="center"/>
          </w:tcPr>
          <w:p w14:paraId="4D9AAB58" w14:textId="384238BC" w:rsidR="00954271" w:rsidRPr="00616367" w:rsidRDefault="00392A3E" w:rsidP="007360AC">
            <w:pPr>
              <w:pStyle w:val="Tabletext"/>
              <w:keepNext/>
              <w:keepLines/>
              <w:widowControl w:val="0"/>
              <w:jc w:val="center"/>
              <w:rPr>
                <w:b/>
                <w:iCs/>
                <w:szCs w:val="20"/>
              </w:rPr>
            </w:pPr>
            <w:r w:rsidRPr="00616367">
              <w:rPr>
                <w:b/>
                <w:iCs/>
                <w:szCs w:val="20"/>
              </w:rPr>
              <w:t>1.77 (1.16, 2.70)</w:t>
            </w:r>
          </w:p>
        </w:tc>
        <w:tc>
          <w:tcPr>
            <w:tcW w:w="708" w:type="pct"/>
            <w:tcBorders>
              <w:top w:val="single" w:sz="4" w:space="0" w:color="auto"/>
              <w:left w:val="single" w:sz="4" w:space="0" w:color="auto"/>
              <w:bottom w:val="single" w:sz="4" w:space="0" w:color="auto"/>
              <w:right w:val="single" w:sz="4" w:space="0" w:color="auto"/>
            </w:tcBorders>
            <w:vAlign w:val="center"/>
          </w:tcPr>
          <w:p w14:paraId="41AC3D30" w14:textId="64BCD41B" w:rsidR="00954271" w:rsidRPr="00616367" w:rsidRDefault="00954271" w:rsidP="007360AC">
            <w:pPr>
              <w:pStyle w:val="Tabletext"/>
              <w:keepNext/>
              <w:keepLines/>
              <w:widowControl w:val="0"/>
              <w:jc w:val="center"/>
              <w:rPr>
                <w:bCs/>
                <w:szCs w:val="20"/>
              </w:rPr>
            </w:pPr>
            <w:r w:rsidRPr="00616367">
              <w:rPr>
                <w:bCs/>
                <w:szCs w:val="20"/>
              </w:rPr>
              <w:t>37</w:t>
            </w:r>
          </w:p>
        </w:tc>
        <w:tc>
          <w:tcPr>
            <w:tcW w:w="474" w:type="pct"/>
            <w:vMerge/>
            <w:tcBorders>
              <w:left w:val="single" w:sz="4" w:space="0" w:color="auto"/>
              <w:right w:val="single" w:sz="4" w:space="0" w:color="auto"/>
            </w:tcBorders>
            <w:vAlign w:val="center"/>
          </w:tcPr>
          <w:p w14:paraId="07B43BB3" w14:textId="77777777" w:rsidR="00954271" w:rsidRPr="00616367" w:rsidRDefault="00954271" w:rsidP="007360AC">
            <w:pPr>
              <w:pStyle w:val="Tabletext"/>
              <w:keepNext/>
              <w:keepLines/>
              <w:widowControl w:val="0"/>
              <w:jc w:val="center"/>
              <w:rPr>
                <w:b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2862ECAA" w14:textId="692C3C65" w:rsidR="00954271" w:rsidRPr="00616367" w:rsidRDefault="00392A3E" w:rsidP="007360AC">
            <w:pPr>
              <w:pStyle w:val="Tabletext"/>
              <w:keepNext/>
              <w:keepLines/>
              <w:widowControl w:val="0"/>
              <w:jc w:val="center"/>
              <w:rPr>
                <w:b/>
                <w:iCs/>
                <w:szCs w:val="20"/>
              </w:rPr>
            </w:pPr>
            <w:r w:rsidRPr="00616367">
              <w:rPr>
                <w:b/>
                <w:iCs/>
                <w:szCs w:val="20"/>
              </w:rPr>
              <w:t>0.12 (0.03, 0.21)</w:t>
            </w:r>
          </w:p>
        </w:tc>
      </w:tr>
      <w:tr w:rsidR="00954271" w:rsidRPr="00616367" w14:paraId="0AE20FE4" w14:textId="77777777" w:rsidTr="006D3D30">
        <w:trPr>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607A30AF" w14:textId="0C8E2823" w:rsidR="00954271" w:rsidRPr="00616367" w:rsidRDefault="00954271" w:rsidP="007360AC">
            <w:pPr>
              <w:pStyle w:val="Tabletext"/>
              <w:keepNext/>
              <w:keepLines/>
              <w:widowControl w:val="0"/>
              <w:rPr>
                <w:b/>
                <w:szCs w:val="20"/>
              </w:rPr>
            </w:pPr>
            <w:r w:rsidRPr="00616367">
              <w:rPr>
                <w:b/>
                <w:bCs/>
                <w:szCs w:val="20"/>
              </w:rPr>
              <w:t>LGX 200</w:t>
            </w:r>
          </w:p>
        </w:tc>
        <w:tc>
          <w:tcPr>
            <w:tcW w:w="603" w:type="pct"/>
            <w:tcBorders>
              <w:top w:val="single" w:sz="4" w:space="0" w:color="auto"/>
              <w:left w:val="single" w:sz="4" w:space="0" w:color="auto"/>
              <w:bottom w:val="single" w:sz="4" w:space="0" w:color="auto"/>
              <w:right w:val="single" w:sz="4" w:space="0" w:color="auto"/>
            </w:tcBorders>
            <w:vAlign w:val="center"/>
          </w:tcPr>
          <w:p w14:paraId="4AAA8FA0" w14:textId="2AA312A6" w:rsidR="00954271" w:rsidRPr="00616367" w:rsidRDefault="00954271" w:rsidP="007360AC">
            <w:pPr>
              <w:pStyle w:val="Tabletext"/>
              <w:keepNext/>
              <w:keepLines/>
              <w:widowControl w:val="0"/>
              <w:jc w:val="center"/>
              <w:rPr>
                <w:bCs/>
                <w:szCs w:val="20"/>
              </w:rPr>
            </w:pPr>
            <w:r w:rsidRPr="00616367">
              <w:rPr>
                <w:bCs/>
                <w:szCs w:val="20"/>
              </w:rPr>
              <w:t>137/210</w:t>
            </w:r>
          </w:p>
        </w:tc>
        <w:tc>
          <w:tcPr>
            <w:tcW w:w="915" w:type="pct"/>
            <w:tcBorders>
              <w:top w:val="single" w:sz="4" w:space="0" w:color="auto"/>
              <w:left w:val="single" w:sz="4" w:space="0" w:color="auto"/>
              <w:right w:val="single" w:sz="4" w:space="0" w:color="auto"/>
            </w:tcBorders>
            <w:vAlign w:val="center"/>
          </w:tcPr>
          <w:p w14:paraId="0C54D61A" w14:textId="69D9ABCD" w:rsidR="00954271" w:rsidRPr="00616367" w:rsidRDefault="00392A3E" w:rsidP="007360AC">
            <w:pPr>
              <w:pStyle w:val="Tabletext"/>
              <w:keepNext/>
              <w:keepLines/>
              <w:widowControl w:val="0"/>
              <w:jc w:val="center"/>
              <w:rPr>
                <w:b/>
                <w:iCs/>
                <w:szCs w:val="20"/>
              </w:rPr>
            </w:pPr>
            <w:r w:rsidRPr="00616367">
              <w:rPr>
                <w:b/>
                <w:iCs/>
                <w:szCs w:val="20"/>
              </w:rPr>
              <w:t>5.67 (3.71, 8.65)</w:t>
            </w:r>
          </w:p>
        </w:tc>
        <w:tc>
          <w:tcPr>
            <w:tcW w:w="708" w:type="pct"/>
            <w:tcBorders>
              <w:top w:val="single" w:sz="4" w:space="0" w:color="auto"/>
              <w:left w:val="single" w:sz="4" w:space="0" w:color="auto"/>
              <w:bottom w:val="single" w:sz="4" w:space="0" w:color="auto"/>
              <w:right w:val="single" w:sz="4" w:space="0" w:color="auto"/>
            </w:tcBorders>
            <w:vAlign w:val="center"/>
          </w:tcPr>
          <w:p w14:paraId="2DA66948" w14:textId="22631092" w:rsidR="00954271" w:rsidRPr="00616367" w:rsidRDefault="00954271" w:rsidP="007360AC">
            <w:pPr>
              <w:pStyle w:val="Tabletext"/>
              <w:keepNext/>
              <w:keepLines/>
              <w:widowControl w:val="0"/>
              <w:jc w:val="center"/>
              <w:rPr>
                <w:bCs/>
                <w:szCs w:val="20"/>
              </w:rPr>
            </w:pPr>
            <w:r w:rsidRPr="00616367">
              <w:rPr>
                <w:bCs/>
                <w:szCs w:val="20"/>
              </w:rPr>
              <w:t>65</w:t>
            </w:r>
          </w:p>
        </w:tc>
        <w:tc>
          <w:tcPr>
            <w:tcW w:w="474" w:type="pct"/>
            <w:vMerge/>
            <w:tcBorders>
              <w:left w:val="single" w:sz="4" w:space="0" w:color="auto"/>
              <w:right w:val="single" w:sz="4" w:space="0" w:color="auto"/>
            </w:tcBorders>
            <w:vAlign w:val="center"/>
          </w:tcPr>
          <w:p w14:paraId="6421ADB8" w14:textId="77777777" w:rsidR="00954271" w:rsidRPr="00616367" w:rsidRDefault="00954271" w:rsidP="007360AC">
            <w:pPr>
              <w:pStyle w:val="Tabletext"/>
              <w:keepNext/>
              <w:keepLines/>
              <w:widowControl w:val="0"/>
              <w:jc w:val="center"/>
              <w:rPr>
                <w:b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7B125F61" w14:textId="1F8D89BE" w:rsidR="00954271" w:rsidRPr="00616367" w:rsidRDefault="00392A3E" w:rsidP="007360AC">
            <w:pPr>
              <w:pStyle w:val="Tabletext"/>
              <w:keepNext/>
              <w:keepLines/>
              <w:widowControl w:val="0"/>
              <w:jc w:val="center"/>
              <w:rPr>
                <w:b/>
                <w:iCs/>
                <w:szCs w:val="20"/>
              </w:rPr>
            </w:pPr>
            <w:r w:rsidRPr="00616367">
              <w:rPr>
                <w:b/>
                <w:iCs/>
                <w:szCs w:val="20"/>
              </w:rPr>
              <w:t>0.40 (0.32, 0.49)</w:t>
            </w:r>
          </w:p>
        </w:tc>
      </w:tr>
      <w:tr w:rsidR="00954271" w:rsidRPr="00616367" w14:paraId="5406B5C5" w14:textId="77777777" w:rsidTr="002B4C8A">
        <w:trPr>
          <w:trHeight w:val="20"/>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14:paraId="4A09A08C" w14:textId="44A68415" w:rsidR="00954271" w:rsidRPr="00616367" w:rsidRDefault="00954271" w:rsidP="007360AC">
            <w:pPr>
              <w:pStyle w:val="Tabletext"/>
              <w:keepNext/>
              <w:keepLines/>
              <w:widowControl w:val="0"/>
              <w:rPr>
                <w:b/>
                <w:szCs w:val="20"/>
              </w:rPr>
            </w:pPr>
            <w:r w:rsidRPr="00616367">
              <w:rPr>
                <w:b/>
                <w:bCs/>
                <w:szCs w:val="20"/>
              </w:rPr>
              <w:t>LGX 200 + ABT</w:t>
            </w:r>
          </w:p>
        </w:tc>
        <w:tc>
          <w:tcPr>
            <w:tcW w:w="603" w:type="pct"/>
            <w:tcBorders>
              <w:top w:val="single" w:sz="4" w:space="0" w:color="auto"/>
              <w:left w:val="single" w:sz="4" w:space="0" w:color="auto"/>
              <w:bottom w:val="single" w:sz="4" w:space="0" w:color="auto"/>
              <w:right w:val="single" w:sz="4" w:space="0" w:color="auto"/>
            </w:tcBorders>
            <w:vAlign w:val="center"/>
          </w:tcPr>
          <w:p w14:paraId="6E60FC30" w14:textId="21235786" w:rsidR="00954271" w:rsidRPr="00616367" w:rsidRDefault="00954271" w:rsidP="007360AC">
            <w:pPr>
              <w:pStyle w:val="Tabletext"/>
              <w:keepNext/>
              <w:keepLines/>
              <w:widowControl w:val="0"/>
              <w:jc w:val="center"/>
              <w:rPr>
                <w:bCs/>
                <w:szCs w:val="20"/>
              </w:rPr>
            </w:pPr>
            <w:r w:rsidRPr="00616367">
              <w:rPr>
                <w:bCs/>
                <w:szCs w:val="20"/>
              </w:rPr>
              <w:t>97/208</w:t>
            </w:r>
          </w:p>
        </w:tc>
        <w:tc>
          <w:tcPr>
            <w:tcW w:w="915" w:type="pct"/>
            <w:tcBorders>
              <w:top w:val="single" w:sz="4" w:space="0" w:color="auto"/>
              <w:left w:val="single" w:sz="4" w:space="0" w:color="auto"/>
              <w:bottom w:val="single" w:sz="4" w:space="0" w:color="auto"/>
              <w:right w:val="single" w:sz="4" w:space="0" w:color="auto"/>
            </w:tcBorders>
            <w:vAlign w:val="center"/>
          </w:tcPr>
          <w:p w14:paraId="19B7BBC5" w14:textId="1E51655D" w:rsidR="00954271" w:rsidRPr="00616367" w:rsidRDefault="00392A3E" w:rsidP="007360AC">
            <w:pPr>
              <w:pStyle w:val="Tabletext"/>
              <w:keepNext/>
              <w:keepLines/>
              <w:widowControl w:val="0"/>
              <w:jc w:val="center"/>
              <w:rPr>
                <w:b/>
                <w:iCs/>
                <w:szCs w:val="20"/>
              </w:rPr>
            </w:pPr>
            <w:r w:rsidRPr="00616367">
              <w:rPr>
                <w:b/>
                <w:iCs/>
                <w:szCs w:val="20"/>
              </w:rPr>
              <w:t>2.64 (1.74, 4.00)</w:t>
            </w:r>
          </w:p>
        </w:tc>
        <w:tc>
          <w:tcPr>
            <w:tcW w:w="708" w:type="pct"/>
            <w:tcBorders>
              <w:top w:val="single" w:sz="4" w:space="0" w:color="auto"/>
              <w:left w:val="single" w:sz="4" w:space="0" w:color="auto"/>
              <w:bottom w:val="single" w:sz="4" w:space="0" w:color="auto"/>
              <w:right w:val="single" w:sz="4" w:space="0" w:color="auto"/>
            </w:tcBorders>
            <w:vAlign w:val="center"/>
          </w:tcPr>
          <w:p w14:paraId="38AB31A2" w14:textId="2BBB8811" w:rsidR="00954271" w:rsidRPr="00616367" w:rsidRDefault="00954271" w:rsidP="007360AC">
            <w:pPr>
              <w:pStyle w:val="Tabletext"/>
              <w:keepNext/>
              <w:keepLines/>
              <w:widowControl w:val="0"/>
              <w:jc w:val="center"/>
              <w:rPr>
                <w:bCs/>
                <w:szCs w:val="20"/>
              </w:rPr>
            </w:pPr>
            <w:r w:rsidRPr="00616367">
              <w:rPr>
                <w:bCs/>
                <w:szCs w:val="20"/>
              </w:rPr>
              <w:t>47</w:t>
            </w:r>
          </w:p>
        </w:tc>
        <w:tc>
          <w:tcPr>
            <w:tcW w:w="474" w:type="pct"/>
            <w:vMerge/>
            <w:tcBorders>
              <w:left w:val="single" w:sz="4" w:space="0" w:color="auto"/>
              <w:bottom w:val="single" w:sz="4" w:space="0" w:color="auto"/>
              <w:right w:val="single" w:sz="4" w:space="0" w:color="auto"/>
            </w:tcBorders>
            <w:vAlign w:val="center"/>
          </w:tcPr>
          <w:p w14:paraId="1A9BEF1E" w14:textId="77777777" w:rsidR="00954271" w:rsidRPr="00616367" w:rsidRDefault="00954271" w:rsidP="007360AC">
            <w:pPr>
              <w:pStyle w:val="Tabletext"/>
              <w:keepNext/>
              <w:keepLines/>
              <w:widowControl w:val="0"/>
              <w:jc w:val="center"/>
              <w:rPr>
                <w:bCs/>
                <w:szCs w:val="20"/>
              </w:rPr>
            </w:pPr>
          </w:p>
        </w:tc>
        <w:tc>
          <w:tcPr>
            <w:tcW w:w="913" w:type="pct"/>
            <w:tcBorders>
              <w:top w:val="single" w:sz="4" w:space="0" w:color="auto"/>
              <w:left w:val="single" w:sz="4" w:space="0" w:color="auto"/>
              <w:bottom w:val="single" w:sz="4" w:space="0" w:color="auto"/>
              <w:right w:val="single" w:sz="4" w:space="0" w:color="auto"/>
            </w:tcBorders>
            <w:vAlign w:val="center"/>
          </w:tcPr>
          <w:p w14:paraId="6B310E83" w14:textId="52E0496B" w:rsidR="00954271" w:rsidRPr="00616367" w:rsidRDefault="00392A3E" w:rsidP="007360AC">
            <w:pPr>
              <w:pStyle w:val="Tabletext"/>
              <w:keepNext/>
              <w:keepLines/>
              <w:widowControl w:val="0"/>
              <w:jc w:val="center"/>
              <w:rPr>
                <w:b/>
                <w:iCs/>
                <w:szCs w:val="20"/>
              </w:rPr>
            </w:pPr>
            <w:r w:rsidRPr="00616367">
              <w:rPr>
                <w:b/>
                <w:iCs/>
                <w:szCs w:val="20"/>
              </w:rPr>
              <w:t>0.22 (0.13, 0.31)</w:t>
            </w:r>
          </w:p>
        </w:tc>
      </w:tr>
    </w:tbl>
    <w:p w14:paraId="6362F081" w14:textId="5C327B00" w:rsidR="00A1711A" w:rsidRPr="00482A36" w:rsidRDefault="00A1711A" w:rsidP="003D345A">
      <w:pPr>
        <w:rPr>
          <w:rFonts w:ascii="Arial Narrow" w:eastAsiaTheme="minorEastAsia" w:hAnsi="Arial Narrow"/>
          <w:snapToGrid w:val="0"/>
          <w:sz w:val="18"/>
          <w:szCs w:val="22"/>
          <w:lang w:eastAsia="en-US"/>
        </w:rPr>
      </w:pPr>
      <w:r w:rsidRPr="00482A36">
        <w:rPr>
          <w:rFonts w:ascii="Arial Narrow" w:eastAsiaTheme="minorEastAsia" w:hAnsi="Arial Narrow"/>
          <w:b/>
          <w:snapToGrid w:val="0"/>
          <w:sz w:val="18"/>
          <w:szCs w:val="22"/>
          <w:lang w:eastAsia="en-US"/>
        </w:rPr>
        <w:t>Bold</w:t>
      </w:r>
      <w:r w:rsidRPr="00482A36">
        <w:rPr>
          <w:rFonts w:ascii="Arial Narrow" w:eastAsiaTheme="minorEastAsia" w:hAnsi="Arial Narrow"/>
          <w:snapToGrid w:val="0"/>
          <w:sz w:val="18"/>
          <w:szCs w:val="22"/>
          <w:lang w:eastAsia="en-US"/>
        </w:rPr>
        <w:t xml:space="preserve"> text=statistically significant.</w:t>
      </w:r>
      <w:r w:rsidR="003D345A" w:rsidRPr="00482A36">
        <w:rPr>
          <w:rFonts w:ascii="Arial Narrow" w:eastAsiaTheme="minorEastAsia" w:hAnsi="Arial Narrow"/>
          <w:snapToGrid w:val="0"/>
          <w:sz w:val="18"/>
          <w:szCs w:val="22"/>
          <w:lang w:eastAsia="en-US"/>
        </w:rPr>
        <w:t xml:space="preserve"> </w:t>
      </w:r>
    </w:p>
    <w:p w14:paraId="7FBE7396" w14:textId="633AA001" w:rsidR="003146C9" w:rsidRPr="00482A36" w:rsidRDefault="003146C9" w:rsidP="003146C9">
      <w:pPr>
        <w:pStyle w:val="FooterTableFigure"/>
        <w:rPr>
          <w:sz w:val="20"/>
        </w:rPr>
      </w:pPr>
      <w:r w:rsidRPr="00482A36">
        <w:t xml:space="preserve">Source: </w:t>
      </w:r>
      <w:r w:rsidR="003B5E0E" w:rsidRPr="00482A36">
        <w:t>Table 28, p102</w:t>
      </w:r>
      <w:r w:rsidR="00E00DE6" w:rsidRPr="00482A36">
        <w:t>, Figure 24, p134</w:t>
      </w:r>
      <w:r w:rsidR="00690D83" w:rsidRPr="00482A36">
        <w:t xml:space="preserve"> and</w:t>
      </w:r>
      <w:r w:rsidR="00E00DE6" w:rsidRPr="00482A36">
        <w:t xml:space="preserve"> </w:t>
      </w:r>
      <w:r w:rsidR="003E5887" w:rsidRPr="00482A36">
        <w:rPr>
          <w:rFonts w:eastAsiaTheme="minorEastAsia"/>
        </w:rPr>
        <w:t xml:space="preserve">Table 52, p144 </w:t>
      </w:r>
      <w:r w:rsidR="00E00DE6" w:rsidRPr="00482A36">
        <w:t>of the submission</w:t>
      </w:r>
      <w:r w:rsidR="003B5E0E" w:rsidRPr="00482A36">
        <w:t xml:space="preserve"> and compiled during evaluation</w:t>
      </w:r>
      <w:r w:rsidRPr="00482A36">
        <w:t>.</w:t>
      </w:r>
    </w:p>
    <w:p w14:paraId="486536FB" w14:textId="706DA01C" w:rsidR="003146C9" w:rsidRPr="00482A36" w:rsidRDefault="00E00DE6" w:rsidP="003D345A">
      <w:pPr>
        <w:pStyle w:val="FooterTableFigure"/>
        <w:spacing w:after="0"/>
      </w:pPr>
      <w:r w:rsidRPr="00482A36">
        <w:t xml:space="preserve">ABT=add back therapy; CI=confidence interval; </w:t>
      </w:r>
      <w:r w:rsidR="00690D83" w:rsidRPr="00482A36">
        <w:t xml:space="preserve">FAS=full analysis set; </w:t>
      </w:r>
      <w:r w:rsidRPr="00482A36">
        <w:t xml:space="preserve">LGX=linzagolix; </w:t>
      </w:r>
      <w:r w:rsidR="003146C9" w:rsidRPr="00482A36">
        <w:t xml:space="preserve">PBO =placebo; </w:t>
      </w:r>
      <w:r w:rsidR="00590A73" w:rsidRPr="00482A36">
        <w:t xml:space="preserve">N=total number of participants in treatment arm; n=number of participants with the specified outcome; </w:t>
      </w:r>
      <w:r w:rsidRPr="00482A36">
        <w:t xml:space="preserve">OR=odds ratio; </w:t>
      </w:r>
      <w:r w:rsidR="003146C9" w:rsidRPr="00482A36">
        <w:t>RD = risk difference</w:t>
      </w:r>
      <w:r w:rsidR="003E5887" w:rsidRPr="00482A36">
        <w:t xml:space="preserve">; </w:t>
      </w:r>
      <w:r w:rsidR="00690D83" w:rsidRPr="00482A36">
        <w:t xml:space="preserve">SAF=safety analysis set; </w:t>
      </w:r>
      <w:r w:rsidR="003E5887" w:rsidRPr="00482A36">
        <w:t>TEAE=treatment emergent adverse event.</w:t>
      </w:r>
    </w:p>
    <w:p w14:paraId="2E34C3C5" w14:textId="6C963367" w:rsidR="003D345A" w:rsidRPr="00616367" w:rsidRDefault="003D345A" w:rsidP="003D345A">
      <w:pPr>
        <w:pStyle w:val="TableFigureFooter"/>
        <w:rPr>
          <w:iCs/>
          <w:lang w:eastAsia="en-US"/>
        </w:rPr>
      </w:pPr>
      <w:r w:rsidRPr="00616367">
        <w:rPr>
          <w:iCs/>
          <w:vertAlign w:val="superscript"/>
          <w:lang w:eastAsia="en-US"/>
        </w:rPr>
        <w:t>^</w:t>
      </w:r>
      <w:r w:rsidRPr="00616367">
        <w:rPr>
          <w:iCs/>
          <w:lang w:eastAsia="en-US"/>
        </w:rPr>
        <w:tab/>
        <w:t>RevMan v5.4 was used to generate results, during the evaluation.</w:t>
      </w:r>
    </w:p>
    <w:p w14:paraId="593EF8B8" w14:textId="66911030" w:rsidR="00091231" w:rsidRPr="00616367" w:rsidRDefault="00091231" w:rsidP="00091231">
      <w:pPr>
        <w:pStyle w:val="TableFigureFooter"/>
        <w:rPr>
          <w:iCs/>
          <w:lang w:eastAsia="en-US"/>
        </w:rPr>
      </w:pPr>
      <w:r w:rsidRPr="00616367">
        <w:rPr>
          <w:iCs/>
          <w:vertAlign w:val="superscript"/>
          <w:lang w:eastAsia="en-US"/>
        </w:rPr>
        <w:t>*</w:t>
      </w:r>
      <w:r w:rsidRPr="00616367">
        <w:rPr>
          <w:iCs/>
          <w:lang w:eastAsia="en-US"/>
        </w:rPr>
        <w:tab/>
        <w:t>MBL response was defined by MBL ≤80 mL and ≥50% reduction from baseline.</w:t>
      </w:r>
    </w:p>
    <w:p w14:paraId="66C285A5" w14:textId="1C04ECEC" w:rsidR="003146C9" w:rsidRPr="00616367" w:rsidRDefault="003146C9" w:rsidP="003146C9">
      <w:pPr>
        <w:pStyle w:val="3-BodyText"/>
        <w:rPr>
          <w:iCs/>
        </w:rPr>
      </w:pPr>
      <w:proofErr w:type="gramStart"/>
      <w:r w:rsidRPr="00616367">
        <w:rPr>
          <w:iCs/>
        </w:rPr>
        <w:t>On the basis of</w:t>
      </w:r>
      <w:proofErr w:type="gramEnd"/>
      <w:r w:rsidRPr="00616367">
        <w:rPr>
          <w:iCs/>
        </w:rPr>
        <w:t xml:space="preserve"> direct comparison presented by the submission, for every 100 patients treated with </w:t>
      </w:r>
      <w:r w:rsidR="000F42D9" w:rsidRPr="00616367">
        <w:rPr>
          <w:iCs/>
        </w:rPr>
        <w:t>linzagolix</w:t>
      </w:r>
      <w:r w:rsidRPr="00616367">
        <w:rPr>
          <w:iCs/>
        </w:rPr>
        <w:t xml:space="preserve"> in comparison with </w:t>
      </w:r>
      <w:r w:rsidR="000F42D9" w:rsidRPr="00616367">
        <w:rPr>
          <w:iCs/>
        </w:rPr>
        <w:t>placebo</w:t>
      </w:r>
      <w:r w:rsidRPr="00616367">
        <w:rPr>
          <w:iCs/>
        </w:rPr>
        <w:t>:</w:t>
      </w:r>
    </w:p>
    <w:p w14:paraId="13352B52" w14:textId="26798556" w:rsidR="003146C9" w:rsidRPr="00616367" w:rsidRDefault="003146C9" w:rsidP="00BE45A9">
      <w:pPr>
        <w:pStyle w:val="ListParagraph"/>
        <w:ind w:left="1134"/>
        <w:rPr>
          <w:iCs/>
        </w:rPr>
      </w:pPr>
      <w:r w:rsidRPr="00616367">
        <w:rPr>
          <w:iCs/>
        </w:rPr>
        <w:t xml:space="preserve">Approximately </w:t>
      </w:r>
      <w:r w:rsidR="00BE45A9" w:rsidRPr="00616367">
        <w:rPr>
          <w:iCs/>
        </w:rPr>
        <w:t>24, 40, 42, and 52</w:t>
      </w:r>
      <w:r w:rsidRPr="00616367">
        <w:rPr>
          <w:iCs/>
        </w:rPr>
        <w:t xml:space="preserve"> additional patients</w:t>
      </w:r>
      <w:r w:rsidR="00BE45A9" w:rsidRPr="00616367">
        <w:rPr>
          <w:iCs/>
        </w:rPr>
        <w:t xml:space="preserve"> in linzagolix 100 mg, 100</w:t>
      </w:r>
      <w:r w:rsidR="001626C8">
        <w:rPr>
          <w:iCs/>
        </w:rPr>
        <w:t> </w:t>
      </w:r>
      <w:r w:rsidR="00BE45A9" w:rsidRPr="00616367">
        <w:rPr>
          <w:iCs/>
        </w:rPr>
        <w:t>mg + ABT, 200 mg and 200 mg + ABT, respectively,</w:t>
      </w:r>
      <w:r w:rsidRPr="00616367">
        <w:rPr>
          <w:iCs/>
        </w:rPr>
        <w:t xml:space="preserve"> will </w:t>
      </w:r>
      <w:r w:rsidR="00864035" w:rsidRPr="00616367">
        <w:rPr>
          <w:iCs/>
        </w:rPr>
        <w:t xml:space="preserve">obtain </w:t>
      </w:r>
      <w:r w:rsidR="00BE45A9" w:rsidRPr="00616367">
        <w:rPr>
          <w:iCs/>
        </w:rPr>
        <w:t xml:space="preserve">MBL </w:t>
      </w:r>
      <w:r w:rsidR="00864035" w:rsidRPr="00616367">
        <w:rPr>
          <w:iCs/>
        </w:rPr>
        <w:t>response</w:t>
      </w:r>
      <w:r w:rsidR="00091231" w:rsidRPr="00616367">
        <w:rPr>
          <w:iCs/>
        </w:rPr>
        <w:t xml:space="preserve"> (</w:t>
      </w:r>
      <w:r w:rsidR="00091231" w:rsidRPr="00616367">
        <w:rPr>
          <w:iCs/>
          <w:lang w:eastAsia="en-US"/>
        </w:rPr>
        <w:t>defined by MBL ≤80 mL and ≥50% reduction from baseline)</w:t>
      </w:r>
      <w:r w:rsidR="00864035" w:rsidRPr="00616367">
        <w:rPr>
          <w:iCs/>
        </w:rPr>
        <w:t xml:space="preserve"> </w:t>
      </w:r>
      <w:r w:rsidRPr="00616367">
        <w:rPr>
          <w:iCs/>
        </w:rPr>
        <w:t xml:space="preserve">after </w:t>
      </w:r>
      <w:r w:rsidR="00BE45A9" w:rsidRPr="00616367">
        <w:rPr>
          <w:iCs/>
        </w:rPr>
        <w:t>24 weeks.</w:t>
      </w:r>
    </w:p>
    <w:p w14:paraId="63CB2CC2" w14:textId="68664319" w:rsidR="00207AED" w:rsidRPr="00616367" w:rsidRDefault="00207AED" w:rsidP="00207AED">
      <w:pPr>
        <w:pStyle w:val="ListParagraph"/>
        <w:ind w:left="1134"/>
        <w:rPr>
          <w:iCs/>
        </w:rPr>
      </w:pPr>
      <w:r w:rsidRPr="00616367">
        <w:rPr>
          <w:iCs/>
        </w:rPr>
        <w:t>Approximately 13, 44, 35, 48 and 37 additional patients in linzagolix 100 mg, 100</w:t>
      </w:r>
      <w:r w:rsidR="001626C8">
        <w:rPr>
          <w:iCs/>
        </w:rPr>
        <w:t> </w:t>
      </w:r>
      <w:r w:rsidRPr="00616367">
        <w:rPr>
          <w:iCs/>
        </w:rPr>
        <w:t>mg + ABT, 200 mg switched to 200 mg + ABT, 200 mg + ABT, and placebo switched to linzagolix 200 mg + ABT, respectively</w:t>
      </w:r>
      <w:r w:rsidR="00864035" w:rsidRPr="00616367">
        <w:rPr>
          <w:iCs/>
        </w:rPr>
        <w:t xml:space="preserve"> will</w:t>
      </w:r>
      <w:r w:rsidRPr="00616367">
        <w:rPr>
          <w:iCs/>
        </w:rPr>
        <w:t xml:space="preserve"> </w:t>
      </w:r>
      <w:r w:rsidR="00864035" w:rsidRPr="00616367">
        <w:rPr>
          <w:iCs/>
        </w:rPr>
        <w:t xml:space="preserve">have MBL response </w:t>
      </w:r>
      <w:r w:rsidRPr="00616367">
        <w:rPr>
          <w:iCs/>
        </w:rPr>
        <w:t>after 52</w:t>
      </w:r>
      <w:r w:rsidR="001626C8">
        <w:rPr>
          <w:iCs/>
        </w:rPr>
        <w:t> </w:t>
      </w:r>
      <w:r w:rsidRPr="00616367">
        <w:rPr>
          <w:iCs/>
        </w:rPr>
        <w:t>weeks.</w:t>
      </w:r>
    </w:p>
    <w:p w14:paraId="291A5DC2" w14:textId="5F6B95A8" w:rsidR="003E5887" w:rsidRPr="00616367" w:rsidRDefault="003E5887" w:rsidP="003E5887">
      <w:pPr>
        <w:pStyle w:val="ListParagraph"/>
        <w:ind w:left="1134"/>
        <w:rPr>
          <w:iCs/>
        </w:rPr>
      </w:pPr>
      <w:r w:rsidRPr="00616367">
        <w:rPr>
          <w:iCs/>
        </w:rPr>
        <w:t>Approximately 14, 12, 40, and 22 additional patients in linzagolix 100 mg, 100</w:t>
      </w:r>
      <w:r w:rsidR="001626C8">
        <w:rPr>
          <w:iCs/>
        </w:rPr>
        <w:t> </w:t>
      </w:r>
      <w:r w:rsidRPr="00616367">
        <w:rPr>
          <w:iCs/>
        </w:rPr>
        <w:t>mg + ABT, 200 mg and 200 mg + ABT, respectively, will experience TEAEs after 24</w:t>
      </w:r>
      <w:r w:rsidR="001626C8">
        <w:rPr>
          <w:iCs/>
        </w:rPr>
        <w:t> </w:t>
      </w:r>
      <w:r w:rsidRPr="00616367">
        <w:rPr>
          <w:iCs/>
        </w:rPr>
        <w:t>weeks.</w:t>
      </w:r>
    </w:p>
    <w:p w14:paraId="7A50D512" w14:textId="5FC4F57C" w:rsidR="003146C9" w:rsidRPr="00482A36" w:rsidRDefault="003146C9" w:rsidP="003146C9">
      <w:pPr>
        <w:pStyle w:val="4-SubsectionHeading"/>
      </w:pPr>
      <w:bookmarkStart w:id="51" w:name="_Toc22897644"/>
      <w:bookmarkStart w:id="52" w:name="_Toc167269204"/>
      <w:r w:rsidRPr="00482A36">
        <w:t>Clinical claim</w:t>
      </w:r>
      <w:bookmarkEnd w:id="51"/>
      <w:bookmarkEnd w:id="52"/>
    </w:p>
    <w:p w14:paraId="6706C613" w14:textId="0C9F5F90" w:rsidR="003146C9" w:rsidRDefault="003146C9" w:rsidP="003146C9">
      <w:pPr>
        <w:pStyle w:val="3-BodyText"/>
        <w:rPr>
          <w:rFonts w:eastAsia="Calibri"/>
        </w:rPr>
      </w:pPr>
      <w:r w:rsidRPr="00482A36">
        <w:rPr>
          <w:rFonts w:eastAsia="Calibri"/>
        </w:rPr>
        <w:t xml:space="preserve">The submission described </w:t>
      </w:r>
      <w:r w:rsidR="00AA5046" w:rsidRPr="00482A36">
        <w:rPr>
          <w:rFonts w:eastAsia="Calibri"/>
        </w:rPr>
        <w:t xml:space="preserve">linzagolix (100 mg or 200 mg) </w:t>
      </w:r>
      <w:r w:rsidR="00AA5046" w:rsidRPr="00482A36">
        <w:rPr>
          <w:rFonts w:eastAsia="Calibri" w:cstheme="minorHAnsi"/>
        </w:rPr>
        <w:t>±</w:t>
      </w:r>
      <w:r w:rsidR="00AA5046" w:rsidRPr="00482A36">
        <w:rPr>
          <w:rFonts w:eastAsia="Calibri"/>
        </w:rPr>
        <w:t xml:space="preserve"> ABT</w:t>
      </w:r>
      <w:r w:rsidRPr="00482A36">
        <w:rPr>
          <w:rFonts w:eastAsia="Calibri"/>
        </w:rPr>
        <w:t xml:space="preserve"> as superior</w:t>
      </w:r>
      <w:r w:rsidR="00AA5046" w:rsidRPr="00482A36">
        <w:rPr>
          <w:rFonts w:eastAsia="Calibri"/>
        </w:rPr>
        <w:t xml:space="preserve"> </w:t>
      </w:r>
      <w:r w:rsidRPr="00482A36">
        <w:rPr>
          <w:rFonts w:eastAsia="Calibri"/>
        </w:rPr>
        <w:t xml:space="preserve">in terms of effectiveness compared to </w:t>
      </w:r>
      <w:r w:rsidR="00AA5046" w:rsidRPr="00482A36">
        <w:rPr>
          <w:rFonts w:eastAsia="Calibri"/>
        </w:rPr>
        <w:t>BSC</w:t>
      </w:r>
      <w:r w:rsidR="00005AAB" w:rsidRPr="00616367">
        <w:rPr>
          <w:iCs/>
        </w:rPr>
        <w:t xml:space="preserve"> </w:t>
      </w:r>
      <w:r w:rsidR="00005AAB">
        <w:t>(</w:t>
      </w:r>
      <w:r w:rsidR="00904B10" w:rsidRPr="00904B10">
        <w:t>consisting of either NSAID</w:t>
      </w:r>
      <w:r w:rsidR="00244D85">
        <w:t>s</w:t>
      </w:r>
      <w:r w:rsidR="00904B10" w:rsidRPr="00904B10">
        <w:t xml:space="preserve"> and/or iron supplementation</w:t>
      </w:r>
      <w:r w:rsidR="00C17395">
        <w:t>)</w:t>
      </w:r>
      <w:r w:rsidRPr="00482A36">
        <w:rPr>
          <w:rFonts w:eastAsia="Calibri"/>
        </w:rPr>
        <w:t xml:space="preserve">. </w:t>
      </w:r>
      <w:r w:rsidRPr="00616367">
        <w:rPr>
          <w:rFonts w:eastAsia="Calibri"/>
          <w:iCs/>
        </w:rPr>
        <w:t>Th</w:t>
      </w:r>
      <w:r w:rsidR="005E08D1" w:rsidRPr="00616367">
        <w:rPr>
          <w:rFonts w:eastAsia="Calibri"/>
          <w:iCs/>
        </w:rPr>
        <w:t>e</w:t>
      </w:r>
      <w:r w:rsidRPr="00616367">
        <w:rPr>
          <w:rFonts w:eastAsia="Calibri"/>
          <w:iCs/>
        </w:rPr>
        <w:t xml:space="preserve"> </w:t>
      </w:r>
      <w:r w:rsidR="00FD1D82">
        <w:rPr>
          <w:rFonts w:eastAsia="Calibri"/>
          <w:iCs/>
        </w:rPr>
        <w:t xml:space="preserve">evaluation considered the </w:t>
      </w:r>
      <w:r w:rsidRPr="00616367">
        <w:rPr>
          <w:rFonts w:eastAsia="Calibri"/>
          <w:iCs/>
        </w:rPr>
        <w:t xml:space="preserve">claim </w:t>
      </w:r>
      <w:r w:rsidR="002E4633" w:rsidRPr="00616367">
        <w:rPr>
          <w:rFonts w:eastAsia="Calibri"/>
          <w:iCs/>
        </w:rPr>
        <w:t>may</w:t>
      </w:r>
      <w:r w:rsidR="005E08D1" w:rsidRPr="00616367">
        <w:rPr>
          <w:rFonts w:eastAsia="Calibri"/>
          <w:iCs/>
        </w:rPr>
        <w:t xml:space="preserve"> </w:t>
      </w:r>
      <w:r w:rsidR="00E41F5F" w:rsidRPr="00616367">
        <w:rPr>
          <w:rFonts w:eastAsia="Calibri"/>
        </w:rPr>
        <w:t>not</w:t>
      </w:r>
      <w:r w:rsidR="002E4633" w:rsidRPr="00616367">
        <w:rPr>
          <w:rFonts w:eastAsia="Calibri"/>
        </w:rPr>
        <w:t xml:space="preserve"> be</w:t>
      </w:r>
      <w:r w:rsidR="00E41F5F" w:rsidRPr="00616367">
        <w:rPr>
          <w:rFonts w:eastAsia="Calibri"/>
        </w:rPr>
        <w:t xml:space="preserve"> appropriate for patients who have had an inadequate response to </w:t>
      </w:r>
      <w:r w:rsidR="001757A0" w:rsidRPr="00616367">
        <w:rPr>
          <w:rFonts w:eastAsia="Calibri"/>
        </w:rPr>
        <w:t xml:space="preserve">prior </w:t>
      </w:r>
      <w:r w:rsidR="00E41F5F" w:rsidRPr="00616367">
        <w:rPr>
          <w:rFonts w:eastAsia="Calibri"/>
        </w:rPr>
        <w:t>hormone therapy</w:t>
      </w:r>
      <w:r w:rsidR="005019CE">
        <w:rPr>
          <w:rFonts w:eastAsia="Calibri"/>
        </w:rPr>
        <w:t xml:space="preserve"> as</w:t>
      </w:r>
      <w:r w:rsidR="00E41F5F" w:rsidRPr="00616367">
        <w:rPr>
          <w:rFonts w:eastAsia="Calibri"/>
        </w:rPr>
        <w:t xml:space="preserve"> patients </w:t>
      </w:r>
      <w:r w:rsidR="00E41F5F" w:rsidRPr="00616367">
        <w:rPr>
          <w:rFonts w:eastAsia="Calibri"/>
        </w:rPr>
        <w:lastRenderedPageBreak/>
        <w:t xml:space="preserve">in the placebo arms of PRIMROSE 1 and 2 trials did not receive any hormone treatments or tranexamic acid, which are known to reduce MBL. </w:t>
      </w:r>
      <w:r w:rsidR="005E08D1" w:rsidRPr="00616367">
        <w:rPr>
          <w:rFonts w:eastAsia="Calibri"/>
        </w:rPr>
        <w:t xml:space="preserve">The claim for patients unsuitable for hormone therapy </w:t>
      </w:r>
      <w:r w:rsidR="001757A0" w:rsidRPr="00616367">
        <w:rPr>
          <w:rFonts w:eastAsia="Calibri"/>
        </w:rPr>
        <w:t xml:space="preserve">may be </w:t>
      </w:r>
      <w:r w:rsidR="005E08D1" w:rsidRPr="00616367">
        <w:rPr>
          <w:rFonts w:eastAsia="Calibri"/>
        </w:rPr>
        <w:t xml:space="preserve">reasonable </w:t>
      </w:r>
      <w:r w:rsidR="00C91BAC" w:rsidRPr="00616367">
        <w:rPr>
          <w:rFonts w:eastAsia="Calibri"/>
        </w:rPr>
        <w:t xml:space="preserve">if </w:t>
      </w:r>
      <w:r w:rsidR="005E08D1" w:rsidRPr="00616367">
        <w:rPr>
          <w:rFonts w:eastAsia="Calibri"/>
        </w:rPr>
        <w:t xml:space="preserve">linzagolix’s treatment effect is not expected to vary based on hormone </w:t>
      </w:r>
      <w:r w:rsidR="001757A0" w:rsidRPr="00616367">
        <w:rPr>
          <w:rFonts w:eastAsia="Calibri"/>
        </w:rPr>
        <w:t>un</w:t>
      </w:r>
      <w:r w:rsidR="005E08D1" w:rsidRPr="00616367">
        <w:rPr>
          <w:rFonts w:eastAsia="Calibri"/>
        </w:rPr>
        <w:t>suitability</w:t>
      </w:r>
      <w:r w:rsidR="001757A0" w:rsidRPr="00616367">
        <w:rPr>
          <w:rFonts w:eastAsia="Calibri"/>
        </w:rPr>
        <w:t>.</w:t>
      </w:r>
      <w:r w:rsidR="00686B91" w:rsidRPr="00616367">
        <w:rPr>
          <w:rFonts w:eastAsia="Calibri"/>
        </w:rPr>
        <w:t xml:space="preserve"> It is unknown what proportion of the requested patient population would be unsuitable for hormone therapy.</w:t>
      </w:r>
      <w:r w:rsidR="001757A0" w:rsidRPr="00616367">
        <w:rPr>
          <w:rFonts w:eastAsia="Calibri"/>
        </w:rPr>
        <w:t xml:space="preserve"> </w:t>
      </w:r>
      <w:r w:rsidR="00D478BC">
        <w:rPr>
          <w:rFonts w:eastAsia="Calibri"/>
        </w:rPr>
        <w:t>T</w:t>
      </w:r>
      <w:r w:rsidR="00686B91" w:rsidRPr="00616367">
        <w:rPr>
          <w:rFonts w:eastAsia="Calibri"/>
        </w:rPr>
        <w:t xml:space="preserve">he </w:t>
      </w:r>
      <w:r w:rsidR="00244D85" w:rsidRPr="00616367">
        <w:rPr>
          <w:rFonts w:eastAsia="Calibri"/>
        </w:rPr>
        <w:t xml:space="preserve">trial data is lacking </w:t>
      </w:r>
      <w:r w:rsidR="001757A0" w:rsidRPr="00616367">
        <w:rPr>
          <w:rFonts w:eastAsia="Calibri"/>
        </w:rPr>
        <w:t xml:space="preserve">for </w:t>
      </w:r>
      <w:r w:rsidR="005E08D1" w:rsidRPr="00616367">
        <w:rPr>
          <w:rFonts w:eastAsia="Calibri"/>
        </w:rPr>
        <w:t>the most likely</w:t>
      </w:r>
      <w:r w:rsidR="00686B91" w:rsidRPr="00616367">
        <w:rPr>
          <w:rFonts w:eastAsia="Calibri"/>
        </w:rPr>
        <w:t xml:space="preserve"> long-term</w:t>
      </w:r>
      <w:r w:rsidR="005E08D1" w:rsidRPr="00616367">
        <w:rPr>
          <w:rFonts w:eastAsia="Calibri"/>
        </w:rPr>
        <w:t xml:space="preserve"> </w:t>
      </w:r>
      <w:r w:rsidR="001757A0" w:rsidRPr="00616367">
        <w:rPr>
          <w:rFonts w:eastAsia="Calibri"/>
        </w:rPr>
        <w:t xml:space="preserve">treatment </w:t>
      </w:r>
      <w:r w:rsidR="005E08D1" w:rsidRPr="00616367">
        <w:rPr>
          <w:rFonts w:eastAsia="Calibri"/>
        </w:rPr>
        <w:t xml:space="preserve">regimen </w:t>
      </w:r>
      <w:r w:rsidR="001757A0" w:rsidRPr="00616367">
        <w:rPr>
          <w:rFonts w:eastAsia="Calibri"/>
        </w:rPr>
        <w:t xml:space="preserve">in this patient </w:t>
      </w:r>
      <w:r w:rsidR="00244D85" w:rsidRPr="00616367">
        <w:rPr>
          <w:rFonts w:eastAsia="Calibri"/>
        </w:rPr>
        <w:t xml:space="preserve">population </w:t>
      </w:r>
      <w:r w:rsidR="005E08D1" w:rsidRPr="00616367">
        <w:rPr>
          <w:rFonts w:eastAsia="Calibri"/>
        </w:rPr>
        <w:t>i.e. linzagolix 200</w:t>
      </w:r>
      <w:r w:rsidR="001757A0" w:rsidRPr="00616367">
        <w:rPr>
          <w:rFonts w:eastAsia="Calibri"/>
        </w:rPr>
        <w:t> </w:t>
      </w:r>
      <w:r w:rsidR="005E08D1" w:rsidRPr="00616367">
        <w:rPr>
          <w:rFonts w:eastAsia="Calibri"/>
        </w:rPr>
        <w:t>mg followed by linzagolix 100 mg after six months.</w:t>
      </w:r>
    </w:p>
    <w:p w14:paraId="4CA3D238" w14:textId="7627FA13" w:rsidR="004967E2" w:rsidRPr="00FD5102" w:rsidRDefault="00A0537D" w:rsidP="004967E2">
      <w:pPr>
        <w:pStyle w:val="3-BodyText"/>
        <w:rPr>
          <w:rFonts w:eastAsia="Calibri"/>
          <w:iCs/>
        </w:rPr>
      </w:pPr>
      <w:r w:rsidRPr="00FD5102">
        <w:rPr>
          <w:rFonts w:eastAsia="Calibri"/>
          <w:iCs/>
        </w:rPr>
        <w:t xml:space="preserve">Overall, the ESC considered that for the patients enrolled in the trials, </w:t>
      </w:r>
      <w:r w:rsidR="00EC6DA2" w:rsidRPr="00FD5102">
        <w:rPr>
          <w:rFonts w:eastAsia="Calibri"/>
          <w:iCs/>
        </w:rPr>
        <w:t xml:space="preserve">the evidence </w:t>
      </w:r>
      <w:r w:rsidR="007B4B87" w:rsidRPr="00FD5102">
        <w:rPr>
          <w:rFonts w:eastAsia="Calibri"/>
          <w:iCs/>
        </w:rPr>
        <w:t>supported the claim</w:t>
      </w:r>
      <w:r w:rsidR="00EC6DA2" w:rsidRPr="00FD5102">
        <w:rPr>
          <w:rFonts w:eastAsia="Calibri"/>
          <w:iCs/>
        </w:rPr>
        <w:t xml:space="preserve"> that </w:t>
      </w:r>
      <w:r w:rsidRPr="00FD5102">
        <w:rPr>
          <w:rFonts w:eastAsia="Calibri"/>
          <w:iCs/>
        </w:rPr>
        <w:t xml:space="preserve">linzagolix was associated with a reduction in menstrual blood loss, haemoglobin/anaemia, </w:t>
      </w:r>
      <w:proofErr w:type="gramStart"/>
      <w:r w:rsidRPr="00FD5102">
        <w:rPr>
          <w:rFonts w:eastAsia="Calibri"/>
          <w:iCs/>
        </w:rPr>
        <w:t>pain</w:t>
      </w:r>
      <w:proofErr w:type="gramEnd"/>
      <w:r w:rsidRPr="00FD5102">
        <w:rPr>
          <w:rFonts w:eastAsia="Calibri"/>
          <w:iCs/>
        </w:rPr>
        <w:t xml:space="preserve"> and improvement to symptom severity compared with placebo. However, the ESC considered the </w:t>
      </w:r>
      <w:r w:rsidR="00EC6DA2" w:rsidRPr="00FD5102">
        <w:rPr>
          <w:rFonts w:eastAsia="Calibri"/>
          <w:iCs/>
        </w:rPr>
        <w:t xml:space="preserve">benefit of linzagolix for the </w:t>
      </w:r>
      <w:r w:rsidR="007B4B87" w:rsidRPr="00FD5102">
        <w:rPr>
          <w:rFonts w:eastAsia="Calibri"/>
          <w:iCs/>
        </w:rPr>
        <w:t>outcome of</w:t>
      </w:r>
      <w:r w:rsidR="00EC6DA2" w:rsidRPr="00FD5102">
        <w:rPr>
          <w:rFonts w:eastAsia="Calibri"/>
          <w:iCs/>
        </w:rPr>
        <w:t xml:space="preserve"> amenorrhoea was uncertain due to missing data (see paragraph </w:t>
      </w:r>
      <w:r w:rsidR="00EC6DA2" w:rsidRPr="00FD5102">
        <w:rPr>
          <w:rFonts w:eastAsia="Calibri"/>
          <w:iCs/>
        </w:rPr>
        <w:fldChar w:fldCharType="begin"/>
      </w:r>
      <w:r w:rsidR="00EC6DA2" w:rsidRPr="00FD5102">
        <w:rPr>
          <w:rFonts w:eastAsia="Calibri"/>
          <w:iCs/>
        </w:rPr>
        <w:instrText xml:space="preserve"> REF _Ref169785769 \r \h </w:instrText>
      </w:r>
      <w:r w:rsidR="00EC6DA2" w:rsidRPr="00FD5102">
        <w:rPr>
          <w:rFonts w:eastAsia="Calibri"/>
          <w:iCs/>
        </w:rPr>
      </w:r>
      <w:r w:rsidR="00EC6DA2" w:rsidRPr="00FD5102">
        <w:rPr>
          <w:rFonts w:eastAsia="Calibri"/>
          <w:iCs/>
        </w:rPr>
        <w:fldChar w:fldCharType="separate"/>
      </w:r>
      <w:r w:rsidR="003E4FD0">
        <w:rPr>
          <w:rFonts w:eastAsia="Calibri"/>
          <w:iCs/>
        </w:rPr>
        <w:t>6.18</w:t>
      </w:r>
      <w:r w:rsidR="00EC6DA2" w:rsidRPr="00FD5102">
        <w:rPr>
          <w:rFonts w:eastAsia="Calibri"/>
          <w:iCs/>
        </w:rPr>
        <w:fldChar w:fldCharType="end"/>
      </w:r>
      <w:r w:rsidR="00EC6DA2" w:rsidRPr="00FD5102">
        <w:rPr>
          <w:rFonts w:eastAsia="Calibri"/>
          <w:iCs/>
        </w:rPr>
        <w:t xml:space="preserve">) </w:t>
      </w:r>
      <w:proofErr w:type="gramStart"/>
      <w:r w:rsidR="00EC6DA2" w:rsidRPr="00FD5102">
        <w:rPr>
          <w:rFonts w:eastAsia="Calibri"/>
          <w:iCs/>
        </w:rPr>
        <w:t>and also</w:t>
      </w:r>
      <w:proofErr w:type="gramEnd"/>
      <w:r w:rsidR="00EC6DA2" w:rsidRPr="00FD5102">
        <w:rPr>
          <w:rFonts w:eastAsia="Calibri"/>
          <w:iCs/>
        </w:rPr>
        <w:t xml:space="preserve"> considered the benefit associated with uterine volume and uterine fibroid volume uncertain due</w:t>
      </w:r>
      <w:r w:rsidR="007819F1">
        <w:rPr>
          <w:rFonts w:eastAsia="Calibri"/>
          <w:iCs/>
        </w:rPr>
        <w:t xml:space="preserve"> to</w:t>
      </w:r>
      <w:r w:rsidR="00EC6DA2" w:rsidRPr="00FD5102">
        <w:rPr>
          <w:rFonts w:eastAsia="Calibri"/>
          <w:iCs/>
        </w:rPr>
        <w:t xml:space="preserve"> </w:t>
      </w:r>
      <w:r w:rsidR="004967E2" w:rsidRPr="00FD5102">
        <w:rPr>
          <w:rFonts w:eastAsia="Calibri"/>
          <w:iCs/>
        </w:rPr>
        <w:t>varied results across treatment arms of the trials.</w:t>
      </w:r>
      <w:r w:rsidR="00EC6DA2" w:rsidRPr="00FD5102">
        <w:rPr>
          <w:rFonts w:eastAsia="Calibri"/>
          <w:iCs/>
        </w:rPr>
        <w:t xml:space="preserve"> </w:t>
      </w:r>
      <w:r w:rsidR="004967E2" w:rsidRPr="00FD5102">
        <w:rPr>
          <w:rFonts w:eastAsia="Calibri"/>
          <w:iCs/>
        </w:rPr>
        <w:t xml:space="preserve">The ESC also noted no quality of life benefits were observed in the clinical trials. </w:t>
      </w:r>
      <w:r w:rsidR="007B4B87" w:rsidRPr="00FD5102">
        <w:rPr>
          <w:rFonts w:eastAsia="Calibri"/>
          <w:iCs/>
        </w:rPr>
        <w:t>The ESC noted that the comparison with placebo did not necessarily represent BSC in Australia, which would include hormonal therapies and tranexamic acid.</w:t>
      </w:r>
    </w:p>
    <w:p w14:paraId="318208C3" w14:textId="42BF687C" w:rsidR="002C0784" w:rsidRDefault="003146C9" w:rsidP="004967E2">
      <w:pPr>
        <w:pStyle w:val="3-BodyText"/>
        <w:rPr>
          <w:rFonts w:eastAsia="Calibri"/>
          <w:iCs/>
        </w:rPr>
      </w:pPr>
      <w:r w:rsidRPr="004967E2">
        <w:rPr>
          <w:rFonts w:eastAsia="Calibri"/>
        </w:rPr>
        <w:t xml:space="preserve">The submission described </w:t>
      </w:r>
      <w:r w:rsidR="00FC0923" w:rsidRPr="004967E2">
        <w:rPr>
          <w:rFonts w:eastAsia="Calibri"/>
        </w:rPr>
        <w:t>linzagolix</w:t>
      </w:r>
      <w:r w:rsidRPr="004967E2">
        <w:rPr>
          <w:rFonts w:eastAsia="Calibri"/>
        </w:rPr>
        <w:t xml:space="preserve"> as inferior in terms of safety compared to </w:t>
      </w:r>
      <w:r w:rsidR="00FC0923" w:rsidRPr="004967E2">
        <w:rPr>
          <w:rFonts w:eastAsia="Calibri"/>
        </w:rPr>
        <w:t>BSC</w:t>
      </w:r>
      <w:r w:rsidRPr="004967E2">
        <w:rPr>
          <w:rFonts w:eastAsia="Calibri"/>
        </w:rPr>
        <w:t xml:space="preserve">. </w:t>
      </w:r>
      <w:r w:rsidR="00020731" w:rsidRPr="00FD5102">
        <w:rPr>
          <w:rFonts w:eastAsia="Calibri"/>
          <w:iCs/>
        </w:rPr>
        <w:t>The ESC considered this</w:t>
      </w:r>
      <w:r w:rsidR="00020731" w:rsidRPr="004967E2">
        <w:rPr>
          <w:rFonts w:eastAsia="Calibri"/>
        </w:rPr>
        <w:t xml:space="preserve"> </w:t>
      </w:r>
      <w:r w:rsidRPr="004967E2">
        <w:rPr>
          <w:rFonts w:eastAsia="Calibri"/>
        </w:rPr>
        <w:t>claim was supported</w:t>
      </w:r>
      <w:r w:rsidR="000F42D9" w:rsidRPr="004967E2">
        <w:rPr>
          <w:rFonts w:eastAsia="Calibri"/>
        </w:rPr>
        <w:t xml:space="preserve"> by trial data </w:t>
      </w:r>
      <w:r w:rsidR="00482A36" w:rsidRPr="004967E2">
        <w:rPr>
          <w:rFonts w:eastAsia="Calibri"/>
        </w:rPr>
        <w:t xml:space="preserve">for up to </w:t>
      </w:r>
      <w:r w:rsidR="000F42D9" w:rsidRPr="004967E2">
        <w:rPr>
          <w:rFonts w:eastAsia="Calibri"/>
        </w:rPr>
        <w:t xml:space="preserve">52 weeks of treatment. </w:t>
      </w:r>
      <w:r w:rsidR="000F42D9" w:rsidRPr="00FD5102">
        <w:rPr>
          <w:rFonts w:eastAsia="Calibri"/>
          <w:iCs/>
        </w:rPr>
        <w:t xml:space="preserve">However, </w:t>
      </w:r>
      <w:r w:rsidR="00020731" w:rsidRPr="00FD5102">
        <w:rPr>
          <w:rFonts w:eastAsia="Calibri"/>
          <w:iCs/>
        </w:rPr>
        <w:t xml:space="preserve">the ESC noted that </w:t>
      </w:r>
      <w:r w:rsidR="000F42D9" w:rsidRPr="00FD5102">
        <w:rPr>
          <w:rFonts w:eastAsia="Calibri"/>
          <w:iCs/>
        </w:rPr>
        <w:t xml:space="preserve">for longer-term treatment, </w:t>
      </w:r>
      <w:r w:rsidR="00A0537D" w:rsidRPr="00FD5102">
        <w:rPr>
          <w:rFonts w:eastAsia="Calibri"/>
          <w:iCs/>
        </w:rPr>
        <w:t>safety is unknown.</w:t>
      </w:r>
    </w:p>
    <w:p w14:paraId="2AE3372B" w14:textId="054C7C45" w:rsidR="00CD353C" w:rsidRPr="0032560F" w:rsidRDefault="00CD353C" w:rsidP="00CD353C">
      <w:pPr>
        <w:widowControl w:val="0"/>
        <w:numPr>
          <w:ilvl w:val="1"/>
          <w:numId w:val="1"/>
        </w:numPr>
        <w:spacing w:after="120"/>
        <w:rPr>
          <w:rFonts w:asciiTheme="minorHAnsi" w:hAnsiTheme="minorHAnsi"/>
          <w:snapToGrid w:val="0"/>
          <w:szCs w:val="20"/>
        </w:rPr>
      </w:pPr>
      <w:bookmarkStart w:id="53" w:name="_Hlk76376200"/>
      <w:r w:rsidRPr="0032560F">
        <w:rPr>
          <w:rFonts w:asciiTheme="minorHAnsi" w:hAnsiTheme="minorHAnsi"/>
          <w:iCs/>
          <w:snapToGrid w:val="0"/>
        </w:rPr>
        <w:t>The</w:t>
      </w:r>
      <w:r w:rsidRPr="0032560F">
        <w:rPr>
          <w:rFonts w:asciiTheme="minorHAnsi" w:hAnsiTheme="minorHAnsi"/>
          <w:snapToGrid w:val="0"/>
          <w:szCs w:val="20"/>
        </w:rPr>
        <w:t xml:space="preserve"> PBAC considered that the claim of superior comparative effectiveness was reasonable.</w:t>
      </w:r>
    </w:p>
    <w:p w14:paraId="6123BD13" w14:textId="57438EDC" w:rsidR="00CD353C" w:rsidRPr="0032560F" w:rsidRDefault="00CD353C" w:rsidP="00CD353C">
      <w:pPr>
        <w:widowControl w:val="0"/>
        <w:numPr>
          <w:ilvl w:val="1"/>
          <w:numId w:val="1"/>
        </w:numPr>
        <w:spacing w:after="120"/>
        <w:rPr>
          <w:rFonts w:asciiTheme="minorHAnsi" w:hAnsiTheme="minorHAnsi"/>
          <w:snapToGrid w:val="0"/>
          <w:szCs w:val="20"/>
        </w:rPr>
      </w:pPr>
      <w:r w:rsidRPr="0032560F">
        <w:rPr>
          <w:rFonts w:asciiTheme="minorHAnsi" w:hAnsiTheme="minorHAnsi"/>
          <w:snapToGrid w:val="0"/>
          <w:szCs w:val="20"/>
        </w:rPr>
        <w:t>The PBAC considered that the claim of inferior comparative safety was reasonable.</w:t>
      </w:r>
      <w:bookmarkEnd w:id="53"/>
    </w:p>
    <w:p w14:paraId="7508864C" w14:textId="6CC81877" w:rsidR="002C0784" w:rsidRPr="00482A36" w:rsidRDefault="002C0784" w:rsidP="008C7C9A">
      <w:pPr>
        <w:pStyle w:val="4-SubsectionHeading"/>
      </w:pPr>
      <w:bookmarkStart w:id="54" w:name="_Toc22897645"/>
      <w:bookmarkStart w:id="55" w:name="_Toc107927631"/>
      <w:bookmarkStart w:id="56" w:name="_Toc167269205"/>
      <w:r w:rsidRPr="00482A36">
        <w:t>Economic analysis</w:t>
      </w:r>
      <w:bookmarkEnd w:id="54"/>
      <w:bookmarkEnd w:id="55"/>
      <w:bookmarkEnd w:id="56"/>
      <w:r w:rsidRPr="00482A36">
        <w:t xml:space="preserve"> </w:t>
      </w:r>
    </w:p>
    <w:p w14:paraId="57753F23" w14:textId="31B8B092" w:rsidR="002C0784" w:rsidRPr="00FF2C43" w:rsidRDefault="002C0784" w:rsidP="00A627A1">
      <w:pPr>
        <w:pStyle w:val="3-BodyText"/>
        <w:rPr>
          <w:iCs/>
        </w:rPr>
      </w:pPr>
      <w:r w:rsidRPr="00482A36">
        <w:t xml:space="preserve">The submission presented a stepped economic evaluation of linzagolix versus BSC, based on results from the linzagolix 200 mg + ABT and placebo arms of pooled PRIMROSE 1 and 2 data plus external sources. </w:t>
      </w:r>
      <w:r w:rsidRPr="00FF2C43">
        <w:rPr>
          <w:iCs/>
        </w:rPr>
        <w:t>As discussed, this was not a</w:t>
      </w:r>
      <w:r w:rsidR="00074C48" w:rsidRPr="00FF2C43">
        <w:rPr>
          <w:iCs/>
        </w:rPr>
        <w:t xml:space="preserve">n accurate </w:t>
      </w:r>
      <w:r w:rsidRPr="00FF2C43">
        <w:rPr>
          <w:iCs/>
        </w:rPr>
        <w:t>representation of a second line setting in Australia which would also include hormone treatments as part of BSC with or without tranexamic acid, both of which were specifically excluded. The</w:t>
      </w:r>
      <w:r w:rsidR="00E535FA" w:rsidRPr="00FF2C43">
        <w:rPr>
          <w:iCs/>
        </w:rPr>
        <w:t xml:space="preserve"> </w:t>
      </w:r>
      <w:r w:rsidR="00E535FA" w:rsidRPr="00FD5102">
        <w:t>ESC considered that the</w:t>
      </w:r>
      <w:r w:rsidRPr="00FF2C43">
        <w:rPr>
          <w:iCs/>
        </w:rPr>
        <w:t xml:space="preserve"> lack of evidence for the requested second line listing could not be resolved with modelling. </w:t>
      </w:r>
      <w:r w:rsidR="00A43DAE" w:rsidRPr="00FD5102">
        <w:t>The PSCR maintained that the PRIMROSE study can be considered applicable to the second line setting, and the nomination of BSC (excluding hormonal therapies and tranexamic acid) is appropriate</w:t>
      </w:r>
      <w:r w:rsidR="00CC366C" w:rsidRPr="00FD5102">
        <w:t xml:space="preserve"> (see paragraph </w:t>
      </w:r>
      <w:r w:rsidR="00CC366C" w:rsidRPr="00FD5102">
        <w:fldChar w:fldCharType="begin"/>
      </w:r>
      <w:r w:rsidR="00CC366C" w:rsidRPr="00FD5102">
        <w:instrText xml:space="preserve"> REF _Ref169854993 \r \h </w:instrText>
      </w:r>
      <w:r w:rsidR="00CC366C" w:rsidRPr="00FD5102">
        <w:fldChar w:fldCharType="separate"/>
      </w:r>
      <w:r w:rsidR="003E4FD0">
        <w:t>5.1</w:t>
      </w:r>
      <w:r w:rsidR="00CC366C" w:rsidRPr="00FD5102">
        <w:fldChar w:fldCharType="end"/>
      </w:r>
      <w:r w:rsidR="00CC366C" w:rsidRPr="00FD5102">
        <w:t>)</w:t>
      </w:r>
      <w:r w:rsidR="00A43DAE" w:rsidRPr="00FD5102">
        <w:t>. It reiterated that linzagolix could be used with ABT in those who are unsuitable for hormone treatments</w:t>
      </w:r>
      <w:r w:rsidR="00CC366C" w:rsidRPr="00FD5102">
        <w:t xml:space="preserve"> (see paragraph</w:t>
      </w:r>
      <w:r w:rsidR="001626C8">
        <w:t xml:space="preserve"> </w:t>
      </w:r>
      <w:r w:rsidR="00FF0DA4">
        <w:fldChar w:fldCharType="begin"/>
      </w:r>
      <w:r w:rsidR="00FF0DA4">
        <w:instrText xml:space="preserve"> REF _Ref174433316 \r \h </w:instrText>
      </w:r>
      <w:r w:rsidR="00FF0DA4">
        <w:fldChar w:fldCharType="separate"/>
      </w:r>
      <w:r w:rsidR="003E4FD0">
        <w:t>6.8</w:t>
      </w:r>
      <w:r w:rsidR="00FF0DA4">
        <w:fldChar w:fldCharType="end"/>
      </w:r>
      <w:r w:rsidR="00CC366C" w:rsidRPr="00FD5102">
        <w:t>)</w:t>
      </w:r>
      <w:r w:rsidR="00A43DAE" w:rsidRPr="00FD5102">
        <w:t>.</w:t>
      </w:r>
    </w:p>
    <w:p w14:paraId="480405F8" w14:textId="5940A94B" w:rsidR="002C0784" w:rsidRPr="00482A36" w:rsidRDefault="002C0784" w:rsidP="00EB5519">
      <w:pPr>
        <w:pStyle w:val="Caption"/>
        <w:rPr>
          <w:rStyle w:val="CommentReference"/>
          <w:b/>
          <w:szCs w:val="18"/>
        </w:rPr>
      </w:pPr>
      <w:r w:rsidRPr="00482A36">
        <w:t xml:space="preserve">Table </w:t>
      </w:r>
      <w:r w:rsidR="00747D8C">
        <w:fldChar w:fldCharType="begin"/>
      </w:r>
      <w:r w:rsidR="00747D8C">
        <w:instrText xml:space="preserve"> SEQ Table \* ARABIC </w:instrText>
      </w:r>
      <w:r w:rsidR="00747D8C">
        <w:fldChar w:fldCharType="separate"/>
      </w:r>
      <w:r w:rsidR="003E4FD0">
        <w:rPr>
          <w:noProof/>
        </w:rPr>
        <w:t>9</w:t>
      </w:r>
      <w:r w:rsidR="00747D8C">
        <w:rPr>
          <w:noProof/>
        </w:rPr>
        <w:fldChar w:fldCharType="end"/>
      </w:r>
      <w:r w:rsidRPr="00482A36">
        <w:t xml:space="preserve">. Summary of model structure, key </w:t>
      </w:r>
      <w:proofErr w:type="gramStart"/>
      <w:r w:rsidRPr="00482A36">
        <w:t>inputs</w:t>
      </w:r>
      <w:proofErr w:type="gramEnd"/>
      <w:r w:rsidRPr="00482A36">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Summary of model structure, key inputs and rationale"/>
      </w:tblPr>
      <w:tblGrid>
        <w:gridCol w:w="1414"/>
        <w:gridCol w:w="3544"/>
        <w:gridCol w:w="4059"/>
      </w:tblGrid>
      <w:tr w:rsidR="002C0784" w:rsidRPr="00482A36" w14:paraId="27DFBFEB" w14:textId="77777777">
        <w:trPr>
          <w:tblHeader/>
        </w:trPr>
        <w:tc>
          <w:tcPr>
            <w:tcW w:w="784" w:type="pct"/>
            <w:vAlign w:val="center"/>
          </w:tcPr>
          <w:p w14:paraId="5D65D648" w14:textId="77777777" w:rsidR="002C0784" w:rsidRPr="00482A36" w:rsidRDefault="002C0784" w:rsidP="00EB5519">
            <w:pPr>
              <w:pStyle w:val="In-tableHeading"/>
              <w:rPr>
                <w:lang w:val="en-AU"/>
              </w:rPr>
            </w:pPr>
            <w:r w:rsidRPr="00482A36">
              <w:rPr>
                <w:lang w:val="en-AU"/>
              </w:rPr>
              <w:t>Component</w:t>
            </w:r>
          </w:p>
        </w:tc>
        <w:tc>
          <w:tcPr>
            <w:tcW w:w="1965" w:type="pct"/>
          </w:tcPr>
          <w:p w14:paraId="26DA642C" w14:textId="77777777" w:rsidR="002C0784" w:rsidRPr="00482A36" w:rsidRDefault="002C0784" w:rsidP="00EB5519">
            <w:pPr>
              <w:pStyle w:val="In-tableHeading"/>
              <w:jc w:val="center"/>
              <w:rPr>
                <w:lang w:val="en-AU"/>
              </w:rPr>
            </w:pPr>
            <w:r w:rsidRPr="00482A36">
              <w:rPr>
                <w:lang w:val="en-AU"/>
              </w:rPr>
              <w:t>Description</w:t>
            </w:r>
          </w:p>
        </w:tc>
        <w:tc>
          <w:tcPr>
            <w:tcW w:w="2251" w:type="pct"/>
            <w:vAlign w:val="center"/>
          </w:tcPr>
          <w:p w14:paraId="2341A18F" w14:textId="77777777" w:rsidR="002C0784" w:rsidRPr="00482A36" w:rsidRDefault="002C0784" w:rsidP="00EB5519">
            <w:pPr>
              <w:pStyle w:val="In-tableHeading"/>
              <w:jc w:val="center"/>
              <w:rPr>
                <w:lang w:val="en-AU"/>
              </w:rPr>
            </w:pPr>
            <w:r w:rsidRPr="00482A36">
              <w:rPr>
                <w:lang w:val="en-AU"/>
              </w:rPr>
              <w:t>Justification/comments</w:t>
            </w:r>
          </w:p>
        </w:tc>
      </w:tr>
      <w:tr w:rsidR="002C0784" w:rsidRPr="00616367" w14:paraId="759A8EA0" w14:textId="77777777">
        <w:tc>
          <w:tcPr>
            <w:tcW w:w="784" w:type="pct"/>
            <w:vAlign w:val="center"/>
          </w:tcPr>
          <w:p w14:paraId="4DD27376" w14:textId="77777777" w:rsidR="002C0784" w:rsidRPr="00616367" w:rsidRDefault="002C0784" w:rsidP="00EB5519">
            <w:pPr>
              <w:pStyle w:val="TableText0"/>
            </w:pPr>
            <w:r w:rsidRPr="00616367">
              <w:t>Type of analysis</w:t>
            </w:r>
          </w:p>
        </w:tc>
        <w:tc>
          <w:tcPr>
            <w:tcW w:w="1965" w:type="pct"/>
          </w:tcPr>
          <w:p w14:paraId="1DA44E96" w14:textId="77777777" w:rsidR="002C0784" w:rsidRPr="00616367" w:rsidRDefault="002C0784" w:rsidP="00EB5519">
            <w:pPr>
              <w:pStyle w:val="TableText0"/>
            </w:pPr>
            <w:r w:rsidRPr="00616367">
              <w:t>Cost-utility analysis</w:t>
            </w:r>
          </w:p>
        </w:tc>
        <w:tc>
          <w:tcPr>
            <w:tcW w:w="2251" w:type="pct"/>
            <w:vAlign w:val="center"/>
          </w:tcPr>
          <w:p w14:paraId="4367865E" w14:textId="77777777" w:rsidR="002C0784" w:rsidRPr="00616367" w:rsidRDefault="002C0784" w:rsidP="00EB5519">
            <w:pPr>
              <w:pStyle w:val="TableText0"/>
              <w:rPr>
                <w:iCs/>
              </w:rPr>
            </w:pPr>
            <w:r w:rsidRPr="00616367">
              <w:rPr>
                <w:iCs/>
              </w:rPr>
              <w:t>Appropriate.</w:t>
            </w:r>
          </w:p>
        </w:tc>
      </w:tr>
      <w:tr w:rsidR="002C0784" w:rsidRPr="00616367" w14:paraId="6EBA087E" w14:textId="77777777">
        <w:tc>
          <w:tcPr>
            <w:tcW w:w="784" w:type="pct"/>
            <w:shd w:val="clear" w:color="auto" w:fill="auto"/>
            <w:vAlign w:val="center"/>
          </w:tcPr>
          <w:p w14:paraId="455E7F18" w14:textId="77777777" w:rsidR="002C0784" w:rsidRPr="00616367" w:rsidRDefault="002C0784" w:rsidP="00EB5519">
            <w:pPr>
              <w:pStyle w:val="TableText0"/>
            </w:pPr>
            <w:r w:rsidRPr="00616367">
              <w:t>Treatments</w:t>
            </w:r>
          </w:p>
        </w:tc>
        <w:tc>
          <w:tcPr>
            <w:tcW w:w="1965" w:type="pct"/>
            <w:shd w:val="clear" w:color="auto" w:fill="auto"/>
            <w:vAlign w:val="center"/>
          </w:tcPr>
          <w:p w14:paraId="553E9602" w14:textId="77777777" w:rsidR="002C0784" w:rsidRPr="00616367" w:rsidRDefault="002C0784" w:rsidP="00EB5519">
            <w:pPr>
              <w:pStyle w:val="TableText0"/>
            </w:pPr>
            <w:r w:rsidRPr="00616367">
              <w:t>LGX vs BSC</w:t>
            </w:r>
          </w:p>
        </w:tc>
        <w:tc>
          <w:tcPr>
            <w:tcW w:w="2251" w:type="pct"/>
            <w:vAlign w:val="center"/>
          </w:tcPr>
          <w:p w14:paraId="5D0D9FD8" w14:textId="77777777" w:rsidR="002C0784" w:rsidRPr="00616367" w:rsidRDefault="002C0784" w:rsidP="00EB5519">
            <w:pPr>
              <w:pStyle w:val="TableText0"/>
              <w:rPr>
                <w:iCs/>
              </w:rPr>
            </w:pPr>
            <w:r w:rsidRPr="00616367">
              <w:rPr>
                <w:iCs/>
              </w:rPr>
              <w:t>Appropriate.</w:t>
            </w:r>
          </w:p>
        </w:tc>
      </w:tr>
      <w:tr w:rsidR="002C0784" w:rsidRPr="00616367" w14:paraId="3ECB07DD" w14:textId="77777777">
        <w:tc>
          <w:tcPr>
            <w:tcW w:w="784" w:type="pct"/>
            <w:vAlign w:val="center"/>
          </w:tcPr>
          <w:p w14:paraId="71E4C09B" w14:textId="77777777" w:rsidR="002C0784" w:rsidRPr="00616367" w:rsidRDefault="002C0784" w:rsidP="00EB5519">
            <w:pPr>
              <w:pStyle w:val="TableText0"/>
            </w:pPr>
            <w:r w:rsidRPr="00616367">
              <w:t>Outcomes</w:t>
            </w:r>
          </w:p>
        </w:tc>
        <w:tc>
          <w:tcPr>
            <w:tcW w:w="1965" w:type="pct"/>
          </w:tcPr>
          <w:p w14:paraId="6FBDFDCE" w14:textId="77777777" w:rsidR="002C0784" w:rsidRPr="00616367" w:rsidRDefault="002C0784" w:rsidP="00EB5519">
            <w:pPr>
              <w:pStyle w:val="TableText0"/>
            </w:pPr>
            <w:r w:rsidRPr="00616367">
              <w:t>Quality-adjusted life years</w:t>
            </w:r>
          </w:p>
        </w:tc>
        <w:tc>
          <w:tcPr>
            <w:tcW w:w="2251" w:type="pct"/>
            <w:vAlign w:val="center"/>
          </w:tcPr>
          <w:p w14:paraId="66BEBFA5" w14:textId="77777777" w:rsidR="002C0784" w:rsidRPr="00616367" w:rsidRDefault="002C0784" w:rsidP="00EB5519">
            <w:pPr>
              <w:pStyle w:val="TableText0"/>
              <w:rPr>
                <w:iCs/>
              </w:rPr>
            </w:pPr>
            <w:r w:rsidRPr="00616367">
              <w:rPr>
                <w:iCs/>
              </w:rPr>
              <w:t>Appropriate.</w:t>
            </w:r>
          </w:p>
        </w:tc>
      </w:tr>
      <w:tr w:rsidR="002C0784" w:rsidRPr="00616367" w14:paraId="7192101B" w14:textId="77777777">
        <w:tc>
          <w:tcPr>
            <w:tcW w:w="784" w:type="pct"/>
            <w:vAlign w:val="center"/>
          </w:tcPr>
          <w:p w14:paraId="0DF98AD8" w14:textId="77777777" w:rsidR="002C0784" w:rsidRPr="00616367" w:rsidRDefault="002C0784">
            <w:pPr>
              <w:pStyle w:val="TableText0"/>
              <w:keepNext w:val="0"/>
            </w:pPr>
            <w:r w:rsidRPr="00616367">
              <w:lastRenderedPageBreak/>
              <w:t>Time horizon</w:t>
            </w:r>
          </w:p>
        </w:tc>
        <w:tc>
          <w:tcPr>
            <w:tcW w:w="1965" w:type="pct"/>
          </w:tcPr>
          <w:p w14:paraId="395046FA" w14:textId="77777777" w:rsidR="002C0784" w:rsidRPr="00616367" w:rsidRDefault="002C0784">
            <w:pPr>
              <w:pStyle w:val="TableText0"/>
              <w:keepNext w:val="0"/>
            </w:pPr>
            <w:r w:rsidRPr="00616367">
              <w:t>3 years to 21 years (based on cohort starting ages 35, 39, 43, 46 with percentages from PRIMROSE 2 and varying ages of menopause based on Australian study Xu 2020) vs. 52 weeks in the key trials.</w:t>
            </w:r>
          </w:p>
        </w:tc>
        <w:tc>
          <w:tcPr>
            <w:tcW w:w="2251" w:type="pct"/>
            <w:vAlign w:val="center"/>
          </w:tcPr>
          <w:p w14:paraId="57BFBBBC" w14:textId="114A0629" w:rsidR="002C0784" w:rsidRPr="000861FB" w:rsidRDefault="00D4445B">
            <w:pPr>
              <w:pStyle w:val="TableText0"/>
              <w:keepNext w:val="0"/>
              <w:rPr>
                <w:i/>
              </w:rPr>
            </w:pPr>
            <w:r w:rsidRPr="00FD5102">
              <w:t>The ESC considered that this was not</w:t>
            </w:r>
            <w:r w:rsidR="002C0784" w:rsidRPr="00616367">
              <w:rPr>
                <w:iCs/>
              </w:rPr>
              <w:t xml:space="preserve"> reasonable. The model did not include patients younger than 35 years. If accounting for these patients (can be as young as 18 years), the time horizon will significantly increase given longer time to menopause.</w:t>
            </w:r>
            <w:r w:rsidR="009047F1" w:rsidRPr="00616367">
              <w:rPr>
                <w:iCs/>
              </w:rPr>
              <w:t xml:space="preserve"> </w:t>
            </w:r>
            <w:r w:rsidR="001A3179" w:rsidRPr="00FD5102">
              <w:t xml:space="preserve">The </w:t>
            </w:r>
            <w:r w:rsidR="004633FB" w:rsidRPr="00FD5102">
              <w:t>ESC noted the time horizon was also closely linked to the assumed</w:t>
            </w:r>
            <w:r w:rsidR="00A31358" w:rsidRPr="00FD5102">
              <w:t xml:space="preserve"> age at init</w:t>
            </w:r>
            <w:r w:rsidR="00C84880" w:rsidRPr="00FD5102">
              <w:t>i</w:t>
            </w:r>
            <w:r w:rsidR="00A31358" w:rsidRPr="00FD5102">
              <w:t>ation.</w:t>
            </w:r>
            <w:r w:rsidR="000861FB">
              <w:rPr>
                <w:iCs/>
              </w:rPr>
              <w:t xml:space="preserve"> </w:t>
            </w:r>
          </w:p>
        </w:tc>
      </w:tr>
      <w:tr w:rsidR="002C0784" w:rsidRPr="00616367" w14:paraId="3EBA35E4" w14:textId="77777777">
        <w:tc>
          <w:tcPr>
            <w:tcW w:w="784" w:type="pct"/>
            <w:vAlign w:val="center"/>
          </w:tcPr>
          <w:p w14:paraId="0B80E2D5" w14:textId="77777777" w:rsidR="002C0784" w:rsidRPr="00616367" w:rsidRDefault="002C0784">
            <w:pPr>
              <w:pStyle w:val="TableText0"/>
              <w:keepNext w:val="0"/>
            </w:pPr>
            <w:r w:rsidRPr="00616367">
              <w:t>Methods used to generate results</w:t>
            </w:r>
          </w:p>
        </w:tc>
        <w:tc>
          <w:tcPr>
            <w:tcW w:w="1965" w:type="pct"/>
          </w:tcPr>
          <w:p w14:paraId="6A8AC524" w14:textId="18598EA6" w:rsidR="002C0784" w:rsidRPr="00616367" w:rsidRDefault="002C0784">
            <w:pPr>
              <w:pStyle w:val="TableText0"/>
              <w:keepNext w:val="0"/>
            </w:pPr>
            <w:r w:rsidRPr="00616367">
              <w:t>Markov model, with up-front decision tree to account for variation in start age and age at menopause</w:t>
            </w:r>
            <w:r w:rsidR="00A57F7C" w:rsidRPr="00616367">
              <w:t>.</w:t>
            </w:r>
            <w:r w:rsidRPr="00616367">
              <w:t xml:space="preserve"> </w:t>
            </w:r>
          </w:p>
        </w:tc>
        <w:tc>
          <w:tcPr>
            <w:tcW w:w="2251" w:type="pct"/>
            <w:vAlign w:val="center"/>
          </w:tcPr>
          <w:p w14:paraId="68B9E605" w14:textId="77777777" w:rsidR="002C0784" w:rsidRPr="00616367" w:rsidRDefault="002C0784">
            <w:pPr>
              <w:pStyle w:val="TableText0"/>
              <w:keepNext w:val="0"/>
              <w:rPr>
                <w:iCs/>
              </w:rPr>
            </w:pPr>
            <w:r w:rsidRPr="00616367">
              <w:rPr>
                <w:iCs/>
              </w:rPr>
              <w:t>Appropriate.</w:t>
            </w:r>
          </w:p>
        </w:tc>
      </w:tr>
      <w:tr w:rsidR="002C0784" w:rsidRPr="00482A36" w14:paraId="4E168FA4" w14:textId="77777777" w:rsidTr="00531505">
        <w:tc>
          <w:tcPr>
            <w:tcW w:w="784" w:type="pct"/>
            <w:vAlign w:val="center"/>
          </w:tcPr>
          <w:p w14:paraId="08B25123" w14:textId="77777777" w:rsidR="002C0784" w:rsidRPr="00482A36" w:rsidRDefault="002C0784">
            <w:pPr>
              <w:pStyle w:val="TableText0"/>
              <w:keepNext w:val="0"/>
            </w:pPr>
            <w:r w:rsidRPr="00482A36">
              <w:t>Health states</w:t>
            </w:r>
          </w:p>
        </w:tc>
        <w:tc>
          <w:tcPr>
            <w:tcW w:w="1965" w:type="pct"/>
          </w:tcPr>
          <w:p w14:paraId="3BDF4F02" w14:textId="77777777" w:rsidR="002C0784" w:rsidRPr="00482A36" w:rsidRDefault="002C0784">
            <w:pPr>
              <w:pStyle w:val="TableText0"/>
              <w:keepNext w:val="0"/>
            </w:pPr>
            <w:r w:rsidRPr="00482A36">
              <w:t>17 health states:</w:t>
            </w:r>
          </w:p>
          <w:p w14:paraId="00E6C869" w14:textId="77777777" w:rsidR="002C0784" w:rsidRPr="00482A36" w:rsidRDefault="002C0784" w:rsidP="00E57A22">
            <w:pPr>
              <w:pStyle w:val="TableText0"/>
              <w:keepNext w:val="0"/>
              <w:numPr>
                <w:ilvl w:val="0"/>
                <w:numId w:val="14"/>
              </w:numPr>
              <w:ind w:left="263" w:hanging="141"/>
            </w:pPr>
            <w:r w:rsidRPr="00482A36">
              <w:t>HMB (LGX; BSC)</w:t>
            </w:r>
          </w:p>
          <w:p w14:paraId="30A31EF7" w14:textId="77777777" w:rsidR="002C0784" w:rsidRPr="00482A36" w:rsidRDefault="002C0784" w:rsidP="00E57A22">
            <w:pPr>
              <w:pStyle w:val="TableText0"/>
              <w:keepNext w:val="0"/>
              <w:numPr>
                <w:ilvl w:val="0"/>
                <w:numId w:val="14"/>
              </w:numPr>
              <w:ind w:left="263" w:hanging="141"/>
            </w:pPr>
            <w:r w:rsidRPr="00482A36">
              <w:t>HMB remission (LGX; BSC)</w:t>
            </w:r>
          </w:p>
          <w:p w14:paraId="7CE7B3C2" w14:textId="77777777" w:rsidR="002C0784" w:rsidRPr="00482A36" w:rsidRDefault="002C0784" w:rsidP="00E57A22">
            <w:pPr>
              <w:pStyle w:val="TableText0"/>
              <w:keepNext w:val="0"/>
              <w:numPr>
                <w:ilvl w:val="0"/>
                <w:numId w:val="14"/>
              </w:numPr>
              <w:ind w:left="263" w:hanging="141"/>
            </w:pPr>
            <w:r w:rsidRPr="00482A36">
              <w:t>Waiting for surgery (HMB-LGX; HMB-BSC)</w:t>
            </w:r>
          </w:p>
          <w:p w14:paraId="5FE81080" w14:textId="77777777" w:rsidR="002C0784" w:rsidRPr="00482A36" w:rsidRDefault="002C0784" w:rsidP="00E57A22">
            <w:pPr>
              <w:pStyle w:val="TableText0"/>
              <w:keepNext w:val="0"/>
              <w:numPr>
                <w:ilvl w:val="0"/>
                <w:numId w:val="14"/>
              </w:numPr>
              <w:ind w:left="263" w:hanging="141"/>
            </w:pPr>
            <w:r w:rsidRPr="00482A36">
              <w:t>Myomectomy (LGX; BSC)</w:t>
            </w:r>
          </w:p>
          <w:p w14:paraId="64CDD9D6" w14:textId="77777777" w:rsidR="002C0784" w:rsidRPr="00482A36" w:rsidRDefault="002C0784" w:rsidP="00E57A22">
            <w:pPr>
              <w:pStyle w:val="TableText0"/>
              <w:keepNext w:val="0"/>
              <w:numPr>
                <w:ilvl w:val="0"/>
                <w:numId w:val="14"/>
              </w:numPr>
              <w:ind w:left="263" w:hanging="141"/>
            </w:pPr>
            <w:r w:rsidRPr="00482A36">
              <w:t xml:space="preserve">Abdominal hysterectomy (AH) </w:t>
            </w:r>
          </w:p>
          <w:p w14:paraId="482AD0B1" w14:textId="77777777" w:rsidR="002C0784" w:rsidRPr="00482A36" w:rsidRDefault="002C0784" w:rsidP="00E57A22">
            <w:pPr>
              <w:pStyle w:val="TableText0"/>
              <w:keepNext w:val="0"/>
              <w:numPr>
                <w:ilvl w:val="0"/>
                <w:numId w:val="14"/>
              </w:numPr>
              <w:ind w:left="263" w:hanging="141"/>
            </w:pPr>
            <w:r w:rsidRPr="00482A36">
              <w:t>Laparoscopic hysterectomy (LH)</w:t>
            </w:r>
          </w:p>
          <w:p w14:paraId="2D94E9FF" w14:textId="77777777" w:rsidR="002C0784" w:rsidRPr="00482A36" w:rsidRDefault="002C0784" w:rsidP="00E57A22">
            <w:pPr>
              <w:pStyle w:val="TableText0"/>
              <w:keepNext w:val="0"/>
              <w:numPr>
                <w:ilvl w:val="0"/>
                <w:numId w:val="14"/>
              </w:numPr>
              <w:ind w:left="263" w:hanging="141"/>
            </w:pPr>
            <w:r w:rsidRPr="00482A36">
              <w:t>Post myomectomy (LGX; BSC)</w:t>
            </w:r>
          </w:p>
          <w:p w14:paraId="44E1B15B" w14:textId="77777777" w:rsidR="002C0784" w:rsidRPr="00482A36" w:rsidRDefault="002C0784" w:rsidP="00E57A22">
            <w:pPr>
              <w:pStyle w:val="TableText0"/>
              <w:keepNext w:val="0"/>
              <w:numPr>
                <w:ilvl w:val="0"/>
                <w:numId w:val="14"/>
              </w:numPr>
              <w:ind w:left="263" w:hanging="141"/>
            </w:pPr>
            <w:r w:rsidRPr="00482A36">
              <w:t>Post AH</w:t>
            </w:r>
          </w:p>
          <w:p w14:paraId="215DC21B" w14:textId="77777777" w:rsidR="002C0784" w:rsidRPr="00482A36" w:rsidRDefault="002C0784" w:rsidP="00E57A22">
            <w:pPr>
              <w:pStyle w:val="TableText0"/>
              <w:keepNext w:val="0"/>
              <w:numPr>
                <w:ilvl w:val="0"/>
                <w:numId w:val="14"/>
              </w:numPr>
              <w:ind w:left="263" w:hanging="141"/>
            </w:pPr>
            <w:r w:rsidRPr="00482A36">
              <w:t>Post LH</w:t>
            </w:r>
          </w:p>
          <w:p w14:paraId="24EC5BAE" w14:textId="77777777" w:rsidR="002C0784" w:rsidRPr="00482A36" w:rsidRDefault="002C0784" w:rsidP="00E57A22">
            <w:pPr>
              <w:pStyle w:val="TableText0"/>
              <w:keepNext w:val="0"/>
              <w:numPr>
                <w:ilvl w:val="0"/>
                <w:numId w:val="14"/>
              </w:numPr>
              <w:ind w:left="263" w:hanging="141"/>
            </w:pPr>
            <w:r w:rsidRPr="00482A36">
              <w:t>Menopause (no hysterectomy; post hysterectomy)</w:t>
            </w:r>
          </w:p>
          <w:p w14:paraId="1A85DBD5" w14:textId="77777777" w:rsidR="002C0784" w:rsidRPr="00482A36" w:rsidRDefault="002C0784" w:rsidP="00E57A22">
            <w:pPr>
              <w:pStyle w:val="TableText0"/>
              <w:keepNext w:val="0"/>
              <w:numPr>
                <w:ilvl w:val="0"/>
                <w:numId w:val="14"/>
              </w:numPr>
              <w:ind w:left="263" w:hanging="141"/>
            </w:pPr>
            <w:r w:rsidRPr="00482A36">
              <w:t>Death</w:t>
            </w:r>
          </w:p>
        </w:tc>
        <w:tc>
          <w:tcPr>
            <w:tcW w:w="2251" w:type="pct"/>
          </w:tcPr>
          <w:p w14:paraId="288A2F19" w14:textId="5FDB18E0" w:rsidR="002C0784" w:rsidRPr="00616367" w:rsidRDefault="002C0784" w:rsidP="00531505">
            <w:pPr>
              <w:pStyle w:val="TableText0"/>
              <w:keepNext w:val="0"/>
              <w:rPr>
                <w:iCs/>
              </w:rPr>
            </w:pPr>
            <w:r w:rsidRPr="00FD5102">
              <w:t xml:space="preserve">Overall, </w:t>
            </w:r>
            <w:r w:rsidR="00062DC1" w:rsidRPr="00FD5102">
              <w:t xml:space="preserve">the ESC noted the model was </w:t>
            </w:r>
            <w:proofErr w:type="gramStart"/>
            <w:r w:rsidR="00062DC1" w:rsidRPr="00FD5102">
              <w:t>fairly complex</w:t>
            </w:r>
            <w:proofErr w:type="gramEnd"/>
            <w:r w:rsidR="00062DC1" w:rsidRPr="00FD5102">
              <w:t>, but considered that the trial data informing the model was likely adequately robust to inform the transitions required.</w:t>
            </w:r>
            <w:r w:rsidR="00062DC1">
              <w:rPr>
                <w:iCs/>
              </w:rPr>
              <w:t xml:space="preserve"> T</w:t>
            </w:r>
            <w:r w:rsidRPr="00616367">
              <w:rPr>
                <w:iCs/>
              </w:rPr>
              <w:t>he</w:t>
            </w:r>
            <w:r w:rsidR="009047F1" w:rsidRPr="00616367">
              <w:rPr>
                <w:iCs/>
              </w:rPr>
              <w:t>re were more</w:t>
            </w:r>
            <w:r w:rsidRPr="00616367">
              <w:rPr>
                <w:iCs/>
              </w:rPr>
              <w:t xml:space="preserve"> health states </w:t>
            </w:r>
            <w:r w:rsidR="009047F1" w:rsidRPr="00616367">
              <w:rPr>
                <w:iCs/>
              </w:rPr>
              <w:t>in the model in the submission compared</w:t>
            </w:r>
            <w:r w:rsidRPr="00616367">
              <w:rPr>
                <w:iCs/>
              </w:rPr>
              <w:t xml:space="preserve"> to the NICE models</w:t>
            </w:r>
            <w:r w:rsidR="009047F1" w:rsidRPr="00616367">
              <w:rPr>
                <w:iCs/>
              </w:rPr>
              <w:t xml:space="preserve">. </w:t>
            </w:r>
            <w:r w:rsidR="00A31358" w:rsidRPr="00616367">
              <w:rPr>
                <w:iCs/>
              </w:rPr>
              <w:t xml:space="preserve">While the two </w:t>
            </w:r>
            <w:r w:rsidR="001A3179" w:rsidRPr="00616367">
              <w:rPr>
                <w:iCs/>
              </w:rPr>
              <w:t>model</w:t>
            </w:r>
            <w:r w:rsidR="00A31358" w:rsidRPr="00616367">
              <w:rPr>
                <w:iCs/>
              </w:rPr>
              <w:t>s</w:t>
            </w:r>
            <w:r w:rsidR="001A3179" w:rsidRPr="00616367">
              <w:rPr>
                <w:iCs/>
              </w:rPr>
              <w:t xml:space="preserve"> </w:t>
            </w:r>
            <w:r w:rsidR="00A31358" w:rsidRPr="00616367">
              <w:rPr>
                <w:iCs/>
              </w:rPr>
              <w:t xml:space="preserve">tracked similar clinical events e.g., </w:t>
            </w:r>
            <w:r w:rsidR="001A3179" w:rsidRPr="00616367">
              <w:rPr>
                <w:iCs/>
              </w:rPr>
              <w:t>surgery and menopause</w:t>
            </w:r>
            <w:r w:rsidR="00A31358" w:rsidRPr="00616367">
              <w:rPr>
                <w:iCs/>
              </w:rPr>
              <w:t xml:space="preserve">, </w:t>
            </w:r>
            <w:r w:rsidRPr="00616367">
              <w:rPr>
                <w:iCs/>
              </w:rPr>
              <w:t xml:space="preserve">health states </w:t>
            </w:r>
            <w:r w:rsidR="00A31358" w:rsidRPr="00616367">
              <w:rPr>
                <w:iCs/>
              </w:rPr>
              <w:t xml:space="preserve">in the NICE model </w:t>
            </w:r>
            <w:r w:rsidR="009047F1" w:rsidRPr="00616367">
              <w:rPr>
                <w:iCs/>
              </w:rPr>
              <w:t xml:space="preserve">were combined </w:t>
            </w:r>
            <w:r w:rsidRPr="00616367">
              <w:rPr>
                <w:iCs/>
              </w:rPr>
              <w:t>across surgery types</w:t>
            </w:r>
            <w:r w:rsidR="001A3179" w:rsidRPr="00616367">
              <w:rPr>
                <w:iCs/>
              </w:rPr>
              <w:t xml:space="preserve"> </w:t>
            </w:r>
            <w:r w:rsidR="009047F1" w:rsidRPr="00616367">
              <w:rPr>
                <w:iCs/>
              </w:rPr>
              <w:t>for patients on and off linzagolix treatment</w:t>
            </w:r>
            <w:r w:rsidRPr="00616367">
              <w:rPr>
                <w:iCs/>
              </w:rPr>
              <w:t>.</w:t>
            </w:r>
          </w:p>
          <w:p w14:paraId="5207E406" w14:textId="77777777" w:rsidR="007645BC" w:rsidRPr="00616367" w:rsidRDefault="007645BC" w:rsidP="00531505">
            <w:pPr>
              <w:pStyle w:val="TableText0"/>
              <w:keepNext w:val="0"/>
              <w:rPr>
                <w:iCs/>
              </w:rPr>
            </w:pPr>
          </w:p>
          <w:p w14:paraId="583D98AA" w14:textId="506C6C2E" w:rsidR="002C0784" w:rsidRPr="00482A36" w:rsidRDefault="002C0784" w:rsidP="00531505">
            <w:pPr>
              <w:pStyle w:val="TableText0"/>
              <w:keepNext w:val="0"/>
              <w:rPr>
                <w:i/>
                <w:iCs/>
              </w:rPr>
            </w:pPr>
            <w:r w:rsidRPr="00616367">
              <w:rPr>
                <w:iCs/>
              </w:rPr>
              <w:t>The</w:t>
            </w:r>
            <w:r w:rsidR="00A31358" w:rsidRPr="00616367">
              <w:rPr>
                <w:iCs/>
              </w:rPr>
              <w:t xml:space="preserve"> submission’s</w:t>
            </w:r>
            <w:r w:rsidRPr="00616367">
              <w:rPr>
                <w:iCs/>
              </w:rPr>
              <w:t xml:space="preserve"> model did not include uterine artery embolization (UAE) as a treatment option alongside hysterectomy and myomectomy</w:t>
            </w:r>
            <w:r w:rsidR="00A31358" w:rsidRPr="00616367">
              <w:rPr>
                <w:iCs/>
              </w:rPr>
              <w:t>.</w:t>
            </w:r>
            <w:r w:rsidRPr="00616367">
              <w:rPr>
                <w:iCs/>
              </w:rPr>
              <w:t xml:space="preserve"> This did not reflect</w:t>
            </w:r>
            <w:r w:rsidR="00A31358" w:rsidRPr="00616367">
              <w:rPr>
                <w:iCs/>
              </w:rPr>
              <w:t xml:space="preserve"> clinical practice</w:t>
            </w:r>
            <w:r w:rsidRPr="00616367">
              <w:rPr>
                <w:iCs/>
              </w:rPr>
              <w:t>.</w:t>
            </w:r>
          </w:p>
        </w:tc>
      </w:tr>
      <w:tr w:rsidR="002C0784" w:rsidRPr="00616367" w14:paraId="70744388" w14:textId="77777777">
        <w:tc>
          <w:tcPr>
            <w:tcW w:w="784" w:type="pct"/>
            <w:vAlign w:val="center"/>
          </w:tcPr>
          <w:p w14:paraId="52917745" w14:textId="77777777" w:rsidR="002C0784" w:rsidRPr="00616367" w:rsidRDefault="002C0784">
            <w:pPr>
              <w:pStyle w:val="TableText0"/>
              <w:keepNext w:val="0"/>
            </w:pPr>
            <w:r w:rsidRPr="00616367">
              <w:t>Cycle length</w:t>
            </w:r>
          </w:p>
        </w:tc>
        <w:tc>
          <w:tcPr>
            <w:tcW w:w="1965" w:type="pct"/>
          </w:tcPr>
          <w:p w14:paraId="3199731A" w14:textId="77777777" w:rsidR="002C0784" w:rsidRPr="00616367" w:rsidRDefault="002C0784">
            <w:pPr>
              <w:pStyle w:val="TableText0"/>
              <w:keepNext w:val="0"/>
            </w:pPr>
            <w:r w:rsidRPr="00616367">
              <w:t>One month</w:t>
            </w:r>
          </w:p>
        </w:tc>
        <w:tc>
          <w:tcPr>
            <w:tcW w:w="2251" w:type="pct"/>
            <w:vAlign w:val="center"/>
          </w:tcPr>
          <w:p w14:paraId="66E16889" w14:textId="77777777" w:rsidR="002C0784" w:rsidRPr="00616367" w:rsidRDefault="002C0784">
            <w:pPr>
              <w:pStyle w:val="TableText0"/>
              <w:keepNext w:val="0"/>
              <w:rPr>
                <w:iCs/>
              </w:rPr>
            </w:pPr>
            <w:r w:rsidRPr="00616367">
              <w:rPr>
                <w:iCs/>
              </w:rPr>
              <w:t>Appropriate.</w:t>
            </w:r>
          </w:p>
        </w:tc>
      </w:tr>
      <w:tr w:rsidR="002C0784" w:rsidRPr="00482A36" w14:paraId="58B3D407" w14:textId="77777777" w:rsidTr="006F64B3">
        <w:tc>
          <w:tcPr>
            <w:tcW w:w="784" w:type="pct"/>
            <w:vAlign w:val="center"/>
          </w:tcPr>
          <w:p w14:paraId="374FAA99" w14:textId="77777777" w:rsidR="002C0784" w:rsidRPr="00482A36" w:rsidRDefault="002C0784">
            <w:pPr>
              <w:pStyle w:val="TableText0"/>
              <w:keepNext w:val="0"/>
            </w:pPr>
            <w:r w:rsidRPr="00482A36">
              <w:t>Transition probabilities</w:t>
            </w:r>
          </w:p>
        </w:tc>
        <w:tc>
          <w:tcPr>
            <w:tcW w:w="1965" w:type="pct"/>
            <w:vAlign w:val="center"/>
          </w:tcPr>
          <w:p w14:paraId="06508288" w14:textId="53E810E3" w:rsidR="002C0784" w:rsidRPr="00482A36" w:rsidRDefault="002C0784" w:rsidP="00E57A22">
            <w:pPr>
              <w:pStyle w:val="TableText0"/>
              <w:keepNext w:val="0"/>
              <w:numPr>
                <w:ilvl w:val="0"/>
                <w:numId w:val="15"/>
              </w:numPr>
              <w:ind w:left="110" w:hanging="110"/>
            </w:pPr>
            <w:r w:rsidRPr="00482A36">
              <w:t>HMB to HMB remission</w:t>
            </w:r>
            <w:r w:rsidR="00F44CE4" w:rsidRPr="00482A36">
              <w:t xml:space="preserve"> health states</w:t>
            </w:r>
            <w:r w:rsidRPr="00482A36">
              <w:t>: up to 24 weeks based on pooled PRIMROSE 1 and 2 MBL response (primary efficacy endpoint) for LGX 200mg + ABT and placebo as proxies for linzagolix and BSC in the base case; transition assumed to be 0% after 24 weeks in the model.</w:t>
            </w:r>
          </w:p>
          <w:p w14:paraId="59AC51CE" w14:textId="77777777" w:rsidR="002C0784" w:rsidRPr="00482A36" w:rsidRDefault="002C0784" w:rsidP="00E57A22">
            <w:pPr>
              <w:pStyle w:val="TableText0"/>
              <w:keepNext w:val="0"/>
              <w:numPr>
                <w:ilvl w:val="0"/>
                <w:numId w:val="15"/>
              </w:numPr>
              <w:ind w:left="110" w:hanging="110"/>
            </w:pPr>
            <w:r w:rsidRPr="00482A36">
              <w:t>HMB remission to HMB (loss of response) after 6 months: based on market research survey in six European countries</w:t>
            </w:r>
          </w:p>
          <w:p w14:paraId="42CB20BB" w14:textId="77777777" w:rsidR="002C0784" w:rsidRPr="00482A36" w:rsidRDefault="002C0784" w:rsidP="00E57A22">
            <w:pPr>
              <w:pStyle w:val="TableText0"/>
              <w:keepNext w:val="0"/>
              <w:numPr>
                <w:ilvl w:val="0"/>
                <w:numId w:val="15"/>
              </w:numPr>
              <w:ind w:left="110" w:hanging="110"/>
            </w:pPr>
            <w:r w:rsidRPr="00482A36">
              <w:t>HMB (LGX) to HMB (BSC): based on pooled PRIMROSE 1 and 2 discontinuations, plus a stopping rule (for non MBL responders at 24 weeks).</w:t>
            </w:r>
          </w:p>
          <w:p w14:paraId="05B3780F" w14:textId="77777777" w:rsidR="002C0784" w:rsidRPr="00482A36" w:rsidRDefault="002C0784" w:rsidP="00E57A22">
            <w:pPr>
              <w:pStyle w:val="TableText0"/>
              <w:keepNext w:val="0"/>
              <w:numPr>
                <w:ilvl w:val="0"/>
                <w:numId w:val="15"/>
              </w:numPr>
              <w:ind w:left="110" w:hanging="110"/>
            </w:pPr>
            <w:r w:rsidRPr="00482A36">
              <w:t>HMB remission (LGX) to HMB remission (BSC): assumed to be 0% in base case</w:t>
            </w:r>
          </w:p>
          <w:p w14:paraId="51118DEC" w14:textId="77777777" w:rsidR="002C0784" w:rsidRPr="00482A36" w:rsidRDefault="002C0784" w:rsidP="00E57A22">
            <w:pPr>
              <w:pStyle w:val="TableText0"/>
              <w:keepNext w:val="0"/>
              <w:numPr>
                <w:ilvl w:val="0"/>
                <w:numId w:val="15"/>
              </w:numPr>
              <w:ind w:left="110" w:hanging="110"/>
            </w:pPr>
            <w:r w:rsidRPr="00482A36">
              <w:t>HMB to surgery health states: based on pooled PRIMROSE 1 and 2; patient age at the time of surgery; duration until menopause; waiting time from AIHW 2023b; Wiser 2013.</w:t>
            </w:r>
          </w:p>
          <w:p w14:paraId="297E7299" w14:textId="77777777" w:rsidR="002C0784" w:rsidRPr="00482A36" w:rsidRDefault="002C0784" w:rsidP="00E57A22">
            <w:pPr>
              <w:pStyle w:val="TableText0"/>
              <w:keepNext w:val="0"/>
              <w:numPr>
                <w:ilvl w:val="0"/>
                <w:numId w:val="15"/>
              </w:numPr>
              <w:ind w:left="110" w:hanging="110"/>
            </w:pPr>
            <w:r w:rsidRPr="00482A36">
              <w:t>Myomectomy to HMB (recurrence): Radosa 2014.</w:t>
            </w:r>
          </w:p>
          <w:p w14:paraId="72FF2594" w14:textId="77777777" w:rsidR="002C0784" w:rsidRPr="00482A36" w:rsidRDefault="002C0784" w:rsidP="00E57A22">
            <w:pPr>
              <w:pStyle w:val="TableText0"/>
              <w:keepNext w:val="0"/>
              <w:numPr>
                <w:ilvl w:val="0"/>
                <w:numId w:val="15"/>
              </w:numPr>
              <w:ind w:left="110" w:hanging="110"/>
            </w:pPr>
            <w:r w:rsidRPr="00482A36">
              <w:t>Myomectomy to Death: Yuk 2022</w:t>
            </w:r>
          </w:p>
          <w:p w14:paraId="4151A257" w14:textId="77777777" w:rsidR="002C0784" w:rsidRPr="00482A36" w:rsidRDefault="002C0784" w:rsidP="00E57A22">
            <w:pPr>
              <w:pStyle w:val="TableText0"/>
              <w:keepNext w:val="0"/>
              <w:numPr>
                <w:ilvl w:val="0"/>
                <w:numId w:val="15"/>
              </w:numPr>
              <w:ind w:left="110" w:hanging="110"/>
            </w:pPr>
            <w:r w:rsidRPr="00482A36">
              <w:t>Hysterectomy to Death: Wiser 2013</w:t>
            </w:r>
          </w:p>
          <w:p w14:paraId="73CDBBF1" w14:textId="77777777" w:rsidR="002C0784" w:rsidRPr="00482A36" w:rsidRDefault="002C0784" w:rsidP="00E57A22">
            <w:pPr>
              <w:pStyle w:val="TableText0"/>
              <w:keepNext w:val="0"/>
              <w:numPr>
                <w:ilvl w:val="0"/>
                <w:numId w:val="15"/>
              </w:numPr>
              <w:ind w:left="110" w:hanging="110"/>
            </w:pPr>
            <w:r w:rsidRPr="00482A36">
              <w:t>Background mortality: ABS life tables.</w:t>
            </w:r>
          </w:p>
        </w:tc>
        <w:tc>
          <w:tcPr>
            <w:tcW w:w="2251" w:type="pct"/>
          </w:tcPr>
          <w:p w14:paraId="36B012AC" w14:textId="6C087FDB" w:rsidR="002C0784" w:rsidRPr="00616367" w:rsidRDefault="002C0784" w:rsidP="006F64B3">
            <w:pPr>
              <w:pStyle w:val="TableText0"/>
              <w:keepNext w:val="0"/>
              <w:rPr>
                <w:iCs/>
              </w:rPr>
            </w:pPr>
            <w:r w:rsidRPr="00616367">
              <w:rPr>
                <w:rFonts w:cstheme="minorHAnsi"/>
                <w:iCs/>
              </w:rPr>
              <w:t>The comparison of</w:t>
            </w:r>
            <w:r w:rsidRPr="00616367">
              <w:rPr>
                <w:iCs/>
              </w:rPr>
              <w:t xml:space="preserve"> LGX 200 mg + ABT versus placebo as </w:t>
            </w:r>
            <w:r w:rsidR="00386BD9" w:rsidRPr="00616367">
              <w:rPr>
                <w:iCs/>
              </w:rPr>
              <w:t xml:space="preserve">a </w:t>
            </w:r>
            <w:r w:rsidRPr="00616367">
              <w:rPr>
                <w:iCs/>
              </w:rPr>
              <w:t>prox</w:t>
            </w:r>
            <w:r w:rsidR="00386BD9" w:rsidRPr="00616367">
              <w:rPr>
                <w:iCs/>
              </w:rPr>
              <w:t>y</w:t>
            </w:r>
            <w:r w:rsidRPr="00616367">
              <w:rPr>
                <w:iCs/>
              </w:rPr>
              <w:t xml:space="preserve"> for linzagolix versus BSC was not appropriate</w:t>
            </w:r>
            <w:r w:rsidR="00A743B5">
              <w:rPr>
                <w:iCs/>
              </w:rPr>
              <w:t xml:space="preserve">, especially as </w:t>
            </w:r>
            <w:r w:rsidR="002C7448">
              <w:rPr>
                <w:iCs/>
              </w:rPr>
              <w:t>ACM recommended an initial dose of 100 mg</w:t>
            </w:r>
            <w:r w:rsidRPr="00616367">
              <w:rPr>
                <w:iCs/>
              </w:rPr>
              <w:t xml:space="preserve">. </w:t>
            </w:r>
          </w:p>
          <w:p w14:paraId="1BC92FB9" w14:textId="77777777" w:rsidR="002C0784" w:rsidRPr="00616367" w:rsidRDefault="002C0784" w:rsidP="006F64B3">
            <w:pPr>
              <w:pStyle w:val="TableText0"/>
              <w:keepNext w:val="0"/>
              <w:rPr>
                <w:iCs/>
              </w:rPr>
            </w:pPr>
          </w:p>
          <w:p w14:paraId="10387A84" w14:textId="7C24187A" w:rsidR="002C0784" w:rsidRPr="00616367" w:rsidRDefault="002C0784" w:rsidP="006F64B3">
            <w:pPr>
              <w:pStyle w:val="TableText0"/>
              <w:keepNext w:val="0"/>
              <w:rPr>
                <w:iCs/>
              </w:rPr>
            </w:pPr>
            <w:r w:rsidRPr="00616367">
              <w:rPr>
                <w:iCs/>
              </w:rPr>
              <w:t>The use of survey data to model</w:t>
            </w:r>
            <w:r w:rsidR="00D04F37" w:rsidRPr="00616367">
              <w:rPr>
                <w:iCs/>
              </w:rPr>
              <w:t xml:space="preserve"> HMB remission to HMB</w:t>
            </w:r>
            <w:r w:rsidRPr="00616367">
              <w:rPr>
                <w:iCs/>
              </w:rPr>
              <w:t xml:space="preserve"> </w:t>
            </w:r>
            <w:r w:rsidR="00D04F37" w:rsidRPr="00616367">
              <w:rPr>
                <w:iCs/>
              </w:rPr>
              <w:t>(</w:t>
            </w:r>
            <w:r w:rsidRPr="00616367">
              <w:rPr>
                <w:iCs/>
              </w:rPr>
              <w:t>loss of response</w:t>
            </w:r>
            <w:r w:rsidR="00D04F37" w:rsidRPr="00616367">
              <w:rPr>
                <w:iCs/>
              </w:rPr>
              <w:t>)</w:t>
            </w:r>
            <w:r w:rsidRPr="00616367">
              <w:rPr>
                <w:iCs/>
              </w:rPr>
              <w:t xml:space="preserve"> also</w:t>
            </w:r>
            <w:r w:rsidR="002920BF" w:rsidRPr="00616367">
              <w:rPr>
                <w:iCs/>
              </w:rPr>
              <w:t xml:space="preserve"> appear</w:t>
            </w:r>
            <w:r w:rsidR="00A31358" w:rsidRPr="00616367">
              <w:rPr>
                <w:iCs/>
              </w:rPr>
              <w:t>ed</w:t>
            </w:r>
            <w:r w:rsidR="002920BF" w:rsidRPr="00616367">
              <w:rPr>
                <w:iCs/>
              </w:rPr>
              <w:t xml:space="preserve"> to be</w:t>
            </w:r>
            <w:r w:rsidRPr="00616367">
              <w:rPr>
                <w:iCs/>
              </w:rPr>
              <w:t xml:space="preserve"> </w:t>
            </w:r>
            <w:r w:rsidR="00580505" w:rsidRPr="00616367">
              <w:rPr>
                <w:iCs/>
              </w:rPr>
              <w:t>inappropriate</w:t>
            </w:r>
            <w:r w:rsidRPr="00616367">
              <w:rPr>
                <w:iCs/>
              </w:rPr>
              <w:t xml:space="preserve"> as trial data is available up to 52 weeks and would be a more robust source than survey data.</w:t>
            </w:r>
          </w:p>
          <w:p w14:paraId="61C0D72B" w14:textId="77777777" w:rsidR="002C0784" w:rsidRPr="00616367" w:rsidRDefault="002C0784" w:rsidP="006F64B3">
            <w:pPr>
              <w:pStyle w:val="TableText0"/>
              <w:keepNext w:val="0"/>
              <w:rPr>
                <w:iCs/>
              </w:rPr>
            </w:pPr>
          </w:p>
          <w:p w14:paraId="3E0B75D2" w14:textId="4D4BC9E4" w:rsidR="002C0784" w:rsidRPr="00482A36" w:rsidRDefault="002C0784" w:rsidP="006F64B3">
            <w:pPr>
              <w:pStyle w:val="TableText0"/>
              <w:keepNext w:val="0"/>
              <w:rPr>
                <w:i/>
                <w:iCs/>
              </w:rPr>
            </w:pPr>
            <w:r w:rsidRPr="00616367">
              <w:rPr>
                <w:iCs/>
              </w:rPr>
              <w:t xml:space="preserve">The submission assumed that no patients in the HMB remission (LGX) health state discontinued LGX treatment due to other reasons. This </w:t>
            </w:r>
            <w:r w:rsidR="0043270D" w:rsidRPr="00616367">
              <w:rPr>
                <w:iCs/>
              </w:rPr>
              <w:t>is</w:t>
            </w:r>
            <w:r w:rsidRPr="00616367">
              <w:rPr>
                <w:iCs/>
              </w:rPr>
              <w:t xml:space="preserve"> inappropriate as patients in remission can discontinue treatment due to various reasons e.g., adverse events.</w:t>
            </w:r>
          </w:p>
        </w:tc>
      </w:tr>
      <w:tr w:rsidR="002C0784" w:rsidRPr="00616367" w14:paraId="38D04264" w14:textId="77777777">
        <w:tc>
          <w:tcPr>
            <w:tcW w:w="784" w:type="pct"/>
            <w:vAlign w:val="center"/>
          </w:tcPr>
          <w:p w14:paraId="05D9E91D" w14:textId="77777777" w:rsidR="002C0784" w:rsidRPr="00616367" w:rsidRDefault="002C0784">
            <w:pPr>
              <w:pStyle w:val="TableText0"/>
              <w:keepNext w:val="0"/>
            </w:pPr>
            <w:r w:rsidRPr="00616367">
              <w:t>Health related quality of life</w:t>
            </w:r>
          </w:p>
        </w:tc>
        <w:tc>
          <w:tcPr>
            <w:tcW w:w="1965" w:type="pct"/>
            <w:vAlign w:val="center"/>
          </w:tcPr>
          <w:p w14:paraId="13D0A57A" w14:textId="77777777" w:rsidR="002C0784" w:rsidRPr="00616367" w:rsidRDefault="002C0784" w:rsidP="00E57A22">
            <w:pPr>
              <w:pStyle w:val="TableText0"/>
              <w:keepNext w:val="0"/>
              <w:numPr>
                <w:ilvl w:val="0"/>
                <w:numId w:val="15"/>
              </w:numPr>
              <w:ind w:left="110" w:hanging="110"/>
            </w:pPr>
            <w:r w:rsidRPr="00616367">
              <w:t>PRIMROSE 1 and 2, mapped UFS-QoL to UK EQ-5D-3L (</w:t>
            </w:r>
            <w:r w:rsidRPr="00616367">
              <w:rPr>
                <w:iCs/>
              </w:rPr>
              <w:t>not adjusted for baseline</w:t>
            </w:r>
            <w:r w:rsidRPr="00616367">
              <w:t xml:space="preserve">): </w:t>
            </w:r>
          </w:p>
          <w:p w14:paraId="4668E5AE" w14:textId="77777777" w:rsidR="002C0784" w:rsidRPr="00616367" w:rsidRDefault="002C0784" w:rsidP="00E57A22">
            <w:pPr>
              <w:pStyle w:val="TableText0"/>
              <w:keepNext w:val="0"/>
              <w:numPr>
                <w:ilvl w:val="0"/>
                <w:numId w:val="16"/>
              </w:numPr>
              <w:ind w:left="405" w:hanging="142"/>
            </w:pPr>
            <w:r w:rsidRPr="00616367">
              <w:t xml:space="preserve">HMB 0.7159; </w:t>
            </w:r>
          </w:p>
          <w:p w14:paraId="41400C11" w14:textId="77777777" w:rsidR="002C0784" w:rsidRPr="00616367" w:rsidRDefault="002C0784" w:rsidP="00E57A22">
            <w:pPr>
              <w:pStyle w:val="TableText0"/>
              <w:keepNext w:val="0"/>
              <w:numPr>
                <w:ilvl w:val="0"/>
                <w:numId w:val="16"/>
              </w:numPr>
              <w:ind w:left="405" w:hanging="142"/>
            </w:pPr>
            <w:r w:rsidRPr="00616367">
              <w:t>HMB remission and menopause 0.8421</w:t>
            </w:r>
          </w:p>
          <w:p w14:paraId="511BC96F" w14:textId="19C34CAC" w:rsidR="002C0784" w:rsidRPr="00616367" w:rsidRDefault="002C0784" w:rsidP="00E57A22">
            <w:pPr>
              <w:pStyle w:val="TableText0"/>
              <w:keepNext w:val="0"/>
              <w:numPr>
                <w:ilvl w:val="0"/>
                <w:numId w:val="15"/>
              </w:numPr>
              <w:ind w:left="110" w:hanging="110"/>
            </w:pPr>
            <w:r w:rsidRPr="00616367">
              <w:lastRenderedPageBreak/>
              <w:t>NICE linzagoli</w:t>
            </w:r>
            <w:r w:rsidR="00B479A3" w:rsidRPr="00616367">
              <w:t>x</w:t>
            </w:r>
            <w:r w:rsidRPr="00616367">
              <w:t xml:space="preserve"> model; Sculpher 2004: </w:t>
            </w:r>
          </w:p>
          <w:p w14:paraId="320B7853" w14:textId="77777777" w:rsidR="002C0784" w:rsidRPr="00616367" w:rsidRDefault="002C0784" w:rsidP="00E57A22">
            <w:pPr>
              <w:pStyle w:val="TableText0"/>
              <w:keepNext w:val="0"/>
              <w:numPr>
                <w:ilvl w:val="0"/>
                <w:numId w:val="16"/>
              </w:numPr>
              <w:ind w:left="405" w:hanging="142"/>
            </w:pPr>
            <w:r w:rsidRPr="00616367">
              <w:t xml:space="preserve">myomectomy 0.63; </w:t>
            </w:r>
          </w:p>
          <w:p w14:paraId="7D13C930" w14:textId="77777777" w:rsidR="002C0784" w:rsidRPr="00616367" w:rsidRDefault="002C0784" w:rsidP="00E57A22">
            <w:pPr>
              <w:pStyle w:val="TableText0"/>
              <w:keepNext w:val="0"/>
              <w:numPr>
                <w:ilvl w:val="0"/>
                <w:numId w:val="16"/>
              </w:numPr>
              <w:ind w:left="405" w:hanging="142"/>
            </w:pPr>
            <w:r w:rsidRPr="00616367">
              <w:t xml:space="preserve">hysterectomy 0.71; </w:t>
            </w:r>
          </w:p>
          <w:p w14:paraId="7B1A29C0" w14:textId="77777777" w:rsidR="002C0784" w:rsidRPr="00616367" w:rsidRDefault="002C0784" w:rsidP="00E57A22">
            <w:pPr>
              <w:pStyle w:val="TableText0"/>
              <w:keepNext w:val="0"/>
              <w:numPr>
                <w:ilvl w:val="0"/>
                <w:numId w:val="16"/>
              </w:numPr>
              <w:ind w:left="405" w:hanging="142"/>
            </w:pPr>
            <w:r w:rsidRPr="00616367">
              <w:t>disutility of abdominal hysterectomy -0.03.</w:t>
            </w:r>
          </w:p>
        </w:tc>
        <w:tc>
          <w:tcPr>
            <w:tcW w:w="2251" w:type="pct"/>
            <w:vAlign w:val="center"/>
          </w:tcPr>
          <w:p w14:paraId="35C09992" w14:textId="1D1DF24A" w:rsidR="002C0784" w:rsidRPr="0032043C" w:rsidRDefault="002C0784" w:rsidP="0032043C">
            <w:pPr>
              <w:pStyle w:val="TableText0"/>
              <w:rPr>
                <w:iCs/>
                <w:lang w:val="en-GB"/>
              </w:rPr>
            </w:pPr>
            <w:r w:rsidRPr="00616367">
              <w:rPr>
                <w:iCs/>
              </w:rPr>
              <w:lastRenderedPageBreak/>
              <w:t>The utility values for HMB and remission were not baseline-adjusted. This favour</w:t>
            </w:r>
            <w:r w:rsidR="00F23D9C" w:rsidRPr="00616367">
              <w:rPr>
                <w:iCs/>
              </w:rPr>
              <w:t>ed</w:t>
            </w:r>
            <w:r w:rsidRPr="00616367">
              <w:rPr>
                <w:iCs/>
              </w:rPr>
              <w:t xml:space="preserve"> linzagolix.</w:t>
            </w:r>
            <w:r w:rsidR="0032043C">
              <w:rPr>
                <w:iCs/>
              </w:rPr>
              <w:t xml:space="preserve"> </w:t>
            </w:r>
            <w:r w:rsidR="0032043C" w:rsidRPr="00FD5102">
              <w:rPr>
                <w:lang w:val="en-GB"/>
              </w:rPr>
              <w:t xml:space="preserve">Adjusting for baseline QoL with UFS-QoL to UK EQ-5D-3L value set increases ICER by 117%; adjusting for baseline </w:t>
            </w:r>
            <w:r w:rsidR="0032043C" w:rsidRPr="00FD5102">
              <w:rPr>
                <w:lang w:val="en-GB"/>
              </w:rPr>
              <w:lastRenderedPageBreak/>
              <w:t>QoL and using Australian EQ-5D-5L value set increases ICER by 694%.</w:t>
            </w:r>
          </w:p>
        </w:tc>
      </w:tr>
      <w:tr w:rsidR="002C0784" w:rsidRPr="00482A36" w14:paraId="4F5D2530" w14:textId="77777777" w:rsidTr="00B76EC8">
        <w:tc>
          <w:tcPr>
            <w:tcW w:w="784" w:type="pct"/>
            <w:vAlign w:val="center"/>
          </w:tcPr>
          <w:p w14:paraId="288FD3B1" w14:textId="77777777" w:rsidR="002C0784" w:rsidRPr="00482A36" w:rsidRDefault="002C0784">
            <w:pPr>
              <w:pStyle w:val="TableText0"/>
              <w:keepNext w:val="0"/>
            </w:pPr>
            <w:r w:rsidRPr="00482A36">
              <w:lastRenderedPageBreak/>
              <w:t>Costs</w:t>
            </w:r>
          </w:p>
        </w:tc>
        <w:tc>
          <w:tcPr>
            <w:tcW w:w="1965" w:type="pct"/>
            <w:vAlign w:val="center"/>
          </w:tcPr>
          <w:p w14:paraId="30B8ED37" w14:textId="77777777" w:rsidR="002C0784" w:rsidRPr="00482A36" w:rsidRDefault="002C0784" w:rsidP="00E57A22">
            <w:pPr>
              <w:pStyle w:val="TableText0"/>
              <w:keepNext w:val="0"/>
              <w:numPr>
                <w:ilvl w:val="0"/>
                <w:numId w:val="15"/>
              </w:numPr>
              <w:ind w:left="110" w:hanging="110"/>
            </w:pPr>
            <w:r w:rsidRPr="00482A36">
              <w:t>Drug costs (LGX and ABT)</w:t>
            </w:r>
          </w:p>
          <w:p w14:paraId="41712E7F" w14:textId="77777777" w:rsidR="002C0784" w:rsidRPr="00482A36" w:rsidRDefault="002C0784" w:rsidP="00E57A22">
            <w:pPr>
              <w:pStyle w:val="TableText0"/>
              <w:keepNext w:val="0"/>
              <w:numPr>
                <w:ilvl w:val="0"/>
                <w:numId w:val="15"/>
              </w:numPr>
              <w:ind w:left="110" w:hanging="110"/>
            </w:pPr>
            <w:r w:rsidRPr="00482A36">
              <w:t>Costs of monitoring BMD</w:t>
            </w:r>
          </w:p>
          <w:p w14:paraId="2E119DF9" w14:textId="77777777" w:rsidR="002C0784" w:rsidRPr="00482A36" w:rsidRDefault="002C0784" w:rsidP="00E57A22">
            <w:pPr>
              <w:pStyle w:val="TableText0"/>
              <w:keepNext w:val="0"/>
              <w:numPr>
                <w:ilvl w:val="0"/>
                <w:numId w:val="15"/>
              </w:numPr>
              <w:ind w:left="110" w:hanging="110"/>
            </w:pPr>
            <w:r w:rsidRPr="00482A36">
              <w:t>Costs of managing AEs</w:t>
            </w:r>
          </w:p>
          <w:p w14:paraId="74E61925" w14:textId="77777777" w:rsidR="002C0784" w:rsidRPr="00482A36" w:rsidRDefault="002C0784" w:rsidP="00E57A22">
            <w:pPr>
              <w:pStyle w:val="TableText0"/>
              <w:keepNext w:val="0"/>
              <w:numPr>
                <w:ilvl w:val="0"/>
                <w:numId w:val="15"/>
              </w:numPr>
              <w:ind w:left="110" w:hanging="110"/>
            </w:pPr>
            <w:r w:rsidRPr="00482A36">
              <w:t>Costs of coronary artery disease (CAD)</w:t>
            </w:r>
          </w:p>
          <w:p w14:paraId="3A5F896B" w14:textId="77777777" w:rsidR="002C0784" w:rsidRPr="00482A36" w:rsidRDefault="002C0784" w:rsidP="00E57A22">
            <w:pPr>
              <w:pStyle w:val="TableText0"/>
              <w:keepNext w:val="0"/>
              <w:numPr>
                <w:ilvl w:val="0"/>
                <w:numId w:val="15"/>
              </w:numPr>
              <w:ind w:left="110" w:hanging="110"/>
            </w:pPr>
            <w:r w:rsidRPr="00482A36">
              <w:t>Surgery (hysterectomy and myomectomy) costs based on DRG costs for hysterectomy</w:t>
            </w:r>
          </w:p>
        </w:tc>
        <w:tc>
          <w:tcPr>
            <w:tcW w:w="2251" w:type="pct"/>
          </w:tcPr>
          <w:p w14:paraId="7E2793C7" w14:textId="54E03865" w:rsidR="00CB358F" w:rsidRPr="00482A36" w:rsidRDefault="00A31358" w:rsidP="00B76EC8">
            <w:pPr>
              <w:pStyle w:val="TableText0"/>
              <w:keepNext w:val="0"/>
              <w:rPr>
                <w:i/>
                <w:iCs/>
                <w:szCs w:val="20"/>
              </w:rPr>
            </w:pPr>
            <w:r w:rsidRPr="00616367">
              <w:rPr>
                <w:rFonts w:cs="Calibri"/>
                <w:iCs/>
                <w:szCs w:val="20"/>
              </w:rPr>
              <w:t xml:space="preserve">No effect on BMD due to linzagolix treatment was assumed in the model. There was also a paucity of clinical data on effect of long term linzagolix treatment  (&gt;52 weeks) on </w:t>
            </w:r>
            <w:r w:rsidR="00CB358F" w:rsidRPr="00616367">
              <w:rPr>
                <w:rFonts w:cs="Calibri"/>
                <w:iCs/>
                <w:szCs w:val="20"/>
              </w:rPr>
              <w:t xml:space="preserve">BMD. </w:t>
            </w:r>
          </w:p>
        </w:tc>
      </w:tr>
      <w:tr w:rsidR="002C0784" w:rsidRPr="00616367" w14:paraId="7BF49FEE" w14:textId="77777777" w:rsidTr="00687708">
        <w:tc>
          <w:tcPr>
            <w:tcW w:w="784" w:type="pct"/>
            <w:vAlign w:val="center"/>
          </w:tcPr>
          <w:p w14:paraId="436891DB" w14:textId="77777777" w:rsidR="002C0784" w:rsidRPr="00616367" w:rsidRDefault="002C0784">
            <w:pPr>
              <w:pStyle w:val="TableText0"/>
              <w:keepNext w:val="0"/>
            </w:pPr>
            <w:r w:rsidRPr="00616367">
              <w:t>Perspective</w:t>
            </w:r>
          </w:p>
        </w:tc>
        <w:tc>
          <w:tcPr>
            <w:tcW w:w="1965" w:type="pct"/>
          </w:tcPr>
          <w:p w14:paraId="1DB05C39" w14:textId="77777777" w:rsidR="002C0784" w:rsidRPr="00616367" w:rsidRDefault="002C0784">
            <w:pPr>
              <w:pStyle w:val="TableText0"/>
              <w:keepNext w:val="0"/>
            </w:pPr>
            <w:r w:rsidRPr="00616367">
              <w:t xml:space="preserve">Base case: health care </w:t>
            </w:r>
          </w:p>
          <w:p w14:paraId="11CEAC22" w14:textId="77777777" w:rsidR="002C0784" w:rsidRPr="00616367" w:rsidRDefault="002C0784">
            <w:pPr>
              <w:pStyle w:val="TableText0"/>
              <w:keepNext w:val="0"/>
            </w:pPr>
            <w:r w:rsidRPr="00616367">
              <w:t>Sensitivity analysis: societal, excess productivity loss based on Hasselrot 2018.</w:t>
            </w:r>
          </w:p>
        </w:tc>
        <w:tc>
          <w:tcPr>
            <w:tcW w:w="2251" w:type="pct"/>
          </w:tcPr>
          <w:p w14:paraId="40AE5B62" w14:textId="77777777" w:rsidR="002C0784" w:rsidRPr="00616367" w:rsidRDefault="002C0784" w:rsidP="00687708">
            <w:pPr>
              <w:pStyle w:val="TableText0"/>
              <w:keepNext w:val="0"/>
              <w:rPr>
                <w:iCs/>
              </w:rPr>
            </w:pPr>
            <w:r w:rsidRPr="00616367">
              <w:rPr>
                <w:iCs/>
              </w:rPr>
              <w:t>Appropriate.</w:t>
            </w:r>
          </w:p>
        </w:tc>
      </w:tr>
      <w:tr w:rsidR="002C0784" w:rsidRPr="00616367" w14:paraId="0E5E0E82" w14:textId="77777777">
        <w:tc>
          <w:tcPr>
            <w:tcW w:w="784" w:type="pct"/>
            <w:vAlign w:val="center"/>
          </w:tcPr>
          <w:p w14:paraId="72A86BCA" w14:textId="77777777" w:rsidR="002C0784" w:rsidRPr="00616367" w:rsidRDefault="002C0784">
            <w:pPr>
              <w:pStyle w:val="TableText0"/>
              <w:keepNext w:val="0"/>
            </w:pPr>
            <w:r w:rsidRPr="00616367">
              <w:t>Software package</w:t>
            </w:r>
          </w:p>
        </w:tc>
        <w:tc>
          <w:tcPr>
            <w:tcW w:w="1965" w:type="pct"/>
          </w:tcPr>
          <w:p w14:paraId="423C07D0" w14:textId="77777777" w:rsidR="002C0784" w:rsidRPr="00616367" w:rsidRDefault="002C0784">
            <w:pPr>
              <w:pStyle w:val="TableText0"/>
              <w:keepNext w:val="0"/>
            </w:pPr>
            <w:r w:rsidRPr="00616367">
              <w:t>TreeAge Pro Suite</w:t>
            </w:r>
          </w:p>
        </w:tc>
        <w:tc>
          <w:tcPr>
            <w:tcW w:w="2251" w:type="pct"/>
            <w:vAlign w:val="center"/>
          </w:tcPr>
          <w:p w14:paraId="140491E7" w14:textId="77777777" w:rsidR="002C0784" w:rsidRPr="00616367" w:rsidRDefault="002C0784">
            <w:pPr>
              <w:pStyle w:val="TableText0"/>
              <w:keepNext w:val="0"/>
              <w:rPr>
                <w:iCs/>
              </w:rPr>
            </w:pPr>
            <w:r w:rsidRPr="00616367">
              <w:rPr>
                <w:iCs/>
              </w:rPr>
              <w:t>Appropriate.</w:t>
            </w:r>
          </w:p>
        </w:tc>
      </w:tr>
    </w:tbl>
    <w:p w14:paraId="65EFC9AA" w14:textId="77777777" w:rsidR="002C0784" w:rsidRPr="00482A36" w:rsidRDefault="002C0784" w:rsidP="002C0784">
      <w:pPr>
        <w:pStyle w:val="TableFigureFooter"/>
        <w:spacing w:after="0"/>
      </w:pPr>
      <w:r w:rsidRPr="00482A36">
        <w:t>Source: Table 77, p192 of the submission.</w:t>
      </w:r>
    </w:p>
    <w:p w14:paraId="3B18772B" w14:textId="77777777" w:rsidR="002C0784" w:rsidRPr="00482A36" w:rsidRDefault="002C0784" w:rsidP="002C0784">
      <w:pPr>
        <w:pStyle w:val="FooterTableFigure"/>
      </w:pPr>
      <w:r w:rsidRPr="00482A36">
        <w:t>ABT = add-back therapy; AH = abdominal hysterectomy; BMD = bone mineral density; BSC = best supportive care; CAD = coronary artery disease; HMB = heavy menstrual bleeding; LGX = linzagolix; LH = laparoscopic hysterectomy; MBL = menstrual blood loss; UAE = uterine artery embolization.</w:t>
      </w:r>
    </w:p>
    <w:p w14:paraId="34A0827D" w14:textId="0D5DF9E0" w:rsidR="002C0784" w:rsidRPr="00616367" w:rsidRDefault="002C0784" w:rsidP="002C0784">
      <w:pPr>
        <w:pStyle w:val="3-BodyText"/>
        <w:rPr>
          <w:iCs/>
        </w:rPr>
      </w:pPr>
      <w:r w:rsidRPr="00616367">
        <w:rPr>
          <w:rFonts w:cstheme="minorHAnsi"/>
          <w:iCs/>
        </w:rPr>
        <w:t>Subsequent treatment</w:t>
      </w:r>
      <w:r w:rsidR="000D0ECC" w:rsidRPr="00616367">
        <w:rPr>
          <w:rFonts w:cstheme="minorHAnsi"/>
          <w:iCs/>
        </w:rPr>
        <w:t>s</w:t>
      </w:r>
      <w:r w:rsidRPr="00616367">
        <w:rPr>
          <w:rFonts w:cstheme="minorHAnsi"/>
          <w:iCs/>
        </w:rPr>
        <w:t xml:space="preserve"> in the model </w:t>
      </w:r>
      <w:r w:rsidRPr="00616367">
        <w:rPr>
          <w:iCs/>
        </w:rPr>
        <w:t>were limited to surgeries consisting of either laparoscopic/abdominal myomectomy or hysterectomy.</w:t>
      </w:r>
      <w:r w:rsidRPr="00482A36">
        <w:t xml:space="preserve"> </w:t>
      </w:r>
      <w:r w:rsidRPr="00616367">
        <w:rPr>
          <w:iCs/>
        </w:rPr>
        <w:t xml:space="preserve">The exclusion of </w:t>
      </w:r>
      <w:r w:rsidRPr="00616367">
        <w:rPr>
          <w:iCs/>
          <w:lang w:eastAsia="en-GB"/>
        </w:rPr>
        <w:t>uterine artery embolization</w:t>
      </w:r>
      <w:r w:rsidRPr="00616367">
        <w:rPr>
          <w:iCs/>
        </w:rPr>
        <w:t xml:space="preserve"> (UAE) and other treatment options such as radiologic or ultrasound guided thermal ablation of the uterine fibroids may not be appropriate.</w:t>
      </w:r>
    </w:p>
    <w:p w14:paraId="0CBAD566" w14:textId="1515CDA1" w:rsidR="002C0784" w:rsidRPr="00482A36" w:rsidRDefault="002C0784" w:rsidP="002C0784">
      <w:pPr>
        <w:pStyle w:val="3-BodyText"/>
      </w:pPr>
      <w:r w:rsidRPr="00482A36">
        <w:t xml:space="preserve">A simplified </w:t>
      </w:r>
      <w:r w:rsidRPr="00482A36">
        <w:rPr>
          <w:iCs/>
        </w:rPr>
        <w:t xml:space="preserve">diagram of the Markov model structure is presented in </w:t>
      </w:r>
      <w:r w:rsidRPr="00482A36">
        <w:rPr>
          <w:iCs/>
        </w:rPr>
        <w:fldChar w:fldCharType="begin"/>
      </w:r>
      <w:r w:rsidRPr="00482A36">
        <w:rPr>
          <w:iCs/>
        </w:rPr>
        <w:instrText xml:space="preserve"> REF _Ref165904319 \h </w:instrText>
      </w:r>
      <w:r w:rsidRPr="00482A36">
        <w:rPr>
          <w:iCs/>
        </w:rPr>
      </w:r>
      <w:r w:rsidRPr="00482A36">
        <w:rPr>
          <w:iCs/>
        </w:rPr>
        <w:fldChar w:fldCharType="separate"/>
      </w:r>
      <w:r w:rsidR="003E4FD0" w:rsidRPr="00482A36">
        <w:t xml:space="preserve">Figure </w:t>
      </w:r>
      <w:r w:rsidR="003E4FD0">
        <w:rPr>
          <w:noProof/>
        </w:rPr>
        <w:t>5</w:t>
      </w:r>
      <w:r w:rsidRPr="00482A36">
        <w:rPr>
          <w:iCs/>
        </w:rPr>
        <w:fldChar w:fldCharType="end"/>
      </w:r>
      <w:r w:rsidRPr="00482A36">
        <w:rPr>
          <w:iCs/>
        </w:rPr>
        <w:t xml:space="preserve">. </w:t>
      </w:r>
      <w:r w:rsidRPr="00482A36">
        <w:t>The economic model was a Markov model with an upfront decision tree that sort</w:t>
      </w:r>
      <w:r w:rsidR="00136888">
        <w:t>ed</w:t>
      </w:r>
      <w:r w:rsidRPr="00482A36">
        <w:t xml:space="preserve"> the cohort by age at treatment commencement and age at menopause. </w:t>
      </w:r>
      <w:r w:rsidRPr="00616367">
        <w:rPr>
          <w:iCs/>
        </w:rPr>
        <w:t>The data used</w:t>
      </w:r>
      <w:r w:rsidR="00596E21" w:rsidRPr="00616367">
        <w:rPr>
          <w:iCs/>
        </w:rPr>
        <w:t>,</w:t>
      </w:r>
      <w:r w:rsidRPr="00616367">
        <w:rPr>
          <w:iCs/>
        </w:rPr>
        <w:t xml:space="preserve"> however</w:t>
      </w:r>
      <w:r w:rsidR="00596E21" w:rsidRPr="00616367">
        <w:rPr>
          <w:iCs/>
        </w:rPr>
        <w:t>,</w:t>
      </w:r>
      <w:r w:rsidRPr="00616367">
        <w:rPr>
          <w:iCs/>
        </w:rPr>
        <w:t xml:space="preserve"> only accounted for women 35 years and over</w:t>
      </w:r>
      <w:r w:rsidRPr="00FD5102">
        <w:rPr>
          <w:iCs/>
        </w:rPr>
        <w:t>,</w:t>
      </w:r>
      <w:r w:rsidR="006E08B5" w:rsidRPr="00FD5102">
        <w:rPr>
          <w:iCs/>
        </w:rPr>
        <w:t xml:space="preserve"> whereas patients in PRIMROSE</w:t>
      </w:r>
      <w:r w:rsidR="00D778B6">
        <w:rPr>
          <w:iCs/>
        </w:rPr>
        <w:t xml:space="preserve"> </w:t>
      </w:r>
      <w:r w:rsidR="006E08B5" w:rsidRPr="00FD5102">
        <w:rPr>
          <w:iCs/>
        </w:rPr>
        <w:t>2 varied in age from 20</w:t>
      </w:r>
      <w:r w:rsidR="00D778B6">
        <w:rPr>
          <w:rFonts w:cstheme="minorHAnsi"/>
          <w:iCs/>
        </w:rPr>
        <w:t>−</w:t>
      </w:r>
      <w:r w:rsidR="006E08B5" w:rsidRPr="00FD5102">
        <w:rPr>
          <w:iCs/>
        </w:rPr>
        <w:t>58 years</w:t>
      </w:r>
      <w:r w:rsidRPr="00616367">
        <w:rPr>
          <w:iCs/>
        </w:rPr>
        <w:t>. Omitting younger patients favour</w:t>
      </w:r>
      <w:r w:rsidR="00136888" w:rsidRPr="00616367">
        <w:rPr>
          <w:iCs/>
        </w:rPr>
        <w:t>ed</w:t>
      </w:r>
      <w:r w:rsidRPr="00616367">
        <w:rPr>
          <w:iCs/>
        </w:rPr>
        <w:t xml:space="preserve"> linzagolix as it reduce</w:t>
      </w:r>
      <w:r w:rsidR="00136888" w:rsidRPr="00616367">
        <w:rPr>
          <w:iCs/>
        </w:rPr>
        <w:t>d</w:t>
      </w:r>
      <w:r w:rsidRPr="00616367">
        <w:rPr>
          <w:iCs/>
        </w:rPr>
        <w:t xml:space="preserve"> the time to menopause and thus treatment duration for any linzagolix responder.</w:t>
      </w:r>
      <w:r w:rsidR="00BC49EA">
        <w:rPr>
          <w:iCs/>
        </w:rPr>
        <w:t xml:space="preserve"> </w:t>
      </w:r>
      <w:r w:rsidR="00BC49EA" w:rsidRPr="00FD5102">
        <w:t xml:space="preserve">The PSCR claimed that women aged </w:t>
      </w:r>
      <w:r w:rsidR="009A1DC8" w:rsidRPr="00FD5102">
        <w:t>&lt;</w:t>
      </w:r>
      <w:r w:rsidR="009A1DC8">
        <w:t> </w:t>
      </w:r>
      <w:r w:rsidR="00BC49EA" w:rsidRPr="00FD5102">
        <w:t>35 years made up a small proportion of women being diagnosed with uterine fibroids based on Lou 2023</w:t>
      </w:r>
      <w:r w:rsidR="00BC49EA" w:rsidRPr="00FD5102">
        <w:rPr>
          <w:rStyle w:val="FootnoteReference"/>
        </w:rPr>
        <w:footnoteReference w:id="19"/>
      </w:r>
      <w:r w:rsidR="00BC49EA" w:rsidRPr="00FD5102">
        <w:t xml:space="preserve"> and Zimmermann 2012</w:t>
      </w:r>
      <w:r w:rsidR="00BC49EA" w:rsidRPr="00FD5102">
        <w:rPr>
          <w:rStyle w:val="FootnoteReference"/>
        </w:rPr>
        <w:footnoteReference w:id="20"/>
      </w:r>
      <w:r w:rsidR="00BC49EA" w:rsidRPr="00FD5102">
        <w:t xml:space="preserve">. </w:t>
      </w:r>
      <w:r w:rsidR="004525E0" w:rsidRPr="00FD5102">
        <w:t xml:space="preserve">Data from Zimmermann 2012 suggested that the self-reported prevalence of uterine fibroids increased with age, however did not suggest that the proportion of women </w:t>
      </w:r>
      <w:r w:rsidR="009A1DC8" w:rsidRPr="00FD5102">
        <w:t>&lt;</w:t>
      </w:r>
      <w:r w:rsidR="009A1DC8">
        <w:t> </w:t>
      </w:r>
      <w:r w:rsidR="004525E0" w:rsidRPr="00FD5102">
        <w:t>35 years was small</w:t>
      </w:r>
      <w:r w:rsidR="0087370B" w:rsidRPr="00FD5102">
        <w:t xml:space="preserve"> (1.8% prevalence in patients </w:t>
      </w:r>
      <w:r w:rsidR="00E6659D" w:rsidRPr="00FD5102">
        <w:t xml:space="preserve">aged </w:t>
      </w:r>
      <w:r w:rsidR="0087370B" w:rsidRPr="00FD5102">
        <w:t>20</w:t>
      </w:r>
      <w:r w:rsidR="00D778B6">
        <w:rPr>
          <w:rFonts w:cstheme="minorHAnsi"/>
        </w:rPr>
        <w:t>−</w:t>
      </w:r>
      <w:r w:rsidR="0087370B" w:rsidRPr="00FD5102">
        <w:t xml:space="preserve">29 years, compared with </w:t>
      </w:r>
      <w:r w:rsidR="00E6659D" w:rsidRPr="00FD5102">
        <w:t>7.0% in patients aged 30</w:t>
      </w:r>
      <w:r w:rsidR="00D778B6">
        <w:rPr>
          <w:rFonts w:cstheme="minorHAnsi"/>
        </w:rPr>
        <w:t>−</w:t>
      </w:r>
      <w:r w:rsidR="00E6659D" w:rsidRPr="00FD5102">
        <w:t>39 years</w:t>
      </w:r>
      <w:r w:rsidR="0087370B" w:rsidRPr="00FD5102">
        <w:t>)</w:t>
      </w:r>
      <w:r w:rsidR="00BC49EA" w:rsidRPr="00FD5102">
        <w:t xml:space="preserve">. </w:t>
      </w:r>
      <w:r w:rsidR="005E1F07" w:rsidRPr="00FD5102">
        <w:t xml:space="preserve">Similarly, </w:t>
      </w:r>
      <w:r w:rsidR="00BC49EA" w:rsidRPr="00FD5102">
        <w:t xml:space="preserve">Lou 2023 found that </w:t>
      </w:r>
      <w:r w:rsidR="004525E0" w:rsidRPr="00FD5102">
        <w:t>women aged 35</w:t>
      </w:r>
      <w:r w:rsidR="004525E0" w:rsidRPr="00FD5102">
        <w:rPr>
          <w:rFonts w:cstheme="minorHAnsi"/>
        </w:rPr>
        <w:t>−</w:t>
      </w:r>
      <w:r w:rsidR="004525E0" w:rsidRPr="00FD5102">
        <w:t xml:space="preserve">39 years </w:t>
      </w:r>
      <w:r w:rsidR="00BC49EA" w:rsidRPr="00FD5102">
        <w:t>had the highest incidence</w:t>
      </w:r>
      <w:r w:rsidR="004525E0" w:rsidRPr="00FD5102">
        <w:t xml:space="preserve"> of</w:t>
      </w:r>
      <w:r w:rsidR="00BC49EA" w:rsidRPr="00FD5102">
        <w:t xml:space="preserve"> </w:t>
      </w:r>
      <w:r w:rsidR="004525E0" w:rsidRPr="00FD5102">
        <w:t>uterine fibroids</w:t>
      </w:r>
      <w:r w:rsidR="00BC49EA" w:rsidRPr="00FD5102">
        <w:t xml:space="preserve">, which does not imply that women aged </w:t>
      </w:r>
      <w:r w:rsidR="009A1DC8" w:rsidRPr="00FD5102">
        <w:t>&lt;</w:t>
      </w:r>
      <w:r w:rsidR="009A1DC8">
        <w:t> </w:t>
      </w:r>
      <w:r w:rsidR="00BC49EA" w:rsidRPr="00FD5102">
        <w:t>35</w:t>
      </w:r>
      <w:r w:rsidR="009A1DC8">
        <w:t> </w:t>
      </w:r>
      <w:r w:rsidR="00BC49EA" w:rsidRPr="00FD5102">
        <w:t>years comprise a small proportion of women with uterine fibroids.</w:t>
      </w:r>
      <w:r w:rsidR="00B54776" w:rsidRPr="00FD5102">
        <w:t xml:space="preserve"> </w:t>
      </w:r>
      <w:r w:rsidR="006D317F" w:rsidRPr="00FD5102">
        <w:t>Conversely, b</w:t>
      </w:r>
      <w:r w:rsidR="00B54776" w:rsidRPr="00FD5102">
        <w:t>ased on these data, approximately half of the incidence</w:t>
      </w:r>
      <w:r w:rsidR="004525E0" w:rsidRPr="00FD5102">
        <w:t xml:space="preserve"> of uterine fibroids</w:t>
      </w:r>
      <w:r w:rsidR="00B54776" w:rsidRPr="00FD5102">
        <w:t xml:space="preserve"> is among women </w:t>
      </w:r>
      <w:r w:rsidR="009A1DC8" w:rsidRPr="00FD5102">
        <w:t>&lt;</w:t>
      </w:r>
      <w:r w:rsidR="009A1DC8">
        <w:t> </w:t>
      </w:r>
      <w:r w:rsidR="00B54776" w:rsidRPr="00FD5102">
        <w:t>35</w:t>
      </w:r>
      <w:r w:rsidR="009A1DC8">
        <w:t> </w:t>
      </w:r>
      <w:r w:rsidR="00B54776" w:rsidRPr="00FD5102">
        <w:t>years.</w:t>
      </w:r>
      <w:r w:rsidR="00BC49EA" w:rsidRPr="00FD5102">
        <w:t xml:space="preserve"> </w:t>
      </w:r>
      <w:r w:rsidR="0018103B" w:rsidRPr="00FD5102">
        <w:t>Overall, the ESC considered omitting younger patients from the economic model was not appropriate and favoured linzagolix.</w:t>
      </w:r>
      <w:r w:rsidR="005E1F07" w:rsidRPr="00FD5102">
        <w:t xml:space="preserve"> </w:t>
      </w:r>
      <w:r w:rsidR="007467DF" w:rsidRPr="00FD5102">
        <w:t xml:space="preserve">The ESC considered that the age distribution of the Australian </w:t>
      </w:r>
      <w:r w:rsidR="007467DF" w:rsidRPr="00FD5102">
        <w:lastRenderedPageBreak/>
        <w:t>population likely to be treated was uncertain and may be impacted by increasing awareness of the condition and treatments. The ESC considered that data or evidence regarding the age of patients likely to be treated in Australia would be informative.</w:t>
      </w:r>
      <w:r w:rsidR="00F878BE">
        <w:t xml:space="preserve"> The pre-PBAC response maintained that women</w:t>
      </w:r>
      <w:r w:rsidR="004C1488">
        <w:t xml:space="preserve"> aged</w:t>
      </w:r>
      <w:r w:rsidR="00F878BE">
        <w:t xml:space="preserve"> </w:t>
      </w:r>
      <w:r w:rsidR="004C1488">
        <w:t>less than</w:t>
      </w:r>
      <w:r w:rsidR="00F878BE">
        <w:t xml:space="preserve"> 35 years make up a small proportion of women diagnosed with </w:t>
      </w:r>
      <w:r w:rsidR="003F173C">
        <w:t>uterine fibroids</w:t>
      </w:r>
      <w:r w:rsidR="00F878BE">
        <w:t xml:space="preserve"> and </w:t>
      </w:r>
      <w:r w:rsidR="004C1488">
        <w:t>represent a</w:t>
      </w:r>
      <w:r w:rsidR="00F878BE">
        <w:t xml:space="preserve"> small proportion of women who have used </w:t>
      </w:r>
      <w:r w:rsidR="003F173C">
        <w:t>linzagolix</w:t>
      </w:r>
      <w:r w:rsidR="00F878BE">
        <w:t xml:space="preserve"> in markets where it is already available for this condition.</w:t>
      </w:r>
    </w:p>
    <w:p w14:paraId="6BA9AF64" w14:textId="62D569F2" w:rsidR="002C0784" w:rsidRPr="00482A36" w:rsidRDefault="002C0784" w:rsidP="002C0784">
      <w:pPr>
        <w:pStyle w:val="Caption"/>
      </w:pPr>
      <w:bookmarkStart w:id="57" w:name="_Ref165904319"/>
      <w:r w:rsidRPr="00482A36">
        <w:t xml:space="preserve">Figure </w:t>
      </w:r>
      <w:r w:rsidR="00747D8C">
        <w:fldChar w:fldCharType="begin"/>
      </w:r>
      <w:r w:rsidR="00747D8C">
        <w:instrText xml:space="preserve"> SEQ Figure \* ARABIC </w:instrText>
      </w:r>
      <w:r w:rsidR="00747D8C">
        <w:fldChar w:fldCharType="separate"/>
      </w:r>
      <w:r w:rsidR="003E4FD0">
        <w:rPr>
          <w:noProof/>
        </w:rPr>
        <w:t>5</w:t>
      </w:r>
      <w:r w:rsidR="00747D8C">
        <w:rPr>
          <w:noProof/>
        </w:rPr>
        <w:fldChar w:fldCharType="end"/>
      </w:r>
      <w:bookmarkEnd w:id="57"/>
      <w:r w:rsidRPr="00482A36">
        <w:t>. The submission’s Markov model structure (simplified diagram)</w:t>
      </w:r>
    </w:p>
    <w:p w14:paraId="72D17128" w14:textId="208EC22A" w:rsidR="002C0784" w:rsidRPr="00482A36" w:rsidRDefault="000B6044" w:rsidP="002C0784">
      <w:pPr>
        <w:pStyle w:val="Caption"/>
      </w:pPr>
      <w:r w:rsidRPr="000B6044">
        <w:rPr>
          <w:noProof/>
        </w:rPr>
        <w:t xml:space="preserve"> </w:t>
      </w:r>
      <w:r>
        <w:rPr>
          <w:noProof/>
        </w:rPr>
        <w:drawing>
          <wp:inline distT="0" distB="0" distL="0" distR="0" wp14:anchorId="0FEC9087" wp14:editId="3BE65E39">
            <wp:extent cx="4166418" cy="3185574"/>
            <wp:effectExtent l="0" t="0" r="5715" b="0"/>
            <wp:docPr id="892724627" name="Picture 1" descr="Figure 5. The submission’s Markov model structure (simplified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24627" name="Picture 1" descr="Figure 5. The submission’s Markov model structure (simplified diagram)"/>
                    <pic:cNvPicPr/>
                  </pic:nvPicPr>
                  <pic:blipFill>
                    <a:blip r:embed="rId18"/>
                    <a:stretch>
                      <a:fillRect/>
                    </a:stretch>
                  </pic:blipFill>
                  <pic:spPr>
                    <a:xfrm>
                      <a:off x="0" y="0"/>
                      <a:ext cx="4179981" cy="3195944"/>
                    </a:xfrm>
                    <a:prstGeom prst="rect">
                      <a:avLst/>
                    </a:prstGeom>
                  </pic:spPr>
                </pic:pic>
              </a:graphicData>
            </a:graphic>
          </wp:inline>
        </w:drawing>
      </w:r>
    </w:p>
    <w:p w14:paraId="67EEF88D" w14:textId="77777777" w:rsidR="002C0784" w:rsidRPr="00482A36" w:rsidRDefault="002C0784" w:rsidP="002C0784">
      <w:pPr>
        <w:pStyle w:val="PBACTblFignote"/>
      </w:pPr>
      <w:r w:rsidRPr="00B44EE0">
        <w:t>Source: Figure 46, p208 of the submission.</w:t>
      </w:r>
    </w:p>
    <w:p w14:paraId="55C21E26" w14:textId="77777777" w:rsidR="002C0784" w:rsidRPr="00482A36" w:rsidRDefault="002C0784" w:rsidP="002C0784">
      <w:pPr>
        <w:pStyle w:val="PBACTblFignote"/>
      </w:pPr>
      <w:r w:rsidRPr="00482A36">
        <w:t>HMB = heavy menstrual bleeding.</w:t>
      </w:r>
    </w:p>
    <w:p w14:paraId="130B8B59" w14:textId="77777777" w:rsidR="002C0784" w:rsidRPr="00482A36" w:rsidRDefault="002C0784" w:rsidP="002C0784">
      <w:pPr>
        <w:pStyle w:val="PBACTblFignote"/>
      </w:pPr>
      <w:r w:rsidRPr="00482A36">
        <w:t>*</w:t>
      </w:r>
      <w:r w:rsidRPr="00482A36">
        <w:tab/>
        <w:t>In each arm of the model, treatment is either linzagolix + best supportive care or best supportive care alone.</w:t>
      </w:r>
    </w:p>
    <w:p w14:paraId="3CED8C41" w14:textId="77777777" w:rsidR="002C0784" w:rsidRPr="00482A36" w:rsidRDefault="002C0784" w:rsidP="009A1DC8">
      <w:pPr>
        <w:pStyle w:val="PBACTblFignote"/>
        <w:keepNext w:val="0"/>
        <w:spacing w:after="120"/>
      </w:pPr>
      <w:r w:rsidRPr="00482A36">
        <w:t>^</w:t>
      </w:r>
      <w:r w:rsidRPr="00482A36">
        <w:tab/>
        <w:t xml:space="preserve">Surgery includes myomectomy, abdominal </w:t>
      </w:r>
      <w:proofErr w:type="gramStart"/>
      <w:r w:rsidRPr="00482A36">
        <w:t>hysterectomy</w:t>
      </w:r>
      <w:proofErr w:type="gramEnd"/>
      <w:r w:rsidRPr="00482A36">
        <w:t xml:space="preserve"> and laparoscopic hysterectomy.</w:t>
      </w:r>
    </w:p>
    <w:p w14:paraId="002A78ED" w14:textId="7F39F81F" w:rsidR="002C0784" w:rsidRPr="00482A36" w:rsidRDefault="002C0784" w:rsidP="002C0784">
      <w:pPr>
        <w:pStyle w:val="3-BodyText"/>
      </w:pPr>
      <w:r w:rsidRPr="00482A36">
        <w:rPr>
          <w:rFonts w:cstheme="minorHAnsi"/>
        </w:rPr>
        <w:t xml:space="preserve">All patients entered the model in the HMB (heavy menstrual bleeding) health states. Treatment with linzagolix could discontinue due to lack of response at week 24 or due to any reason (such as AEs) at other times. The model assumed that only women in the ‘HMB (LGX)’ health state are at risk of discontinuing linzagolix treatment for any reason. A patient in the ‘HMB remission (LGX)’ health state was at zero risk of discontinuing linzagolix in the base case. </w:t>
      </w:r>
      <w:r w:rsidRPr="00616367">
        <w:rPr>
          <w:rFonts w:cstheme="minorHAnsi"/>
        </w:rPr>
        <w:t>This</w:t>
      </w:r>
      <w:r w:rsidRPr="00482A36">
        <w:rPr>
          <w:rFonts w:cstheme="minorHAnsi"/>
        </w:rPr>
        <w:t xml:space="preserve"> </w:t>
      </w:r>
      <w:r w:rsidR="002A0660" w:rsidRPr="00616367">
        <w:rPr>
          <w:rFonts w:cstheme="minorHAnsi"/>
          <w:iCs/>
        </w:rPr>
        <w:t>was</w:t>
      </w:r>
      <w:r w:rsidRPr="00616367">
        <w:rPr>
          <w:rFonts w:cstheme="minorHAnsi"/>
          <w:iCs/>
        </w:rPr>
        <w:t xml:space="preserve"> not reasonable</w:t>
      </w:r>
      <w:r w:rsidR="004062D7" w:rsidRPr="00616367">
        <w:rPr>
          <w:rFonts w:cstheme="minorHAnsi"/>
          <w:iCs/>
        </w:rPr>
        <w:t xml:space="preserve"> </w:t>
      </w:r>
      <w:r w:rsidR="004062D7" w:rsidRPr="00616367">
        <w:rPr>
          <w:iCs/>
        </w:rPr>
        <w:t>as patients in remission can discontinue treatment due to various reasons e.g., adverse events</w:t>
      </w:r>
      <w:r w:rsidRPr="00616367">
        <w:rPr>
          <w:rFonts w:cstheme="minorHAnsi"/>
          <w:iCs/>
        </w:rPr>
        <w:t xml:space="preserve">. In effect, patients in the ‘HMB remission (LGX)’ health state can have ongoing linzagolix treatment, </w:t>
      </w:r>
      <w:proofErr w:type="gramStart"/>
      <w:r w:rsidRPr="00616367">
        <w:rPr>
          <w:rFonts w:cstheme="minorHAnsi"/>
          <w:iCs/>
        </w:rPr>
        <w:t>provided that</w:t>
      </w:r>
      <w:proofErr w:type="gramEnd"/>
      <w:r w:rsidRPr="00616367">
        <w:rPr>
          <w:rFonts w:cstheme="minorHAnsi"/>
          <w:iCs/>
        </w:rPr>
        <w:t xml:space="preserve"> they do not lose response (in which case they will move back to the ‘HMB (LGX)’ health state).</w:t>
      </w:r>
      <w:r w:rsidR="00802F85" w:rsidRPr="00616367">
        <w:rPr>
          <w:rFonts w:cstheme="minorHAnsi"/>
          <w:iCs/>
        </w:rPr>
        <w:t xml:space="preserve"> The use of survey data to model loss of response also appear</w:t>
      </w:r>
      <w:r w:rsidR="00A31358" w:rsidRPr="00616367">
        <w:rPr>
          <w:rFonts w:cstheme="minorHAnsi"/>
          <w:iCs/>
        </w:rPr>
        <w:t>ed</w:t>
      </w:r>
      <w:r w:rsidR="00802F85" w:rsidRPr="00616367">
        <w:rPr>
          <w:rFonts w:cstheme="minorHAnsi"/>
          <w:iCs/>
        </w:rPr>
        <w:t xml:space="preserve"> to be inappropriate </w:t>
      </w:r>
      <w:r w:rsidR="00A31358" w:rsidRPr="00616367">
        <w:rPr>
          <w:rFonts w:cstheme="minorHAnsi"/>
          <w:iCs/>
        </w:rPr>
        <w:t xml:space="preserve">given </w:t>
      </w:r>
      <w:r w:rsidR="00802F85" w:rsidRPr="00616367">
        <w:rPr>
          <w:rFonts w:cstheme="minorHAnsi"/>
          <w:iCs/>
        </w:rPr>
        <w:t xml:space="preserve">trial data </w:t>
      </w:r>
      <w:r w:rsidR="00A31358" w:rsidRPr="00616367">
        <w:rPr>
          <w:rFonts w:cstheme="minorHAnsi"/>
          <w:iCs/>
        </w:rPr>
        <w:t>wa</w:t>
      </w:r>
      <w:r w:rsidR="00802F85" w:rsidRPr="00616367">
        <w:rPr>
          <w:rFonts w:cstheme="minorHAnsi"/>
          <w:iCs/>
        </w:rPr>
        <w:t>s available up to 52 weeks and would be a more robust source than survey data.</w:t>
      </w:r>
    </w:p>
    <w:p w14:paraId="786DD15E" w14:textId="0CB358E2" w:rsidR="002C0784" w:rsidRPr="00616367" w:rsidRDefault="002C0784" w:rsidP="00895408">
      <w:pPr>
        <w:pStyle w:val="3-BodyText"/>
        <w:rPr>
          <w:iCs/>
        </w:rPr>
      </w:pPr>
      <w:r w:rsidRPr="00482A36">
        <w:rPr>
          <w:rFonts w:cstheme="minorHAnsi"/>
        </w:rPr>
        <w:t xml:space="preserve">The model assumed that all women under the age of 40 years will only be treated with fertility-preserving surgeries (i.e., myomectomies), thus excluding hysterectomies. For </w:t>
      </w:r>
      <w:r w:rsidRPr="00482A36">
        <w:rPr>
          <w:rFonts w:cstheme="minorHAnsi"/>
        </w:rPr>
        <w:lastRenderedPageBreak/>
        <w:t>women aged 40 years and over, the model assumed that there is no preference or need for fertility / uterus preservation and hysterectomies were undertaken instead.</w:t>
      </w:r>
      <w:r w:rsidR="00895408">
        <w:rPr>
          <w:rFonts w:cstheme="minorHAnsi"/>
        </w:rPr>
        <w:t xml:space="preserve"> </w:t>
      </w:r>
      <w:r w:rsidR="00895408" w:rsidRPr="00616367">
        <w:rPr>
          <w:rFonts w:cstheme="minorHAnsi"/>
          <w:iCs/>
        </w:rPr>
        <w:t>This assumption may not be appropriate as the choice between hysterectomy and myomectomy may be guided by patient preference to avoid ‘radical’ surgery such as hysterectomy, and desire to preserve fertility, rather than just patient age.</w:t>
      </w:r>
      <w:r w:rsidR="0027045E">
        <w:rPr>
          <w:rFonts w:cstheme="minorHAnsi"/>
          <w:iCs/>
        </w:rPr>
        <w:t xml:space="preserve"> </w:t>
      </w:r>
      <w:r w:rsidR="0027045E" w:rsidRPr="00FD5102">
        <w:rPr>
          <w:rFonts w:cstheme="minorHAnsi"/>
        </w:rPr>
        <w:t xml:space="preserve">The PSCR argued that in the context of a Markov model with already </w:t>
      </w:r>
      <w:proofErr w:type="gramStart"/>
      <w:r w:rsidR="0027045E" w:rsidRPr="00FD5102">
        <w:rPr>
          <w:rFonts w:cstheme="minorHAnsi"/>
        </w:rPr>
        <w:t>a large number of</w:t>
      </w:r>
      <w:proofErr w:type="gramEnd"/>
      <w:r w:rsidR="0027045E" w:rsidRPr="00FD5102">
        <w:rPr>
          <w:rFonts w:cstheme="minorHAnsi"/>
        </w:rPr>
        <w:t xml:space="preserve"> health states it is a reasonable simplification of clinical practice for a majority of patients. The PSCR</w:t>
      </w:r>
      <w:r w:rsidR="00C52309" w:rsidRPr="00FD5102">
        <w:rPr>
          <w:rFonts w:cstheme="minorHAnsi"/>
        </w:rPr>
        <w:t xml:space="preserve"> also</w:t>
      </w:r>
      <w:r w:rsidR="0027045E" w:rsidRPr="00FD5102">
        <w:rPr>
          <w:rFonts w:cstheme="minorHAnsi"/>
        </w:rPr>
        <w:t xml:space="preserve"> argued that the choice of surgery in the model does not have a large impact on the ICER. </w:t>
      </w:r>
    </w:p>
    <w:p w14:paraId="280608F9" w14:textId="4C631283" w:rsidR="002C0784" w:rsidRPr="009D059E" w:rsidRDefault="002C0784" w:rsidP="00F75997">
      <w:pPr>
        <w:pStyle w:val="3-BodyText"/>
        <w:rPr>
          <w:rFonts w:cstheme="minorHAnsi"/>
        </w:rPr>
      </w:pPr>
      <w:r w:rsidRPr="009D059E">
        <w:rPr>
          <w:rFonts w:cstheme="minorHAnsi"/>
        </w:rPr>
        <w:t xml:space="preserve">The model Markov traces constructed during the evaluation are presented in </w:t>
      </w:r>
      <w:r w:rsidRPr="009D059E">
        <w:rPr>
          <w:rFonts w:cstheme="minorHAnsi"/>
        </w:rPr>
        <w:fldChar w:fldCharType="begin"/>
      </w:r>
      <w:r w:rsidRPr="009D059E">
        <w:rPr>
          <w:rFonts w:cstheme="minorHAnsi"/>
        </w:rPr>
        <w:instrText xml:space="preserve"> REF _Ref165545422 \h </w:instrText>
      </w:r>
      <w:r w:rsidR="009D059E">
        <w:rPr>
          <w:rFonts w:cstheme="minorHAnsi"/>
        </w:rPr>
        <w:instrText xml:space="preserve"> \* MERGEFORMAT </w:instrText>
      </w:r>
      <w:r w:rsidRPr="009D059E">
        <w:rPr>
          <w:rFonts w:cstheme="minorHAnsi"/>
        </w:rPr>
      </w:r>
      <w:r w:rsidRPr="009D059E">
        <w:rPr>
          <w:rFonts w:cstheme="minorHAnsi"/>
        </w:rPr>
        <w:fldChar w:fldCharType="separate"/>
      </w:r>
      <w:r w:rsidR="003E4FD0" w:rsidRPr="003E4FD0">
        <w:rPr>
          <w:rFonts w:cstheme="minorHAnsi"/>
        </w:rPr>
        <w:t>Figure 6</w:t>
      </w:r>
      <w:r w:rsidRPr="009D059E">
        <w:rPr>
          <w:rFonts w:cstheme="minorHAnsi"/>
        </w:rPr>
        <w:fldChar w:fldCharType="end"/>
      </w:r>
      <w:r w:rsidRPr="009D059E">
        <w:rPr>
          <w:rFonts w:cstheme="minorHAnsi"/>
        </w:rPr>
        <w:t>.</w:t>
      </w:r>
      <w:r w:rsidR="00F75997" w:rsidRPr="009D059E">
        <w:rPr>
          <w:rFonts w:cstheme="minorHAnsi"/>
        </w:rPr>
        <w:t xml:space="preserve"> </w:t>
      </w:r>
    </w:p>
    <w:p w14:paraId="0A930A0F" w14:textId="20DB0B63" w:rsidR="002C0784" w:rsidRPr="00482A36" w:rsidRDefault="002C0784" w:rsidP="00656A97">
      <w:pPr>
        <w:pStyle w:val="Caption"/>
      </w:pPr>
      <w:bookmarkStart w:id="58" w:name="_Ref165545422"/>
      <w:r w:rsidRPr="00482A36">
        <w:t xml:space="preserve">Figure </w:t>
      </w:r>
      <w:r w:rsidR="00747D8C">
        <w:fldChar w:fldCharType="begin"/>
      </w:r>
      <w:r w:rsidR="00747D8C">
        <w:instrText xml:space="preserve"> SEQ Figure \* ARABIC </w:instrText>
      </w:r>
      <w:r w:rsidR="00747D8C">
        <w:fldChar w:fldCharType="separate"/>
      </w:r>
      <w:r w:rsidR="003E4FD0">
        <w:rPr>
          <w:noProof/>
        </w:rPr>
        <w:t>6</w:t>
      </w:r>
      <w:r w:rsidR="00747D8C">
        <w:rPr>
          <w:noProof/>
        </w:rPr>
        <w:fldChar w:fldCharType="end"/>
      </w:r>
      <w:bookmarkEnd w:id="58"/>
      <w:r w:rsidRPr="00482A36">
        <w:rPr>
          <w:rFonts w:cs="Times New Roman"/>
          <w:szCs w:val="20"/>
          <w:lang w:eastAsia="en-US"/>
        </w:rPr>
        <w:t>: Markov traces</w:t>
      </w:r>
    </w:p>
    <w:p w14:paraId="45F58D82" w14:textId="77777777" w:rsidR="002C0784" w:rsidRPr="00482A36" w:rsidRDefault="002C0784" w:rsidP="00656A97">
      <w:pPr>
        <w:pStyle w:val="3-BodyText"/>
        <w:keepNext/>
        <w:keepLines/>
        <w:numPr>
          <w:ilvl w:val="0"/>
          <w:numId w:val="0"/>
        </w:numPr>
        <w:rPr>
          <w:rFonts w:ascii="Arial Narrow" w:hAnsi="Arial Narrow" w:cs="Times New Roman"/>
          <w:b/>
          <w:sz w:val="20"/>
          <w:szCs w:val="20"/>
          <w:lang w:eastAsia="en-US"/>
        </w:rPr>
      </w:pPr>
      <w:r w:rsidRPr="00482A36">
        <w:rPr>
          <w:rFonts w:ascii="Arial Narrow" w:hAnsi="Arial Narrow" w:cs="Times New Roman"/>
          <w:b/>
          <w:noProof/>
          <w:sz w:val="20"/>
          <w:szCs w:val="20"/>
          <w:lang w:eastAsia="en-US"/>
        </w:rPr>
        <w:drawing>
          <wp:inline distT="0" distB="0" distL="0" distR="0" wp14:anchorId="3015EA74" wp14:editId="7A5BB852">
            <wp:extent cx="5727802" cy="3979871"/>
            <wp:effectExtent l="0" t="0" r="6350" b="1905"/>
            <wp:docPr id="21" name="Picture 21" descr="Figure 6: Markov t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6: Markov traces"/>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64769" cy="4005557"/>
                    </a:xfrm>
                    <a:prstGeom prst="rect">
                      <a:avLst/>
                    </a:prstGeom>
                    <a:noFill/>
                  </pic:spPr>
                </pic:pic>
              </a:graphicData>
            </a:graphic>
          </wp:inline>
        </w:drawing>
      </w:r>
    </w:p>
    <w:p w14:paraId="78428692" w14:textId="77777777" w:rsidR="002C0784" w:rsidRPr="00616367" w:rsidRDefault="002C0784" w:rsidP="00656A97">
      <w:pPr>
        <w:pStyle w:val="TableFigureFooter"/>
        <w:keepNext/>
        <w:rPr>
          <w:iCs/>
        </w:rPr>
      </w:pPr>
      <w:r w:rsidRPr="00616367">
        <w:rPr>
          <w:iCs/>
        </w:rPr>
        <w:t>Source: independently reconstructed during the evaluation.</w:t>
      </w:r>
    </w:p>
    <w:p w14:paraId="2B3180C8" w14:textId="77777777" w:rsidR="002C0784" w:rsidRPr="00482A36" w:rsidRDefault="002C0784" w:rsidP="00656A97">
      <w:pPr>
        <w:pStyle w:val="TableFigureFooter"/>
        <w:keepNext/>
      </w:pPr>
      <w:r w:rsidRPr="00482A36">
        <w:t>BSC = best supportive care; HMB = heavy menstrual bleeding; LGX = linzagolix.</w:t>
      </w:r>
    </w:p>
    <w:p w14:paraId="48B0B566" w14:textId="0847267C" w:rsidR="002C0784" w:rsidRPr="00482A36" w:rsidRDefault="002C0784" w:rsidP="00656A97">
      <w:pPr>
        <w:pStyle w:val="TableFigureFooter"/>
        <w:keepLines/>
      </w:pPr>
      <w:r w:rsidRPr="00482A36">
        <w:t>A 21-year time horizon was assumed for all modelled patients to generate the graphs, the model base case assumed the model stops at the age of menopause, once patients reach menopause they would remain in the ‘menopause’ health state unless they die due to all-cause mortality.</w:t>
      </w:r>
    </w:p>
    <w:p w14:paraId="1316F619" w14:textId="77AB21E5" w:rsidR="00820C02" w:rsidRPr="00616367" w:rsidRDefault="00820C02" w:rsidP="00820C02">
      <w:pPr>
        <w:pStyle w:val="3-BodyText"/>
        <w:rPr>
          <w:iCs/>
        </w:rPr>
      </w:pPr>
      <w:r w:rsidRPr="00616367">
        <w:rPr>
          <w:iCs/>
          <w:lang w:eastAsia="en-US"/>
        </w:rPr>
        <w:t xml:space="preserve">A larger proportion of patients in the linzagolix arm in the model achieved remission compared to the BSC arm. This translated to fewer patients </w:t>
      </w:r>
      <w:r w:rsidR="007467DF">
        <w:rPr>
          <w:iCs/>
          <w:lang w:eastAsia="en-US"/>
        </w:rPr>
        <w:t>moving</w:t>
      </w:r>
      <w:r w:rsidR="007467DF" w:rsidRPr="00616367">
        <w:rPr>
          <w:iCs/>
          <w:lang w:eastAsia="en-US"/>
        </w:rPr>
        <w:t xml:space="preserve"> </w:t>
      </w:r>
      <w:r w:rsidRPr="00616367">
        <w:rPr>
          <w:iCs/>
          <w:lang w:eastAsia="en-US"/>
        </w:rPr>
        <w:t>to</w:t>
      </w:r>
      <w:r w:rsidR="007467DF">
        <w:rPr>
          <w:iCs/>
          <w:lang w:eastAsia="en-US"/>
        </w:rPr>
        <w:t xml:space="preserve"> the</w:t>
      </w:r>
      <w:r w:rsidRPr="00616367">
        <w:rPr>
          <w:iCs/>
          <w:lang w:eastAsia="en-US"/>
        </w:rPr>
        <w:t xml:space="preserve"> surgery</w:t>
      </w:r>
      <w:r w:rsidR="007467DF">
        <w:rPr>
          <w:iCs/>
          <w:lang w:eastAsia="en-US"/>
        </w:rPr>
        <w:t xml:space="preserve"> health state</w:t>
      </w:r>
      <w:r w:rsidRPr="00616367">
        <w:rPr>
          <w:iCs/>
          <w:lang w:eastAsia="en-US"/>
        </w:rPr>
        <w:t xml:space="preserve"> in the linzagolix arm compared to BSC. </w:t>
      </w:r>
    </w:p>
    <w:p w14:paraId="52EADD17" w14:textId="7333E473" w:rsidR="00F75997" w:rsidRPr="00482A36" w:rsidRDefault="00F75997" w:rsidP="00F75997">
      <w:pPr>
        <w:pStyle w:val="3-BodyText"/>
      </w:pPr>
      <w:r w:rsidRPr="006E4941">
        <w:lastRenderedPageBreak/>
        <w:t xml:space="preserve">Disaggregated costs and </w:t>
      </w:r>
      <w:r w:rsidR="008458C4">
        <w:t>outcomes</w:t>
      </w:r>
      <w:r w:rsidRPr="006E4941">
        <w:t xml:space="preserve"> are presented in </w:t>
      </w:r>
      <w:r w:rsidR="008458C4">
        <w:fldChar w:fldCharType="begin"/>
      </w:r>
      <w:r w:rsidR="008458C4">
        <w:instrText xml:space="preserve"> REF _Ref166484509 \h </w:instrText>
      </w:r>
      <w:r w:rsidR="008458C4">
        <w:fldChar w:fldCharType="separate"/>
      </w:r>
      <w:r w:rsidR="003E4FD0">
        <w:t xml:space="preserve">Table </w:t>
      </w:r>
      <w:r w:rsidR="003E4FD0">
        <w:rPr>
          <w:noProof/>
        </w:rPr>
        <w:t>10</w:t>
      </w:r>
      <w:r w:rsidR="008458C4">
        <w:fldChar w:fldCharType="end"/>
      </w:r>
      <w:r w:rsidR="00446C08">
        <w:t xml:space="preserve"> </w:t>
      </w:r>
      <w:r w:rsidRPr="006E4941">
        <w:t xml:space="preserve">and </w:t>
      </w:r>
      <w:r w:rsidR="008458C4">
        <w:fldChar w:fldCharType="begin"/>
      </w:r>
      <w:r w:rsidR="008458C4">
        <w:instrText xml:space="preserve"> REF _Ref166484536 \h </w:instrText>
      </w:r>
      <w:r w:rsidR="008458C4">
        <w:fldChar w:fldCharType="separate"/>
      </w:r>
      <w:r w:rsidR="003E4FD0">
        <w:t xml:space="preserve">Table </w:t>
      </w:r>
      <w:r w:rsidR="003E4FD0">
        <w:rPr>
          <w:noProof/>
        </w:rPr>
        <w:t>11</w:t>
      </w:r>
      <w:r w:rsidR="008458C4">
        <w:fldChar w:fldCharType="end"/>
      </w:r>
      <w:r w:rsidRPr="006E4941">
        <w:t>, respectively.</w:t>
      </w:r>
    </w:p>
    <w:p w14:paraId="081DD7D2" w14:textId="632F009A" w:rsidR="002775F4" w:rsidRPr="00482A36" w:rsidRDefault="002775F4" w:rsidP="002775F4">
      <w:pPr>
        <w:pStyle w:val="Caption"/>
        <w:rPr>
          <w:rStyle w:val="CommentReference"/>
          <w:b/>
          <w:szCs w:val="24"/>
        </w:rPr>
      </w:pPr>
      <w:bookmarkStart w:id="59" w:name="_Ref166484509"/>
      <w:r>
        <w:t xml:space="preserve">Table </w:t>
      </w:r>
      <w:r w:rsidR="00747D8C">
        <w:fldChar w:fldCharType="begin"/>
      </w:r>
      <w:r w:rsidR="00747D8C">
        <w:instrText xml:space="preserve"> SEQ Table \* ARABIC </w:instrText>
      </w:r>
      <w:r w:rsidR="00747D8C">
        <w:fldChar w:fldCharType="separate"/>
      </w:r>
      <w:r w:rsidR="003E4FD0">
        <w:rPr>
          <w:noProof/>
        </w:rPr>
        <w:t>10</w:t>
      </w:r>
      <w:r w:rsidR="00747D8C">
        <w:rPr>
          <w:noProof/>
        </w:rPr>
        <w:fldChar w:fldCharType="end"/>
      </w:r>
      <w:bookmarkEnd w:id="59"/>
      <w:r>
        <w:t xml:space="preserve">: </w:t>
      </w:r>
      <w:r w:rsidRPr="00482A36">
        <w:rPr>
          <w:rStyle w:val="CommentReference"/>
          <w:b/>
          <w:szCs w:val="24"/>
        </w:rPr>
        <w:t>Health care resource items: disaggregated summary of cost impacts (discounted)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Health care resource items: disaggregated summary of cost impacts (discounted)"/>
      </w:tblPr>
      <w:tblGrid>
        <w:gridCol w:w="3261"/>
        <w:gridCol w:w="1417"/>
        <w:gridCol w:w="1418"/>
        <w:gridCol w:w="1417"/>
        <w:gridCol w:w="1504"/>
      </w:tblGrid>
      <w:tr w:rsidR="002775F4" w:rsidRPr="00482A36" w14:paraId="51CBB059"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ED3AFF" w14:textId="77777777" w:rsidR="002775F4" w:rsidRPr="00482A36" w:rsidRDefault="002775F4" w:rsidP="00BA1ECE">
            <w:pPr>
              <w:keepNext/>
              <w:jc w:val="left"/>
              <w:rPr>
                <w:rFonts w:ascii="Arial Narrow" w:eastAsiaTheme="majorEastAsia" w:hAnsi="Arial Narrow" w:cs="Times New Roman"/>
                <w:b/>
                <w:sz w:val="20"/>
              </w:rPr>
            </w:pPr>
            <w:r w:rsidRPr="00482A36">
              <w:rPr>
                <w:rFonts w:ascii="Arial Narrow" w:eastAsiaTheme="majorEastAsia" w:hAnsi="Arial Narrow" w:cs="Times New Roman"/>
                <w:b/>
                <w:sz w:val="20"/>
              </w:rPr>
              <w:t>Resource use</w:t>
            </w:r>
          </w:p>
        </w:tc>
        <w:tc>
          <w:tcPr>
            <w:tcW w:w="1417" w:type="dxa"/>
            <w:tcBorders>
              <w:top w:val="single" w:sz="4" w:space="0" w:color="auto"/>
              <w:left w:val="single" w:sz="4" w:space="0" w:color="auto"/>
              <w:bottom w:val="single" w:sz="4" w:space="0" w:color="auto"/>
              <w:right w:val="single" w:sz="4" w:space="0" w:color="auto"/>
            </w:tcBorders>
          </w:tcPr>
          <w:p w14:paraId="56FD532E" w14:textId="77777777" w:rsidR="002775F4" w:rsidRPr="00482A36" w:rsidRDefault="002775F4" w:rsidP="00BA1ECE">
            <w:pPr>
              <w:keepNext/>
              <w:jc w:val="center"/>
              <w:rPr>
                <w:rFonts w:ascii="Arial Narrow" w:eastAsiaTheme="majorEastAsia" w:hAnsi="Arial Narrow" w:cs="Times New Roman"/>
                <w:b/>
                <w:sz w:val="20"/>
              </w:rPr>
            </w:pPr>
            <w:r w:rsidRPr="00482A36">
              <w:rPr>
                <w:rFonts w:ascii="Arial Narrow" w:eastAsiaTheme="majorEastAsia" w:hAnsi="Arial Narrow" w:cs="Times New Roman"/>
                <w:b/>
                <w:sz w:val="20"/>
              </w:rPr>
              <w:t>LGX</w:t>
            </w:r>
          </w:p>
        </w:tc>
        <w:tc>
          <w:tcPr>
            <w:tcW w:w="1418" w:type="dxa"/>
            <w:tcBorders>
              <w:top w:val="single" w:sz="4" w:space="0" w:color="auto"/>
              <w:left w:val="single" w:sz="4" w:space="0" w:color="auto"/>
              <w:bottom w:val="single" w:sz="4" w:space="0" w:color="auto"/>
              <w:right w:val="single" w:sz="4" w:space="0" w:color="auto"/>
            </w:tcBorders>
          </w:tcPr>
          <w:p w14:paraId="4F6CE001" w14:textId="77777777" w:rsidR="002775F4" w:rsidRPr="00482A36" w:rsidRDefault="002775F4" w:rsidP="00BA1ECE">
            <w:pPr>
              <w:keepNext/>
              <w:jc w:val="center"/>
              <w:rPr>
                <w:rFonts w:ascii="Arial Narrow" w:eastAsiaTheme="majorEastAsia" w:hAnsi="Arial Narrow" w:cs="Times New Roman"/>
                <w:b/>
                <w:sz w:val="20"/>
              </w:rPr>
            </w:pPr>
            <w:r w:rsidRPr="00482A36">
              <w:rPr>
                <w:rFonts w:ascii="Arial Narrow" w:eastAsiaTheme="majorEastAsia" w:hAnsi="Arial Narrow" w:cs="Times New Roman"/>
                <w:b/>
                <w:sz w:val="20"/>
              </w:rPr>
              <w:t>BSC</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DA6D78" w14:textId="77777777" w:rsidR="002775F4" w:rsidRPr="00482A36" w:rsidRDefault="002775F4" w:rsidP="00BA1ECE">
            <w:pPr>
              <w:keepNext/>
              <w:jc w:val="center"/>
              <w:rPr>
                <w:rFonts w:ascii="Arial Narrow" w:eastAsiaTheme="majorEastAsia" w:hAnsi="Arial Narrow" w:cs="Times New Roman"/>
                <w:b/>
                <w:sz w:val="20"/>
              </w:rPr>
            </w:pPr>
            <w:r w:rsidRPr="00482A36">
              <w:rPr>
                <w:rFonts w:ascii="Arial Narrow" w:eastAsiaTheme="majorEastAsia" w:hAnsi="Arial Narrow" w:cs="Times New Roman"/>
                <w:b/>
                <w:sz w:val="20"/>
              </w:rPr>
              <w:t>Incremental cost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A645AC" w14:textId="77777777" w:rsidR="002775F4" w:rsidRPr="00482A36" w:rsidRDefault="002775F4" w:rsidP="00BA1ECE">
            <w:pPr>
              <w:keepNext/>
              <w:jc w:val="center"/>
              <w:rPr>
                <w:rFonts w:ascii="Arial Narrow" w:eastAsiaTheme="majorEastAsia" w:hAnsi="Arial Narrow" w:cs="Times New Roman"/>
                <w:b/>
                <w:sz w:val="20"/>
              </w:rPr>
            </w:pPr>
            <w:r w:rsidRPr="00482A36">
              <w:rPr>
                <w:rFonts w:ascii="Arial Narrow" w:eastAsiaTheme="majorEastAsia" w:hAnsi="Arial Narrow" w:cs="Times New Roman"/>
                <w:b/>
                <w:sz w:val="20"/>
              </w:rPr>
              <w:t>% of total incremental cost</w:t>
            </w:r>
          </w:p>
        </w:tc>
      </w:tr>
      <w:tr w:rsidR="002775F4" w:rsidRPr="00616367" w14:paraId="2CE1C716"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393082"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Drug costs (intervention)</w:t>
            </w:r>
          </w:p>
        </w:tc>
        <w:tc>
          <w:tcPr>
            <w:tcW w:w="1417" w:type="dxa"/>
            <w:tcBorders>
              <w:top w:val="single" w:sz="4" w:space="0" w:color="auto"/>
              <w:left w:val="single" w:sz="4" w:space="0" w:color="auto"/>
              <w:bottom w:val="single" w:sz="4" w:space="0" w:color="auto"/>
              <w:right w:val="single" w:sz="4" w:space="0" w:color="auto"/>
            </w:tcBorders>
            <w:vAlign w:val="center"/>
          </w:tcPr>
          <w:p w14:paraId="4306AD77" w14:textId="29F63DE3"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w:t>
            </w:r>
            <w:r w:rsidR="00474E21" w:rsidRPr="00474E2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72397795"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$0.00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AD88AA" w14:textId="37452354"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w:t>
            </w:r>
            <w:r w:rsidR="00474E21" w:rsidRPr="00474E2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60AD37" w14:textId="009BA797" w:rsidR="002775F4" w:rsidRPr="00616367" w:rsidRDefault="00474E21" w:rsidP="00BA1ECE">
            <w:pPr>
              <w:keepNext/>
              <w:jc w:val="center"/>
              <w:rPr>
                <w:rFonts w:ascii="Arial Narrow" w:eastAsiaTheme="majorEastAsia" w:hAnsi="Arial Narrow" w:cstheme="majorBidi"/>
                <w:bCs/>
                <w:iCs/>
                <w:sz w:val="20"/>
              </w:rPr>
            </w:pPr>
            <w:r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2775F4" w:rsidRPr="00616367">
              <w:rPr>
                <w:rFonts w:ascii="Arial Narrow" w:eastAsiaTheme="majorEastAsia" w:hAnsi="Arial Narrow" w:cstheme="majorBidi"/>
                <w:bCs/>
                <w:iCs/>
                <w:sz w:val="20"/>
              </w:rPr>
              <w:t>%</w:t>
            </w:r>
          </w:p>
        </w:tc>
      </w:tr>
      <w:tr w:rsidR="002775F4" w:rsidRPr="00616367" w14:paraId="4A8216CC"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9F61FE"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ABT</w:t>
            </w:r>
          </w:p>
        </w:tc>
        <w:tc>
          <w:tcPr>
            <w:tcW w:w="1417" w:type="dxa"/>
            <w:tcBorders>
              <w:top w:val="single" w:sz="4" w:space="0" w:color="auto"/>
              <w:left w:val="single" w:sz="4" w:space="0" w:color="auto"/>
              <w:bottom w:val="single" w:sz="4" w:space="0" w:color="auto"/>
              <w:right w:val="single" w:sz="4" w:space="0" w:color="auto"/>
            </w:tcBorders>
            <w:vAlign w:val="center"/>
          </w:tcPr>
          <w:p w14:paraId="397F46A8" w14:textId="311D9321"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w:t>
            </w:r>
            <w:r w:rsidR="00474E21" w:rsidRPr="00474E2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62C67EC2"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$0.00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F9CF9C" w14:textId="74A416AB"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w:t>
            </w:r>
            <w:r w:rsidR="00474E21" w:rsidRPr="00474E2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9E8C88" w14:textId="4891EA59" w:rsidR="002775F4" w:rsidRPr="00616367" w:rsidRDefault="00474E21" w:rsidP="00BA1ECE">
            <w:pPr>
              <w:keepNext/>
              <w:jc w:val="center"/>
              <w:rPr>
                <w:rFonts w:ascii="Arial Narrow" w:eastAsiaTheme="majorEastAsia" w:hAnsi="Arial Narrow" w:cstheme="majorBidi"/>
                <w:bCs/>
                <w:iCs/>
                <w:sz w:val="20"/>
              </w:rPr>
            </w:pPr>
            <w:r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2775F4" w:rsidRPr="00616367">
              <w:rPr>
                <w:rFonts w:ascii="Arial Narrow" w:eastAsiaTheme="majorEastAsia" w:hAnsi="Arial Narrow" w:cstheme="majorBidi"/>
                <w:bCs/>
                <w:iCs/>
                <w:sz w:val="20"/>
              </w:rPr>
              <w:t>%</w:t>
            </w:r>
          </w:p>
        </w:tc>
      </w:tr>
      <w:tr w:rsidR="002775F4" w:rsidRPr="00616367" w14:paraId="0DFB0C6B"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B15E55"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BMD monitoring</w:t>
            </w:r>
          </w:p>
        </w:tc>
        <w:tc>
          <w:tcPr>
            <w:tcW w:w="1417" w:type="dxa"/>
            <w:tcBorders>
              <w:top w:val="single" w:sz="4" w:space="0" w:color="auto"/>
              <w:left w:val="single" w:sz="4" w:space="0" w:color="auto"/>
              <w:bottom w:val="single" w:sz="4" w:space="0" w:color="auto"/>
              <w:right w:val="single" w:sz="4" w:space="0" w:color="auto"/>
            </w:tcBorders>
            <w:vAlign w:val="center"/>
          </w:tcPr>
          <w:p w14:paraId="5E7CD4FE"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$306.93</w:t>
            </w:r>
          </w:p>
        </w:tc>
        <w:tc>
          <w:tcPr>
            <w:tcW w:w="1418" w:type="dxa"/>
            <w:tcBorders>
              <w:top w:val="single" w:sz="4" w:space="0" w:color="auto"/>
              <w:left w:val="single" w:sz="4" w:space="0" w:color="auto"/>
              <w:bottom w:val="single" w:sz="4" w:space="0" w:color="auto"/>
              <w:right w:val="single" w:sz="4" w:space="0" w:color="auto"/>
            </w:tcBorders>
            <w:vAlign w:val="center"/>
          </w:tcPr>
          <w:p w14:paraId="760406B0"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$0.00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38175CB"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$306.93</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9096EE" w14:textId="2E386BB9" w:rsidR="002775F4" w:rsidRPr="00616367" w:rsidRDefault="00474E21" w:rsidP="00BA1ECE">
            <w:pPr>
              <w:keepNext/>
              <w:jc w:val="center"/>
              <w:rPr>
                <w:rFonts w:ascii="Arial Narrow" w:eastAsiaTheme="majorEastAsia" w:hAnsi="Arial Narrow" w:cstheme="majorBidi"/>
                <w:bCs/>
                <w:iCs/>
                <w:sz w:val="20"/>
              </w:rPr>
            </w:pPr>
            <w:r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2775F4" w:rsidRPr="00616367">
              <w:rPr>
                <w:rFonts w:ascii="Arial Narrow" w:eastAsiaTheme="majorEastAsia" w:hAnsi="Arial Narrow" w:cstheme="majorBidi"/>
                <w:bCs/>
                <w:iCs/>
                <w:sz w:val="20"/>
              </w:rPr>
              <w:t>%</w:t>
            </w:r>
          </w:p>
        </w:tc>
      </w:tr>
      <w:tr w:rsidR="002775F4" w:rsidRPr="00616367" w14:paraId="734F0DC9" w14:textId="77777777" w:rsidTr="00BA1ECE">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7318242F"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abdominal hysterectomy</w:t>
            </w:r>
          </w:p>
        </w:tc>
        <w:tc>
          <w:tcPr>
            <w:tcW w:w="1417" w:type="dxa"/>
            <w:tcBorders>
              <w:top w:val="single" w:sz="4" w:space="0" w:color="auto"/>
              <w:left w:val="single" w:sz="4" w:space="0" w:color="auto"/>
              <w:bottom w:val="nil"/>
              <w:right w:val="single" w:sz="4" w:space="0" w:color="auto"/>
            </w:tcBorders>
            <w:vAlign w:val="center"/>
          </w:tcPr>
          <w:p w14:paraId="00310B93"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$4,511.17</w:t>
            </w:r>
          </w:p>
        </w:tc>
        <w:tc>
          <w:tcPr>
            <w:tcW w:w="1418" w:type="dxa"/>
            <w:tcBorders>
              <w:top w:val="single" w:sz="4" w:space="0" w:color="auto"/>
              <w:left w:val="single" w:sz="4" w:space="0" w:color="auto"/>
              <w:bottom w:val="nil"/>
              <w:right w:val="single" w:sz="4" w:space="0" w:color="auto"/>
            </w:tcBorders>
            <w:vAlign w:val="center"/>
          </w:tcPr>
          <w:p w14:paraId="7495BA7A"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$5,814.13</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2F1FBD61"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-$1,302.96</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6FB0F90B" w14:textId="733131C5" w:rsidR="002775F4" w:rsidRPr="00616367" w:rsidRDefault="002775F4" w:rsidP="00BA1ECE">
            <w:pPr>
              <w:keepNext/>
              <w:jc w:val="center"/>
              <w:rPr>
                <w:rFonts w:ascii="Arial Narrow" w:eastAsiaTheme="majorEastAsia" w:hAnsi="Arial Narrow" w:cstheme="majorBidi"/>
                <w:bCs/>
                <w:iCs/>
                <w:sz w:val="20"/>
              </w:rPr>
            </w:pPr>
            <w:r w:rsidRPr="00616367">
              <w:rPr>
                <w:rFonts w:ascii="Arial Narrow" w:eastAsiaTheme="majorEastAsia" w:hAnsi="Arial Narrow" w:cstheme="majorBidi"/>
                <w:bCs/>
                <w:iCs/>
                <w:sz w:val="20"/>
              </w:rPr>
              <w:t>-</w:t>
            </w:r>
            <w:r w:rsidR="00474E21"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Pr="00616367">
              <w:rPr>
                <w:rFonts w:ascii="Arial Narrow" w:eastAsiaTheme="majorEastAsia" w:hAnsi="Arial Narrow" w:cstheme="majorBidi"/>
                <w:bCs/>
                <w:iCs/>
                <w:sz w:val="20"/>
              </w:rPr>
              <w:t>%</w:t>
            </w:r>
          </w:p>
        </w:tc>
      </w:tr>
      <w:tr w:rsidR="002775F4" w:rsidRPr="00616367" w14:paraId="4DD06FBA" w14:textId="77777777" w:rsidTr="00BA1ECE">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3AD0BC59"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laparoscopic hysterectomy</w:t>
            </w:r>
          </w:p>
        </w:tc>
        <w:tc>
          <w:tcPr>
            <w:tcW w:w="1417" w:type="dxa"/>
            <w:tcBorders>
              <w:top w:val="single" w:sz="4" w:space="0" w:color="auto"/>
              <w:left w:val="single" w:sz="4" w:space="0" w:color="auto"/>
              <w:bottom w:val="nil"/>
              <w:right w:val="single" w:sz="4" w:space="0" w:color="auto"/>
            </w:tcBorders>
            <w:vAlign w:val="center"/>
          </w:tcPr>
          <w:p w14:paraId="74D6848F"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$586.42</w:t>
            </w:r>
          </w:p>
        </w:tc>
        <w:tc>
          <w:tcPr>
            <w:tcW w:w="1418" w:type="dxa"/>
            <w:tcBorders>
              <w:top w:val="single" w:sz="4" w:space="0" w:color="auto"/>
              <w:left w:val="single" w:sz="4" w:space="0" w:color="auto"/>
              <w:bottom w:val="nil"/>
              <w:right w:val="single" w:sz="4" w:space="0" w:color="auto"/>
            </w:tcBorders>
            <w:vAlign w:val="center"/>
          </w:tcPr>
          <w:p w14:paraId="64A8672B"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$743.92</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2B8ADB54"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-$157.50</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090CDEEA" w14:textId="4D4A6A22" w:rsidR="002775F4" w:rsidRPr="00616367" w:rsidRDefault="002775F4" w:rsidP="00BA1ECE">
            <w:pPr>
              <w:keepNext/>
              <w:jc w:val="center"/>
              <w:rPr>
                <w:rFonts w:ascii="Arial Narrow" w:eastAsiaTheme="majorEastAsia" w:hAnsi="Arial Narrow" w:cstheme="majorBidi"/>
                <w:bCs/>
                <w:iCs/>
                <w:sz w:val="20"/>
              </w:rPr>
            </w:pPr>
            <w:r w:rsidRPr="00616367">
              <w:rPr>
                <w:rFonts w:ascii="Arial Narrow" w:eastAsiaTheme="majorEastAsia" w:hAnsi="Arial Narrow" w:cstheme="majorBidi"/>
                <w:bCs/>
                <w:iCs/>
                <w:sz w:val="20"/>
              </w:rPr>
              <w:t>-</w:t>
            </w:r>
            <w:r w:rsidR="00474E21"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Pr="00616367">
              <w:rPr>
                <w:rFonts w:ascii="Arial Narrow" w:eastAsiaTheme="majorEastAsia" w:hAnsi="Arial Narrow" w:cstheme="majorBidi"/>
                <w:bCs/>
                <w:iCs/>
                <w:sz w:val="20"/>
              </w:rPr>
              <w:t>%</w:t>
            </w:r>
          </w:p>
        </w:tc>
      </w:tr>
      <w:tr w:rsidR="002775F4" w:rsidRPr="00616367" w14:paraId="65CAB92A" w14:textId="77777777" w:rsidTr="00BA1ECE">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505B1FAA"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myomectomy</w:t>
            </w:r>
          </w:p>
        </w:tc>
        <w:tc>
          <w:tcPr>
            <w:tcW w:w="1417" w:type="dxa"/>
            <w:tcBorders>
              <w:top w:val="single" w:sz="4" w:space="0" w:color="auto"/>
              <w:left w:val="single" w:sz="4" w:space="0" w:color="auto"/>
              <w:bottom w:val="nil"/>
              <w:right w:val="single" w:sz="4" w:space="0" w:color="auto"/>
            </w:tcBorders>
            <w:vAlign w:val="center"/>
          </w:tcPr>
          <w:p w14:paraId="52DAA894"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$418.86</w:t>
            </w:r>
          </w:p>
        </w:tc>
        <w:tc>
          <w:tcPr>
            <w:tcW w:w="1418" w:type="dxa"/>
            <w:tcBorders>
              <w:top w:val="single" w:sz="4" w:space="0" w:color="auto"/>
              <w:left w:val="single" w:sz="4" w:space="0" w:color="auto"/>
              <w:bottom w:val="nil"/>
              <w:right w:val="single" w:sz="4" w:space="0" w:color="auto"/>
            </w:tcBorders>
            <w:vAlign w:val="center"/>
          </w:tcPr>
          <w:p w14:paraId="29821E38"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$757.91</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7FCE05C2"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-$339.05</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1DBFE541" w14:textId="385356B7" w:rsidR="002775F4" w:rsidRPr="00616367" w:rsidRDefault="002775F4" w:rsidP="00BA1ECE">
            <w:pPr>
              <w:keepNext/>
              <w:jc w:val="center"/>
              <w:rPr>
                <w:rFonts w:ascii="Arial Narrow" w:eastAsiaTheme="majorEastAsia" w:hAnsi="Arial Narrow" w:cstheme="majorBidi"/>
                <w:bCs/>
                <w:iCs/>
                <w:sz w:val="20"/>
              </w:rPr>
            </w:pPr>
            <w:r w:rsidRPr="00616367">
              <w:rPr>
                <w:rFonts w:ascii="Arial Narrow" w:eastAsiaTheme="majorEastAsia" w:hAnsi="Arial Narrow" w:cstheme="majorBidi"/>
                <w:bCs/>
                <w:iCs/>
                <w:sz w:val="20"/>
              </w:rPr>
              <w:t>-</w:t>
            </w:r>
            <w:r w:rsidR="00474E21"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Pr="00616367">
              <w:rPr>
                <w:rFonts w:ascii="Arial Narrow" w:eastAsiaTheme="majorEastAsia" w:hAnsi="Arial Narrow" w:cstheme="majorBidi"/>
                <w:bCs/>
                <w:iCs/>
                <w:sz w:val="20"/>
              </w:rPr>
              <w:t>%</w:t>
            </w:r>
          </w:p>
        </w:tc>
      </w:tr>
      <w:tr w:rsidR="002775F4" w:rsidRPr="00616367" w14:paraId="5F39BC10"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D2E7632"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adverse events</w:t>
            </w:r>
          </w:p>
        </w:tc>
        <w:tc>
          <w:tcPr>
            <w:tcW w:w="1417" w:type="dxa"/>
            <w:tcBorders>
              <w:top w:val="single" w:sz="4" w:space="0" w:color="auto"/>
              <w:left w:val="single" w:sz="4" w:space="0" w:color="auto"/>
              <w:bottom w:val="single" w:sz="4" w:space="0" w:color="auto"/>
              <w:right w:val="single" w:sz="4" w:space="0" w:color="auto"/>
            </w:tcBorders>
            <w:vAlign w:val="center"/>
          </w:tcPr>
          <w:p w14:paraId="6A793241"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$209.91</w:t>
            </w:r>
          </w:p>
        </w:tc>
        <w:tc>
          <w:tcPr>
            <w:tcW w:w="1418" w:type="dxa"/>
            <w:tcBorders>
              <w:top w:val="single" w:sz="4" w:space="0" w:color="auto"/>
              <w:left w:val="single" w:sz="4" w:space="0" w:color="auto"/>
              <w:bottom w:val="single" w:sz="4" w:space="0" w:color="auto"/>
              <w:right w:val="single" w:sz="4" w:space="0" w:color="auto"/>
            </w:tcBorders>
            <w:vAlign w:val="center"/>
          </w:tcPr>
          <w:p w14:paraId="4689DC80"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$0.00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DD0221"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$209.91</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A7677C" w14:textId="61437ADB" w:rsidR="002775F4" w:rsidRPr="00616367" w:rsidRDefault="00474E21" w:rsidP="00BA1ECE">
            <w:pPr>
              <w:keepNext/>
              <w:jc w:val="center"/>
              <w:rPr>
                <w:rFonts w:ascii="Arial Narrow" w:eastAsiaTheme="majorEastAsia" w:hAnsi="Arial Narrow" w:cstheme="majorBidi"/>
                <w:bCs/>
                <w:iCs/>
                <w:sz w:val="20"/>
              </w:rPr>
            </w:pPr>
            <w:r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2775F4" w:rsidRPr="00616367">
              <w:rPr>
                <w:rFonts w:ascii="Arial Narrow" w:eastAsiaTheme="majorEastAsia" w:hAnsi="Arial Narrow" w:cstheme="majorBidi"/>
                <w:bCs/>
                <w:iCs/>
                <w:sz w:val="20"/>
              </w:rPr>
              <w:t>%</w:t>
            </w:r>
          </w:p>
        </w:tc>
      </w:tr>
      <w:tr w:rsidR="002775F4" w:rsidRPr="00616367" w14:paraId="3630E1D0"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F09E9C" w14:textId="77777777" w:rsidR="002775F4" w:rsidRPr="00616367" w:rsidRDefault="002775F4" w:rsidP="00BA1ECE">
            <w:pPr>
              <w:keepNext/>
              <w:jc w:val="left"/>
              <w:rPr>
                <w:rFonts w:ascii="Arial Narrow" w:eastAsiaTheme="majorEastAsia" w:hAnsi="Arial Narrow" w:cstheme="majorBidi"/>
                <w:bCs/>
                <w:sz w:val="20"/>
              </w:rPr>
            </w:pPr>
            <w:r w:rsidRPr="00616367">
              <w:rPr>
                <w:rFonts w:ascii="Arial Narrow" w:eastAsiaTheme="majorEastAsia" w:hAnsi="Arial Narrow" w:cstheme="majorBidi"/>
                <w:bCs/>
                <w:sz w:val="20"/>
              </w:rPr>
              <w:t>Costs of CAD</w:t>
            </w:r>
          </w:p>
        </w:tc>
        <w:tc>
          <w:tcPr>
            <w:tcW w:w="1417" w:type="dxa"/>
            <w:tcBorders>
              <w:top w:val="single" w:sz="4" w:space="0" w:color="auto"/>
              <w:left w:val="single" w:sz="4" w:space="0" w:color="auto"/>
              <w:bottom w:val="single" w:sz="4" w:space="0" w:color="auto"/>
              <w:right w:val="single" w:sz="4" w:space="0" w:color="auto"/>
            </w:tcBorders>
            <w:vAlign w:val="center"/>
          </w:tcPr>
          <w:p w14:paraId="5E01969E"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$153.97</w:t>
            </w:r>
          </w:p>
        </w:tc>
        <w:tc>
          <w:tcPr>
            <w:tcW w:w="1418" w:type="dxa"/>
            <w:tcBorders>
              <w:top w:val="single" w:sz="4" w:space="0" w:color="auto"/>
              <w:left w:val="single" w:sz="4" w:space="0" w:color="auto"/>
              <w:bottom w:val="single" w:sz="4" w:space="0" w:color="auto"/>
              <w:right w:val="single" w:sz="4" w:space="0" w:color="auto"/>
            </w:tcBorders>
            <w:vAlign w:val="center"/>
          </w:tcPr>
          <w:p w14:paraId="7DFC2454"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$156.63</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0AB129" w14:textId="77777777" w:rsidR="002775F4" w:rsidRPr="00616367" w:rsidRDefault="002775F4" w:rsidP="00BA1ECE">
            <w:pPr>
              <w:keepNext/>
              <w:jc w:val="center"/>
              <w:rPr>
                <w:rFonts w:ascii="Arial Narrow" w:eastAsiaTheme="majorEastAsia" w:hAnsi="Arial Narrow" w:cstheme="majorBidi"/>
                <w:bCs/>
                <w:sz w:val="20"/>
              </w:rPr>
            </w:pPr>
            <w:r w:rsidRPr="00616367">
              <w:rPr>
                <w:rFonts w:ascii="Arial Narrow" w:eastAsiaTheme="majorEastAsia" w:hAnsi="Arial Narrow" w:cstheme="majorBidi"/>
                <w:bCs/>
                <w:sz w:val="20"/>
              </w:rPr>
              <w:t>-$2.66</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3B5B78" w14:textId="6DC2CFE0" w:rsidR="002775F4" w:rsidRPr="00616367" w:rsidRDefault="002775F4" w:rsidP="00BA1ECE">
            <w:pPr>
              <w:keepNext/>
              <w:jc w:val="center"/>
              <w:rPr>
                <w:rFonts w:ascii="Arial Narrow" w:eastAsiaTheme="majorEastAsia" w:hAnsi="Arial Narrow" w:cstheme="majorBidi"/>
                <w:bCs/>
                <w:iCs/>
                <w:sz w:val="20"/>
              </w:rPr>
            </w:pPr>
            <w:r w:rsidRPr="00616367">
              <w:rPr>
                <w:rFonts w:ascii="Arial Narrow" w:eastAsiaTheme="majorEastAsia" w:hAnsi="Arial Narrow" w:cstheme="majorBidi"/>
                <w:bCs/>
                <w:iCs/>
                <w:sz w:val="20"/>
              </w:rPr>
              <w:t>-</w:t>
            </w:r>
            <w:r w:rsidR="00474E21" w:rsidRPr="00474E2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Pr="00616367">
              <w:rPr>
                <w:rFonts w:ascii="Arial Narrow" w:eastAsiaTheme="majorEastAsia" w:hAnsi="Arial Narrow" w:cstheme="majorBidi"/>
                <w:bCs/>
                <w:iCs/>
                <w:sz w:val="20"/>
              </w:rPr>
              <w:t>%</w:t>
            </w:r>
          </w:p>
        </w:tc>
      </w:tr>
      <w:tr w:rsidR="002775F4" w:rsidRPr="00616367" w14:paraId="7FC17DDD" w14:textId="77777777" w:rsidTr="00BA1ECE">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53AC87" w14:textId="77777777" w:rsidR="002775F4" w:rsidRPr="00616367" w:rsidRDefault="002775F4" w:rsidP="00BA1ECE">
            <w:pPr>
              <w:keepNext/>
              <w:jc w:val="left"/>
              <w:rPr>
                <w:rFonts w:ascii="Arial Narrow" w:eastAsiaTheme="majorEastAsia" w:hAnsi="Arial Narrow" w:cstheme="majorBidi"/>
                <w:b/>
                <w:sz w:val="20"/>
              </w:rPr>
            </w:pPr>
            <w:r w:rsidRPr="00616367">
              <w:rPr>
                <w:rFonts w:ascii="Arial Narrow" w:eastAsiaTheme="majorEastAsia" w:hAnsi="Arial Narrow" w:cstheme="majorBidi"/>
                <w:b/>
                <w:sz w:val="20"/>
              </w:rPr>
              <w:t>Total Costs</w:t>
            </w:r>
          </w:p>
        </w:tc>
        <w:tc>
          <w:tcPr>
            <w:tcW w:w="1417" w:type="dxa"/>
            <w:tcBorders>
              <w:top w:val="single" w:sz="4" w:space="0" w:color="auto"/>
              <w:left w:val="single" w:sz="4" w:space="0" w:color="auto"/>
              <w:bottom w:val="single" w:sz="4" w:space="0" w:color="auto"/>
              <w:right w:val="single" w:sz="4" w:space="0" w:color="auto"/>
            </w:tcBorders>
            <w:vAlign w:val="center"/>
          </w:tcPr>
          <w:p w14:paraId="010E60DB" w14:textId="1179FCA6" w:rsidR="002775F4" w:rsidRPr="00616367" w:rsidRDefault="002775F4" w:rsidP="00BA1ECE">
            <w:pPr>
              <w:keepNext/>
              <w:jc w:val="center"/>
              <w:rPr>
                <w:rFonts w:ascii="Arial Narrow" w:eastAsiaTheme="majorEastAsia" w:hAnsi="Arial Narrow" w:cstheme="majorBidi"/>
                <w:b/>
                <w:sz w:val="20"/>
              </w:rPr>
            </w:pPr>
            <w:r w:rsidRPr="00616367">
              <w:rPr>
                <w:rFonts w:ascii="Arial Narrow" w:eastAsiaTheme="majorEastAsia" w:hAnsi="Arial Narrow" w:cstheme="majorBidi"/>
                <w:b/>
                <w:sz w:val="20"/>
              </w:rPr>
              <w:t>$</w:t>
            </w:r>
            <w:r w:rsidR="00474E21" w:rsidRPr="00474E21">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vAlign w:val="center"/>
          </w:tcPr>
          <w:p w14:paraId="1FA672AC" w14:textId="77777777" w:rsidR="002775F4" w:rsidRPr="00616367" w:rsidRDefault="002775F4" w:rsidP="00BA1ECE">
            <w:pPr>
              <w:keepNext/>
              <w:jc w:val="center"/>
              <w:rPr>
                <w:rFonts w:ascii="Arial Narrow" w:eastAsiaTheme="majorEastAsia" w:hAnsi="Arial Narrow" w:cstheme="majorBidi"/>
                <w:b/>
                <w:sz w:val="20"/>
                <w:szCs w:val="20"/>
              </w:rPr>
            </w:pPr>
            <w:r w:rsidRPr="00616367">
              <w:rPr>
                <w:rFonts w:ascii="Arial Narrow" w:eastAsiaTheme="majorEastAsia" w:hAnsi="Arial Narrow" w:cstheme="majorBidi"/>
                <w:b/>
                <w:sz w:val="20"/>
                <w:szCs w:val="20"/>
              </w:rPr>
              <w:t>$7,472.60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8A0468" w14:textId="15AA6FBE" w:rsidR="002775F4" w:rsidRPr="00616367" w:rsidRDefault="002775F4" w:rsidP="00BA1ECE">
            <w:pPr>
              <w:keepNext/>
              <w:jc w:val="center"/>
              <w:rPr>
                <w:rFonts w:ascii="Arial Narrow" w:eastAsiaTheme="majorEastAsia" w:hAnsi="Arial Narrow" w:cstheme="majorBidi"/>
                <w:b/>
                <w:sz w:val="20"/>
                <w:szCs w:val="20"/>
              </w:rPr>
            </w:pPr>
            <w:r w:rsidRPr="00616367">
              <w:rPr>
                <w:rFonts w:ascii="Arial Narrow" w:eastAsiaTheme="majorEastAsia" w:hAnsi="Arial Narrow" w:cstheme="majorBidi"/>
                <w:b/>
                <w:sz w:val="20"/>
                <w:szCs w:val="20"/>
              </w:rPr>
              <w:t>$</w:t>
            </w:r>
            <w:r w:rsidR="00474E21" w:rsidRPr="00474E21">
              <w:rPr>
                <w:rFonts w:ascii="Arial Narrow" w:eastAsiaTheme="majorEastAsia" w:hAnsi="Arial Narrow" w:cstheme="majorBidi"/>
                <w:b/>
                <w:color w:val="000000"/>
                <w:sz w:val="20"/>
                <w:szCs w:val="20"/>
                <w:shd w:val="solid" w:color="000000" w:fill="000000"/>
                <w14:textFill>
                  <w14:solidFill>
                    <w14:srgbClr w14:val="000000">
                      <w14:alpha w14:val="100000"/>
                    </w14:srgbClr>
                  </w14:solidFill>
                </w14:textFill>
              </w:rPr>
              <w: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D7D98A" w14:textId="77777777" w:rsidR="002775F4" w:rsidRPr="00616367" w:rsidRDefault="002775F4" w:rsidP="00BA1ECE">
            <w:pPr>
              <w:keepNext/>
              <w:jc w:val="center"/>
              <w:rPr>
                <w:rFonts w:ascii="Arial Narrow" w:eastAsiaTheme="majorEastAsia" w:hAnsi="Arial Narrow" w:cstheme="majorBidi"/>
                <w:b/>
                <w:iCs/>
                <w:sz w:val="20"/>
              </w:rPr>
            </w:pPr>
            <w:r w:rsidRPr="00616367">
              <w:rPr>
                <w:rFonts w:ascii="Arial Narrow" w:eastAsiaTheme="majorEastAsia" w:hAnsi="Arial Narrow" w:cstheme="majorBidi"/>
                <w:b/>
                <w:iCs/>
                <w:sz w:val="20"/>
              </w:rPr>
              <w:t>100.0%</w:t>
            </w:r>
          </w:p>
        </w:tc>
      </w:tr>
    </w:tbl>
    <w:p w14:paraId="3BD6B732" w14:textId="643A5771" w:rsidR="002775F4" w:rsidRPr="00482A36" w:rsidRDefault="002775F4" w:rsidP="002775F4">
      <w:pPr>
        <w:pStyle w:val="TableFigureFooter"/>
      </w:pPr>
      <w:r w:rsidRPr="00482A36">
        <w:t>Source: Table 105, p180 of the submission</w:t>
      </w:r>
      <w:r w:rsidR="00616367">
        <w:t xml:space="preserve"> and compiled during the evaluation.</w:t>
      </w:r>
    </w:p>
    <w:p w14:paraId="373ED121" w14:textId="68CA18C7" w:rsidR="002775F4" w:rsidRPr="00482A36" w:rsidRDefault="002775F4" w:rsidP="002775F4">
      <w:pPr>
        <w:pStyle w:val="TableFigureFooter"/>
      </w:pPr>
      <w:r w:rsidRPr="00482A36">
        <w:t xml:space="preserve">ABT = add-back therapy; </w:t>
      </w:r>
      <w:r>
        <w:t xml:space="preserve">BSC = best supportive care; </w:t>
      </w:r>
      <w:r w:rsidRPr="00482A36">
        <w:t xml:space="preserve">BMD = bone mineral density; CAD = coronary artery </w:t>
      </w:r>
      <w:r>
        <w:t>disease; LGX = linzagolix.</w:t>
      </w:r>
    </w:p>
    <w:p w14:paraId="16A54613" w14:textId="4B6FA05F" w:rsidR="002775F4" w:rsidRPr="008458C4" w:rsidRDefault="008458C4" w:rsidP="008458C4">
      <w:pPr>
        <w:pStyle w:val="Caption"/>
        <w:jc w:val="left"/>
        <w:rPr>
          <w:rStyle w:val="CommentReference"/>
          <w:b/>
          <w:szCs w:val="18"/>
        </w:rPr>
      </w:pPr>
      <w:bookmarkStart w:id="60" w:name="_Ref166484536"/>
      <w:r>
        <w:t xml:space="preserve">Table </w:t>
      </w:r>
      <w:r w:rsidR="00747D8C">
        <w:fldChar w:fldCharType="begin"/>
      </w:r>
      <w:r w:rsidR="00747D8C">
        <w:instrText xml:space="preserve"> SEQ Table \* ARABIC </w:instrText>
      </w:r>
      <w:r w:rsidR="00747D8C">
        <w:fldChar w:fldCharType="separate"/>
      </w:r>
      <w:r w:rsidR="003E4FD0">
        <w:rPr>
          <w:noProof/>
        </w:rPr>
        <w:t>11</w:t>
      </w:r>
      <w:r w:rsidR="00747D8C">
        <w:rPr>
          <w:noProof/>
        </w:rPr>
        <w:fldChar w:fldCharType="end"/>
      </w:r>
      <w:bookmarkEnd w:id="60"/>
      <w:r w:rsidR="002775F4" w:rsidRPr="00482A36">
        <w:rPr>
          <w:rStyle w:val="CommentReference"/>
          <w:b/>
          <w:szCs w:val="24"/>
        </w:rPr>
        <w:t>: Disaggregated summary of health outcomes included in the economic evaluation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Disaggregated summary of health outcomes included in the economic evaluation"/>
      </w:tblPr>
      <w:tblGrid>
        <w:gridCol w:w="4678"/>
        <w:gridCol w:w="1418"/>
        <w:gridCol w:w="1275"/>
        <w:gridCol w:w="1646"/>
      </w:tblGrid>
      <w:tr w:rsidR="002775F4" w:rsidRPr="00482A36" w14:paraId="76B32099"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7DFDF9" w14:textId="77777777" w:rsidR="002775F4" w:rsidRPr="00482A36" w:rsidRDefault="002775F4" w:rsidP="00BA1ECE">
            <w:pPr>
              <w:pStyle w:val="In-tableHeading"/>
              <w:rPr>
                <w:lang w:val="en-AU"/>
              </w:rPr>
            </w:pPr>
            <w:r w:rsidRPr="00482A36">
              <w:rPr>
                <w:lang w:val="en-AU"/>
              </w:rPr>
              <w:t>Outcome</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58526B4" w14:textId="77777777" w:rsidR="002775F4" w:rsidRPr="00482A36" w:rsidRDefault="002775F4" w:rsidP="00BA1ECE">
            <w:pPr>
              <w:pStyle w:val="In-tableHeading"/>
              <w:jc w:val="center"/>
              <w:rPr>
                <w:lang w:val="en-AU"/>
              </w:rPr>
            </w:pPr>
            <w:r w:rsidRPr="00482A36">
              <w:rPr>
                <w:lang w:val="en-AU"/>
              </w:rPr>
              <w:t>LGX</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2A9ACA" w14:textId="77777777" w:rsidR="002775F4" w:rsidRPr="00482A36" w:rsidRDefault="002775F4" w:rsidP="00BA1ECE">
            <w:pPr>
              <w:pStyle w:val="In-tableHeading"/>
              <w:jc w:val="center"/>
              <w:rPr>
                <w:lang w:val="en-AU"/>
              </w:rPr>
            </w:pPr>
            <w:r w:rsidRPr="00482A36">
              <w:rPr>
                <w:lang w:val="en-AU"/>
              </w:rPr>
              <w:t>BSC</w:t>
            </w:r>
          </w:p>
        </w:tc>
        <w:tc>
          <w:tcPr>
            <w:tcW w:w="1646" w:type="dxa"/>
            <w:tcBorders>
              <w:top w:val="single" w:sz="4" w:space="0" w:color="auto"/>
              <w:left w:val="single" w:sz="4" w:space="0" w:color="auto"/>
              <w:bottom w:val="single" w:sz="4" w:space="0" w:color="auto"/>
              <w:right w:val="single" w:sz="4" w:space="0" w:color="auto"/>
            </w:tcBorders>
            <w:vAlign w:val="center"/>
          </w:tcPr>
          <w:p w14:paraId="1D80F13B" w14:textId="77777777" w:rsidR="002775F4" w:rsidRPr="00482A36" w:rsidRDefault="002775F4" w:rsidP="00BA1ECE">
            <w:pPr>
              <w:pStyle w:val="In-tableHeading"/>
              <w:jc w:val="center"/>
              <w:rPr>
                <w:lang w:val="en-AU"/>
              </w:rPr>
            </w:pPr>
            <w:r w:rsidRPr="00482A36">
              <w:rPr>
                <w:lang w:val="en-AU"/>
              </w:rPr>
              <w:t>Incremental outcome</w:t>
            </w:r>
          </w:p>
        </w:tc>
      </w:tr>
      <w:tr w:rsidR="002775F4" w:rsidRPr="00482A36" w14:paraId="05052545"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F68850" w14:textId="77777777" w:rsidR="002775F4" w:rsidRPr="00482A36" w:rsidRDefault="002775F4" w:rsidP="00BA1ECE">
            <w:pPr>
              <w:pStyle w:val="TableText0"/>
              <w:rPr>
                <w:b/>
                <w:bCs w:val="0"/>
              </w:rPr>
            </w:pPr>
            <w:r w:rsidRPr="00482A36">
              <w:rPr>
                <w:b/>
                <w:bCs w:val="0"/>
              </w:rPr>
              <w:t>QALYs (discounted)</w:t>
            </w:r>
          </w:p>
        </w:tc>
        <w:tc>
          <w:tcPr>
            <w:tcW w:w="1418" w:type="dxa"/>
            <w:tcMar>
              <w:left w:w="57" w:type="dxa"/>
              <w:right w:w="57" w:type="dxa"/>
            </w:tcMar>
            <w:vAlign w:val="center"/>
          </w:tcPr>
          <w:p w14:paraId="1CD85349" w14:textId="77777777" w:rsidR="002775F4" w:rsidRPr="00482A36" w:rsidRDefault="002775F4" w:rsidP="00BA1ECE">
            <w:pPr>
              <w:pStyle w:val="TableText0"/>
              <w:jc w:val="center"/>
              <w:rPr>
                <w:b/>
                <w:bCs w:val="0"/>
              </w:rPr>
            </w:pPr>
            <w:r w:rsidRPr="00482A36">
              <w:rPr>
                <w:b/>
                <w:bCs w:val="0"/>
              </w:rPr>
              <w:t>6.1928</w:t>
            </w:r>
          </w:p>
        </w:tc>
        <w:tc>
          <w:tcPr>
            <w:tcW w:w="1275" w:type="dxa"/>
            <w:tcMar>
              <w:left w:w="57" w:type="dxa"/>
              <w:right w:w="57" w:type="dxa"/>
            </w:tcMar>
            <w:vAlign w:val="center"/>
          </w:tcPr>
          <w:p w14:paraId="31FFD26A" w14:textId="77777777" w:rsidR="002775F4" w:rsidRPr="00482A36" w:rsidRDefault="002775F4" w:rsidP="00BA1ECE">
            <w:pPr>
              <w:pStyle w:val="TableText0"/>
              <w:jc w:val="center"/>
              <w:rPr>
                <w:b/>
                <w:bCs w:val="0"/>
              </w:rPr>
            </w:pPr>
            <w:r w:rsidRPr="00482A36">
              <w:rPr>
                <w:b/>
                <w:bCs w:val="0"/>
              </w:rPr>
              <w:t>6.0187</w:t>
            </w:r>
          </w:p>
        </w:tc>
        <w:tc>
          <w:tcPr>
            <w:tcW w:w="1646" w:type="dxa"/>
            <w:vAlign w:val="center"/>
          </w:tcPr>
          <w:p w14:paraId="3E37FD81" w14:textId="77777777" w:rsidR="002775F4" w:rsidRPr="00482A36" w:rsidRDefault="002775F4" w:rsidP="00BA1ECE">
            <w:pPr>
              <w:pStyle w:val="TableText0"/>
              <w:jc w:val="center"/>
              <w:rPr>
                <w:b/>
                <w:bCs w:val="0"/>
              </w:rPr>
            </w:pPr>
            <w:r w:rsidRPr="00482A36">
              <w:rPr>
                <w:b/>
                <w:bCs w:val="0"/>
              </w:rPr>
              <w:t>0.1741</w:t>
            </w:r>
          </w:p>
        </w:tc>
      </w:tr>
      <w:tr w:rsidR="002775F4" w:rsidRPr="00482A36" w14:paraId="412064B6"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736EA8" w14:textId="77777777" w:rsidR="002775F4" w:rsidRPr="00482A36" w:rsidRDefault="002775F4" w:rsidP="00BA1ECE">
            <w:pPr>
              <w:pStyle w:val="TableText0"/>
            </w:pPr>
            <w:r w:rsidRPr="00482A36">
              <w:t>Monthly cycles of LGX/ABT treatment (undiscounted)</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468EB6A" w14:textId="77777777" w:rsidR="002775F4" w:rsidRPr="00482A36" w:rsidRDefault="002775F4" w:rsidP="00BA1ECE">
            <w:pPr>
              <w:pStyle w:val="TableText0"/>
              <w:jc w:val="center"/>
            </w:pPr>
            <w:r w:rsidRPr="00482A36">
              <w:t>43.38</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1C06D1" w14:textId="77777777" w:rsidR="002775F4" w:rsidRPr="00482A36" w:rsidRDefault="002775F4" w:rsidP="00BA1ECE">
            <w:pPr>
              <w:pStyle w:val="TableText0"/>
              <w:jc w:val="center"/>
            </w:pPr>
            <w:r w:rsidRPr="00482A36">
              <w:t>0.00</w:t>
            </w:r>
          </w:p>
        </w:tc>
        <w:tc>
          <w:tcPr>
            <w:tcW w:w="1646" w:type="dxa"/>
            <w:tcBorders>
              <w:top w:val="single" w:sz="4" w:space="0" w:color="auto"/>
              <w:left w:val="single" w:sz="4" w:space="0" w:color="auto"/>
              <w:bottom w:val="single" w:sz="4" w:space="0" w:color="auto"/>
              <w:right w:val="single" w:sz="4" w:space="0" w:color="auto"/>
            </w:tcBorders>
            <w:vAlign w:val="center"/>
          </w:tcPr>
          <w:p w14:paraId="263E5A71" w14:textId="77777777" w:rsidR="002775F4" w:rsidRPr="00482A36" w:rsidRDefault="002775F4" w:rsidP="00BA1ECE">
            <w:pPr>
              <w:pStyle w:val="TableText0"/>
              <w:jc w:val="center"/>
            </w:pPr>
            <w:r w:rsidRPr="00482A36">
              <w:t>43.38</w:t>
            </w:r>
          </w:p>
        </w:tc>
      </w:tr>
      <w:tr w:rsidR="002775F4" w:rsidRPr="00482A36" w14:paraId="3767CDC7"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C474C9" w14:textId="77777777" w:rsidR="002775F4" w:rsidRPr="00482A36" w:rsidRDefault="002775F4" w:rsidP="00BA1ECE">
            <w:pPr>
              <w:pStyle w:val="TableText0"/>
            </w:pPr>
            <w:r w:rsidRPr="00482A36">
              <w:t>Myomectomies (undiscounted)</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C0EE42" w14:textId="20D957AE" w:rsidR="002775F4" w:rsidRPr="00482A36" w:rsidRDefault="002775F4" w:rsidP="00BA1ECE">
            <w:pPr>
              <w:pStyle w:val="TableText0"/>
              <w:jc w:val="center"/>
            </w:pPr>
            <w:r w:rsidRPr="00482A36">
              <w:t>0.035</w:t>
            </w:r>
            <w:r w:rsidR="004E06D8">
              <w:t>5</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5810609" w14:textId="77777777" w:rsidR="002775F4" w:rsidRPr="00482A36" w:rsidRDefault="002775F4" w:rsidP="00BA1ECE">
            <w:pPr>
              <w:pStyle w:val="TableText0"/>
              <w:jc w:val="center"/>
            </w:pPr>
            <w:r w:rsidRPr="00482A36">
              <w:t>0.0631</w:t>
            </w:r>
          </w:p>
        </w:tc>
        <w:tc>
          <w:tcPr>
            <w:tcW w:w="1646" w:type="dxa"/>
            <w:tcBorders>
              <w:top w:val="single" w:sz="4" w:space="0" w:color="auto"/>
              <w:left w:val="single" w:sz="4" w:space="0" w:color="auto"/>
              <w:bottom w:val="single" w:sz="4" w:space="0" w:color="auto"/>
              <w:right w:val="single" w:sz="4" w:space="0" w:color="auto"/>
            </w:tcBorders>
            <w:vAlign w:val="center"/>
          </w:tcPr>
          <w:p w14:paraId="61D1599D" w14:textId="36E689FB" w:rsidR="002775F4" w:rsidRPr="00482A36" w:rsidRDefault="002775F4" w:rsidP="00BA1ECE">
            <w:pPr>
              <w:pStyle w:val="TableText0"/>
              <w:jc w:val="center"/>
            </w:pPr>
            <w:r w:rsidRPr="00482A36">
              <w:t>-0.02</w:t>
            </w:r>
            <w:r w:rsidRPr="00616367">
              <w:rPr>
                <w:iCs/>
              </w:rPr>
              <w:t>7</w:t>
            </w:r>
            <w:r w:rsidR="000954CB" w:rsidRPr="00616367">
              <w:rPr>
                <w:iCs/>
              </w:rPr>
              <w:t>6</w:t>
            </w:r>
          </w:p>
        </w:tc>
      </w:tr>
      <w:tr w:rsidR="002775F4" w:rsidRPr="00482A36" w14:paraId="079D34B0"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4E1ACB" w14:textId="77777777" w:rsidR="002775F4" w:rsidRPr="00482A36" w:rsidRDefault="002775F4" w:rsidP="00BA1ECE">
            <w:pPr>
              <w:pStyle w:val="TableText0"/>
            </w:pPr>
            <w:r w:rsidRPr="00482A36">
              <w:t>Abdominal hysterectomies (undiscounted)</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366ACDE" w14:textId="77777777" w:rsidR="002775F4" w:rsidRPr="00482A36" w:rsidRDefault="002775F4" w:rsidP="00BA1ECE">
            <w:pPr>
              <w:pStyle w:val="TableText0"/>
              <w:jc w:val="center"/>
            </w:pPr>
            <w:r w:rsidRPr="00482A36">
              <w:t>0.3183</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02B9A8" w14:textId="77777777" w:rsidR="002775F4" w:rsidRPr="00482A36" w:rsidRDefault="002775F4" w:rsidP="00BA1ECE">
            <w:pPr>
              <w:pStyle w:val="TableText0"/>
              <w:jc w:val="center"/>
            </w:pPr>
            <w:r w:rsidRPr="00482A36">
              <w:t>0.3888</w:t>
            </w:r>
          </w:p>
        </w:tc>
        <w:tc>
          <w:tcPr>
            <w:tcW w:w="1646" w:type="dxa"/>
            <w:tcBorders>
              <w:top w:val="single" w:sz="4" w:space="0" w:color="auto"/>
              <w:left w:val="single" w:sz="4" w:space="0" w:color="auto"/>
              <w:bottom w:val="single" w:sz="4" w:space="0" w:color="auto"/>
              <w:right w:val="single" w:sz="4" w:space="0" w:color="auto"/>
            </w:tcBorders>
            <w:vAlign w:val="center"/>
          </w:tcPr>
          <w:p w14:paraId="04994949" w14:textId="77777777" w:rsidR="002775F4" w:rsidRPr="00482A36" w:rsidRDefault="002775F4" w:rsidP="00BA1ECE">
            <w:pPr>
              <w:pStyle w:val="TableText0"/>
              <w:jc w:val="center"/>
            </w:pPr>
            <w:r>
              <w:t>-</w:t>
            </w:r>
            <w:r w:rsidRPr="00482A36">
              <w:t>0.07</w:t>
            </w:r>
            <w:r w:rsidRPr="00616367">
              <w:rPr>
                <w:iCs/>
              </w:rPr>
              <w:t>05</w:t>
            </w:r>
          </w:p>
        </w:tc>
      </w:tr>
      <w:tr w:rsidR="002775F4" w:rsidRPr="00616367" w14:paraId="0E98F27D" w14:textId="77777777" w:rsidTr="00BA1ECE">
        <w:trPr>
          <w:cantSplit/>
        </w:trPr>
        <w:tc>
          <w:tcPr>
            <w:tcW w:w="467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4FAFC22" w14:textId="77777777" w:rsidR="002775F4" w:rsidRPr="00616367" w:rsidRDefault="002775F4" w:rsidP="00BA1ECE">
            <w:pPr>
              <w:pStyle w:val="TableText0"/>
            </w:pPr>
            <w:r w:rsidRPr="00616367">
              <w:t>Laparoscopic hysterectomies (undiscounted)</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A78709" w14:textId="77777777" w:rsidR="002775F4" w:rsidRPr="00616367" w:rsidRDefault="002775F4" w:rsidP="00BA1ECE">
            <w:pPr>
              <w:pStyle w:val="TableText0"/>
              <w:jc w:val="center"/>
            </w:pPr>
            <w:r w:rsidRPr="00616367">
              <w:t>0.0633</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F42037" w14:textId="77777777" w:rsidR="002775F4" w:rsidRPr="00616367" w:rsidRDefault="002775F4" w:rsidP="00BA1ECE">
            <w:pPr>
              <w:pStyle w:val="TableText0"/>
              <w:jc w:val="center"/>
            </w:pPr>
            <w:r w:rsidRPr="00616367">
              <w:t>0.0763</w:t>
            </w:r>
          </w:p>
        </w:tc>
        <w:tc>
          <w:tcPr>
            <w:tcW w:w="1646" w:type="dxa"/>
            <w:tcBorders>
              <w:top w:val="single" w:sz="4" w:space="0" w:color="auto"/>
              <w:left w:val="single" w:sz="4" w:space="0" w:color="auto"/>
              <w:bottom w:val="single" w:sz="4" w:space="0" w:color="auto"/>
              <w:right w:val="single" w:sz="4" w:space="0" w:color="auto"/>
            </w:tcBorders>
            <w:vAlign w:val="center"/>
          </w:tcPr>
          <w:p w14:paraId="24849D72" w14:textId="77777777" w:rsidR="002775F4" w:rsidRPr="00616367" w:rsidRDefault="002775F4" w:rsidP="00BA1ECE">
            <w:pPr>
              <w:pStyle w:val="TableText0"/>
              <w:jc w:val="center"/>
              <w:rPr>
                <w:iCs/>
              </w:rPr>
            </w:pPr>
            <w:r w:rsidRPr="00616367">
              <w:rPr>
                <w:iCs/>
              </w:rPr>
              <w:t>-0.013</w:t>
            </w:r>
          </w:p>
        </w:tc>
      </w:tr>
    </w:tbl>
    <w:p w14:paraId="0D889B55" w14:textId="024923FE" w:rsidR="002775F4" w:rsidRPr="00482A36" w:rsidRDefault="002775F4" w:rsidP="002775F4">
      <w:pPr>
        <w:pStyle w:val="TableFigureFooter"/>
      </w:pPr>
      <w:r w:rsidRPr="00482A36">
        <w:t>Source: Table 106, p255 of the submission</w:t>
      </w:r>
      <w:r w:rsidR="00616367">
        <w:t xml:space="preserve"> and compiled during the evaluation.</w:t>
      </w:r>
    </w:p>
    <w:p w14:paraId="60E4CD3A" w14:textId="148C5FB3" w:rsidR="00F75997" w:rsidRPr="00446C08" w:rsidRDefault="002775F4" w:rsidP="00446C08">
      <w:pPr>
        <w:pStyle w:val="TableFigureFooter"/>
      </w:pPr>
      <w:r w:rsidRPr="00482A36">
        <w:t>ABT = add-back therapy;</w:t>
      </w:r>
      <w:r>
        <w:t xml:space="preserve"> BSC = best supportive care;</w:t>
      </w:r>
      <w:r w:rsidRPr="00482A36">
        <w:t xml:space="preserve"> LGX = linzagolix; QALY=quality adjusted life years.</w:t>
      </w:r>
    </w:p>
    <w:p w14:paraId="32827481" w14:textId="19677C2C" w:rsidR="002C0784" w:rsidRPr="00616367" w:rsidRDefault="006E08B5" w:rsidP="002C0784">
      <w:pPr>
        <w:pStyle w:val="3-BodyText"/>
        <w:rPr>
          <w:iCs/>
        </w:rPr>
      </w:pPr>
      <w:r>
        <w:rPr>
          <w:iCs/>
        </w:rPr>
        <w:t>S</w:t>
      </w:r>
      <w:r w:rsidR="002C0784" w:rsidRPr="00616367">
        <w:rPr>
          <w:iCs/>
        </w:rPr>
        <w:t xml:space="preserve">ensitivity analyses performed during the evaluation showed that the ICER was very sensitive to younger aged patients starting in the model due to the longer duration on linzagolix treatment for linzagolix responders. Assuming all patients in the model start at age 20 years, the ICER increased from a base case of </w:t>
      </w:r>
      <w:r w:rsidR="005D3515" w:rsidRPr="005D3515">
        <w:rPr>
          <w:iCs/>
        </w:rPr>
        <w:t>$45,000 to &lt; $55,000</w:t>
      </w:r>
      <w:r w:rsidR="005D3515">
        <w:rPr>
          <w:iCs/>
        </w:rPr>
        <w:t xml:space="preserve"> </w:t>
      </w:r>
      <w:r w:rsidR="002C0784" w:rsidRPr="00616367">
        <w:rPr>
          <w:iCs/>
        </w:rPr>
        <w:t xml:space="preserve">to </w:t>
      </w:r>
      <w:r w:rsidR="005D3515" w:rsidRPr="005D3515">
        <w:rPr>
          <w:iCs/>
        </w:rPr>
        <w:t>$135,000 to &lt; $155,000</w:t>
      </w:r>
      <w:r w:rsidR="00AA71F3">
        <w:rPr>
          <w:iCs/>
        </w:rPr>
        <w:t xml:space="preserve"> </w:t>
      </w:r>
      <w:r w:rsidR="002C0784" w:rsidRPr="00616367">
        <w:rPr>
          <w:iCs/>
        </w:rPr>
        <w:t>per QALY gained</w:t>
      </w:r>
      <w:r w:rsidR="00F71635" w:rsidRPr="00616367">
        <w:rPr>
          <w:iCs/>
        </w:rPr>
        <w:t xml:space="preserve"> compared with assuming all patients start at 42 years with an ICER of </w:t>
      </w:r>
      <w:r w:rsidR="005D3515" w:rsidRPr="005D3515">
        <w:rPr>
          <w:iCs/>
        </w:rPr>
        <w:t>$35,000 to &lt; $45,000</w:t>
      </w:r>
      <w:r w:rsidR="005D3515">
        <w:rPr>
          <w:iCs/>
        </w:rPr>
        <w:t xml:space="preserve"> </w:t>
      </w:r>
      <w:r w:rsidR="00F71635" w:rsidRPr="00616367">
        <w:rPr>
          <w:iCs/>
        </w:rPr>
        <w:t>per QALY gained</w:t>
      </w:r>
      <w:r w:rsidR="002C0784" w:rsidRPr="00616367">
        <w:rPr>
          <w:iCs/>
        </w:rPr>
        <w:t>.</w:t>
      </w:r>
      <w:r w:rsidR="008E0BB2" w:rsidRPr="00616367">
        <w:rPr>
          <w:iCs/>
        </w:rPr>
        <w:t xml:space="preserve"> Including patients 20</w:t>
      </w:r>
      <w:r w:rsidR="00AA71F3">
        <w:rPr>
          <w:iCs/>
        </w:rPr>
        <w:t> </w:t>
      </w:r>
      <w:r w:rsidR="008E0BB2" w:rsidRPr="00616367">
        <w:rPr>
          <w:iCs/>
        </w:rPr>
        <w:t>years and old</w:t>
      </w:r>
      <w:r w:rsidR="009D059E" w:rsidRPr="00616367">
        <w:rPr>
          <w:iCs/>
        </w:rPr>
        <w:t>er</w:t>
      </w:r>
      <w:r w:rsidR="008E0BB2" w:rsidRPr="00616367">
        <w:rPr>
          <w:iCs/>
        </w:rPr>
        <w:t xml:space="preserve"> in the model (i.e., assuming even distribution 25% each in 20, 30, 40 and 50 starting age groups) increased the ICER to </w:t>
      </w:r>
      <w:r w:rsidR="005D3515" w:rsidRPr="005D3515">
        <w:rPr>
          <w:iCs/>
        </w:rPr>
        <w:t>$75,000 to &lt; $95,000</w:t>
      </w:r>
      <w:r w:rsidR="008E0BB2" w:rsidRPr="00616367">
        <w:rPr>
          <w:iCs/>
        </w:rPr>
        <w:t>/QALY gained.</w:t>
      </w:r>
      <w:r w:rsidR="002C0784" w:rsidRPr="00616367">
        <w:rPr>
          <w:iCs/>
        </w:rPr>
        <w:t xml:space="preserve"> </w:t>
      </w:r>
      <w:r w:rsidR="002C0784" w:rsidRPr="00616367">
        <w:rPr>
          <w:iCs/>
        </w:rPr>
        <w:fldChar w:fldCharType="begin"/>
      </w:r>
      <w:r w:rsidR="002C0784" w:rsidRPr="00616367">
        <w:rPr>
          <w:iCs/>
        </w:rPr>
        <w:instrText xml:space="preserve"> REF _Ref165545452 \h </w:instrText>
      </w:r>
      <w:r w:rsidR="00212C08" w:rsidRPr="00616367">
        <w:rPr>
          <w:iCs/>
        </w:rPr>
        <w:instrText xml:space="preserve"> \* MERGEFORMAT </w:instrText>
      </w:r>
      <w:r w:rsidR="002C0784" w:rsidRPr="00616367">
        <w:rPr>
          <w:iCs/>
        </w:rPr>
      </w:r>
      <w:r w:rsidR="002C0784" w:rsidRPr="00616367">
        <w:rPr>
          <w:iCs/>
        </w:rPr>
        <w:fldChar w:fldCharType="separate"/>
      </w:r>
      <w:r w:rsidR="003E4FD0" w:rsidRPr="003E4FD0">
        <w:rPr>
          <w:iCs/>
        </w:rPr>
        <w:t xml:space="preserve">Figure </w:t>
      </w:r>
      <w:r w:rsidR="003E4FD0" w:rsidRPr="003E4FD0">
        <w:rPr>
          <w:iCs/>
          <w:noProof/>
        </w:rPr>
        <w:t>7</w:t>
      </w:r>
      <w:r w:rsidR="002C0784" w:rsidRPr="00616367">
        <w:rPr>
          <w:iCs/>
        </w:rPr>
        <w:fldChar w:fldCharType="end"/>
      </w:r>
      <w:r w:rsidR="002C0784" w:rsidRPr="00616367">
        <w:rPr>
          <w:iCs/>
        </w:rPr>
        <w:t xml:space="preserve"> shows the range of ICERs assuming all patients start at 20 years ranging to 45 years.</w:t>
      </w:r>
      <w:r>
        <w:rPr>
          <w:iCs/>
        </w:rPr>
        <w:t xml:space="preserve"> </w:t>
      </w:r>
      <w:r w:rsidRPr="00FD5102">
        <w:t>The PSCR provided a new sensitivity analysis which applied 20</w:t>
      </w:r>
      <w:r w:rsidR="00AA71F3">
        <w:t> </w:t>
      </w:r>
      <w:r w:rsidRPr="00FD5102">
        <w:t xml:space="preserve">years instead of 35 years as the lowest end of the assumed range of starting ages, which showed minimal impact on the ICER. This analysis could not be verified. Changing the lower cut off for the age groups 35+ to 20+ years, resulted in an ICER of </w:t>
      </w:r>
      <w:r w:rsidR="005D3515" w:rsidRPr="005D3515">
        <w:t>$55,000 to &lt; $75,000</w:t>
      </w:r>
      <w:r w:rsidR="00AA71F3">
        <w:t xml:space="preserve"> </w:t>
      </w:r>
      <w:r w:rsidRPr="00FD5102">
        <w:t>per QALY gained.</w:t>
      </w:r>
      <w:r w:rsidR="00BF2C54">
        <w:t xml:space="preserve"> The pre-PBAC response</w:t>
      </w:r>
      <w:r w:rsidR="005D3515">
        <w:t xml:space="preserve"> </w:t>
      </w:r>
      <w:r w:rsidR="00A229DB">
        <w:t>stated</w:t>
      </w:r>
      <w:r w:rsidR="00BF2C54">
        <w:t xml:space="preserve"> that the ICER in the younger cohorts should be interpreted with caution as the model does not include the impact of surgical complications on, and/or preference for, fertility preservation.</w:t>
      </w:r>
    </w:p>
    <w:p w14:paraId="416A0D4E" w14:textId="52D9ED78" w:rsidR="002C0784" w:rsidRPr="00482A36" w:rsidRDefault="002C0784" w:rsidP="00177E2C">
      <w:pPr>
        <w:pStyle w:val="Caption"/>
      </w:pPr>
      <w:bookmarkStart w:id="61" w:name="_Ref165545452"/>
      <w:r w:rsidRPr="00482A36">
        <w:lastRenderedPageBreak/>
        <w:t xml:space="preserve">Figure </w:t>
      </w:r>
      <w:r w:rsidR="00747D8C">
        <w:fldChar w:fldCharType="begin"/>
      </w:r>
      <w:r w:rsidR="00747D8C">
        <w:instrText xml:space="preserve"> SEQ Figure \* ARABIC </w:instrText>
      </w:r>
      <w:r w:rsidR="00747D8C">
        <w:fldChar w:fldCharType="separate"/>
      </w:r>
      <w:r w:rsidR="003E4FD0">
        <w:rPr>
          <w:noProof/>
        </w:rPr>
        <w:t>7</w:t>
      </w:r>
      <w:r w:rsidR="00747D8C">
        <w:rPr>
          <w:noProof/>
        </w:rPr>
        <w:fldChar w:fldCharType="end"/>
      </w:r>
      <w:bookmarkEnd w:id="61"/>
      <w:r w:rsidRPr="00482A36">
        <w:rPr>
          <w:szCs w:val="20"/>
        </w:rPr>
        <w:t>: ICER versus starting age in model (for all patients)</w:t>
      </w:r>
    </w:p>
    <w:p w14:paraId="7DF01ABA" w14:textId="056851B1" w:rsidR="006142B6" w:rsidRDefault="006142B6" w:rsidP="002C0784">
      <w:pPr>
        <w:pStyle w:val="TableFigureFooter"/>
        <w:rPr>
          <w:iCs/>
        </w:rPr>
      </w:pPr>
      <w:r>
        <w:rPr>
          <w:noProof/>
        </w:rPr>
        <w:drawing>
          <wp:inline distT="0" distB="0" distL="0" distR="0" wp14:anchorId="0E129911" wp14:editId="7706AA24">
            <wp:extent cx="5732145" cy="2687955"/>
            <wp:effectExtent l="0" t="0" r="1905" b="0"/>
            <wp:docPr id="799898422" name="Picture 1" descr="Figure 7: ICER versus starting age in model (for all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98422" name="Picture 1" descr="Figure 7: ICER versus starting age in model (for all patients)"/>
                    <pic:cNvPicPr/>
                  </pic:nvPicPr>
                  <pic:blipFill>
                    <a:blip r:embed="rId21"/>
                    <a:stretch>
                      <a:fillRect/>
                    </a:stretch>
                  </pic:blipFill>
                  <pic:spPr>
                    <a:xfrm>
                      <a:off x="0" y="0"/>
                      <a:ext cx="5732145" cy="2687955"/>
                    </a:xfrm>
                    <a:prstGeom prst="rect">
                      <a:avLst/>
                    </a:prstGeom>
                  </pic:spPr>
                </pic:pic>
              </a:graphicData>
            </a:graphic>
          </wp:inline>
        </w:drawing>
      </w:r>
    </w:p>
    <w:p w14:paraId="1C8D31A5" w14:textId="4C51ECA4" w:rsidR="002C0784" w:rsidRPr="00616367" w:rsidRDefault="002C0784" w:rsidP="002C0784">
      <w:pPr>
        <w:pStyle w:val="TableFigureFooter"/>
        <w:rPr>
          <w:iCs/>
        </w:rPr>
      </w:pPr>
      <w:r w:rsidRPr="00616367">
        <w:rPr>
          <w:iCs/>
        </w:rPr>
        <w:t>Source: independently generated during the evaluation based on submitted model.</w:t>
      </w:r>
    </w:p>
    <w:p w14:paraId="3E8CB9CB" w14:textId="77CB5890" w:rsidR="002C0784" w:rsidRPr="00482A36" w:rsidRDefault="002C0784" w:rsidP="002C0784">
      <w:pPr>
        <w:pStyle w:val="3-BodyText"/>
        <w:rPr>
          <w:noProof/>
        </w:rPr>
      </w:pPr>
      <w:bookmarkStart w:id="62" w:name="_Ref169870273"/>
      <w:r w:rsidRPr="00482A36">
        <w:t xml:space="preserve">Patients </w:t>
      </w:r>
      <w:r w:rsidR="008C1AE3">
        <w:t>transitioned</w:t>
      </w:r>
      <w:r w:rsidR="008C1AE3" w:rsidRPr="00482A36">
        <w:t xml:space="preserve"> </w:t>
      </w:r>
      <w:r w:rsidRPr="00482A36">
        <w:t xml:space="preserve">from the HMB health states to the HMB remission health states according to ‘response’ rates, which were derived from pooled PRIMROSE 1 and 2 trial data at week 24. </w:t>
      </w:r>
      <w:r w:rsidR="005D4406">
        <w:t>Therefore, r</w:t>
      </w:r>
      <w:r w:rsidRPr="00482A36">
        <w:t xml:space="preserve">esponse in the model </w:t>
      </w:r>
      <w:r w:rsidR="005D4406">
        <w:t>reflected</w:t>
      </w:r>
      <w:r w:rsidRPr="00482A36">
        <w:t xml:space="preserve"> a reduction </w:t>
      </w:r>
      <w:r w:rsidR="0003022D" w:rsidRPr="00482A36">
        <w:t xml:space="preserve">in </w:t>
      </w:r>
      <w:r w:rsidRPr="00482A36">
        <w:t xml:space="preserve">MBL to </w:t>
      </w:r>
      <w:r w:rsidRPr="00482A36">
        <w:rPr>
          <w:rFonts w:cs="Calibri"/>
        </w:rPr>
        <w:t>≤</w:t>
      </w:r>
      <w:r w:rsidR="005C5981">
        <w:rPr>
          <w:rFonts w:cs="Calibri"/>
        </w:rPr>
        <w:t> </w:t>
      </w:r>
      <w:r w:rsidRPr="00482A36">
        <w:t>80</w:t>
      </w:r>
      <w:r w:rsidR="005C5981">
        <w:t> </w:t>
      </w:r>
      <w:r w:rsidRPr="00482A36">
        <w:t xml:space="preserve">mL and a </w:t>
      </w:r>
      <w:r w:rsidRPr="00482A36">
        <w:rPr>
          <w:rFonts w:cs="Calibri"/>
        </w:rPr>
        <w:t>≥</w:t>
      </w:r>
      <w:r w:rsidR="005C5981">
        <w:rPr>
          <w:rFonts w:cs="Calibri"/>
        </w:rPr>
        <w:t> </w:t>
      </w:r>
      <w:r w:rsidRPr="00482A36">
        <w:t>50% reduction from baseline at week 24, which is in line with the primary efficacy endpoint in the PRIMROSE trials.</w:t>
      </w:r>
      <w:bookmarkEnd w:id="62"/>
      <w:r w:rsidRPr="00482A36">
        <w:t xml:space="preserve"> </w:t>
      </w:r>
    </w:p>
    <w:p w14:paraId="37C0641C" w14:textId="2EFECEDD" w:rsidR="002C0784" w:rsidRPr="00616367" w:rsidRDefault="002C0784" w:rsidP="002C0784">
      <w:pPr>
        <w:pStyle w:val="3-BodyText"/>
        <w:rPr>
          <w:noProof/>
        </w:rPr>
      </w:pPr>
      <w:r w:rsidRPr="00482A36">
        <w:t xml:space="preserve">The base case analysis </w:t>
      </w:r>
      <w:r w:rsidR="00E72AD5">
        <w:t>applied</w:t>
      </w:r>
      <w:r w:rsidR="00E72AD5" w:rsidRPr="00482A36">
        <w:t xml:space="preserve"> </w:t>
      </w:r>
      <w:r w:rsidRPr="00482A36">
        <w:t xml:space="preserve">84.5% </w:t>
      </w:r>
      <w:r w:rsidR="00992854">
        <w:t xml:space="preserve">and 32.2% </w:t>
      </w:r>
      <w:r w:rsidRPr="00482A36">
        <w:t xml:space="preserve">response at week 24 for linzagolix </w:t>
      </w:r>
      <w:r w:rsidR="00992854">
        <w:t xml:space="preserve">and BSC </w:t>
      </w:r>
      <w:r w:rsidR="009D059E">
        <w:t xml:space="preserve">arms </w:t>
      </w:r>
      <w:r w:rsidR="00992854">
        <w:t>respectively</w:t>
      </w:r>
      <w:r w:rsidRPr="00482A36">
        <w:t>, based on 200 mg linzagolix+ ABT</w:t>
      </w:r>
      <w:r w:rsidR="00992854">
        <w:t xml:space="preserve"> and placebo treatment groups</w:t>
      </w:r>
      <w:r w:rsidRPr="00482A36">
        <w:t xml:space="preserve"> from pooled PRIMROSE 1 and 2 data</w:t>
      </w:r>
      <w:r w:rsidRPr="00482A36">
        <w:rPr>
          <w:iCs/>
        </w:rPr>
        <w:t>.</w:t>
      </w:r>
      <w:r w:rsidR="00992854">
        <w:rPr>
          <w:iCs/>
        </w:rPr>
        <w:t xml:space="preserve"> </w:t>
      </w:r>
      <w:r w:rsidRPr="00616367">
        <w:t>Sensitivity analys</w:t>
      </w:r>
      <w:r w:rsidR="00C84906">
        <w:t>e</w:t>
      </w:r>
      <w:r w:rsidRPr="00616367">
        <w:t xml:space="preserve">s using </w:t>
      </w:r>
      <w:r w:rsidR="007617E7" w:rsidRPr="00616367">
        <w:t xml:space="preserve">the </w:t>
      </w:r>
      <w:r w:rsidRPr="00616367">
        <w:t xml:space="preserve">response for linzagolix 200 mg and linzagolix 100 mg (instead of linzagolix 200 mg + ABT), applied up to week 24, increased the ICER from a base case of </w:t>
      </w:r>
      <w:r w:rsidR="005C5981" w:rsidRPr="005C5981">
        <w:t>$45,000 to &lt; $55,000</w:t>
      </w:r>
      <w:r w:rsidR="005C5981">
        <w:t xml:space="preserve"> </w:t>
      </w:r>
      <w:r w:rsidRPr="00616367">
        <w:t xml:space="preserve">to </w:t>
      </w:r>
      <w:r w:rsidR="005C5981" w:rsidRPr="005C5981">
        <w:t>$45,000 to &lt; $55,000</w:t>
      </w:r>
      <w:r w:rsidR="005C5981">
        <w:t xml:space="preserve"> </w:t>
      </w:r>
      <w:r w:rsidRPr="00616367">
        <w:t xml:space="preserve">and </w:t>
      </w:r>
      <w:r w:rsidR="005C5981" w:rsidRPr="005C5981">
        <w:t>$55,000 to &lt; $75,000</w:t>
      </w:r>
      <w:r w:rsidR="005C5981">
        <w:t xml:space="preserve"> </w:t>
      </w:r>
      <w:r w:rsidRPr="00616367">
        <w:t xml:space="preserve">per QALY gained, respectively. </w:t>
      </w:r>
    </w:p>
    <w:p w14:paraId="6ACD44F6" w14:textId="013F2FE2" w:rsidR="002C0784" w:rsidRPr="00616367" w:rsidRDefault="002C0784" w:rsidP="002C0784">
      <w:pPr>
        <w:pStyle w:val="3-BodyText"/>
        <w:rPr>
          <w:iCs/>
          <w:noProof/>
        </w:rPr>
      </w:pPr>
      <w:r w:rsidRPr="00482A36">
        <w:t xml:space="preserve">The model assumed a stopping rule with a maximum of 24 weeks of linzagolix treatment for patients in the ‘HMB (LGX)’ health state. After this time, those not in </w:t>
      </w:r>
      <w:r w:rsidR="0035768D" w:rsidRPr="00482A36">
        <w:t>the ‘</w:t>
      </w:r>
      <w:r w:rsidRPr="00482A36">
        <w:t>HMB remission</w:t>
      </w:r>
      <w:r w:rsidR="0035768D" w:rsidRPr="00482A36">
        <w:t xml:space="preserve"> (LGX)’ health state</w:t>
      </w:r>
      <w:r w:rsidRPr="00482A36">
        <w:t xml:space="preserve">, must cease treatment, i.e. move to ‘HMB (BSC)’. </w:t>
      </w:r>
      <w:r w:rsidRPr="00616367">
        <w:rPr>
          <w:iCs/>
        </w:rPr>
        <w:t>The continuation criteri</w:t>
      </w:r>
      <w:r w:rsidR="00136888" w:rsidRPr="00616367">
        <w:rPr>
          <w:iCs/>
        </w:rPr>
        <w:t>on</w:t>
      </w:r>
      <w:r w:rsidRPr="00616367">
        <w:rPr>
          <w:iCs/>
        </w:rPr>
        <w:t xml:space="preserve"> </w:t>
      </w:r>
      <w:r w:rsidR="00C109AD" w:rsidRPr="00616367">
        <w:rPr>
          <w:iCs/>
        </w:rPr>
        <w:t>included in the proposed restriction</w:t>
      </w:r>
      <w:r w:rsidRPr="00616367">
        <w:rPr>
          <w:iCs/>
        </w:rPr>
        <w:t xml:space="preserve"> </w:t>
      </w:r>
      <w:r w:rsidR="009C3465" w:rsidRPr="00616367">
        <w:rPr>
          <w:iCs/>
        </w:rPr>
        <w:t xml:space="preserve">is </w:t>
      </w:r>
      <w:r w:rsidRPr="00616367">
        <w:rPr>
          <w:iCs/>
        </w:rPr>
        <w:t xml:space="preserve">an </w:t>
      </w:r>
      <w:r w:rsidR="00C109AD" w:rsidRPr="00616367">
        <w:rPr>
          <w:iCs/>
        </w:rPr>
        <w:t>‘</w:t>
      </w:r>
      <w:r w:rsidRPr="00616367">
        <w:rPr>
          <w:iCs/>
        </w:rPr>
        <w:t xml:space="preserve">improvement in symptoms following </w:t>
      </w:r>
      <w:r w:rsidR="00C109AD" w:rsidRPr="00616367">
        <w:rPr>
          <w:iCs/>
        </w:rPr>
        <w:t>treatment with linzagolix’</w:t>
      </w:r>
      <w:r w:rsidRPr="00616367">
        <w:rPr>
          <w:iCs/>
        </w:rPr>
        <w:t xml:space="preserve">, </w:t>
      </w:r>
      <w:r w:rsidR="00AA2124" w:rsidRPr="00616367">
        <w:rPr>
          <w:iCs/>
        </w:rPr>
        <w:t xml:space="preserve">however </w:t>
      </w:r>
      <w:r w:rsidR="00606F31" w:rsidRPr="00616367">
        <w:rPr>
          <w:iCs/>
        </w:rPr>
        <w:t>the stopping rule in the model was applied to non-responders according to the definition in the trials (primary efficacy endpoint). The proposed continuation criteri</w:t>
      </w:r>
      <w:r w:rsidR="009D059E" w:rsidRPr="00616367">
        <w:rPr>
          <w:iCs/>
        </w:rPr>
        <w:t>on</w:t>
      </w:r>
      <w:r w:rsidR="00606F31" w:rsidRPr="00616367">
        <w:rPr>
          <w:iCs/>
        </w:rPr>
        <w:t xml:space="preserve"> </w:t>
      </w:r>
      <w:r w:rsidRPr="00616367">
        <w:rPr>
          <w:iCs/>
        </w:rPr>
        <w:t>was</w:t>
      </w:r>
      <w:r w:rsidR="009D059E" w:rsidRPr="00616367">
        <w:rPr>
          <w:iCs/>
        </w:rPr>
        <w:t xml:space="preserve"> </w:t>
      </w:r>
      <w:r w:rsidR="00F37F84" w:rsidRPr="00616367">
        <w:rPr>
          <w:iCs/>
        </w:rPr>
        <w:t>therefore broader</w:t>
      </w:r>
      <w:r w:rsidRPr="00616367">
        <w:rPr>
          <w:iCs/>
        </w:rPr>
        <w:t xml:space="preserve"> </w:t>
      </w:r>
      <w:r w:rsidR="00F37F84" w:rsidRPr="00616367">
        <w:rPr>
          <w:iCs/>
        </w:rPr>
        <w:t>than</w:t>
      </w:r>
      <w:r w:rsidR="00606F31" w:rsidRPr="00616367">
        <w:rPr>
          <w:iCs/>
        </w:rPr>
        <w:t xml:space="preserve"> the definition of the primary efficacy endpoint </w:t>
      </w:r>
      <w:r w:rsidR="00F37F84" w:rsidRPr="00616367">
        <w:rPr>
          <w:iCs/>
        </w:rPr>
        <w:t xml:space="preserve">in the PRIMROSE 1 and 2 trials. </w:t>
      </w:r>
      <w:r w:rsidRPr="00616367">
        <w:rPr>
          <w:iCs/>
        </w:rPr>
        <w:t xml:space="preserve">The model was sensitive to removal of the stopping rule, which increased the ICER </w:t>
      </w:r>
      <w:r w:rsidRPr="00616367">
        <w:t xml:space="preserve">from a base case of </w:t>
      </w:r>
      <w:r w:rsidR="005C5981" w:rsidRPr="005C5981">
        <w:t>$45,000 to &lt; $55,000</w:t>
      </w:r>
      <w:r w:rsidR="005C5981">
        <w:t xml:space="preserve"> </w:t>
      </w:r>
      <w:r w:rsidRPr="00616367">
        <w:t xml:space="preserve">to </w:t>
      </w:r>
      <w:r w:rsidR="005C5981" w:rsidRPr="005C5981">
        <w:t>$55,000 to &lt; $75,000</w:t>
      </w:r>
      <w:r w:rsidR="005C5981">
        <w:t xml:space="preserve"> </w:t>
      </w:r>
      <w:r w:rsidRPr="00616367">
        <w:rPr>
          <w:iCs/>
        </w:rPr>
        <w:t>per QALY gained.</w:t>
      </w:r>
    </w:p>
    <w:p w14:paraId="5FDB7372" w14:textId="522AF30A" w:rsidR="002C0784" w:rsidRPr="00616367" w:rsidRDefault="002C0784" w:rsidP="002C0784">
      <w:pPr>
        <w:pStyle w:val="3-BodyText"/>
        <w:rPr>
          <w:iCs/>
          <w:noProof/>
        </w:rPr>
      </w:pPr>
      <w:r w:rsidRPr="00482A36">
        <w:t xml:space="preserve">Additionally, patients could also discontinue linzagolix for reasons other than response. In the base case, it was assumed that 4.39% would discontinue each cycle. This was estimated from the reported 22% discontinuation rate from the linzagolix 200 mg + ABT arms at week 24 from the pooled PRIMROSE 1 and 2 trials. </w:t>
      </w:r>
      <w:bookmarkStart w:id="63" w:name="_Hlk165902135"/>
      <w:r w:rsidRPr="00616367">
        <w:rPr>
          <w:iCs/>
        </w:rPr>
        <w:t xml:space="preserve">This likely </w:t>
      </w:r>
      <w:r w:rsidRPr="00616367">
        <w:rPr>
          <w:iCs/>
        </w:rPr>
        <w:lastRenderedPageBreak/>
        <w:t>inflated discontinuation rates for non-responders compared to the trials given the reported discontinuation rate from PRIMROSE 1 and 2 was irrespective of response.</w:t>
      </w:r>
      <w:r w:rsidRPr="00482A36">
        <w:t xml:space="preserve"> </w:t>
      </w:r>
      <w:bookmarkEnd w:id="63"/>
      <w:r w:rsidR="00E8720B" w:rsidRPr="00FD5102">
        <w:rPr>
          <w:iCs/>
        </w:rPr>
        <w:t>The evaluation stated</w:t>
      </w:r>
      <w:r w:rsidR="00E8720B">
        <w:t>, c</w:t>
      </w:r>
      <w:r w:rsidRPr="00482A36">
        <w:t xml:space="preserve">onversely, patients in the ‘HMB remission (LGX)’ health state were assumed to have zero risk of discontinuing linzagolix treatment. </w:t>
      </w:r>
      <w:r w:rsidRPr="00616367">
        <w:rPr>
          <w:iCs/>
        </w:rPr>
        <w:t xml:space="preserve">This </w:t>
      </w:r>
      <w:r w:rsidR="00C93E71" w:rsidRPr="00616367">
        <w:rPr>
          <w:iCs/>
        </w:rPr>
        <w:t>was</w:t>
      </w:r>
      <w:r w:rsidRPr="00616367">
        <w:rPr>
          <w:iCs/>
        </w:rPr>
        <w:t xml:space="preserve"> inappropriate as patients in remission may discontinue linzagolix treatment for reasons other than response </w:t>
      </w:r>
      <w:r w:rsidR="00C67394" w:rsidRPr="00616367">
        <w:rPr>
          <w:iCs/>
        </w:rPr>
        <w:t>e.g.,</w:t>
      </w:r>
      <w:r w:rsidRPr="00616367">
        <w:rPr>
          <w:iCs/>
        </w:rPr>
        <w:t xml:space="preserve"> adverse events. </w:t>
      </w:r>
      <w:r w:rsidR="00E8720B" w:rsidRPr="00FD5102">
        <w:t>The PSCR noted that patients in the HMB remission(LGX) health state could have recurrence and could then move to treatment discontinuation.</w:t>
      </w:r>
      <w:r w:rsidR="00E8720B">
        <w:rPr>
          <w:iCs/>
        </w:rPr>
        <w:t xml:space="preserve"> </w:t>
      </w:r>
      <w:r w:rsidRPr="00616367">
        <w:rPr>
          <w:iCs/>
        </w:rPr>
        <w:t xml:space="preserve">Applying the same </w:t>
      </w:r>
      <w:r w:rsidRPr="00616367">
        <w:t xml:space="preserve">per cycle probability of discontinuing linzagolix treatment in the ‘HMB remission (LGX)’ health state as in the ‘HMB (LGX)’ health state (i.e., assume 4.39% transit to ‘HMB remission (BSC)’ per cycle) reduced the ICER from a base case of </w:t>
      </w:r>
      <w:r w:rsidR="005C5981" w:rsidRPr="005C5981">
        <w:t>$45,000 to &lt; $55,000</w:t>
      </w:r>
      <w:r w:rsidR="005C5981">
        <w:t xml:space="preserve"> </w:t>
      </w:r>
      <w:r w:rsidRPr="00616367">
        <w:t xml:space="preserve">to </w:t>
      </w:r>
      <w:r w:rsidR="005C5981" w:rsidRPr="005C5981">
        <w:rPr>
          <w:iCs/>
        </w:rPr>
        <w:t>$25,000 to &lt; $35,000</w:t>
      </w:r>
      <w:r w:rsidRPr="00616367">
        <w:rPr>
          <w:iCs/>
        </w:rPr>
        <w:t xml:space="preserve"> per QALY gained. </w:t>
      </w:r>
      <w:bookmarkStart w:id="64" w:name="_Hlk165902368"/>
      <w:r w:rsidRPr="00616367">
        <w:rPr>
          <w:iCs/>
        </w:rPr>
        <w:t xml:space="preserve">However, </w:t>
      </w:r>
      <w:bookmarkStart w:id="65" w:name="_Hlk165902382"/>
      <w:r w:rsidRPr="00616367">
        <w:rPr>
          <w:iCs/>
        </w:rPr>
        <w:t xml:space="preserve">this likely favoured linzagolix given the PRIMROSE trials did not report discontinuations by response. </w:t>
      </w:r>
      <w:bookmarkEnd w:id="65"/>
    </w:p>
    <w:bookmarkEnd w:id="64"/>
    <w:p w14:paraId="00E8D3C7" w14:textId="6898E0E8" w:rsidR="002C0784" w:rsidRPr="00616367" w:rsidRDefault="002C0784" w:rsidP="00524E97">
      <w:pPr>
        <w:pStyle w:val="3-BodyText"/>
        <w:rPr>
          <w:iCs/>
          <w:noProof/>
        </w:rPr>
      </w:pPr>
      <w:r w:rsidRPr="00482A36">
        <w:t xml:space="preserve">The proportion of patients assumed to progress to surgery from the ‘HMB’ health states was 60.2% based on pooled PRIMROSE 1 and 2 baseline patient assessment. </w:t>
      </w:r>
      <w:r w:rsidRPr="00616367">
        <w:t>This was</w:t>
      </w:r>
      <w:r w:rsidRPr="00482A36">
        <w:t xml:space="preserve"> </w:t>
      </w:r>
      <w:r w:rsidRPr="00616367">
        <w:rPr>
          <w:iCs/>
        </w:rPr>
        <w:t xml:space="preserve">the average proportion of patients considered suitable for at least one type of surgical intervention (hysterectomy, myomectomy, UAE, ablation, and others) across treatment arms at trial entry. However, in the model, this was only applied to hysterectomy and myomectomy, potentially resulting in an overestimation of surgery utilisation. </w:t>
      </w:r>
      <w:r w:rsidRPr="00482A36">
        <w:t xml:space="preserve">The monthly transition probability of 0.76% per monthly cycle was calculated, based on the weighted average duration until menopause of approximately 10 years. </w:t>
      </w:r>
      <w:r w:rsidR="00524E97" w:rsidRPr="00F71635">
        <w:t xml:space="preserve">Hysterectomy was assumed to be curative whilst myomectomy was associated with a risk of recurrence. </w:t>
      </w:r>
      <w:r w:rsidR="00524E97" w:rsidRPr="00616367">
        <w:rPr>
          <w:iCs/>
        </w:rPr>
        <w:t xml:space="preserve">Quality of life </w:t>
      </w:r>
      <w:r w:rsidR="00F71635" w:rsidRPr="00616367">
        <w:rPr>
          <w:iCs/>
        </w:rPr>
        <w:t xml:space="preserve">was assumed to </w:t>
      </w:r>
      <w:r w:rsidR="00524E97" w:rsidRPr="00616367">
        <w:rPr>
          <w:iCs/>
        </w:rPr>
        <w:t>improve post-surgery. The model estimated 0.42 and 0.53 surgeries (including both hysterectomies and myomectomies) for the linzagolix and BSC arm</w:t>
      </w:r>
      <w:r w:rsidR="00F71635" w:rsidRPr="00616367">
        <w:rPr>
          <w:iCs/>
        </w:rPr>
        <w:t>s</w:t>
      </w:r>
      <w:r w:rsidR="00524E97" w:rsidRPr="00616367">
        <w:rPr>
          <w:iCs/>
        </w:rPr>
        <w:t>, respectively, 0.11</w:t>
      </w:r>
      <w:r w:rsidR="005C5981">
        <w:rPr>
          <w:iCs/>
        </w:rPr>
        <w:t> </w:t>
      </w:r>
      <w:r w:rsidR="00524E97" w:rsidRPr="00616367">
        <w:rPr>
          <w:iCs/>
        </w:rPr>
        <w:t>surgeries avoided</w:t>
      </w:r>
      <w:r w:rsidR="00590CB0" w:rsidRPr="00616367">
        <w:rPr>
          <w:iCs/>
        </w:rPr>
        <w:t xml:space="preserve"> with linzagolix</w:t>
      </w:r>
      <w:r w:rsidR="00524E97" w:rsidRPr="00616367">
        <w:rPr>
          <w:iCs/>
        </w:rPr>
        <w:t xml:space="preserve"> (refer </w:t>
      </w:r>
      <w:r w:rsidR="00006823" w:rsidRPr="00616367">
        <w:rPr>
          <w:iCs/>
        </w:rPr>
        <w:fldChar w:fldCharType="begin"/>
      </w:r>
      <w:r w:rsidR="00006823" w:rsidRPr="00616367">
        <w:rPr>
          <w:iCs/>
        </w:rPr>
        <w:instrText xml:space="preserve"> REF _Ref166484536 \h  \* MERGEFORMAT </w:instrText>
      </w:r>
      <w:r w:rsidR="00006823" w:rsidRPr="00616367">
        <w:rPr>
          <w:iCs/>
        </w:rPr>
      </w:r>
      <w:r w:rsidR="00006823" w:rsidRPr="00616367">
        <w:rPr>
          <w:iCs/>
        </w:rPr>
        <w:fldChar w:fldCharType="separate"/>
      </w:r>
      <w:r w:rsidR="003E4FD0" w:rsidRPr="003E4FD0">
        <w:rPr>
          <w:iCs/>
        </w:rPr>
        <w:t xml:space="preserve">Table </w:t>
      </w:r>
      <w:r w:rsidR="003E4FD0" w:rsidRPr="003E4FD0">
        <w:rPr>
          <w:iCs/>
          <w:noProof/>
        </w:rPr>
        <w:t>11</w:t>
      </w:r>
      <w:r w:rsidR="00006823" w:rsidRPr="00616367">
        <w:rPr>
          <w:iCs/>
        </w:rPr>
        <w:fldChar w:fldCharType="end"/>
      </w:r>
      <w:r w:rsidR="00524E97" w:rsidRPr="00616367">
        <w:rPr>
          <w:iCs/>
        </w:rPr>
        <w:t>).</w:t>
      </w:r>
    </w:p>
    <w:p w14:paraId="413DBA56" w14:textId="68DD072B" w:rsidR="00142C63" w:rsidRPr="00F71635" w:rsidRDefault="00F71635" w:rsidP="00236CF8">
      <w:pPr>
        <w:pStyle w:val="3-BodyText"/>
        <w:rPr>
          <w:noProof/>
        </w:rPr>
      </w:pPr>
      <w:r w:rsidRPr="00AF1063">
        <w:rPr>
          <w:noProof/>
        </w:rPr>
        <w:t xml:space="preserve">The </w:t>
      </w:r>
      <w:r w:rsidR="00142C63" w:rsidRPr="00AF1063">
        <w:rPr>
          <w:noProof/>
        </w:rPr>
        <w:t xml:space="preserve">submission </w:t>
      </w:r>
      <w:r w:rsidRPr="00AF1063">
        <w:rPr>
          <w:noProof/>
        </w:rPr>
        <w:t xml:space="preserve">also presented a sensitivity analysis adopting a </w:t>
      </w:r>
      <w:r w:rsidR="00142C63" w:rsidRPr="00AF1063">
        <w:rPr>
          <w:noProof/>
        </w:rPr>
        <w:t>societal perspective</w:t>
      </w:r>
      <w:r w:rsidRPr="00AF1063">
        <w:rPr>
          <w:noProof/>
        </w:rPr>
        <w:t>, including indirect costs associated with reduced work absenteeism</w:t>
      </w:r>
      <w:r w:rsidR="00AF1063" w:rsidRPr="00AF1063">
        <w:rPr>
          <w:noProof/>
        </w:rPr>
        <w:t>.</w:t>
      </w:r>
      <w:r w:rsidRPr="00AF1063">
        <w:rPr>
          <w:noProof/>
        </w:rPr>
        <w:t xml:space="preserve"> </w:t>
      </w:r>
      <w:r w:rsidR="00AF1063" w:rsidRPr="00AF1063">
        <w:rPr>
          <w:noProof/>
        </w:rPr>
        <w:t>P</w:t>
      </w:r>
      <w:r w:rsidR="00142C63" w:rsidRPr="00AF1063">
        <w:t>roportion</w:t>
      </w:r>
      <w:r w:rsidRPr="00AF1063">
        <w:t>s</w:t>
      </w:r>
      <w:r w:rsidR="00142C63" w:rsidRPr="00AF1063">
        <w:t xml:space="preserve"> of working time missed due to symptoms related to menstruation </w:t>
      </w:r>
      <w:r w:rsidRPr="00AF1063">
        <w:t xml:space="preserve">was based on </w:t>
      </w:r>
      <w:r w:rsidR="00142C63" w:rsidRPr="00AF1063">
        <w:t>Hasselrot 2018, a Swedish case-control study of women seeking care for leiomyoma and heavy menstrual bleeding, which reported 7.6% of women with symptomatic leiomyoma miss</w:t>
      </w:r>
      <w:r w:rsidRPr="00AF1063">
        <w:t>ed</w:t>
      </w:r>
      <w:r w:rsidR="00142C63" w:rsidRPr="00AF1063">
        <w:t xml:space="preserve"> working time due to menstrual problems, compared to 0.2% in healthy controls with self-perceived mild to normal menstruation. Work time missed was estimated to be equivalent to 2.8 hours missed per 38-hour working week, per menstrual cycle of 28 days. Indirect costs per monthly cycle was estimated to be $108.55, based on estimated average weekly total cash earnings. </w:t>
      </w:r>
      <w:r w:rsidRPr="00AF1063">
        <w:t xml:space="preserve">The inclusion of </w:t>
      </w:r>
      <w:r w:rsidR="00142C63" w:rsidRPr="00AF1063">
        <w:t xml:space="preserve">indirect costs reduced the ICER to </w:t>
      </w:r>
      <w:r w:rsidR="005C5981" w:rsidRPr="005C5981">
        <w:t>$</w:t>
      </w:r>
      <w:r w:rsidR="005C5981">
        <w:t>3</w:t>
      </w:r>
      <w:r w:rsidR="005C5981" w:rsidRPr="005C5981">
        <w:t>5,000 to &lt; $</w:t>
      </w:r>
      <w:r w:rsidR="005C5981">
        <w:t>4</w:t>
      </w:r>
      <w:r w:rsidR="005C5981" w:rsidRPr="005C5981">
        <w:t>5,000</w:t>
      </w:r>
      <w:r w:rsidR="005C5981">
        <w:t xml:space="preserve"> </w:t>
      </w:r>
      <w:r w:rsidRPr="00AF1063">
        <w:t>from</w:t>
      </w:r>
      <w:r w:rsidRPr="00F71635">
        <w:t xml:space="preserve"> a base case of </w:t>
      </w:r>
      <w:r w:rsidR="005C5981" w:rsidRPr="005C5981">
        <w:t>$45,000 to &lt; $55,000</w:t>
      </w:r>
      <w:r w:rsidR="005C5981">
        <w:t xml:space="preserve"> </w:t>
      </w:r>
      <w:r w:rsidRPr="00F71635">
        <w:t xml:space="preserve">per QALY gained. </w:t>
      </w:r>
      <w:r w:rsidRPr="00616367">
        <w:t>The</w:t>
      </w:r>
      <w:r w:rsidR="009663ED">
        <w:t xml:space="preserve"> </w:t>
      </w:r>
      <w:r w:rsidR="009663ED" w:rsidRPr="00FD5102">
        <w:rPr>
          <w:iCs/>
        </w:rPr>
        <w:t>evaluation considered that the</w:t>
      </w:r>
      <w:r w:rsidRPr="00FD5102">
        <w:rPr>
          <w:iCs/>
        </w:rPr>
        <w:t>re</w:t>
      </w:r>
      <w:r w:rsidRPr="00616367">
        <w:t xml:space="preserve"> </w:t>
      </w:r>
      <w:r w:rsidR="008E0BB2" w:rsidRPr="00616367">
        <w:t>is</w:t>
      </w:r>
      <w:r w:rsidRPr="00616367">
        <w:t xml:space="preserve"> </w:t>
      </w:r>
      <w:r w:rsidR="008E0BB2" w:rsidRPr="00616367">
        <w:t xml:space="preserve">high uncertainty </w:t>
      </w:r>
      <w:r w:rsidR="009663ED">
        <w:t xml:space="preserve">associated </w:t>
      </w:r>
      <w:r w:rsidR="008E0BB2" w:rsidRPr="00616367">
        <w:t xml:space="preserve">with these estimates </w:t>
      </w:r>
      <w:r w:rsidR="009663ED">
        <w:t>as</w:t>
      </w:r>
      <w:r w:rsidR="009663ED" w:rsidRPr="00616367">
        <w:t xml:space="preserve"> </w:t>
      </w:r>
      <w:r w:rsidR="008E0BB2" w:rsidRPr="00616367">
        <w:t xml:space="preserve">not all absenteeism </w:t>
      </w:r>
      <w:r w:rsidR="00AF1063" w:rsidRPr="00616367">
        <w:t xml:space="preserve">is </w:t>
      </w:r>
      <w:r w:rsidR="008E0BB2" w:rsidRPr="00616367">
        <w:t>associated with loss of income.</w:t>
      </w:r>
      <w:r w:rsidR="009663ED">
        <w:t xml:space="preserve"> </w:t>
      </w:r>
      <w:r w:rsidR="009663ED" w:rsidRPr="00FD5102">
        <w:rPr>
          <w:iCs/>
        </w:rPr>
        <w:t xml:space="preserve">The </w:t>
      </w:r>
      <w:r w:rsidR="00875FC4" w:rsidRPr="00FD5102">
        <w:rPr>
          <w:iCs/>
        </w:rPr>
        <w:t>PSCR argued</w:t>
      </w:r>
      <w:r w:rsidR="009663ED" w:rsidRPr="00FD5102">
        <w:rPr>
          <w:iCs/>
        </w:rPr>
        <w:t xml:space="preserve"> that </w:t>
      </w:r>
      <w:r w:rsidR="0062371D" w:rsidRPr="00FD5102">
        <w:rPr>
          <w:iCs/>
        </w:rPr>
        <w:t>productivity</w:t>
      </w:r>
      <w:r w:rsidR="009663ED" w:rsidRPr="00FD5102">
        <w:rPr>
          <w:iCs/>
        </w:rPr>
        <w:t xml:space="preserve"> losses</w:t>
      </w:r>
      <w:r w:rsidR="0062371D" w:rsidRPr="00FD5102">
        <w:rPr>
          <w:iCs/>
        </w:rPr>
        <w:t xml:space="preserve"> are an important consideration</w:t>
      </w:r>
      <w:r w:rsidR="009663ED" w:rsidRPr="00FD5102">
        <w:rPr>
          <w:iCs/>
        </w:rPr>
        <w:t xml:space="preserve"> </w:t>
      </w:r>
      <w:r w:rsidR="0062371D" w:rsidRPr="00FD5102">
        <w:rPr>
          <w:iCs/>
        </w:rPr>
        <w:t xml:space="preserve">given that the population has a &gt;80% labour force participation rate (ABS, 2024) </w:t>
      </w:r>
      <w:r w:rsidR="009663ED" w:rsidRPr="00FD5102">
        <w:rPr>
          <w:iCs/>
        </w:rPr>
        <w:t xml:space="preserve">and </w:t>
      </w:r>
      <w:r w:rsidR="0062371D" w:rsidRPr="00FD5102">
        <w:rPr>
          <w:iCs/>
        </w:rPr>
        <w:t xml:space="preserve">noted that the impact of uterine fibroids, </w:t>
      </w:r>
      <w:r w:rsidR="009663ED" w:rsidRPr="00FD5102">
        <w:rPr>
          <w:iCs/>
        </w:rPr>
        <w:t xml:space="preserve">particularly heavy menstrual </w:t>
      </w:r>
      <w:r w:rsidR="009663ED" w:rsidRPr="00FD5102">
        <w:rPr>
          <w:iCs/>
        </w:rPr>
        <w:lastRenderedPageBreak/>
        <w:t xml:space="preserve">bleeding, on productivity and patient out of pocket expenses is well </w:t>
      </w:r>
      <w:r w:rsidR="0062371D" w:rsidRPr="00FD5102">
        <w:rPr>
          <w:iCs/>
        </w:rPr>
        <w:t>documented</w:t>
      </w:r>
      <w:r w:rsidR="009663ED" w:rsidRPr="00FD5102">
        <w:rPr>
          <w:iCs/>
        </w:rPr>
        <w:t xml:space="preserve"> (Hasselrot 2018</w:t>
      </w:r>
      <w:r w:rsidR="009663ED" w:rsidRPr="00FD5102">
        <w:rPr>
          <w:rStyle w:val="FootnoteReference"/>
          <w:iCs/>
        </w:rPr>
        <w:footnoteReference w:id="21"/>
      </w:r>
      <w:r w:rsidR="009663ED" w:rsidRPr="00FD5102">
        <w:rPr>
          <w:iCs/>
        </w:rPr>
        <w:t>; Knox 2023</w:t>
      </w:r>
      <w:r w:rsidR="009663ED" w:rsidRPr="00FD5102">
        <w:rPr>
          <w:rStyle w:val="FootnoteReference"/>
          <w:iCs/>
        </w:rPr>
        <w:footnoteReference w:id="22"/>
      </w:r>
      <w:r w:rsidR="009663ED" w:rsidRPr="00FD5102">
        <w:rPr>
          <w:iCs/>
        </w:rPr>
        <w:t xml:space="preserve">). </w:t>
      </w:r>
    </w:p>
    <w:p w14:paraId="7F113A54" w14:textId="1BE24CFA" w:rsidR="002C0784" w:rsidRPr="00482A36" w:rsidRDefault="002C0784" w:rsidP="002C0784">
      <w:pPr>
        <w:pStyle w:val="3-BodyText"/>
        <w:rPr>
          <w:noProof/>
        </w:rPr>
      </w:pPr>
      <w:r w:rsidRPr="00482A36">
        <w:t xml:space="preserve">In the base case, the submission applied EQ-5D-3L utilities mapped using </w:t>
      </w:r>
      <w:r w:rsidR="00C67394" w:rsidRPr="00482A36">
        <w:t>UK values</w:t>
      </w:r>
      <w:r w:rsidRPr="00482A36">
        <w:t xml:space="preserve"> set from UFS-QoL questionnaire data from the PRIMROSE trials for HMB and HMB remission health states. The model assumed that after 1-2 cycles post-surgery, women would recover from surgery and would no longer experience HMB; hence </w:t>
      </w:r>
      <w:r w:rsidR="00136888">
        <w:t xml:space="preserve">would assume </w:t>
      </w:r>
      <w:r w:rsidRPr="00482A36">
        <w:t xml:space="preserve">the utility of patients in the remission health states. Patients who have had a myomectomy remained at risk of a future recurrence whereas hysterectomies were considered curative. The model assumed patients in the menopause health states would have the same utility as patients in the remission health states. </w:t>
      </w:r>
    </w:p>
    <w:p w14:paraId="52F79BD5" w14:textId="0C365AC5" w:rsidR="002C0784" w:rsidRPr="00482A36" w:rsidRDefault="002C0784" w:rsidP="002C0784">
      <w:pPr>
        <w:pStyle w:val="3-BodyText"/>
        <w:rPr>
          <w:noProof/>
        </w:rPr>
      </w:pPr>
      <w:r w:rsidRPr="00482A36">
        <w:rPr>
          <w:noProof/>
        </w:rPr>
        <w:t>The base case utilit</w:t>
      </w:r>
      <w:r w:rsidR="00136888">
        <w:rPr>
          <w:noProof/>
        </w:rPr>
        <w:t>ies</w:t>
      </w:r>
      <w:r w:rsidRPr="00482A36">
        <w:rPr>
          <w:noProof/>
        </w:rPr>
        <w:t xml:space="preserve"> </w:t>
      </w:r>
      <w:r w:rsidR="00136888">
        <w:rPr>
          <w:noProof/>
        </w:rPr>
        <w:t>(mapped from UFS-QoL</w:t>
      </w:r>
      <w:r w:rsidR="002A5899">
        <w:rPr>
          <w:noProof/>
        </w:rPr>
        <w:t xml:space="preserve"> in the PRIMROSE trials</w:t>
      </w:r>
      <w:r w:rsidR="00136888">
        <w:rPr>
          <w:noProof/>
        </w:rPr>
        <w:t xml:space="preserve">) </w:t>
      </w:r>
      <w:r w:rsidRPr="00482A36">
        <w:rPr>
          <w:noProof/>
        </w:rPr>
        <w:t>for uncontrolled and controlled bleeding w</w:t>
      </w:r>
      <w:r w:rsidR="00136888">
        <w:rPr>
          <w:noProof/>
        </w:rPr>
        <w:t>ere</w:t>
      </w:r>
      <w:r w:rsidRPr="00482A36">
        <w:rPr>
          <w:noProof/>
        </w:rPr>
        <w:t xml:space="preserve"> 0.7159 and 0.8421, respectively, resulting in a utility gain of 0.12</w:t>
      </w:r>
      <w:r w:rsidR="001D5DA5" w:rsidRPr="00482A36">
        <w:rPr>
          <w:noProof/>
        </w:rPr>
        <w:t>62</w:t>
      </w:r>
      <w:r w:rsidRPr="00482A36">
        <w:rPr>
          <w:noProof/>
        </w:rPr>
        <w:t xml:space="preserve"> for controlled HMB. </w:t>
      </w:r>
      <w:r w:rsidR="008E0BB2" w:rsidRPr="00616367">
        <w:rPr>
          <w:iCs/>
          <w:noProof/>
        </w:rPr>
        <w:t xml:space="preserve">Regression models were fitted to PRIMROSE trial data to estimate health state utility values. The method used was a linear mixed-effects model. </w:t>
      </w:r>
      <w:r w:rsidRPr="00521463">
        <w:rPr>
          <w:iCs/>
          <w:noProof/>
        </w:rPr>
        <w:t xml:space="preserve">It was noted that the utility values used in the base case were not adjusted </w:t>
      </w:r>
      <w:r w:rsidR="001655AA" w:rsidRPr="00521463">
        <w:rPr>
          <w:iCs/>
          <w:noProof/>
        </w:rPr>
        <w:t>for baseline utility</w:t>
      </w:r>
      <w:r w:rsidRPr="00521463">
        <w:rPr>
          <w:iCs/>
          <w:noProof/>
        </w:rPr>
        <w:t>.</w:t>
      </w:r>
      <w:r w:rsidRPr="00FD5102">
        <w:rPr>
          <w:noProof/>
        </w:rPr>
        <w:t xml:space="preserve"> </w:t>
      </w:r>
      <w:r w:rsidR="001F1C29" w:rsidRPr="00616367">
        <w:rPr>
          <w:iCs/>
          <w:noProof/>
        </w:rPr>
        <w:t xml:space="preserve">The </w:t>
      </w:r>
      <w:r w:rsidR="001E13EB" w:rsidRPr="00616367">
        <w:rPr>
          <w:iCs/>
          <w:noProof/>
        </w:rPr>
        <w:t>technical</w:t>
      </w:r>
      <w:r w:rsidR="001F1C29" w:rsidRPr="00616367">
        <w:rPr>
          <w:iCs/>
          <w:noProof/>
        </w:rPr>
        <w:t xml:space="preserve"> report </w:t>
      </w:r>
      <w:r w:rsidR="001E13EB" w:rsidRPr="00616367">
        <w:rPr>
          <w:iCs/>
          <w:noProof/>
        </w:rPr>
        <w:t xml:space="preserve">on the derivation of utilities, provided in </w:t>
      </w:r>
      <w:r w:rsidR="001F1C29" w:rsidRPr="00616367">
        <w:rPr>
          <w:iCs/>
          <w:noProof/>
        </w:rPr>
        <w:t>the submission</w:t>
      </w:r>
      <w:r w:rsidR="001E13EB" w:rsidRPr="00616367">
        <w:rPr>
          <w:iCs/>
          <w:noProof/>
        </w:rPr>
        <w:t>,</w:t>
      </w:r>
      <w:r w:rsidR="001F1C29" w:rsidRPr="00616367">
        <w:rPr>
          <w:iCs/>
          <w:noProof/>
        </w:rPr>
        <w:t xml:space="preserve"> concluded the regression model </w:t>
      </w:r>
      <w:r w:rsidR="001E13EB" w:rsidRPr="00616367">
        <w:rPr>
          <w:iCs/>
          <w:noProof/>
        </w:rPr>
        <w:t>that</w:t>
      </w:r>
      <w:r w:rsidR="001F1C29" w:rsidRPr="00616367">
        <w:rPr>
          <w:iCs/>
          <w:noProof/>
        </w:rPr>
        <w:t xml:space="preserve"> adjust</w:t>
      </w:r>
      <w:r w:rsidR="001E13EB" w:rsidRPr="00616367">
        <w:rPr>
          <w:iCs/>
          <w:noProof/>
        </w:rPr>
        <w:t>ed</w:t>
      </w:r>
      <w:r w:rsidR="001F1C29" w:rsidRPr="00616367">
        <w:rPr>
          <w:iCs/>
          <w:noProof/>
        </w:rPr>
        <w:t xml:space="preserve"> for baseline utility was likely the most appropriate when </w:t>
      </w:r>
      <w:r w:rsidR="001E13EB" w:rsidRPr="00616367">
        <w:rPr>
          <w:iCs/>
          <w:noProof/>
        </w:rPr>
        <w:t>considering</w:t>
      </w:r>
      <w:r w:rsidR="001F1C29" w:rsidRPr="00616367">
        <w:rPr>
          <w:iCs/>
          <w:noProof/>
        </w:rPr>
        <w:t xml:space="preserve"> model fit.</w:t>
      </w:r>
      <w:r w:rsidR="001E13EB" w:rsidRPr="00616367">
        <w:rPr>
          <w:iCs/>
          <w:noProof/>
        </w:rPr>
        <w:t xml:space="preserve"> </w:t>
      </w:r>
      <w:r w:rsidRPr="00616367">
        <w:rPr>
          <w:iCs/>
          <w:noProof/>
        </w:rPr>
        <w:t xml:space="preserve">Using the values </w:t>
      </w:r>
      <w:r w:rsidR="00B20F78" w:rsidRPr="00616367">
        <w:rPr>
          <w:iCs/>
          <w:noProof/>
        </w:rPr>
        <w:t xml:space="preserve">adjusted for baseline utility </w:t>
      </w:r>
      <w:r w:rsidRPr="00616367">
        <w:rPr>
          <w:iCs/>
          <w:noProof/>
        </w:rPr>
        <w:t>resulted in a utility gain of only 0.0572 for controlled HMB. The ICER was sensitive to the assumed utility gain of remission / controlled HMB, using the baseline-adjusted values from UFS-Q</w:t>
      </w:r>
      <w:r w:rsidR="00803146" w:rsidRPr="00616367">
        <w:rPr>
          <w:iCs/>
          <w:noProof/>
        </w:rPr>
        <w:t>o</w:t>
      </w:r>
      <w:r w:rsidRPr="00616367">
        <w:rPr>
          <w:iCs/>
          <w:noProof/>
        </w:rPr>
        <w:t xml:space="preserve">L in the mapping to EQ-5D-3L, the ICER increased from </w:t>
      </w:r>
      <w:r w:rsidRPr="00616367">
        <w:rPr>
          <w:iCs/>
        </w:rPr>
        <w:t xml:space="preserve">a base case of </w:t>
      </w:r>
      <w:r w:rsidR="00BC7E85" w:rsidRPr="005C5981">
        <w:t>$45,000 to &lt; $55,000</w:t>
      </w:r>
      <w:r w:rsidR="00BC7E85">
        <w:t xml:space="preserve"> </w:t>
      </w:r>
      <w:r w:rsidRPr="00616367">
        <w:rPr>
          <w:iCs/>
        </w:rPr>
        <w:t xml:space="preserve">to </w:t>
      </w:r>
      <w:r w:rsidR="00BC7E85" w:rsidRPr="005C5981">
        <w:t>$</w:t>
      </w:r>
      <w:r w:rsidR="00BC7E85">
        <w:t>9</w:t>
      </w:r>
      <w:r w:rsidR="00BC7E85" w:rsidRPr="005C5981">
        <w:t>5,000 to &lt; $</w:t>
      </w:r>
      <w:r w:rsidR="00BC7E85">
        <w:t>11</w:t>
      </w:r>
      <w:r w:rsidR="00BC7E85" w:rsidRPr="005C5981">
        <w:t>5,000</w:t>
      </w:r>
      <w:r w:rsidR="00BC7E85">
        <w:t xml:space="preserve"> </w:t>
      </w:r>
      <w:r w:rsidRPr="00616367">
        <w:rPr>
          <w:iCs/>
        </w:rPr>
        <w:t>per QALY gained.</w:t>
      </w:r>
    </w:p>
    <w:p w14:paraId="00220E61" w14:textId="1D38BCCE" w:rsidR="002C0784" w:rsidRPr="00521463" w:rsidRDefault="002C0784" w:rsidP="002C0784">
      <w:pPr>
        <w:pStyle w:val="3-BodyText"/>
        <w:rPr>
          <w:noProof/>
        </w:rPr>
      </w:pPr>
      <w:r w:rsidRPr="00482A36">
        <w:t>HRQoL was also assessed using the EQ-5D-5L questionnaires in the PRIMROSE trials</w:t>
      </w:r>
      <w:r w:rsidR="00803146">
        <w:t xml:space="preserve">. Utility values estimated using an </w:t>
      </w:r>
      <w:r w:rsidRPr="00482A36">
        <w:t xml:space="preserve">Australian value set were used in sensitivity analysis. There was a </w:t>
      </w:r>
      <w:r w:rsidR="00803146">
        <w:t>smaller</w:t>
      </w:r>
      <w:r w:rsidR="00803146" w:rsidRPr="00482A36">
        <w:t xml:space="preserve"> </w:t>
      </w:r>
      <w:r w:rsidRPr="00482A36">
        <w:t xml:space="preserve">change in utility for the transition of HMB to remission based on </w:t>
      </w:r>
      <w:r w:rsidR="00803146">
        <w:t xml:space="preserve">EQ-5D-5L compared to </w:t>
      </w:r>
      <w:r w:rsidRPr="00482A36">
        <w:t xml:space="preserve">UFS-QoL data. The submission argued a likely reason for this was that the UFS-QoL questionnaire is disease-specific, hence more </w:t>
      </w:r>
      <w:proofErr w:type="gramStart"/>
      <w:r w:rsidRPr="00482A36">
        <w:t>relevant</w:t>
      </w:r>
      <w:proofErr w:type="gramEnd"/>
      <w:r w:rsidRPr="00482A36">
        <w:t xml:space="preserve"> and sensitive, compared to a generic instrument such as EQ-5D-5L. The submission also stated that the UFS-QoL recall time is ‘the past 3 months’ which was considered more suitable than the recall time of ‘today’ in the EQ-5D-5L. </w:t>
      </w:r>
      <w:r w:rsidRPr="00616367">
        <w:rPr>
          <w:iCs/>
        </w:rPr>
        <w:t>The ICER was very sensitive to the application of the EQ-5D-5L (Australian value set) utility values, applying values</w:t>
      </w:r>
      <w:r w:rsidR="00B20F78" w:rsidRPr="00616367">
        <w:rPr>
          <w:iCs/>
        </w:rPr>
        <w:t xml:space="preserve"> adjusted for baseline utility</w:t>
      </w:r>
      <w:r w:rsidRPr="00616367">
        <w:rPr>
          <w:iCs/>
        </w:rPr>
        <w:t xml:space="preserve">, </w:t>
      </w:r>
      <w:r w:rsidR="00B20F78" w:rsidRPr="00616367">
        <w:rPr>
          <w:iCs/>
        </w:rPr>
        <w:t>which</w:t>
      </w:r>
      <w:r w:rsidRPr="00616367">
        <w:rPr>
          <w:iCs/>
        </w:rPr>
        <w:t xml:space="preserve"> increased the ICER </w:t>
      </w:r>
      <w:r w:rsidRPr="00616367">
        <w:rPr>
          <w:iCs/>
          <w:noProof/>
        </w:rPr>
        <w:t xml:space="preserve">from </w:t>
      </w:r>
      <w:r w:rsidRPr="00616367">
        <w:rPr>
          <w:iCs/>
        </w:rPr>
        <w:t xml:space="preserve">a base case of </w:t>
      </w:r>
      <w:r w:rsidR="00BC7E85" w:rsidRPr="005C5981">
        <w:t>$45,000 to &lt; $55,000</w:t>
      </w:r>
      <w:r w:rsidR="00BC7E85">
        <w:t xml:space="preserve"> </w:t>
      </w:r>
      <w:r w:rsidRPr="00616367">
        <w:rPr>
          <w:iCs/>
        </w:rPr>
        <w:t xml:space="preserve">to </w:t>
      </w:r>
      <w:r w:rsidR="00BC7E85" w:rsidRPr="005C5981">
        <w:t>$</w:t>
      </w:r>
      <w:r w:rsidR="00BC7E85">
        <w:t>35</w:t>
      </w:r>
      <w:r w:rsidR="00BC7E85" w:rsidRPr="005C5981">
        <w:t>5,000 to &lt; $</w:t>
      </w:r>
      <w:r w:rsidR="00BC7E85">
        <w:t>4</w:t>
      </w:r>
      <w:r w:rsidR="00BC7E85" w:rsidRPr="005C5981">
        <w:t>55,000</w:t>
      </w:r>
      <w:r w:rsidR="00BC7E85">
        <w:t xml:space="preserve"> </w:t>
      </w:r>
      <w:r w:rsidRPr="00616367">
        <w:rPr>
          <w:iCs/>
        </w:rPr>
        <w:t>per QALY gained.</w:t>
      </w:r>
      <w:r w:rsidR="005E1F07">
        <w:rPr>
          <w:iCs/>
        </w:rPr>
        <w:t xml:space="preserve"> </w:t>
      </w:r>
    </w:p>
    <w:p w14:paraId="6DC0CFDA" w14:textId="24AFF1A5" w:rsidR="00D137C0" w:rsidRPr="00FD5102" w:rsidRDefault="002731DA" w:rsidP="00EB73EC">
      <w:pPr>
        <w:pStyle w:val="3-BodyText"/>
        <w:rPr>
          <w:noProof/>
        </w:rPr>
      </w:pPr>
      <w:r w:rsidRPr="00FD5102">
        <w:rPr>
          <w:noProof/>
        </w:rPr>
        <w:t xml:space="preserve">The ESC noted that the PSCR provided an updated graph of Figure 60 of the submission, including the base line adjusted utility gains from UFS-QoL and EQ-5D-5L from the PRIMROSE trials, alongside the unadjusted values from UFS-QoL applied in </w:t>
      </w:r>
      <w:r w:rsidRPr="00FD5102">
        <w:rPr>
          <w:noProof/>
        </w:rPr>
        <w:lastRenderedPageBreak/>
        <w:t xml:space="preserve">the base case of the model compared with EQ-5D utility increments reported in the literature. Based on this the PSCR argued </w:t>
      </w:r>
      <w:r w:rsidR="00EB73EC" w:rsidRPr="00FD5102">
        <w:rPr>
          <w:noProof/>
        </w:rPr>
        <w:t xml:space="preserve">the UFS-QoL </w:t>
      </w:r>
      <w:r w:rsidRPr="00FD5102">
        <w:rPr>
          <w:noProof/>
        </w:rPr>
        <w:t>PRIMROSE utility values unadjusted for baseline utility were more representative of the spectrum</w:t>
      </w:r>
      <w:r w:rsidR="00EB73EC" w:rsidRPr="00FD5102">
        <w:rPr>
          <w:noProof/>
        </w:rPr>
        <w:t xml:space="preserve"> of</w:t>
      </w:r>
      <w:r w:rsidRPr="00FD5102">
        <w:rPr>
          <w:noProof/>
        </w:rPr>
        <w:t xml:space="preserve"> includ</w:t>
      </w:r>
      <w:r w:rsidR="00EB73EC" w:rsidRPr="00FD5102">
        <w:rPr>
          <w:noProof/>
        </w:rPr>
        <w:t>ed</w:t>
      </w:r>
      <w:r w:rsidRPr="00FD5102">
        <w:rPr>
          <w:noProof/>
        </w:rPr>
        <w:t xml:space="preserve"> studies from the literature. </w:t>
      </w:r>
      <w:r w:rsidR="00D137C0" w:rsidRPr="00FD5102">
        <w:rPr>
          <w:noProof/>
        </w:rPr>
        <w:t>T</w:t>
      </w:r>
      <w:r w:rsidRPr="00FD5102">
        <w:rPr>
          <w:noProof/>
        </w:rPr>
        <w:t xml:space="preserve">he utility gain for controlled HMB </w:t>
      </w:r>
      <w:r w:rsidR="00D137C0" w:rsidRPr="00FD5102">
        <w:rPr>
          <w:noProof/>
        </w:rPr>
        <w:t xml:space="preserve">from the literature </w:t>
      </w:r>
      <w:r w:rsidRPr="00FD5102">
        <w:rPr>
          <w:noProof/>
        </w:rPr>
        <w:t xml:space="preserve">ranged widely from around 0.02 to 0.22. </w:t>
      </w:r>
      <w:r w:rsidR="00D137C0" w:rsidRPr="00FD5102">
        <w:rPr>
          <w:noProof/>
        </w:rPr>
        <w:t>The ESC also noted</w:t>
      </w:r>
      <w:r w:rsidR="00EB73EC" w:rsidRPr="00FD5102">
        <w:rPr>
          <w:noProof/>
        </w:rPr>
        <w:t xml:space="preserve"> t</w:t>
      </w:r>
      <w:r w:rsidRPr="00FD5102">
        <w:rPr>
          <w:noProof/>
        </w:rPr>
        <w:t xml:space="preserve">hese values were derived from a range of studies, e.g., patients suitable for myomectomy or UAE (Daniels 2022) and patients on ulipristal acetate (Whitaker 2023). </w:t>
      </w:r>
    </w:p>
    <w:p w14:paraId="0B9922DF" w14:textId="0BB1E17B" w:rsidR="00D137C0" w:rsidRPr="00FD5102" w:rsidRDefault="002731DA" w:rsidP="00EB73EC">
      <w:pPr>
        <w:pStyle w:val="3-BodyText"/>
        <w:rPr>
          <w:noProof/>
        </w:rPr>
      </w:pPr>
      <w:r w:rsidRPr="00FD5102">
        <w:rPr>
          <w:noProof/>
        </w:rPr>
        <w:t xml:space="preserve">The PSCR </w:t>
      </w:r>
      <w:r w:rsidR="007F3E3F">
        <w:rPr>
          <w:noProof/>
        </w:rPr>
        <w:t xml:space="preserve">and pre-PBAC response </w:t>
      </w:r>
      <w:r w:rsidRPr="00FD5102">
        <w:rPr>
          <w:noProof/>
        </w:rPr>
        <w:t>re-iterated that (i) more specific symptoms of uterine fibroids were captured in the UFS-QoL compared to generic measures from the EQ-5D, and (ii) the cyclical nature of uterine fibroids is unlikely to be captured by the EQ-5D.</w:t>
      </w:r>
      <w:r w:rsidR="00EB73EC" w:rsidRPr="00FD5102">
        <w:rPr>
          <w:noProof/>
        </w:rPr>
        <w:t xml:space="preserve"> </w:t>
      </w:r>
      <w:r w:rsidR="007F3E3F">
        <w:t>The pre-PBAC response also noted</w:t>
      </w:r>
      <w:r w:rsidR="007F3E3F" w:rsidRPr="00A229DB">
        <w:t xml:space="preserve"> </w:t>
      </w:r>
      <w:r w:rsidR="007F3E3F">
        <w:t xml:space="preserve">that based on the </w:t>
      </w:r>
      <w:r w:rsidR="007F3E3F" w:rsidRPr="00A229DB">
        <w:t xml:space="preserve">EQ-5D utility values </w:t>
      </w:r>
      <w:r w:rsidR="007F3E3F">
        <w:t>and</w:t>
      </w:r>
      <w:r w:rsidR="007F3E3F" w:rsidRPr="00A229DB">
        <w:t xml:space="preserve"> Australian value, there </w:t>
      </w:r>
      <w:r w:rsidR="007F3E3F">
        <w:t>is only a</w:t>
      </w:r>
      <w:r w:rsidR="007F3E3F" w:rsidRPr="00A229DB">
        <w:t xml:space="preserve"> 0.0135 utility gain from achieving remission which </w:t>
      </w:r>
      <w:r w:rsidR="007F3E3F">
        <w:t xml:space="preserve">the response argued </w:t>
      </w:r>
      <w:r w:rsidR="007F3E3F" w:rsidRPr="00A229DB">
        <w:t xml:space="preserve">contradicts the fact that </w:t>
      </w:r>
      <w:r w:rsidR="007F3E3F">
        <w:t xml:space="preserve">uterine fibroid </w:t>
      </w:r>
      <w:r w:rsidR="007F3E3F" w:rsidRPr="00A229DB">
        <w:t>associated HMB is a condition with a high, unmet clinical need that can lead to severe QoL impacts in affected women.</w:t>
      </w:r>
    </w:p>
    <w:p w14:paraId="2D12F67F" w14:textId="1096CD31" w:rsidR="00A229DB" w:rsidRPr="00FD5102" w:rsidRDefault="003634B0" w:rsidP="00FF0DA4">
      <w:pPr>
        <w:pStyle w:val="3-BodyText"/>
        <w:rPr>
          <w:noProof/>
        </w:rPr>
      </w:pPr>
      <w:bookmarkStart w:id="66" w:name="_Ref169870301"/>
      <w:r w:rsidRPr="00FD5102">
        <w:rPr>
          <w:noProof/>
        </w:rPr>
        <w:t xml:space="preserve">The ESC noted that the </w:t>
      </w:r>
      <w:r w:rsidRPr="00FD5102">
        <w:t xml:space="preserve">EQ-5D-5L (Australian value set) utility values, applying values adjusted for baseline utility, were lower than alternative values presented in the PSCR, but considered that they were within a plausible range. </w:t>
      </w:r>
      <w:bookmarkEnd w:id="66"/>
    </w:p>
    <w:p w14:paraId="358E441B" w14:textId="50A453C8" w:rsidR="002C0784" w:rsidRPr="00482A36" w:rsidRDefault="002C0784" w:rsidP="002C0784">
      <w:pPr>
        <w:pStyle w:val="3-BodyText"/>
      </w:pPr>
      <w:r w:rsidRPr="00482A36">
        <w:t xml:space="preserve">A summary of the key drivers of the economic model is given in </w:t>
      </w:r>
      <w:r w:rsidRPr="00482A36">
        <w:fldChar w:fldCharType="begin"/>
      </w:r>
      <w:r w:rsidRPr="00482A36">
        <w:instrText xml:space="preserve"> REF _Ref165546191 \h </w:instrText>
      </w:r>
      <w:r w:rsidRPr="00482A36">
        <w:fldChar w:fldCharType="separate"/>
      </w:r>
      <w:r w:rsidR="003E4FD0" w:rsidRPr="00482A36">
        <w:t xml:space="preserve">Table </w:t>
      </w:r>
      <w:r w:rsidR="003E4FD0">
        <w:rPr>
          <w:noProof/>
        </w:rPr>
        <w:t>12</w:t>
      </w:r>
      <w:r w:rsidRPr="00482A36">
        <w:fldChar w:fldCharType="end"/>
      </w:r>
      <w:r w:rsidRPr="00482A36">
        <w:t>.</w:t>
      </w:r>
    </w:p>
    <w:p w14:paraId="2DD78160" w14:textId="2952FF5F" w:rsidR="002C0784" w:rsidRPr="00482A36" w:rsidRDefault="002C0784" w:rsidP="00E159E4">
      <w:pPr>
        <w:pStyle w:val="Caption"/>
        <w:keepLines w:val="0"/>
        <w:jc w:val="left"/>
        <w:rPr>
          <w:rStyle w:val="CommentReference"/>
          <w:b/>
          <w:szCs w:val="18"/>
        </w:rPr>
      </w:pPr>
      <w:bookmarkStart w:id="67" w:name="_Ref165546191"/>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12</w:t>
      </w:r>
      <w:r w:rsidR="00747D8C">
        <w:rPr>
          <w:noProof/>
        </w:rPr>
        <w:fldChar w:fldCharType="end"/>
      </w:r>
      <w:bookmarkEnd w:id="67"/>
      <w:r w:rsidRPr="00482A36">
        <w:t>:</w:t>
      </w:r>
      <w:r w:rsidRPr="00482A36">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129"/>
        <w:gridCol w:w="5104"/>
        <w:gridCol w:w="2784"/>
      </w:tblGrid>
      <w:tr w:rsidR="002C0784" w:rsidRPr="00482A36" w14:paraId="0ED3F4D9" w14:textId="77777777">
        <w:trPr>
          <w:tblHeader/>
        </w:trPr>
        <w:tc>
          <w:tcPr>
            <w:tcW w:w="626" w:type="pct"/>
            <w:shd w:val="clear" w:color="auto" w:fill="auto"/>
            <w:vAlign w:val="center"/>
          </w:tcPr>
          <w:p w14:paraId="3F8AFF44" w14:textId="77777777" w:rsidR="002C0784" w:rsidRPr="00482A36" w:rsidRDefault="002C0784" w:rsidP="00E159E4">
            <w:pPr>
              <w:pStyle w:val="In-tableHeading"/>
              <w:jc w:val="center"/>
              <w:rPr>
                <w:lang w:val="en-AU"/>
              </w:rPr>
            </w:pPr>
            <w:r w:rsidRPr="00482A36">
              <w:rPr>
                <w:lang w:val="en-AU"/>
              </w:rPr>
              <w:t>Description</w:t>
            </w:r>
          </w:p>
        </w:tc>
        <w:tc>
          <w:tcPr>
            <w:tcW w:w="2830" w:type="pct"/>
            <w:shd w:val="clear" w:color="auto" w:fill="auto"/>
            <w:vAlign w:val="center"/>
          </w:tcPr>
          <w:p w14:paraId="526FA0CE" w14:textId="77777777" w:rsidR="002C0784" w:rsidRPr="00482A36" w:rsidRDefault="002C0784" w:rsidP="00E159E4">
            <w:pPr>
              <w:pStyle w:val="In-tableHeading"/>
              <w:jc w:val="center"/>
              <w:rPr>
                <w:lang w:val="en-AU"/>
              </w:rPr>
            </w:pPr>
            <w:r w:rsidRPr="00482A36">
              <w:rPr>
                <w:lang w:val="en-AU"/>
              </w:rPr>
              <w:t>Method/Value</w:t>
            </w:r>
          </w:p>
        </w:tc>
        <w:tc>
          <w:tcPr>
            <w:tcW w:w="1544" w:type="pct"/>
            <w:shd w:val="clear" w:color="auto" w:fill="auto"/>
            <w:vAlign w:val="center"/>
          </w:tcPr>
          <w:p w14:paraId="1F78D528" w14:textId="77777777" w:rsidR="002C0784" w:rsidRPr="00482A36" w:rsidRDefault="002C0784" w:rsidP="00E159E4">
            <w:pPr>
              <w:pStyle w:val="In-tableHeading"/>
              <w:jc w:val="center"/>
              <w:rPr>
                <w:lang w:val="en-AU"/>
              </w:rPr>
            </w:pPr>
            <w:r w:rsidRPr="00482A36">
              <w:rPr>
                <w:lang w:val="en-AU"/>
              </w:rPr>
              <w:t>Impact</w:t>
            </w:r>
          </w:p>
          <w:p w14:paraId="79961C98" w14:textId="3F58DB65" w:rsidR="002C0784" w:rsidRPr="00482A36" w:rsidRDefault="002C0784" w:rsidP="00E159E4">
            <w:pPr>
              <w:pStyle w:val="In-tableHeading"/>
              <w:jc w:val="center"/>
              <w:rPr>
                <w:lang w:val="en-AU"/>
              </w:rPr>
            </w:pPr>
            <w:r w:rsidRPr="00482A36">
              <w:rPr>
                <w:rFonts w:cs="Arial"/>
                <w:szCs w:val="20"/>
                <w:lang w:val="en-AU"/>
              </w:rPr>
              <w:t xml:space="preserve"> Base case: $</w:t>
            </w:r>
            <w:r w:rsidR="00474E21" w:rsidRPr="00474E21">
              <w:rPr>
                <w:rFonts w:cs="Arial"/>
                <w:color w:val="000000"/>
                <w:spacing w:val="42"/>
                <w:szCs w:val="20"/>
                <w:shd w:val="solid" w:color="000000" w:fill="000000"/>
                <w:fitText w:val="310" w:id="-894212607"/>
                <w:lang w:val="en-AU"/>
                <w14:textFill>
                  <w14:solidFill>
                    <w14:srgbClr w14:val="000000">
                      <w14:alpha w14:val="100000"/>
                    </w14:srgbClr>
                  </w14:solidFill>
                </w14:textFill>
              </w:rPr>
              <w:t>|||</w:t>
            </w:r>
            <w:r w:rsidR="00474E21" w:rsidRPr="00474E21">
              <w:rPr>
                <w:rFonts w:cs="Arial"/>
                <w:color w:val="000000"/>
                <w:spacing w:val="1"/>
                <w:szCs w:val="20"/>
                <w:shd w:val="solid" w:color="000000" w:fill="000000"/>
                <w:fitText w:val="310" w:id="-894212607"/>
                <w:lang w:val="en-AU"/>
                <w14:textFill>
                  <w14:solidFill>
                    <w14:srgbClr w14:val="000000">
                      <w14:alpha w14:val="100000"/>
                    </w14:srgbClr>
                  </w14:solidFill>
                </w14:textFill>
              </w:rPr>
              <w:t>|</w:t>
            </w:r>
            <w:r w:rsidR="0085179F">
              <w:rPr>
                <w:rFonts w:cs="Arial"/>
                <w:szCs w:val="20"/>
                <w:vertAlign w:val="superscript"/>
                <w:lang w:val="en-AU"/>
              </w:rPr>
              <w:t>1</w:t>
            </w:r>
            <w:r w:rsidRPr="00482A36">
              <w:rPr>
                <w:rFonts w:cs="Arial"/>
                <w:szCs w:val="20"/>
                <w:lang w:val="en-AU"/>
              </w:rPr>
              <w:t>/QALY gained</w:t>
            </w:r>
          </w:p>
        </w:tc>
      </w:tr>
      <w:tr w:rsidR="002C0784" w:rsidRPr="00482A36" w14:paraId="672519BB" w14:textId="77777777">
        <w:tc>
          <w:tcPr>
            <w:tcW w:w="626" w:type="pct"/>
            <w:shd w:val="clear" w:color="auto" w:fill="auto"/>
            <w:vAlign w:val="center"/>
          </w:tcPr>
          <w:p w14:paraId="7464E599" w14:textId="77777777" w:rsidR="002C0784" w:rsidRPr="00482A36" w:rsidRDefault="002C0784" w:rsidP="00E159E4">
            <w:pPr>
              <w:pStyle w:val="TableText0"/>
            </w:pPr>
            <w:r w:rsidRPr="00482A36">
              <w:t>Utilities (mapped from UFS-QoL)</w:t>
            </w:r>
          </w:p>
        </w:tc>
        <w:tc>
          <w:tcPr>
            <w:tcW w:w="2830" w:type="pct"/>
            <w:shd w:val="clear" w:color="auto" w:fill="auto"/>
            <w:vAlign w:val="center"/>
          </w:tcPr>
          <w:p w14:paraId="5DC90455" w14:textId="77777777" w:rsidR="002C0784" w:rsidRPr="00482A36" w:rsidRDefault="002C0784" w:rsidP="00E159E4">
            <w:pPr>
              <w:pStyle w:val="TableText0"/>
            </w:pPr>
            <w:r w:rsidRPr="00482A36">
              <w:t>In the base case, utility values for HMB and HMB Remission health states were based on EQ-5D-3L estimates mapped from UFS-QoL questionnaire data from the PRIMROSE trials. HRQoL was also assessed using the EQ-5D-5L questionnaires in PRIMROSE 1 and 2, and utility values derived from EQ-5D-5L using the Australian value set, were also used in sensitivity analysis.</w:t>
            </w:r>
          </w:p>
        </w:tc>
        <w:tc>
          <w:tcPr>
            <w:tcW w:w="1544" w:type="pct"/>
            <w:shd w:val="clear" w:color="auto" w:fill="auto"/>
            <w:vAlign w:val="center"/>
          </w:tcPr>
          <w:p w14:paraId="03B8247F" w14:textId="77777777" w:rsidR="002C0784" w:rsidRPr="00616367" w:rsidRDefault="002C0784" w:rsidP="00E159E4">
            <w:pPr>
              <w:pStyle w:val="TableText0"/>
            </w:pPr>
            <w:r w:rsidRPr="00616367">
              <w:t>Very High, favoured LGX.</w:t>
            </w:r>
          </w:p>
          <w:p w14:paraId="4A5CDA07" w14:textId="1333E4F7" w:rsidR="002C0784" w:rsidRPr="00482A36" w:rsidRDefault="002C0784" w:rsidP="00E159E4">
            <w:pPr>
              <w:pStyle w:val="TableText0"/>
              <w:rPr>
                <w:i/>
              </w:rPr>
            </w:pPr>
            <w:r w:rsidRPr="00616367">
              <w:t>Use of EQ-5D-5L (Australian value set) utilities</w:t>
            </w:r>
            <w:r w:rsidR="00B20F78" w:rsidRPr="00616367">
              <w:t xml:space="preserve"> (adjusted for baseline utility</w:t>
            </w:r>
            <w:r w:rsidR="008F2B9B" w:rsidRPr="00616367">
              <w:t>; i.e., 0.9184 and 0.9319</w:t>
            </w:r>
            <w:r w:rsidRPr="00616367">
              <w:t xml:space="preserve"> for HMB and remission health states, respectively) increased the ICER to $</w:t>
            </w:r>
            <w:r w:rsidR="00474E21" w:rsidRPr="00474E21">
              <w:rPr>
                <w:color w:val="000000"/>
                <w:spacing w:val="53"/>
                <w:shd w:val="solid" w:color="000000" w:fill="000000"/>
                <w:fitText w:val="330" w:id="-894212606"/>
                <w14:textFill>
                  <w14:solidFill>
                    <w14:srgbClr w14:val="000000">
                      <w14:alpha w14:val="100000"/>
                    </w14:srgbClr>
                  </w14:solidFill>
                </w14:textFill>
              </w:rPr>
              <w:t>|||</w:t>
            </w:r>
            <w:r w:rsidR="00474E21" w:rsidRPr="00474E21">
              <w:rPr>
                <w:color w:val="000000"/>
                <w:spacing w:val="1"/>
                <w:shd w:val="solid" w:color="000000" w:fill="000000"/>
                <w:fitText w:val="330" w:id="-894212606"/>
                <w14:textFill>
                  <w14:solidFill>
                    <w14:srgbClr w14:val="000000">
                      <w14:alpha w14:val="100000"/>
                    </w14:srgbClr>
                  </w14:solidFill>
                </w14:textFill>
              </w:rPr>
              <w:t>|</w:t>
            </w:r>
            <w:r w:rsidR="0085179F">
              <w:rPr>
                <w:vertAlign w:val="superscript"/>
              </w:rPr>
              <w:t>2</w:t>
            </w:r>
            <w:r w:rsidRPr="00616367">
              <w:t>/QALY gained.</w:t>
            </w:r>
          </w:p>
        </w:tc>
      </w:tr>
      <w:tr w:rsidR="002C0784" w:rsidRPr="00482A36" w14:paraId="2468340D" w14:textId="77777777">
        <w:tc>
          <w:tcPr>
            <w:tcW w:w="626" w:type="pct"/>
            <w:shd w:val="clear" w:color="auto" w:fill="auto"/>
            <w:vAlign w:val="center"/>
          </w:tcPr>
          <w:p w14:paraId="1558F6F3" w14:textId="3815D317" w:rsidR="002C0784" w:rsidRPr="00482A36" w:rsidRDefault="002C0784" w:rsidP="00E159E4">
            <w:pPr>
              <w:pStyle w:val="TableText0"/>
            </w:pPr>
            <w:r w:rsidRPr="00482A36">
              <w:t>Utilities (not adjusted</w:t>
            </w:r>
            <w:r w:rsidR="00B20F78">
              <w:t xml:space="preserve"> for baseline utility</w:t>
            </w:r>
            <w:r w:rsidRPr="00482A36">
              <w:t>)</w:t>
            </w:r>
          </w:p>
        </w:tc>
        <w:tc>
          <w:tcPr>
            <w:tcW w:w="2830" w:type="pct"/>
            <w:shd w:val="clear" w:color="auto" w:fill="auto"/>
            <w:vAlign w:val="center"/>
          </w:tcPr>
          <w:p w14:paraId="11067DDB" w14:textId="6A5785E0" w:rsidR="002C0784" w:rsidRPr="00482A36" w:rsidRDefault="002C0784" w:rsidP="00E159E4">
            <w:pPr>
              <w:pStyle w:val="TableText0"/>
            </w:pPr>
            <w:r w:rsidRPr="00482A36">
              <w:t xml:space="preserve">In the base case, values for HMB and HMB Remission health states taken from EQ-5D-3L data mapped from UFS-QoL questionnaire data from the PRIMROSE trials. </w:t>
            </w:r>
            <w:r w:rsidRPr="00482A36">
              <w:rPr>
                <w:noProof/>
              </w:rPr>
              <w:t>The base case utility for uncontrolled and controlled HMB was 0.7159 and 0.8421, respectively, when mapped from UFS-QoL (</w:t>
            </w:r>
            <w:r w:rsidRPr="00616367">
              <w:rPr>
                <w:iCs/>
                <w:noProof/>
              </w:rPr>
              <w:t>Table 11 of Attachment 6 of the submission; not adjusted</w:t>
            </w:r>
            <w:r w:rsidR="008F2B9B" w:rsidRPr="00616367">
              <w:rPr>
                <w:iCs/>
                <w:noProof/>
              </w:rPr>
              <w:t xml:space="preserve"> for baseline utility</w:t>
            </w:r>
            <w:r w:rsidRPr="00482A36">
              <w:rPr>
                <w:noProof/>
              </w:rPr>
              <w:t>); resulting in a utility gain of 0.12</w:t>
            </w:r>
            <w:r w:rsidR="001D5DA5" w:rsidRPr="00482A36">
              <w:rPr>
                <w:noProof/>
              </w:rPr>
              <w:t>62</w:t>
            </w:r>
            <w:r w:rsidRPr="00482A36">
              <w:rPr>
                <w:noProof/>
              </w:rPr>
              <w:t xml:space="preserve"> for controlled HMB. </w:t>
            </w:r>
          </w:p>
        </w:tc>
        <w:tc>
          <w:tcPr>
            <w:tcW w:w="1544" w:type="pct"/>
            <w:shd w:val="clear" w:color="auto" w:fill="auto"/>
            <w:vAlign w:val="center"/>
          </w:tcPr>
          <w:p w14:paraId="4116E92A" w14:textId="77777777" w:rsidR="002C0784" w:rsidRPr="00616367" w:rsidRDefault="002C0784" w:rsidP="00E159E4">
            <w:pPr>
              <w:pStyle w:val="TableText0"/>
            </w:pPr>
            <w:r w:rsidRPr="00616367">
              <w:t>High, favoured LGX.</w:t>
            </w:r>
          </w:p>
          <w:p w14:paraId="26FBC959" w14:textId="351DEEE0" w:rsidR="002C0784" w:rsidRPr="00482A36" w:rsidRDefault="002C0784" w:rsidP="00E159E4">
            <w:pPr>
              <w:pStyle w:val="TableText0"/>
              <w:rPr>
                <w:i/>
              </w:rPr>
            </w:pPr>
            <w:r w:rsidRPr="00616367">
              <w:t>Use of utilities</w:t>
            </w:r>
            <w:r w:rsidR="00B20F78" w:rsidRPr="00616367">
              <w:t xml:space="preserve"> adjusted for baseline utility (i.e., 0.7777 and 0.8349</w:t>
            </w:r>
            <w:r w:rsidRPr="00616367">
              <w:t xml:space="preserve"> for HMB and remission health states, respectively) increased the ICER to $</w:t>
            </w:r>
            <w:r w:rsidR="00474E21" w:rsidRPr="00474E21">
              <w:rPr>
                <w:color w:val="000000"/>
                <w:spacing w:val="53"/>
                <w:shd w:val="solid" w:color="000000" w:fill="000000"/>
                <w:fitText w:val="330" w:id="-894212605"/>
                <w14:textFill>
                  <w14:solidFill>
                    <w14:srgbClr w14:val="000000">
                      <w14:alpha w14:val="100000"/>
                    </w14:srgbClr>
                  </w14:solidFill>
                </w14:textFill>
              </w:rPr>
              <w:t>|||</w:t>
            </w:r>
            <w:r w:rsidR="00474E21" w:rsidRPr="00474E21">
              <w:rPr>
                <w:color w:val="000000"/>
                <w:spacing w:val="1"/>
                <w:shd w:val="solid" w:color="000000" w:fill="000000"/>
                <w:fitText w:val="330" w:id="-894212605"/>
                <w14:textFill>
                  <w14:solidFill>
                    <w14:srgbClr w14:val="000000">
                      <w14:alpha w14:val="100000"/>
                    </w14:srgbClr>
                  </w14:solidFill>
                </w14:textFill>
              </w:rPr>
              <w:t>|</w:t>
            </w:r>
            <w:r w:rsidR="0085179F">
              <w:rPr>
                <w:vertAlign w:val="superscript"/>
              </w:rPr>
              <w:t>3</w:t>
            </w:r>
            <w:r w:rsidRPr="00616367">
              <w:t>/QALY gained.</w:t>
            </w:r>
            <w:r w:rsidRPr="00482A36">
              <w:rPr>
                <w:rFonts w:cs="Arial"/>
                <w:color w:val="3366FF"/>
                <w:szCs w:val="20"/>
              </w:rPr>
              <w:t xml:space="preserve"> </w:t>
            </w:r>
          </w:p>
        </w:tc>
      </w:tr>
      <w:tr w:rsidR="002C0784" w:rsidRPr="00482A36" w14:paraId="2ACE7304" w14:textId="77777777">
        <w:tc>
          <w:tcPr>
            <w:tcW w:w="626" w:type="pct"/>
            <w:shd w:val="clear" w:color="auto" w:fill="auto"/>
            <w:vAlign w:val="center"/>
          </w:tcPr>
          <w:p w14:paraId="4CA18C98" w14:textId="77777777" w:rsidR="002C0784" w:rsidRPr="00482A36" w:rsidRDefault="002C0784" w:rsidP="00E159E4">
            <w:pPr>
              <w:pStyle w:val="TableText0"/>
            </w:pPr>
            <w:r w:rsidRPr="00482A36">
              <w:t>Starting age</w:t>
            </w:r>
          </w:p>
        </w:tc>
        <w:tc>
          <w:tcPr>
            <w:tcW w:w="2830" w:type="pct"/>
            <w:shd w:val="clear" w:color="auto" w:fill="auto"/>
            <w:vAlign w:val="center"/>
          </w:tcPr>
          <w:p w14:paraId="6C9B940F" w14:textId="7101643B" w:rsidR="002C0784" w:rsidRPr="00482A36" w:rsidRDefault="002C0784" w:rsidP="00E159E4">
            <w:pPr>
              <w:pStyle w:val="3-BodyText"/>
              <w:keepNext/>
              <w:numPr>
                <w:ilvl w:val="0"/>
                <w:numId w:val="0"/>
              </w:numPr>
              <w:rPr>
                <w:rFonts w:ascii="Arial Narrow" w:hAnsi="Arial Narrow"/>
                <w:sz w:val="20"/>
                <w:szCs w:val="20"/>
              </w:rPr>
            </w:pPr>
            <w:r w:rsidRPr="00482A36">
              <w:rPr>
                <w:rFonts w:ascii="Arial Narrow" w:hAnsi="Arial Narrow"/>
                <w:sz w:val="20"/>
                <w:szCs w:val="20"/>
              </w:rPr>
              <w:t xml:space="preserve">The economic model was a Markov model with an upfront decision tree that sorts the cohort by age at treatment commencement and age at menopause. </w:t>
            </w:r>
            <w:r w:rsidRPr="00616367">
              <w:rPr>
                <w:rFonts w:ascii="Arial Narrow" w:hAnsi="Arial Narrow"/>
                <w:iCs/>
                <w:sz w:val="20"/>
                <w:szCs w:val="20"/>
              </w:rPr>
              <w:t>The data used only accounted for women 35 years and up</w:t>
            </w:r>
            <w:r w:rsidR="00266E09" w:rsidRPr="00616367">
              <w:rPr>
                <w:rFonts w:ascii="Arial Narrow" w:hAnsi="Arial Narrow"/>
                <w:iCs/>
                <w:sz w:val="20"/>
                <w:szCs w:val="20"/>
              </w:rPr>
              <w:t>.</w:t>
            </w:r>
            <w:r w:rsidRPr="00616367">
              <w:rPr>
                <w:rFonts w:ascii="Arial Narrow" w:hAnsi="Arial Narrow"/>
                <w:iCs/>
                <w:sz w:val="20"/>
                <w:szCs w:val="20"/>
              </w:rPr>
              <w:t xml:space="preserve"> </w:t>
            </w:r>
          </w:p>
        </w:tc>
        <w:tc>
          <w:tcPr>
            <w:tcW w:w="1544" w:type="pct"/>
            <w:shd w:val="clear" w:color="auto" w:fill="auto"/>
            <w:vAlign w:val="center"/>
          </w:tcPr>
          <w:p w14:paraId="278BF26B" w14:textId="697EC19D" w:rsidR="002C0784" w:rsidRPr="00616367" w:rsidRDefault="001D1731" w:rsidP="00E159E4">
            <w:pPr>
              <w:pStyle w:val="TableText0"/>
            </w:pPr>
            <w:r w:rsidRPr="00616367">
              <w:t>Moderate</w:t>
            </w:r>
            <w:r w:rsidR="002C0784" w:rsidRPr="00616367">
              <w:t>, favoured LGX.</w:t>
            </w:r>
          </w:p>
          <w:p w14:paraId="006363EA" w14:textId="1BA6743E" w:rsidR="002C0784" w:rsidRPr="00616367" w:rsidRDefault="002C0784" w:rsidP="00E159E4">
            <w:pPr>
              <w:pStyle w:val="TableText0"/>
            </w:pPr>
          </w:p>
          <w:p w14:paraId="3EDFCD29" w14:textId="2E3081D9" w:rsidR="001D1731" w:rsidRPr="00482A36" w:rsidRDefault="001D1731" w:rsidP="00E159E4">
            <w:pPr>
              <w:pStyle w:val="TableText0"/>
              <w:rPr>
                <w:i/>
              </w:rPr>
            </w:pPr>
            <w:r w:rsidRPr="00616367">
              <w:t>Assuming s</w:t>
            </w:r>
            <w:r w:rsidR="008D55C2" w:rsidRPr="00616367">
              <w:t>tarting age at 10-year age bands from 20 years (25% each starting at 20, 30, 40 and 50 years) increased</w:t>
            </w:r>
            <w:r w:rsidRPr="00616367">
              <w:t xml:space="preserve"> the ICER to $</w:t>
            </w:r>
            <w:r w:rsidR="00474E21" w:rsidRPr="00474E21">
              <w:rPr>
                <w:color w:val="000000"/>
                <w:spacing w:val="53"/>
                <w:shd w:val="solid" w:color="000000" w:fill="000000"/>
                <w:fitText w:val="330" w:id="-894212604"/>
                <w14:textFill>
                  <w14:solidFill>
                    <w14:srgbClr w14:val="000000">
                      <w14:alpha w14:val="100000"/>
                    </w14:srgbClr>
                  </w14:solidFill>
                </w14:textFill>
              </w:rPr>
              <w:t>|||</w:t>
            </w:r>
            <w:r w:rsidR="00474E21" w:rsidRPr="00474E21">
              <w:rPr>
                <w:color w:val="000000"/>
                <w:spacing w:val="1"/>
                <w:shd w:val="solid" w:color="000000" w:fill="000000"/>
                <w:fitText w:val="330" w:id="-894212604"/>
                <w14:textFill>
                  <w14:solidFill>
                    <w14:srgbClr w14:val="000000">
                      <w14:alpha w14:val="100000"/>
                    </w14:srgbClr>
                  </w14:solidFill>
                </w14:textFill>
              </w:rPr>
              <w:t>|</w:t>
            </w:r>
            <w:r w:rsidR="00AA5533">
              <w:rPr>
                <w:vertAlign w:val="superscript"/>
              </w:rPr>
              <w:t>4</w:t>
            </w:r>
            <w:r w:rsidRPr="00616367">
              <w:t>/QALY gained.</w:t>
            </w:r>
          </w:p>
        </w:tc>
      </w:tr>
      <w:tr w:rsidR="002C0784" w:rsidRPr="00482A36" w14:paraId="55D62FF3" w14:textId="77777777">
        <w:tc>
          <w:tcPr>
            <w:tcW w:w="626" w:type="pct"/>
            <w:shd w:val="clear" w:color="auto" w:fill="auto"/>
            <w:vAlign w:val="center"/>
          </w:tcPr>
          <w:p w14:paraId="4D1F211E" w14:textId="77777777" w:rsidR="002C0784" w:rsidRPr="00482A36" w:rsidRDefault="002C0784" w:rsidP="00E159E4">
            <w:pPr>
              <w:pStyle w:val="TableText0"/>
            </w:pPr>
            <w:r w:rsidRPr="00482A36">
              <w:t>Response for LGX</w:t>
            </w:r>
          </w:p>
        </w:tc>
        <w:tc>
          <w:tcPr>
            <w:tcW w:w="2830" w:type="pct"/>
            <w:shd w:val="clear" w:color="auto" w:fill="auto"/>
            <w:vAlign w:val="center"/>
          </w:tcPr>
          <w:p w14:paraId="3E464C5F" w14:textId="0C6883DC" w:rsidR="002C0784" w:rsidRPr="00482A36" w:rsidRDefault="002C0784" w:rsidP="00E159E4">
            <w:pPr>
              <w:pStyle w:val="TableText0"/>
            </w:pPr>
            <w:r w:rsidRPr="00482A36">
              <w:rPr>
                <w:rFonts w:cstheme="minorHAnsi"/>
              </w:rPr>
              <w:t>The base case analysis used 84.5% response at week 24 for the LGX arm of the model, based on 200 mg LGX + ABT</w:t>
            </w:r>
            <w:r w:rsidRPr="00616367">
              <w:rPr>
                <w:rFonts w:cstheme="minorHAnsi"/>
                <w:iCs/>
              </w:rPr>
              <w:t xml:space="preserve">. </w:t>
            </w:r>
          </w:p>
        </w:tc>
        <w:tc>
          <w:tcPr>
            <w:tcW w:w="1544" w:type="pct"/>
            <w:shd w:val="clear" w:color="auto" w:fill="auto"/>
            <w:vAlign w:val="center"/>
          </w:tcPr>
          <w:p w14:paraId="29ECB580" w14:textId="77777777" w:rsidR="002C0784" w:rsidRPr="00616367" w:rsidRDefault="002C0784" w:rsidP="00E159E4">
            <w:pPr>
              <w:pStyle w:val="TableText0"/>
              <w:rPr>
                <w:iCs/>
              </w:rPr>
            </w:pPr>
            <w:r w:rsidRPr="00616367">
              <w:rPr>
                <w:iCs/>
              </w:rPr>
              <w:t>Moderate, favoured LGX.</w:t>
            </w:r>
          </w:p>
          <w:p w14:paraId="78FBB2EF" w14:textId="157603E6" w:rsidR="002C0784" w:rsidRPr="00616367" w:rsidRDefault="002C0784" w:rsidP="00E159E4">
            <w:pPr>
              <w:pStyle w:val="TableText0"/>
              <w:rPr>
                <w:iCs/>
              </w:rPr>
            </w:pPr>
            <w:r w:rsidRPr="00616367">
              <w:rPr>
                <w:iCs/>
              </w:rPr>
              <w:t>Use of response for LGX 200mg (without ABT) increased the ICER to $</w:t>
            </w:r>
            <w:r w:rsidR="00474E21" w:rsidRPr="00474E21">
              <w:rPr>
                <w:iCs/>
                <w:color w:val="000000"/>
                <w:spacing w:val="53"/>
                <w:shd w:val="solid" w:color="000000" w:fill="000000"/>
                <w:fitText w:val="330" w:id="-894212603"/>
                <w14:textFill>
                  <w14:solidFill>
                    <w14:srgbClr w14:val="000000">
                      <w14:alpha w14:val="100000"/>
                    </w14:srgbClr>
                  </w14:solidFill>
                </w14:textFill>
              </w:rPr>
              <w:t>|||</w:t>
            </w:r>
            <w:r w:rsidR="00474E21" w:rsidRPr="00474E21">
              <w:rPr>
                <w:iCs/>
                <w:color w:val="000000"/>
                <w:spacing w:val="1"/>
                <w:shd w:val="solid" w:color="000000" w:fill="000000"/>
                <w:fitText w:val="330" w:id="-894212603"/>
                <w14:textFill>
                  <w14:solidFill>
                    <w14:srgbClr w14:val="000000">
                      <w14:alpha w14:val="100000"/>
                    </w14:srgbClr>
                  </w14:solidFill>
                </w14:textFill>
              </w:rPr>
              <w:t>|</w:t>
            </w:r>
            <w:r w:rsidR="00AA5533">
              <w:rPr>
                <w:iCs/>
                <w:vertAlign w:val="superscript"/>
              </w:rPr>
              <w:t>1</w:t>
            </w:r>
            <w:r w:rsidRPr="00616367">
              <w:rPr>
                <w:iCs/>
              </w:rPr>
              <w:t>/QALY gained.</w:t>
            </w:r>
          </w:p>
          <w:p w14:paraId="6B0C66F2" w14:textId="37C0A5C5" w:rsidR="002C0784" w:rsidRPr="00482A36" w:rsidRDefault="002C0784" w:rsidP="00E159E4">
            <w:pPr>
              <w:pStyle w:val="TableText0"/>
            </w:pPr>
            <w:r w:rsidRPr="00616367">
              <w:rPr>
                <w:iCs/>
              </w:rPr>
              <w:t>Use of response for LGX 100 mg (without ABT) increased the ICER to $</w:t>
            </w:r>
            <w:r w:rsidR="00474E21" w:rsidRPr="00474E21">
              <w:rPr>
                <w:iCs/>
                <w:color w:val="000000"/>
                <w:spacing w:val="53"/>
                <w:shd w:val="solid" w:color="000000" w:fill="000000"/>
                <w:fitText w:val="330" w:id="-894212602"/>
                <w14:textFill>
                  <w14:solidFill>
                    <w14:srgbClr w14:val="000000">
                      <w14:alpha w14:val="100000"/>
                    </w14:srgbClr>
                  </w14:solidFill>
                </w14:textFill>
              </w:rPr>
              <w:t>|||</w:t>
            </w:r>
            <w:r w:rsidR="00474E21" w:rsidRPr="00474E21">
              <w:rPr>
                <w:iCs/>
                <w:color w:val="000000"/>
                <w:spacing w:val="1"/>
                <w:shd w:val="solid" w:color="000000" w:fill="000000"/>
                <w:fitText w:val="330" w:id="-894212602"/>
                <w14:textFill>
                  <w14:solidFill>
                    <w14:srgbClr w14:val="000000">
                      <w14:alpha w14:val="100000"/>
                    </w14:srgbClr>
                  </w14:solidFill>
                </w14:textFill>
              </w:rPr>
              <w:t>|</w:t>
            </w:r>
            <w:r w:rsidR="00AA5533">
              <w:rPr>
                <w:iCs/>
                <w:vertAlign w:val="superscript"/>
              </w:rPr>
              <w:t>5</w:t>
            </w:r>
            <w:r w:rsidRPr="00616367">
              <w:rPr>
                <w:iCs/>
              </w:rPr>
              <w:t>/QALY gained.</w:t>
            </w:r>
          </w:p>
        </w:tc>
      </w:tr>
    </w:tbl>
    <w:p w14:paraId="5D28EA55" w14:textId="77777777" w:rsidR="002C0784" w:rsidRPr="00482A36" w:rsidRDefault="002C0784" w:rsidP="00E159E4">
      <w:pPr>
        <w:pStyle w:val="FooterTableFigure"/>
        <w:keepNext/>
      </w:pPr>
      <w:r w:rsidRPr="00482A36">
        <w:t xml:space="preserve">Source: </w:t>
      </w:r>
      <w:r w:rsidRPr="00616367">
        <w:rPr>
          <w:iCs/>
        </w:rPr>
        <w:t>compiled during the evaluation</w:t>
      </w:r>
      <w:r w:rsidRPr="00482A36">
        <w:t>.</w:t>
      </w:r>
    </w:p>
    <w:p w14:paraId="05B2B4D2" w14:textId="77777777" w:rsidR="002C0784" w:rsidRDefault="002C0784" w:rsidP="00E159E4">
      <w:pPr>
        <w:pStyle w:val="FooterTableFigure"/>
        <w:keepNext/>
      </w:pPr>
      <w:r w:rsidRPr="00482A36">
        <w:t>ABT = add-back therapy; BSC = best supportive care; HMB = heavy menstrual bleeding; LGX = linzagolix.</w:t>
      </w:r>
    </w:p>
    <w:p w14:paraId="5396992A" w14:textId="77777777" w:rsidR="00AA5533" w:rsidRPr="00AA5533" w:rsidRDefault="00AA5533" w:rsidP="00AA5533">
      <w:pPr>
        <w:pStyle w:val="FooterTableFigure"/>
        <w:keepNext/>
        <w:rPr>
          <w:i/>
        </w:rPr>
      </w:pPr>
      <w:r w:rsidRPr="00AA5533">
        <w:rPr>
          <w:i/>
        </w:rPr>
        <w:t xml:space="preserve">The redacted values correspond to the following ranges: </w:t>
      </w:r>
    </w:p>
    <w:p w14:paraId="537ECE7A" w14:textId="12358E92" w:rsidR="00AA5533" w:rsidRPr="00AA5533" w:rsidRDefault="00AA5533" w:rsidP="00AA5533">
      <w:pPr>
        <w:pStyle w:val="FooterTableFigure"/>
        <w:keepNext/>
        <w:rPr>
          <w:i/>
        </w:rPr>
      </w:pPr>
      <w:r w:rsidRPr="00AA5533">
        <w:rPr>
          <w:i/>
          <w:vertAlign w:val="superscript"/>
        </w:rPr>
        <w:t>1</w:t>
      </w:r>
      <w:r w:rsidRPr="00AA5533">
        <w:rPr>
          <w:i/>
        </w:rPr>
        <w:t xml:space="preserve"> $45,000 to &lt; $55,000</w:t>
      </w:r>
    </w:p>
    <w:p w14:paraId="42C3FF94" w14:textId="74B57B10" w:rsidR="00AA5533" w:rsidRPr="00AA5533" w:rsidRDefault="00AA5533" w:rsidP="00AA5533">
      <w:pPr>
        <w:pStyle w:val="FooterTableFigure"/>
        <w:keepNext/>
        <w:rPr>
          <w:i/>
        </w:rPr>
      </w:pPr>
      <w:r w:rsidRPr="00AA5533">
        <w:rPr>
          <w:i/>
          <w:vertAlign w:val="superscript"/>
        </w:rPr>
        <w:t>2</w:t>
      </w:r>
      <w:r w:rsidRPr="00AA5533">
        <w:rPr>
          <w:i/>
        </w:rPr>
        <w:t xml:space="preserve"> $</w:t>
      </w:r>
      <w:r>
        <w:rPr>
          <w:i/>
        </w:rPr>
        <w:t>35</w:t>
      </w:r>
      <w:r w:rsidRPr="00AA5533">
        <w:rPr>
          <w:i/>
        </w:rPr>
        <w:t>5,000 to &lt; $</w:t>
      </w:r>
      <w:r>
        <w:rPr>
          <w:i/>
        </w:rPr>
        <w:t>4</w:t>
      </w:r>
      <w:r w:rsidRPr="00AA5533">
        <w:rPr>
          <w:i/>
        </w:rPr>
        <w:t>55,000</w:t>
      </w:r>
    </w:p>
    <w:p w14:paraId="7430A1C3" w14:textId="24884294" w:rsidR="00AA5533" w:rsidRPr="00AA5533" w:rsidRDefault="00AA5533" w:rsidP="00AA5533">
      <w:pPr>
        <w:pStyle w:val="FooterTableFigure"/>
        <w:keepNext/>
        <w:rPr>
          <w:i/>
        </w:rPr>
      </w:pPr>
      <w:r w:rsidRPr="00AA5533">
        <w:rPr>
          <w:i/>
          <w:vertAlign w:val="superscript"/>
        </w:rPr>
        <w:t>3</w:t>
      </w:r>
      <w:r w:rsidRPr="00AA5533">
        <w:rPr>
          <w:i/>
        </w:rPr>
        <w:t xml:space="preserve"> $</w:t>
      </w:r>
      <w:r>
        <w:rPr>
          <w:i/>
        </w:rPr>
        <w:t>9</w:t>
      </w:r>
      <w:r w:rsidRPr="00AA5533">
        <w:rPr>
          <w:i/>
        </w:rPr>
        <w:t>5,000 to &lt; $</w:t>
      </w:r>
      <w:r>
        <w:rPr>
          <w:i/>
        </w:rPr>
        <w:t>11</w:t>
      </w:r>
      <w:r w:rsidRPr="00AA5533">
        <w:rPr>
          <w:i/>
        </w:rPr>
        <w:t>5,000</w:t>
      </w:r>
    </w:p>
    <w:p w14:paraId="08BA9D3F" w14:textId="6CC14BF3" w:rsidR="00AA5533" w:rsidRPr="00AA5533" w:rsidRDefault="00AA5533" w:rsidP="00AA5533">
      <w:pPr>
        <w:pStyle w:val="FooterTableFigure"/>
        <w:keepNext/>
        <w:rPr>
          <w:i/>
        </w:rPr>
      </w:pPr>
      <w:r w:rsidRPr="00AA5533">
        <w:rPr>
          <w:i/>
          <w:vertAlign w:val="superscript"/>
        </w:rPr>
        <w:t>4</w:t>
      </w:r>
      <w:r w:rsidRPr="00AA5533">
        <w:rPr>
          <w:i/>
        </w:rPr>
        <w:t xml:space="preserve"> $</w:t>
      </w:r>
      <w:r>
        <w:rPr>
          <w:i/>
        </w:rPr>
        <w:t>7</w:t>
      </w:r>
      <w:r w:rsidRPr="00AA5533">
        <w:rPr>
          <w:i/>
        </w:rPr>
        <w:t>5,000 to &lt; $</w:t>
      </w:r>
      <w:r>
        <w:rPr>
          <w:i/>
        </w:rPr>
        <w:t>9</w:t>
      </w:r>
      <w:r w:rsidRPr="00AA5533">
        <w:rPr>
          <w:i/>
        </w:rPr>
        <w:t>5,000</w:t>
      </w:r>
    </w:p>
    <w:p w14:paraId="1BCD5EA7" w14:textId="098D65C5" w:rsidR="00AA5533" w:rsidRPr="00AA5533" w:rsidRDefault="00AA5533" w:rsidP="00AA5533">
      <w:pPr>
        <w:pStyle w:val="FooterTableFigure"/>
        <w:rPr>
          <w:i/>
        </w:rPr>
      </w:pPr>
      <w:r w:rsidRPr="00AA5533">
        <w:rPr>
          <w:i/>
          <w:vertAlign w:val="superscript"/>
        </w:rPr>
        <w:t>5</w:t>
      </w:r>
      <w:r w:rsidRPr="00AA5533">
        <w:rPr>
          <w:i/>
        </w:rPr>
        <w:t xml:space="preserve"> $</w:t>
      </w:r>
      <w:r>
        <w:rPr>
          <w:i/>
        </w:rPr>
        <w:t>5</w:t>
      </w:r>
      <w:r w:rsidRPr="00AA5533">
        <w:rPr>
          <w:i/>
        </w:rPr>
        <w:t>5,000 to &lt; $</w:t>
      </w:r>
      <w:r>
        <w:rPr>
          <w:i/>
        </w:rPr>
        <w:t>7</w:t>
      </w:r>
      <w:r w:rsidRPr="00AA5533">
        <w:rPr>
          <w:i/>
        </w:rPr>
        <w:t>5,000</w:t>
      </w:r>
    </w:p>
    <w:p w14:paraId="3C3B6A58" w14:textId="07D25EC5" w:rsidR="002C0784" w:rsidRPr="00482A36" w:rsidRDefault="002C0784" w:rsidP="002C0784">
      <w:pPr>
        <w:pStyle w:val="3-BodyText"/>
      </w:pPr>
      <w:r w:rsidRPr="00482A36">
        <w:t xml:space="preserve">A summary of the results of the stepped economic evaluation is presented in </w:t>
      </w:r>
      <w:r w:rsidRPr="00482A36">
        <w:fldChar w:fldCharType="begin"/>
      </w:r>
      <w:r w:rsidRPr="00482A36">
        <w:instrText xml:space="preserve"> REF _Ref165546251 \h </w:instrText>
      </w:r>
      <w:r w:rsidRPr="00482A36">
        <w:fldChar w:fldCharType="separate"/>
      </w:r>
      <w:r w:rsidR="003E4FD0" w:rsidRPr="00482A36">
        <w:t xml:space="preserve">Table </w:t>
      </w:r>
      <w:r w:rsidR="003E4FD0">
        <w:rPr>
          <w:noProof/>
        </w:rPr>
        <w:t>13</w:t>
      </w:r>
      <w:r w:rsidRPr="00482A36">
        <w:fldChar w:fldCharType="end"/>
      </w:r>
      <w:r w:rsidRPr="00482A36">
        <w:t xml:space="preserve">. </w:t>
      </w:r>
      <w:r w:rsidR="00B134C3" w:rsidRPr="00616367">
        <w:rPr>
          <w:iCs/>
        </w:rPr>
        <w:t>Around 93.5% of QALYs were estimated to be accumulated in the extrapolated period.</w:t>
      </w:r>
      <w:r w:rsidR="00B134C3">
        <w:t xml:space="preserve"> </w:t>
      </w:r>
      <w:r w:rsidRPr="00616367">
        <w:rPr>
          <w:iCs/>
        </w:rPr>
        <w:t>The steps involved in the stepped economic evaluation were not sufficiently documented</w:t>
      </w:r>
      <w:r w:rsidR="00047CA7" w:rsidRPr="00616367">
        <w:rPr>
          <w:iCs/>
        </w:rPr>
        <w:t xml:space="preserve"> by the submission</w:t>
      </w:r>
      <w:r w:rsidRPr="00616367">
        <w:rPr>
          <w:iCs/>
        </w:rPr>
        <w:t xml:space="preserve"> to enable accurate verification of the results of </w:t>
      </w:r>
      <w:r w:rsidR="00C644ED" w:rsidRPr="00616367">
        <w:rPr>
          <w:iCs/>
        </w:rPr>
        <w:t xml:space="preserve">each step (except </w:t>
      </w:r>
      <w:r w:rsidRPr="00616367">
        <w:rPr>
          <w:iCs/>
        </w:rPr>
        <w:t>Step 1 and the</w:t>
      </w:r>
      <w:r w:rsidR="00C644ED" w:rsidRPr="00616367">
        <w:rPr>
          <w:iCs/>
        </w:rPr>
        <w:t xml:space="preserve"> base case</w:t>
      </w:r>
      <w:r w:rsidRPr="00616367">
        <w:rPr>
          <w:iCs/>
        </w:rPr>
        <w:t xml:space="preserve">). The EXCEL spreadsheet provided by </w:t>
      </w:r>
      <w:r w:rsidR="00803146" w:rsidRPr="00616367">
        <w:rPr>
          <w:iCs/>
        </w:rPr>
        <w:t xml:space="preserve">the </w:t>
      </w:r>
      <w:r w:rsidRPr="00616367">
        <w:rPr>
          <w:iCs/>
        </w:rPr>
        <w:t xml:space="preserve">sponsor during the evaluation </w:t>
      </w:r>
      <w:r w:rsidR="00803146" w:rsidRPr="00616367">
        <w:rPr>
          <w:iCs/>
        </w:rPr>
        <w:t xml:space="preserve">also </w:t>
      </w:r>
      <w:r w:rsidRPr="00616367">
        <w:rPr>
          <w:iCs/>
        </w:rPr>
        <w:t>did not link Step</w:t>
      </w:r>
      <w:r w:rsidR="00C644ED" w:rsidRPr="00616367">
        <w:rPr>
          <w:iCs/>
        </w:rPr>
        <w:t>s</w:t>
      </w:r>
      <w:r w:rsidRPr="00616367">
        <w:rPr>
          <w:iCs/>
        </w:rPr>
        <w:t xml:space="preserve"> 2 to</w:t>
      </w:r>
      <w:r w:rsidR="00E77E02">
        <w:rPr>
          <w:iCs/>
        </w:rPr>
        <w:t xml:space="preserve"> </w:t>
      </w:r>
      <w:r w:rsidRPr="00616367">
        <w:rPr>
          <w:iCs/>
        </w:rPr>
        <w:t>7</w:t>
      </w:r>
      <w:r w:rsidR="00C644ED" w:rsidRPr="00616367">
        <w:rPr>
          <w:iCs/>
        </w:rPr>
        <w:t xml:space="preserve"> to help verify the </w:t>
      </w:r>
      <w:r w:rsidR="003634B0" w:rsidRPr="00616367">
        <w:rPr>
          <w:iCs/>
        </w:rPr>
        <w:t>in</w:t>
      </w:r>
      <w:r w:rsidR="003634B0">
        <w:rPr>
          <w:iCs/>
        </w:rPr>
        <w:noBreakHyphen/>
      </w:r>
      <w:r w:rsidR="00C644ED" w:rsidRPr="00616367">
        <w:rPr>
          <w:iCs/>
        </w:rPr>
        <w:t>between steps</w:t>
      </w:r>
      <w:r w:rsidRPr="00616367">
        <w:rPr>
          <w:iCs/>
        </w:rPr>
        <w:t xml:space="preserve">. </w:t>
      </w:r>
      <w:r w:rsidR="00E77E02" w:rsidRPr="00FD5102">
        <w:t>The ESC noted that the PSCR did not address this issue.</w:t>
      </w:r>
    </w:p>
    <w:p w14:paraId="4E6B733B" w14:textId="01F2650D" w:rsidR="002C0784" w:rsidRPr="00482A36" w:rsidRDefault="002C0784" w:rsidP="00E159E4">
      <w:pPr>
        <w:pStyle w:val="Caption"/>
        <w:jc w:val="left"/>
        <w:rPr>
          <w:rStyle w:val="CommentReference"/>
          <w:b/>
          <w:szCs w:val="18"/>
        </w:rPr>
      </w:pPr>
      <w:bookmarkStart w:id="68" w:name="_Ref165546251"/>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13</w:t>
      </w:r>
      <w:r w:rsidR="00747D8C">
        <w:rPr>
          <w:noProof/>
        </w:rPr>
        <w:fldChar w:fldCharType="end"/>
      </w:r>
      <w:bookmarkEnd w:id="68"/>
      <w:r w:rsidRPr="00482A36">
        <w:rPr>
          <w:rStyle w:val="CommentReference"/>
          <w:b/>
          <w:szCs w:val="24"/>
        </w:rPr>
        <w:t>: Results of the stepped economic evaluation</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793"/>
        <w:gridCol w:w="2450"/>
        <w:gridCol w:w="2298"/>
        <w:gridCol w:w="1508"/>
      </w:tblGrid>
      <w:tr w:rsidR="002C0784" w:rsidRPr="00482A36" w14:paraId="4444AE54" w14:textId="77777777">
        <w:trPr>
          <w:tblHeader/>
        </w:trPr>
        <w:tc>
          <w:tcPr>
            <w:tcW w:w="1543" w:type="pct"/>
            <w:vAlign w:val="center"/>
          </w:tcPr>
          <w:p w14:paraId="0B30804B" w14:textId="77777777" w:rsidR="002C0784" w:rsidRPr="00482A36" w:rsidRDefault="002C0784" w:rsidP="00E159E4">
            <w:pPr>
              <w:pStyle w:val="In-tableHeading"/>
              <w:rPr>
                <w:lang w:val="en-AU"/>
              </w:rPr>
            </w:pPr>
            <w:r w:rsidRPr="00482A36">
              <w:rPr>
                <w:lang w:val="en-AU"/>
              </w:rPr>
              <w:t>Step and component</w:t>
            </w:r>
          </w:p>
        </w:tc>
        <w:tc>
          <w:tcPr>
            <w:tcW w:w="1354" w:type="pct"/>
            <w:vAlign w:val="center"/>
          </w:tcPr>
          <w:p w14:paraId="5EB67943" w14:textId="77777777" w:rsidR="002C0784" w:rsidRPr="00482A36" w:rsidRDefault="002C0784" w:rsidP="00E159E4">
            <w:pPr>
              <w:pStyle w:val="In-tableHeading"/>
              <w:jc w:val="center"/>
              <w:rPr>
                <w:lang w:val="en-AU"/>
              </w:rPr>
            </w:pPr>
            <w:r w:rsidRPr="00482A36">
              <w:rPr>
                <w:lang w:val="en-AU"/>
              </w:rPr>
              <w:t>LGX</w:t>
            </w:r>
          </w:p>
        </w:tc>
        <w:tc>
          <w:tcPr>
            <w:tcW w:w="1270" w:type="pct"/>
            <w:vAlign w:val="center"/>
          </w:tcPr>
          <w:p w14:paraId="1956EC23" w14:textId="77777777" w:rsidR="002C0784" w:rsidRPr="00482A36" w:rsidRDefault="002C0784" w:rsidP="00E159E4">
            <w:pPr>
              <w:pStyle w:val="In-tableHeading"/>
              <w:jc w:val="center"/>
              <w:rPr>
                <w:lang w:val="en-AU"/>
              </w:rPr>
            </w:pPr>
            <w:r w:rsidRPr="00482A36">
              <w:rPr>
                <w:lang w:val="en-AU"/>
              </w:rPr>
              <w:t>BSC</w:t>
            </w:r>
          </w:p>
        </w:tc>
        <w:tc>
          <w:tcPr>
            <w:tcW w:w="833" w:type="pct"/>
            <w:vAlign w:val="center"/>
          </w:tcPr>
          <w:p w14:paraId="36ADCAAA" w14:textId="77777777" w:rsidR="002C0784" w:rsidRPr="00482A36" w:rsidRDefault="002C0784" w:rsidP="00E159E4">
            <w:pPr>
              <w:pStyle w:val="In-tableHeading"/>
              <w:jc w:val="center"/>
              <w:rPr>
                <w:lang w:val="en-AU"/>
              </w:rPr>
            </w:pPr>
            <w:r w:rsidRPr="00482A36">
              <w:rPr>
                <w:lang w:val="en-AU"/>
              </w:rPr>
              <w:t>Increment</w:t>
            </w:r>
          </w:p>
        </w:tc>
      </w:tr>
      <w:tr w:rsidR="002C0784" w:rsidRPr="00482A36" w14:paraId="5B51F79B" w14:textId="77777777">
        <w:tc>
          <w:tcPr>
            <w:tcW w:w="5000" w:type="pct"/>
            <w:gridSpan w:val="4"/>
            <w:vAlign w:val="center"/>
          </w:tcPr>
          <w:p w14:paraId="19E0ACCD" w14:textId="77777777" w:rsidR="002C0784" w:rsidRPr="00482A36" w:rsidRDefault="002C0784" w:rsidP="00E159E4">
            <w:pPr>
              <w:pStyle w:val="TableText0"/>
            </w:pPr>
            <w:r w:rsidRPr="00482A36">
              <w:rPr>
                <w:b/>
                <w:bCs w:val="0"/>
              </w:rPr>
              <w:t>Step 1: Trial-based (p</w:t>
            </w:r>
            <w:r w:rsidRPr="00482A36">
              <w:rPr>
                <w:b/>
              </w:rPr>
              <w:t xml:space="preserve">ooled PRIMROSE 1 and 2) </w:t>
            </w:r>
            <w:r w:rsidRPr="00482A36">
              <w:rPr>
                <w:b/>
                <w:bCs w:val="0"/>
              </w:rPr>
              <w:t>analysis: incremental cost per additional patient with remission, time horizon of 24 weeks. Including drug costs of LGX only (excluding ABT)</w:t>
            </w:r>
          </w:p>
        </w:tc>
      </w:tr>
      <w:tr w:rsidR="002C0784" w:rsidRPr="00482A36" w14:paraId="60B99832" w14:textId="77777777">
        <w:tc>
          <w:tcPr>
            <w:tcW w:w="1543" w:type="pct"/>
            <w:vAlign w:val="center"/>
          </w:tcPr>
          <w:p w14:paraId="7294EBEB" w14:textId="77777777" w:rsidR="002C0784" w:rsidRPr="00482A36" w:rsidRDefault="002C0784" w:rsidP="00E159E4">
            <w:pPr>
              <w:pStyle w:val="TableText0"/>
              <w:rPr>
                <w:rFonts w:ascii="Times" w:hAnsi="Times"/>
              </w:rPr>
            </w:pPr>
            <w:r w:rsidRPr="00482A36">
              <w:t>Costs</w:t>
            </w:r>
          </w:p>
        </w:tc>
        <w:tc>
          <w:tcPr>
            <w:tcW w:w="1354" w:type="pct"/>
            <w:vAlign w:val="center"/>
          </w:tcPr>
          <w:p w14:paraId="562B84D0" w14:textId="7F4E5743" w:rsidR="002C0784" w:rsidRPr="00482A36" w:rsidRDefault="002C0784" w:rsidP="00E159E4">
            <w:pPr>
              <w:pStyle w:val="TableText0"/>
              <w:jc w:val="center"/>
              <w:rPr>
                <w:rFonts w:ascii="Times" w:hAnsi="Times"/>
              </w:rPr>
            </w:pPr>
            <w:r w:rsidRPr="00482A36">
              <w:t>$</w:t>
            </w:r>
            <w:r w:rsidR="00474E21" w:rsidRPr="00474E21">
              <w:rPr>
                <w:color w:val="000000"/>
                <w:shd w:val="solid" w:color="000000" w:fill="000000"/>
                <w14:textFill>
                  <w14:solidFill>
                    <w14:srgbClr w14:val="000000">
                      <w14:alpha w14:val="100000"/>
                    </w14:srgbClr>
                  </w14:solidFill>
                </w14:textFill>
              </w:rPr>
              <w:t>|</w:t>
            </w:r>
          </w:p>
        </w:tc>
        <w:tc>
          <w:tcPr>
            <w:tcW w:w="1270" w:type="pct"/>
            <w:vAlign w:val="center"/>
          </w:tcPr>
          <w:p w14:paraId="5E9315DF" w14:textId="77777777" w:rsidR="002C0784" w:rsidRPr="00482A36" w:rsidRDefault="002C0784" w:rsidP="00E159E4">
            <w:pPr>
              <w:pStyle w:val="TableText0"/>
              <w:jc w:val="center"/>
              <w:rPr>
                <w:rFonts w:ascii="Times" w:hAnsi="Times"/>
              </w:rPr>
            </w:pPr>
            <w:r w:rsidRPr="00482A36">
              <w:t>$0</w:t>
            </w:r>
          </w:p>
        </w:tc>
        <w:tc>
          <w:tcPr>
            <w:tcW w:w="833" w:type="pct"/>
            <w:vAlign w:val="center"/>
          </w:tcPr>
          <w:p w14:paraId="4BBB04F2" w14:textId="73BA3ACD" w:rsidR="002C0784" w:rsidRPr="00482A36" w:rsidRDefault="002C0784" w:rsidP="00E159E4">
            <w:pPr>
              <w:pStyle w:val="TableText0"/>
              <w:jc w:val="center"/>
              <w:rPr>
                <w:rFonts w:ascii="Times" w:hAnsi="Times"/>
              </w:rP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14BA1AB6" w14:textId="77777777">
        <w:tc>
          <w:tcPr>
            <w:tcW w:w="1543" w:type="pct"/>
            <w:vAlign w:val="center"/>
          </w:tcPr>
          <w:p w14:paraId="4B109FAA" w14:textId="77777777" w:rsidR="002C0784" w:rsidRPr="00482A36" w:rsidRDefault="002C0784" w:rsidP="00E159E4">
            <w:pPr>
              <w:pStyle w:val="TableText0"/>
              <w:rPr>
                <w:rFonts w:ascii="Times" w:hAnsi="Times"/>
              </w:rPr>
            </w:pPr>
            <w:r w:rsidRPr="00482A36">
              <w:t>Patients with remission</w:t>
            </w:r>
          </w:p>
        </w:tc>
        <w:tc>
          <w:tcPr>
            <w:tcW w:w="1354" w:type="pct"/>
            <w:vAlign w:val="center"/>
          </w:tcPr>
          <w:p w14:paraId="57CA0D01" w14:textId="77777777" w:rsidR="002C0784" w:rsidRPr="00482A36" w:rsidRDefault="002C0784" w:rsidP="00E159E4">
            <w:pPr>
              <w:pStyle w:val="TableText0"/>
              <w:jc w:val="center"/>
            </w:pPr>
            <w:r w:rsidRPr="00482A36">
              <w:t>0.845</w:t>
            </w:r>
          </w:p>
        </w:tc>
        <w:tc>
          <w:tcPr>
            <w:tcW w:w="1270" w:type="pct"/>
            <w:vAlign w:val="center"/>
          </w:tcPr>
          <w:p w14:paraId="7D61CDCE" w14:textId="77777777" w:rsidR="002C0784" w:rsidRPr="00482A36" w:rsidRDefault="002C0784" w:rsidP="00E159E4">
            <w:pPr>
              <w:pStyle w:val="TableText0"/>
              <w:jc w:val="center"/>
            </w:pPr>
            <w:r w:rsidRPr="00482A36">
              <w:t>0.322</w:t>
            </w:r>
          </w:p>
        </w:tc>
        <w:tc>
          <w:tcPr>
            <w:tcW w:w="833" w:type="pct"/>
            <w:vAlign w:val="center"/>
          </w:tcPr>
          <w:p w14:paraId="2C214E00" w14:textId="77777777" w:rsidR="002C0784" w:rsidRPr="00482A36" w:rsidRDefault="002C0784" w:rsidP="00E159E4">
            <w:pPr>
              <w:pStyle w:val="TableText0"/>
              <w:jc w:val="center"/>
            </w:pPr>
            <w:r w:rsidRPr="00482A36">
              <w:t>0.523</w:t>
            </w:r>
          </w:p>
        </w:tc>
      </w:tr>
      <w:tr w:rsidR="002C0784" w:rsidRPr="00482A36" w14:paraId="1354C99F" w14:textId="77777777">
        <w:tc>
          <w:tcPr>
            <w:tcW w:w="4167" w:type="pct"/>
            <w:gridSpan w:val="3"/>
            <w:vAlign w:val="center"/>
          </w:tcPr>
          <w:p w14:paraId="429F813F" w14:textId="77777777" w:rsidR="002C0784" w:rsidRPr="00482A36" w:rsidRDefault="002C0784" w:rsidP="00E159E4">
            <w:pPr>
              <w:pStyle w:val="TableText0"/>
              <w:rPr>
                <w:rFonts w:ascii="Times" w:hAnsi="Times"/>
              </w:rPr>
            </w:pPr>
            <w:r w:rsidRPr="00482A36">
              <w:t>Incremental cost/extra patient with remission</w:t>
            </w:r>
          </w:p>
        </w:tc>
        <w:tc>
          <w:tcPr>
            <w:tcW w:w="833" w:type="pct"/>
            <w:vAlign w:val="center"/>
          </w:tcPr>
          <w:p w14:paraId="7C2E3283" w14:textId="5B43C0C1" w:rsidR="002C0784" w:rsidRPr="00AA5533" w:rsidRDefault="002C0784" w:rsidP="00E159E4">
            <w:pPr>
              <w:pStyle w:val="TableText0"/>
              <w:jc w:val="center"/>
              <w:rPr>
                <w:rFonts w:ascii="Times" w:hAnsi="Times"/>
                <w:vertAlign w:val="superscript"/>
              </w:rPr>
            </w:pPr>
            <w:r w:rsidRPr="00482A36">
              <w:t>$</w:t>
            </w:r>
            <w:r w:rsidR="00474E21" w:rsidRPr="00474E21">
              <w:rPr>
                <w:color w:val="000000"/>
                <w:shd w:val="solid" w:color="000000" w:fill="000000"/>
                <w14:textFill>
                  <w14:solidFill>
                    <w14:srgbClr w14:val="000000">
                      <w14:alpha w14:val="100000"/>
                    </w14:srgbClr>
                  </w14:solidFill>
                </w14:textFill>
              </w:rPr>
              <w:t>|</w:t>
            </w:r>
            <w:r w:rsidR="00AA5533" w:rsidRPr="00AA5533">
              <w:rPr>
                <w:vertAlign w:val="superscript"/>
              </w:rPr>
              <w:t>1</w:t>
            </w:r>
          </w:p>
        </w:tc>
      </w:tr>
      <w:tr w:rsidR="002C0784" w:rsidRPr="00482A36" w14:paraId="235E2F2D" w14:textId="77777777">
        <w:tc>
          <w:tcPr>
            <w:tcW w:w="5000" w:type="pct"/>
            <w:gridSpan w:val="4"/>
            <w:vAlign w:val="center"/>
          </w:tcPr>
          <w:p w14:paraId="36C7A052" w14:textId="4B04DD4F" w:rsidR="002C0784" w:rsidRPr="00CA2C61" w:rsidRDefault="002C0784" w:rsidP="00E159E4">
            <w:pPr>
              <w:pStyle w:val="In-tableHeading"/>
              <w:rPr>
                <w:rFonts w:cstheme="majorBidi"/>
                <w:vertAlign w:val="superscript"/>
                <w:lang w:val="en-AU"/>
              </w:rPr>
            </w:pPr>
            <w:r w:rsidRPr="00482A36">
              <w:rPr>
                <w:rFonts w:cstheme="majorBidi"/>
                <w:lang w:val="en-AU"/>
              </w:rPr>
              <w:t>Step 2: Modelled analysis: as per Step 1 and using a pooled treatment effect across the trials</w:t>
            </w:r>
            <w:r w:rsidR="00CA2C61">
              <w:rPr>
                <w:rFonts w:cstheme="majorBidi"/>
                <w:vertAlign w:val="superscript"/>
                <w:lang w:val="en-AU"/>
              </w:rPr>
              <w:t>a</w:t>
            </w:r>
          </w:p>
        </w:tc>
      </w:tr>
      <w:tr w:rsidR="002C0784" w:rsidRPr="00482A36" w14:paraId="78AB73BE" w14:textId="77777777">
        <w:tc>
          <w:tcPr>
            <w:tcW w:w="1543" w:type="pct"/>
            <w:vAlign w:val="center"/>
          </w:tcPr>
          <w:p w14:paraId="6F448C77" w14:textId="77777777" w:rsidR="002C0784" w:rsidRPr="00482A36" w:rsidRDefault="002C0784" w:rsidP="00E159E4">
            <w:pPr>
              <w:pStyle w:val="TableText0"/>
            </w:pPr>
            <w:r w:rsidRPr="00482A36">
              <w:t>Costs</w:t>
            </w:r>
          </w:p>
        </w:tc>
        <w:tc>
          <w:tcPr>
            <w:tcW w:w="1354" w:type="pct"/>
            <w:vAlign w:val="center"/>
          </w:tcPr>
          <w:p w14:paraId="33CD9722" w14:textId="77777777" w:rsidR="002C0784" w:rsidRPr="00482A36" w:rsidRDefault="002C0784" w:rsidP="00E159E4">
            <w:pPr>
              <w:pStyle w:val="TableText0"/>
              <w:jc w:val="center"/>
            </w:pPr>
            <w:r w:rsidRPr="00482A36">
              <w:t>NR</w:t>
            </w:r>
          </w:p>
        </w:tc>
        <w:tc>
          <w:tcPr>
            <w:tcW w:w="1270" w:type="pct"/>
            <w:vAlign w:val="center"/>
          </w:tcPr>
          <w:p w14:paraId="712BCE63" w14:textId="77777777" w:rsidR="002C0784" w:rsidRPr="00482A36" w:rsidRDefault="002C0784" w:rsidP="00E159E4">
            <w:pPr>
              <w:pStyle w:val="TableText0"/>
              <w:jc w:val="center"/>
            </w:pPr>
            <w:r w:rsidRPr="00482A36">
              <w:t>NR</w:t>
            </w:r>
          </w:p>
        </w:tc>
        <w:tc>
          <w:tcPr>
            <w:tcW w:w="833" w:type="pct"/>
            <w:vAlign w:val="center"/>
          </w:tcPr>
          <w:p w14:paraId="3899A067" w14:textId="3433790B" w:rsidR="002C0784" w:rsidRPr="00482A36" w:rsidRDefault="002C0784" w:rsidP="00E159E4">
            <w:pPr>
              <w:pStyle w:val="TableText0"/>
              <w:jc w:val="cente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60BA1669" w14:textId="77777777">
        <w:tc>
          <w:tcPr>
            <w:tcW w:w="1543" w:type="pct"/>
            <w:vAlign w:val="center"/>
          </w:tcPr>
          <w:p w14:paraId="6484488A" w14:textId="77777777" w:rsidR="002C0784" w:rsidRPr="00482A36" w:rsidRDefault="002C0784" w:rsidP="00E159E4">
            <w:pPr>
              <w:pStyle w:val="TableText0"/>
            </w:pPr>
            <w:r w:rsidRPr="00482A36">
              <w:t>Patients with remission</w:t>
            </w:r>
          </w:p>
        </w:tc>
        <w:tc>
          <w:tcPr>
            <w:tcW w:w="1354" w:type="pct"/>
            <w:vAlign w:val="center"/>
          </w:tcPr>
          <w:p w14:paraId="41DFD489" w14:textId="77777777" w:rsidR="002C0784" w:rsidRPr="00482A36" w:rsidRDefault="002C0784" w:rsidP="00E159E4">
            <w:pPr>
              <w:pStyle w:val="TableText0"/>
              <w:jc w:val="center"/>
              <w:rPr>
                <w:rFonts w:cstheme="minorHAnsi"/>
                <w:szCs w:val="20"/>
              </w:rPr>
            </w:pPr>
            <w:r w:rsidRPr="00482A36">
              <w:rPr>
                <w:rFonts w:cstheme="minorHAnsi"/>
                <w:szCs w:val="20"/>
              </w:rPr>
              <w:t>0.8139</w:t>
            </w:r>
          </w:p>
        </w:tc>
        <w:tc>
          <w:tcPr>
            <w:tcW w:w="1270" w:type="pct"/>
            <w:vAlign w:val="center"/>
          </w:tcPr>
          <w:p w14:paraId="42E97605" w14:textId="77777777" w:rsidR="002C0784" w:rsidRPr="00482A36" w:rsidRDefault="002C0784" w:rsidP="00E159E4">
            <w:pPr>
              <w:pStyle w:val="TableText0"/>
              <w:jc w:val="center"/>
              <w:rPr>
                <w:szCs w:val="20"/>
              </w:rPr>
            </w:pPr>
            <w:r w:rsidRPr="00482A36">
              <w:rPr>
                <w:szCs w:val="20"/>
              </w:rPr>
              <w:t>0.2958</w:t>
            </w:r>
          </w:p>
        </w:tc>
        <w:tc>
          <w:tcPr>
            <w:tcW w:w="833" w:type="pct"/>
            <w:vAlign w:val="center"/>
          </w:tcPr>
          <w:p w14:paraId="11616706" w14:textId="77777777" w:rsidR="002C0784" w:rsidRPr="00482A36" w:rsidRDefault="002C0784" w:rsidP="00E159E4">
            <w:pPr>
              <w:pStyle w:val="TableText0"/>
              <w:jc w:val="center"/>
            </w:pPr>
            <w:r w:rsidRPr="00482A36">
              <w:t>0.5181</w:t>
            </w:r>
          </w:p>
        </w:tc>
      </w:tr>
      <w:tr w:rsidR="002C0784" w:rsidRPr="00482A36" w14:paraId="5190D2F0" w14:textId="77777777">
        <w:tc>
          <w:tcPr>
            <w:tcW w:w="4167" w:type="pct"/>
            <w:gridSpan w:val="3"/>
            <w:vAlign w:val="center"/>
          </w:tcPr>
          <w:p w14:paraId="5DFAB40D" w14:textId="77777777" w:rsidR="002C0784" w:rsidRPr="00482A36" w:rsidRDefault="002C0784" w:rsidP="00E159E4">
            <w:pPr>
              <w:pStyle w:val="TableText0"/>
            </w:pPr>
            <w:r w:rsidRPr="00482A36">
              <w:t>Incremental cost/extra patient with remission</w:t>
            </w:r>
          </w:p>
        </w:tc>
        <w:tc>
          <w:tcPr>
            <w:tcW w:w="833" w:type="pct"/>
            <w:vAlign w:val="center"/>
          </w:tcPr>
          <w:p w14:paraId="75DA44DD" w14:textId="13186A3C" w:rsidR="002C0784" w:rsidRPr="00AA5533" w:rsidRDefault="002C0784" w:rsidP="00E159E4">
            <w:pPr>
              <w:pStyle w:val="TableText0"/>
              <w:jc w:val="center"/>
              <w:rPr>
                <w:vertAlign w:val="superscript"/>
              </w:rPr>
            </w:pPr>
            <w:r w:rsidRPr="00482A36">
              <w:t>$</w:t>
            </w:r>
            <w:r w:rsidR="00474E21" w:rsidRPr="00474E21">
              <w:rPr>
                <w:color w:val="000000"/>
                <w:shd w:val="solid" w:color="000000" w:fill="000000"/>
                <w14:textFill>
                  <w14:solidFill>
                    <w14:srgbClr w14:val="000000">
                      <w14:alpha w14:val="100000"/>
                    </w14:srgbClr>
                  </w14:solidFill>
                </w14:textFill>
              </w:rPr>
              <w:t>|</w:t>
            </w:r>
            <w:r w:rsidR="00AA5533">
              <w:rPr>
                <w:vertAlign w:val="superscript"/>
              </w:rPr>
              <w:t>1</w:t>
            </w:r>
          </w:p>
        </w:tc>
      </w:tr>
      <w:tr w:rsidR="002C0784" w:rsidRPr="00482A36" w14:paraId="5DDC753B" w14:textId="77777777">
        <w:tc>
          <w:tcPr>
            <w:tcW w:w="5000" w:type="pct"/>
            <w:gridSpan w:val="4"/>
            <w:vAlign w:val="center"/>
          </w:tcPr>
          <w:p w14:paraId="3BF91662" w14:textId="37EF26FF" w:rsidR="002C0784" w:rsidRPr="00482A36" w:rsidRDefault="002C0784" w:rsidP="00E159E4">
            <w:pPr>
              <w:pStyle w:val="In-tableHeading"/>
              <w:rPr>
                <w:lang w:val="en-AU"/>
              </w:rPr>
            </w:pPr>
            <w:r w:rsidRPr="00482A36">
              <w:rPr>
                <w:lang w:val="en-AU"/>
              </w:rPr>
              <w:t>Step 3: including costs of ABT</w:t>
            </w:r>
            <w:r w:rsidR="0094432F">
              <w:rPr>
                <w:rFonts w:cstheme="majorBidi"/>
                <w:vertAlign w:val="superscript"/>
                <w:lang w:val="en-AU"/>
              </w:rPr>
              <w:t xml:space="preserve"> a</w:t>
            </w:r>
          </w:p>
        </w:tc>
      </w:tr>
      <w:tr w:rsidR="002C0784" w:rsidRPr="00482A36" w14:paraId="19488602" w14:textId="77777777">
        <w:tc>
          <w:tcPr>
            <w:tcW w:w="1543" w:type="pct"/>
            <w:vAlign w:val="center"/>
          </w:tcPr>
          <w:p w14:paraId="6D8A4B25" w14:textId="77777777" w:rsidR="002C0784" w:rsidRPr="00482A36" w:rsidRDefault="002C0784" w:rsidP="00E159E4">
            <w:pPr>
              <w:pStyle w:val="TableText0"/>
              <w:rPr>
                <w:rFonts w:ascii="Times" w:hAnsi="Times"/>
              </w:rPr>
            </w:pPr>
            <w:r w:rsidRPr="00482A36">
              <w:t>Costs</w:t>
            </w:r>
          </w:p>
        </w:tc>
        <w:tc>
          <w:tcPr>
            <w:tcW w:w="1354" w:type="pct"/>
            <w:vAlign w:val="center"/>
          </w:tcPr>
          <w:p w14:paraId="6D71CE2A" w14:textId="77777777" w:rsidR="002C0784" w:rsidRPr="00482A36" w:rsidRDefault="002C0784" w:rsidP="00E159E4">
            <w:pPr>
              <w:pStyle w:val="TableText0"/>
              <w:jc w:val="center"/>
              <w:rPr>
                <w:rFonts w:ascii="Times" w:hAnsi="Times"/>
              </w:rPr>
            </w:pPr>
            <w:r w:rsidRPr="00482A36">
              <w:t>NR</w:t>
            </w:r>
          </w:p>
        </w:tc>
        <w:tc>
          <w:tcPr>
            <w:tcW w:w="1270" w:type="pct"/>
            <w:vAlign w:val="center"/>
          </w:tcPr>
          <w:p w14:paraId="41FF07AF" w14:textId="77777777" w:rsidR="002C0784" w:rsidRPr="00482A36" w:rsidRDefault="002C0784" w:rsidP="00E159E4">
            <w:pPr>
              <w:pStyle w:val="TableText0"/>
              <w:jc w:val="center"/>
              <w:rPr>
                <w:rFonts w:ascii="Times" w:hAnsi="Times"/>
              </w:rPr>
            </w:pPr>
            <w:r w:rsidRPr="00482A36">
              <w:t>NR</w:t>
            </w:r>
          </w:p>
        </w:tc>
        <w:tc>
          <w:tcPr>
            <w:tcW w:w="833" w:type="pct"/>
            <w:vAlign w:val="center"/>
          </w:tcPr>
          <w:p w14:paraId="6FD6AA19" w14:textId="5862143E" w:rsidR="002C0784" w:rsidRPr="00482A36" w:rsidRDefault="002C0784" w:rsidP="00E159E4">
            <w:pPr>
              <w:pStyle w:val="TableText0"/>
              <w:jc w:val="center"/>
              <w:rPr>
                <w:rFonts w:ascii="Times" w:hAnsi="Times"/>
              </w:rP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4B77676E" w14:textId="77777777">
        <w:tc>
          <w:tcPr>
            <w:tcW w:w="1543" w:type="pct"/>
            <w:vAlign w:val="center"/>
          </w:tcPr>
          <w:p w14:paraId="0E49B732" w14:textId="77777777" w:rsidR="002C0784" w:rsidRPr="00482A36" w:rsidRDefault="002C0784" w:rsidP="00E159E4">
            <w:pPr>
              <w:pStyle w:val="TableText0"/>
              <w:rPr>
                <w:rFonts w:ascii="Times" w:hAnsi="Times"/>
              </w:rPr>
            </w:pPr>
            <w:r w:rsidRPr="00482A36">
              <w:t>Patients with remission</w:t>
            </w:r>
          </w:p>
        </w:tc>
        <w:tc>
          <w:tcPr>
            <w:tcW w:w="1354" w:type="pct"/>
            <w:vAlign w:val="center"/>
          </w:tcPr>
          <w:p w14:paraId="3D05C30B" w14:textId="77777777" w:rsidR="002C0784" w:rsidRPr="00482A36" w:rsidRDefault="002C0784" w:rsidP="00E159E4">
            <w:pPr>
              <w:pStyle w:val="TableText0"/>
              <w:jc w:val="center"/>
              <w:rPr>
                <w:rFonts w:ascii="Times" w:hAnsi="Times"/>
              </w:rPr>
            </w:pPr>
            <w:r w:rsidRPr="00482A36">
              <w:rPr>
                <w:rFonts w:cstheme="minorHAnsi"/>
                <w:szCs w:val="20"/>
              </w:rPr>
              <w:t>0.8139</w:t>
            </w:r>
          </w:p>
        </w:tc>
        <w:tc>
          <w:tcPr>
            <w:tcW w:w="1270" w:type="pct"/>
            <w:vAlign w:val="center"/>
          </w:tcPr>
          <w:p w14:paraId="21185A95" w14:textId="77777777" w:rsidR="002C0784" w:rsidRPr="00482A36" w:rsidRDefault="002C0784" w:rsidP="00E159E4">
            <w:pPr>
              <w:pStyle w:val="TableText0"/>
              <w:jc w:val="center"/>
              <w:rPr>
                <w:rFonts w:ascii="Times" w:hAnsi="Times"/>
              </w:rPr>
            </w:pPr>
            <w:r w:rsidRPr="00482A36">
              <w:rPr>
                <w:rFonts w:cstheme="minorHAnsi"/>
                <w:szCs w:val="20"/>
              </w:rPr>
              <w:t>0.2958</w:t>
            </w:r>
          </w:p>
        </w:tc>
        <w:tc>
          <w:tcPr>
            <w:tcW w:w="833" w:type="pct"/>
            <w:vAlign w:val="center"/>
          </w:tcPr>
          <w:p w14:paraId="3E57DAF3" w14:textId="77777777" w:rsidR="002C0784" w:rsidRPr="00482A36" w:rsidRDefault="002C0784" w:rsidP="00E159E4">
            <w:pPr>
              <w:pStyle w:val="TableText0"/>
              <w:jc w:val="center"/>
            </w:pPr>
            <w:r w:rsidRPr="00482A36">
              <w:t>0.5181</w:t>
            </w:r>
          </w:p>
        </w:tc>
      </w:tr>
      <w:tr w:rsidR="002C0784" w:rsidRPr="00482A36" w14:paraId="60169271" w14:textId="77777777">
        <w:tc>
          <w:tcPr>
            <w:tcW w:w="4167" w:type="pct"/>
            <w:gridSpan w:val="3"/>
            <w:vAlign w:val="center"/>
          </w:tcPr>
          <w:p w14:paraId="3EC7C7EB" w14:textId="77777777" w:rsidR="002C0784" w:rsidRPr="00482A36" w:rsidRDefault="002C0784" w:rsidP="00E159E4">
            <w:pPr>
              <w:pStyle w:val="TableText0"/>
              <w:rPr>
                <w:rFonts w:ascii="Times" w:hAnsi="Times"/>
              </w:rPr>
            </w:pPr>
            <w:r w:rsidRPr="00482A36">
              <w:t>Incremental cost/extra patient with remission</w:t>
            </w:r>
          </w:p>
        </w:tc>
        <w:tc>
          <w:tcPr>
            <w:tcW w:w="833" w:type="pct"/>
            <w:vAlign w:val="center"/>
          </w:tcPr>
          <w:p w14:paraId="114D5DDD" w14:textId="674D012E" w:rsidR="002C0784" w:rsidRPr="00AA5533" w:rsidRDefault="002C0784" w:rsidP="00E159E4">
            <w:pPr>
              <w:pStyle w:val="TableText0"/>
              <w:jc w:val="center"/>
              <w:rPr>
                <w:rFonts w:ascii="Times" w:hAnsi="Times"/>
                <w:vertAlign w:val="superscript"/>
              </w:rPr>
            </w:pPr>
            <w:r w:rsidRPr="00482A36">
              <w:t>$</w:t>
            </w:r>
            <w:r w:rsidR="00474E21" w:rsidRPr="00474E21">
              <w:rPr>
                <w:color w:val="000000"/>
                <w:shd w:val="solid" w:color="000000" w:fill="000000"/>
                <w14:textFill>
                  <w14:solidFill>
                    <w14:srgbClr w14:val="000000">
                      <w14:alpha w14:val="100000"/>
                    </w14:srgbClr>
                  </w14:solidFill>
                </w14:textFill>
              </w:rPr>
              <w:t>|</w:t>
            </w:r>
            <w:r w:rsidR="00AA5533">
              <w:rPr>
                <w:vertAlign w:val="superscript"/>
              </w:rPr>
              <w:t>1</w:t>
            </w:r>
          </w:p>
        </w:tc>
      </w:tr>
      <w:tr w:rsidR="002C0784" w:rsidRPr="00482A36" w14:paraId="6DCB1D1D" w14:textId="77777777">
        <w:tc>
          <w:tcPr>
            <w:tcW w:w="5000" w:type="pct"/>
            <w:gridSpan w:val="4"/>
            <w:vAlign w:val="center"/>
          </w:tcPr>
          <w:p w14:paraId="5CFCEADE" w14:textId="62130031" w:rsidR="002C0784" w:rsidRPr="00482A36" w:rsidRDefault="002C0784" w:rsidP="00E159E4">
            <w:pPr>
              <w:pStyle w:val="In-tableHeading"/>
              <w:rPr>
                <w:lang w:val="en-AU"/>
              </w:rPr>
            </w:pPr>
            <w:r w:rsidRPr="00482A36">
              <w:rPr>
                <w:lang w:val="en-AU"/>
              </w:rPr>
              <w:t>Step 4: transformation to QALYs</w:t>
            </w:r>
            <w:r w:rsidR="0094432F">
              <w:rPr>
                <w:rFonts w:cstheme="majorBidi"/>
                <w:vertAlign w:val="superscript"/>
                <w:lang w:val="en-AU"/>
              </w:rPr>
              <w:t xml:space="preserve"> a</w:t>
            </w:r>
          </w:p>
        </w:tc>
      </w:tr>
      <w:tr w:rsidR="002C0784" w:rsidRPr="00482A36" w14:paraId="498D6224" w14:textId="77777777">
        <w:tc>
          <w:tcPr>
            <w:tcW w:w="1543" w:type="pct"/>
            <w:vAlign w:val="center"/>
          </w:tcPr>
          <w:p w14:paraId="2428D2E7" w14:textId="77777777" w:rsidR="002C0784" w:rsidRPr="00482A36" w:rsidRDefault="002C0784" w:rsidP="00E159E4">
            <w:pPr>
              <w:pStyle w:val="TableText0"/>
              <w:rPr>
                <w:rFonts w:ascii="Times" w:hAnsi="Times"/>
              </w:rPr>
            </w:pPr>
            <w:r w:rsidRPr="00482A36">
              <w:t>Costs</w:t>
            </w:r>
          </w:p>
        </w:tc>
        <w:tc>
          <w:tcPr>
            <w:tcW w:w="1354" w:type="pct"/>
            <w:vAlign w:val="center"/>
          </w:tcPr>
          <w:p w14:paraId="4D2FBB03" w14:textId="77777777" w:rsidR="002C0784" w:rsidRPr="00482A36" w:rsidRDefault="002C0784" w:rsidP="00E159E4">
            <w:pPr>
              <w:pStyle w:val="TableText0"/>
              <w:jc w:val="center"/>
            </w:pPr>
            <w:r w:rsidRPr="00482A36">
              <w:t>NR</w:t>
            </w:r>
          </w:p>
        </w:tc>
        <w:tc>
          <w:tcPr>
            <w:tcW w:w="1270" w:type="pct"/>
            <w:vAlign w:val="center"/>
          </w:tcPr>
          <w:p w14:paraId="3B264CCA" w14:textId="77777777" w:rsidR="002C0784" w:rsidRPr="00482A36" w:rsidRDefault="002C0784" w:rsidP="00E159E4">
            <w:pPr>
              <w:pStyle w:val="TableText0"/>
              <w:jc w:val="center"/>
            </w:pPr>
            <w:r w:rsidRPr="00482A36">
              <w:t>NR</w:t>
            </w:r>
          </w:p>
        </w:tc>
        <w:tc>
          <w:tcPr>
            <w:tcW w:w="833" w:type="pct"/>
            <w:vAlign w:val="center"/>
          </w:tcPr>
          <w:p w14:paraId="475CAE09" w14:textId="7455D8CC" w:rsidR="002C0784" w:rsidRPr="00482A36" w:rsidRDefault="002C0784" w:rsidP="00E159E4">
            <w:pPr>
              <w:pStyle w:val="TableText0"/>
              <w:jc w:val="cente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616367" w14:paraId="0E5885C8" w14:textId="77777777">
        <w:tc>
          <w:tcPr>
            <w:tcW w:w="1543" w:type="pct"/>
            <w:vAlign w:val="center"/>
          </w:tcPr>
          <w:p w14:paraId="4FFAD4DF" w14:textId="77777777" w:rsidR="002C0784" w:rsidRPr="00616367" w:rsidRDefault="002C0784" w:rsidP="00E159E4">
            <w:pPr>
              <w:pStyle w:val="TableText0"/>
              <w:rPr>
                <w:rFonts w:ascii="Times" w:hAnsi="Times"/>
              </w:rPr>
            </w:pPr>
            <w:r w:rsidRPr="00616367">
              <w:t>QALYs</w:t>
            </w:r>
          </w:p>
        </w:tc>
        <w:tc>
          <w:tcPr>
            <w:tcW w:w="1354" w:type="pct"/>
            <w:vAlign w:val="center"/>
          </w:tcPr>
          <w:p w14:paraId="64C54806" w14:textId="77777777" w:rsidR="002C0784" w:rsidRPr="00616367" w:rsidRDefault="002C0784" w:rsidP="00E159E4">
            <w:pPr>
              <w:pStyle w:val="TableText0"/>
              <w:jc w:val="center"/>
              <w:rPr>
                <w:iCs/>
              </w:rPr>
            </w:pPr>
            <w:r w:rsidRPr="00616367">
              <w:rPr>
                <w:iCs/>
              </w:rPr>
              <w:t>0.3887</w:t>
            </w:r>
          </w:p>
        </w:tc>
        <w:tc>
          <w:tcPr>
            <w:tcW w:w="1270" w:type="pct"/>
            <w:vAlign w:val="center"/>
          </w:tcPr>
          <w:p w14:paraId="7F690649" w14:textId="77777777" w:rsidR="002C0784" w:rsidRPr="00616367" w:rsidRDefault="002C0784" w:rsidP="00E159E4">
            <w:pPr>
              <w:pStyle w:val="TableText0"/>
              <w:jc w:val="center"/>
              <w:rPr>
                <w:iCs/>
              </w:rPr>
            </w:pPr>
            <w:r w:rsidRPr="00616367">
              <w:rPr>
                <w:iCs/>
              </w:rPr>
              <w:t>0.3649</w:t>
            </w:r>
          </w:p>
        </w:tc>
        <w:tc>
          <w:tcPr>
            <w:tcW w:w="833" w:type="pct"/>
            <w:vAlign w:val="center"/>
          </w:tcPr>
          <w:p w14:paraId="7B23253D" w14:textId="77777777" w:rsidR="002C0784" w:rsidRPr="00616367" w:rsidRDefault="002C0784" w:rsidP="00E159E4">
            <w:pPr>
              <w:pStyle w:val="TableText0"/>
              <w:jc w:val="center"/>
            </w:pPr>
            <w:r w:rsidRPr="00616367">
              <w:t>0.0238</w:t>
            </w:r>
          </w:p>
        </w:tc>
      </w:tr>
      <w:tr w:rsidR="002C0784" w:rsidRPr="00482A36" w14:paraId="0A850E49" w14:textId="77777777">
        <w:tc>
          <w:tcPr>
            <w:tcW w:w="4167" w:type="pct"/>
            <w:gridSpan w:val="3"/>
            <w:vAlign w:val="center"/>
          </w:tcPr>
          <w:p w14:paraId="7510FD6E" w14:textId="77777777" w:rsidR="002C0784" w:rsidRPr="00482A36" w:rsidRDefault="002C0784" w:rsidP="00E159E4">
            <w:pPr>
              <w:pStyle w:val="TableText0"/>
            </w:pPr>
            <w:r w:rsidRPr="00482A36">
              <w:t>Incremental cost/extra QALY</w:t>
            </w:r>
          </w:p>
        </w:tc>
        <w:tc>
          <w:tcPr>
            <w:tcW w:w="833" w:type="pct"/>
            <w:vAlign w:val="center"/>
          </w:tcPr>
          <w:p w14:paraId="27D75282" w14:textId="5F7A244B" w:rsidR="002C0784" w:rsidRPr="00AA5533" w:rsidRDefault="002C0784" w:rsidP="00E159E4">
            <w:pPr>
              <w:pStyle w:val="TableText0"/>
              <w:jc w:val="center"/>
              <w:rPr>
                <w:vertAlign w:val="superscript"/>
              </w:rPr>
            </w:pPr>
            <w:r w:rsidRPr="00482A36">
              <w:t>$</w:t>
            </w:r>
            <w:r w:rsidR="00474E21" w:rsidRPr="00474E21">
              <w:rPr>
                <w:color w:val="000000"/>
                <w:shd w:val="solid" w:color="000000" w:fill="000000"/>
                <w14:textFill>
                  <w14:solidFill>
                    <w14:srgbClr w14:val="000000">
                      <w14:alpha w14:val="100000"/>
                    </w14:srgbClr>
                  </w14:solidFill>
                </w14:textFill>
              </w:rPr>
              <w:t>|</w:t>
            </w:r>
            <w:r w:rsidR="00AA5533">
              <w:rPr>
                <w:vertAlign w:val="superscript"/>
              </w:rPr>
              <w:t>2</w:t>
            </w:r>
          </w:p>
        </w:tc>
      </w:tr>
      <w:tr w:rsidR="002C0784" w:rsidRPr="00482A36" w14:paraId="655BD6B6" w14:textId="77777777">
        <w:tc>
          <w:tcPr>
            <w:tcW w:w="5000" w:type="pct"/>
            <w:gridSpan w:val="4"/>
            <w:vAlign w:val="center"/>
          </w:tcPr>
          <w:p w14:paraId="2D81BDD1" w14:textId="7CEAC15D" w:rsidR="002C0784" w:rsidRPr="00482A36" w:rsidRDefault="002C0784" w:rsidP="00E159E4">
            <w:pPr>
              <w:pStyle w:val="In-tableHeading"/>
              <w:rPr>
                <w:lang w:val="en-AU"/>
              </w:rPr>
            </w:pPr>
            <w:r w:rsidRPr="00482A36">
              <w:rPr>
                <w:lang w:val="en-AU"/>
              </w:rPr>
              <w:t>Step 5: including AE treatment costs and BMD monitoring costs</w:t>
            </w:r>
            <w:r w:rsidR="0094432F">
              <w:rPr>
                <w:rFonts w:cstheme="majorBidi"/>
                <w:vertAlign w:val="superscript"/>
                <w:lang w:val="en-AU"/>
              </w:rPr>
              <w:t xml:space="preserve"> a</w:t>
            </w:r>
          </w:p>
        </w:tc>
      </w:tr>
      <w:tr w:rsidR="002C0784" w:rsidRPr="00482A36" w14:paraId="5F4069D7" w14:textId="77777777">
        <w:tc>
          <w:tcPr>
            <w:tcW w:w="1543" w:type="pct"/>
            <w:vAlign w:val="center"/>
          </w:tcPr>
          <w:p w14:paraId="0F48F184" w14:textId="77777777" w:rsidR="002C0784" w:rsidRPr="00482A36" w:rsidRDefault="002C0784" w:rsidP="00E159E4">
            <w:pPr>
              <w:pStyle w:val="TableText0"/>
            </w:pPr>
            <w:r w:rsidRPr="00482A36">
              <w:t>Costs</w:t>
            </w:r>
          </w:p>
        </w:tc>
        <w:tc>
          <w:tcPr>
            <w:tcW w:w="1354" w:type="pct"/>
            <w:vAlign w:val="center"/>
          </w:tcPr>
          <w:p w14:paraId="7C660FEB" w14:textId="77777777" w:rsidR="002C0784" w:rsidRPr="00482A36" w:rsidRDefault="002C0784" w:rsidP="00E159E4">
            <w:pPr>
              <w:pStyle w:val="TableText0"/>
              <w:jc w:val="center"/>
            </w:pPr>
            <w:r w:rsidRPr="00482A36">
              <w:t>NR</w:t>
            </w:r>
          </w:p>
        </w:tc>
        <w:tc>
          <w:tcPr>
            <w:tcW w:w="1270" w:type="pct"/>
            <w:vAlign w:val="center"/>
          </w:tcPr>
          <w:p w14:paraId="727DA8B3" w14:textId="77777777" w:rsidR="002C0784" w:rsidRPr="00482A36" w:rsidRDefault="002C0784" w:rsidP="00E159E4">
            <w:pPr>
              <w:pStyle w:val="TableText0"/>
              <w:jc w:val="center"/>
            </w:pPr>
            <w:r w:rsidRPr="00482A36">
              <w:t>NR</w:t>
            </w:r>
          </w:p>
        </w:tc>
        <w:tc>
          <w:tcPr>
            <w:tcW w:w="833" w:type="pct"/>
            <w:vAlign w:val="center"/>
          </w:tcPr>
          <w:p w14:paraId="59BDBE75" w14:textId="197E3B8D" w:rsidR="002C0784" w:rsidRPr="00482A36" w:rsidRDefault="002C0784" w:rsidP="00E159E4">
            <w:pPr>
              <w:pStyle w:val="TableText0"/>
              <w:jc w:val="cente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446A689A" w14:textId="77777777">
        <w:tc>
          <w:tcPr>
            <w:tcW w:w="1543" w:type="pct"/>
            <w:vAlign w:val="center"/>
          </w:tcPr>
          <w:p w14:paraId="4529470E" w14:textId="77777777" w:rsidR="002C0784" w:rsidRPr="00482A36" w:rsidRDefault="002C0784" w:rsidP="00E159E4">
            <w:pPr>
              <w:pStyle w:val="TableText0"/>
            </w:pPr>
            <w:r w:rsidRPr="00482A36">
              <w:t>QALYs</w:t>
            </w:r>
          </w:p>
        </w:tc>
        <w:tc>
          <w:tcPr>
            <w:tcW w:w="1354" w:type="pct"/>
            <w:vAlign w:val="center"/>
          </w:tcPr>
          <w:p w14:paraId="5B97B7C8" w14:textId="77777777" w:rsidR="002C0784" w:rsidRPr="00482A36" w:rsidRDefault="002C0784" w:rsidP="00E159E4">
            <w:pPr>
              <w:pStyle w:val="TableText0"/>
              <w:jc w:val="center"/>
            </w:pPr>
            <w:r w:rsidRPr="00616367">
              <w:rPr>
                <w:iCs/>
              </w:rPr>
              <w:t>0.3887</w:t>
            </w:r>
          </w:p>
        </w:tc>
        <w:tc>
          <w:tcPr>
            <w:tcW w:w="1270" w:type="pct"/>
            <w:vAlign w:val="center"/>
          </w:tcPr>
          <w:p w14:paraId="6672495F" w14:textId="77777777" w:rsidR="002C0784" w:rsidRPr="00482A36" w:rsidRDefault="002C0784" w:rsidP="00E159E4">
            <w:pPr>
              <w:pStyle w:val="TableText0"/>
              <w:jc w:val="center"/>
            </w:pPr>
            <w:r w:rsidRPr="00616367">
              <w:rPr>
                <w:iCs/>
              </w:rPr>
              <w:t>0.3649</w:t>
            </w:r>
          </w:p>
        </w:tc>
        <w:tc>
          <w:tcPr>
            <w:tcW w:w="833" w:type="pct"/>
            <w:vAlign w:val="center"/>
          </w:tcPr>
          <w:p w14:paraId="4975B9EC" w14:textId="77777777" w:rsidR="002C0784" w:rsidRPr="00482A36" w:rsidRDefault="002C0784" w:rsidP="00E159E4">
            <w:pPr>
              <w:pStyle w:val="TableText0"/>
              <w:jc w:val="center"/>
            </w:pPr>
            <w:r w:rsidRPr="00482A36">
              <w:t>0.0238</w:t>
            </w:r>
          </w:p>
        </w:tc>
      </w:tr>
      <w:tr w:rsidR="002C0784" w:rsidRPr="00482A36" w14:paraId="037097BB" w14:textId="77777777">
        <w:tc>
          <w:tcPr>
            <w:tcW w:w="4167" w:type="pct"/>
            <w:gridSpan w:val="3"/>
            <w:vAlign w:val="center"/>
          </w:tcPr>
          <w:p w14:paraId="413BBBEE" w14:textId="77777777" w:rsidR="002C0784" w:rsidRPr="00482A36" w:rsidRDefault="002C0784" w:rsidP="00E159E4">
            <w:pPr>
              <w:pStyle w:val="TableText0"/>
              <w:rPr>
                <w:b/>
              </w:rPr>
            </w:pPr>
            <w:r w:rsidRPr="00482A36">
              <w:t>Incremental cost/extra QALY</w:t>
            </w:r>
          </w:p>
        </w:tc>
        <w:tc>
          <w:tcPr>
            <w:tcW w:w="833" w:type="pct"/>
            <w:vAlign w:val="center"/>
          </w:tcPr>
          <w:p w14:paraId="2BA56717" w14:textId="0FA33BAE" w:rsidR="002C0784" w:rsidRPr="00482A36" w:rsidRDefault="002C0784" w:rsidP="00E159E4">
            <w:pPr>
              <w:pStyle w:val="TableText0"/>
              <w:jc w:val="center"/>
              <w:rPr>
                <w:bCs w:val="0"/>
              </w:rPr>
            </w:pPr>
            <w:r w:rsidRPr="00482A36">
              <w:rPr>
                <w:bCs w:val="0"/>
              </w:rPr>
              <w:t>$</w:t>
            </w:r>
            <w:r w:rsidR="00474E21" w:rsidRPr="00474E21">
              <w:rPr>
                <w:bCs w:val="0"/>
                <w:color w:val="000000"/>
                <w:shd w:val="solid" w:color="000000" w:fill="000000"/>
                <w14:textFill>
                  <w14:solidFill>
                    <w14:srgbClr w14:val="000000">
                      <w14:alpha w14:val="100000"/>
                    </w14:srgbClr>
                  </w14:solidFill>
                </w14:textFill>
              </w:rPr>
              <w:t>|</w:t>
            </w:r>
            <w:r w:rsidR="00AA5533">
              <w:rPr>
                <w:vertAlign w:val="superscript"/>
              </w:rPr>
              <w:t>2</w:t>
            </w:r>
          </w:p>
        </w:tc>
      </w:tr>
      <w:tr w:rsidR="002C0784" w:rsidRPr="00482A36" w14:paraId="7D5C930D" w14:textId="77777777">
        <w:tc>
          <w:tcPr>
            <w:tcW w:w="5000" w:type="pct"/>
            <w:gridSpan w:val="4"/>
            <w:vAlign w:val="center"/>
          </w:tcPr>
          <w:p w14:paraId="11798128" w14:textId="53B7C086" w:rsidR="002C0784" w:rsidRPr="00482A36" w:rsidRDefault="002C0784" w:rsidP="00E159E4">
            <w:pPr>
              <w:pStyle w:val="In-tableHeading"/>
              <w:rPr>
                <w:lang w:val="en-AU"/>
              </w:rPr>
            </w:pPr>
            <w:r w:rsidRPr="00482A36">
              <w:rPr>
                <w:lang w:val="en-AU"/>
              </w:rPr>
              <w:t>Step 6: extrapolate to variable 3-to-21</w:t>
            </w:r>
            <w:r w:rsidR="00BE2B0E">
              <w:rPr>
                <w:lang w:val="en-AU"/>
              </w:rPr>
              <w:t xml:space="preserve"> </w:t>
            </w:r>
            <w:r w:rsidRPr="00482A36">
              <w:rPr>
                <w:lang w:val="en-AU"/>
              </w:rPr>
              <w:t>year time horizon</w:t>
            </w:r>
            <w:r w:rsidR="0094432F">
              <w:rPr>
                <w:rFonts w:cstheme="majorBidi"/>
                <w:vertAlign w:val="superscript"/>
                <w:lang w:val="en-AU"/>
              </w:rPr>
              <w:t xml:space="preserve"> a</w:t>
            </w:r>
          </w:p>
        </w:tc>
      </w:tr>
      <w:tr w:rsidR="002C0784" w:rsidRPr="00482A36" w14:paraId="5FFFEECD" w14:textId="77777777">
        <w:tc>
          <w:tcPr>
            <w:tcW w:w="1543" w:type="pct"/>
            <w:vAlign w:val="center"/>
          </w:tcPr>
          <w:p w14:paraId="63824A6A" w14:textId="77777777" w:rsidR="002C0784" w:rsidRPr="00482A36" w:rsidRDefault="002C0784" w:rsidP="00E159E4">
            <w:pPr>
              <w:pStyle w:val="TableText0"/>
            </w:pPr>
            <w:r w:rsidRPr="00482A36">
              <w:t>Costs</w:t>
            </w:r>
          </w:p>
        </w:tc>
        <w:tc>
          <w:tcPr>
            <w:tcW w:w="1354" w:type="pct"/>
            <w:vAlign w:val="center"/>
          </w:tcPr>
          <w:p w14:paraId="186DA58B" w14:textId="77777777" w:rsidR="002C0784" w:rsidRPr="00482A36" w:rsidRDefault="002C0784" w:rsidP="00E159E4">
            <w:pPr>
              <w:pStyle w:val="TableText0"/>
              <w:jc w:val="center"/>
            </w:pPr>
            <w:r w:rsidRPr="00482A36">
              <w:t>NR</w:t>
            </w:r>
          </w:p>
        </w:tc>
        <w:tc>
          <w:tcPr>
            <w:tcW w:w="1270" w:type="pct"/>
            <w:vAlign w:val="center"/>
          </w:tcPr>
          <w:p w14:paraId="41748197" w14:textId="77777777" w:rsidR="002C0784" w:rsidRPr="00482A36" w:rsidRDefault="002C0784" w:rsidP="00E159E4">
            <w:pPr>
              <w:pStyle w:val="TableText0"/>
              <w:jc w:val="center"/>
            </w:pPr>
            <w:r w:rsidRPr="00482A36">
              <w:t>NR</w:t>
            </w:r>
          </w:p>
        </w:tc>
        <w:tc>
          <w:tcPr>
            <w:tcW w:w="833" w:type="pct"/>
            <w:vAlign w:val="center"/>
          </w:tcPr>
          <w:p w14:paraId="2D9C4B42" w14:textId="45819F68" w:rsidR="002C0784" w:rsidRPr="00482A36" w:rsidRDefault="002C0784" w:rsidP="00E159E4">
            <w:pPr>
              <w:pStyle w:val="TableText0"/>
              <w:jc w:val="cente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1BEA72EC" w14:textId="77777777">
        <w:tc>
          <w:tcPr>
            <w:tcW w:w="1543" w:type="pct"/>
            <w:vAlign w:val="center"/>
          </w:tcPr>
          <w:p w14:paraId="787927C7" w14:textId="77777777" w:rsidR="002C0784" w:rsidRPr="00482A36" w:rsidRDefault="002C0784" w:rsidP="00E159E4">
            <w:pPr>
              <w:pStyle w:val="TableText0"/>
            </w:pPr>
            <w:r w:rsidRPr="00482A36">
              <w:t>QALYs</w:t>
            </w:r>
          </w:p>
        </w:tc>
        <w:tc>
          <w:tcPr>
            <w:tcW w:w="1354" w:type="pct"/>
            <w:vAlign w:val="center"/>
          </w:tcPr>
          <w:p w14:paraId="5AF8006B" w14:textId="77777777" w:rsidR="002C0784" w:rsidRPr="00482A36" w:rsidRDefault="002C0784" w:rsidP="00E159E4">
            <w:pPr>
              <w:pStyle w:val="TableText0"/>
              <w:jc w:val="center"/>
            </w:pPr>
            <w:r w:rsidRPr="00616367">
              <w:rPr>
                <w:iCs/>
              </w:rPr>
              <w:t>6.0165</w:t>
            </w:r>
          </w:p>
        </w:tc>
        <w:tc>
          <w:tcPr>
            <w:tcW w:w="1270" w:type="pct"/>
            <w:vAlign w:val="center"/>
          </w:tcPr>
          <w:p w14:paraId="7734DDE9" w14:textId="77777777" w:rsidR="002C0784" w:rsidRPr="00482A36" w:rsidRDefault="002C0784" w:rsidP="00E159E4">
            <w:pPr>
              <w:pStyle w:val="TableText0"/>
              <w:jc w:val="center"/>
            </w:pPr>
            <w:r w:rsidRPr="00616367">
              <w:rPr>
                <w:iCs/>
              </w:rPr>
              <w:t>5.7667</w:t>
            </w:r>
          </w:p>
        </w:tc>
        <w:tc>
          <w:tcPr>
            <w:tcW w:w="833" w:type="pct"/>
            <w:vAlign w:val="center"/>
          </w:tcPr>
          <w:p w14:paraId="42323A11" w14:textId="77777777" w:rsidR="002C0784" w:rsidRPr="00482A36" w:rsidRDefault="002C0784" w:rsidP="00E159E4">
            <w:pPr>
              <w:pStyle w:val="TableText0"/>
              <w:jc w:val="center"/>
            </w:pPr>
            <w:r w:rsidRPr="00482A36">
              <w:t>0.2498</w:t>
            </w:r>
          </w:p>
        </w:tc>
      </w:tr>
      <w:tr w:rsidR="002C0784" w:rsidRPr="00482A36" w14:paraId="4A8B65E4" w14:textId="77777777">
        <w:tc>
          <w:tcPr>
            <w:tcW w:w="4167" w:type="pct"/>
            <w:gridSpan w:val="3"/>
            <w:vAlign w:val="center"/>
          </w:tcPr>
          <w:p w14:paraId="0C478BEC" w14:textId="77777777" w:rsidR="002C0784" w:rsidRPr="00482A36" w:rsidRDefault="002C0784" w:rsidP="00E159E4">
            <w:pPr>
              <w:pStyle w:val="TableText0"/>
              <w:rPr>
                <w:b/>
              </w:rPr>
            </w:pPr>
            <w:r w:rsidRPr="00482A36">
              <w:t>Incremental cost/extra QALY</w:t>
            </w:r>
          </w:p>
        </w:tc>
        <w:tc>
          <w:tcPr>
            <w:tcW w:w="833" w:type="pct"/>
          </w:tcPr>
          <w:p w14:paraId="2FCF9B73" w14:textId="1B8D0A77" w:rsidR="002C0784" w:rsidRPr="00AA5533" w:rsidRDefault="002C0784" w:rsidP="00E159E4">
            <w:pPr>
              <w:pStyle w:val="TableText0"/>
              <w:jc w:val="center"/>
              <w:rPr>
                <w:bCs w:val="0"/>
                <w:vertAlign w:val="superscript"/>
              </w:rPr>
            </w:pPr>
            <w:r w:rsidRPr="00AA5533">
              <w:rPr>
                <w:bCs w:val="0"/>
              </w:rPr>
              <w:t>$</w:t>
            </w:r>
            <w:r w:rsidR="00474E21" w:rsidRPr="00474E21">
              <w:rPr>
                <w:bCs w:val="0"/>
                <w:color w:val="000000"/>
                <w:shd w:val="solid" w:color="000000" w:fill="000000"/>
                <w14:textFill>
                  <w14:solidFill>
                    <w14:srgbClr w14:val="000000">
                      <w14:alpha w14:val="100000"/>
                    </w14:srgbClr>
                  </w14:solidFill>
                </w14:textFill>
              </w:rPr>
              <w:t>|</w:t>
            </w:r>
            <w:r w:rsidR="00AA5533">
              <w:rPr>
                <w:bCs w:val="0"/>
                <w:vertAlign w:val="superscript"/>
              </w:rPr>
              <w:t>3</w:t>
            </w:r>
          </w:p>
        </w:tc>
      </w:tr>
      <w:tr w:rsidR="002C0784" w:rsidRPr="00482A36" w14:paraId="411E3B12" w14:textId="77777777">
        <w:tc>
          <w:tcPr>
            <w:tcW w:w="5000" w:type="pct"/>
            <w:gridSpan w:val="4"/>
            <w:vAlign w:val="center"/>
          </w:tcPr>
          <w:p w14:paraId="60D0B0DF" w14:textId="77777777" w:rsidR="002C0784" w:rsidRPr="00482A36" w:rsidRDefault="002C0784" w:rsidP="00E159E4">
            <w:pPr>
              <w:pStyle w:val="In-tableHeading"/>
              <w:rPr>
                <w:lang w:val="en-AU"/>
              </w:rPr>
            </w:pPr>
            <w:r w:rsidRPr="00482A36">
              <w:rPr>
                <w:lang w:val="en-AU"/>
              </w:rPr>
              <w:t>Step 7: include LGX discontinuations</w:t>
            </w:r>
          </w:p>
        </w:tc>
      </w:tr>
      <w:tr w:rsidR="002C0784" w:rsidRPr="00616367" w14:paraId="1476AC10" w14:textId="77777777">
        <w:tc>
          <w:tcPr>
            <w:tcW w:w="1543" w:type="pct"/>
            <w:vAlign w:val="center"/>
          </w:tcPr>
          <w:p w14:paraId="3FCCF622" w14:textId="77777777" w:rsidR="002C0784" w:rsidRPr="00616367" w:rsidRDefault="002C0784" w:rsidP="00E159E4">
            <w:pPr>
              <w:pStyle w:val="TableText0"/>
              <w:rPr>
                <w:rFonts w:ascii="Times" w:hAnsi="Times"/>
              </w:rPr>
            </w:pPr>
            <w:r w:rsidRPr="00616367">
              <w:t>Costs</w:t>
            </w:r>
          </w:p>
        </w:tc>
        <w:tc>
          <w:tcPr>
            <w:tcW w:w="1354" w:type="pct"/>
            <w:vAlign w:val="center"/>
          </w:tcPr>
          <w:p w14:paraId="350B52F7" w14:textId="0BE7B607" w:rsidR="002C0784" w:rsidRPr="00616367" w:rsidRDefault="002C0784" w:rsidP="00E159E4">
            <w:pPr>
              <w:pStyle w:val="TableText0"/>
              <w:jc w:val="center"/>
              <w:rPr>
                <w:iCs/>
              </w:rPr>
            </w:pPr>
            <w:r w:rsidRPr="00616367">
              <w:rPr>
                <w:iCs/>
              </w:rPr>
              <w:t>$</w:t>
            </w:r>
            <w:r w:rsidR="00474E21" w:rsidRPr="00474E21">
              <w:rPr>
                <w:iCs/>
                <w:color w:val="000000"/>
                <w:shd w:val="solid" w:color="000000" w:fill="000000"/>
                <w14:textFill>
                  <w14:solidFill>
                    <w14:srgbClr w14:val="000000">
                      <w14:alpha w14:val="100000"/>
                    </w14:srgbClr>
                  </w14:solidFill>
                </w14:textFill>
              </w:rPr>
              <w:t>|</w:t>
            </w:r>
          </w:p>
        </w:tc>
        <w:tc>
          <w:tcPr>
            <w:tcW w:w="1270" w:type="pct"/>
            <w:vAlign w:val="center"/>
          </w:tcPr>
          <w:p w14:paraId="0E7A94B1" w14:textId="77777777" w:rsidR="002C0784" w:rsidRPr="00616367" w:rsidRDefault="002C0784" w:rsidP="00E159E4">
            <w:pPr>
              <w:pStyle w:val="TableText0"/>
              <w:jc w:val="center"/>
              <w:rPr>
                <w:iCs/>
              </w:rPr>
            </w:pPr>
            <w:r w:rsidRPr="00616367">
              <w:rPr>
                <w:iCs/>
              </w:rPr>
              <w:t>$146.39</w:t>
            </w:r>
          </w:p>
        </w:tc>
        <w:tc>
          <w:tcPr>
            <w:tcW w:w="833" w:type="pct"/>
            <w:vAlign w:val="center"/>
          </w:tcPr>
          <w:p w14:paraId="0FA6FE4E" w14:textId="1483DAB9" w:rsidR="002C0784" w:rsidRPr="00616367" w:rsidRDefault="002C0784" w:rsidP="00E159E4">
            <w:pPr>
              <w:pStyle w:val="TableText0"/>
              <w:jc w:val="center"/>
            </w:pPr>
            <w:r w:rsidRPr="00616367">
              <w:t>$</w:t>
            </w:r>
            <w:r w:rsidR="00474E21" w:rsidRPr="00474E21">
              <w:rPr>
                <w:color w:val="000000"/>
                <w:shd w:val="solid" w:color="000000" w:fill="000000"/>
                <w14:textFill>
                  <w14:solidFill>
                    <w14:srgbClr w14:val="000000">
                      <w14:alpha w14:val="100000"/>
                    </w14:srgbClr>
                  </w14:solidFill>
                </w14:textFill>
              </w:rPr>
              <w:t>|</w:t>
            </w:r>
          </w:p>
        </w:tc>
      </w:tr>
      <w:tr w:rsidR="002C0784" w:rsidRPr="00616367" w14:paraId="2B47C1C3" w14:textId="77777777">
        <w:tc>
          <w:tcPr>
            <w:tcW w:w="1543" w:type="pct"/>
            <w:vAlign w:val="center"/>
          </w:tcPr>
          <w:p w14:paraId="27B39E5B" w14:textId="77777777" w:rsidR="002C0784" w:rsidRPr="00616367" w:rsidRDefault="002C0784" w:rsidP="00E159E4">
            <w:pPr>
              <w:pStyle w:val="TableText0"/>
              <w:rPr>
                <w:rFonts w:ascii="Times" w:hAnsi="Times"/>
              </w:rPr>
            </w:pPr>
            <w:r w:rsidRPr="00616367">
              <w:t>QALYs</w:t>
            </w:r>
          </w:p>
        </w:tc>
        <w:tc>
          <w:tcPr>
            <w:tcW w:w="1354" w:type="pct"/>
            <w:vAlign w:val="center"/>
          </w:tcPr>
          <w:p w14:paraId="30CED9E8" w14:textId="77777777" w:rsidR="002C0784" w:rsidRPr="00616367" w:rsidRDefault="002C0784" w:rsidP="00E159E4">
            <w:pPr>
              <w:pStyle w:val="TableText0"/>
              <w:jc w:val="center"/>
              <w:rPr>
                <w:iCs/>
              </w:rPr>
            </w:pPr>
            <w:r w:rsidRPr="00616367">
              <w:rPr>
                <w:iCs/>
              </w:rPr>
              <w:t>6.0165</w:t>
            </w:r>
          </w:p>
        </w:tc>
        <w:tc>
          <w:tcPr>
            <w:tcW w:w="1270" w:type="pct"/>
            <w:vAlign w:val="center"/>
          </w:tcPr>
          <w:p w14:paraId="0A8A72C0" w14:textId="77777777" w:rsidR="002C0784" w:rsidRPr="00616367" w:rsidRDefault="002C0784" w:rsidP="00E159E4">
            <w:pPr>
              <w:pStyle w:val="TableText0"/>
              <w:jc w:val="center"/>
              <w:rPr>
                <w:iCs/>
              </w:rPr>
            </w:pPr>
            <w:r w:rsidRPr="00616367">
              <w:rPr>
                <w:iCs/>
              </w:rPr>
              <w:t>5.7667</w:t>
            </w:r>
          </w:p>
        </w:tc>
        <w:tc>
          <w:tcPr>
            <w:tcW w:w="833" w:type="pct"/>
            <w:vAlign w:val="center"/>
          </w:tcPr>
          <w:p w14:paraId="7C60DE94" w14:textId="77777777" w:rsidR="002C0784" w:rsidRPr="00616367" w:rsidRDefault="002C0784" w:rsidP="00E159E4">
            <w:pPr>
              <w:pStyle w:val="TableText0"/>
              <w:jc w:val="center"/>
            </w:pPr>
            <w:r w:rsidRPr="00616367">
              <w:t>0.2498</w:t>
            </w:r>
          </w:p>
        </w:tc>
      </w:tr>
      <w:tr w:rsidR="002C0784" w:rsidRPr="00482A36" w14:paraId="0025FE53" w14:textId="77777777">
        <w:tc>
          <w:tcPr>
            <w:tcW w:w="4167" w:type="pct"/>
            <w:gridSpan w:val="3"/>
            <w:vAlign w:val="center"/>
          </w:tcPr>
          <w:p w14:paraId="7AE12230" w14:textId="77777777" w:rsidR="002C0784" w:rsidRPr="00482A36" w:rsidRDefault="002C0784" w:rsidP="00E159E4">
            <w:pPr>
              <w:pStyle w:val="TableText0"/>
              <w:rPr>
                <w:b/>
              </w:rPr>
            </w:pPr>
            <w:r w:rsidRPr="00482A36">
              <w:t>Incremental cost/extra QALY</w:t>
            </w:r>
          </w:p>
        </w:tc>
        <w:tc>
          <w:tcPr>
            <w:tcW w:w="833" w:type="pct"/>
          </w:tcPr>
          <w:p w14:paraId="29E98F2A" w14:textId="21152C5A" w:rsidR="002C0784" w:rsidRPr="00482A36" w:rsidRDefault="002C0784" w:rsidP="00E159E4">
            <w:pPr>
              <w:pStyle w:val="TableText0"/>
              <w:jc w:val="center"/>
              <w:rPr>
                <w:b/>
              </w:rPr>
            </w:pPr>
            <w:r w:rsidRPr="00482A36">
              <w:rPr>
                <w:b/>
              </w:rPr>
              <w:t>$</w:t>
            </w:r>
            <w:r w:rsidR="00474E21" w:rsidRPr="00474E21">
              <w:rPr>
                <w:b/>
                <w:color w:val="000000"/>
                <w:shd w:val="solid" w:color="000000" w:fill="000000"/>
                <w14:textFill>
                  <w14:solidFill>
                    <w14:srgbClr w14:val="000000">
                      <w14:alpha w14:val="100000"/>
                    </w14:srgbClr>
                  </w14:solidFill>
                </w14:textFill>
              </w:rPr>
              <w:t>|</w:t>
            </w:r>
            <w:r w:rsidR="00AA5533">
              <w:rPr>
                <w:bCs w:val="0"/>
                <w:vertAlign w:val="superscript"/>
              </w:rPr>
              <w:t>4</w:t>
            </w:r>
          </w:p>
        </w:tc>
      </w:tr>
      <w:tr w:rsidR="002C0784" w:rsidRPr="00482A36" w14:paraId="5C90A31D" w14:textId="77777777">
        <w:tc>
          <w:tcPr>
            <w:tcW w:w="5000" w:type="pct"/>
            <w:gridSpan w:val="4"/>
            <w:vAlign w:val="center"/>
          </w:tcPr>
          <w:p w14:paraId="4C9A753E" w14:textId="710A4241" w:rsidR="002C0784" w:rsidRPr="00482A36" w:rsidRDefault="002C0784" w:rsidP="00E159E4">
            <w:pPr>
              <w:pStyle w:val="In-tableHeading"/>
              <w:rPr>
                <w:lang w:val="en-AU"/>
              </w:rPr>
            </w:pPr>
            <w:r w:rsidRPr="00482A36">
              <w:rPr>
                <w:lang w:val="en-AU"/>
              </w:rPr>
              <w:t>Step 8: include surgery and associated costs and</w:t>
            </w:r>
            <w:r w:rsidR="007E5D6D">
              <w:rPr>
                <w:lang w:val="en-AU"/>
              </w:rPr>
              <w:t xml:space="preserve"> </w:t>
            </w:r>
            <w:r w:rsidRPr="00482A36">
              <w:rPr>
                <w:lang w:val="en-AU"/>
              </w:rPr>
              <w:t>mortality</w:t>
            </w:r>
            <w:r w:rsidR="007E5D6D">
              <w:rPr>
                <w:lang w:val="en-AU"/>
              </w:rPr>
              <w:t xml:space="preserve"> from surgery</w:t>
            </w:r>
          </w:p>
        </w:tc>
      </w:tr>
      <w:tr w:rsidR="002C0784" w:rsidRPr="00482A36" w14:paraId="479107C2" w14:textId="77777777">
        <w:tc>
          <w:tcPr>
            <w:tcW w:w="1543" w:type="pct"/>
            <w:vAlign w:val="center"/>
          </w:tcPr>
          <w:p w14:paraId="33CE84B9" w14:textId="77777777" w:rsidR="002C0784" w:rsidRPr="00482A36" w:rsidRDefault="002C0784" w:rsidP="00E159E4">
            <w:pPr>
              <w:pStyle w:val="TableText0"/>
              <w:rPr>
                <w:rFonts w:ascii="Times" w:hAnsi="Times"/>
              </w:rPr>
            </w:pPr>
            <w:r w:rsidRPr="00482A36">
              <w:t>Costs</w:t>
            </w:r>
          </w:p>
        </w:tc>
        <w:tc>
          <w:tcPr>
            <w:tcW w:w="1354" w:type="pct"/>
            <w:vAlign w:val="center"/>
          </w:tcPr>
          <w:p w14:paraId="14C68A59" w14:textId="7E1885CF" w:rsidR="002C0784" w:rsidRPr="00482A36" w:rsidRDefault="002C0784" w:rsidP="00E159E4">
            <w:pPr>
              <w:pStyle w:val="TableText0"/>
              <w:jc w:val="center"/>
              <w:rPr>
                <w:rFonts w:ascii="Times" w:hAnsi="Times"/>
              </w:rPr>
            </w:pPr>
            <w:r w:rsidRPr="00482A36">
              <w:t>$</w:t>
            </w:r>
            <w:r w:rsidR="00474E21" w:rsidRPr="00474E21">
              <w:rPr>
                <w:color w:val="000000"/>
                <w:shd w:val="solid" w:color="000000" w:fill="000000"/>
                <w14:textFill>
                  <w14:solidFill>
                    <w14:srgbClr w14:val="000000">
                      <w14:alpha w14:val="100000"/>
                    </w14:srgbClr>
                  </w14:solidFill>
                </w14:textFill>
              </w:rPr>
              <w:t>|</w:t>
            </w:r>
          </w:p>
        </w:tc>
        <w:tc>
          <w:tcPr>
            <w:tcW w:w="1270" w:type="pct"/>
            <w:vAlign w:val="center"/>
          </w:tcPr>
          <w:p w14:paraId="1FB62358" w14:textId="77777777" w:rsidR="002C0784" w:rsidRPr="00482A36" w:rsidRDefault="002C0784" w:rsidP="00E159E4">
            <w:pPr>
              <w:pStyle w:val="TableText0"/>
              <w:jc w:val="center"/>
              <w:rPr>
                <w:rFonts w:ascii="Times" w:hAnsi="Times"/>
              </w:rPr>
            </w:pPr>
            <w:r w:rsidRPr="00482A36">
              <w:t>$7,472.58</w:t>
            </w:r>
          </w:p>
        </w:tc>
        <w:tc>
          <w:tcPr>
            <w:tcW w:w="833" w:type="pct"/>
            <w:vAlign w:val="center"/>
          </w:tcPr>
          <w:p w14:paraId="2976A47D" w14:textId="6A978B0F" w:rsidR="002C0784" w:rsidRPr="00482A36" w:rsidRDefault="002C0784" w:rsidP="00E159E4">
            <w:pPr>
              <w:pStyle w:val="TableText0"/>
              <w:jc w:val="center"/>
              <w:rPr>
                <w:rFonts w:ascii="Times" w:hAnsi="Times"/>
              </w:rPr>
            </w:pPr>
            <w:r w:rsidRPr="00482A36">
              <w:t>$</w:t>
            </w:r>
            <w:r w:rsidR="00474E21" w:rsidRPr="00474E21">
              <w:rPr>
                <w:color w:val="000000"/>
                <w:shd w:val="solid" w:color="000000" w:fill="000000"/>
                <w14:textFill>
                  <w14:solidFill>
                    <w14:srgbClr w14:val="000000">
                      <w14:alpha w14:val="100000"/>
                    </w14:srgbClr>
                  </w14:solidFill>
                </w14:textFill>
              </w:rPr>
              <w:t>|</w:t>
            </w:r>
          </w:p>
        </w:tc>
      </w:tr>
      <w:tr w:rsidR="002C0784" w:rsidRPr="00482A36" w14:paraId="17FB5214" w14:textId="77777777">
        <w:tc>
          <w:tcPr>
            <w:tcW w:w="1543" w:type="pct"/>
            <w:vAlign w:val="center"/>
          </w:tcPr>
          <w:p w14:paraId="21E367BC" w14:textId="77777777" w:rsidR="002C0784" w:rsidRPr="00482A36" w:rsidRDefault="002C0784" w:rsidP="00E159E4">
            <w:pPr>
              <w:pStyle w:val="TableText0"/>
              <w:rPr>
                <w:rFonts w:ascii="Times" w:hAnsi="Times"/>
              </w:rPr>
            </w:pPr>
            <w:r w:rsidRPr="00482A36">
              <w:t>QALYs</w:t>
            </w:r>
          </w:p>
        </w:tc>
        <w:tc>
          <w:tcPr>
            <w:tcW w:w="1354" w:type="pct"/>
            <w:vAlign w:val="center"/>
          </w:tcPr>
          <w:p w14:paraId="2C0F4B00" w14:textId="77777777" w:rsidR="002C0784" w:rsidRPr="00482A36" w:rsidRDefault="002C0784" w:rsidP="00E159E4">
            <w:pPr>
              <w:pStyle w:val="TableText0"/>
              <w:jc w:val="center"/>
              <w:rPr>
                <w:rFonts w:ascii="Times" w:hAnsi="Times"/>
              </w:rPr>
            </w:pPr>
            <w:r w:rsidRPr="00482A36">
              <w:t>6.1928</w:t>
            </w:r>
          </w:p>
        </w:tc>
        <w:tc>
          <w:tcPr>
            <w:tcW w:w="1270" w:type="pct"/>
            <w:vAlign w:val="center"/>
          </w:tcPr>
          <w:p w14:paraId="61BCFF36" w14:textId="77777777" w:rsidR="002C0784" w:rsidRPr="00482A36" w:rsidRDefault="002C0784" w:rsidP="00E159E4">
            <w:pPr>
              <w:pStyle w:val="TableText0"/>
              <w:jc w:val="center"/>
              <w:rPr>
                <w:rFonts w:ascii="Times" w:hAnsi="Times"/>
              </w:rPr>
            </w:pPr>
            <w:r w:rsidRPr="00482A36">
              <w:t>6.0187</w:t>
            </w:r>
          </w:p>
        </w:tc>
        <w:tc>
          <w:tcPr>
            <w:tcW w:w="833" w:type="pct"/>
            <w:vAlign w:val="center"/>
          </w:tcPr>
          <w:p w14:paraId="2A97AE02" w14:textId="77777777" w:rsidR="002C0784" w:rsidRPr="00482A36" w:rsidRDefault="002C0784" w:rsidP="00E159E4">
            <w:pPr>
              <w:pStyle w:val="TableText0"/>
              <w:jc w:val="center"/>
            </w:pPr>
            <w:r w:rsidRPr="00482A36">
              <w:t>0.1741</w:t>
            </w:r>
          </w:p>
        </w:tc>
      </w:tr>
      <w:tr w:rsidR="002C0784" w:rsidRPr="00482A36" w14:paraId="782E760B" w14:textId="77777777">
        <w:tc>
          <w:tcPr>
            <w:tcW w:w="4167" w:type="pct"/>
            <w:gridSpan w:val="3"/>
            <w:vAlign w:val="center"/>
          </w:tcPr>
          <w:p w14:paraId="1F888A75" w14:textId="77777777" w:rsidR="002C0784" w:rsidRPr="00482A36" w:rsidRDefault="002C0784" w:rsidP="00E159E4">
            <w:pPr>
              <w:pStyle w:val="TableText0"/>
              <w:rPr>
                <w:rFonts w:ascii="Times" w:hAnsi="Times"/>
                <w:b/>
              </w:rPr>
            </w:pPr>
            <w:r w:rsidRPr="00482A36">
              <w:rPr>
                <w:b/>
              </w:rPr>
              <w:t>Incremental cost/extra QALY gained (base case)</w:t>
            </w:r>
          </w:p>
        </w:tc>
        <w:tc>
          <w:tcPr>
            <w:tcW w:w="833" w:type="pct"/>
            <w:vAlign w:val="center"/>
          </w:tcPr>
          <w:p w14:paraId="54345F07" w14:textId="5B7211C4" w:rsidR="002C0784" w:rsidRPr="00482A36" w:rsidRDefault="002C0784" w:rsidP="00E159E4">
            <w:pPr>
              <w:pStyle w:val="TableText0"/>
              <w:jc w:val="center"/>
              <w:rPr>
                <w:rFonts w:ascii="Times" w:hAnsi="Times"/>
                <w:b/>
              </w:rPr>
            </w:pPr>
            <w:r w:rsidRPr="00482A36">
              <w:rPr>
                <w:b/>
              </w:rPr>
              <w:t>$</w:t>
            </w:r>
            <w:r w:rsidR="00474E21" w:rsidRPr="00474E21">
              <w:rPr>
                <w:b/>
                <w:color w:val="000000"/>
                <w:shd w:val="solid" w:color="000000" w:fill="000000"/>
                <w14:textFill>
                  <w14:solidFill>
                    <w14:srgbClr w14:val="000000">
                      <w14:alpha w14:val="100000"/>
                    </w14:srgbClr>
                  </w14:solidFill>
                </w14:textFill>
              </w:rPr>
              <w:t>|</w:t>
            </w:r>
            <w:r w:rsidR="00AA5533">
              <w:rPr>
                <w:bCs w:val="0"/>
                <w:vertAlign w:val="superscript"/>
              </w:rPr>
              <w:t>3</w:t>
            </w:r>
          </w:p>
        </w:tc>
      </w:tr>
    </w:tbl>
    <w:p w14:paraId="4CAC8C6A" w14:textId="77777777" w:rsidR="002C0784" w:rsidRPr="00FD5102" w:rsidRDefault="002C0784" w:rsidP="00E159E4">
      <w:pPr>
        <w:pStyle w:val="TableFigureFooter"/>
        <w:keepNext/>
        <w:rPr>
          <w:iCs/>
        </w:rPr>
      </w:pPr>
      <w:r w:rsidRPr="00482A36">
        <w:t>Source: Table 104, p253 of the submission and complied during the evaluation.</w:t>
      </w:r>
    </w:p>
    <w:p w14:paraId="46535CF5" w14:textId="06EF8CB8" w:rsidR="002C0784" w:rsidRDefault="002C0784" w:rsidP="00E159E4">
      <w:pPr>
        <w:pStyle w:val="TableFigureFooter"/>
        <w:keepNext/>
      </w:pPr>
      <w:r w:rsidRPr="00482A36">
        <w:t>ABT = add-back therapy; BMD = bone mineral density; LGX = linzagolix; NR = not reported in submission or EXCEL spreadsheet submitted.</w:t>
      </w:r>
    </w:p>
    <w:p w14:paraId="0BD3F2E5" w14:textId="47CB0BD7" w:rsidR="00CA2C61" w:rsidRDefault="00CA2C61" w:rsidP="00AA5533">
      <w:pPr>
        <w:pStyle w:val="TableFigureFooter"/>
        <w:keepNext/>
        <w:spacing w:after="0"/>
        <w:rPr>
          <w:iCs/>
        </w:rPr>
      </w:pPr>
      <w:r w:rsidRPr="00616367">
        <w:rPr>
          <w:iCs/>
          <w:vertAlign w:val="superscript"/>
        </w:rPr>
        <w:t xml:space="preserve">a </w:t>
      </w:r>
      <w:r w:rsidRPr="00616367">
        <w:rPr>
          <w:iCs/>
        </w:rPr>
        <w:t>This step could not be verified by the evaluation.</w:t>
      </w:r>
    </w:p>
    <w:p w14:paraId="6F3CA51E" w14:textId="77777777" w:rsidR="00AA5533" w:rsidRPr="00AA5533" w:rsidRDefault="00AA5533" w:rsidP="00AA5533">
      <w:pPr>
        <w:pStyle w:val="FooterTableFigure"/>
        <w:keepNext/>
        <w:rPr>
          <w:i/>
        </w:rPr>
      </w:pPr>
      <w:r w:rsidRPr="00AA5533">
        <w:rPr>
          <w:i/>
        </w:rPr>
        <w:t xml:space="preserve">The redacted values correspond to the following ranges: </w:t>
      </w:r>
    </w:p>
    <w:p w14:paraId="0497640B" w14:textId="0BD0F50E" w:rsidR="00AA5533" w:rsidRPr="00AA5533" w:rsidRDefault="00AA5533" w:rsidP="00AA5533">
      <w:pPr>
        <w:pStyle w:val="FooterTableFigure"/>
        <w:keepNext/>
        <w:rPr>
          <w:i/>
        </w:rPr>
      </w:pPr>
      <w:r w:rsidRPr="00AA5533">
        <w:rPr>
          <w:i/>
          <w:vertAlign w:val="superscript"/>
        </w:rPr>
        <w:t>1</w:t>
      </w:r>
      <w:r w:rsidRPr="00AA5533">
        <w:rPr>
          <w:i/>
        </w:rPr>
        <w:t xml:space="preserve"> $0 to &lt; $5,000</w:t>
      </w:r>
    </w:p>
    <w:p w14:paraId="3EE59C17" w14:textId="57CB3703" w:rsidR="00AA5533" w:rsidRPr="00AA5533" w:rsidRDefault="00AA5533" w:rsidP="00AA5533">
      <w:pPr>
        <w:pStyle w:val="FooterTableFigure"/>
        <w:keepNext/>
        <w:rPr>
          <w:i/>
        </w:rPr>
      </w:pPr>
      <w:r w:rsidRPr="00AA5533">
        <w:rPr>
          <w:i/>
          <w:vertAlign w:val="superscript"/>
        </w:rPr>
        <w:t>2</w:t>
      </w:r>
      <w:r w:rsidRPr="00AA5533">
        <w:rPr>
          <w:i/>
        </w:rPr>
        <w:t xml:space="preserve"> $</w:t>
      </w:r>
      <w:r>
        <w:rPr>
          <w:i/>
        </w:rPr>
        <w:t>5</w:t>
      </w:r>
      <w:r w:rsidRPr="00AA5533">
        <w:rPr>
          <w:i/>
        </w:rPr>
        <w:t>5,000 to &lt; $</w:t>
      </w:r>
      <w:r>
        <w:rPr>
          <w:i/>
        </w:rPr>
        <w:t>7</w:t>
      </w:r>
      <w:r w:rsidRPr="00AA5533">
        <w:rPr>
          <w:i/>
        </w:rPr>
        <w:t>5,000</w:t>
      </w:r>
    </w:p>
    <w:p w14:paraId="09A1EAA3" w14:textId="17453F99" w:rsidR="00AA5533" w:rsidRPr="00AA5533" w:rsidRDefault="00AA5533" w:rsidP="00AA5533">
      <w:pPr>
        <w:pStyle w:val="FooterTableFigure"/>
        <w:keepNext/>
        <w:rPr>
          <w:i/>
        </w:rPr>
      </w:pPr>
      <w:r w:rsidRPr="00AA5533">
        <w:rPr>
          <w:i/>
          <w:vertAlign w:val="superscript"/>
        </w:rPr>
        <w:t>3</w:t>
      </w:r>
      <w:r w:rsidRPr="00AA5533">
        <w:rPr>
          <w:i/>
        </w:rPr>
        <w:t xml:space="preserve"> $</w:t>
      </w:r>
      <w:r>
        <w:rPr>
          <w:i/>
        </w:rPr>
        <w:t>4</w:t>
      </w:r>
      <w:r w:rsidRPr="00AA5533">
        <w:rPr>
          <w:i/>
        </w:rPr>
        <w:t>5,000 to &lt; $</w:t>
      </w:r>
      <w:r>
        <w:rPr>
          <w:i/>
        </w:rPr>
        <w:t>5</w:t>
      </w:r>
      <w:r w:rsidRPr="00AA5533">
        <w:rPr>
          <w:i/>
        </w:rPr>
        <w:t>5,000</w:t>
      </w:r>
    </w:p>
    <w:p w14:paraId="26EFF33D" w14:textId="20A8431B" w:rsidR="00AA5533" w:rsidRPr="00AA5533" w:rsidRDefault="00AA5533" w:rsidP="00AA5533">
      <w:pPr>
        <w:pStyle w:val="FooterTableFigure"/>
        <w:rPr>
          <w:i/>
        </w:rPr>
      </w:pPr>
      <w:r w:rsidRPr="00AA5533">
        <w:rPr>
          <w:i/>
          <w:vertAlign w:val="superscript"/>
        </w:rPr>
        <w:t>4</w:t>
      </w:r>
      <w:r w:rsidRPr="00AA5533">
        <w:rPr>
          <w:i/>
        </w:rPr>
        <w:t xml:space="preserve"> $</w:t>
      </w:r>
      <w:r>
        <w:rPr>
          <w:i/>
        </w:rPr>
        <w:t>3</w:t>
      </w:r>
      <w:r w:rsidRPr="00AA5533">
        <w:rPr>
          <w:i/>
        </w:rPr>
        <w:t>5,000 to &lt; $</w:t>
      </w:r>
      <w:r>
        <w:rPr>
          <w:i/>
        </w:rPr>
        <w:t>4</w:t>
      </w:r>
      <w:r w:rsidRPr="00AA5533">
        <w:rPr>
          <w:i/>
        </w:rPr>
        <w:t>5,000</w:t>
      </w:r>
    </w:p>
    <w:p w14:paraId="2636C91F" w14:textId="7D6FDA4D" w:rsidR="001C39B9" w:rsidRPr="00FD5102" w:rsidRDefault="002C0784" w:rsidP="001C39B9">
      <w:pPr>
        <w:pStyle w:val="3-BodyText"/>
      </w:pPr>
      <w:r w:rsidRPr="00482A36">
        <w:t xml:space="preserve">The results of key sensitivity analyses are summarised in </w:t>
      </w:r>
      <w:r w:rsidRPr="00482A36">
        <w:fldChar w:fldCharType="begin"/>
      </w:r>
      <w:r w:rsidRPr="00482A36">
        <w:instrText xml:space="preserve"> REF _Ref165904506 \h  \* MERGEFORMAT </w:instrText>
      </w:r>
      <w:r w:rsidRPr="00482A36">
        <w:fldChar w:fldCharType="separate"/>
      </w:r>
      <w:r w:rsidR="003E4FD0" w:rsidRPr="003E4FD0">
        <w:t>Table 14</w:t>
      </w:r>
      <w:r w:rsidRPr="00482A36">
        <w:fldChar w:fldCharType="end"/>
      </w:r>
      <w:r w:rsidRPr="00482A36">
        <w:t xml:space="preserve">. </w:t>
      </w:r>
      <w:bookmarkStart w:id="69" w:name="_Ref104804865"/>
      <w:r w:rsidRPr="00616367">
        <w:rPr>
          <w:iCs/>
        </w:rPr>
        <w:t>The results were most sensitive to the utility gain from remission (i.e., remission versus HMB), starting age of all patients and probability of surgery</w:t>
      </w:r>
      <w:bookmarkStart w:id="70" w:name="_Ref165555257"/>
      <w:bookmarkEnd w:id="69"/>
      <w:r w:rsidR="0035768D" w:rsidRPr="00616367">
        <w:rPr>
          <w:iCs/>
        </w:rPr>
        <w:t>.</w:t>
      </w:r>
      <w:r w:rsidR="00AF1063" w:rsidRPr="00616367">
        <w:rPr>
          <w:iCs/>
        </w:rPr>
        <w:t xml:space="preserve"> </w:t>
      </w:r>
      <w:r w:rsidR="001C39B9" w:rsidRPr="00616367">
        <w:rPr>
          <w:iCs/>
        </w:rPr>
        <w:t xml:space="preserve">A multivariate sensitivity analysis was also conducted during the evaluation to estimate results in a population </w:t>
      </w:r>
      <w:r w:rsidR="00945AA6">
        <w:rPr>
          <w:iCs/>
        </w:rPr>
        <w:t xml:space="preserve">that may be </w:t>
      </w:r>
      <w:r w:rsidR="001C39B9" w:rsidRPr="00616367">
        <w:rPr>
          <w:iCs/>
        </w:rPr>
        <w:t>more aligned with the clinical evidence</w:t>
      </w:r>
      <w:r w:rsidR="00945AA6">
        <w:rPr>
          <w:iCs/>
        </w:rPr>
        <w:t>,</w:t>
      </w:r>
      <w:r w:rsidR="001C39B9" w:rsidRPr="00616367">
        <w:rPr>
          <w:iCs/>
        </w:rPr>
        <w:t xml:space="preserve"> </w:t>
      </w:r>
      <w:r w:rsidR="00C644ED" w:rsidRPr="00616367">
        <w:rPr>
          <w:iCs/>
        </w:rPr>
        <w:t xml:space="preserve">using </w:t>
      </w:r>
      <w:r w:rsidR="001C39B9" w:rsidRPr="00616367">
        <w:rPr>
          <w:iCs/>
        </w:rPr>
        <w:t>MBL response at week 24 f</w:t>
      </w:r>
      <w:r w:rsidR="00C644ED" w:rsidRPr="00616367">
        <w:rPr>
          <w:iCs/>
        </w:rPr>
        <w:t xml:space="preserve">rom the linzagolix 200 mg </w:t>
      </w:r>
      <w:r w:rsidR="001C39B9" w:rsidRPr="00616367">
        <w:rPr>
          <w:iCs/>
        </w:rPr>
        <w:t xml:space="preserve">versus placebo </w:t>
      </w:r>
      <w:r w:rsidR="00C644ED" w:rsidRPr="00616367">
        <w:rPr>
          <w:iCs/>
        </w:rPr>
        <w:t xml:space="preserve">arms of pooled PRIMROSE 1 and 2 </w:t>
      </w:r>
      <w:r w:rsidR="00182D2C">
        <w:rPr>
          <w:iCs/>
        </w:rPr>
        <w:t xml:space="preserve">considered by the evaluation as more appropriate </w:t>
      </w:r>
      <w:r w:rsidR="001C39B9" w:rsidRPr="00616367">
        <w:rPr>
          <w:iCs/>
        </w:rPr>
        <w:t xml:space="preserve">as proxies for </w:t>
      </w:r>
      <w:r w:rsidR="00C644ED" w:rsidRPr="00616367">
        <w:rPr>
          <w:iCs/>
        </w:rPr>
        <w:t xml:space="preserve">results </w:t>
      </w:r>
      <w:r w:rsidR="001C39B9" w:rsidRPr="00616367">
        <w:rPr>
          <w:iCs/>
        </w:rPr>
        <w:t>in a first line setting in patients unsuitable for hormone treatments. This sensitivity analysis also assumed utility values adjusted for baseline utility</w:t>
      </w:r>
      <w:r w:rsidR="003959DC">
        <w:rPr>
          <w:iCs/>
        </w:rPr>
        <w:t xml:space="preserve"> </w:t>
      </w:r>
      <w:r w:rsidR="003959DC" w:rsidRPr="00FD5102">
        <w:t>(UFS-QoL from pooled PRIMROSE trials to UK EQ-</w:t>
      </w:r>
      <w:r w:rsidR="003959DC" w:rsidRPr="00FD5102">
        <w:lastRenderedPageBreak/>
        <w:t>5D-3L values)</w:t>
      </w:r>
      <w:r w:rsidR="001C39B9" w:rsidRPr="00616367">
        <w:rPr>
          <w:iCs/>
        </w:rPr>
        <w:t xml:space="preserve">. The estimated ICER was increased to </w:t>
      </w:r>
      <w:r w:rsidR="00AA5533" w:rsidRPr="00AA5533">
        <w:rPr>
          <w:iCs/>
        </w:rPr>
        <w:t>$</w:t>
      </w:r>
      <w:r w:rsidR="00AA5533">
        <w:rPr>
          <w:iCs/>
        </w:rPr>
        <w:t>9</w:t>
      </w:r>
      <w:r w:rsidR="00AA5533" w:rsidRPr="00AA5533">
        <w:rPr>
          <w:iCs/>
        </w:rPr>
        <w:t>5,000 to &lt; $</w:t>
      </w:r>
      <w:r w:rsidR="00AA5533">
        <w:rPr>
          <w:iCs/>
        </w:rPr>
        <w:t>15</w:t>
      </w:r>
      <w:r w:rsidR="00AA5533" w:rsidRPr="00AA5533">
        <w:rPr>
          <w:iCs/>
        </w:rPr>
        <w:t>5,000</w:t>
      </w:r>
      <w:r w:rsidR="001C39B9" w:rsidRPr="00616367">
        <w:rPr>
          <w:iCs/>
        </w:rPr>
        <w:t>/QALY gained</w:t>
      </w:r>
      <w:r w:rsidR="00C644ED" w:rsidRPr="00616367">
        <w:rPr>
          <w:iCs/>
        </w:rPr>
        <w:t xml:space="preserve"> from a base case of </w:t>
      </w:r>
      <w:r w:rsidR="00AA5533" w:rsidRPr="00AA5533">
        <w:rPr>
          <w:iCs/>
        </w:rPr>
        <w:t>$45,000 to &lt; $55,000</w:t>
      </w:r>
      <w:r w:rsidR="00C644ED" w:rsidRPr="00616367">
        <w:rPr>
          <w:iCs/>
        </w:rPr>
        <w:t>/QALY gained</w:t>
      </w:r>
      <w:r w:rsidR="001C39B9" w:rsidRPr="00616367">
        <w:rPr>
          <w:iCs/>
        </w:rPr>
        <w:t>.</w:t>
      </w:r>
    </w:p>
    <w:p w14:paraId="3D38A44A" w14:textId="106D57F1" w:rsidR="002C0784" w:rsidRPr="00616367" w:rsidRDefault="002C0784" w:rsidP="00875FC4">
      <w:pPr>
        <w:pStyle w:val="3-BodyText"/>
        <w:numPr>
          <w:ilvl w:val="0"/>
          <w:numId w:val="0"/>
        </w:numPr>
        <w:spacing w:after="0"/>
        <w:rPr>
          <w:rStyle w:val="CommentReference"/>
          <w:iCs/>
          <w:szCs w:val="20"/>
        </w:rPr>
      </w:pPr>
      <w:bookmarkStart w:id="71" w:name="_Ref165904506"/>
      <w:r w:rsidRPr="00806A1E">
        <w:rPr>
          <w:rFonts w:ascii="Arial Narrow" w:hAnsi="Arial Narrow"/>
          <w:b/>
          <w:bCs/>
          <w:sz w:val="20"/>
          <w:szCs w:val="20"/>
        </w:rPr>
        <w:t xml:space="preserve">Table </w:t>
      </w:r>
      <w:r w:rsidRPr="00806A1E">
        <w:rPr>
          <w:rFonts w:ascii="Arial Narrow" w:hAnsi="Arial Narrow"/>
          <w:b/>
          <w:bCs/>
          <w:sz w:val="20"/>
          <w:szCs w:val="20"/>
        </w:rPr>
        <w:fldChar w:fldCharType="begin"/>
      </w:r>
      <w:r w:rsidRPr="00806A1E">
        <w:rPr>
          <w:rFonts w:ascii="Arial Narrow" w:hAnsi="Arial Narrow"/>
          <w:b/>
          <w:bCs/>
          <w:sz w:val="20"/>
          <w:szCs w:val="20"/>
        </w:rPr>
        <w:instrText xml:space="preserve"> SEQ Table \* ARABIC </w:instrText>
      </w:r>
      <w:r w:rsidRPr="00806A1E">
        <w:rPr>
          <w:rFonts w:ascii="Arial Narrow" w:hAnsi="Arial Narrow"/>
          <w:b/>
          <w:bCs/>
          <w:sz w:val="20"/>
          <w:szCs w:val="20"/>
        </w:rPr>
        <w:fldChar w:fldCharType="separate"/>
      </w:r>
      <w:r w:rsidR="003E4FD0">
        <w:rPr>
          <w:rFonts w:ascii="Arial Narrow" w:hAnsi="Arial Narrow"/>
          <w:b/>
          <w:bCs/>
          <w:noProof/>
          <w:sz w:val="20"/>
          <w:szCs w:val="20"/>
        </w:rPr>
        <w:t>14</w:t>
      </w:r>
      <w:r w:rsidRPr="00806A1E">
        <w:rPr>
          <w:rFonts w:ascii="Arial Narrow" w:hAnsi="Arial Narrow"/>
          <w:b/>
          <w:bCs/>
          <w:noProof/>
          <w:sz w:val="20"/>
          <w:szCs w:val="20"/>
        </w:rPr>
        <w:fldChar w:fldCharType="end"/>
      </w:r>
      <w:bookmarkEnd w:id="70"/>
      <w:bookmarkEnd w:id="71"/>
      <w:r w:rsidRPr="00806A1E">
        <w:rPr>
          <w:rFonts w:ascii="Arial Narrow" w:hAnsi="Arial Narrow"/>
          <w:b/>
          <w:bCs/>
          <w:sz w:val="20"/>
          <w:szCs w:val="20"/>
        </w:rPr>
        <w:t>:</w:t>
      </w:r>
      <w:r w:rsidRPr="00806A1E">
        <w:rPr>
          <w:rStyle w:val="CommentReference"/>
          <w:b w:val="0"/>
          <w:bCs/>
          <w:szCs w:val="20"/>
        </w:rPr>
        <w:t xml:space="preserve"> </w:t>
      </w:r>
      <w:r w:rsidRPr="00806A1E">
        <w:rPr>
          <w:rStyle w:val="CommentReference"/>
          <w:szCs w:val="20"/>
        </w:rPr>
        <w:t>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sensitivity analyses"/>
      </w:tblPr>
      <w:tblGrid>
        <w:gridCol w:w="4672"/>
        <w:gridCol w:w="1132"/>
        <w:gridCol w:w="1133"/>
        <w:gridCol w:w="1140"/>
        <w:gridCol w:w="940"/>
      </w:tblGrid>
      <w:tr w:rsidR="00FF4A90" w:rsidRPr="00482A36" w14:paraId="77E504F7" w14:textId="77777777" w:rsidTr="00FF4A90">
        <w:trPr>
          <w:cantSplit/>
          <w:trHeight w:val="20"/>
          <w:tblHeader/>
        </w:trPr>
        <w:tc>
          <w:tcPr>
            <w:tcW w:w="2591" w:type="pct"/>
            <w:vAlign w:val="center"/>
          </w:tcPr>
          <w:p w14:paraId="41037B5B" w14:textId="77777777" w:rsidR="002C0784" w:rsidRPr="00482A36" w:rsidRDefault="002C0784" w:rsidP="00875FC4">
            <w:pPr>
              <w:pStyle w:val="In-tableHeading"/>
              <w:keepNext w:val="0"/>
              <w:rPr>
                <w:lang w:val="en-AU"/>
              </w:rPr>
            </w:pPr>
            <w:r w:rsidRPr="00482A36">
              <w:rPr>
                <w:lang w:val="en-AU"/>
              </w:rPr>
              <w:t>Analyses</w:t>
            </w:r>
          </w:p>
        </w:tc>
        <w:tc>
          <w:tcPr>
            <w:tcW w:w="628" w:type="pct"/>
            <w:vAlign w:val="center"/>
          </w:tcPr>
          <w:p w14:paraId="3DA02F0C" w14:textId="6C474461" w:rsidR="002C0784" w:rsidRPr="00482A36" w:rsidRDefault="002C0784" w:rsidP="00875FC4">
            <w:pPr>
              <w:pStyle w:val="In-tableHeading"/>
              <w:keepNext w:val="0"/>
              <w:jc w:val="center"/>
              <w:rPr>
                <w:lang w:val="en-AU"/>
              </w:rPr>
            </w:pPr>
            <w:r w:rsidRPr="00482A36">
              <w:rPr>
                <w:lang w:val="en-AU"/>
              </w:rPr>
              <w:t>Incremental cost</w:t>
            </w:r>
            <w:r w:rsidR="007363B3">
              <w:rPr>
                <w:lang w:val="en-AU"/>
              </w:rPr>
              <w:t xml:space="preserve"> ($)</w:t>
            </w:r>
          </w:p>
        </w:tc>
        <w:tc>
          <w:tcPr>
            <w:tcW w:w="628" w:type="pct"/>
            <w:vAlign w:val="center"/>
          </w:tcPr>
          <w:p w14:paraId="4539A2CB" w14:textId="77777777" w:rsidR="002C0784" w:rsidRPr="00482A36" w:rsidRDefault="002C0784" w:rsidP="00875FC4">
            <w:pPr>
              <w:pStyle w:val="In-tableHeading"/>
              <w:keepNext w:val="0"/>
              <w:jc w:val="center"/>
              <w:rPr>
                <w:lang w:val="en-AU"/>
              </w:rPr>
            </w:pPr>
            <w:r w:rsidRPr="00482A36">
              <w:rPr>
                <w:lang w:val="en-AU"/>
              </w:rPr>
              <w:t>Incremental QALY</w:t>
            </w:r>
          </w:p>
        </w:tc>
        <w:tc>
          <w:tcPr>
            <w:tcW w:w="631" w:type="pct"/>
            <w:vAlign w:val="center"/>
          </w:tcPr>
          <w:p w14:paraId="4F2731DE" w14:textId="04001715" w:rsidR="002C0784" w:rsidRPr="00482A36" w:rsidRDefault="002C0784" w:rsidP="00875FC4">
            <w:pPr>
              <w:pStyle w:val="In-tableHeading"/>
              <w:keepNext w:val="0"/>
              <w:jc w:val="center"/>
              <w:rPr>
                <w:lang w:val="en-AU"/>
              </w:rPr>
            </w:pPr>
            <w:r w:rsidRPr="00482A36">
              <w:rPr>
                <w:lang w:val="en-AU"/>
              </w:rPr>
              <w:t>ICER</w:t>
            </w:r>
            <w:r w:rsidR="007363B3">
              <w:rPr>
                <w:lang w:val="en-AU"/>
              </w:rPr>
              <w:t xml:space="preserve"> ($)</w:t>
            </w:r>
          </w:p>
        </w:tc>
        <w:tc>
          <w:tcPr>
            <w:tcW w:w="521" w:type="pct"/>
            <w:vAlign w:val="center"/>
          </w:tcPr>
          <w:p w14:paraId="2DB0EF9C" w14:textId="77777777" w:rsidR="002C0784" w:rsidRPr="00482A36" w:rsidRDefault="002C0784" w:rsidP="00875FC4">
            <w:pPr>
              <w:pStyle w:val="In-tableHeading"/>
              <w:keepNext w:val="0"/>
              <w:jc w:val="center"/>
              <w:rPr>
                <w:lang w:val="en-AU"/>
              </w:rPr>
            </w:pPr>
            <w:r w:rsidRPr="00482A36">
              <w:rPr>
                <w:lang w:val="en-AU"/>
              </w:rPr>
              <w:t>% change to ICER</w:t>
            </w:r>
          </w:p>
        </w:tc>
      </w:tr>
      <w:tr w:rsidR="00FF4A90" w:rsidRPr="00482A36" w14:paraId="16001861" w14:textId="77777777" w:rsidTr="00FF4A90">
        <w:trPr>
          <w:cantSplit/>
          <w:trHeight w:val="20"/>
        </w:trPr>
        <w:tc>
          <w:tcPr>
            <w:tcW w:w="2591" w:type="pct"/>
            <w:vAlign w:val="center"/>
          </w:tcPr>
          <w:p w14:paraId="27FC7B02" w14:textId="77777777" w:rsidR="002C0784" w:rsidRPr="00482A36" w:rsidRDefault="002C0784" w:rsidP="00875FC4">
            <w:pPr>
              <w:pStyle w:val="TableText0"/>
              <w:keepNext w:val="0"/>
              <w:rPr>
                <w:b/>
              </w:rPr>
            </w:pPr>
            <w:r w:rsidRPr="00482A36">
              <w:rPr>
                <w:b/>
              </w:rPr>
              <w:t>Base case</w:t>
            </w:r>
          </w:p>
        </w:tc>
        <w:tc>
          <w:tcPr>
            <w:tcW w:w="628" w:type="pct"/>
            <w:vAlign w:val="center"/>
          </w:tcPr>
          <w:p w14:paraId="1C07B832" w14:textId="2C7727EB" w:rsidR="002C0784" w:rsidRPr="00482A36" w:rsidRDefault="00474E21" w:rsidP="00875FC4">
            <w:pPr>
              <w:pStyle w:val="TableText0"/>
              <w:keepNext w:val="0"/>
              <w:jc w:val="center"/>
              <w:rPr>
                <w:b/>
                <w:highlight w:val="black"/>
              </w:rPr>
            </w:pPr>
            <w:r w:rsidRPr="00474E21">
              <w:rPr>
                <w:rFonts w:hint="eastAsia"/>
                <w:b/>
                <w:color w:val="000000"/>
                <w:w w:val="15"/>
                <w:shd w:val="solid" w:color="000000" w:fill="000000"/>
                <w:fitText w:val="50" w:id="-894212601"/>
                <w14:textFill>
                  <w14:solidFill>
                    <w14:srgbClr w14:val="000000">
                      <w14:alpha w14:val="100000"/>
                    </w14:srgbClr>
                  </w14:solidFill>
                </w14:textFill>
              </w:rPr>
              <w:t xml:space="preserve">　</w:t>
            </w:r>
            <w:r w:rsidRPr="00474E21">
              <w:rPr>
                <w:b/>
                <w:color w:val="000000"/>
                <w:w w:val="15"/>
                <w:shd w:val="solid" w:color="000000" w:fill="000000"/>
                <w:fitText w:val="50" w:id="-894212601"/>
                <w14:textFill>
                  <w14:solidFill>
                    <w14:srgbClr w14:val="000000">
                      <w14:alpha w14:val="100000"/>
                    </w14:srgbClr>
                  </w14:solidFill>
                </w14:textFill>
              </w:rPr>
              <w:t>|</w:t>
            </w:r>
            <w:r w:rsidRPr="00474E21">
              <w:rPr>
                <w:rFonts w:hint="eastAsia"/>
                <w:b/>
                <w:color w:val="000000"/>
                <w:spacing w:val="-16"/>
                <w:w w:val="15"/>
                <w:shd w:val="solid" w:color="000000" w:fill="000000"/>
                <w:fitText w:val="50" w:id="-894212601"/>
                <w14:textFill>
                  <w14:solidFill>
                    <w14:srgbClr w14:val="000000">
                      <w14:alpha w14:val="100000"/>
                    </w14:srgbClr>
                  </w14:solidFill>
                </w14:textFill>
              </w:rPr>
              <w:t xml:space="preserve">　</w:t>
            </w:r>
            <w:r w:rsidR="007363B3">
              <w:rPr>
                <w:b/>
              </w:rPr>
              <w:t xml:space="preserve"> </w:t>
            </w:r>
          </w:p>
        </w:tc>
        <w:tc>
          <w:tcPr>
            <w:tcW w:w="628" w:type="pct"/>
            <w:vAlign w:val="center"/>
          </w:tcPr>
          <w:p w14:paraId="6F32200A" w14:textId="77777777" w:rsidR="002C0784" w:rsidRPr="00482A36" w:rsidRDefault="002C0784" w:rsidP="00875FC4">
            <w:pPr>
              <w:pStyle w:val="TableText0"/>
              <w:keepNext w:val="0"/>
              <w:jc w:val="center"/>
              <w:rPr>
                <w:b/>
              </w:rPr>
            </w:pPr>
            <w:r w:rsidRPr="00482A36">
              <w:rPr>
                <w:b/>
              </w:rPr>
              <w:t>0.1741</w:t>
            </w:r>
          </w:p>
        </w:tc>
        <w:tc>
          <w:tcPr>
            <w:tcW w:w="631" w:type="pct"/>
            <w:vAlign w:val="center"/>
          </w:tcPr>
          <w:p w14:paraId="71042394" w14:textId="56EDA3FF" w:rsidR="002C0784" w:rsidRPr="007363B3" w:rsidRDefault="00474E21" w:rsidP="00875FC4">
            <w:pPr>
              <w:pStyle w:val="TableText0"/>
              <w:keepNext w:val="0"/>
              <w:jc w:val="center"/>
              <w:rPr>
                <w:b/>
                <w:highlight w:val="black"/>
                <w:vertAlign w:val="superscript"/>
              </w:rPr>
            </w:pPr>
            <w:r w:rsidRPr="00474E21">
              <w:rPr>
                <w:rFonts w:hint="eastAsia"/>
                <w:b/>
                <w:color w:val="000000"/>
                <w:w w:val="17"/>
                <w:shd w:val="solid" w:color="000000" w:fill="000000"/>
                <w:fitText w:val="80" w:id="-894212600"/>
                <w14:textFill>
                  <w14:solidFill>
                    <w14:srgbClr w14:val="000000">
                      <w14:alpha w14:val="100000"/>
                    </w14:srgbClr>
                  </w14:solidFill>
                </w14:textFill>
              </w:rPr>
              <w:t xml:space="preserve">　</w:t>
            </w:r>
            <w:r w:rsidRPr="00474E21">
              <w:rPr>
                <w:b/>
                <w:color w:val="000000"/>
                <w:w w:val="17"/>
                <w:shd w:val="solid" w:color="000000" w:fill="000000"/>
                <w:fitText w:val="80" w:id="-894212600"/>
                <w14:textFill>
                  <w14:solidFill>
                    <w14:srgbClr w14:val="000000">
                      <w14:alpha w14:val="100000"/>
                    </w14:srgbClr>
                  </w14:solidFill>
                </w14:textFill>
              </w:rPr>
              <w:t>|</w:t>
            </w:r>
            <w:r w:rsidRPr="00474E21">
              <w:rPr>
                <w:rFonts w:hint="eastAsia"/>
                <w:b/>
                <w:color w:val="000000"/>
                <w:spacing w:val="6"/>
                <w:w w:val="17"/>
                <w:shd w:val="solid" w:color="000000" w:fill="000000"/>
                <w:fitText w:val="80" w:id="-894212600"/>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46D5E006" w14:textId="77777777" w:rsidR="002C0784" w:rsidRPr="00482A36" w:rsidRDefault="002C0784" w:rsidP="00875FC4">
            <w:pPr>
              <w:pStyle w:val="TableText0"/>
              <w:keepNext w:val="0"/>
              <w:jc w:val="center"/>
              <w:rPr>
                <w:rFonts w:eastAsia="Calibri"/>
                <w:b/>
                <w:szCs w:val="20"/>
              </w:rPr>
            </w:pPr>
            <w:r w:rsidRPr="00482A36">
              <w:rPr>
                <w:rFonts w:eastAsia="Calibri"/>
                <w:b/>
                <w:szCs w:val="20"/>
              </w:rPr>
              <w:t>-</w:t>
            </w:r>
          </w:p>
        </w:tc>
      </w:tr>
      <w:tr w:rsidR="002C0784" w:rsidRPr="00482A36" w14:paraId="2CE8CF04" w14:textId="77777777" w:rsidTr="00FF4A90">
        <w:trPr>
          <w:cantSplit/>
          <w:trHeight w:val="20"/>
        </w:trPr>
        <w:tc>
          <w:tcPr>
            <w:tcW w:w="4479" w:type="pct"/>
            <w:gridSpan w:val="4"/>
            <w:vAlign w:val="center"/>
          </w:tcPr>
          <w:p w14:paraId="1CB3FEAF" w14:textId="48998DCB" w:rsidR="002C0784" w:rsidRPr="00482A36" w:rsidRDefault="002C0784" w:rsidP="00875FC4">
            <w:pPr>
              <w:pStyle w:val="TableText0"/>
              <w:keepNext w:val="0"/>
            </w:pPr>
            <w:r w:rsidRPr="00482A36">
              <w:t>Time horizon</w:t>
            </w:r>
            <w:r w:rsidR="00C67394" w:rsidRPr="00482A36">
              <w:t xml:space="preserve"> </w:t>
            </w:r>
            <w:r w:rsidRPr="00482A36">
              <w:rPr>
                <w:vertAlign w:val="superscript"/>
              </w:rPr>
              <w:t>a</w:t>
            </w:r>
            <w:r w:rsidRPr="00482A36">
              <w:t xml:space="preserve"> (base case 3-21 years)</w:t>
            </w:r>
          </w:p>
        </w:tc>
        <w:tc>
          <w:tcPr>
            <w:tcW w:w="521" w:type="pct"/>
          </w:tcPr>
          <w:p w14:paraId="403E30F4" w14:textId="77777777" w:rsidR="002C0784" w:rsidRPr="00482A36" w:rsidRDefault="002C0784" w:rsidP="00875FC4">
            <w:pPr>
              <w:pStyle w:val="TableText0"/>
              <w:keepNext w:val="0"/>
            </w:pPr>
          </w:p>
        </w:tc>
      </w:tr>
      <w:tr w:rsidR="00FF4A90" w:rsidRPr="00616367" w14:paraId="3A06B84D" w14:textId="77777777" w:rsidTr="00FF4A90">
        <w:trPr>
          <w:cantSplit/>
          <w:trHeight w:val="20"/>
        </w:trPr>
        <w:tc>
          <w:tcPr>
            <w:tcW w:w="2591" w:type="pct"/>
            <w:vAlign w:val="center"/>
          </w:tcPr>
          <w:p w14:paraId="7A5AA624" w14:textId="77777777" w:rsidR="002C0784" w:rsidRPr="00616367" w:rsidRDefault="002C0784" w:rsidP="00875FC4">
            <w:pPr>
              <w:pStyle w:val="TableText0"/>
              <w:keepNext w:val="0"/>
              <w:ind w:left="107"/>
            </w:pPr>
            <w:r w:rsidRPr="00616367">
              <w:t>21 years</w:t>
            </w:r>
          </w:p>
        </w:tc>
        <w:tc>
          <w:tcPr>
            <w:tcW w:w="628" w:type="pct"/>
            <w:vAlign w:val="center"/>
          </w:tcPr>
          <w:p w14:paraId="02A49D2E" w14:textId="58367A0E" w:rsidR="002C0784" w:rsidRPr="00616367" w:rsidRDefault="00474E21" w:rsidP="00875FC4">
            <w:pPr>
              <w:pStyle w:val="TableText0"/>
              <w:keepNext w:val="0"/>
              <w:jc w:val="center"/>
              <w:rPr>
                <w:highlight w:val="black"/>
              </w:rPr>
            </w:pPr>
            <w:r w:rsidRPr="003E4FD0">
              <w:rPr>
                <w:rFonts w:eastAsia="Calibri" w:hint="eastAsia"/>
                <w:color w:val="000000"/>
                <w:w w:val="15"/>
                <w:szCs w:val="20"/>
                <w:shd w:val="solid" w:color="000000" w:fill="000000"/>
                <w:fitText w:val="10" w:id="-894212599"/>
                <w14:textFill>
                  <w14:solidFill>
                    <w14:srgbClr w14:val="000000">
                      <w14:alpha w14:val="100000"/>
                    </w14:srgbClr>
                  </w14:solidFill>
                </w14:textFill>
              </w:rPr>
              <w:t xml:space="preserve">　</w:t>
            </w:r>
            <w:r w:rsidRPr="003E4FD0">
              <w:rPr>
                <w:rFonts w:eastAsia="Calibri"/>
                <w:color w:val="000000"/>
                <w:w w:val="15"/>
                <w:szCs w:val="20"/>
                <w:shd w:val="solid" w:color="000000" w:fill="000000"/>
                <w:fitText w:val="10" w:id="-894212599"/>
                <w14:textFill>
                  <w14:solidFill>
                    <w14:srgbClr w14:val="000000">
                      <w14:alpha w14:val="100000"/>
                    </w14:srgbClr>
                  </w14:solidFill>
                </w14:textFill>
              </w:rPr>
              <w:t>|</w:t>
            </w:r>
            <w:r w:rsidRPr="003E4FD0">
              <w:rPr>
                <w:rFonts w:eastAsia="Calibri" w:hint="eastAsia"/>
                <w:color w:val="000000"/>
                <w:spacing w:val="-55"/>
                <w:w w:val="15"/>
                <w:szCs w:val="20"/>
                <w:shd w:val="solid" w:color="000000" w:fill="000000"/>
                <w:fitText w:val="10" w:id="-894212599"/>
                <w14:textFill>
                  <w14:solidFill>
                    <w14:srgbClr w14:val="000000">
                      <w14:alpha w14:val="100000"/>
                    </w14:srgbClr>
                  </w14:solidFill>
                </w14:textFill>
              </w:rPr>
              <w:t xml:space="preserve">　</w:t>
            </w:r>
            <w:r w:rsidR="007363B3">
              <w:rPr>
                <w:rFonts w:eastAsia="Calibri"/>
                <w:szCs w:val="20"/>
              </w:rPr>
              <w:t xml:space="preserve"> </w:t>
            </w:r>
          </w:p>
        </w:tc>
        <w:tc>
          <w:tcPr>
            <w:tcW w:w="628" w:type="pct"/>
            <w:vAlign w:val="center"/>
          </w:tcPr>
          <w:p w14:paraId="002EA8FC" w14:textId="77777777" w:rsidR="002C0784" w:rsidRPr="00616367" w:rsidRDefault="002C0784" w:rsidP="00875FC4">
            <w:pPr>
              <w:pStyle w:val="TableText0"/>
              <w:keepNext w:val="0"/>
              <w:jc w:val="center"/>
            </w:pPr>
            <w:r w:rsidRPr="00616367">
              <w:t>0.1743</w:t>
            </w:r>
          </w:p>
        </w:tc>
        <w:tc>
          <w:tcPr>
            <w:tcW w:w="631" w:type="pct"/>
            <w:vAlign w:val="center"/>
          </w:tcPr>
          <w:p w14:paraId="191572AA" w14:textId="2EB9CF3C" w:rsidR="002C0784" w:rsidRPr="00616367" w:rsidRDefault="00474E21" w:rsidP="00875FC4">
            <w:pPr>
              <w:pStyle w:val="TableText0"/>
              <w:keepNext w:val="0"/>
              <w:jc w:val="center"/>
              <w:rPr>
                <w:highlight w:val="black"/>
              </w:rPr>
            </w:pPr>
            <w:r w:rsidRPr="00474E21">
              <w:rPr>
                <w:rFonts w:eastAsia="Calibri" w:hint="eastAsia"/>
                <w:color w:val="000000"/>
                <w:w w:val="15"/>
                <w:szCs w:val="20"/>
                <w:shd w:val="solid" w:color="000000" w:fill="000000"/>
                <w:fitText w:val="40" w:id="-894212598"/>
                <w14:textFill>
                  <w14:solidFill>
                    <w14:srgbClr w14:val="000000">
                      <w14:alpha w14:val="100000"/>
                    </w14:srgbClr>
                  </w14:solidFill>
                </w14:textFill>
              </w:rPr>
              <w:t xml:space="preserve">　</w:t>
            </w:r>
            <w:r w:rsidRPr="00474E21">
              <w:rPr>
                <w:rFonts w:eastAsia="Calibri"/>
                <w:color w:val="000000"/>
                <w:w w:val="15"/>
                <w:szCs w:val="20"/>
                <w:shd w:val="solid" w:color="000000" w:fill="000000"/>
                <w:fitText w:val="40" w:id="-894212598"/>
                <w14:textFill>
                  <w14:solidFill>
                    <w14:srgbClr w14:val="000000">
                      <w14:alpha w14:val="100000"/>
                    </w14:srgbClr>
                  </w14:solidFill>
                </w14:textFill>
              </w:rPr>
              <w:t>|</w:t>
            </w:r>
            <w:r w:rsidRPr="00474E21">
              <w:rPr>
                <w:rFonts w:eastAsia="Calibri" w:hint="eastAsia"/>
                <w:color w:val="000000"/>
                <w:spacing w:val="-25"/>
                <w:w w:val="15"/>
                <w:szCs w:val="20"/>
                <w:shd w:val="solid" w:color="000000" w:fill="000000"/>
                <w:fitText w:val="40" w:id="-894212598"/>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66DCA730" w14:textId="13BF787A"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597"/>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597"/>
                <w14:textFill>
                  <w14:solidFill>
                    <w14:srgbClr w14:val="000000">
                      <w14:alpha w14:val="100000"/>
                    </w14:srgbClr>
                  </w14:solidFill>
                </w14:textFill>
              </w:rPr>
              <w:t>|</w:t>
            </w:r>
            <w:r w:rsidR="002C0784" w:rsidRPr="00616367">
              <w:rPr>
                <w:rFonts w:eastAsia="Calibri"/>
                <w:iCs/>
                <w:szCs w:val="20"/>
              </w:rPr>
              <w:t>%</w:t>
            </w:r>
          </w:p>
        </w:tc>
      </w:tr>
      <w:tr w:rsidR="00FF4A90" w:rsidRPr="00616367" w14:paraId="0CA7C96E" w14:textId="77777777" w:rsidTr="00FF4A90">
        <w:trPr>
          <w:cantSplit/>
          <w:trHeight w:val="20"/>
        </w:trPr>
        <w:tc>
          <w:tcPr>
            <w:tcW w:w="2591" w:type="pct"/>
            <w:vAlign w:val="center"/>
          </w:tcPr>
          <w:p w14:paraId="2ED92FF9" w14:textId="77777777" w:rsidR="002C0784" w:rsidRPr="00616367" w:rsidRDefault="002C0784" w:rsidP="00875FC4">
            <w:pPr>
              <w:pStyle w:val="TableText0"/>
              <w:keepNext w:val="0"/>
              <w:ind w:left="107"/>
            </w:pPr>
            <w:r w:rsidRPr="00616367">
              <w:t>10 years</w:t>
            </w:r>
          </w:p>
        </w:tc>
        <w:tc>
          <w:tcPr>
            <w:tcW w:w="628" w:type="pct"/>
            <w:vAlign w:val="center"/>
          </w:tcPr>
          <w:p w14:paraId="5D1240AB" w14:textId="50807E10" w:rsidR="002C0784" w:rsidRPr="00616367" w:rsidRDefault="00474E21" w:rsidP="00875FC4">
            <w:pPr>
              <w:pStyle w:val="TableText0"/>
              <w:keepNext w:val="0"/>
              <w:jc w:val="center"/>
              <w:rPr>
                <w:highlight w:val="black"/>
              </w:rPr>
            </w:pPr>
            <w:r w:rsidRPr="003E4FD0">
              <w:rPr>
                <w:rFonts w:eastAsia="Calibri" w:hint="eastAsia"/>
                <w:color w:val="000000"/>
                <w:w w:val="15"/>
                <w:szCs w:val="20"/>
                <w:shd w:val="solid" w:color="000000" w:fill="000000"/>
                <w:fitText w:val="10" w:id="-894212596"/>
                <w14:textFill>
                  <w14:solidFill>
                    <w14:srgbClr w14:val="000000">
                      <w14:alpha w14:val="100000"/>
                    </w14:srgbClr>
                  </w14:solidFill>
                </w14:textFill>
              </w:rPr>
              <w:t xml:space="preserve">　</w:t>
            </w:r>
            <w:r w:rsidRPr="003E4FD0">
              <w:rPr>
                <w:rFonts w:eastAsia="Calibri"/>
                <w:color w:val="000000"/>
                <w:w w:val="15"/>
                <w:szCs w:val="20"/>
                <w:shd w:val="solid" w:color="000000" w:fill="000000"/>
                <w:fitText w:val="10" w:id="-894212596"/>
                <w14:textFill>
                  <w14:solidFill>
                    <w14:srgbClr w14:val="000000">
                      <w14:alpha w14:val="100000"/>
                    </w14:srgbClr>
                  </w14:solidFill>
                </w14:textFill>
              </w:rPr>
              <w:t>|</w:t>
            </w:r>
            <w:r w:rsidRPr="003E4FD0">
              <w:rPr>
                <w:rFonts w:eastAsia="Calibri" w:hint="eastAsia"/>
                <w:color w:val="000000"/>
                <w:spacing w:val="-55"/>
                <w:w w:val="15"/>
                <w:szCs w:val="20"/>
                <w:shd w:val="solid" w:color="000000" w:fill="000000"/>
                <w:fitText w:val="10" w:id="-894212596"/>
                <w14:textFill>
                  <w14:solidFill>
                    <w14:srgbClr w14:val="000000">
                      <w14:alpha w14:val="100000"/>
                    </w14:srgbClr>
                  </w14:solidFill>
                </w14:textFill>
              </w:rPr>
              <w:t xml:space="preserve">　</w:t>
            </w:r>
            <w:r w:rsidR="007363B3">
              <w:rPr>
                <w:rFonts w:eastAsia="Calibri"/>
                <w:szCs w:val="20"/>
              </w:rPr>
              <w:t xml:space="preserve"> </w:t>
            </w:r>
          </w:p>
        </w:tc>
        <w:tc>
          <w:tcPr>
            <w:tcW w:w="628" w:type="pct"/>
            <w:vAlign w:val="center"/>
          </w:tcPr>
          <w:p w14:paraId="2047B877" w14:textId="77777777" w:rsidR="002C0784" w:rsidRPr="00616367" w:rsidRDefault="002C0784" w:rsidP="00875FC4">
            <w:pPr>
              <w:pStyle w:val="TableText0"/>
              <w:keepNext w:val="0"/>
              <w:jc w:val="center"/>
            </w:pPr>
            <w:r w:rsidRPr="00616367">
              <w:t>0.1816</w:t>
            </w:r>
          </w:p>
        </w:tc>
        <w:tc>
          <w:tcPr>
            <w:tcW w:w="631" w:type="pct"/>
            <w:vAlign w:val="center"/>
          </w:tcPr>
          <w:p w14:paraId="7A7C669F" w14:textId="27CB2805" w:rsidR="002C0784" w:rsidRPr="00616367" w:rsidRDefault="00474E21" w:rsidP="00875FC4">
            <w:pPr>
              <w:pStyle w:val="TableText0"/>
              <w:keepNext w:val="0"/>
              <w:jc w:val="center"/>
              <w:rPr>
                <w:highlight w:val="black"/>
              </w:rPr>
            </w:pPr>
            <w:r w:rsidRPr="00474E21">
              <w:rPr>
                <w:rFonts w:eastAsia="Calibri" w:hint="eastAsia"/>
                <w:color w:val="000000"/>
                <w:w w:val="15"/>
                <w:szCs w:val="20"/>
                <w:shd w:val="solid" w:color="000000" w:fill="000000"/>
                <w:fitText w:val="40" w:id="-894212595"/>
                <w14:textFill>
                  <w14:solidFill>
                    <w14:srgbClr w14:val="000000">
                      <w14:alpha w14:val="100000"/>
                    </w14:srgbClr>
                  </w14:solidFill>
                </w14:textFill>
              </w:rPr>
              <w:t xml:space="preserve">　</w:t>
            </w:r>
            <w:r w:rsidRPr="00474E21">
              <w:rPr>
                <w:rFonts w:eastAsia="Calibri"/>
                <w:color w:val="000000"/>
                <w:w w:val="15"/>
                <w:szCs w:val="20"/>
                <w:shd w:val="solid" w:color="000000" w:fill="000000"/>
                <w:fitText w:val="40" w:id="-894212595"/>
                <w14:textFill>
                  <w14:solidFill>
                    <w14:srgbClr w14:val="000000">
                      <w14:alpha w14:val="100000"/>
                    </w14:srgbClr>
                  </w14:solidFill>
                </w14:textFill>
              </w:rPr>
              <w:t>|</w:t>
            </w:r>
            <w:r w:rsidRPr="00474E21">
              <w:rPr>
                <w:rFonts w:eastAsia="Calibri" w:hint="eastAsia"/>
                <w:color w:val="000000"/>
                <w:spacing w:val="-25"/>
                <w:w w:val="15"/>
                <w:szCs w:val="20"/>
                <w:shd w:val="solid" w:color="000000" w:fill="000000"/>
                <w:fitText w:val="40" w:id="-894212595"/>
                <w14:textFill>
                  <w14:solidFill>
                    <w14:srgbClr w14:val="000000">
                      <w14:alpha w14:val="100000"/>
                    </w14:srgbClr>
                  </w14:solidFill>
                </w14:textFill>
              </w:rPr>
              <w:t xml:space="preserve">　</w:t>
            </w:r>
            <w:r w:rsidR="007363B3">
              <w:rPr>
                <w:b/>
                <w:vertAlign w:val="superscript"/>
              </w:rPr>
              <w:t>2</w:t>
            </w:r>
          </w:p>
        </w:tc>
        <w:tc>
          <w:tcPr>
            <w:tcW w:w="521" w:type="pct"/>
            <w:vAlign w:val="center"/>
          </w:tcPr>
          <w:p w14:paraId="1179E736" w14:textId="44F8A563" w:rsidR="002C0784" w:rsidRPr="00616367" w:rsidRDefault="002C0784"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594"/>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594"/>
                <w14:textFill>
                  <w14:solidFill>
                    <w14:srgbClr w14:val="000000">
                      <w14:alpha w14:val="100000"/>
                    </w14:srgbClr>
                  </w14:solidFill>
                </w14:textFill>
              </w:rPr>
              <w:t>|</w:t>
            </w:r>
            <w:r w:rsidRPr="00616367">
              <w:rPr>
                <w:rFonts w:eastAsia="Calibri"/>
                <w:iCs/>
                <w:szCs w:val="20"/>
              </w:rPr>
              <w:t>%</w:t>
            </w:r>
          </w:p>
        </w:tc>
      </w:tr>
      <w:tr w:rsidR="00FF4A90" w:rsidRPr="00616367" w14:paraId="7FEA2A2C" w14:textId="77777777" w:rsidTr="00FF4A90">
        <w:trPr>
          <w:cantSplit/>
          <w:trHeight w:val="20"/>
        </w:trPr>
        <w:tc>
          <w:tcPr>
            <w:tcW w:w="2591" w:type="pct"/>
            <w:vAlign w:val="center"/>
          </w:tcPr>
          <w:p w14:paraId="2081EEDC" w14:textId="7B1AA2DF" w:rsidR="00EE6569" w:rsidRPr="00616367" w:rsidRDefault="00EE6569" w:rsidP="00875FC4">
            <w:pPr>
              <w:pStyle w:val="TableText0"/>
              <w:keepNext w:val="0"/>
              <w:ind w:left="107"/>
            </w:pPr>
            <w:r w:rsidRPr="00616367">
              <w:t>5 years</w:t>
            </w:r>
          </w:p>
        </w:tc>
        <w:tc>
          <w:tcPr>
            <w:tcW w:w="628" w:type="pct"/>
            <w:vAlign w:val="center"/>
          </w:tcPr>
          <w:p w14:paraId="33B53E06" w14:textId="10180739" w:rsidR="00EE6569" w:rsidRPr="00616367" w:rsidRDefault="00474E21" w:rsidP="00875FC4">
            <w:pPr>
              <w:pStyle w:val="TableText0"/>
              <w:keepNext w:val="0"/>
              <w:jc w:val="center"/>
              <w:rPr>
                <w:rFonts w:eastAsia="Calibri"/>
                <w:szCs w:val="20"/>
              </w:rPr>
            </w:pPr>
            <w:r w:rsidRPr="003E4FD0">
              <w:rPr>
                <w:rFonts w:hint="eastAsia"/>
                <w:iCs/>
                <w:color w:val="000000"/>
                <w:w w:val="15"/>
                <w:shd w:val="solid" w:color="000000" w:fill="000000"/>
                <w:fitText w:val="10" w:id="-894212593"/>
                <w14:textFill>
                  <w14:solidFill>
                    <w14:srgbClr w14:val="000000">
                      <w14:alpha w14:val="100000"/>
                    </w14:srgbClr>
                  </w14:solidFill>
                </w14:textFill>
              </w:rPr>
              <w:t xml:space="preserve">　</w:t>
            </w:r>
            <w:r w:rsidRPr="003E4FD0">
              <w:rPr>
                <w:iCs/>
                <w:color w:val="000000"/>
                <w:w w:val="15"/>
                <w:shd w:val="solid" w:color="000000" w:fill="000000"/>
                <w:fitText w:val="10" w:id="-894212593"/>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593"/>
                <w14:textFill>
                  <w14:solidFill>
                    <w14:srgbClr w14:val="000000">
                      <w14:alpha w14:val="100000"/>
                    </w14:srgbClr>
                  </w14:solidFill>
                </w14:textFill>
              </w:rPr>
              <w:t xml:space="preserve">　</w:t>
            </w:r>
            <w:r w:rsidR="007363B3">
              <w:rPr>
                <w:iCs/>
              </w:rPr>
              <w:t xml:space="preserve"> </w:t>
            </w:r>
          </w:p>
        </w:tc>
        <w:tc>
          <w:tcPr>
            <w:tcW w:w="628" w:type="pct"/>
            <w:vAlign w:val="center"/>
          </w:tcPr>
          <w:p w14:paraId="4B193D54" w14:textId="0F9ED1FD" w:rsidR="00EE6569" w:rsidRPr="00616367" w:rsidRDefault="00EE6569" w:rsidP="00875FC4">
            <w:pPr>
              <w:pStyle w:val="TableText0"/>
              <w:keepNext w:val="0"/>
              <w:jc w:val="center"/>
            </w:pPr>
            <w:r w:rsidRPr="00616367">
              <w:rPr>
                <w:iCs/>
              </w:rPr>
              <w:t>0.1734</w:t>
            </w:r>
          </w:p>
        </w:tc>
        <w:tc>
          <w:tcPr>
            <w:tcW w:w="631" w:type="pct"/>
            <w:vAlign w:val="center"/>
          </w:tcPr>
          <w:p w14:paraId="22528E7E" w14:textId="175B9371" w:rsidR="00EE6569" w:rsidRPr="00616367" w:rsidRDefault="00474E21" w:rsidP="00875FC4">
            <w:pPr>
              <w:pStyle w:val="TableText0"/>
              <w:keepNext w:val="0"/>
              <w:jc w:val="center"/>
              <w:rPr>
                <w:rFonts w:eastAsia="Calibri"/>
                <w:szCs w:val="20"/>
              </w:rPr>
            </w:pPr>
            <w:r w:rsidRPr="00474E21">
              <w:rPr>
                <w:rFonts w:hint="eastAsia"/>
                <w:iCs/>
                <w:color w:val="000000"/>
                <w:w w:val="15"/>
                <w:shd w:val="solid" w:color="000000" w:fill="000000"/>
                <w:fitText w:val="40" w:id="-894212592"/>
                <w14:textFill>
                  <w14:solidFill>
                    <w14:srgbClr w14:val="000000">
                      <w14:alpha w14:val="100000"/>
                    </w14:srgbClr>
                  </w14:solidFill>
                </w14:textFill>
              </w:rPr>
              <w:t xml:space="preserve">　</w:t>
            </w:r>
            <w:r w:rsidRPr="00474E21">
              <w:rPr>
                <w:iCs/>
                <w:color w:val="000000"/>
                <w:w w:val="15"/>
                <w:shd w:val="solid" w:color="000000" w:fill="000000"/>
                <w:fitText w:val="40" w:id="-894212592"/>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592"/>
                <w14:textFill>
                  <w14:solidFill>
                    <w14:srgbClr w14:val="000000">
                      <w14:alpha w14:val="100000"/>
                    </w14:srgbClr>
                  </w14:solidFill>
                </w14:textFill>
              </w:rPr>
              <w:t xml:space="preserve">　</w:t>
            </w:r>
            <w:r w:rsidR="007363B3">
              <w:rPr>
                <w:b/>
                <w:vertAlign w:val="superscript"/>
              </w:rPr>
              <w:t>2</w:t>
            </w:r>
          </w:p>
        </w:tc>
        <w:tc>
          <w:tcPr>
            <w:tcW w:w="521" w:type="pct"/>
            <w:vAlign w:val="center"/>
          </w:tcPr>
          <w:p w14:paraId="54313C7B" w14:textId="500ADFEB" w:rsidR="00EE6569" w:rsidRPr="00616367" w:rsidRDefault="00EE6569"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608"/>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608"/>
                <w14:textFill>
                  <w14:solidFill>
                    <w14:srgbClr w14:val="000000">
                      <w14:alpha w14:val="100000"/>
                    </w14:srgbClr>
                  </w14:solidFill>
                </w14:textFill>
              </w:rPr>
              <w:t>|</w:t>
            </w:r>
            <w:r w:rsidRPr="00616367">
              <w:rPr>
                <w:rFonts w:eastAsia="Calibri"/>
                <w:iCs/>
                <w:szCs w:val="20"/>
              </w:rPr>
              <w:t>%</w:t>
            </w:r>
          </w:p>
        </w:tc>
      </w:tr>
      <w:tr w:rsidR="002C0784" w:rsidRPr="00482A36" w14:paraId="0DD0F583" w14:textId="77777777" w:rsidTr="00AA5533">
        <w:trPr>
          <w:cantSplit/>
          <w:trHeight w:val="20"/>
        </w:trPr>
        <w:tc>
          <w:tcPr>
            <w:tcW w:w="5000" w:type="pct"/>
            <w:gridSpan w:val="5"/>
            <w:vAlign w:val="center"/>
          </w:tcPr>
          <w:p w14:paraId="1BE72707" w14:textId="77777777" w:rsidR="002C0784" w:rsidRPr="00482A36" w:rsidRDefault="002C0784" w:rsidP="00875FC4">
            <w:pPr>
              <w:pStyle w:val="TableText0"/>
              <w:keepNext w:val="0"/>
              <w:rPr>
                <w:rFonts w:eastAsia="Calibri"/>
                <w:szCs w:val="20"/>
              </w:rPr>
            </w:pPr>
            <w:r w:rsidRPr="00482A36">
              <w:t>Discount rate (base case: 5%)</w:t>
            </w:r>
          </w:p>
        </w:tc>
      </w:tr>
      <w:tr w:rsidR="00FF4A90" w:rsidRPr="00616367" w14:paraId="29202182" w14:textId="77777777" w:rsidTr="00FF4A90">
        <w:trPr>
          <w:cantSplit/>
          <w:trHeight w:val="20"/>
        </w:trPr>
        <w:tc>
          <w:tcPr>
            <w:tcW w:w="2591" w:type="pct"/>
            <w:vAlign w:val="center"/>
          </w:tcPr>
          <w:p w14:paraId="24675E62" w14:textId="77777777" w:rsidR="002C0784" w:rsidRPr="00616367" w:rsidRDefault="002C0784" w:rsidP="00875FC4">
            <w:pPr>
              <w:pStyle w:val="TableText0"/>
              <w:keepNext w:val="0"/>
              <w:ind w:left="107"/>
            </w:pPr>
            <w:r w:rsidRPr="00616367">
              <w:t>0%</w:t>
            </w:r>
          </w:p>
        </w:tc>
        <w:tc>
          <w:tcPr>
            <w:tcW w:w="628" w:type="pct"/>
            <w:vAlign w:val="center"/>
          </w:tcPr>
          <w:p w14:paraId="2C9CAD7E" w14:textId="742C3119" w:rsidR="002C0784" w:rsidRPr="00616367" w:rsidRDefault="00474E21" w:rsidP="00875FC4">
            <w:pPr>
              <w:pStyle w:val="TableText0"/>
              <w:keepNext w:val="0"/>
              <w:jc w:val="center"/>
              <w:rPr>
                <w:rFonts w:eastAsia="Calibri"/>
                <w:szCs w:val="20"/>
              </w:rPr>
            </w:pPr>
            <w:r w:rsidRPr="003E4FD0">
              <w:rPr>
                <w:rFonts w:hint="eastAsia"/>
                <w:color w:val="000000"/>
                <w:w w:val="15"/>
                <w:shd w:val="solid" w:color="000000" w:fill="000000"/>
                <w:fitText w:val="10" w:id="-894212607"/>
                <w14:textFill>
                  <w14:solidFill>
                    <w14:srgbClr w14:val="000000">
                      <w14:alpha w14:val="100000"/>
                    </w14:srgbClr>
                  </w14:solidFill>
                </w14:textFill>
              </w:rPr>
              <w:t xml:space="preserve">　</w:t>
            </w:r>
            <w:r w:rsidRPr="003E4FD0">
              <w:rPr>
                <w:color w:val="000000"/>
                <w:w w:val="15"/>
                <w:shd w:val="solid" w:color="000000" w:fill="000000"/>
                <w:fitText w:val="10" w:id="-894212607"/>
                <w14:textFill>
                  <w14:solidFill>
                    <w14:srgbClr w14:val="000000">
                      <w14:alpha w14:val="100000"/>
                    </w14:srgbClr>
                  </w14:solidFill>
                </w14:textFill>
              </w:rPr>
              <w:t>|</w:t>
            </w:r>
            <w:r w:rsidRPr="003E4FD0">
              <w:rPr>
                <w:rFonts w:hint="eastAsia"/>
                <w:color w:val="000000"/>
                <w:spacing w:val="-55"/>
                <w:w w:val="15"/>
                <w:shd w:val="solid" w:color="000000" w:fill="000000"/>
                <w:fitText w:val="10" w:id="-894212607"/>
                <w14:textFill>
                  <w14:solidFill>
                    <w14:srgbClr w14:val="000000">
                      <w14:alpha w14:val="100000"/>
                    </w14:srgbClr>
                  </w14:solidFill>
                </w14:textFill>
              </w:rPr>
              <w:t xml:space="preserve">　</w:t>
            </w:r>
            <w:r w:rsidR="007363B3">
              <w:t xml:space="preserve"> </w:t>
            </w:r>
          </w:p>
        </w:tc>
        <w:tc>
          <w:tcPr>
            <w:tcW w:w="628" w:type="pct"/>
            <w:vAlign w:val="center"/>
          </w:tcPr>
          <w:p w14:paraId="11B89717" w14:textId="77777777" w:rsidR="002C0784" w:rsidRPr="00616367" w:rsidRDefault="002C0784" w:rsidP="00875FC4">
            <w:pPr>
              <w:pStyle w:val="TableText0"/>
              <w:keepNext w:val="0"/>
              <w:jc w:val="center"/>
              <w:rPr>
                <w:rFonts w:eastAsia="Calibri"/>
                <w:szCs w:val="20"/>
              </w:rPr>
            </w:pPr>
            <w:r w:rsidRPr="00616367">
              <w:t>0.1863</w:t>
            </w:r>
          </w:p>
        </w:tc>
        <w:tc>
          <w:tcPr>
            <w:tcW w:w="631" w:type="pct"/>
            <w:vAlign w:val="center"/>
          </w:tcPr>
          <w:p w14:paraId="7188F870" w14:textId="12F2D6C1" w:rsidR="002C0784" w:rsidRPr="00616367" w:rsidRDefault="00474E21" w:rsidP="00875FC4">
            <w:pPr>
              <w:pStyle w:val="TableText0"/>
              <w:keepNext w:val="0"/>
              <w:jc w:val="center"/>
              <w:rPr>
                <w:rFonts w:eastAsia="Calibri"/>
                <w:szCs w:val="20"/>
              </w:rPr>
            </w:pPr>
            <w:r w:rsidRPr="00474E21">
              <w:rPr>
                <w:rFonts w:hint="eastAsia"/>
                <w:color w:val="000000"/>
                <w:w w:val="15"/>
                <w:shd w:val="solid" w:color="000000" w:fill="000000"/>
                <w:fitText w:val="40" w:id="-894212606"/>
                <w14:textFill>
                  <w14:solidFill>
                    <w14:srgbClr w14:val="000000">
                      <w14:alpha w14:val="100000"/>
                    </w14:srgbClr>
                  </w14:solidFill>
                </w14:textFill>
              </w:rPr>
              <w:t xml:space="preserve">　</w:t>
            </w:r>
            <w:r w:rsidRPr="00474E21">
              <w:rPr>
                <w:color w:val="000000"/>
                <w:w w:val="15"/>
                <w:shd w:val="solid" w:color="000000" w:fill="000000"/>
                <w:fitText w:val="40" w:id="-894212606"/>
                <w14:textFill>
                  <w14:solidFill>
                    <w14:srgbClr w14:val="000000">
                      <w14:alpha w14:val="100000"/>
                    </w14:srgbClr>
                  </w14:solidFill>
                </w14:textFill>
              </w:rPr>
              <w:t>|</w:t>
            </w:r>
            <w:r w:rsidRPr="00474E21">
              <w:rPr>
                <w:rFonts w:hint="eastAsia"/>
                <w:color w:val="000000"/>
                <w:spacing w:val="-25"/>
                <w:w w:val="15"/>
                <w:shd w:val="solid" w:color="000000" w:fill="000000"/>
                <w:fitText w:val="40" w:id="-894212606"/>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2EAFCB89" w14:textId="510BE6FD"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605"/>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605"/>
                <w14:textFill>
                  <w14:solidFill>
                    <w14:srgbClr w14:val="000000">
                      <w14:alpha w14:val="100000"/>
                    </w14:srgbClr>
                  </w14:solidFill>
                </w14:textFill>
              </w:rPr>
              <w:t>|</w:t>
            </w:r>
            <w:r w:rsidR="002C0784" w:rsidRPr="00616367">
              <w:rPr>
                <w:rFonts w:eastAsia="Calibri"/>
                <w:iCs/>
                <w:szCs w:val="20"/>
              </w:rPr>
              <w:t>%</w:t>
            </w:r>
          </w:p>
        </w:tc>
      </w:tr>
      <w:tr w:rsidR="00FF4A90" w:rsidRPr="00616367" w14:paraId="5079F97C" w14:textId="77777777" w:rsidTr="00FF4A90">
        <w:trPr>
          <w:cantSplit/>
          <w:trHeight w:val="20"/>
        </w:trPr>
        <w:tc>
          <w:tcPr>
            <w:tcW w:w="2591" w:type="pct"/>
            <w:vAlign w:val="center"/>
          </w:tcPr>
          <w:p w14:paraId="50B250CB" w14:textId="77777777" w:rsidR="002C0784" w:rsidRPr="00616367" w:rsidRDefault="002C0784" w:rsidP="00875FC4">
            <w:pPr>
              <w:pStyle w:val="TableText0"/>
              <w:keepNext w:val="0"/>
              <w:ind w:left="107"/>
            </w:pPr>
            <w:r w:rsidRPr="00616367">
              <w:t>3.5%</w:t>
            </w:r>
          </w:p>
        </w:tc>
        <w:tc>
          <w:tcPr>
            <w:tcW w:w="628" w:type="pct"/>
            <w:vAlign w:val="center"/>
          </w:tcPr>
          <w:p w14:paraId="63D24A0B" w14:textId="76FC7E0D" w:rsidR="002C0784" w:rsidRPr="00616367" w:rsidRDefault="00474E21" w:rsidP="00875FC4">
            <w:pPr>
              <w:pStyle w:val="TableText0"/>
              <w:keepNext w:val="0"/>
              <w:jc w:val="center"/>
              <w:rPr>
                <w:rFonts w:eastAsia="Calibri"/>
                <w:szCs w:val="20"/>
              </w:rPr>
            </w:pPr>
            <w:r w:rsidRPr="003E4FD0">
              <w:rPr>
                <w:rFonts w:hint="eastAsia"/>
                <w:color w:val="000000"/>
                <w:w w:val="15"/>
                <w:shd w:val="solid" w:color="000000" w:fill="000000"/>
                <w:fitText w:val="10" w:id="-894212604"/>
                <w14:textFill>
                  <w14:solidFill>
                    <w14:srgbClr w14:val="000000">
                      <w14:alpha w14:val="100000"/>
                    </w14:srgbClr>
                  </w14:solidFill>
                </w14:textFill>
              </w:rPr>
              <w:t xml:space="preserve">　</w:t>
            </w:r>
            <w:r w:rsidRPr="003E4FD0">
              <w:rPr>
                <w:color w:val="000000"/>
                <w:w w:val="15"/>
                <w:shd w:val="solid" w:color="000000" w:fill="000000"/>
                <w:fitText w:val="10" w:id="-894212604"/>
                <w14:textFill>
                  <w14:solidFill>
                    <w14:srgbClr w14:val="000000">
                      <w14:alpha w14:val="100000"/>
                    </w14:srgbClr>
                  </w14:solidFill>
                </w14:textFill>
              </w:rPr>
              <w:t>|</w:t>
            </w:r>
            <w:r w:rsidRPr="003E4FD0">
              <w:rPr>
                <w:rFonts w:hint="eastAsia"/>
                <w:color w:val="000000"/>
                <w:spacing w:val="-55"/>
                <w:w w:val="15"/>
                <w:shd w:val="solid" w:color="000000" w:fill="000000"/>
                <w:fitText w:val="10" w:id="-894212604"/>
                <w14:textFill>
                  <w14:solidFill>
                    <w14:srgbClr w14:val="000000">
                      <w14:alpha w14:val="100000"/>
                    </w14:srgbClr>
                  </w14:solidFill>
                </w14:textFill>
              </w:rPr>
              <w:t xml:space="preserve">　</w:t>
            </w:r>
            <w:r w:rsidR="007363B3">
              <w:t xml:space="preserve"> </w:t>
            </w:r>
          </w:p>
        </w:tc>
        <w:tc>
          <w:tcPr>
            <w:tcW w:w="628" w:type="pct"/>
            <w:vAlign w:val="center"/>
          </w:tcPr>
          <w:p w14:paraId="156F8115" w14:textId="77777777" w:rsidR="002C0784" w:rsidRPr="00616367" w:rsidRDefault="002C0784" w:rsidP="00875FC4">
            <w:pPr>
              <w:pStyle w:val="TableText0"/>
              <w:keepNext w:val="0"/>
              <w:jc w:val="center"/>
              <w:rPr>
                <w:rFonts w:eastAsia="Calibri"/>
                <w:szCs w:val="20"/>
              </w:rPr>
            </w:pPr>
            <w:r w:rsidRPr="00616367">
              <w:t>0.1779</w:t>
            </w:r>
          </w:p>
        </w:tc>
        <w:tc>
          <w:tcPr>
            <w:tcW w:w="631" w:type="pct"/>
            <w:vAlign w:val="center"/>
          </w:tcPr>
          <w:p w14:paraId="71B7CA7C" w14:textId="46C3E7E3" w:rsidR="002C0784" w:rsidRPr="00616367" w:rsidRDefault="00474E21" w:rsidP="00875FC4">
            <w:pPr>
              <w:pStyle w:val="TableText0"/>
              <w:keepNext w:val="0"/>
              <w:jc w:val="center"/>
              <w:rPr>
                <w:rFonts w:eastAsia="Calibri"/>
                <w:szCs w:val="20"/>
              </w:rPr>
            </w:pPr>
            <w:r w:rsidRPr="00474E21">
              <w:rPr>
                <w:rFonts w:hint="eastAsia"/>
                <w:color w:val="000000"/>
                <w:w w:val="15"/>
                <w:shd w:val="solid" w:color="000000" w:fill="000000"/>
                <w:fitText w:val="40" w:id="-894212603"/>
                <w14:textFill>
                  <w14:solidFill>
                    <w14:srgbClr w14:val="000000">
                      <w14:alpha w14:val="100000"/>
                    </w14:srgbClr>
                  </w14:solidFill>
                </w14:textFill>
              </w:rPr>
              <w:t xml:space="preserve">　</w:t>
            </w:r>
            <w:r w:rsidRPr="00474E21">
              <w:rPr>
                <w:color w:val="000000"/>
                <w:w w:val="15"/>
                <w:shd w:val="solid" w:color="000000" w:fill="000000"/>
                <w:fitText w:val="40" w:id="-894212603"/>
                <w14:textFill>
                  <w14:solidFill>
                    <w14:srgbClr w14:val="000000">
                      <w14:alpha w14:val="100000"/>
                    </w14:srgbClr>
                  </w14:solidFill>
                </w14:textFill>
              </w:rPr>
              <w:t>|</w:t>
            </w:r>
            <w:r w:rsidRPr="00474E21">
              <w:rPr>
                <w:rFonts w:hint="eastAsia"/>
                <w:color w:val="000000"/>
                <w:spacing w:val="-25"/>
                <w:w w:val="15"/>
                <w:shd w:val="solid" w:color="000000" w:fill="000000"/>
                <w:fitText w:val="40" w:id="-894212603"/>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32DFD84E" w14:textId="61811489"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602"/>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602"/>
                <w14:textFill>
                  <w14:solidFill>
                    <w14:srgbClr w14:val="000000">
                      <w14:alpha w14:val="100000"/>
                    </w14:srgbClr>
                  </w14:solidFill>
                </w14:textFill>
              </w:rPr>
              <w:t>|</w:t>
            </w:r>
            <w:r w:rsidR="002C0784" w:rsidRPr="00616367">
              <w:rPr>
                <w:rFonts w:eastAsia="Calibri"/>
                <w:iCs/>
                <w:szCs w:val="20"/>
              </w:rPr>
              <w:t>%</w:t>
            </w:r>
          </w:p>
        </w:tc>
      </w:tr>
      <w:tr w:rsidR="002C0784" w:rsidRPr="00616367" w14:paraId="21E67FE4" w14:textId="77777777" w:rsidTr="00AA5533">
        <w:trPr>
          <w:cantSplit/>
          <w:trHeight w:val="20"/>
        </w:trPr>
        <w:tc>
          <w:tcPr>
            <w:tcW w:w="5000" w:type="pct"/>
            <w:gridSpan w:val="5"/>
            <w:vAlign w:val="center"/>
          </w:tcPr>
          <w:p w14:paraId="7264D905" w14:textId="0B06EF7E" w:rsidR="002C0784" w:rsidRPr="00616367" w:rsidRDefault="002C0784" w:rsidP="00875FC4">
            <w:pPr>
              <w:pStyle w:val="TableText0"/>
              <w:keepNext w:val="0"/>
              <w:rPr>
                <w:rFonts w:eastAsia="Calibri"/>
                <w:iCs/>
                <w:szCs w:val="20"/>
              </w:rPr>
            </w:pPr>
            <w:r w:rsidRPr="00616367">
              <w:rPr>
                <w:iCs/>
              </w:rPr>
              <w:t>Starting age in model for all patients (base case: 35yrs 22.28%; 39yrs 25.17%; 43yrs 21.79%; 46yrs 30.76%)</w:t>
            </w:r>
          </w:p>
        </w:tc>
      </w:tr>
      <w:tr w:rsidR="00FF4A90" w:rsidRPr="00616367" w14:paraId="5DD886D8" w14:textId="77777777" w:rsidTr="00FF4A90">
        <w:trPr>
          <w:cantSplit/>
          <w:trHeight w:val="20"/>
        </w:trPr>
        <w:tc>
          <w:tcPr>
            <w:tcW w:w="2591" w:type="pct"/>
            <w:vAlign w:val="center"/>
          </w:tcPr>
          <w:p w14:paraId="22C51709" w14:textId="77777777" w:rsidR="002C0784" w:rsidRPr="00616367" w:rsidRDefault="002C0784" w:rsidP="00875FC4">
            <w:pPr>
              <w:pStyle w:val="TableText0"/>
              <w:keepNext w:val="0"/>
              <w:ind w:left="107"/>
              <w:rPr>
                <w:iCs/>
              </w:rPr>
            </w:pPr>
            <w:r w:rsidRPr="00616367">
              <w:rPr>
                <w:iCs/>
              </w:rPr>
              <w:t>42 years (median age in trials)</w:t>
            </w:r>
          </w:p>
        </w:tc>
        <w:tc>
          <w:tcPr>
            <w:tcW w:w="628" w:type="pct"/>
            <w:vAlign w:val="center"/>
          </w:tcPr>
          <w:p w14:paraId="7E117980" w14:textId="0C61E384" w:rsidR="002C0784" w:rsidRPr="00616367" w:rsidRDefault="00474E21" w:rsidP="00875FC4">
            <w:pPr>
              <w:pStyle w:val="TableText0"/>
              <w:keepNext w:val="0"/>
              <w:jc w:val="center"/>
              <w:rPr>
                <w:rFonts w:eastAsia="Calibri"/>
                <w:iCs/>
                <w:szCs w:val="20"/>
              </w:rPr>
            </w:pPr>
            <w:r w:rsidRPr="003E4FD0">
              <w:rPr>
                <w:rFonts w:hint="eastAsia"/>
                <w:iCs/>
                <w:color w:val="000000"/>
                <w:w w:val="15"/>
                <w:shd w:val="solid" w:color="000000" w:fill="000000"/>
                <w:fitText w:val="10" w:id="-894212601"/>
                <w14:textFill>
                  <w14:solidFill>
                    <w14:srgbClr w14:val="000000">
                      <w14:alpha w14:val="100000"/>
                    </w14:srgbClr>
                  </w14:solidFill>
                </w14:textFill>
              </w:rPr>
              <w:t xml:space="preserve">　</w:t>
            </w:r>
            <w:r w:rsidRPr="003E4FD0">
              <w:rPr>
                <w:iCs/>
                <w:color w:val="000000"/>
                <w:w w:val="15"/>
                <w:shd w:val="solid" w:color="000000" w:fill="000000"/>
                <w:fitText w:val="10" w:id="-894212601"/>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601"/>
                <w14:textFill>
                  <w14:solidFill>
                    <w14:srgbClr w14:val="000000">
                      <w14:alpha w14:val="100000"/>
                    </w14:srgbClr>
                  </w14:solidFill>
                </w14:textFill>
              </w:rPr>
              <w:t xml:space="preserve">　</w:t>
            </w:r>
            <w:r w:rsidR="007363B3">
              <w:rPr>
                <w:iCs/>
              </w:rPr>
              <w:t xml:space="preserve"> </w:t>
            </w:r>
          </w:p>
        </w:tc>
        <w:tc>
          <w:tcPr>
            <w:tcW w:w="628" w:type="pct"/>
            <w:vAlign w:val="center"/>
          </w:tcPr>
          <w:p w14:paraId="7F6F1D68" w14:textId="77777777" w:rsidR="002C0784" w:rsidRPr="00616367" w:rsidRDefault="002C0784" w:rsidP="00875FC4">
            <w:pPr>
              <w:pStyle w:val="TableText0"/>
              <w:keepNext w:val="0"/>
              <w:jc w:val="center"/>
              <w:rPr>
                <w:rFonts w:eastAsia="Calibri"/>
                <w:iCs/>
                <w:szCs w:val="20"/>
              </w:rPr>
            </w:pPr>
            <w:r w:rsidRPr="00616367">
              <w:rPr>
                <w:iCs/>
              </w:rPr>
              <w:t>0.1731</w:t>
            </w:r>
          </w:p>
        </w:tc>
        <w:tc>
          <w:tcPr>
            <w:tcW w:w="631" w:type="pct"/>
            <w:vAlign w:val="center"/>
          </w:tcPr>
          <w:p w14:paraId="64C80D00" w14:textId="4C670687" w:rsidR="002C0784" w:rsidRPr="00616367" w:rsidRDefault="00474E21" w:rsidP="00875FC4">
            <w:pPr>
              <w:pStyle w:val="TableText0"/>
              <w:keepNext w:val="0"/>
              <w:jc w:val="center"/>
              <w:rPr>
                <w:rFonts w:eastAsia="Calibri"/>
                <w:iCs/>
                <w:szCs w:val="20"/>
              </w:rPr>
            </w:pPr>
            <w:r w:rsidRPr="00474E21">
              <w:rPr>
                <w:rFonts w:hint="eastAsia"/>
                <w:iCs/>
                <w:color w:val="000000"/>
                <w:w w:val="15"/>
                <w:shd w:val="solid" w:color="000000" w:fill="000000"/>
                <w:fitText w:val="40" w:id="-894212600"/>
                <w14:textFill>
                  <w14:solidFill>
                    <w14:srgbClr w14:val="000000">
                      <w14:alpha w14:val="100000"/>
                    </w14:srgbClr>
                  </w14:solidFill>
                </w14:textFill>
              </w:rPr>
              <w:t xml:space="preserve">　</w:t>
            </w:r>
            <w:r w:rsidRPr="00474E21">
              <w:rPr>
                <w:iCs/>
                <w:color w:val="000000"/>
                <w:w w:val="15"/>
                <w:shd w:val="solid" w:color="000000" w:fill="000000"/>
                <w:fitText w:val="40" w:id="-894212600"/>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600"/>
                <w14:textFill>
                  <w14:solidFill>
                    <w14:srgbClr w14:val="000000">
                      <w14:alpha w14:val="100000"/>
                    </w14:srgbClr>
                  </w14:solidFill>
                </w14:textFill>
              </w:rPr>
              <w:t xml:space="preserve">　</w:t>
            </w:r>
            <w:r w:rsidR="007363B3">
              <w:rPr>
                <w:b/>
                <w:vertAlign w:val="superscript"/>
              </w:rPr>
              <w:t>2</w:t>
            </w:r>
          </w:p>
        </w:tc>
        <w:tc>
          <w:tcPr>
            <w:tcW w:w="521" w:type="pct"/>
            <w:vAlign w:val="center"/>
          </w:tcPr>
          <w:p w14:paraId="69A79A54" w14:textId="5DA86C1C" w:rsidR="002C0784" w:rsidRPr="00616367" w:rsidRDefault="002C0784"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599"/>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599"/>
                <w14:textFill>
                  <w14:solidFill>
                    <w14:srgbClr w14:val="000000">
                      <w14:alpha w14:val="100000"/>
                    </w14:srgbClr>
                  </w14:solidFill>
                </w14:textFill>
              </w:rPr>
              <w:t>|</w:t>
            </w:r>
            <w:r w:rsidRPr="00616367">
              <w:rPr>
                <w:rFonts w:eastAsia="Calibri"/>
                <w:iCs/>
                <w:szCs w:val="20"/>
              </w:rPr>
              <w:t>%</w:t>
            </w:r>
          </w:p>
        </w:tc>
      </w:tr>
      <w:tr w:rsidR="00FF4A90" w:rsidRPr="00616367" w14:paraId="679F1E5A" w14:textId="77777777" w:rsidTr="00FF4A90">
        <w:trPr>
          <w:cantSplit/>
          <w:trHeight w:val="20"/>
        </w:trPr>
        <w:tc>
          <w:tcPr>
            <w:tcW w:w="2591" w:type="pct"/>
            <w:vAlign w:val="center"/>
          </w:tcPr>
          <w:p w14:paraId="56B9EFBF" w14:textId="77777777" w:rsidR="002C0784" w:rsidRPr="00616367" w:rsidRDefault="002C0784" w:rsidP="00875FC4">
            <w:pPr>
              <w:pStyle w:val="TableText0"/>
              <w:keepNext w:val="0"/>
              <w:ind w:left="107"/>
              <w:rPr>
                <w:iCs/>
              </w:rPr>
            </w:pPr>
            <w:r w:rsidRPr="00616367">
              <w:rPr>
                <w:iCs/>
              </w:rPr>
              <w:t>20 years</w:t>
            </w:r>
          </w:p>
        </w:tc>
        <w:tc>
          <w:tcPr>
            <w:tcW w:w="628" w:type="pct"/>
            <w:vAlign w:val="center"/>
          </w:tcPr>
          <w:p w14:paraId="362F6614" w14:textId="5AE03D5B" w:rsidR="002C0784" w:rsidRPr="00616367" w:rsidRDefault="00474E21" w:rsidP="00875FC4">
            <w:pPr>
              <w:pStyle w:val="TableText0"/>
              <w:keepNext w:val="0"/>
              <w:jc w:val="center"/>
              <w:rPr>
                <w:rFonts w:eastAsia="Calibri"/>
                <w:iCs/>
                <w:szCs w:val="20"/>
              </w:rPr>
            </w:pPr>
            <w:r w:rsidRPr="003E4FD0">
              <w:rPr>
                <w:rFonts w:hint="eastAsia"/>
                <w:iCs/>
                <w:color w:val="000000"/>
                <w:w w:val="15"/>
                <w:shd w:val="solid" w:color="000000" w:fill="000000"/>
                <w:fitText w:val="10" w:id="-894212598"/>
                <w14:textFill>
                  <w14:solidFill>
                    <w14:srgbClr w14:val="000000">
                      <w14:alpha w14:val="100000"/>
                    </w14:srgbClr>
                  </w14:solidFill>
                </w14:textFill>
              </w:rPr>
              <w:t xml:space="preserve">　</w:t>
            </w:r>
            <w:r w:rsidRPr="003E4FD0">
              <w:rPr>
                <w:iCs/>
                <w:color w:val="000000"/>
                <w:w w:val="15"/>
                <w:shd w:val="solid" w:color="000000" w:fill="000000"/>
                <w:fitText w:val="10" w:id="-894212598"/>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598"/>
                <w14:textFill>
                  <w14:solidFill>
                    <w14:srgbClr w14:val="000000">
                      <w14:alpha w14:val="100000"/>
                    </w14:srgbClr>
                  </w14:solidFill>
                </w14:textFill>
              </w:rPr>
              <w:t xml:space="preserve">　</w:t>
            </w:r>
            <w:r w:rsidR="007363B3">
              <w:rPr>
                <w:iCs/>
              </w:rPr>
              <w:t xml:space="preserve"> </w:t>
            </w:r>
          </w:p>
        </w:tc>
        <w:tc>
          <w:tcPr>
            <w:tcW w:w="628" w:type="pct"/>
            <w:vAlign w:val="center"/>
          </w:tcPr>
          <w:p w14:paraId="536BD220" w14:textId="77777777" w:rsidR="002C0784" w:rsidRPr="00616367" w:rsidRDefault="002C0784" w:rsidP="00875FC4">
            <w:pPr>
              <w:pStyle w:val="TableText0"/>
              <w:keepNext w:val="0"/>
              <w:jc w:val="center"/>
              <w:rPr>
                <w:rFonts w:eastAsia="Calibri"/>
                <w:iCs/>
                <w:szCs w:val="20"/>
              </w:rPr>
            </w:pPr>
            <w:r w:rsidRPr="00616367">
              <w:rPr>
                <w:iCs/>
              </w:rPr>
              <w:t>0.1578</w:t>
            </w:r>
          </w:p>
        </w:tc>
        <w:tc>
          <w:tcPr>
            <w:tcW w:w="631" w:type="pct"/>
            <w:vAlign w:val="center"/>
          </w:tcPr>
          <w:p w14:paraId="6A68ECB0" w14:textId="5CF4F7C9" w:rsidR="002C0784" w:rsidRPr="007363B3" w:rsidRDefault="00474E21" w:rsidP="00875FC4">
            <w:pPr>
              <w:pStyle w:val="TableText0"/>
              <w:keepNext w:val="0"/>
              <w:jc w:val="center"/>
              <w:rPr>
                <w:rFonts w:eastAsia="Calibri"/>
                <w:iCs/>
                <w:szCs w:val="20"/>
                <w:highlight w:val="darkGray"/>
              </w:rPr>
            </w:pPr>
            <w:r w:rsidRPr="00474E21">
              <w:rPr>
                <w:rFonts w:hint="eastAsia"/>
                <w:iCs/>
                <w:color w:val="000000"/>
                <w:w w:val="15"/>
                <w:shd w:val="solid" w:color="000000" w:fill="000000"/>
                <w:fitText w:val="40" w:id="-894212597"/>
                <w14:textFill>
                  <w14:solidFill>
                    <w14:srgbClr w14:val="000000">
                      <w14:alpha w14:val="100000"/>
                    </w14:srgbClr>
                  </w14:solidFill>
                </w14:textFill>
              </w:rPr>
              <w:t xml:space="preserve">　</w:t>
            </w:r>
            <w:r w:rsidRPr="00474E21">
              <w:rPr>
                <w:iCs/>
                <w:color w:val="000000"/>
                <w:w w:val="15"/>
                <w:shd w:val="solid" w:color="000000" w:fill="000000"/>
                <w:fitText w:val="40" w:id="-894212597"/>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597"/>
                <w14:textFill>
                  <w14:solidFill>
                    <w14:srgbClr w14:val="000000">
                      <w14:alpha w14:val="100000"/>
                    </w14:srgbClr>
                  </w14:solidFill>
                </w14:textFill>
              </w:rPr>
              <w:t xml:space="preserve">　</w:t>
            </w:r>
            <w:r w:rsidR="007363B3" w:rsidRPr="007363B3">
              <w:rPr>
                <w:b/>
                <w:vertAlign w:val="superscript"/>
              </w:rPr>
              <w:t>3</w:t>
            </w:r>
          </w:p>
        </w:tc>
        <w:tc>
          <w:tcPr>
            <w:tcW w:w="521" w:type="pct"/>
            <w:vAlign w:val="center"/>
          </w:tcPr>
          <w:p w14:paraId="564D1EB0" w14:textId="7A2C653D"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596"/>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596"/>
                <w14:textFill>
                  <w14:solidFill>
                    <w14:srgbClr w14:val="000000">
                      <w14:alpha w14:val="100000"/>
                    </w14:srgbClr>
                  </w14:solidFill>
                </w14:textFill>
              </w:rPr>
              <w:t>|</w:t>
            </w:r>
            <w:r w:rsidR="002C0784" w:rsidRPr="00616367">
              <w:rPr>
                <w:rFonts w:eastAsia="Calibri"/>
                <w:iCs/>
                <w:szCs w:val="20"/>
              </w:rPr>
              <w:t>%</w:t>
            </w:r>
          </w:p>
        </w:tc>
      </w:tr>
      <w:tr w:rsidR="00FF4A90" w:rsidRPr="00616367" w14:paraId="26F8525F" w14:textId="77777777" w:rsidTr="00FF4A90">
        <w:trPr>
          <w:cantSplit/>
          <w:trHeight w:val="20"/>
        </w:trPr>
        <w:tc>
          <w:tcPr>
            <w:tcW w:w="2591" w:type="pct"/>
            <w:vAlign w:val="center"/>
          </w:tcPr>
          <w:p w14:paraId="0D2D1765" w14:textId="79279F22" w:rsidR="009845C9" w:rsidRPr="00616367" w:rsidRDefault="009845C9" w:rsidP="00875FC4">
            <w:pPr>
              <w:pStyle w:val="TableText0"/>
              <w:keepNext w:val="0"/>
              <w:ind w:left="107"/>
              <w:rPr>
                <w:iCs/>
              </w:rPr>
            </w:pPr>
            <w:r w:rsidRPr="00616367">
              <w:rPr>
                <w:iCs/>
              </w:rPr>
              <w:t>Patients assumed to start in the model at 10-year age bands from 20 years (25% each starting at 20, 30, 40 and 50 years)</w:t>
            </w:r>
          </w:p>
        </w:tc>
        <w:tc>
          <w:tcPr>
            <w:tcW w:w="628" w:type="pct"/>
            <w:vAlign w:val="center"/>
          </w:tcPr>
          <w:p w14:paraId="15E73691" w14:textId="23496F1D" w:rsidR="009845C9" w:rsidRPr="00616367" w:rsidRDefault="00474E21" w:rsidP="00875FC4">
            <w:pPr>
              <w:pStyle w:val="TableText0"/>
              <w:keepNext w:val="0"/>
              <w:jc w:val="center"/>
              <w:rPr>
                <w:iCs/>
              </w:rPr>
            </w:pPr>
            <w:r w:rsidRPr="003E4FD0">
              <w:rPr>
                <w:rFonts w:hint="eastAsia"/>
                <w:iCs/>
                <w:color w:val="000000"/>
                <w:w w:val="15"/>
                <w:shd w:val="solid" w:color="000000" w:fill="000000"/>
                <w:fitText w:val="10" w:id="-894212595"/>
                <w14:textFill>
                  <w14:solidFill>
                    <w14:srgbClr w14:val="000000">
                      <w14:alpha w14:val="100000"/>
                    </w14:srgbClr>
                  </w14:solidFill>
                </w14:textFill>
              </w:rPr>
              <w:t xml:space="preserve">　</w:t>
            </w:r>
            <w:r w:rsidRPr="003E4FD0">
              <w:rPr>
                <w:iCs/>
                <w:color w:val="000000"/>
                <w:w w:val="15"/>
                <w:shd w:val="solid" w:color="000000" w:fill="000000"/>
                <w:fitText w:val="10" w:id="-894212595"/>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595"/>
                <w14:textFill>
                  <w14:solidFill>
                    <w14:srgbClr w14:val="000000">
                      <w14:alpha w14:val="100000"/>
                    </w14:srgbClr>
                  </w14:solidFill>
                </w14:textFill>
              </w:rPr>
              <w:t xml:space="preserve">　</w:t>
            </w:r>
            <w:r w:rsidR="007363B3">
              <w:rPr>
                <w:iCs/>
              </w:rPr>
              <w:t xml:space="preserve"> </w:t>
            </w:r>
          </w:p>
        </w:tc>
        <w:tc>
          <w:tcPr>
            <w:tcW w:w="628" w:type="pct"/>
            <w:vAlign w:val="center"/>
          </w:tcPr>
          <w:p w14:paraId="622506FB" w14:textId="68A284E2" w:rsidR="009845C9" w:rsidRPr="00616367" w:rsidRDefault="009845C9" w:rsidP="00875FC4">
            <w:pPr>
              <w:pStyle w:val="TableText0"/>
              <w:keepNext w:val="0"/>
              <w:jc w:val="center"/>
              <w:rPr>
                <w:iCs/>
              </w:rPr>
            </w:pPr>
            <w:r w:rsidRPr="00616367">
              <w:rPr>
                <w:iCs/>
              </w:rPr>
              <w:t>0.1451</w:t>
            </w:r>
          </w:p>
        </w:tc>
        <w:tc>
          <w:tcPr>
            <w:tcW w:w="631" w:type="pct"/>
            <w:vAlign w:val="center"/>
          </w:tcPr>
          <w:p w14:paraId="4189AEC3" w14:textId="42A4B67C" w:rsidR="009845C9" w:rsidRPr="00616367" w:rsidRDefault="00474E21" w:rsidP="00875FC4">
            <w:pPr>
              <w:pStyle w:val="TableText0"/>
              <w:keepNext w:val="0"/>
              <w:jc w:val="center"/>
              <w:rPr>
                <w:iCs/>
              </w:rPr>
            </w:pPr>
            <w:r w:rsidRPr="00474E21">
              <w:rPr>
                <w:rFonts w:hint="eastAsia"/>
                <w:iCs/>
                <w:color w:val="000000"/>
                <w:w w:val="15"/>
                <w:shd w:val="solid" w:color="000000" w:fill="000000"/>
                <w:fitText w:val="40" w:id="-894212594"/>
                <w14:textFill>
                  <w14:solidFill>
                    <w14:srgbClr w14:val="000000">
                      <w14:alpha w14:val="100000"/>
                    </w14:srgbClr>
                  </w14:solidFill>
                </w14:textFill>
              </w:rPr>
              <w:t xml:space="preserve">　</w:t>
            </w:r>
            <w:r w:rsidRPr="00474E21">
              <w:rPr>
                <w:iCs/>
                <w:color w:val="000000"/>
                <w:w w:val="15"/>
                <w:shd w:val="solid" w:color="000000" w:fill="000000"/>
                <w:fitText w:val="40" w:id="-894212594"/>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594"/>
                <w14:textFill>
                  <w14:solidFill>
                    <w14:srgbClr w14:val="000000">
                      <w14:alpha w14:val="100000"/>
                    </w14:srgbClr>
                  </w14:solidFill>
                </w14:textFill>
              </w:rPr>
              <w:t xml:space="preserve">　</w:t>
            </w:r>
            <w:r w:rsidR="007363B3">
              <w:rPr>
                <w:b/>
                <w:vertAlign w:val="superscript"/>
              </w:rPr>
              <w:t>4</w:t>
            </w:r>
          </w:p>
        </w:tc>
        <w:tc>
          <w:tcPr>
            <w:tcW w:w="521" w:type="pct"/>
            <w:vAlign w:val="center"/>
          </w:tcPr>
          <w:p w14:paraId="5A02580A" w14:textId="2517A32B" w:rsidR="009845C9"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593"/>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593"/>
                <w14:textFill>
                  <w14:solidFill>
                    <w14:srgbClr w14:val="000000">
                      <w14:alpha w14:val="100000"/>
                    </w14:srgbClr>
                  </w14:solidFill>
                </w14:textFill>
              </w:rPr>
              <w:t>|</w:t>
            </w:r>
            <w:r w:rsidR="002C109D" w:rsidRPr="00616367">
              <w:rPr>
                <w:rFonts w:eastAsia="Calibri"/>
                <w:iCs/>
                <w:szCs w:val="20"/>
              </w:rPr>
              <w:t>%</w:t>
            </w:r>
          </w:p>
        </w:tc>
      </w:tr>
      <w:tr w:rsidR="002C0784" w:rsidRPr="00482A36" w14:paraId="15798F33" w14:textId="77777777" w:rsidTr="00AA5533">
        <w:trPr>
          <w:cantSplit/>
          <w:trHeight w:val="20"/>
        </w:trPr>
        <w:tc>
          <w:tcPr>
            <w:tcW w:w="5000" w:type="pct"/>
            <w:gridSpan w:val="5"/>
            <w:vAlign w:val="center"/>
          </w:tcPr>
          <w:p w14:paraId="5E5C496C" w14:textId="77777777" w:rsidR="002C0784" w:rsidRPr="00482A36" w:rsidRDefault="002C0784" w:rsidP="00875FC4">
            <w:pPr>
              <w:pStyle w:val="TableText0"/>
              <w:keepNext w:val="0"/>
              <w:rPr>
                <w:rFonts w:eastAsia="Calibri"/>
                <w:i/>
                <w:iCs/>
                <w:szCs w:val="20"/>
              </w:rPr>
            </w:pPr>
            <w:r w:rsidRPr="00482A36">
              <w:t>Response at week 24 (base case: 84.5% for LGX 200 mg + ABT)</w:t>
            </w:r>
          </w:p>
        </w:tc>
      </w:tr>
      <w:tr w:rsidR="00FF4A90" w:rsidRPr="00616367" w14:paraId="32379A6B" w14:textId="77777777" w:rsidTr="00FF4A90">
        <w:trPr>
          <w:cantSplit/>
          <w:trHeight w:val="20"/>
        </w:trPr>
        <w:tc>
          <w:tcPr>
            <w:tcW w:w="2591" w:type="pct"/>
            <w:vAlign w:val="center"/>
          </w:tcPr>
          <w:p w14:paraId="73775EA2" w14:textId="77777777" w:rsidR="002C0784" w:rsidRPr="00616367" w:rsidRDefault="002C0784" w:rsidP="00875FC4">
            <w:pPr>
              <w:pStyle w:val="TableText0"/>
              <w:keepNext w:val="0"/>
              <w:ind w:left="107"/>
            </w:pPr>
            <w:r w:rsidRPr="00616367">
              <w:t>74.5% (LGX 200 mg without ABT)</w:t>
            </w:r>
          </w:p>
        </w:tc>
        <w:tc>
          <w:tcPr>
            <w:tcW w:w="628" w:type="pct"/>
            <w:vAlign w:val="center"/>
          </w:tcPr>
          <w:p w14:paraId="45765527" w14:textId="30618624" w:rsidR="002C0784" w:rsidRPr="00616367" w:rsidRDefault="00474E21" w:rsidP="00875FC4">
            <w:pPr>
              <w:pStyle w:val="TableText0"/>
              <w:keepNext w:val="0"/>
              <w:jc w:val="center"/>
              <w:rPr>
                <w:rFonts w:eastAsia="Calibri"/>
                <w:iCs/>
                <w:szCs w:val="20"/>
              </w:rPr>
            </w:pPr>
            <w:r w:rsidRPr="003E4FD0">
              <w:rPr>
                <w:rFonts w:hint="eastAsia"/>
                <w:color w:val="000000"/>
                <w:w w:val="15"/>
                <w:shd w:val="solid" w:color="000000" w:fill="000000"/>
                <w:fitText w:val="10" w:id="-894212592"/>
                <w14:textFill>
                  <w14:solidFill>
                    <w14:srgbClr w14:val="000000">
                      <w14:alpha w14:val="100000"/>
                    </w14:srgbClr>
                  </w14:solidFill>
                </w14:textFill>
              </w:rPr>
              <w:t xml:space="preserve">　</w:t>
            </w:r>
            <w:r w:rsidRPr="003E4FD0">
              <w:rPr>
                <w:color w:val="000000"/>
                <w:w w:val="15"/>
                <w:shd w:val="solid" w:color="000000" w:fill="000000"/>
                <w:fitText w:val="10" w:id="-894212592"/>
                <w14:textFill>
                  <w14:solidFill>
                    <w14:srgbClr w14:val="000000">
                      <w14:alpha w14:val="100000"/>
                    </w14:srgbClr>
                  </w14:solidFill>
                </w14:textFill>
              </w:rPr>
              <w:t>|</w:t>
            </w:r>
            <w:r w:rsidRPr="003E4FD0">
              <w:rPr>
                <w:rFonts w:hint="eastAsia"/>
                <w:color w:val="000000"/>
                <w:spacing w:val="-55"/>
                <w:w w:val="15"/>
                <w:shd w:val="solid" w:color="000000" w:fill="000000"/>
                <w:fitText w:val="10" w:id="-894212592"/>
                <w14:textFill>
                  <w14:solidFill>
                    <w14:srgbClr w14:val="000000">
                      <w14:alpha w14:val="100000"/>
                    </w14:srgbClr>
                  </w14:solidFill>
                </w14:textFill>
              </w:rPr>
              <w:t xml:space="preserve">　</w:t>
            </w:r>
            <w:r w:rsidR="007363B3">
              <w:t xml:space="preserve"> </w:t>
            </w:r>
          </w:p>
        </w:tc>
        <w:tc>
          <w:tcPr>
            <w:tcW w:w="628" w:type="pct"/>
            <w:vAlign w:val="center"/>
          </w:tcPr>
          <w:p w14:paraId="67AD8D03" w14:textId="77777777" w:rsidR="002C0784" w:rsidRPr="00616367" w:rsidRDefault="002C0784" w:rsidP="00875FC4">
            <w:pPr>
              <w:pStyle w:val="TableText0"/>
              <w:keepNext w:val="0"/>
              <w:jc w:val="center"/>
              <w:rPr>
                <w:rFonts w:eastAsia="Calibri"/>
                <w:iCs/>
                <w:szCs w:val="20"/>
              </w:rPr>
            </w:pPr>
            <w:r w:rsidRPr="00616367">
              <w:t>0.1451</w:t>
            </w:r>
          </w:p>
        </w:tc>
        <w:tc>
          <w:tcPr>
            <w:tcW w:w="631" w:type="pct"/>
            <w:vAlign w:val="center"/>
          </w:tcPr>
          <w:p w14:paraId="08078FC0" w14:textId="3BAECFA3" w:rsidR="002C0784" w:rsidRPr="00616367" w:rsidRDefault="00474E21" w:rsidP="00875FC4">
            <w:pPr>
              <w:pStyle w:val="TableText0"/>
              <w:keepNext w:val="0"/>
              <w:jc w:val="center"/>
              <w:rPr>
                <w:rFonts w:eastAsia="Calibri"/>
                <w:iCs/>
                <w:szCs w:val="20"/>
              </w:rPr>
            </w:pPr>
            <w:r w:rsidRPr="00474E21">
              <w:rPr>
                <w:rFonts w:hint="eastAsia"/>
                <w:color w:val="000000"/>
                <w:w w:val="15"/>
                <w:shd w:val="solid" w:color="000000" w:fill="000000"/>
                <w:fitText w:val="40" w:id="-894212608"/>
                <w14:textFill>
                  <w14:solidFill>
                    <w14:srgbClr w14:val="000000">
                      <w14:alpha w14:val="100000"/>
                    </w14:srgbClr>
                  </w14:solidFill>
                </w14:textFill>
              </w:rPr>
              <w:t xml:space="preserve">　</w:t>
            </w:r>
            <w:r w:rsidRPr="00474E21">
              <w:rPr>
                <w:color w:val="000000"/>
                <w:w w:val="15"/>
                <w:shd w:val="solid" w:color="000000" w:fill="000000"/>
                <w:fitText w:val="40" w:id="-894212608"/>
                <w14:textFill>
                  <w14:solidFill>
                    <w14:srgbClr w14:val="000000">
                      <w14:alpha w14:val="100000"/>
                    </w14:srgbClr>
                  </w14:solidFill>
                </w14:textFill>
              </w:rPr>
              <w:t>|</w:t>
            </w:r>
            <w:r w:rsidRPr="00474E21">
              <w:rPr>
                <w:rFonts w:hint="eastAsia"/>
                <w:color w:val="000000"/>
                <w:spacing w:val="-25"/>
                <w:w w:val="15"/>
                <w:shd w:val="solid" w:color="000000" w:fill="000000"/>
                <w:fitText w:val="40" w:id="-894212608"/>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25225C31" w14:textId="0C329033"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607"/>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607"/>
                <w14:textFill>
                  <w14:solidFill>
                    <w14:srgbClr w14:val="000000">
                      <w14:alpha w14:val="100000"/>
                    </w14:srgbClr>
                  </w14:solidFill>
                </w14:textFill>
              </w:rPr>
              <w:t>|</w:t>
            </w:r>
            <w:r w:rsidR="002C0784" w:rsidRPr="00616367">
              <w:rPr>
                <w:rFonts w:eastAsia="Calibri"/>
                <w:iCs/>
                <w:szCs w:val="20"/>
              </w:rPr>
              <w:t>%</w:t>
            </w:r>
          </w:p>
        </w:tc>
      </w:tr>
      <w:tr w:rsidR="00FF4A90" w:rsidRPr="00616367" w14:paraId="2D0E669F" w14:textId="77777777" w:rsidTr="00FF4A90">
        <w:trPr>
          <w:cantSplit/>
          <w:trHeight w:val="20"/>
        </w:trPr>
        <w:tc>
          <w:tcPr>
            <w:tcW w:w="2591" w:type="pct"/>
            <w:vAlign w:val="center"/>
          </w:tcPr>
          <w:p w14:paraId="1A2BD3D0" w14:textId="77777777" w:rsidR="002C0784" w:rsidRPr="00616367" w:rsidRDefault="002C0784" w:rsidP="00875FC4">
            <w:pPr>
              <w:pStyle w:val="TableText0"/>
              <w:keepNext w:val="0"/>
              <w:ind w:left="107"/>
            </w:pPr>
            <w:r w:rsidRPr="00616367">
              <w:t>56.5% (LGX 100 mg without ABT)</w:t>
            </w:r>
          </w:p>
        </w:tc>
        <w:tc>
          <w:tcPr>
            <w:tcW w:w="628" w:type="pct"/>
            <w:vAlign w:val="center"/>
          </w:tcPr>
          <w:p w14:paraId="1E699D58" w14:textId="71595633" w:rsidR="002C0784" w:rsidRPr="00616367" w:rsidRDefault="00474E21" w:rsidP="00875FC4">
            <w:pPr>
              <w:pStyle w:val="TableText0"/>
              <w:keepNext w:val="0"/>
              <w:jc w:val="center"/>
              <w:rPr>
                <w:rFonts w:eastAsia="Calibri"/>
                <w:iCs/>
                <w:szCs w:val="20"/>
              </w:rPr>
            </w:pPr>
            <w:r w:rsidRPr="003E4FD0">
              <w:rPr>
                <w:rFonts w:hint="eastAsia"/>
                <w:color w:val="000000"/>
                <w:w w:val="15"/>
                <w:shd w:val="solid" w:color="000000" w:fill="000000"/>
                <w:fitText w:val="10" w:id="-894212606"/>
                <w14:textFill>
                  <w14:solidFill>
                    <w14:srgbClr w14:val="000000">
                      <w14:alpha w14:val="100000"/>
                    </w14:srgbClr>
                  </w14:solidFill>
                </w14:textFill>
              </w:rPr>
              <w:t xml:space="preserve">　</w:t>
            </w:r>
            <w:r w:rsidRPr="003E4FD0">
              <w:rPr>
                <w:color w:val="000000"/>
                <w:w w:val="15"/>
                <w:shd w:val="solid" w:color="000000" w:fill="000000"/>
                <w:fitText w:val="10" w:id="-894212606"/>
                <w14:textFill>
                  <w14:solidFill>
                    <w14:srgbClr w14:val="000000">
                      <w14:alpha w14:val="100000"/>
                    </w14:srgbClr>
                  </w14:solidFill>
                </w14:textFill>
              </w:rPr>
              <w:t>|</w:t>
            </w:r>
            <w:r w:rsidRPr="003E4FD0">
              <w:rPr>
                <w:rFonts w:hint="eastAsia"/>
                <w:color w:val="000000"/>
                <w:spacing w:val="-55"/>
                <w:w w:val="15"/>
                <w:shd w:val="solid" w:color="000000" w:fill="000000"/>
                <w:fitText w:val="10" w:id="-894212606"/>
                <w14:textFill>
                  <w14:solidFill>
                    <w14:srgbClr w14:val="000000">
                      <w14:alpha w14:val="100000"/>
                    </w14:srgbClr>
                  </w14:solidFill>
                </w14:textFill>
              </w:rPr>
              <w:t xml:space="preserve">　</w:t>
            </w:r>
            <w:r w:rsidR="007363B3">
              <w:t xml:space="preserve"> </w:t>
            </w:r>
          </w:p>
        </w:tc>
        <w:tc>
          <w:tcPr>
            <w:tcW w:w="628" w:type="pct"/>
            <w:vAlign w:val="center"/>
          </w:tcPr>
          <w:p w14:paraId="54C5F715" w14:textId="77777777" w:rsidR="002C0784" w:rsidRPr="00616367" w:rsidRDefault="002C0784" w:rsidP="00875FC4">
            <w:pPr>
              <w:pStyle w:val="TableText0"/>
              <w:keepNext w:val="0"/>
              <w:jc w:val="center"/>
              <w:rPr>
                <w:rFonts w:eastAsia="Calibri"/>
                <w:iCs/>
                <w:szCs w:val="20"/>
              </w:rPr>
            </w:pPr>
            <w:r w:rsidRPr="00616367">
              <w:t>0.0936</w:t>
            </w:r>
          </w:p>
        </w:tc>
        <w:tc>
          <w:tcPr>
            <w:tcW w:w="631" w:type="pct"/>
            <w:vAlign w:val="center"/>
          </w:tcPr>
          <w:p w14:paraId="49A4D0B9" w14:textId="23E49AA9" w:rsidR="002C0784" w:rsidRPr="00616367" w:rsidRDefault="00474E21" w:rsidP="00875FC4">
            <w:pPr>
              <w:pStyle w:val="TableText0"/>
              <w:keepNext w:val="0"/>
              <w:jc w:val="center"/>
              <w:rPr>
                <w:rFonts w:eastAsia="Calibri"/>
                <w:iCs/>
                <w:szCs w:val="20"/>
              </w:rPr>
            </w:pPr>
            <w:r w:rsidRPr="00474E21">
              <w:rPr>
                <w:rFonts w:hint="eastAsia"/>
                <w:color w:val="000000"/>
                <w:w w:val="15"/>
                <w:shd w:val="solid" w:color="000000" w:fill="000000"/>
                <w:fitText w:val="40" w:id="-894212605"/>
                <w14:textFill>
                  <w14:solidFill>
                    <w14:srgbClr w14:val="000000">
                      <w14:alpha w14:val="100000"/>
                    </w14:srgbClr>
                  </w14:solidFill>
                </w14:textFill>
              </w:rPr>
              <w:t xml:space="preserve">　</w:t>
            </w:r>
            <w:r w:rsidRPr="00474E21">
              <w:rPr>
                <w:color w:val="000000"/>
                <w:w w:val="15"/>
                <w:shd w:val="solid" w:color="000000" w:fill="000000"/>
                <w:fitText w:val="40" w:id="-894212605"/>
                <w14:textFill>
                  <w14:solidFill>
                    <w14:srgbClr w14:val="000000">
                      <w14:alpha w14:val="100000"/>
                    </w14:srgbClr>
                  </w14:solidFill>
                </w14:textFill>
              </w:rPr>
              <w:t>|</w:t>
            </w:r>
            <w:r w:rsidRPr="00474E21">
              <w:rPr>
                <w:rFonts w:hint="eastAsia"/>
                <w:color w:val="000000"/>
                <w:spacing w:val="-25"/>
                <w:w w:val="15"/>
                <w:shd w:val="solid" w:color="000000" w:fill="000000"/>
                <w:fitText w:val="40" w:id="-894212605"/>
                <w14:textFill>
                  <w14:solidFill>
                    <w14:srgbClr w14:val="000000">
                      <w14:alpha w14:val="100000"/>
                    </w14:srgbClr>
                  </w14:solidFill>
                </w14:textFill>
              </w:rPr>
              <w:t xml:space="preserve">　</w:t>
            </w:r>
            <w:r w:rsidR="007363B3">
              <w:rPr>
                <w:b/>
                <w:vertAlign w:val="superscript"/>
              </w:rPr>
              <w:t>5</w:t>
            </w:r>
          </w:p>
        </w:tc>
        <w:tc>
          <w:tcPr>
            <w:tcW w:w="521" w:type="pct"/>
            <w:vAlign w:val="center"/>
          </w:tcPr>
          <w:p w14:paraId="52E818DB" w14:textId="1899ACE2"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604"/>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604"/>
                <w14:textFill>
                  <w14:solidFill>
                    <w14:srgbClr w14:val="000000">
                      <w14:alpha w14:val="100000"/>
                    </w14:srgbClr>
                  </w14:solidFill>
                </w14:textFill>
              </w:rPr>
              <w:t>|</w:t>
            </w:r>
            <w:r w:rsidR="002C0784" w:rsidRPr="00616367">
              <w:rPr>
                <w:rFonts w:eastAsia="Calibri"/>
                <w:iCs/>
                <w:szCs w:val="20"/>
              </w:rPr>
              <w:t>%</w:t>
            </w:r>
          </w:p>
        </w:tc>
      </w:tr>
      <w:tr w:rsidR="002C0784" w:rsidRPr="00482A36" w14:paraId="0270AF43" w14:textId="77777777" w:rsidTr="00AA5533">
        <w:trPr>
          <w:cantSplit/>
          <w:trHeight w:val="20"/>
        </w:trPr>
        <w:tc>
          <w:tcPr>
            <w:tcW w:w="5000" w:type="pct"/>
            <w:gridSpan w:val="5"/>
            <w:vAlign w:val="center"/>
          </w:tcPr>
          <w:p w14:paraId="1C83AC2B" w14:textId="77777777" w:rsidR="002C0784" w:rsidRPr="00482A36" w:rsidRDefault="002C0784" w:rsidP="00875FC4">
            <w:pPr>
              <w:pStyle w:val="TableText0"/>
              <w:keepNext w:val="0"/>
              <w:rPr>
                <w:rFonts w:eastAsia="Calibri"/>
                <w:szCs w:val="20"/>
              </w:rPr>
            </w:pPr>
            <w:r w:rsidRPr="00482A36">
              <w:t>Discontinuations for other reasons from HMB Remission (LGX) health state (base case: zero)</w:t>
            </w:r>
          </w:p>
        </w:tc>
      </w:tr>
      <w:tr w:rsidR="00FF4A90" w:rsidRPr="00616367" w14:paraId="5C8A1F21" w14:textId="77777777" w:rsidTr="00FF4A90">
        <w:trPr>
          <w:cantSplit/>
          <w:trHeight w:val="20"/>
        </w:trPr>
        <w:tc>
          <w:tcPr>
            <w:tcW w:w="2591" w:type="pct"/>
            <w:vAlign w:val="center"/>
          </w:tcPr>
          <w:p w14:paraId="38005550" w14:textId="77777777" w:rsidR="002C0784" w:rsidRPr="00616367" w:rsidRDefault="002C0784" w:rsidP="00875FC4">
            <w:pPr>
              <w:pStyle w:val="TableText0"/>
              <w:keepNext w:val="0"/>
              <w:ind w:left="107"/>
            </w:pPr>
            <w:r w:rsidRPr="00616367">
              <w:t>Discontinuations assumed to be the same as for HMB (LGX) health state</w:t>
            </w:r>
          </w:p>
        </w:tc>
        <w:tc>
          <w:tcPr>
            <w:tcW w:w="628" w:type="pct"/>
            <w:vAlign w:val="center"/>
          </w:tcPr>
          <w:p w14:paraId="7FD5ABD6" w14:textId="16A094AB" w:rsidR="002C0784" w:rsidRPr="00616367" w:rsidRDefault="00474E21" w:rsidP="00875FC4">
            <w:pPr>
              <w:pStyle w:val="TableText0"/>
              <w:keepNext w:val="0"/>
              <w:jc w:val="center"/>
            </w:pPr>
            <w:r w:rsidRPr="003E4FD0">
              <w:rPr>
                <w:rFonts w:hint="eastAsia"/>
                <w:iCs/>
                <w:color w:val="000000"/>
                <w:w w:val="15"/>
                <w:shd w:val="solid" w:color="000000" w:fill="000000"/>
                <w:fitText w:val="10" w:id="-894212603"/>
                <w14:textFill>
                  <w14:solidFill>
                    <w14:srgbClr w14:val="000000">
                      <w14:alpha w14:val="100000"/>
                    </w14:srgbClr>
                  </w14:solidFill>
                </w14:textFill>
              </w:rPr>
              <w:t xml:space="preserve">　</w:t>
            </w:r>
            <w:r w:rsidRPr="003E4FD0">
              <w:rPr>
                <w:iCs/>
                <w:color w:val="000000"/>
                <w:w w:val="15"/>
                <w:shd w:val="solid" w:color="000000" w:fill="000000"/>
                <w:fitText w:val="10" w:id="-894212603"/>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603"/>
                <w14:textFill>
                  <w14:solidFill>
                    <w14:srgbClr w14:val="000000">
                      <w14:alpha w14:val="100000"/>
                    </w14:srgbClr>
                  </w14:solidFill>
                </w14:textFill>
              </w:rPr>
              <w:t xml:space="preserve">　</w:t>
            </w:r>
            <w:r w:rsidR="007363B3">
              <w:rPr>
                <w:iCs/>
              </w:rPr>
              <w:t xml:space="preserve"> </w:t>
            </w:r>
          </w:p>
        </w:tc>
        <w:tc>
          <w:tcPr>
            <w:tcW w:w="628" w:type="pct"/>
            <w:vAlign w:val="center"/>
          </w:tcPr>
          <w:p w14:paraId="432E366A" w14:textId="77777777" w:rsidR="002C0784" w:rsidRPr="00616367" w:rsidRDefault="002C0784" w:rsidP="00875FC4">
            <w:pPr>
              <w:pStyle w:val="TableText0"/>
              <w:keepNext w:val="0"/>
              <w:jc w:val="center"/>
            </w:pPr>
            <w:r w:rsidRPr="00616367">
              <w:rPr>
                <w:iCs/>
              </w:rPr>
              <w:t>0.1311</w:t>
            </w:r>
          </w:p>
        </w:tc>
        <w:tc>
          <w:tcPr>
            <w:tcW w:w="631" w:type="pct"/>
            <w:vAlign w:val="center"/>
          </w:tcPr>
          <w:p w14:paraId="5EEA5C25" w14:textId="7CB73ABB" w:rsidR="002C0784" w:rsidRPr="00616367" w:rsidRDefault="00474E21" w:rsidP="00875FC4">
            <w:pPr>
              <w:pStyle w:val="TableText0"/>
              <w:keepNext w:val="0"/>
              <w:jc w:val="center"/>
            </w:pPr>
            <w:r w:rsidRPr="00474E21">
              <w:rPr>
                <w:rFonts w:hint="eastAsia"/>
                <w:iCs/>
                <w:color w:val="000000"/>
                <w:w w:val="15"/>
                <w:shd w:val="solid" w:color="000000" w:fill="000000"/>
                <w:fitText w:val="40" w:id="-894212602"/>
                <w14:textFill>
                  <w14:solidFill>
                    <w14:srgbClr w14:val="000000">
                      <w14:alpha w14:val="100000"/>
                    </w14:srgbClr>
                  </w14:solidFill>
                </w14:textFill>
              </w:rPr>
              <w:t xml:space="preserve">　</w:t>
            </w:r>
            <w:r w:rsidRPr="00474E21">
              <w:rPr>
                <w:iCs/>
                <w:color w:val="000000"/>
                <w:w w:val="15"/>
                <w:shd w:val="solid" w:color="000000" w:fill="000000"/>
                <w:fitText w:val="40" w:id="-894212602"/>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602"/>
                <w14:textFill>
                  <w14:solidFill>
                    <w14:srgbClr w14:val="000000">
                      <w14:alpha w14:val="100000"/>
                    </w14:srgbClr>
                  </w14:solidFill>
                </w14:textFill>
              </w:rPr>
              <w:t xml:space="preserve">　</w:t>
            </w:r>
            <w:r w:rsidR="007363B3">
              <w:rPr>
                <w:b/>
                <w:vertAlign w:val="superscript"/>
              </w:rPr>
              <w:t>6</w:t>
            </w:r>
          </w:p>
        </w:tc>
        <w:tc>
          <w:tcPr>
            <w:tcW w:w="521" w:type="pct"/>
            <w:vAlign w:val="center"/>
          </w:tcPr>
          <w:p w14:paraId="5FDDD6E6" w14:textId="223A2705" w:rsidR="002C0784" w:rsidRPr="00616367" w:rsidRDefault="002C0784"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601"/>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601"/>
                <w14:textFill>
                  <w14:solidFill>
                    <w14:srgbClr w14:val="000000">
                      <w14:alpha w14:val="100000"/>
                    </w14:srgbClr>
                  </w14:solidFill>
                </w14:textFill>
              </w:rPr>
              <w:t>|</w:t>
            </w:r>
            <w:r w:rsidRPr="00616367">
              <w:rPr>
                <w:rFonts w:eastAsia="Calibri"/>
                <w:iCs/>
                <w:szCs w:val="20"/>
              </w:rPr>
              <w:t>%</w:t>
            </w:r>
          </w:p>
        </w:tc>
      </w:tr>
      <w:tr w:rsidR="002C0784" w:rsidRPr="00482A36" w14:paraId="56B61136" w14:textId="77777777" w:rsidTr="00AA5533">
        <w:trPr>
          <w:cantSplit/>
          <w:trHeight w:val="20"/>
        </w:trPr>
        <w:tc>
          <w:tcPr>
            <w:tcW w:w="5000" w:type="pct"/>
            <w:gridSpan w:val="5"/>
            <w:vAlign w:val="center"/>
          </w:tcPr>
          <w:p w14:paraId="39D90C35" w14:textId="77777777" w:rsidR="002C0784" w:rsidRPr="00482A36" w:rsidRDefault="002C0784" w:rsidP="00875FC4">
            <w:pPr>
              <w:pStyle w:val="TableText0"/>
              <w:keepNext w:val="0"/>
              <w:rPr>
                <w:rFonts w:eastAsia="Calibri"/>
                <w:szCs w:val="20"/>
              </w:rPr>
            </w:pPr>
            <w:r w:rsidRPr="00482A36">
              <w:t>Stopping rule for LGX treatment at 6 months</w:t>
            </w:r>
          </w:p>
        </w:tc>
      </w:tr>
      <w:tr w:rsidR="00FF4A90" w:rsidRPr="00616367" w14:paraId="2F300C5C" w14:textId="77777777" w:rsidTr="00FF4A90">
        <w:trPr>
          <w:cantSplit/>
          <w:trHeight w:val="20"/>
        </w:trPr>
        <w:tc>
          <w:tcPr>
            <w:tcW w:w="2591" w:type="pct"/>
            <w:vAlign w:val="center"/>
          </w:tcPr>
          <w:p w14:paraId="21BF3B28" w14:textId="77777777" w:rsidR="002C0784" w:rsidRPr="00616367" w:rsidRDefault="002C0784" w:rsidP="00875FC4">
            <w:pPr>
              <w:pStyle w:val="TableText0"/>
              <w:keepNext w:val="0"/>
              <w:ind w:left="107"/>
            </w:pPr>
            <w:r w:rsidRPr="00616367">
              <w:t>Remove stopping rule for non-responders (patients with no remission)</w:t>
            </w:r>
          </w:p>
        </w:tc>
        <w:tc>
          <w:tcPr>
            <w:tcW w:w="628" w:type="pct"/>
            <w:vAlign w:val="center"/>
          </w:tcPr>
          <w:p w14:paraId="404D2EA5" w14:textId="73B93D91" w:rsidR="002C0784" w:rsidRPr="00616367" w:rsidRDefault="00474E21" w:rsidP="00875FC4">
            <w:pPr>
              <w:pStyle w:val="TableText0"/>
              <w:keepNext w:val="0"/>
              <w:jc w:val="center"/>
              <w:rPr>
                <w:iCs/>
              </w:rPr>
            </w:pPr>
            <w:r w:rsidRPr="003E4FD0">
              <w:rPr>
                <w:rFonts w:hint="eastAsia"/>
                <w:color w:val="000000"/>
                <w:w w:val="15"/>
                <w:shd w:val="solid" w:color="000000" w:fill="000000"/>
                <w:fitText w:val="10" w:id="-894212600"/>
                <w14:textFill>
                  <w14:solidFill>
                    <w14:srgbClr w14:val="000000">
                      <w14:alpha w14:val="100000"/>
                    </w14:srgbClr>
                  </w14:solidFill>
                </w14:textFill>
              </w:rPr>
              <w:t xml:space="preserve">　</w:t>
            </w:r>
            <w:r w:rsidRPr="003E4FD0">
              <w:rPr>
                <w:color w:val="000000"/>
                <w:w w:val="15"/>
                <w:shd w:val="solid" w:color="000000" w:fill="000000"/>
                <w:fitText w:val="10" w:id="-894212600"/>
                <w14:textFill>
                  <w14:solidFill>
                    <w14:srgbClr w14:val="000000">
                      <w14:alpha w14:val="100000"/>
                    </w14:srgbClr>
                  </w14:solidFill>
                </w14:textFill>
              </w:rPr>
              <w:t>|</w:t>
            </w:r>
            <w:r w:rsidRPr="003E4FD0">
              <w:rPr>
                <w:rFonts w:hint="eastAsia"/>
                <w:color w:val="000000"/>
                <w:spacing w:val="-55"/>
                <w:w w:val="15"/>
                <w:shd w:val="solid" w:color="000000" w:fill="000000"/>
                <w:fitText w:val="10" w:id="-894212600"/>
                <w14:textFill>
                  <w14:solidFill>
                    <w14:srgbClr w14:val="000000">
                      <w14:alpha w14:val="100000"/>
                    </w14:srgbClr>
                  </w14:solidFill>
                </w14:textFill>
              </w:rPr>
              <w:t xml:space="preserve">　</w:t>
            </w:r>
            <w:r w:rsidR="007363B3">
              <w:t xml:space="preserve"> </w:t>
            </w:r>
          </w:p>
        </w:tc>
        <w:tc>
          <w:tcPr>
            <w:tcW w:w="628" w:type="pct"/>
            <w:vAlign w:val="center"/>
          </w:tcPr>
          <w:p w14:paraId="6C0343DC" w14:textId="77777777" w:rsidR="002C0784" w:rsidRPr="00616367" w:rsidRDefault="002C0784" w:rsidP="00875FC4">
            <w:pPr>
              <w:pStyle w:val="TableText0"/>
              <w:keepNext w:val="0"/>
              <w:jc w:val="center"/>
              <w:rPr>
                <w:iCs/>
              </w:rPr>
            </w:pPr>
            <w:r w:rsidRPr="00616367">
              <w:t>0.174</w:t>
            </w:r>
            <w:r w:rsidRPr="00616367">
              <w:rPr>
                <w:iCs/>
              </w:rPr>
              <w:t>5</w:t>
            </w:r>
          </w:p>
        </w:tc>
        <w:tc>
          <w:tcPr>
            <w:tcW w:w="631" w:type="pct"/>
            <w:vAlign w:val="center"/>
          </w:tcPr>
          <w:p w14:paraId="544F398B" w14:textId="14D156A0" w:rsidR="002C0784" w:rsidRPr="00616367" w:rsidRDefault="00474E21" w:rsidP="00875FC4">
            <w:pPr>
              <w:pStyle w:val="TableText0"/>
              <w:keepNext w:val="0"/>
              <w:jc w:val="center"/>
              <w:rPr>
                <w:iCs/>
              </w:rPr>
            </w:pPr>
            <w:r w:rsidRPr="00474E21">
              <w:rPr>
                <w:rFonts w:hint="eastAsia"/>
                <w:color w:val="000000"/>
                <w:w w:val="15"/>
                <w:shd w:val="solid" w:color="000000" w:fill="000000"/>
                <w:fitText w:val="40" w:id="-894212599"/>
                <w14:textFill>
                  <w14:solidFill>
                    <w14:srgbClr w14:val="000000">
                      <w14:alpha w14:val="100000"/>
                    </w14:srgbClr>
                  </w14:solidFill>
                </w14:textFill>
              </w:rPr>
              <w:t xml:space="preserve">　</w:t>
            </w:r>
            <w:r w:rsidRPr="00474E21">
              <w:rPr>
                <w:color w:val="000000"/>
                <w:w w:val="15"/>
                <w:shd w:val="solid" w:color="000000" w:fill="000000"/>
                <w:fitText w:val="40" w:id="-894212599"/>
                <w14:textFill>
                  <w14:solidFill>
                    <w14:srgbClr w14:val="000000">
                      <w14:alpha w14:val="100000"/>
                    </w14:srgbClr>
                  </w14:solidFill>
                </w14:textFill>
              </w:rPr>
              <w:t>|</w:t>
            </w:r>
            <w:r w:rsidRPr="00474E21">
              <w:rPr>
                <w:rFonts w:hint="eastAsia"/>
                <w:color w:val="000000"/>
                <w:spacing w:val="-25"/>
                <w:w w:val="15"/>
                <w:shd w:val="solid" w:color="000000" w:fill="000000"/>
                <w:fitText w:val="40" w:id="-894212599"/>
                <w14:textFill>
                  <w14:solidFill>
                    <w14:srgbClr w14:val="000000">
                      <w14:alpha w14:val="100000"/>
                    </w14:srgbClr>
                  </w14:solidFill>
                </w14:textFill>
              </w:rPr>
              <w:t xml:space="preserve">　</w:t>
            </w:r>
            <w:r w:rsidR="007363B3">
              <w:rPr>
                <w:b/>
                <w:vertAlign w:val="superscript"/>
              </w:rPr>
              <w:t>5</w:t>
            </w:r>
          </w:p>
        </w:tc>
        <w:tc>
          <w:tcPr>
            <w:tcW w:w="521" w:type="pct"/>
            <w:vAlign w:val="center"/>
          </w:tcPr>
          <w:p w14:paraId="7E5F759D" w14:textId="0CFA4588"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598"/>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598"/>
                <w14:textFill>
                  <w14:solidFill>
                    <w14:srgbClr w14:val="000000">
                      <w14:alpha w14:val="100000"/>
                    </w14:srgbClr>
                  </w14:solidFill>
                </w14:textFill>
              </w:rPr>
              <w:t>|</w:t>
            </w:r>
            <w:r w:rsidR="002C0784" w:rsidRPr="00616367">
              <w:rPr>
                <w:rFonts w:eastAsia="Calibri"/>
                <w:iCs/>
                <w:szCs w:val="20"/>
              </w:rPr>
              <w:t>%</w:t>
            </w:r>
          </w:p>
        </w:tc>
      </w:tr>
      <w:tr w:rsidR="002C0784" w:rsidRPr="00482A36" w14:paraId="60498D7F" w14:textId="77777777" w:rsidTr="00AA5533">
        <w:trPr>
          <w:cantSplit/>
          <w:trHeight w:val="20"/>
        </w:trPr>
        <w:tc>
          <w:tcPr>
            <w:tcW w:w="5000" w:type="pct"/>
            <w:gridSpan w:val="5"/>
            <w:vAlign w:val="center"/>
          </w:tcPr>
          <w:p w14:paraId="6156F6DE" w14:textId="77777777" w:rsidR="002C0784" w:rsidRPr="00482A36" w:rsidRDefault="002C0784" w:rsidP="00875FC4">
            <w:pPr>
              <w:pStyle w:val="TableText0"/>
              <w:keepNext w:val="0"/>
              <w:rPr>
                <w:rFonts w:eastAsia="Calibri"/>
                <w:i/>
                <w:iCs/>
                <w:szCs w:val="20"/>
              </w:rPr>
            </w:pPr>
            <w:r w:rsidRPr="00482A36">
              <w:t>Surgery</w:t>
            </w:r>
          </w:p>
        </w:tc>
      </w:tr>
      <w:tr w:rsidR="00FF4A90" w:rsidRPr="00616367" w14:paraId="1C926CCA" w14:textId="77777777" w:rsidTr="00FF4A90">
        <w:trPr>
          <w:cantSplit/>
          <w:trHeight w:val="20"/>
        </w:trPr>
        <w:tc>
          <w:tcPr>
            <w:tcW w:w="2591" w:type="pct"/>
            <w:vAlign w:val="center"/>
          </w:tcPr>
          <w:p w14:paraId="00C61BBB" w14:textId="3DF8F0A7" w:rsidR="002C0784" w:rsidRPr="00616367" w:rsidRDefault="002C0784" w:rsidP="00875FC4">
            <w:pPr>
              <w:pStyle w:val="TableText0"/>
              <w:keepNext w:val="0"/>
              <w:ind w:left="107"/>
            </w:pPr>
            <w:r w:rsidRPr="00616367">
              <w:t>Duration until menopause of one year for the purposes of calculating</w:t>
            </w:r>
            <w:r w:rsidR="004F7394" w:rsidRPr="00616367">
              <w:t xml:space="preserve"> a</w:t>
            </w:r>
            <w:r w:rsidRPr="00616367">
              <w:t xml:space="preserve"> monthly probability of surgery (base case 10 years until menopause)</w:t>
            </w:r>
            <w:r w:rsidRPr="00616367">
              <w:rPr>
                <w:vertAlign w:val="superscript"/>
              </w:rPr>
              <w:t>b</w:t>
            </w:r>
          </w:p>
        </w:tc>
        <w:tc>
          <w:tcPr>
            <w:tcW w:w="628" w:type="pct"/>
            <w:vAlign w:val="center"/>
          </w:tcPr>
          <w:p w14:paraId="4B227933" w14:textId="5E604801" w:rsidR="002C0784" w:rsidRPr="00616367" w:rsidRDefault="00474E21" w:rsidP="00875FC4">
            <w:pPr>
              <w:pStyle w:val="TableText0"/>
              <w:keepNext w:val="0"/>
              <w:jc w:val="center"/>
              <w:rPr>
                <w:rFonts w:eastAsia="Calibri"/>
                <w:szCs w:val="20"/>
              </w:rPr>
            </w:pPr>
            <w:r w:rsidRPr="003E4FD0">
              <w:rPr>
                <w:rFonts w:hint="eastAsia"/>
                <w:color w:val="000000"/>
                <w:w w:val="15"/>
                <w:shd w:val="solid" w:color="000000" w:fill="000000"/>
                <w:fitText w:val="10" w:id="-894212597"/>
                <w14:textFill>
                  <w14:solidFill>
                    <w14:srgbClr w14:val="000000">
                      <w14:alpha w14:val="100000"/>
                    </w14:srgbClr>
                  </w14:solidFill>
                </w14:textFill>
              </w:rPr>
              <w:t xml:space="preserve">　</w:t>
            </w:r>
            <w:r w:rsidRPr="003E4FD0">
              <w:rPr>
                <w:color w:val="000000"/>
                <w:w w:val="15"/>
                <w:shd w:val="solid" w:color="000000" w:fill="000000"/>
                <w:fitText w:val="10" w:id="-894212597"/>
                <w14:textFill>
                  <w14:solidFill>
                    <w14:srgbClr w14:val="000000">
                      <w14:alpha w14:val="100000"/>
                    </w14:srgbClr>
                  </w14:solidFill>
                </w14:textFill>
              </w:rPr>
              <w:t>|</w:t>
            </w:r>
            <w:r w:rsidRPr="003E4FD0">
              <w:rPr>
                <w:rFonts w:hint="eastAsia"/>
                <w:color w:val="000000"/>
                <w:spacing w:val="-55"/>
                <w:w w:val="15"/>
                <w:shd w:val="solid" w:color="000000" w:fill="000000"/>
                <w:fitText w:val="10" w:id="-894212597"/>
                <w14:textFill>
                  <w14:solidFill>
                    <w14:srgbClr w14:val="000000">
                      <w14:alpha w14:val="100000"/>
                    </w14:srgbClr>
                  </w14:solidFill>
                </w14:textFill>
              </w:rPr>
              <w:t xml:space="preserve">　</w:t>
            </w:r>
            <w:r w:rsidR="007363B3">
              <w:t xml:space="preserve"> </w:t>
            </w:r>
          </w:p>
        </w:tc>
        <w:tc>
          <w:tcPr>
            <w:tcW w:w="628" w:type="pct"/>
            <w:vAlign w:val="center"/>
          </w:tcPr>
          <w:p w14:paraId="04907013" w14:textId="77777777" w:rsidR="002C0784" w:rsidRPr="00616367" w:rsidRDefault="002C0784" w:rsidP="00875FC4">
            <w:pPr>
              <w:pStyle w:val="TableText0"/>
              <w:keepNext w:val="0"/>
              <w:jc w:val="center"/>
              <w:rPr>
                <w:rFonts w:eastAsia="Calibri"/>
                <w:szCs w:val="20"/>
              </w:rPr>
            </w:pPr>
            <w:r w:rsidRPr="00616367">
              <w:t>0.0652</w:t>
            </w:r>
          </w:p>
        </w:tc>
        <w:tc>
          <w:tcPr>
            <w:tcW w:w="631" w:type="pct"/>
            <w:vAlign w:val="center"/>
          </w:tcPr>
          <w:p w14:paraId="34283FFA" w14:textId="565F1D10" w:rsidR="002C0784" w:rsidRPr="00616367" w:rsidRDefault="00474E21" w:rsidP="00875FC4">
            <w:pPr>
              <w:pStyle w:val="TableText0"/>
              <w:keepNext w:val="0"/>
              <w:jc w:val="center"/>
              <w:rPr>
                <w:rFonts w:eastAsia="Calibri"/>
                <w:szCs w:val="20"/>
              </w:rPr>
            </w:pPr>
            <w:r w:rsidRPr="00474E21">
              <w:rPr>
                <w:rFonts w:hint="eastAsia"/>
                <w:color w:val="000000"/>
                <w:w w:val="15"/>
                <w:shd w:val="solid" w:color="000000" w:fill="000000"/>
                <w:fitText w:val="40" w:id="-894212596"/>
                <w14:textFill>
                  <w14:solidFill>
                    <w14:srgbClr w14:val="000000">
                      <w14:alpha w14:val="100000"/>
                    </w14:srgbClr>
                  </w14:solidFill>
                </w14:textFill>
              </w:rPr>
              <w:t xml:space="preserve">　</w:t>
            </w:r>
            <w:r w:rsidRPr="00474E21">
              <w:rPr>
                <w:color w:val="000000"/>
                <w:w w:val="15"/>
                <w:shd w:val="solid" w:color="000000" w:fill="000000"/>
                <w:fitText w:val="40" w:id="-894212596"/>
                <w14:textFill>
                  <w14:solidFill>
                    <w14:srgbClr w14:val="000000">
                      <w14:alpha w14:val="100000"/>
                    </w14:srgbClr>
                  </w14:solidFill>
                </w14:textFill>
              </w:rPr>
              <w:t>|</w:t>
            </w:r>
            <w:r w:rsidRPr="00474E21">
              <w:rPr>
                <w:rFonts w:hint="eastAsia"/>
                <w:color w:val="000000"/>
                <w:spacing w:val="-25"/>
                <w:w w:val="15"/>
                <w:shd w:val="solid" w:color="000000" w:fill="000000"/>
                <w:fitText w:val="40" w:id="-894212596"/>
                <w14:textFill>
                  <w14:solidFill>
                    <w14:srgbClr w14:val="000000">
                      <w14:alpha w14:val="100000"/>
                    </w14:srgbClr>
                  </w14:solidFill>
                </w14:textFill>
              </w:rPr>
              <w:t xml:space="preserve">　</w:t>
            </w:r>
            <w:r w:rsidR="007363B3">
              <w:rPr>
                <w:b/>
                <w:vertAlign w:val="superscript"/>
              </w:rPr>
              <w:t>3</w:t>
            </w:r>
          </w:p>
        </w:tc>
        <w:tc>
          <w:tcPr>
            <w:tcW w:w="521" w:type="pct"/>
            <w:vAlign w:val="center"/>
          </w:tcPr>
          <w:p w14:paraId="072B20B5" w14:textId="451B9512"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595"/>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595"/>
                <w14:textFill>
                  <w14:solidFill>
                    <w14:srgbClr w14:val="000000">
                      <w14:alpha w14:val="100000"/>
                    </w14:srgbClr>
                  </w14:solidFill>
                </w14:textFill>
              </w:rPr>
              <w:t>|</w:t>
            </w:r>
            <w:r w:rsidR="002C0784" w:rsidRPr="00616367">
              <w:rPr>
                <w:rFonts w:eastAsia="Calibri"/>
                <w:iCs/>
                <w:szCs w:val="20"/>
              </w:rPr>
              <w:t>%</w:t>
            </w:r>
          </w:p>
        </w:tc>
      </w:tr>
      <w:tr w:rsidR="00FF4A90" w:rsidRPr="00616367" w14:paraId="58FE5F60" w14:textId="77777777" w:rsidTr="00FF4A90">
        <w:trPr>
          <w:cantSplit/>
          <w:trHeight w:val="20"/>
        </w:trPr>
        <w:tc>
          <w:tcPr>
            <w:tcW w:w="2591" w:type="pct"/>
            <w:vAlign w:val="center"/>
          </w:tcPr>
          <w:p w14:paraId="38643B3A" w14:textId="77777777" w:rsidR="002C0784" w:rsidRPr="00616367" w:rsidRDefault="002C0784" w:rsidP="00875FC4">
            <w:pPr>
              <w:pStyle w:val="TableText0"/>
              <w:keepNext w:val="0"/>
              <w:ind w:left="107"/>
            </w:pPr>
            <w:r w:rsidRPr="00616367">
              <w:t>Total probability of surgery zero (base case 60.2%)</w:t>
            </w:r>
          </w:p>
        </w:tc>
        <w:tc>
          <w:tcPr>
            <w:tcW w:w="628" w:type="pct"/>
            <w:vAlign w:val="center"/>
          </w:tcPr>
          <w:p w14:paraId="78410299" w14:textId="5E8E033A" w:rsidR="002C0784" w:rsidRPr="00616367" w:rsidRDefault="00474E21" w:rsidP="00875FC4">
            <w:pPr>
              <w:pStyle w:val="TableText0"/>
              <w:keepNext w:val="0"/>
              <w:jc w:val="center"/>
              <w:rPr>
                <w:rFonts w:eastAsia="Calibri"/>
                <w:iCs/>
                <w:szCs w:val="20"/>
              </w:rPr>
            </w:pPr>
            <w:r w:rsidRPr="003E4FD0">
              <w:rPr>
                <w:rFonts w:hint="eastAsia"/>
                <w:color w:val="000000"/>
                <w:w w:val="15"/>
                <w:shd w:val="solid" w:color="000000" w:fill="000000"/>
                <w:fitText w:val="10" w:id="-894212594"/>
                <w14:textFill>
                  <w14:solidFill>
                    <w14:srgbClr w14:val="000000">
                      <w14:alpha w14:val="100000"/>
                    </w14:srgbClr>
                  </w14:solidFill>
                </w14:textFill>
              </w:rPr>
              <w:t xml:space="preserve">　</w:t>
            </w:r>
            <w:r w:rsidRPr="003E4FD0">
              <w:rPr>
                <w:color w:val="000000"/>
                <w:w w:val="15"/>
                <w:shd w:val="solid" w:color="000000" w:fill="000000"/>
                <w:fitText w:val="10" w:id="-894212594"/>
                <w14:textFill>
                  <w14:solidFill>
                    <w14:srgbClr w14:val="000000">
                      <w14:alpha w14:val="100000"/>
                    </w14:srgbClr>
                  </w14:solidFill>
                </w14:textFill>
              </w:rPr>
              <w:t>|</w:t>
            </w:r>
            <w:r w:rsidRPr="003E4FD0">
              <w:rPr>
                <w:rFonts w:hint="eastAsia"/>
                <w:color w:val="000000"/>
                <w:spacing w:val="-55"/>
                <w:w w:val="15"/>
                <w:shd w:val="solid" w:color="000000" w:fill="000000"/>
                <w:fitText w:val="10" w:id="-894212594"/>
                <w14:textFill>
                  <w14:solidFill>
                    <w14:srgbClr w14:val="000000">
                      <w14:alpha w14:val="100000"/>
                    </w14:srgbClr>
                  </w14:solidFill>
                </w14:textFill>
              </w:rPr>
              <w:t xml:space="preserve">　</w:t>
            </w:r>
            <w:r w:rsidR="007363B3">
              <w:t xml:space="preserve"> </w:t>
            </w:r>
          </w:p>
        </w:tc>
        <w:tc>
          <w:tcPr>
            <w:tcW w:w="628" w:type="pct"/>
            <w:vAlign w:val="center"/>
          </w:tcPr>
          <w:p w14:paraId="710DA250" w14:textId="77777777" w:rsidR="002C0784" w:rsidRPr="00616367" w:rsidRDefault="002C0784" w:rsidP="00875FC4">
            <w:pPr>
              <w:pStyle w:val="TableText0"/>
              <w:keepNext w:val="0"/>
              <w:jc w:val="center"/>
              <w:rPr>
                <w:rFonts w:eastAsia="Calibri"/>
                <w:iCs/>
                <w:szCs w:val="20"/>
              </w:rPr>
            </w:pPr>
            <w:r w:rsidRPr="00616367">
              <w:t>0.2498</w:t>
            </w:r>
          </w:p>
        </w:tc>
        <w:tc>
          <w:tcPr>
            <w:tcW w:w="631" w:type="pct"/>
            <w:vAlign w:val="center"/>
          </w:tcPr>
          <w:p w14:paraId="3318C548" w14:textId="49A09034" w:rsidR="002C0784" w:rsidRPr="00616367" w:rsidRDefault="00474E21" w:rsidP="00875FC4">
            <w:pPr>
              <w:pStyle w:val="TableText0"/>
              <w:keepNext w:val="0"/>
              <w:jc w:val="center"/>
              <w:rPr>
                <w:rFonts w:eastAsia="Calibri"/>
                <w:iCs/>
                <w:szCs w:val="20"/>
              </w:rPr>
            </w:pPr>
            <w:r w:rsidRPr="00474E21">
              <w:rPr>
                <w:rFonts w:hint="eastAsia"/>
                <w:color w:val="000000"/>
                <w:w w:val="15"/>
                <w:shd w:val="solid" w:color="000000" w:fill="000000"/>
                <w:fitText w:val="40" w:id="-894212593"/>
                <w14:textFill>
                  <w14:solidFill>
                    <w14:srgbClr w14:val="000000">
                      <w14:alpha w14:val="100000"/>
                    </w14:srgbClr>
                  </w14:solidFill>
                </w14:textFill>
              </w:rPr>
              <w:t xml:space="preserve">　</w:t>
            </w:r>
            <w:r w:rsidRPr="00474E21">
              <w:rPr>
                <w:color w:val="000000"/>
                <w:w w:val="15"/>
                <w:shd w:val="solid" w:color="000000" w:fill="000000"/>
                <w:fitText w:val="40" w:id="-894212593"/>
                <w14:textFill>
                  <w14:solidFill>
                    <w14:srgbClr w14:val="000000">
                      <w14:alpha w14:val="100000"/>
                    </w14:srgbClr>
                  </w14:solidFill>
                </w14:textFill>
              </w:rPr>
              <w:t>|</w:t>
            </w:r>
            <w:r w:rsidRPr="00474E21">
              <w:rPr>
                <w:rFonts w:hint="eastAsia"/>
                <w:color w:val="000000"/>
                <w:spacing w:val="-25"/>
                <w:w w:val="15"/>
                <w:shd w:val="solid" w:color="000000" w:fill="000000"/>
                <w:fitText w:val="40" w:id="-894212593"/>
                <w14:textFill>
                  <w14:solidFill>
                    <w14:srgbClr w14:val="000000">
                      <w14:alpha w14:val="100000"/>
                    </w14:srgbClr>
                  </w14:solidFill>
                </w14:textFill>
              </w:rPr>
              <w:t xml:space="preserve">　</w:t>
            </w:r>
            <w:r w:rsidR="007363B3">
              <w:rPr>
                <w:b/>
                <w:vertAlign w:val="superscript"/>
              </w:rPr>
              <w:t>2</w:t>
            </w:r>
          </w:p>
        </w:tc>
        <w:tc>
          <w:tcPr>
            <w:tcW w:w="521" w:type="pct"/>
            <w:vAlign w:val="center"/>
          </w:tcPr>
          <w:p w14:paraId="58553C7D" w14:textId="5650BA90" w:rsidR="002C0784" w:rsidRPr="00616367" w:rsidRDefault="002C0784"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592"/>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592"/>
                <w14:textFill>
                  <w14:solidFill>
                    <w14:srgbClr w14:val="000000">
                      <w14:alpha w14:val="100000"/>
                    </w14:srgbClr>
                  </w14:solidFill>
                </w14:textFill>
              </w:rPr>
              <w:t>|</w:t>
            </w:r>
            <w:r w:rsidRPr="00616367">
              <w:rPr>
                <w:rFonts w:eastAsia="Calibri"/>
                <w:iCs/>
                <w:szCs w:val="20"/>
              </w:rPr>
              <w:t>%</w:t>
            </w:r>
          </w:p>
        </w:tc>
      </w:tr>
      <w:tr w:rsidR="00FF4A90" w:rsidRPr="00616367" w14:paraId="46D807B7" w14:textId="77777777" w:rsidTr="00FF4A90">
        <w:trPr>
          <w:cantSplit/>
          <w:trHeight w:val="20"/>
        </w:trPr>
        <w:tc>
          <w:tcPr>
            <w:tcW w:w="2591" w:type="pct"/>
            <w:vAlign w:val="center"/>
          </w:tcPr>
          <w:p w14:paraId="5B12BDB0" w14:textId="718DB07F" w:rsidR="008378AA" w:rsidRPr="00616367" w:rsidRDefault="008378AA" w:rsidP="00875FC4">
            <w:pPr>
              <w:pStyle w:val="TableText0"/>
              <w:keepNext w:val="0"/>
              <w:ind w:left="107"/>
            </w:pPr>
            <w:r w:rsidRPr="00616367">
              <w:t>Costs</w:t>
            </w:r>
          </w:p>
        </w:tc>
        <w:tc>
          <w:tcPr>
            <w:tcW w:w="628" w:type="pct"/>
            <w:vAlign w:val="center"/>
          </w:tcPr>
          <w:p w14:paraId="7903FB46" w14:textId="77777777" w:rsidR="008378AA" w:rsidRPr="00616367" w:rsidRDefault="008378AA" w:rsidP="00875FC4">
            <w:pPr>
              <w:pStyle w:val="TableText0"/>
              <w:keepNext w:val="0"/>
              <w:jc w:val="center"/>
            </w:pPr>
          </w:p>
        </w:tc>
        <w:tc>
          <w:tcPr>
            <w:tcW w:w="628" w:type="pct"/>
            <w:vAlign w:val="center"/>
          </w:tcPr>
          <w:p w14:paraId="28CBB3AD" w14:textId="77777777" w:rsidR="008378AA" w:rsidRPr="00616367" w:rsidRDefault="008378AA" w:rsidP="00875FC4">
            <w:pPr>
              <w:pStyle w:val="TableText0"/>
              <w:keepNext w:val="0"/>
              <w:jc w:val="center"/>
            </w:pPr>
          </w:p>
        </w:tc>
        <w:tc>
          <w:tcPr>
            <w:tcW w:w="631" w:type="pct"/>
            <w:vAlign w:val="center"/>
          </w:tcPr>
          <w:p w14:paraId="29B8C872" w14:textId="77777777" w:rsidR="008378AA" w:rsidRPr="00616367" w:rsidRDefault="008378AA" w:rsidP="00875FC4">
            <w:pPr>
              <w:pStyle w:val="TableText0"/>
              <w:keepNext w:val="0"/>
              <w:jc w:val="center"/>
            </w:pPr>
          </w:p>
        </w:tc>
        <w:tc>
          <w:tcPr>
            <w:tcW w:w="521" w:type="pct"/>
            <w:vAlign w:val="center"/>
          </w:tcPr>
          <w:p w14:paraId="30EE73AA" w14:textId="77777777" w:rsidR="008378AA" w:rsidRPr="00616367" w:rsidRDefault="008378AA" w:rsidP="00875FC4">
            <w:pPr>
              <w:pStyle w:val="TableText0"/>
              <w:keepNext w:val="0"/>
              <w:jc w:val="center"/>
              <w:rPr>
                <w:rFonts w:eastAsia="Calibri"/>
                <w:iCs/>
                <w:szCs w:val="20"/>
              </w:rPr>
            </w:pPr>
          </w:p>
        </w:tc>
      </w:tr>
      <w:tr w:rsidR="00FF4A90" w:rsidRPr="00616367" w14:paraId="4199CA44" w14:textId="77777777" w:rsidTr="00FF4A90">
        <w:trPr>
          <w:cantSplit/>
          <w:trHeight w:val="20"/>
        </w:trPr>
        <w:tc>
          <w:tcPr>
            <w:tcW w:w="2591" w:type="pct"/>
            <w:vAlign w:val="center"/>
          </w:tcPr>
          <w:p w14:paraId="68ACD1D8" w14:textId="09BB53C2" w:rsidR="008378AA" w:rsidRPr="00616367" w:rsidRDefault="008378AA" w:rsidP="00875FC4">
            <w:pPr>
              <w:pStyle w:val="TableText0"/>
              <w:keepNext w:val="0"/>
              <w:ind w:left="107"/>
            </w:pPr>
            <w:r w:rsidRPr="00616367">
              <w:rPr>
                <w:iCs/>
              </w:rPr>
              <w:t>Remove costs of ABT and costs of AEs associated with ABT</w:t>
            </w:r>
          </w:p>
        </w:tc>
        <w:tc>
          <w:tcPr>
            <w:tcW w:w="628" w:type="pct"/>
            <w:vAlign w:val="center"/>
          </w:tcPr>
          <w:p w14:paraId="48FB278E" w14:textId="5B9DCE67" w:rsidR="008378AA" w:rsidRPr="00616367" w:rsidRDefault="00474E21" w:rsidP="00875FC4">
            <w:pPr>
              <w:pStyle w:val="TableText0"/>
              <w:keepNext w:val="0"/>
              <w:jc w:val="center"/>
            </w:pPr>
            <w:r w:rsidRPr="003E4FD0">
              <w:rPr>
                <w:rFonts w:hint="eastAsia"/>
                <w:iCs/>
                <w:color w:val="000000"/>
                <w:w w:val="15"/>
                <w:shd w:val="solid" w:color="000000" w:fill="000000"/>
                <w:fitText w:val="10" w:id="-894212608"/>
                <w14:textFill>
                  <w14:solidFill>
                    <w14:srgbClr w14:val="000000">
                      <w14:alpha w14:val="100000"/>
                    </w14:srgbClr>
                  </w14:solidFill>
                </w14:textFill>
              </w:rPr>
              <w:t xml:space="preserve">　</w:t>
            </w:r>
            <w:r w:rsidRPr="003E4FD0">
              <w:rPr>
                <w:iCs/>
                <w:color w:val="000000"/>
                <w:w w:val="15"/>
                <w:shd w:val="solid" w:color="000000" w:fill="000000"/>
                <w:fitText w:val="10" w:id="-894212608"/>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608"/>
                <w14:textFill>
                  <w14:solidFill>
                    <w14:srgbClr w14:val="000000">
                      <w14:alpha w14:val="100000"/>
                    </w14:srgbClr>
                  </w14:solidFill>
                </w14:textFill>
              </w:rPr>
              <w:t xml:space="preserve">　</w:t>
            </w:r>
            <w:r w:rsidR="007363B3">
              <w:rPr>
                <w:iCs/>
              </w:rPr>
              <w:t xml:space="preserve"> </w:t>
            </w:r>
          </w:p>
        </w:tc>
        <w:tc>
          <w:tcPr>
            <w:tcW w:w="628" w:type="pct"/>
            <w:vAlign w:val="center"/>
          </w:tcPr>
          <w:p w14:paraId="6629557D" w14:textId="0B728D3F" w:rsidR="008378AA" w:rsidRPr="00616367" w:rsidRDefault="008378AA" w:rsidP="00875FC4">
            <w:pPr>
              <w:pStyle w:val="TableText0"/>
              <w:keepNext w:val="0"/>
              <w:jc w:val="center"/>
            </w:pPr>
            <w:r w:rsidRPr="00616367">
              <w:rPr>
                <w:iCs/>
              </w:rPr>
              <w:t>0.1741</w:t>
            </w:r>
          </w:p>
        </w:tc>
        <w:tc>
          <w:tcPr>
            <w:tcW w:w="631" w:type="pct"/>
            <w:vAlign w:val="center"/>
          </w:tcPr>
          <w:p w14:paraId="5AC1939F" w14:textId="3C1E6764" w:rsidR="008378AA" w:rsidRPr="00616367" w:rsidRDefault="00474E21" w:rsidP="00875FC4">
            <w:pPr>
              <w:pStyle w:val="TableText0"/>
              <w:keepNext w:val="0"/>
              <w:jc w:val="center"/>
            </w:pPr>
            <w:r w:rsidRPr="00474E21">
              <w:rPr>
                <w:rFonts w:hint="eastAsia"/>
                <w:iCs/>
                <w:color w:val="000000"/>
                <w:w w:val="15"/>
                <w:shd w:val="solid" w:color="000000" w:fill="000000"/>
                <w:fitText w:val="40" w:id="-894212607"/>
                <w14:textFill>
                  <w14:solidFill>
                    <w14:srgbClr w14:val="000000">
                      <w14:alpha w14:val="100000"/>
                    </w14:srgbClr>
                  </w14:solidFill>
                </w14:textFill>
              </w:rPr>
              <w:t xml:space="preserve">　</w:t>
            </w:r>
            <w:r w:rsidRPr="00474E21">
              <w:rPr>
                <w:iCs/>
                <w:color w:val="000000"/>
                <w:w w:val="15"/>
                <w:shd w:val="solid" w:color="000000" w:fill="000000"/>
                <w:fitText w:val="40" w:id="-894212607"/>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607"/>
                <w14:textFill>
                  <w14:solidFill>
                    <w14:srgbClr w14:val="000000">
                      <w14:alpha w14:val="100000"/>
                    </w14:srgbClr>
                  </w14:solidFill>
                </w14:textFill>
              </w:rPr>
              <w:t xml:space="preserve">　</w:t>
            </w:r>
            <w:r w:rsidR="007363B3">
              <w:rPr>
                <w:b/>
                <w:vertAlign w:val="superscript"/>
              </w:rPr>
              <w:t>1</w:t>
            </w:r>
          </w:p>
        </w:tc>
        <w:tc>
          <w:tcPr>
            <w:tcW w:w="521" w:type="pct"/>
            <w:vAlign w:val="center"/>
          </w:tcPr>
          <w:p w14:paraId="4F49143A" w14:textId="3CDDC4E8" w:rsidR="008378AA" w:rsidRPr="00616367" w:rsidRDefault="008378AA"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606"/>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606"/>
                <w14:textFill>
                  <w14:solidFill>
                    <w14:srgbClr w14:val="000000">
                      <w14:alpha w14:val="100000"/>
                    </w14:srgbClr>
                  </w14:solidFill>
                </w14:textFill>
              </w:rPr>
              <w:t>|</w:t>
            </w:r>
            <w:r w:rsidRPr="00616367">
              <w:rPr>
                <w:rFonts w:eastAsia="Calibri"/>
                <w:iCs/>
                <w:szCs w:val="20"/>
              </w:rPr>
              <w:t>%</w:t>
            </w:r>
          </w:p>
        </w:tc>
      </w:tr>
      <w:tr w:rsidR="00FF4A90" w:rsidRPr="00616367" w14:paraId="79900482" w14:textId="77777777" w:rsidTr="00FF4A90">
        <w:trPr>
          <w:cantSplit/>
          <w:trHeight w:val="20"/>
        </w:trPr>
        <w:tc>
          <w:tcPr>
            <w:tcW w:w="2591" w:type="pct"/>
            <w:vAlign w:val="center"/>
          </w:tcPr>
          <w:p w14:paraId="67FEE34B" w14:textId="5BD71B33" w:rsidR="008378AA" w:rsidRPr="00616367" w:rsidRDefault="008378AA" w:rsidP="00875FC4">
            <w:pPr>
              <w:pStyle w:val="TableText0"/>
              <w:keepNext w:val="0"/>
              <w:ind w:left="107"/>
            </w:pPr>
            <w:r w:rsidRPr="00616367">
              <w:t>Indirect costs included based on Hasselrot 2018</w:t>
            </w:r>
          </w:p>
        </w:tc>
        <w:tc>
          <w:tcPr>
            <w:tcW w:w="628" w:type="pct"/>
            <w:vAlign w:val="center"/>
          </w:tcPr>
          <w:p w14:paraId="3862962E" w14:textId="7D84534D" w:rsidR="008378AA" w:rsidRPr="00616367" w:rsidRDefault="00474E21" w:rsidP="00875FC4">
            <w:pPr>
              <w:pStyle w:val="TableText0"/>
              <w:keepNext w:val="0"/>
              <w:jc w:val="center"/>
            </w:pPr>
            <w:r w:rsidRPr="003E4FD0">
              <w:rPr>
                <w:rFonts w:hint="eastAsia"/>
                <w:color w:val="000000"/>
                <w:w w:val="15"/>
                <w:shd w:val="solid" w:color="000000" w:fill="000000"/>
                <w:fitText w:val="10" w:id="-894212605"/>
                <w14:textFill>
                  <w14:solidFill>
                    <w14:srgbClr w14:val="000000">
                      <w14:alpha w14:val="100000"/>
                    </w14:srgbClr>
                  </w14:solidFill>
                </w14:textFill>
              </w:rPr>
              <w:t xml:space="preserve">　</w:t>
            </w:r>
            <w:r w:rsidRPr="003E4FD0">
              <w:rPr>
                <w:color w:val="000000"/>
                <w:w w:val="15"/>
                <w:shd w:val="solid" w:color="000000" w:fill="000000"/>
                <w:fitText w:val="10" w:id="-894212605"/>
                <w14:textFill>
                  <w14:solidFill>
                    <w14:srgbClr w14:val="000000">
                      <w14:alpha w14:val="100000"/>
                    </w14:srgbClr>
                  </w14:solidFill>
                </w14:textFill>
              </w:rPr>
              <w:t>|</w:t>
            </w:r>
            <w:r w:rsidRPr="003E4FD0">
              <w:rPr>
                <w:rFonts w:hint="eastAsia"/>
                <w:color w:val="000000"/>
                <w:spacing w:val="-55"/>
                <w:w w:val="15"/>
                <w:shd w:val="solid" w:color="000000" w:fill="000000"/>
                <w:fitText w:val="10" w:id="-894212605"/>
                <w14:textFill>
                  <w14:solidFill>
                    <w14:srgbClr w14:val="000000">
                      <w14:alpha w14:val="100000"/>
                    </w14:srgbClr>
                  </w14:solidFill>
                </w14:textFill>
              </w:rPr>
              <w:t xml:space="preserve">　</w:t>
            </w:r>
            <w:r w:rsidR="007363B3">
              <w:t xml:space="preserve"> </w:t>
            </w:r>
          </w:p>
        </w:tc>
        <w:tc>
          <w:tcPr>
            <w:tcW w:w="628" w:type="pct"/>
            <w:vAlign w:val="center"/>
          </w:tcPr>
          <w:p w14:paraId="392825B3" w14:textId="0C4D5E3D" w:rsidR="008378AA" w:rsidRPr="00616367" w:rsidRDefault="008378AA" w:rsidP="00875FC4">
            <w:pPr>
              <w:pStyle w:val="TableText0"/>
              <w:keepNext w:val="0"/>
              <w:jc w:val="center"/>
            </w:pPr>
            <w:r w:rsidRPr="00616367">
              <w:t>0.1741</w:t>
            </w:r>
          </w:p>
        </w:tc>
        <w:tc>
          <w:tcPr>
            <w:tcW w:w="631" w:type="pct"/>
            <w:vAlign w:val="center"/>
          </w:tcPr>
          <w:p w14:paraId="543B0657" w14:textId="7E9116F0" w:rsidR="008378AA" w:rsidRPr="00FF4A90" w:rsidRDefault="00474E21" w:rsidP="00875FC4">
            <w:pPr>
              <w:pStyle w:val="TableText0"/>
              <w:keepNext w:val="0"/>
              <w:jc w:val="center"/>
              <w:rPr>
                <w:highlight w:val="darkGray"/>
              </w:rPr>
            </w:pPr>
            <w:r w:rsidRPr="00474E21">
              <w:rPr>
                <w:rFonts w:hint="eastAsia"/>
                <w:color w:val="000000"/>
                <w:w w:val="15"/>
                <w:shd w:val="solid" w:color="000000" w:fill="000000"/>
                <w:fitText w:val="40" w:id="-894212604"/>
                <w14:textFill>
                  <w14:solidFill>
                    <w14:srgbClr w14:val="000000">
                      <w14:alpha w14:val="100000"/>
                    </w14:srgbClr>
                  </w14:solidFill>
                </w14:textFill>
              </w:rPr>
              <w:t xml:space="preserve">　</w:t>
            </w:r>
            <w:r w:rsidRPr="00474E21">
              <w:rPr>
                <w:color w:val="000000"/>
                <w:w w:val="15"/>
                <w:shd w:val="solid" w:color="000000" w:fill="000000"/>
                <w:fitText w:val="40" w:id="-894212604"/>
                <w14:textFill>
                  <w14:solidFill>
                    <w14:srgbClr w14:val="000000">
                      <w14:alpha w14:val="100000"/>
                    </w14:srgbClr>
                  </w14:solidFill>
                </w14:textFill>
              </w:rPr>
              <w:t>|</w:t>
            </w:r>
            <w:r w:rsidRPr="00474E21">
              <w:rPr>
                <w:rFonts w:hint="eastAsia"/>
                <w:color w:val="000000"/>
                <w:spacing w:val="-25"/>
                <w:w w:val="15"/>
                <w:shd w:val="solid" w:color="000000" w:fill="000000"/>
                <w:fitText w:val="40" w:id="-894212604"/>
                <w14:textFill>
                  <w14:solidFill>
                    <w14:srgbClr w14:val="000000">
                      <w14:alpha w14:val="100000"/>
                    </w14:srgbClr>
                  </w14:solidFill>
                </w14:textFill>
              </w:rPr>
              <w:t xml:space="preserve">　</w:t>
            </w:r>
            <w:r w:rsidR="007363B3" w:rsidRPr="00FF4A90">
              <w:rPr>
                <w:b/>
                <w:vertAlign w:val="superscript"/>
              </w:rPr>
              <w:t>2</w:t>
            </w:r>
          </w:p>
        </w:tc>
        <w:tc>
          <w:tcPr>
            <w:tcW w:w="521" w:type="pct"/>
            <w:vAlign w:val="center"/>
          </w:tcPr>
          <w:p w14:paraId="776F07ED" w14:textId="05613850" w:rsidR="008378AA" w:rsidRPr="00616367" w:rsidRDefault="008378AA" w:rsidP="00875FC4">
            <w:pPr>
              <w:pStyle w:val="TableText0"/>
              <w:keepNext w:val="0"/>
              <w:jc w:val="center"/>
              <w:rPr>
                <w:rFonts w:eastAsia="Calibri"/>
                <w:iCs/>
                <w:szCs w:val="20"/>
              </w:rPr>
            </w:pPr>
            <w:r w:rsidRPr="00616367">
              <w:rPr>
                <w:rFonts w:eastAsia="Calibri"/>
                <w:iCs/>
                <w:szCs w:val="20"/>
              </w:rPr>
              <w:t>-</w:t>
            </w:r>
            <w:r w:rsidR="00474E21" w:rsidRPr="00474E21">
              <w:rPr>
                <w:rFonts w:eastAsia="Calibri"/>
                <w:iCs/>
                <w:color w:val="000000"/>
                <w:spacing w:val="41"/>
                <w:szCs w:val="20"/>
                <w:shd w:val="solid" w:color="000000" w:fill="000000"/>
                <w:fitText w:val="210" w:id="-894212603"/>
                <w14:textFill>
                  <w14:solidFill>
                    <w14:srgbClr w14:val="000000">
                      <w14:alpha w14:val="100000"/>
                    </w14:srgbClr>
                  </w14:solidFill>
                </w14:textFill>
              </w:rPr>
              <w:t>||</w:t>
            </w:r>
            <w:r w:rsidR="00474E21" w:rsidRPr="00474E21">
              <w:rPr>
                <w:rFonts w:eastAsia="Calibri"/>
                <w:iCs/>
                <w:color w:val="000000"/>
                <w:spacing w:val="1"/>
                <w:szCs w:val="20"/>
                <w:shd w:val="solid" w:color="000000" w:fill="000000"/>
                <w:fitText w:val="210" w:id="-894212603"/>
                <w14:textFill>
                  <w14:solidFill>
                    <w14:srgbClr w14:val="000000">
                      <w14:alpha w14:val="100000"/>
                    </w14:srgbClr>
                  </w14:solidFill>
                </w14:textFill>
              </w:rPr>
              <w:t>|</w:t>
            </w:r>
            <w:r w:rsidRPr="00616367">
              <w:rPr>
                <w:rFonts w:eastAsia="Calibri"/>
                <w:iCs/>
                <w:szCs w:val="20"/>
              </w:rPr>
              <w:t>%</w:t>
            </w:r>
          </w:p>
        </w:tc>
      </w:tr>
      <w:tr w:rsidR="002C0784" w:rsidRPr="00482A36" w14:paraId="0D3AD0DC" w14:textId="77777777" w:rsidTr="00AA5533">
        <w:trPr>
          <w:cantSplit/>
          <w:trHeight w:val="20"/>
        </w:trPr>
        <w:tc>
          <w:tcPr>
            <w:tcW w:w="5000" w:type="pct"/>
            <w:gridSpan w:val="5"/>
            <w:vAlign w:val="center"/>
          </w:tcPr>
          <w:p w14:paraId="319DC928" w14:textId="795E52F9" w:rsidR="002C0784" w:rsidRPr="00482A36" w:rsidRDefault="002C0784" w:rsidP="00875FC4">
            <w:pPr>
              <w:pStyle w:val="TableText0"/>
              <w:keepNext w:val="0"/>
              <w:rPr>
                <w:rFonts w:eastAsia="Calibri"/>
                <w:szCs w:val="20"/>
              </w:rPr>
            </w:pPr>
            <w:r w:rsidRPr="00482A36">
              <w:t xml:space="preserve">Utility of HMB Remission versus HMB (base case: HMB </w:t>
            </w:r>
            <w:r w:rsidR="00BC3951" w:rsidRPr="00482A36">
              <w:t>r</w:t>
            </w:r>
            <w:r w:rsidRPr="00482A36">
              <w:t xml:space="preserve">emission=0.8421; HMB=0.7159) </w:t>
            </w:r>
          </w:p>
        </w:tc>
      </w:tr>
      <w:tr w:rsidR="00FF4A90" w:rsidRPr="00616367" w14:paraId="36417CBB" w14:textId="77777777" w:rsidTr="00FF4A90">
        <w:trPr>
          <w:cantSplit/>
          <w:trHeight w:val="20"/>
        </w:trPr>
        <w:tc>
          <w:tcPr>
            <w:tcW w:w="2591" w:type="pct"/>
            <w:vAlign w:val="center"/>
          </w:tcPr>
          <w:p w14:paraId="246B4CC8" w14:textId="3847A351" w:rsidR="002C0784" w:rsidRPr="00616367" w:rsidRDefault="002C0784" w:rsidP="00875FC4">
            <w:pPr>
              <w:pStyle w:val="TableText0"/>
              <w:keepNext w:val="0"/>
              <w:ind w:left="107"/>
            </w:pPr>
            <w:r w:rsidRPr="00616367">
              <w:rPr>
                <w:iCs/>
              </w:rPr>
              <w:t>UFS-QoL from pooled PRIMROSE trials to UK EQ-5D-3L values</w:t>
            </w:r>
            <w:r w:rsidR="008378AA" w:rsidRPr="00616367">
              <w:rPr>
                <w:iCs/>
              </w:rPr>
              <w:t>, adjusted for baseline utility</w:t>
            </w:r>
            <w:r w:rsidRPr="00616367">
              <w:rPr>
                <w:iCs/>
              </w:rPr>
              <w:t>: HMB remission=0.8349; HMB=0.7777</w:t>
            </w:r>
          </w:p>
        </w:tc>
        <w:tc>
          <w:tcPr>
            <w:tcW w:w="628" w:type="pct"/>
            <w:vAlign w:val="center"/>
          </w:tcPr>
          <w:p w14:paraId="436D6BB9" w14:textId="712A2B4F" w:rsidR="002C0784" w:rsidRPr="00616367" w:rsidRDefault="00474E21" w:rsidP="00875FC4">
            <w:pPr>
              <w:pStyle w:val="TableText0"/>
              <w:keepNext w:val="0"/>
              <w:jc w:val="center"/>
              <w:rPr>
                <w:rFonts w:eastAsia="Calibri"/>
                <w:szCs w:val="20"/>
              </w:rPr>
            </w:pPr>
            <w:r w:rsidRPr="003E4FD0">
              <w:rPr>
                <w:rFonts w:hint="eastAsia"/>
                <w:color w:val="000000"/>
                <w:w w:val="15"/>
                <w:shd w:val="solid" w:color="000000" w:fill="000000"/>
                <w:fitText w:val="10" w:id="-894212602"/>
                <w14:textFill>
                  <w14:solidFill>
                    <w14:srgbClr w14:val="000000">
                      <w14:alpha w14:val="100000"/>
                    </w14:srgbClr>
                  </w14:solidFill>
                </w14:textFill>
              </w:rPr>
              <w:t xml:space="preserve">　</w:t>
            </w:r>
            <w:r w:rsidRPr="003E4FD0">
              <w:rPr>
                <w:color w:val="000000"/>
                <w:w w:val="15"/>
                <w:shd w:val="solid" w:color="000000" w:fill="000000"/>
                <w:fitText w:val="10" w:id="-894212602"/>
                <w14:textFill>
                  <w14:solidFill>
                    <w14:srgbClr w14:val="000000">
                      <w14:alpha w14:val="100000"/>
                    </w14:srgbClr>
                  </w14:solidFill>
                </w14:textFill>
              </w:rPr>
              <w:t>|</w:t>
            </w:r>
            <w:r w:rsidRPr="003E4FD0">
              <w:rPr>
                <w:rFonts w:hint="eastAsia"/>
                <w:color w:val="000000"/>
                <w:spacing w:val="-55"/>
                <w:w w:val="15"/>
                <w:shd w:val="solid" w:color="000000" w:fill="000000"/>
                <w:fitText w:val="10" w:id="-894212602"/>
                <w14:textFill>
                  <w14:solidFill>
                    <w14:srgbClr w14:val="000000">
                      <w14:alpha w14:val="100000"/>
                    </w14:srgbClr>
                  </w14:solidFill>
                </w14:textFill>
              </w:rPr>
              <w:t xml:space="preserve">　</w:t>
            </w:r>
            <w:r w:rsidR="007363B3">
              <w:t xml:space="preserve"> </w:t>
            </w:r>
          </w:p>
        </w:tc>
        <w:tc>
          <w:tcPr>
            <w:tcW w:w="628" w:type="pct"/>
            <w:vAlign w:val="center"/>
          </w:tcPr>
          <w:p w14:paraId="57CA7498" w14:textId="77777777" w:rsidR="002C0784" w:rsidRPr="00616367" w:rsidRDefault="002C0784" w:rsidP="00875FC4">
            <w:pPr>
              <w:pStyle w:val="TableText0"/>
              <w:keepNext w:val="0"/>
              <w:jc w:val="center"/>
              <w:rPr>
                <w:rFonts w:eastAsia="Calibri"/>
                <w:szCs w:val="20"/>
              </w:rPr>
            </w:pPr>
            <w:r w:rsidRPr="00616367">
              <w:rPr>
                <w:iCs/>
              </w:rPr>
              <w:t>0.0801</w:t>
            </w:r>
          </w:p>
        </w:tc>
        <w:tc>
          <w:tcPr>
            <w:tcW w:w="631" w:type="pct"/>
            <w:vAlign w:val="center"/>
          </w:tcPr>
          <w:p w14:paraId="0CE7C3A3" w14:textId="4A66D07E" w:rsidR="002C0784" w:rsidRPr="00616367" w:rsidRDefault="00474E21" w:rsidP="00875FC4">
            <w:pPr>
              <w:pStyle w:val="TableText0"/>
              <w:keepNext w:val="0"/>
              <w:jc w:val="center"/>
              <w:rPr>
                <w:rFonts w:eastAsia="Calibri"/>
                <w:szCs w:val="20"/>
              </w:rPr>
            </w:pPr>
            <w:r w:rsidRPr="00474E21">
              <w:rPr>
                <w:rFonts w:hint="eastAsia"/>
                <w:iCs/>
                <w:color w:val="000000"/>
                <w:w w:val="15"/>
                <w:shd w:val="solid" w:color="000000" w:fill="000000"/>
                <w:fitText w:val="40" w:id="-894212601"/>
                <w14:textFill>
                  <w14:solidFill>
                    <w14:srgbClr w14:val="000000">
                      <w14:alpha w14:val="100000"/>
                    </w14:srgbClr>
                  </w14:solidFill>
                </w14:textFill>
              </w:rPr>
              <w:t xml:space="preserve">　</w:t>
            </w:r>
            <w:r w:rsidRPr="00474E21">
              <w:rPr>
                <w:iCs/>
                <w:color w:val="000000"/>
                <w:w w:val="15"/>
                <w:shd w:val="solid" w:color="000000" w:fill="000000"/>
                <w:fitText w:val="40" w:id="-894212601"/>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601"/>
                <w14:textFill>
                  <w14:solidFill>
                    <w14:srgbClr w14:val="000000">
                      <w14:alpha w14:val="100000"/>
                    </w14:srgbClr>
                  </w14:solidFill>
                </w14:textFill>
              </w:rPr>
              <w:t xml:space="preserve">　</w:t>
            </w:r>
            <w:r w:rsidR="007363B3">
              <w:rPr>
                <w:b/>
                <w:vertAlign w:val="superscript"/>
              </w:rPr>
              <w:t>7</w:t>
            </w:r>
          </w:p>
        </w:tc>
        <w:tc>
          <w:tcPr>
            <w:tcW w:w="521" w:type="pct"/>
            <w:vAlign w:val="center"/>
          </w:tcPr>
          <w:p w14:paraId="32490494" w14:textId="3E25C0C5"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600"/>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600"/>
                <w14:textFill>
                  <w14:solidFill>
                    <w14:srgbClr w14:val="000000">
                      <w14:alpha w14:val="100000"/>
                    </w14:srgbClr>
                  </w14:solidFill>
                </w14:textFill>
              </w:rPr>
              <w:t>|</w:t>
            </w:r>
            <w:r w:rsidR="002C0784" w:rsidRPr="00616367">
              <w:rPr>
                <w:rFonts w:eastAsia="Calibri"/>
                <w:iCs/>
                <w:szCs w:val="20"/>
              </w:rPr>
              <w:t>%</w:t>
            </w:r>
          </w:p>
        </w:tc>
      </w:tr>
      <w:tr w:rsidR="00FF4A90" w:rsidRPr="00616367" w14:paraId="0CAAB6BE" w14:textId="77777777" w:rsidTr="00FF4A90">
        <w:trPr>
          <w:cantSplit/>
          <w:trHeight w:val="20"/>
        </w:trPr>
        <w:tc>
          <w:tcPr>
            <w:tcW w:w="2591" w:type="pct"/>
            <w:vAlign w:val="center"/>
          </w:tcPr>
          <w:p w14:paraId="095AD90B" w14:textId="770F131D" w:rsidR="002C0784" w:rsidRPr="00616367" w:rsidRDefault="002C0784" w:rsidP="00875FC4">
            <w:pPr>
              <w:pStyle w:val="TableText0"/>
              <w:keepNext w:val="0"/>
              <w:ind w:left="107"/>
            </w:pPr>
            <w:r w:rsidRPr="00616367">
              <w:rPr>
                <w:iCs/>
              </w:rPr>
              <w:t xml:space="preserve">EQ-5D-5L Australian value set for </w:t>
            </w:r>
            <w:r w:rsidRPr="00616367">
              <w:t>pooled</w:t>
            </w:r>
            <w:r w:rsidRPr="00616367">
              <w:rPr>
                <w:iCs/>
              </w:rPr>
              <w:t xml:space="preserve"> PRIMROSE trials</w:t>
            </w:r>
            <w:r w:rsidR="008378AA" w:rsidRPr="00616367">
              <w:rPr>
                <w:iCs/>
              </w:rPr>
              <w:t>, adjusted for baseline utility</w:t>
            </w:r>
            <w:r w:rsidRPr="00616367">
              <w:rPr>
                <w:iCs/>
              </w:rPr>
              <w:t>: HMB remission=0.9319; HMB=0.9184.</w:t>
            </w:r>
          </w:p>
        </w:tc>
        <w:tc>
          <w:tcPr>
            <w:tcW w:w="628" w:type="pct"/>
            <w:vAlign w:val="center"/>
          </w:tcPr>
          <w:p w14:paraId="7D453CEE" w14:textId="13AAF199" w:rsidR="002C0784" w:rsidRPr="00616367" w:rsidRDefault="00474E21" w:rsidP="00875FC4">
            <w:pPr>
              <w:pStyle w:val="TableText0"/>
              <w:keepNext w:val="0"/>
              <w:jc w:val="center"/>
              <w:rPr>
                <w:rFonts w:eastAsia="Calibri"/>
                <w:iCs/>
                <w:szCs w:val="20"/>
              </w:rPr>
            </w:pPr>
            <w:r w:rsidRPr="003E4FD0">
              <w:rPr>
                <w:rFonts w:hint="eastAsia"/>
                <w:color w:val="000000"/>
                <w:w w:val="15"/>
                <w:shd w:val="solid" w:color="000000" w:fill="000000"/>
                <w:fitText w:val="10" w:id="-894212599"/>
                <w14:textFill>
                  <w14:solidFill>
                    <w14:srgbClr w14:val="000000">
                      <w14:alpha w14:val="100000"/>
                    </w14:srgbClr>
                  </w14:solidFill>
                </w14:textFill>
              </w:rPr>
              <w:t xml:space="preserve">　</w:t>
            </w:r>
            <w:r w:rsidRPr="003E4FD0">
              <w:rPr>
                <w:color w:val="000000"/>
                <w:w w:val="15"/>
                <w:shd w:val="solid" w:color="000000" w:fill="000000"/>
                <w:fitText w:val="10" w:id="-894212599"/>
                <w14:textFill>
                  <w14:solidFill>
                    <w14:srgbClr w14:val="000000">
                      <w14:alpha w14:val="100000"/>
                    </w14:srgbClr>
                  </w14:solidFill>
                </w14:textFill>
              </w:rPr>
              <w:t>|</w:t>
            </w:r>
            <w:r w:rsidRPr="003E4FD0">
              <w:rPr>
                <w:rFonts w:hint="eastAsia"/>
                <w:color w:val="000000"/>
                <w:spacing w:val="-55"/>
                <w:w w:val="15"/>
                <w:shd w:val="solid" w:color="000000" w:fill="000000"/>
                <w:fitText w:val="10" w:id="-894212599"/>
                <w14:textFill>
                  <w14:solidFill>
                    <w14:srgbClr w14:val="000000">
                      <w14:alpha w14:val="100000"/>
                    </w14:srgbClr>
                  </w14:solidFill>
                </w14:textFill>
              </w:rPr>
              <w:t xml:space="preserve">　</w:t>
            </w:r>
            <w:r w:rsidR="007363B3">
              <w:t xml:space="preserve"> </w:t>
            </w:r>
          </w:p>
        </w:tc>
        <w:tc>
          <w:tcPr>
            <w:tcW w:w="628" w:type="pct"/>
            <w:vAlign w:val="center"/>
          </w:tcPr>
          <w:p w14:paraId="643F70AB" w14:textId="77777777" w:rsidR="002C0784" w:rsidRPr="00616367" w:rsidRDefault="002C0784" w:rsidP="00875FC4">
            <w:pPr>
              <w:pStyle w:val="TableText0"/>
              <w:keepNext w:val="0"/>
              <w:jc w:val="center"/>
              <w:rPr>
                <w:rFonts w:eastAsia="Calibri"/>
                <w:iCs/>
                <w:szCs w:val="20"/>
              </w:rPr>
            </w:pPr>
            <w:r w:rsidRPr="00616367">
              <w:rPr>
                <w:iCs/>
              </w:rPr>
              <w:t>0.0219</w:t>
            </w:r>
          </w:p>
        </w:tc>
        <w:tc>
          <w:tcPr>
            <w:tcW w:w="631" w:type="pct"/>
            <w:vAlign w:val="center"/>
          </w:tcPr>
          <w:p w14:paraId="70D233D9" w14:textId="791C13BE" w:rsidR="002C0784" w:rsidRPr="00616367" w:rsidRDefault="00474E21" w:rsidP="00875FC4">
            <w:pPr>
              <w:pStyle w:val="TableText0"/>
              <w:keepNext w:val="0"/>
              <w:jc w:val="center"/>
              <w:rPr>
                <w:rFonts w:eastAsia="Calibri"/>
                <w:iCs/>
                <w:szCs w:val="20"/>
              </w:rPr>
            </w:pPr>
            <w:r w:rsidRPr="00474E21">
              <w:rPr>
                <w:rFonts w:hint="eastAsia"/>
                <w:iCs/>
                <w:color w:val="000000"/>
                <w:w w:val="15"/>
                <w:shd w:val="solid" w:color="000000" w:fill="000000"/>
                <w:fitText w:val="40" w:id="-894212598"/>
                <w14:textFill>
                  <w14:solidFill>
                    <w14:srgbClr w14:val="000000">
                      <w14:alpha w14:val="100000"/>
                    </w14:srgbClr>
                  </w14:solidFill>
                </w14:textFill>
              </w:rPr>
              <w:t xml:space="preserve">　</w:t>
            </w:r>
            <w:r w:rsidRPr="00474E21">
              <w:rPr>
                <w:iCs/>
                <w:color w:val="000000"/>
                <w:w w:val="15"/>
                <w:shd w:val="solid" w:color="000000" w:fill="000000"/>
                <w:fitText w:val="40" w:id="-894212598"/>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598"/>
                <w14:textFill>
                  <w14:solidFill>
                    <w14:srgbClr w14:val="000000">
                      <w14:alpha w14:val="100000"/>
                    </w14:srgbClr>
                  </w14:solidFill>
                </w14:textFill>
              </w:rPr>
              <w:t xml:space="preserve">　</w:t>
            </w:r>
            <w:r w:rsidR="007363B3">
              <w:rPr>
                <w:b/>
                <w:vertAlign w:val="superscript"/>
              </w:rPr>
              <w:t>8</w:t>
            </w:r>
          </w:p>
        </w:tc>
        <w:tc>
          <w:tcPr>
            <w:tcW w:w="521" w:type="pct"/>
            <w:vAlign w:val="center"/>
          </w:tcPr>
          <w:p w14:paraId="4B1C02F8" w14:textId="1B375539"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352"/>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352"/>
                <w14:textFill>
                  <w14:solidFill>
                    <w14:srgbClr w14:val="000000">
                      <w14:alpha w14:val="100000"/>
                    </w14:srgbClr>
                  </w14:solidFill>
                </w14:textFill>
              </w:rPr>
              <w:t>|</w:t>
            </w:r>
            <w:r w:rsidR="002C0784" w:rsidRPr="00616367">
              <w:rPr>
                <w:rFonts w:eastAsia="Calibri"/>
                <w:iCs/>
                <w:szCs w:val="20"/>
              </w:rPr>
              <w:t>%</w:t>
            </w:r>
          </w:p>
        </w:tc>
      </w:tr>
      <w:tr w:rsidR="002C0784" w:rsidRPr="00616367" w14:paraId="5C066B05" w14:textId="77777777" w:rsidTr="00AA5533">
        <w:trPr>
          <w:cantSplit/>
          <w:trHeight w:val="20"/>
        </w:trPr>
        <w:tc>
          <w:tcPr>
            <w:tcW w:w="5000" w:type="pct"/>
            <w:gridSpan w:val="5"/>
            <w:vAlign w:val="center"/>
          </w:tcPr>
          <w:p w14:paraId="0C3157EA" w14:textId="77777777" w:rsidR="002C0784" w:rsidRPr="00616367" w:rsidRDefault="002C0784" w:rsidP="00875FC4">
            <w:pPr>
              <w:pStyle w:val="TableText0"/>
              <w:keepNext w:val="0"/>
              <w:rPr>
                <w:rFonts w:eastAsia="Calibri"/>
                <w:iCs/>
                <w:szCs w:val="20"/>
              </w:rPr>
            </w:pPr>
            <w:r w:rsidRPr="00616367">
              <w:rPr>
                <w:iCs/>
              </w:rPr>
              <w:t>Multivariate analyses</w:t>
            </w:r>
          </w:p>
        </w:tc>
      </w:tr>
      <w:tr w:rsidR="00FF4A90" w:rsidRPr="00616367" w14:paraId="5D766090" w14:textId="77777777" w:rsidTr="00FF4A90">
        <w:trPr>
          <w:cantSplit/>
          <w:trHeight w:val="20"/>
        </w:trPr>
        <w:tc>
          <w:tcPr>
            <w:tcW w:w="2591" w:type="pct"/>
            <w:vAlign w:val="center"/>
          </w:tcPr>
          <w:p w14:paraId="0ED31F5B" w14:textId="3FF5D841" w:rsidR="001A6BCB" w:rsidRPr="00616367" w:rsidRDefault="001A6BCB" w:rsidP="00875FC4">
            <w:pPr>
              <w:pStyle w:val="TableText0"/>
              <w:keepNext w:val="0"/>
              <w:rPr>
                <w:iCs/>
              </w:rPr>
            </w:pPr>
            <w:r w:rsidRPr="00616367">
              <w:rPr>
                <w:iCs/>
              </w:rPr>
              <w:t>(A) Assuming results</w:t>
            </w:r>
            <w:r w:rsidR="00182D2C">
              <w:rPr>
                <w:iCs/>
              </w:rPr>
              <w:t xml:space="preserve"> for 200 mg dose without ABT</w:t>
            </w:r>
            <w:r w:rsidRPr="00616367">
              <w:rPr>
                <w:iCs/>
              </w:rPr>
              <w:t xml:space="preserve"> for week 24 MBL response</w:t>
            </w:r>
            <w:r w:rsidRPr="00616367">
              <w:rPr>
                <w:iCs/>
                <w:vertAlign w:val="superscript"/>
              </w:rPr>
              <w:t xml:space="preserve">c </w:t>
            </w:r>
            <w:r w:rsidRPr="00616367">
              <w:rPr>
                <w:iCs/>
              </w:rPr>
              <w:t>AND</w:t>
            </w:r>
          </w:p>
          <w:p w14:paraId="1B741449" w14:textId="5466AEBD" w:rsidR="00926E75" w:rsidRPr="00616367" w:rsidRDefault="001A6BCB" w:rsidP="00875FC4">
            <w:pPr>
              <w:pStyle w:val="TableText0"/>
              <w:keepNext w:val="0"/>
              <w:rPr>
                <w:iCs/>
              </w:rPr>
            </w:pPr>
            <w:r w:rsidRPr="00616367">
              <w:rPr>
                <w:iCs/>
              </w:rPr>
              <w:t>(B) UFS-QoL to UK EQ-5D-3L values, adjusted for baseline utility</w:t>
            </w:r>
          </w:p>
        </w:tc>
        <w:tc>
          <w:tcPr>
            <w:tcW w:w="628" w:type="pct"/>
            <w:vAlign w:val="center"/>
          </w:tcPr>
          <w:p w14:paraId="4F3B0358" w14:textId="584BC67E" w:rsidR="002C0784" w:rsidRPr="00616367" w:rsidRDefault="00474E21" w:rsidP="00875FC4">
            <w:pPr>
              <w:pStyle w:val="TableText0"/>
              <w:keepNext w:val="0"/>
              <w:jc w:val="center"/>
            </w:pPr>
            <w:r w:rsidRPr="003E4FD0">
              <w:rPr>
                <w:rFonts w:hint="eastAsia"/>
                <w:iCs/>
                <w:color w:val="000000"/>
                <w:w w:val="15"/>
                <w:shd w:val="solid" w:color="000000" w:fill="000000"/>
                <w:fitText w:val="10" w:id="-894212351"/>
                <w14:textFill>
                  <w14:solidFill>
                    <w14:srgbClr w14:val="000000">
                      <w14:alpha w14:val="100000"/>
                    </w14:srgbClr>
                  </w14:solidFill>
                </w14:textFill>
              </w:rPr>
              <w:t xml:space="preserve">　</w:t>
            </w:r>
            <w:r w:rsidRPr="003E4FD0">
              <w:rPr>
                <w:iCs/>
                <w:color w:val="000000"/>
                <w:w w:val="15"/>
                <w:shd w:val="solid" w:color="000000" w:fill="000000"/>
                <w:fitText w:val="10" w:id="-894212351"/>
                <w14:textFill>
                  <w14:solidFill>
                    <w14:srgbClr w14:val="000000">
                      <w14:alpha w14:val="100000"/>
                    </w14:srgbClr>
                  </w14:solidFill>
                </w14:textFill>
              </w:rPr>
              <w:t>|</w:t>
            </w:r>
            <w:r w:rsidRPr="003E4FD0">
              <w:rPr>
                <w:rFonts w:hint="eastAsia"/>
                <w:iCs/>
                <w:color w:val="000000"/>
                <w:spacing w:val="-55"/>
                <w:w w:val="15"/>
                <w:shd w:val="solid" w:color="000000" w:fill="000000"/>
                <w:fitText w:val="10" w:id="-894212351"/>
                <w14:textFill>
                  <w14:solidFill>
                    <w14:srgbClr w14:val="000000">
                      <w14:alpha w14:val="100000"/>
                    </w14:srgbClr>
                  </w14:solidFill>
                </w14:textFill>
              </w:rPr>
              <w:t xml:space="preserve">　</w:t>
            </w:r>
            <w:r w:rsidR="007363B3">
              <w:rPr>
                <w:iCs/>
              </w:rPr>
              <w:t xml:space="preserve"> </w:t>
            </w:r>
          </w:p>
        </w:tc>
        <w:tc>
          <w:tcPr>
            <w:tcW w:w="628" w:type="pct"/>
            <w:vAlign w:val="center"/>
          </w:tcPr>
          <w:p w14:paraId="25FC241B" w14:textId="77777777" w:rsidR="002C0784" w:rsidRPr="00616367" w:rsidRDefault="002C0784" w:rsidP="00875FC4">
            <w:pPr>
              <w:pStyle w:val="TableText0"/>
              <w:keepNext w:val="0"/>
              <w:jc w:val="center"/>
              <w:rPr>
                <w:iCs/>
              </w:rPr>
            </w:pPr>
            <w:r w:rsidRPr="00616367">
              <w:rPr>
                <w:iCs/>
              </w:rPr>
              <w:t>0.0667</w:t>
            </w:r>
          </w:p>
        </w:tc>
        <w:tc>
          <w:tcPr>
            <w:tcW w:w="631" w:type="pct"/>
            <w:vAlign w:val="center"/>
          </w:tcPr>
          <w:p w14:paraId="5501F12E" w14:textId="5FE95B58" w:rsidR="002C0784" w:rsidRPr="00616367" w:rsidRDefault="00474E21" w:rsidP="00875FC4">
            <w:pPr>
              <w:pStyle w:val="TableText0"/>
              <w:keepNext w:val="0"/>
              <w:jc w:val="center"/>
              <w:rPr>
                <w:iCs/>
              </w:rPr>
            </w:pPr>
            <w:r w:rsidRPr="00474E21">
              <w:rPr>
                <w:rFonts w:hint="eastAsia"/>
                <w:iCs/>
                <w:color w:val="000000"/>
                <w:w w:val="15"/>
                <w:shd w:val="solid" w:color="000000" w:fill="000000"/>
                <w:fitText w:val="40" w:id="-894212350"/>
                <w14:textFill>
                  <w14:solidFill>
                    <w14:srgbClr w14:val="000000">
                      <w14:alpha w14:val="100000"/>
                    </w14:srgbClr>
                  </w14:solidFill>
                </w14:textFill>
              </w:rPr>
              <w:t xml:space="preserve">　</w:t>
            </w:r>
            <w:r w:rsidRPr="00474E21">
              <w:rPr>
                <w:iCs/>
                <w:color w:val="000000"/>
                <w:w w:val="15"/>
                <w:shd w:val="solid" w:color="000000" w:fill="000000"/>
                <w:fitText w:val="40" w:id="-894212350"/>
                <w14:textFill>
                  <w14:solidFill>
                    <w14:srgbClr w14:val="000000">
                      <w14:alpha w14:val="100000"/>
                    </w14:srgbClr>
                  </w14:solidFill>
                </w14:textFill>
              </w:rPr>
              <w:t>|</w:t>
            </w:r>
            <w:r w:rsidRPr="00474E21">
              <w:rPr>
                <w:rFonts w:hint="eastAsia"/>
                <w:iCs/>
                <w:color w:val="000000"/>
                <w:spacing w:val="-25"/>
                <w:w w:val="15"/>
                <w:shd w:val="solid" w:color="000000" w:fill="000000"/>
                <w:fitText w:val="40" w:id="-894212350"/>
                <w14:textFill>
                  <w14:solidFill>
                    <w14:srgbClr w14:val="000000">
                      <w14:alpha w14:val="100000"/>
                    </w14:srgbClr>
                  </w14:solidFill>
                </w14:textFill>
              </w:rPr>
              <w:t xml:space="preserve">　</w:t>
            </w:r>
            <w:r w:rsidR="007363B3">
              <w:rPr>
                <w:b/>
                <w:vertAlign w:val="superscript"/>
              </w:rPr>
              <w:t>7</w:t>
            </w:r>
          </w:p>
        </w:tc>
        <w:tc>
          <w:tcPr>
            <w:tcW w:w="521" w:type="pct"/>
            <w:vAlign w:val="center"/>
          </w:tcPr>
          <w:p w14:paraId="468E5597" w14:textId="257B4CB8" w:rsidR="002C0784" w:rsidRPr="00616367" w:rsidRDefault="00474E21" w:rsidP="00875FC4">
            <w:pPr>
              <w:pStyle w:val="TableText0"/>
              <w:keepNext w:val="0"/>
              <w:jc w:val="center"/>
              <w:rPr>
                <w:rFonts w:eastAsia="Calibri"/>
                <w:iCs/>
                <w:szCs w:val="20"/>
              </w:rPr>
            </w:pPr>
            <w:r w:rsidRPr="00474E21">
              <w:rPr>
                <w:rFonts w:eastAsia="Calibri"/>
                <w:iCs/>
                <w:color w:val="000000"/>
                <w:spacing w:val="94"/>
                <w:szCs w:val="20"/>
                <w:shd w:val="solid" w:color="000000" w:fill="000000"/>
                <w:fitText w:val="180" w:id="-894212349"/>
                <w14:textFill>
                  <w14:solidFill>
                    <w14:srgbClr w14:val="000000">
                      <w14:alpha w14:val="100000"/>
                    </w14:srgbClr>
                  </w14:solidFill>
                </w14:textFill>
              </w:rPr>
              <w:t>|</w:t>
            </w:r>
            <w:r w:rsidRPr="00474E21">
              <w:rPr>
                <w:rFonts w:eastAsia="Calibri"/>
                <w:iCs/>
                <w:color w:val="000000"/>
                <w:spacing w:val="1"/>
                <w:szCs w:val="20"/>
                <w:shd w:val="solid" w:color="000000" w:fill="000000"/>
                <w:fitText w:val="180" w:id="-894212349"/>
                <w14:textFill>
                  <w14:solidFill>
                    <w14:srgbClr w14:val="000000">
                      <w14:alpha w14:val="100000"/>
                    </w14:srgbClr>
                  </w14:solidFill>
                </w14:textFill>
              </w:rPr>
              <w:t>|</w:t>
            </w:r>
            <w:r w:rsidR="002C0784" w:rsidRPr="00616367">
              <w:rPr>
                <w:rFonts w:eastAsia="Calibri"/>
                <w:iCs/>
                <w:szCs w:val="20"/>
              </w:rPr>
              <w:t>%</w:t>
            </w:r>
          </w:p>
        </w:tc>
      </w:tr>
    </w:tbl>
    <w:p w14:paraId="7D23D885" w14:textId="22477A4F" w:rsidR="002C0784" w:rsidRPr="00482A36" w:rsidRDefault="002C0784" w:rsidP="00875FC4">
      <w:pPr>
        <w:pStyle w:val="TableFigureFooter"/>
      </w:pPr>
      <w:r w:rsidRPr="00482A36">
        <w:t>Source: Table 109, pp258-260 of the submission</w:t>
      </w:r>
      <w:r w:rsidR="00616367">
        <w:t xml:space="preserve"> and compiled during the evaluation</w:t>
      </w:r>
    </w:p>
    <w:p w14:paraId="63367341" w14:textId="77777777" w:rsidR="002C0784" w:rsidRPr="00482A36" w:rsidRDefault="002C0784" w:rsidP="00875FC4">
      <w:pPr>
        <w:pStyle w:val="TableFigureFooter"/>
        <w:spacing w:after="0"/>
      </w:pPr>
      <w:r w:rsidRPr="00482A36">
        <w:t xml:space="preserve">ABT = add-back therapy; LGX = linzagolix; </w:t>
      </w:r>
      <w:r w:rsidRPr="00482A36">
        <w:rPr>
          <w:rFonts w:eastAsia="Calibri"/>
          <w:szCs w:val="20"/>
        </w:rPr>
        <w:t>QALY = quality adjusted life year.</w:t>
      </w:r>
    </w:p>
    <w:p w14:paraId="3AF07814" w14:textId="5345BB67" w:rsidR="002C0784" w:rsidRPr="00616367" w:rsidRDefault="002C0784" w:rsidP="00875FC4">
      <w:pPr>
        <w:pStyle w:val="FooterTableFigure"/>
        <w:ind w:left="165" w:hanging="165"/>
        <w:rPr>
          <w:rFonts w:eastAsia="Calibri"/>
          <w:szCs w:val="20"/>
        </w:rPr>
      </w:pPr>
      <w:r w:rsidRPr="00616367">
        <w:rPr>
          <w:rFonts w:eastAsia="Calibri"/>
          <w:szCs w:val="20"/>
          <w:vertAlign w:val="superscript"/>
        </w:rPr>
        <w:t>a</w:t>
      </w:r>
      <w:r w:rsidRPr="00616367">
        <w:rPr>
          <w:rFonts w:eastAsia="Calibri"/>
          <w:szCs w:val="20"/>
          <w:vertAlign w:val="superscript"/>
        </w:rPr>
        <w:tab/>
      </w:r>
      <w:r w:rsidR="00FC64FE" w:rsidRPr="00616367">
        <w:rPr>
          <w:rFonts w:eastAsia="Calibri"/>
          <w:szCs w:val="20"/>
        </w:rPr>
        <w:t>Starting age</w:t>
      </w:r>
      <w:r w:rsidR="00215C3A" w:rsidRPr="00616367">
        <w:rPr>
          <w:rFonts w:eastAsia="Calibri"/>
          <w:szCs w:val="20"/>
        </w:rPr>
        <w:t>s</w:t>
      </w:r>
      <w:r w:rsidRPr="00616367">
        <w:rPr>
          <w:rFonts w:eastAsia="Calibri"/>
          <w:szCs w:val="20"/>
        </w:rPr>
        <w:t xml:space="preserve"> have not been changed from the base case, in which women were sorted into different age groups at treatment commencement. The same time horizon has been applied to all women.</w:t>
      </w:r>
    </w:p>
    <w:p w14:paraId="363B6D95" w14:textId="684BBA4D" w:rsidR="002C0784" w:rsidRDefault="002C0784" w:rsidP="00875FC4">
      <w:pPr>
        <w:pStyle w:val="FooterTableFigure"/>
      </w:pPr>
      <w:r w:rsidRPr="00482A36">
        <w:rPr>
          <w:vertAlign w:val="superscript"/>
        </w:rPr>
        <w:t>b</w:t>
      </w:r>
      <w:r w:rsidRPr="00482A36">
        <w:tab/>
        <w:t>Per cycle probability of surgery increased by decreasing duration until menopause, keeping total probability of surgery fixed at 60.2%.</w:t>
      </w:r>
    </w:p>
    <w:p w14:paraId="262FFF54" w14:textId="1FC7E31F" w:rsidR="000F797D" w:rsidRDefault="000F797D" w:rsidP="00875FC4">
      <w:pPr>
        <w:pStyle w:val="FooterTableFigure"/>
        <w:ind w:left="165" w:hanging="165"/>
        <w:rPr>
          <w:iCs/>
        </w:rPr>
      </w:pPr>
      <w:r>
        <w:rPr>
          <w:vertAlign w:val="superscript"/>
        </w:rPr>
        <w:lastRenderedPageBreak/>
        <w:t>c</w:t>
      </w:r>
      <w:r w:rsidRPr="00482A36">
        <w:tab/>
      </w:r>
      <w:r w:rsidRPr="00616367">
        <w:rPr>
          <w:iCs/>
        </w:rPr>
        <w:t>Probability of response 74.5% based on pooled PRIMROSE data for LGX 200 mg (without ABT); and remove costs of ABT and costs of AEs associated with ABT.</w:t>
      </w:r>
    </w:p>
    <w:p w14:paraId="1D66E787" w14:textId="77777777" w:rsidR="007363B3" w:rsidRPr="00AA5533" w:rsidRDefault="007363B3" w:rsidP="00875FC4">
      <w:pPr>
        <w:pStyle w:val="FooterTableFigure"/>
        <w:rPr>
          <w:i/>
        </w:rPr>
      </w:pPr>
      <w:r w:rsidRPr="00AA5533">
        <w:rPr>
          <w:i/>
        </w:rPr>
        <w:t xml:space="preserve">The redacted values correspond to the following ranges: </w:t>
      </w:r>
    </w:p>
    <w:p w14:paraId="0FCCD70D" w14:textId="09104B91" w:rsidR="007363B3" w:rsidRPr="00AA5533" w:rsidRDefault="007363B3" w:rsidP="00875FC4">
      <w:pPr>
        <w:pStyle w:val="FooterTableFigure"/>
        <w:rPr>
          <w:i/>
        </w:rPr>
      </w:pPr>
      <w:r w:rsidRPr="00AA5533">
        <w:rPr>
          <w:i/>
          <w:vertAlign w:val="superscript"/>
        </w:rPr>
        <w:t>1</w:t>
      </w:r>
      <w:r w:rsidRPr="00AA5533">
        <w:rPr>
          <w:i/>
        </w:rPr>
        <w:t xml:space="preserve"> </w:t>
      </w:r>
      <w:r>
        <w:rPr>
          <w:i/>
        </w:rPr>
        <w:t>$4</w:t>
      </w:r>
      <w:r w:rsidRPr="00AA5533">
        <w:rPr>
          <w:i/>
        </w:rPr>
        <w:t>5,000 to &lt; $</w:t>
      </w:r>
      <w:r>
        <w:rPr>
          <w:i/>
        </w:rPr>
        <w:t>5</w:t>
      </w:r>
      <w:r w:rsidRPr="00AA5533">
        <w:rPr>
          <w:i/>
        </w:rPr>
        <w:t>5,000</w:t>
      </w:r>
    </w:p>
    <w:p w14:paraId="4062B942" w14:textId="4EB8EED2" w:rsidR="007363B3" w:rsidRPr="00AA5533" w:rsidRDefault="007363B3" w:rsidP="00875FC4">
      <w:pPr>
        <w:pStyle w:val="FooterTableFigure"/>
        <w:rPr>
          <w:i/>
        </w:rPr>
      </w:pPr>
      <w:r w:rsidRPr="00AA5533">
        <w:rPr>
          <w:i/>
          <w:vertAlign w:val="superscript"/>
        </w:rPr>
        <w:t>2</w:t>
      </w:r>
      <w:r w:rsidRPr="00AA5533">
        <w:rPr>
          <w:i/>
        </w:rPr>
        <w:t xml:space="preserve"> $</w:t>
      </w:r>
      <w:r>
        <w:rPr>
          <w:i/>
        </w:rPr>
        <w:t>3</w:t>
      </w:r>
      <w:r w:rsidRPr="00AA5533">
        <w:rPr>
          <w:i/>
        </w:rPr>
        <w:t>5,000 to &lt; $</w:t>
      </w:r>
      <w:r>
        <w:rPr>
          <w:i/>
        </w:rPr>
        <w:t>4</w:t>
      </w:r>
      <w:r w:rsidRPr="00AA5533">
        <w:rPr>
          <w:i/>
        </w:rPr>
        <w:t>5,000</w:t>
      </w:r>
    </w:p>
    <w:p w14:paraId="2669E0E9" w14:textId="2AA7A431" w:rsidR="007363B3" w:rsidRPr="00AA5533" w:rsidRDefault="007363B3" w:rsidP="00875FC4">
      <w:pPr>
        <w:pStyle w:val="FooterTableFigure"/>
        <w:rPr>
          <w:i/>
        </w:rPr>
      </w:pPr>
      <w:r w:rsidRPr="00AA5533">
        <w:rPr>
          <w:i/>
          <w:vertAlign w:val="superscript"/>
        </w:rPr>
        <w:t>3</w:t>
      </w:r>
      <w:r w:rsidRPr="00AA5533">
        <w:rPr>
          <w:i/>
        </w:rPr>
        <w:t xml:space="preserve"> $</w:t>
      </w:r>
      <w:r>
        <w:rPr>
          <w:i/>
        </w:rPr>
        <w:t>13</w:t>
      </w:r>
      <w:r w:rsidRPr="00AA5533">
        <w:rPr>
          <w:i/>
        </w:rPr>
        <w:t>5,000 to &lt; $</w:t>
      </w:r>
      <w:r>
        <w:rPr>
          <w:i/>
        </w:rPr>
        <w:t>15</w:t>
      </w:r>
      <w:r w:rsidRPr="00AA5533">
        <w:rPr>
          <w:i/>
        </w:rPr>
        <w:t>5,000</w:t>
      </w:r>
    </w:p>
    <w:p w14:paraId="46E60C82" w14:textId="5373C3A9" w:rsidR="007363B3" w:rsidRPr="00AA5533" w:rsidRDefault="007363B3" w:rsidP="00875FC4">
      <w:pPr>
        <w:pStyle w:val="FooterTableFigure"/>
        <w:rPr>
          <w:i/>
        </w:rPr>
      </w:pPr>
      <w:r w:rsidRPr="00AA5533">
        <w:rPr>
          <w:i/>
          <w:vertAlign w:val="superscript"/>
        </w:rPr>
        <w:t>4</w:t>
      </w:r>
      <w:r w:rsidRPr="00AA5533">
        <w:rPr>
          <w:i/>
        </w:rPr>
        <w:t xml:space="preserve"> $</w:t>
      </w:r>
      <w:r>
        <w:rPr>
          <w:i/>
        </w:rPr>
        <w:t>7</w:t>
      </w:r>
      <w:r w:rsidRPr="00AA5533">
        <w:rPr>
          <w:i/>
        </w:rPr>
        <w:t>5,000 to &lt; $</w:t>
      </w:r>
      <w:r>
        <w:rPr>
          <w:i/>
        </w:rPr>
        <w:t>9</w:t>
      </w:r>
      <w:r w:rsidRPr="00AA5533">
        <w:rPr>
          <w:i/>
        </w:rPr>
        <w:t>5,000</w:t>
      </w:r>
    </w:p>
    <w:p w14:paraId="7A653BE3" w14:textId="7DB619C1" w:rsidR="007363B3" w:rsidRPr="00AA5533" w:rsidRDefault="007363B3" w:rsidP="00875FC4">
      <w:pPr>
        <w:pStyle w:val="FooterTableFigure"/>
        <w:rPr>
          <w:i/>
        </w:rPr>
      </w:pPr>
      <w:r>
        <w:rPr>
          <w:i/>
          <w:vertAlign w:val="superscript"/>
        </w:rPr>
        <w:t>5</w:t>
      </w:r>
      <w:r w:rsidRPr="00AA5533">
        <w:rPr>
          <w:i/>
        </w:rPr>
        <w:t xml:space="preserve"> $</w:t>
      </w:r>
      <w:r>
        <w:rPr>
          <w:i/>
        </w:rPr>
        <w:t>5</w:t>
      </w:r>
      <w:r w:rsidRPr="00AA5533">
        <w:rPr>
          <w:i/>
        </w:rPr>
        <w:t>5,000 to &lt; $</w:t>
      </w:r>
      <w:r>
        <w:rPr>
          <w:i/>
        </w:rPr>
        <w:t>7</w:t>
      </w:r>
      <w:r w:rsidRPr="00AA5533">
        <w:rPr>
          <w:i/>
        </w:rPr>
        <w:t>5,000</w:t>
      </w:r>
    </w:p>
    <w:p w14:paraId="18B75E3E" w14:textId="093CAA7B" w:rsidR="007363B3" w:rsidRPr="00AA5533" w:rsidRDefault="007363B3" w:rsidP="00875FC4">
      <w:pPr>
        <w:pStyle w:val="FooterTableFigure"/>
        <w:rPr>
          <w:i/>
        </w:rPr>
      </w:pPr>
      <w:r>
        <w:rPr>
          <w:i/>
          <w:vertAlign w:val="superscript"/>
        </w:rPr>
        <w:t>6</w:t>
      </w:r>
      <w:r w:rsidRPr="00AA5533">
        <w:rPr>
          <w:i/>
        </w:rPr>
        <w:t xml:space="preserve"> $</w:t>
      </w:r>
      <w:r>
        <w:rPr>
          <w:i/>
        </w:rPr>
        <w:t>2</w:t>
      </w:r>
      <w:r w:rsidRPr="00AA5533">
        <w:rPr>
          <w:i/>
        </w:rPr>
        <w:t>5,000 to &lt; $</w:t>
      </w:r>
      <w:r>
        <w:rPr>
          <w:i/>
        </w:rPr>
        <w:t>3</w:t>
      </w:r>
      <w:r w:rsidRPr="00AA5533">
        <w:rPr>
          <w:i/>
        </w:rPr>
        <w:t>5,000</w:t>
      </w:r>
    </w:p>
    <w:p w14:paraId="4DA71DDB" w14:textId="004B41E5" w:rsidR="007363B3" w:rsidRPr="00AA5533" w:rsidRDefault="007363B3" w:rsidP="00875FC4">
      <w:pPr>
        <w:pStyle w:val="FooterTableFigure"/>
        <w:rPr>
          <w:i/>
        </w:rPr>
      </w:pPr>
      <w:r>
        <w:rPr>
          <w:i/>
          <w:vertAlign w:val="superscript"/>
        </w:rPr>
        <w:t>7</w:t>
      </w:r>
      <w:r w:rsidRPr="00AA5533">
        <w:rPr>
          <w:i/>
        </w:rPr>
        <w:t xml:space="preserve"> $</w:t>
      </w:r>
      <w:r>
        <w:rPr>
          <w:i/>
        </w:rPr>
        <w:t>9</w:t>
      </w:r>
      <w:r w:rsidRPr="00AA5533">
        <w:rPr>
          <w:i/>
        </w:rPr>
        <w:t>5,000 to &lt; $</w:t>
      </w:r>
      <w:r>
        <w:rPr>
          <w:i/>
        </w:rPr>
        <w:t>11</w:t>
      </w:r>
      <w:r w:rsidRPr="00AA5533">
        <w:rPr>
          <w:i/>
        </w:rPr>
        <w:t>5,000</w:t>
      </w:r>
    </w:p>
    <w:p w14:paraId="750263DF" w14:textId="363FBDEF" w:rsidR="007363B3" w:rsidRPr="007363B3" w:rsidRDefault="007363B3" w:rsidP="007363B3">
      <w:pPr>
        <w:pStyle w:val="FooterTableFigure"/>
        <w:rPr>
          <w:i/>
        </w:rPr>
      </w:pPr>
      <w:r>
        <w:rPr>
          <w:i/>
          <w:vertAlign w:val="superscript"/>
        </w:rPr>
        <w:t>8</w:t>
      </w:r>
      <w:r w:rsidRPr="00AA5533">
        <w:rPr>
          <w:i/>
        </w:rPr>
        <w:t xml:space="preserve"> $</w:t>
      </w:r>
      <w:r>
        <w:rPr>
          <w:i/>
        </w:rPr>
        <w:t>35</w:t>
      </w:r>
      <w:r w:rsidRPr="00AA5533">
        <w:rPr>
          <w:i/>
        </w:rPr>
        <w:t>5,000 to &lt; $</w:t>
      </w:r>
      <w:r>
        <w:rPr>
          <w:i/>
        </w:rPr>
        <w:t>45</w:t>
      </w:r>
      <w:r w:rsidRPr="00AA5533">
        <w:rPr>
          <w:i/>
        </w:rPr>
        <w:t>5,000</w:t>
      </w:r>
    </w:p>
    <w:p w14:paraId="78EFC1AE" w14:textId="5772B566" w:rsidR="00D623E2" w:rsidRPr="00522947" w:rsidRDefault="00D623E2" w:rsidP="00522947">
      <w:pPr>
        <w:pStyle w:val="3-BodyText"/>
        <w:rPr>
          <w:rFonts w:eastAsia="Calibri"/>
          <w:iCs/>
          <w:szCs w:val="20"/>
        </w:rPr>
      </w:pPr>
      <w:r>
        <w:rPr>
          <w:rFonts w:eastAsia="Calibri"/>
        </w:rPr>
        <w:t xml:space="preserve">The </w:t>
      </w:r>
      <w:r w:rsidR="00522947">
        <w:rPr>
          <w:rFonts w:eastAsia="Calibri"/>
        </w:rPr>
        <w:t xml:space="preserve">pre-PBAC </w:t>
      </w:r>
      <w:r>
        <w:rPr>
          <w:rFonts w:eastAsia="Calibri"/>
        </w:rPr>
        <w:t>response</w:t>
      </w:r>
      <w:r w:rsidR="00522947">
        <w:rPr>
          <w:rFonts w:eastAsia="Calibri"/>
        </w:rPr>
        <w:t xml:space="preserve"> </w:t>
      </w:r>
      <w:r>
        <w:rPr>
          <w:rFonts w:eastAsia="Calibri"/>
        </w:rPr>
        <w:t xml:space="preserve"> note</w:t>
      </w:r>
      <w:r w:rsidR="00522947">
        <w:rPr>
          <w:rFonts w:eastAsia="Calibri"/>
        </w:rPr>
        <w:t>d</w:t>
      </w:r>
      <w:r>
        <w:rPr>
          <w:rFonts w:eastAsia="Calibri"/>
        </w:rPr>
        <w:t xml:space="preserve"> that </w:t>
      </w:r>
      <w:r w:rsidRPr="00D623E2">
        <w:rPr>
          <w:rFonts w:eastAsia="Calibri"/>
        </w:rPr>
        <w:t xml:space="preserve">relugolix </w:t>
      </w:r>
      <w:r>
        <w:rPr>
          <w:rFonts w:eastAsia="Calibri"/>
        </w:rPr>
        <w:t>w</w:t>
      </w:r>
      <w:r w:rsidRPr="00D623E2">
        <w:rPr>
          <w:rFonts w:eastAsia="Calibri"/>
        </w:rPr>
        <w:t>as a</w:t>
      </w:r>
      <w:r>
        <w:rPr>
          <w:rFonts w:eastAsia="Calibri"/>
        </w:rPr>
        <w:t xml:space="preserve"> </w:t>
      </w:r>
      <w:r w:rsidRPr="00D623E2">
        <w:rPr>
          <w:rFonts w:eastAsia="Calibri"/>
        </w:rPr>
        <w:t xml:space="preserve">near-market comparator and </w:t>
      </w:r>
      <w:r w:rsidR="0075709A">
        <w:rPr>
          <w:rFonts w:eastAsia="Calibri"/>
        </w:rPr>
        <w:t xml:space="preserve">that </w:t>
      </w:r>
      <w:r w:rsidR="008F6E83">
        <w:rPr>
          <w:rFonts w:eastAsia="Calibri"/>
        </w:rPr>
        <w:t xml:space="preserve">the </w:t>
      </w:r>
      <w:r w:rsidR="008F6E83" w:rsidRPr="008F6E83">
        <w:rPr>
          <w:rFonts w:eastAsia="Calibri"/>
        </w:rPr>
        <w:t xml:space="preserve">PBAC’s recommendation for </w:t>
      </w:r>
      <w:r w:rsidR="008F6E83">
        <w:rPr>
          <w:rFonts w:eastAsia="Calibri"/>
        </w:rPr>
        <w:t xml:space="preserve">relugolix for the </w:t>
      </w:r>
      <w:r w:rsidR="008F6E83" w:rsidRPr="008F6E83">
        <w:rPr>
          <w:rFonts w:eastAsia="Calibri"/>
          <w:iCs/>
          <w:szCs w:val="20"/>
        </w:rPr>
        <w:t>treatment of moderate to severe pain associated with endometriosis</w:t>
      </w:r>
      <w:r w:rsidR="008F6E83">
        <w:rPr>
          <w:rFonts w:eastAsia="Calibri"/>
          <w:iCs/>
          <w:szCs w:val="20"/>
        </w:rPr>
        <w:t xml:space="preserve"> </w:t>
      </w:r>
      <w:r w:rsidR="008F6E83" w:rsidRPr="008F6E83">
        <w:rPr>
          <w:rFonts w:eastAsia="Calibri"/>
          <w:iCs/>
          <w:szCs w:val="20"/>
        </w:rPr>
        <w:t xml:space="preserve">was based on its assessment that </w:t>
      </w:r>
      <w:r w:rsidR="0075709A">
        <w:rPr>
          <w:rFonts w:eastAsia="Calibri"/>
          <w:iCs/>
          <w:szCs w:val="20"/>
        </w:rPr>
        <w:t>the</w:t>
      </w:r>
      <w:r w:rsidR="008F6E83" w:rsidRPr="008F6E83">
        <w:rPr>
          <w:rFonts w:eastAsia="Calibri"/>
          <w:iCs/>
          <w:szCs w:val="20"/>
        </w:rPr>
        <w:t xml:space="preserve"> cost-effectiveness </w:t>
      </w:r>
      <w:r w:rsidR="0075709A">
        <w:rPr>
          <w:rFonts w:eastAsia="Calibri"/>
          <w:iCs/>
          <w:szCs w:val="20"/>
        </w:rPr>
        <w:t xml:space="preserve">of relugolix </w:t>
      </w:r>
      <w:r w:rsidR="008F6E83" w:rsidRPr="008F6E83">
        <w:rPr>
          <w:rFonts w:eastAsia="Calibri"/>
          <w:iCs/>
          <w:szCs w:val="20"/>
        </w:rPr>
        <w:t xml:space="preserve">would be acceptable if it were no more costly </w:t>
      </w:r>
      <w:r w:rsidR="00522947">
        <w:rPr>
          <w:rFonts w:eastAsia="Calibri"/>
          <w:iCs/>
          <w:szCs w:val="20"/>
        </w:rPr>
        <w:t xml:space="preserve">than </w:t>
      </w:r>
      <w:r w:rsidR="008F6E83" w:rsidRPr="008F6E83">
        <w:rPr>
          <w:rFonts w:eastAsia="Calibri"/>
          <w:iCs/>
          <w:szCs w:val="20"/>
        </w:rPr>
        <w:t>GnRH therapy (plus add-back therapy) as currently supplied through the PBS</w:t>
      </w:r>
      <w:r w:rsidR="008F6E83">
        <w:rPr>
          <w:rFonts w:eastAsia="Calibri"/>
          <w:iCs/>
          <w:szCs w:val="20"/>
        </w:rPr>
        <w:t xml:space="preserve"> (relugolix with estradiol and with norethisterone acetate public summary document [PSD], March</w:t>
      </w:r>
      <w:r w:rsidR="00FF4A90">
        <w:rPr>
          <w:rFonts w:eastAsia="Calibri"/>
          <w:iCs/>
          <w:szCs w:val="20"/>
        </w:rPr>
        <w:t> </w:t>
      </w:r>
      <w:r w:rsidR="008F6E83">
        <w:rPr>
          <w:rFonts w:eastAsia="Calibri"/>
          <w:iCs/>
          <w:szCs w:val="20"/>
        </w:rPr>
        <w:t>2024)</w:t>
      </w:r>
      <w:r w:rsidR="008F6E83" w:rsidRPr="008F6E83">
        <w:rPr>
          <w:rFonts w:eastAsia="Calibri"/>
          <w:iCs/>
          <w:szCs w:val="20"/>
        </w:rPr>
        <w:t>.</w:t>
      </w:r>
      <w:r w:rsidR="00522947">
        <w:rPr>
          <w:rFonts w:eastAsia="Calibri"/>
          <w:iCs/>
          <w:szCs w:val="20"/>
        </w:rPr>
        <w:t xml:space="preserve"> The pre-PBAC response </w:t>
      </w:r>
      <w:r w:rsidR="0075709A">
        <w:rPr>
          <w:rFonts w:eastAsia="Calibri"/>
          <w:iCs/>
          <w:szCs w:val="20"/>
        </w:rPr>
        <w:t>suggested that</w:t>
      </w:r>
      <w:r w:rsidR="00522947">
        <w:rPr>
          <w:rFonts w:eastAsia="Calibri"/>
          <w:iCs/>
          <w:szCs w:val="20"/>
        </w:rPr>
        <w:t xml:space="preserve"> the</w:t>
      </w:r>
      <w:r w:rsidRPr="00522947">
        <w:rPr>
          <w:rFonts w:eastAsia="Calibri"/>
          <w:iCs/>
          <w:szCs w:val="20"/>
        </w:rPr>
        <w:t xml:space="preserve"> treatment algorithms for </w:t>
      </w:r>
      <w:r w:rsidR="00522947">
        <w:rPr>
          <w:rFonts w:eastAsia="Calibri"/>
          <w:iCs/>
          <w:szCs w:val="20"/>
        </w:rPr>
        <w:t>uterine fibroids</w:t>
      </w:r>
      <w:r w:rsidRPr="00522947">
        <w:rPr>
          <w:rFonts w:eastAsia="Calibri"/>
          <w:iCs/>
          <w:szCs w:val="20"/>
        </w:rPr>
        <w:t xml:space="preserve"> and endometriosis </w:t>
      </w:r>
      <w:r w:rsidR="0075709A">
        <w:rPr>
          <w:rFonts w:eastAsia="Calibri"/>
          <w:iCs/>
          <w:szCs w:val="20"/>
        </w:rPr>
        <w:t xml:space="preserve">were somewhat </w:t>
      </w:r>
      <w:r w:rsidRPr="00522947">
        <w:rPr>
          <w:rFonts w:eastAsia="Calibri"/>
          <w:iCs/>
          <w:szCs w:val="20"/>
        </w:rPr>
        <w:t>analogous,</w:t>
      </w:r>
      <w:r w:rsidR="00522947">
        <w:rPr>
          <w:rFonts w:eastAsia="Calibri"/>
          <w:iCs/>
          <w:szCs w:val="20"/>
        </w:rPr>
        <w:t xml:space="preserve"> and therefore</w:t>
      </w:r>
      <w:r w:rsidRPr="00522947">
        <w:rPr>
          <w:rFonts w:eastAsia="Calibri"/>
          <w:iCs/>
          <w:szCs w:val="20"/>
        </w:rPr>
        <w:t xml:space="preserve"> </w:t>
      </w:r>
      <w:r w:rsidR="0075709A">
        <w:rPr>
          <w:rFonts w:eastAsia="Calibri"/>
          <w:iCs/>
          <w:szCs w:val="20"/>
        </w:rPr>
        <w:t>considered</w:t>
      </w:r>
      <w:r w:rsidR="00522947">
        <w:rPr>
          <w:rFonts w:eastAsia="Calibri"/>
          <w:iCs/>
          <w:szCs w:val="20"/>
        </w:rPr>
        <w:t xml:space="preserve"> that</w:t>
      </w:r>
      <w:r w:rsidRPr="00522947">
        <w:rPr>
          <w:rFonts w:eastAsia="Calibri"/>
          <w:iCs/>
          <w:szCs w:val="20"/>
        </w:rPr>
        <w:t xml:space="preserve"> an analogous approach to the cost-effectiveness of </w:t>
      </w:r>
      <w:r w:rsidR="00522947">
        <w:rPr>
          <w:rFonts w:eastAsia="Calibri"/>
          <w:iCs/>
          <w:szCs w:val="20"/>
        </w:rPr>
        <w:t>linzagolix</w:t>
      </w:r>
      <w:r w:rsidRPr="00522947">
        <w:rPr>
          <w:rFonts w:eastAsia="Calibri"/>
          <w:iCs/>
          <w:szCs w:val="20"/>
        </w:rPr>
        <w:t xml:space="preserve"> </w:t>
      </w:r>
      <w:r w:rsidR="0075709A">
        <w:rPr>
          <w:rFonts w:eastAsia="Calibri"/>
          <w:iCs/>
          <w:szCs w:val="20"/>
        </w:rPr>
        <w:t>may</w:t>
      </w:r>
      <w:r w:rsidRPr="00522947">
        <w:rPr>
          <w:rFonts w:eastAsia="Calibri"/>
          <w:iCs/>
          <w:szCs w:val="20"/>
        </w:rPr>
        <w:t xml:space="preserve"> be informative</w:t>
      </w:r>
      <w:r w:rsidR="00C551D8">
        <w:rPr>
          <w:rFonts w:eastAsia="Calibri"/>
          <w:iCs/>
          <w:szCs w:val="20"/>
        </w:rPr>
        <w:t>.</w:t>
      </w:r>
      <w:r w:rsidR="00522947">
        <w:rPr>
          <w:rFonts w:eastAsia="Calibri"/>
          <w:iCs/>
          <w:szCs w:val="20"/>
        </w:rPr>
        <w:t xml:space="preserve"> Based on this reasoning, </w:t>
      </w:r>
      <w:r w:rsidR="0075709A">
        <w:rPr>
          <w:rFonts w:eastAsia="Calibri"/>
          <w:iCs/>
          <w:szCs w:val="20"/>
        </w:rPr>
        <w:t xml:space="preserve">the response </w:t>
      </w:r>
      <w:r w:rsidRPr="00522947">
        <w:rPr>
          <w:rFonts w:eastAsia="Calibri"/>
          <w:iCs/>
          <w:szCs w:val="20"/>
        </w:rPr>
        <w:t xml:space="preserve">proposed the price of </w:t>
      </w:r>
      <w:r w:rsidR="00522947">
        <w:rPr>
          <w:rFonts w:eastAsia="Calibri"/>
          <w:iCs/>
          <w:szCs w:val="20"/>
        </w:rPr>
        <w:t>linzagolix</w:t>
      </w:r>
      <w:r w:rsidRPr="00522947">
        <w:rPr>
          <w:rFonts w:eastAsia="Calibri"/>
          <w:iCs/>
          <w:szCs w:val="20"/>
        </w:rPr>
        <w:t xml:space="preserve"> </w:t>
      </w:r>
      <w:r w:rsidR="00C551D8">
        <w:rPr>
          <w:rFonts w:eastAsia="Calibri"/>
          <w:iCs/>
          <w:szCs w:val="20"/>
        </w:rPr>
        <w:t xml:space="preserve">to </w:t>
      </w:r>
      <w:r w:rsidRPr="00522947">
        <w:rPr>
          <w:rFonts w:eastAsia="Calibri"/>
          <w:iCs/>
          <w:szCs w:val="20"/>
        </w:rPr>
        <w:t>be reduced to $</w:t>
      </w:r>
      <w:r w:rsidR="00474E21" w:rsidRPr="003E4FD0">
        <w:rPr>
          <w:rFonts w:eastAsia="Calibri"/>
          <w:iCs/>
          <w:color w:val="000000"/>
          <w:w w:val="15"/>
          <w:szCs w:val="20"/>
          <w:shd w:val="solid" w:color="000000" w:fill="000000"/>
          <w:fitText w:val="-20" w:id="-894212348"/>
          <w14:textFill>
            <w14:solidFill>
              <w14:srgbClr w14:val="000000">
                <w14:alpha w14:val="100000"/>
              </w14:srgbClr>
            </w14:solidFill>
          </w14:textFill>
        </w:rPr>
        <w:t xml:space="preserve">|  </w:t>
      </w:r>
      <w:r w:rsidR="00474E21" w:rsidRPr="003E4FD0">
        <w:rPr>
          <w:rFonts w:eastAsia="Calibri"/>
          <w:iCs/>
          <w:color w:val="000000"/>
          <w:spacing w:val="-69"/>
          <w:w w:val="15"/>
          <w:szCs w:val="20"/>
          <w:shd w:val="solid" w:color="000000" w:fill="000000"/>
          <w:fitText w:val="-20" w:id="-894212348"/>
          <w14:textFill>
            <w14:solidFill>
              <w14:srgbClr w14:val="000000">
                <w14:alpha w14:val="100000"/>
              </w14:srgbClr>
            </w14:solidFill>
          </w14:textFill>
        </w:rPr>
        <w:t>|</w:t>
      </w:r>
      <w:r w:rsidR="00C551D8">
        <w:rPr>
          <w:rFonts w:eastAsia="Calibri"/>
          <w:iCs/>
          <w:szCs w:val="20"/>
        </w:rPr>
        <w:t xml:space="preserve"> DPMQ</w:t>
      </w:r>
      <w:r w:rsidRPr="00522947">
        <w:rPr>
          <w:rFonts w:eastAsia="Calibri"/>
          <w:iCs/>
          <w:szCs w:val="20"/>
        </w:rPr>
        <w:t xml:space="preserve"> (compared to $</w:t>
      </w:r>
      <w:r w:rsidR="00474E21" w:rsidRPr="003E4FD0">
        <w:rPr>
          <w:rFonts w:eastAsia="Calibri"/>
          <w:iCs/>
          <w:color w:val="000000"/>
          <w:w w:val="15"/>
          <w:szCs w:val="20"/>
          <w:shd w:val="solid" w:color="000000" w:fill="000000"/>
          <w:fitText w:val="-20" w:id="-894212347"/>
          <w14:textFill>
            <w14:solidFill>
              <w14:srgbClr w14:val="000000">
                <w14:alpha w14:val="100000"/>
              </w14:srgbClr>
            </w14:solidFill>
          </w14:textFill>
        </w:rPr>
        <w:t xml:space="preserve">|  </w:t>
      </w:r>
      <w:r w:rsidR="00474E21" w:rsidRPr="003E4FD0">
        <w:rPr>
          <w:rFonts w:eastAsia="Calibri"/>
          <w:iCs/>
          <w:color w:val="000000"/>
          <w:spacing w:val="-69"/>
          <w:w w:val="15"/>
          <w:szCs w:val="20"/>
          <w:shd w:val="solid" w:color="000000" w:fill="000000"/>
          <w:fitText w:val="-20" w:id="-894212347"/>
          <w14:textFill>
            <w14:solidFill>
              <w14:srgbClr w14:val="000000">
                <w14:alpha w14:val="100000"/>
              </w14:srgbClr>
            </w14:solidFill>
          </w14:textFill>
        </w:rPr>
        <w:t>|</w:t>
      </w:r>
      <w:r w:rsidRPr="00522947">
        <w:rPr>
          <w:rFonts w:eastAsia="Calibri"/>
          <w:iCs/>
          <w:szCs w:val="20"/>
        </w:rPr>
        <w:t xml:space="preserve"> in the submission’s base case; -21.4%). </w:t>
      </w:r>
      <w:r w:rsidR="00522947">
        <w:rPr>
          <w:rFonts w:eastAsia="Calibri"/>
          <w:iCs/>
          <w:szCs w:val="20"/>
        </w:rPr>
        <w:t xml:space="preserve">The response </w:t>
      </w:r>
      <w:r w:rsidR="0075709A">
        <w:rPr>
          <w:rFonts w:eastAsia="Calibri"/>
          <w:iCs/>
          <w:szCs w:val="20"/>
        </w:rPr>
        <w:t>noted</w:t>
      </w:r>
      <w:r w:rsidR="00522947">
        <w:rPr>
          <w:rFonts w:eastAsia="Calibri"/>
          <w:iCs/>
          <w:szCs w:val="20"/>
        </w:rPr>
        <w:t xml:space="preserve"> that this price was based on the </w:t>
      </w:r>
      <w:r w:rsidRPr="00522947">
        <w:rPr>
          <w:rFonts w:eastAsia="Calibri"/>
          <w:iCs/>
          <w:szCs w:val="20"/>
        </w:rPr>
        <w:t>PBS-listed GnRH agonist price ($</w:t>
      </w:r>
      <w:r w:rsidR="00474E21" w:rsidRPr="003E4FD0">
        <w:rPr>
          <w:rFonts w:eastAsia="Calibri"/>
          <w:iCs/>
          <w:color w:val="000000"/>
          <w:w w:val="15"/>
          <w:szCs w:val="20"/>
          <w:shd w:val="solid" w:color="000000" w:fill="000000"/>
          <w:fitText w:val="-20" w:id="-894212346"/>
          <w14:textFill>
            <w14:solidFill>
              <w14:srgbClr w14:val="000000">
                <w14:alpha w14:val="100000"/>
              </w14:srgbClr>
            </w14:solidFill>
          </w14:textFill>
        </w:rPr>
        <w:t xml:space="preserve">|  </w:t>
      </w:r>
      <w:r w:rsidR="00474E21" w:rsidRPr="003E4FD0">
        <w:rPr>
          <w:rFonts w:eastAsia="Calibri"/>
          <w:iCs/>
          <w:color w:val="000000"/>
          <w:spacing w:val="-69"/>
          <w:w w:val="15"/>
          <w:szCs w:val="20"/>
          <w:shd w:val="solid" w:color="000000" w:fill="000000"/>
          <w:fitText w:val="-20" w:id="-894212346"/>
          <w14:textFill>
            <w14:solidFill>
              <w14:srgbClr w14:val="000000">
                <w14:alpha w14:val="100000"/>
              </w14:srgbClr>
            </w14:solidFill>
          </w14:textFill>
        </w:rPr>
        <w:t>|</w:t>
      </w:r>
      <w:r w:rsidRPr="00522947">
        <w:rPr>
          <w:rFonts w:eastAsia="Calibri"/>
          <w:iCs/>
          <w:szCs w:val="20"/>
        </w:rPr>
        <w:t>/28 days) minus costs for ABT ($</w:t>
      </w:r>
      <w:r w:rsidR="00474E21" w:rsidRPr="003E4FD0">
        <w:rPr>
          <w:rFonts w:eastAsia="Calibri"/>
          <w:iCs/>
          <w:color w:val="000000"/>
          <w:w w:val="15"/>
          <w:szCs w:val="20"/>
          <w:shd w:val="solid" w:color="000000" w:fill="000000"/>
          <w:fitText w:val="-20" w:id="-894212345"/>
          <w14:textFill>
            <w14:solidFill>
              <w14:srgbClr w14:val="000000">
                <w14:alpha w14:val="100000"/>
              </w14:srgbClr>
            </w14:solidFill>
          </w14:textFill>
        </w:rPr>
        <w:t xml:space="preserve">|  </w:t>
      </w:r>
      <w:r w:rsidR="00474E21" w:rsidRPr="003E4FD0">
        <w:rPr>
          <w:rFonts w:eastAsia="Calibri"/>
          <w:iCs/>
          <w:color w:val="000000"/>
          <w:spacing w:val="-69"/>
          <w:w w:val="15"/>
          <w:szCs w:val="20"/>
          <w:shd w:val="solid" w:color="000000" w:fill="000000"/>
          <w:fitText w:val="-20" w:id="-894212345"/>
          <w14:textFill>
            <w14:solidFill>
              <w14:srgbClr w14:val="000000">
                <w14:alpha w14:val="100000"/>
              </w14:srgbClr>
            </w14:solidFill>
          </w14:textFill>
        </w:rPr>
        <w:t>|</w:t>
      </w:r>
      <w:r w:rsidRPr="00522947">
        <w:rPr>
          <w:rFonts w:eastAsia="Calibri"/>
          <w:iCs/>
          <w:szCs w:val="20"/>
        </w:rPr>
        <w:t xml:space="preserve">/28 days) and an annual DXA scan ($112.70) for all </w:t>
      </w:r>
      <w:r w:rsidR="00522947">
        <w:rPr>
          <w:rFonts w:eastAsia="Calibri"/>
          <w:iCs/>
          <w:szCs w:val="20"/>
        </w:rPr>
        <w:t>linzagolix</w:t>
      </w:r>
      <w:r w:rsidRPr="00522947">
        <w:rPr>
          <w:rFonts w:eastAsia="Calibri"/>
          <w:iCs/>
          <w:szCs w:val="20"/>
        </w:rPr>
        <w:t xml:space="preserve"> patients</w:t>
      </w:r>
      <w:r w:rsidR="00522947">
        <w:rPr>
          <w:rFonts w:eastAsia="Calibri"/>
          <w:iCs/>
          <w:szCs w:val="20"/>
        </w:rPr>
        <w:t>.</w:t>
      </w:r>
    </w:p>
    <w:p w14:paraId="5E7E61B7" w14:textId="45520C66" w:rsidR="00657434" w:rsidRPr="00D623E2" w:rsidRDefault="00D623E2" w:rsidP="00D623E2">
      <w:pPr>
        <w:pStyle w:val="3-BodyText"/>
        <w:rPr>
          <w:rFonts w:eastAsia="Calibri"/>
          <w:iCs/>
          <w:szCs w:val="20"/>
        </w:rPr>
      </w:pPr>
      <w:r w:rsidRPr="00D623E2">
        <w:rPr>
          <w:rFonts w:eastAsia="Calibri"/>
          <w:iCs/>
          <w:szCs w:val="20"/>
        </w:rPr>
        <w:t>The</w:t>
      </w:r>
      <w:r w:rsidR="00522947">
        <w:rPr>
          <w:rFonts w:eastAsia="Calibri"/>
          <w:iCs/>
          <w:szCs w:val="20"/>
        </w:rPr>
        <w:t xml:space="preserve"> pre-PBAC response stated that the</w:t>
      </w:r>
      <w:r w:rsidRPr="00D623E2">
        <w:rPr>
          <w:rFonts w:eastAsia="Calibri"/>
          <w:iCs/>
          <w:szCs w:val="20"/>
        </w:rPr>
        <w:t xml:space="preserve"> lower</w:t>
      </w:r>
      <w:r w:rsidR="00C551D8">
        <w:rPr>
          <w:rFonts w:eastAsia="Calibri"/>
          <w:iCs/>
          <w:szCs w:val="20"/>
        </w:rPr>
        <w:t xml:space="preserve"> proposed</w:t>
      </w:r>
      <w:r w:rsidRPr="00D623E2">
        <w:rPr>
          <w:rFonts w:eastAsia="Calibri"/>
          <w:iCs/>
          <w:szCs w:val="20"/>
        </w:rPr>
        <w:t xml:space="preserve"> price </w:t>
      </w:r>
      <w:r w:rsidR="00522947">
        <w:rPr>
          <w:rFonts w:eastAsia="Calibri"/>
          <w:iCs/>
          <w:szCs w:val="20"/>
        </w:rPr>
        <w:t>led</w:t>
      </w:r>
      <w:r w:rsidRPr="00D623E2">
        <w:rPr>
          <w:rFonts w:eastAsia="Calibri"/>
          <w:iCs/>
          <w:szCs w:val="20"/>
        </w:rPr>
        <w:t xml:space="preserve"> to a reduction </w:t>
      </w:r>
      <w:r w:rsidR="00C551D8">
        <w:rPr>
          <w:rFonts w:eastAsia="Calibri"/>
          <w:iCs/>
          <w:szCs w:val="20"/>
        </w:rPr>
        <w:t xml:space="preserve">an </w:t>
      </w:r>
      <w:r w:rsidRPr="00D623E2">
        <w:rPr>
          <w:rFonts w:eastAsia="Calibri"/>
          <w:iCs/>
          <w:szCs w:val="20"/>
        </w:rPr>
        <w:t xml:space="preserve">ICER </w:t>
      </w:r>
      <w:r w:rsidR="00C551D8">
        <w:rPr>
          <w:rFonts w:eastAsia="Calibri"/>
          <w:iCs/>
          <w:szCs w:val="20"/>
        </w:rPr>
        <w:t>of</w:t>
      </w:r>
      <w:r w:rsidRPr="00D623E2">
        <w:rPr>
          <w:rFonts w:eastAsia="Calibri"/>
          <w:iCs/>
          <w:szCs w:val="20"/>
        </w:rPr>
        <w:t xml:space="preserve"> </w:t>
      </w:r>
      <w:r w:rsidR="00702A8E" w:rsidRPr="00702A8E">
        <w:rPr>
          <w:rFonts w:eastAsia="Calibri"/>
          <w:iCs/>
          <w:szCs w:val="20"/>
        </w:rPr>
        <w:t>$45,000 to &lt; $55,000</w:t>
      </w:r>
      <w:r w:rsidR="00522947">
        <w:rPr>
          <w:rFonts w:eastAsia="Calibri"/>
          <w:iCs/>
          <w:szCs w:val="20"/>
        </w:rPr>
        <w:t>/QALY</w:t>
      </w:r>
      <w:r w:rsidRPr="00D623E2">
        <w:rPr>
          <w:rFonts w:eastAsia="Calibri"/>
          <w:iCs/>
          <w:szCs w:val="20"/>
        </w:rPr>
        <w:t xml:space="preserve"> to </w:t>
      </w:r>
      <w:r w:rsidR="00702A8E" w:rsidRPr="00702A8E">
        <w:rPr>
          <w:rFonts w:eastAsia="Calibri"/>
          <w:iCs/>
          <w:szCs w:val="20"/>
        </w:rPr>
        <w:t>$</w:t>
      </w:r>
      <w:r w:rsidR="00702A8E">
        <w:rPr>
          <w:rFonts w:eastAsia="Calibri"/>
          <w:iCs/>
          <w:szCs w:val="20"/>
        </w:rPr>
        <w:t>2</w:t>
      </w:r>
      <w:r w:rsidR="00702A8E" w:rsidRPr="00702A8E">
        <w:rPr>
          <w:rFonts w:eastAsia="Calibri"/>
          <w:iCs/>
          <w:szCs w:val="20"/>
        </w:rPr>
        <w:t>5,000 to &lt; $</w:t>
      </w:r>
      <w:r w:rsidR="00702A8E">
        <w:rPr>
          <w:rFonts w:eastAsia="Calibri"/>
          <w:iCs/>
          <w:szCs w:val="20"/>
        </w:rPr>
        <w:t>3</w:t>
      </w:r>
      <w:r w:rsidR="00702A8E" w:rsidRPr="00702A8E">
        <w:rPr>
          <w:rFonts w:eastAsia="Calibri"/>
          <w:iCs/>
          <w:szCs w:val="20"/>
        </w:rPr>
        <w:t>5,000</w:t>
      </w:r>
      <w:r w:rsidR="00522947">
        <w:rPr>
          <w:rFonts w:eastAsia="Calibri"/>
          <w:iCs/>
          <w:szCs w:val="20"/>
        </w:rPr>
        <w:t>/QALY</w:t>
      </w:r>
      <w:r w:rsidRPr="00D623E2">
        <w:rPr>
          <w:rFonts w:eastAsia="Calibri"/>
          <w:iCs/>
          <w:szCs w:val="20"/>
        </w:rPr>
        <w:t xml:space="preserve"> using unadjusted UFS-QoL utility values and </w:t>
      </w:r>
      <w:r w:rsidR="00702A8E" w:rsidRPr="00702A8E">
        <w:rPr>
          <w:rFonts w:eastAsia="Calibri"/>
          <w:iCs/>
          <w:szCs w:val="20"/>
        </w:rPr>
        <w:t>$75,000 to &lt; $95,000</w:t>
      </w:r>
      <w:r w:rsidR="00522947">
        <w:rPr>
          <w:rFonts w:eastAsia="Calibri"/>
          <w:iCs/>
          <w:szCs w:val="20"/>
        </w:rPr>
        <w:t>/QALY</w:t>
      </w:r>
      <w:r w:rsidRPr="00D623E2">
        <w:rPr>
          <w:rFonts w:eastAsia="Calibri"/>
          <w:iCs/>
          <w:szCs w:val="20"/>
        </w:rPr>
        <w:t xml:space="preserve"> using baseline-adjusted UFS-QoL utility values. </w:t>
      </w:r>
    </w:p>
    <w:p w14:paraId="7838D935" w14:textId="77777777" w:rsidR="002C0784" w:rsidRPr="00482A36" w:rsidRDefault="002C0784" w:rsidP="002C0784">
      <w:pPr>
        <w:pStyle w:val="4-SubsectionHeading"/>
      </w:pPr>
      <w:bookmarkStart w:id="72" w:name="_Toc22897646"/>
      <w:bookmarkStart w:id="73" w:name="_Toc107927632"/>
      <w:bookmarkStart w:id="74" w:name="_Toc167269206"/>
      <w:r w:rsidRPr="00482A36">
        <w:t>Drug cost/patient/year</w:t>
      </w:r>
      <w:bookmarkEnd w:id="72"/>
      <w:bookmarkEnd w:id="73"/>
      <w:bookmarkEnd w:id="74"/>
    </w:p>
    <w:p w14:paraId="4D64A222" w14:textId="6498E981" w:rsidR="00D35438" w:rsidRPr="00D35438" w:rsidRDefault="002C0784" w:rsidP="00D35438">
      <w:pPr>
        <w:pStyle w:val="3-BodyText"/>
        <w:rPr>
          <w:iCs/>
        </w:rPr>
      </w:pPr>
      <w:bookmarkStart w:id="75" w:name="_Ref104805102"/>
      <w:r w:rsidRPr="00482A36">
        <w:t>The submission estimated that the drug acquisition cost for linzagolix would be $</w:t>
      </w:r>
      <w:r w:rsidR="00474E21" w:rsidRPr="003E4FD0">
        <w:rPr>
          <w:color w:val="000000"/>
          <w:w w:val="15"/>
          <w:shd w:val="solid" w:color="000000" w:fill="000000"/>
          <w:fitText w:val="-20" w:id="-894212344"/>
          <w14:textFill>
            <w14:solidFill>
              <w14:srgbClr w14:val="000000">
                <w14:alpha w14:val="100000"/>
              </w14:srgbClr>
            </w14:solidFill>
          </w14:textFill>
        </w:rPr>
        <w:t xml:space="preserve">|  </w:t>
      </w:r>
      <w:r w:rsidR="00474E21" w:rsidRPr="003E4FD0">
        <w:rPr>
          <w:color w:val="000000"/>
          <w:spacing w:val="-69"/>
          <w:w w:val="15"/>
          <w:shd w:val="solid" w:color="000000" w:fill="000000"/>
          <w:fitText w:val="-20" w:id="-894212344"/>
          <w14:textFill>
            <w14:solidFill>
              <w14:srgbClr w14:val="000000">
                <w14:alpha w14:val="100000"/>
              </w14:srgbClr>
            </w14:solidFill>
          </w14:textFill>
        </w:rPr>
        <w:t>|</w:t>
      </w:r>
      <w:r w:rsidRPr="00482A36">
        <w:t xml:space="preserve"> per year, assuming an adherence rate of 98.7%. </w:t>
      </w:r>
      <w:r w:rsidR="00D35438">
        <w:t>F</w:t>
      </w:r>
      <w:r w:rsidR="00D35438" w:rsidRPr="00616367">
        <w:t xml:space="preserve">lat pricing </w:t>
      </w:r>
      <w:r w:rsidR="00D35438">
        <w:t>wa</w:t>
      </w:r>
      <w:r w:rsidR="00D35438" w:rsidRPr="00616367">
        <w:t>s proposed for the linzagolix 100 and 200 mg tablets.</w:t>
      </w:r>
      <w:r w:rsidR="00D35438" w:rsidRPr="00D35438">
        <w:rPr>
          <w:iCs/>
        </w:rPr>
        <w:t xml:space="preserve"> </w:t>
      </w:r>
      <w:r w:rsidRPr="00482A36">
        <w:t>A comparison of the drug cost estimated in the economic evaluation and in the financial analysis is presented in</w:t>
      </w:r>
      <w:r w:rsidR="00B36AA2" w:rsidRPr="00482A36">
        <w:t xml:space="preserve"> </w:t>
      </w:r>
      <w:r w:rsidR="00B36AA2" w:rsidRPr="00482A36">
        <w:fldChar w:fldCharType="begin"/>
      </w:r>
      <w:r w:rsidR="00B36AA2" w:rsidRPr="00482A36">
        <w:instrText xml:space="preserve"> REF _Ref165620288 \h  \* MERGEFORMAT </w:instrText>
      </w:r>
      <w:r w:rsidR="00B36AA2" w:rsidRPr="00482A36">
        <w:fldChar w:fldCharType="separate"/>
      </w:r>
      <w:r w:rsidR="003E4FD0" w:rsidRPr="003E4FD0">
        <w:t>Table 15</w:t>
      </w:r>
      <w:r w:rsidR="00B36AA2" w:rsidRPr="00482A36">
        <w:fldChar w:fldCharType="end"/>
      </w:r>
      <w:r w:rsidRPr="00482A36">
        <w:t>.</w:t>
      </w:r>
    </w:p>
    <w:p w14:paraId="52B5F879" w14:textId="7DC3C2C5" w:rsidR="002C0784" w:rsidRPr="00616367" w:rsidRDefault="00D35438" w:rsidP="00D35438">
      <w:pPr>
        <w:pStyle w:val="3-BodyText"/>
      </w:pPr>
      <w:r>
        <w:rPr>
          <w:iCs/>
        </w:rPr>
        <w:t>The cost per patient per year, based on the reduced DPMQ proposed in the pre-PBAC response is $</w:t>
      </w:r>
      <w:r w:rsidR="00474E21" w:rsidRPr="003E4FD0">
        <w:rPr>
          <w:iCs/>
          <w:color w:val="000000"/>
          <w:w w:val="15"/>
          <w:shd w:val="solid" w:color="000000" w:fill="000000"/>
          <w:fitText w:val="-20" w:id="-894212343"/>
          <w14:textFill>
            <w14:solidFill>
              <w14:srgbClr w14:val="000000">
                <w14:alpha w14:val="100000"/>
              </w14:srgbClr>
            </w14:solidFill>
          </w14:textFill>
        </w:rPr>
        <w:t xml:space="preserve">|  </w:t>
      </w:r>
      <w:r w:rsidR="00474E21" w:rsidRPr="003E4FD0">
        <w:rPr>
          <w:iCs/>
          <w:color w:val="000000"/>
          <w:spacing w:val="-69"/>
          <w:w w:val="15"/>
          <w:shd w:val="solid" w:color="000000" w:fill="000000"/>
          <w:fitText w:val="-20" w:id="-894212343"/>
          <w14:textFill>
            <w14:solidFill>
              <w14:srgbClr w14:val="000000">
                <w14:alpha w14:val="100000"/>
              </w14:srgbClr>
            </w14:solidFill>
          </w14:textFill>
        </w:rPr>
        <w:t>|</w:t>
      </w:r>
      <w:r>
        <w:rPr>
          <w:iCs/>
        </w:rPr>
        <w:t xml:space="preserve"> for the first year of treatment and $</w:t>
      </w:r>
      <w:r w:rsidR="00474E21" w:rsidRPr="003E4FD0">
        <w:rPr>
          <w:iCs/>
          <w:color w:val="000000"/>
          <w:w w:val="15"/>
          <w:shd w:val="solid" w:color="000000" w:fill="000000"/>
          <w:fitText w:val="-20" w:id="-894212342"/>
          <w14:textFill>
            <w14:solidFill>
              <w14:srgbClr w14:val="000000">
                <w14:alpha w14:val="100000"/>
              </w14:srgbClr>
            </w14:solidFill>
          </w14:textFill>
        </w:rPr>
        <w:t xml:space="preserve">|  </w:t>
      </w:r>
      <w:r w:rsidR="00474E21" w:rsidRPr="003E4FD0">
        <w:rPr>
          <w:iCs/>
          <w:color w:val="000000"/>
          <w:spacing w:val="-69"/>
          <w:w w:val="15"/>
          <w:shd w:val="solid" w:color="000000" w:fill="000000"/>
          <w:fitText w:val="-20" w:id="-894212342"/>
          <w14:textFill>
            <w14:solidFill>
              <w14:srgbClr w14:val="000000">
                <w14:alpha w14:val="100000"/>
              </w14:srgbClr>
            </w14:solidFill>
          </w14:textFill>
        </w:rPr>
        <w:t>|</w:t>
      </w:r>
      <w:r>
        <w:rPr>
          <w:iCs/>
        </w:rPr>
        <w:t xml:space="preserve"> thereafter, assuming 98.7% adherence after the first 6 months.</w:t>
      </w:r>
    </w:p>
    <w:p w14:paraId="2A0A1645" w14:textId="0985A476" w:rsidR="002C0784" w:rsidRPr="00482A36" w:rsidRDefault="002C0784" w:rsidP="00FF4A90">
      <w:pPr>
        <w:pStyle w:val="3-BodyText"/>
        <w:keepNext/>
        <w:numPr>
          <w:ilvl w:val="0"/>
          <w:numId w:val="0"/>
        </w:numPr>
        <w:spacing w:after="0"/>
        <w:rPr>
          <w:rStyle w:val="CommentReference"/>
          <w:szCs w:val="20"/>
        </w:rPr>
      </w:pPr>
      <w:bookmarkStart w:id="76" w:name="_Ref165620288"/>
      <w:r w:rsidRPr="00482A36">
        <w:rPr>
          <w:rFonts w:ascii="Arial Narrow" w:hAnsi="Arial Narrow"/>
          <w:b/>
          <w:bCs/>
          <w:sz w:val="20"/>
          <w:szCs w:val="20"/>
        </w:rPr>
        <w:lastRenderedPageBreak/>
        <w:t xml:space="preserve">Table </w:t>
      </w:r>
      <w:r w:rsidRPr="00482A36">
        <w:rPr>
          <w:rFonts w:ascii="Arial Narrow" w:hAnsi="Arial Narrow"/>
          <w:b/>
          <w:bCs/>
          <w:sz w:val="20"/>
          <w:szCs w:val="20"/>
        </w:rPr>
        <w:fldChar w:fldCharType="begin"/>
      </w:r>
      <w:r w:rsidRPr="00482A36">
        <w:rPr>
          <w:rFonts w:ascii="Arial Narrow" w:hAnsi="Arial Narrow"/>
          <w:b/>
          <w:bCs/>
          <w:sz w:val="20"/>
          <w:szCs w:val="20"/>
        </w:rPr>
        <w:instrText xml:space="preserve"> SEQ Table \* ARABIC </w:instrText>
      </w:r>
      <w:r w:rsidRPr="00482A36">
        <w:rPr>
          <w:rFonts w:ascii="Arial Narrow" w:hAnsi="Arial Narrow"/>
          <w:b/>
          <w:bCs/>
          <w:sz w:val="20"/>
          <w:szCs w:val="20"/>
        </w:rPr>
        <w:fldChar w:fldCharType="separate"/>
      </w:r>
      <w:r w:rsidR="003E4FD0">
        <w:rPr>
          <w:rFonts w:ascii="Arial Narrow" w:hAnsi="Arial Narrow"/>
          <w:b/>
          <w:bCs/>
          <w:noProof/>
          <w:sz w:val="20"/>
          <w:szCs w:val="20"/>
        </w:rPr>
        <w:t>15</w:t>
      </w:r>
      <w:r w:rsidRPr="00482A36">
        <w:rPr>
          <w:rFonts w:ascii="Arial Narrow" w:hAnsi="Arial Narrow"/>
          <w:b/>
          <w:bCs/>
          <w:sz w:val="20"/>
          <w:szCs w:val="20"/>
        </w:rPr>
        <w:fldChar w:fldCharType="end"/>
      </w:r>
      <w:bookmarkEnd w:id="76"/>
      <w:r w:rsidRPr="00482A36">
        <w:rPr>
          <w:rFonts w:ascii="Arial Narrow" w:hAnsi="Arial Narrow"/>
          <w:b/>
          <w:bCs/>
          <w:sz w:val="20"/>
          <w:szCs w:val="20"/>
        </w:rPr>
        <w:t>:</w:t>
      </w:r>
      <w:r w:rsidRPr="00482A36">
        <w:rPr>
          <w:rStyle w:val="CommentReference"/>
          <w:b w:val="0"/>
          <w:bCs/>
          <w:szCs w:val="20"/>
        </w:rPr>
        <w:t xml:space="preserve"> </w:t>
      </w:r>
      <w:r w:rsidRPr="00482A36">
        <w:rPr>
          <w:rStyle w:val="CommentReference"/>
          <w:szCs w:val="20"/>
        </w:rPr>
        <w:t>Drug cost per patient for LGX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LGX"/>
      </w:tblPr>
      <w:tblGrid>
        <w:gridCol w:w="1415"/>
        <w:gridCol w:w="2265"/>
        <w:gridCol w:w="2269"/>
        <w:gridCol w:w="3068"/>
      </w:tblGrid>
      <w:tr w:rsidR="002C0784" w:rsidRPr="00482A36" w14:paraId="4510B8C7" w14:textId="77777777" w:rsidTr="00FF4A90">
        <w:trPr>
          <w:cantSplit/>
          <w:tblHeader/>
        </w:trPr>
        <w:tc>
          <w:tcPr>
            <w:tcW w:w="785" w:type="pct"/>
            <w:shd w:val="clear" w:color="auto" w:fill="auto"/>
            <w:vAlign w:val="center"/>
          </w:tcPr>
          <w:p w14:paraId="60052683" w14:textId="77777777" w:rsidR="002C0784" w:rsidRPr="00482A36" w:rsidRDefault="002C0784" w:rsidP="00FF4A90">
            <w:pPr>
              <w:pStyle w:val="In-tableHeading"/>
              <w:jc w:val="center"/>
              <w:rPr>
                <w:lang w:val="en-AU"/>
              </w:rPr>
            </w:pPr>
          </w:p>
        </w:tc>
        <w:tc>
          <w:tcPr>
            <w:tcW w:w="1256" w:type="pct"/>
            <w:shd w:val="clear" w:color="auto" w:fill="auto"/>
            <w:vAlign w:val="center"/>
          </w:tcPr>
          <w:p w14:paraId="40A35A70" w14:textId="77777777" w:rsidR="002C0784" w:rsidRPr="00482A36" w:rsidRDefault="002C0784" w:rsidP="00FF4A90">
            <w:pPr>
              <w:pStyle w:val="In-tableHeading"/>
              <w:jc w:val="center"/>
              <w:rPr>
                <w:lang w:val="en-AU"/>
              </w:rPr>
            </w:pPr>
            <w:r w:rsidRPr="00482A36">
              <w:rPr>
                <w:lang w:val="en-AU"/>
              </w:rPr>
              <w:t>Trials</w:t>
            </w:r>
          </w:p>
        </w:tc>
        <w:tc>
          <w:tcPr>
            <w:tcW w:w="1258" w:type="pct"/>
            <w:shd w:val="clear" w:color="auto" w:fill="auto"/>
            <w:vAlign w:val="center"/>
          </w:tcPr>
          <w:p w14:paraId="55D15546" w14:textId="77777777" w:rsidR="002C0784" w:rsidRPr="00482A36" w:rsidRDefault="002C0784" w:rsidP="00FF4A90">
            <w:pPr>
              <w:pStyle w:val="In-tableHeading"/>
              <w:jc w:val="center"/>
              <w:rPr>
                <w:lang w:val="en-AU"/>
              </w:rPr>
            </w:pPr>
            <w:r w:rsidRPr="00482A36">
              <w:rPr>
                <w:lang w:val="en-AU"/>
              </w:rPr>
              <w:t>Model</w:t>
            </w:r>
          </w:p>
        </w:tc>
        <w:tc>
          <w:tcPr>
            <w:tcW w:w="1701" w:type="pct"/>
            <w:shd w:val="clear" w:color="auto" w:fill="auto"/>
            <w:vAlign w:val="center"/>
          </w:tcPr>
          <w:p w14:paraId="5AC14F6C" w14:textId="77777777" w:rsidR="002C0784" w:rsidRPr="00482A36" w:rsidRDefault="002C0784" w:rsidP="00FF4A90">
            <w:pPr>
              <w:pStyle w:val="In-tableHeading"/>
              <w:jc w:val="center"/>
              <w:rPr>
                <w:lang w:val="en-AU"/>
              </w:rPr>
            </w:pPr>
            <w:r w:rsidRPr="00482A36">
              <w:rPr>
                <w:lang w:val="en-AU"/>
              </w:rPr>
              <w:t>Financial estimates</w:t>
            </w:r>
          </w:p>
        </w:tc>
      </w:tr>
      <w:tr w:rsidR="002C0784" w:rsidRPr="00482A36" w14:paraId="4E4E86B6" w14:textId="77777777" w:rsidTr="00FF4A90">
        <w:trPr>
          <w:cantSplit/>
        </w:trPr>
        <w:tc>
          <w:tcPr>
            <w:tcW w:w="785" w:type="pct"/>
            <w:shd w:val="clear" w:color="auto" w:fill="auto"/>
            <w:vAlign w:val="center"/>
          </w:tcPr>
          <w:p w14:paraId="2D8D7C44" w14:textId="77777777" w:rsidR="002C0784" w:rsidRPr="00482A36" w:rsidRDefault="002C0784" w:rsidP="00FF4A90">
            <w:pPr>
              <w:pStyle w:val="TableText0"/>
            </w:pPr>
            <w:r w:rsidRPr="00482A36">
              <w:t>Mean dose</w:t>
            </w:r>
          </w:p>
        </w:tc>
        <w:tc>
          <w:tcPr>
            <w:tcW w:w="1256" w:type="pct"/>
            <w:shd w:val="clear" w:color="auto" w:fill="auto"/>
            <w:vAlign w:val="center"/>
          </w:tcPr>
          <w:p w14:paraId="27E50B9B" w14:textId="77777777" w:rsidR="002C0784" w:rsidRPr="00482A36" w:rsidRDefault="002C0784" w:rsidP="00FF4A90">
            <w:pPr>
              <w:pStyle w:val="TableText0"/>
              <w:jc w:val="center"/>
              <w:rPr>
                <w:bCs w:val="0"/>
              </w:rPr>
            </w:pPr>
            <w:r w:rsidRPr="00482A36">
              <w:rPr>
                <w:bCs w:val="0"/>
              </w:rPr>
              <w:t>100 or 200 mg/day</w:t>
            </w:r>
          </w:p>
        </w:tc>
        <w:tc>
          <w:tcPr>
            <w:tcW w:w="1258" w:type="pct"/>
            <w:shd w:val="clear" w:color="auto" w:fill="auto"/>
            <w:vAlign w:val="center"/>
          </w:tcPr>
          <w:p w14:paraId="18FAF70D" w14:textId="77777777" w:rsidR="002C0784" w:rsidRPr="00482A36" w:rsidRDefault="002C0784" w:rsidP="00FF4A90">
            <w:pPr>
              <w:pStyle w:val="TableText0"/>
              <w:jc w:val="center"/>
              <w:rPr>
                <w:bCs w:val="0"/>
              </w:rPr>
            </w:pPr>
            <w:r w:rsidRPr="00482A36">
              <w:rPr>
                <w:bCs w:val="0"/>
              </w:rPr>
              <w:t>200 mg/day</w:t>
            </w:r>
          </w:p>
        </w:tc>
        <w:tc>
          <w:tcPr>
            <w:tcW w:w="1701" w:type="pct"/>
            <w:shd w:val="clear" w:color="auto" w:fill="auto"/>
            <w:vAlign w:val="center"/>
          </w:tcPr>
          <w:p w14:paraId="6EE47AF9" w14:textId="77777777" w:rsidR="002C0784" w:rsidRPr="00482A36" w:rsidRDefault="002C0784" w:rsidP="00FF4A90">
            <w:pPr>
              <w:pStyle w:val="TableText0"/>
              <w:jc w:val="center"/>
              <w:rPr>
                <w:bCs w:val="0"/>
              </w:rPr>
            </w:pPr>
            <w:r w:rsidRPr="00482A36">
              <w:rPr>
                <w:bCs w:val="0"/>
              </w:rPr>
              <w:t>100 or 200 mg/day</w:t>
            </w:r>
          </w:p>
        </w:tc>
      </w:tr>
      <w:tr w:rsidR="002C0784" w:rsidRPr="00482A36" w14:paraId="23BCDA19" w14:textId="77777777" w:rsidTr="00FF4A90">
        <w:trPr>
          <w:cantSplit/>
        </w:trPr>
        <w:tc>
          <w:tcPr>
            <w:tcW w:w="785" w:type="pct"/>
            <w:shd w:val="clear" w:color="auto" w:fill="auto"/>
            <w:vAlign w:val="center"/>
          </w:tcPr>
          <w:p w14:paraId="3592CF75" w14:textId="77777777" w:rsidR="002C0784" w:rsidRPr="00482A36" w:rsidRDefault="002C0784" w:rsidP="00FF4A90">
            <w:pPr>
              <w:pStyle w:val="TableText0"/>
            </w:pPr>
            <w:r w:rsidRPr="00482A36">
              <w:t>Mean duration</w:t>
            </w:r>
          </w:p>
        </w:tc>
        <w:tc>
          <w:tcPr>
            <w:tcW w:w="1256" w:type="pct"/>
            <w:shd w:val="clear" w:color="auto" w:fill="auto"/>
            <w:vAlign w:val="center"/>
          </w:tcPr>
          <w:p w14:paraId="43436AE4" w14:textId="2B13CF72" w:rsidR="009F3293" w:rsidRDefault="009F3293" w:rsidP="00FF4A90">
            <w:pPr>
              <w:pStyle w:val="TableText0"/>
              <w:jc w:val="center"/>
              <w:rPr>
                <w:bCs w:val="0"/>
              </w:rPr>
            </w:pPr>
            <w:r>
              <w:rPr>
                <w:bCs w:val="0"/>
              </w:rPr>
              <w:t>≈ 24 months</w:t>
            </w:r>
          </w:p>
          <w:p w14:paraId="5C2D7F16" w14:textId="071171B2" w:rsidR="002C0784" w:rsidRPr="00482A36" w:rsidRDefault="002C0784" w:rsidP="00FF4A90">
            <w:pPr>
              <w:pStyle w:val="TableText0"/>
              <w:jc w:val="center"/>
              <w:rPr>
                <w:bCs w:val="0"/>
              </w:rPr>
            </w:pPr>
            <w:r w:rsidRPr="00482A36">
              <w:rPr>
                <w:bCs w:val="0"/>
              </w:rPr>
              <w:t>See Table 2.4.1 in Section 2</w:t>
            </w:r>
            <w:r w:rsidRPr="00482A36">
              <w:rPr>
                <w:bCs w:val="0"/>
                <w:vertAlign w:val="superscript"/>
              </w:rPr>
              <w:t>a</w:t>
            </w:r>
          </w:p>
        </w:tc>
        <w:tc>
          <w:tcPr>
            <w:tcW w:w="1258" w:type="pct"/>
            <w:shd w:val="clear" w:color="auto" w:fill="auto"/>
            <w:vAlign w:val="center"/>
          </w:tcPr>
          <w:p w14:paraId="5871690D" w14:textId="77777777" w:rsidR="002C0784" w:rsidRPr="00482A36" w:rsidRDefault="002C0784" w:rsidP="00FF4A90">
            <w:pPr>
              <w:pStyle w:val="TableText0"/>
              <w:jc w:val="center"/>
              <w:rPr>
                <w:bCs w:val="0"/>
              </w:rPr>
            </w:pPr>
            <w:r w:rsidRPr="00482A36">
              <w:rPr>
                <w:bCs w:val="0"/>
              </w:rPr>
              <w:t>43.38 months</w:t>
            </w:r>
          </w:p>
        </w:tc>
        <w:tc>
          <w:tcPr>
            <w:tcW w:w="1701" w:type="pct"/>
            <w:shd w:val="clear" w:color="auto" w:fill="auto"/>
            <w:vAlign w:val="center"/>
          </w:tcPr>
          <w:p w14:paraId="11D7ED72" w14:textId="32067A0C" w:rsidR="002C0784" w:rsidRPr="00482A36" w:rsidRDefault="002C0784" w:rsidP="00FF4A90">
            <w:pPr>
              <w:pStyle w:val="TableText0"/>
              <w:jc w:val="center"/>
              <w:rPr>
                <w:bCs w:val="0"/>
              </w:rPr>
            </w:pPr>
            <w:r w:rsidRPr="00482A36">
              <w:rPr>
                <w:bCs w:val="0"/>
              </w:rPr>
              <w:t>NE</w:t>
            </w:r>
            <w:r w:rsidR="00A71E93" w:rsidRPr="00A71E93">
              <w:rPr>
                <w:bCs w:val="0"/>
                <w:vertAlign w:val="superscript"/>
              </w:rPr>
              <w:t>b</w:t>
            </w:r>
          </w:p>
        </w:tc>
      </w:tr>
      <w:tr w:rsidR="002C0784" w:rsidRPr="00482A36" w14:paraId="2BD44773" w14:textId="77777777" w:rsidTr="00FF4A90">
        <w:trPr>
          <w:cantSplit/>
        </w:trPr>
        <w:tc>
          <w:tcPr>
            <w:tcW w:w="785" w:type="pct"/>
            <w:shd w:val="clear" w:color="auto" w:fill="auto"/>
            <w:vAlign w:val="center"/>
          </w:tcPr>
          <w:p w14:paraId="1F07C6F4" w14:textId="77777777" w:rsidR="002C0784" w:rsidRPr="00482A36" w:rsidRDefault="002C0784" w:rsidP="00FF4A90">
            <w:pPr>
              <w:pStyle w:val="TableText0"/>
            </w:pPr>
            <w:r w:rsidRPr="00482A36">
              <w:t>Cost/patient/year</w:t>
            </w:r>
          </w:p>
        </w:tc>
        <w:tc>
          <w:tcPr>
            <w:tcW w:w="1256" w:type="pct"/>
            <w:shd w:val="clear" w:color="auto" w:fill="auto"/>
            <w:vAlign w:val="center"/>
          </w:tcPr>
          <w:p w14:paraId="08683844" w14:textId="77777777" w:rsidR="002C0784" w:rsidRPr="00482A36" w:rsidRDefault="002C0784" w:rsidP="00FF4A90">
            <w:pPr>
              <w:pStyle w:val="TableText0"/>
              <w:jc w:val="center"/>
            </w:pPr>
            <w:r w:rsidRPr="00482A36">
              <w:t>-</w:t>
            </w:r>
          </w:p>
        </w:tc>
        <w:tc>
          <w:tcPr>
            <w:tcW w:w="1258" w:type="pct"/>
            <w:shd w:val="clear" w:color="auto" w:fill="auto"/>
            <w:vAlign w:val="center"/>
          </w:tcPr>
          <w:p w14:paraId="21432FF8" w14:textId="2DFCCA15" w:rsidR="002C0784" w:rsidRPr="00482A36" w:rsidRDefault="002C0784" w:rsidP="00644301">
            <w:pPr>
              <w:pStyle w:val="TableText0"/>
              <w:jc w:val="center"/>
            </w:pPr>
            <w:r w:rsidRPr="00482A36">
              <w:t>$</w:t>
            </w:r>
            <w:r w:rsidR="00474E21" w:rsidRPr="00474E21">
              <w:rPr>
                <w:color w:val="000000"/>
                <w:shd w:val="solid" w:color="000000" w:fill="000000"/>
                <w14:textFill>
                  <w14:solidFill>
                    <w14:srgbClr w14:val="000000">
                      <w14:alpha w14:val="100000"/>
                    </w14:srgbClr>
                  </w14:solidFill>
                </w14:textFill>
              </w:rPr>
              <w:t>|</w:t>
            </w:r>
          </w:p>
        </w:tc>
        <w:tc>
          <w:tcPr>
            <w:tcW w:w="1701" w:type="pct"/>
            <w:shd w:val="clear" w:color="auto" w:fill="auto"/>
            <w:vAlign w:val="center"/>
          </w:tcPr>
          <w:p w14:paraId="2993F777" w14:textId="2F4CB0A9" w:rsidR="002C0784" w:rsidRPr="00482A36" w:rsidRDefault="002C0784" w:rsidP="00FF4A90">
            <w:pPr>
              <w:pStyle w:val="TableText0"/>
              <w:jc w:val="center"/>
            </w:pPr>
            <w:r w:rsidRPr="00482A36">
              <w:t>$</w:t>
            </w:r>
            <w:r w:rsidR="00474E21" w:rsidRPr="00474E21">
              <w:rPr>
                <w:rFonts w:hint="eastAsia"/>
                <w:color w:val="000000"/>
                <w:w w:val="22"/>
                <w:shd w:val="solid" w:color="000000" w:fill="000000"/>
                <w:fitText w:val="100" w:id="-894212341"/>
                <w14:textFill>
                  <w14:solidFill>
                    <w14:srgbClr w14:val="000000">
                      <w14:alpha w14:val="100000"/>
                    </w14:srgbClr>
                  </w14:solidFill>
                </w14:textFill>
              </w:rPr>
              <w:t xml:space="preserve">　</w:t>
            </w:r>
            <w:r w:rsidR="00474E21" w:rsidRPr="00474E21">
              <w:rPr>
                <w:color w:val="000000"/>
                <w:w w:val="22"/>
                <w:shd w:val="solid" w:color="000000" w:fill="000000"/>
                <w:fitText w:val="100" w:id="-894212341"/>
                <w14:textFill>
                  <w14:solidFill>
                    <w14:srgbClr w14:val="000000">
                      <w14:alpha w14:val="100000"/>
                    </w14:srgbClr>
                  </w14:solidFill>
                </w14:textFill>
              </w:rPr>
              <w:t>|</w:t>
            </w:r>
            <w:r w:rsidR="00474E21" w:rsidRPr="00474E21">
              <w:rPr>
                <w:rFonts w:hint="eastAsia"/>
                <w:color w:val="000000"/>
                <w:spacing w:val="3"/>
                <w:w w:val="22"/>
                <w:shd w:val="solid" w:color="000000" w:fill="000000"/>
                <w:fitText w:val="100" w:id="-894212341"/>
                <w14:textFill>
                  <w14:solidFill>
                    <w14:srgbClr w14:val="000000">
                      <w14:alpha w14:val="100000"/>
                    </w14:srgbClr>
                  </w14:solidFill>
                </w14:textFill>
              </w:rPr>
              <w:t xml:space="preserve">　</w:t>
            </w:r>
            <w:r w:rsidRPr="00482A36">
              <w:t xml:space="preserve"> per year (for first 6 months)</w:t>
            </w:r>
          </w:p>
          <w:p w14:paraId="2C8956D0" w14:textId="29576474" w:rsidR="002C0784" w:rsidRPr="00482A36" w:rsidRDefault="002C0784" w:rsidP="00FF4A90">
            <w:pPr>
              <w:pStyle w:val="TableText0"/>
              <w:jc w:val="center"/>
            </w:pPr>
            <w:r w:rsidRPr="00482A36">
              <w:t>$</w:t>
            </w:r>
            <w:r w:rsidR="00474E21" w:rsidRPr="00474E21">
              <w:rPr>
                <w:rFonts w:hint="eastAsia"/>
                <w:color w:val="000000"/>
                <w:w w:val="31"/>
                <w:shd w:val="solid" w:color="000000" w:fill="000000"/>
                <w:fitText w:val="140" w:id="-894212340"/>
                <w14:textFill>
                  <w14:solidFill>
                    <w14:srgbClr w14:val="000000">
                      <w14:alpha w14:val="100000"/>
                    </w14:srgbClr>
                  </w14:solidFill>
                </w14:textFill>
              </w:rPr>
              <w:t xml:space="preserve">　</w:t>
            </w:r>
            <w:r w:rsidR="00474E21" w:rsidRPr="00474E21">
              <w:rPr>
                <w:color w:val="000000"/>
                <w:w w:val="31"/>
                <w:shd w:val="solid" w:color="000000" w:fill="000000"/>
                <w:fitText w:val="140" w:id="-894212340"/>
                <w14:textFill>
                  <w14:solidFill>
                    <w14:srgbClr w14:val="000000">
                      <w14:alpha w14:val="100000"/>
                    </w14:srgbClr>
                  </w14:solidFill>
                </w14:textFill>
              </w:rPr>
              <w:t>|</w:t>
            </w:r>
            <w:r w:rsidR="00474E21" w:rsidRPr="00474E21">
              <w:rPr>
                <w:rFonts w:hint="eastAsia"/>
                <w:color w:val="000000"/>
                <w:spacing w:val="4"/>
                <w:w w:val="31"/>
                <w:shd w:val="solid" w:color="000000" w:fill="000000"/>
                <w:fitText w:val="140" w:id="-894212340"/>
                <w14:textFill>
                  <w14:solidFill>
                    <w14:srgbClr w14:val="000000">
                      <w14:alpha w14:val="100000"/>
                    </w14:srgbClr>
                  </w14:solidFill>
                </w14:textFill>
              </w:rPr>
              <w:t xml:space="preserve">　</w:t>
            </w:r>
            <w:r w:rsidRPr="00482A36">
              <w:t xml:space="preserve"> per year after first 6 months</w:t>
            </w:r>
            <w:r w:rsidRPr="00482A36">
              <w:rPr>
                <w:vertAlign w:val="superscript"/>
              </w:rPr>
              <w:t>b</w:t>
            </w:r>
          </w:p>
        </w:tc>
      </w:tr>
    </w:tbl>
    <w:p w14:paraId="09C5D11C" w14:textId="77777777" w:rsidR="002C0784" w:rsidRPr="00616367" w:rsidRDefault="002C0784" w:rsidP="00FF4A90">
      <w:pPr>
        <w:pStyle w:val="FooterTableFigure"/>
        <w:keepNext/>
        <w:rPr>
          <w:iCs/>
        </w:rPr>
      </w:pPr>
      <w:r w:rsidRPr="00482A36">
        <w:t xml:space="preserve">Source: </w:t>
      </w:r>
      <w:r w:rsidRPr="00616367">
        <w:rPr>
          <w:iCs/>
        </w:rPr>
        <w:t>compiled during the evaluation from Section 3 and financial models.</w:t>
      </w:r>
    </w:p>
    <w:p w14:paraId="04F3D9D8" w14:textId="77777777" w:rsidR="002C0784" w:rsidRPr="00616367" w:rsidRDefault="002C0784" w:rsidP="00FF4A90">
      <w:pPr>
        <w:pStyle w:val="FooterTableFigure"/>
        <w:keepNext/>
        <w:rPr>
          <w:iCs/>
        </w:rPr>
      </w:pPr>
      <w:r w:rsidRPr="00616367">
        <w:rPr>
          <w:iCs/>
        </w:rPr>
        <w:t>LGX = linzagolix; NE = not estimated.</w:t>
      </w:r>
    </w:p>
    <w:p w14:paraId="19F8EF90" w14:textId="21E98480" w:rsidR="002C0784" w:rsidRPr="00616367" w:rsidRDefault="002C0784" w:rsidP="00FF4A90">
      <w:pPr>
        <w:pStyle w:val="FooterTableFigure"/>
        <w:keepNext/>
        <w:ind w:left="165" w:hanging="165"/>
        <w:rPr>
          <w:iCs/>
        </w:rPr>
      </w:pPr>
      <w:bookmarkStart w:id="77" w:name="_Toc22897647"/>
      <w:bookmarkStart w:id="78" w:name="_Toc107927633"/>
      <w:bookmarkEnd w:id="75"/>
      <w:r w:rsidRPr="00616367">
        <w:rPr>
          <w:iCs/>
          <w:vertAlign w:val="superscript"/>
        </w:rPr>
        <w:t>a</w:t>
      </w:r>
      <w:r w:rsidRPr="00616367">
        <w:rPr>
          <w:iCs/>
        </w:rPr>
        <w:tab/>
        <w:t>The treatment duration at which the primary efficacy outcome was measured was 24 weeks. The maximum duration of treatment in the trials was 52 weeks.</w:t>
      </w:r>
    </w:p>
    <w:p w14:paraId="4E31E9DB" w14:textId="209C5E13" w:rsidR="00A71E93" w:rsidRPr="00616367" w:rsidRDefault="00A71E93" w:rsidP="00C644ED">
      <w:pPr>
        <w:pStyle w:val="FooterTableFigure"/>
        <w:ind w:left="165" w:hanging="165"/>
        <w:rPr>
          <w:iCs/>
        </w:rPr>
      </w:pPr>
      <w:r w:rsidRPr="00616367">
        <w:rPr>
          <w:iCs/>
          <w:vertAlign w:val="superscript"/>
        </w:rPr>
        <w:t>b</w:t>
      </w:r>
      <w:r w:rsidRPr="00616367">
        <w:rPr>
          <w:iCs/>
        </w:rPr>
        <w:tab/>
        <w:t>The financial estimates assumed ongoing LGX treatment for responders at 6 months, and an annual discontinuation rate of 5% was applied to responders.</w:t>
      </w:r>
    </w:p>
    <w:p w14:paraId="7E0B34B6" w14:textId="41C6D295" w:rsidR="002C0784" w:rsidRDefault="00A71E93" w:rsidP="002C0784">
      <w:pPr>
        <w:pStyle w:val="FooterTableFigure"/>
        <w:rPr>
          <w:iCs/>
        </w:rPr>
      </w:pPr>
      <w:r w:rsidRPr="00616367">
        <w:rPr>
          <w:iCs/>
          <w:vertAlign w:val="superscript"/>
        </w:rPr>
        <w:t>c</w:t>
      </w:r>
      <w:r w:rsidR="002C0784" w:rsidRPr="00616367">
        <w:rPr>
          <w:iCs/>
        </w:rPr>
        <w:tab/>
        <w:t>The financial model assumed 100% adherence in the first 6 months of LGX treatment and 98.7% adherence after the first 6 months.</w:t>
      </w:r>
    </w:p>
    <w:p w14:paraId="0EF21C50" w14:textId="77777777" w:rsidR="002C0784" w:rsidRPr="00482A36" w:rsidRDefault="002C0784" w:rsidP="002C0784">
      <w:pPr>
        <w:pStyle w:val="4-SubsectionHeading"/>
      </w:pPr>
      <w:bookmarkStart w:id="79" w:name="_Toc167269207"/>
      <w:r w:rsidRPr="00482A36">
        <w:t>Estimated PBS usage &amp; financial implications</w:t>
      </w:r>
      <w:bookmarkEnd w:id="77"/>
      <w:bookmarkEnd w:id="78"/>
      <w:bookmarkEnd w:id="79"/>
    </w:p>
    <w:p w14:paraId="4EE0A678" w14:textId="40EE83F2" w:rsidR="00713AF8" w:rsidRPr="00482A36" w:rsidRDefault="00713AF8" w:rsidP="00713AF8">
      <w:pPr>
        <w:pStyle w:val="3-BodyText"/>
      </w:pPr>
      <w:bookmarkStart w:id="80" w:name="_Toc22897649"/>
      <w:bookmarkStart w:id="81" w:name="_Toc107927635"/>
      <w:bookmarkStart w:id="82" w:name="_Toc167269209"/>
      <w:r w:rsidRPr="00482A36">
        <w:t xml:space="preserve">This submission </w:t>
      </w:r>
      <w:r w:rsidR="00EA72BD">
        <w:t>was</w:t>
      </w:r>
      <w:r w:rsidRPr="00482A36">
        <w:t xml:space="preserve"> considered by DUSC.</w:t>
      </w:r>
    </w:p>
    <w:p w14:paraId="1B5F3651" w14:textId="77777777" w:rsidR="00713AF8" w:rsidRPr="00482A36" w:rsidRDefault="00713AF8" w:rsidP="00713AF8">
      <w:pPr>
        <w:pStyle w:val="3-BodyText"/>
      </w:pPr>
      <w:r w:rsidRPr="00482A36">
        <w:t>The submission estimated the financial implications of the proposed listing using an epidemiological approach.</w:t>
      </w:r>
    </w:p>
    <w:p w14:paraId="2EB38A68" w14:textId="5AE3376A" w:rsidR="00713AF8" w:rsidRPr="00482A36" w:rsidRDefault="00713AF8" w:rsidP="00FF4A90">
      <w:pPr>
        <w:pStyle w:val="Caption"/>
        <w:keepNext w:val="0"/>
        <w:rPr>
          <w:rStyle w:val="CommentReference"/>
          <w:b/>
          <w:szCs w:val="24"/>
        </w:rPr>
      </w:pPr>
      <w:bookmarkStart w:id="83" w:name="_Ref104805262"/>
      <w:r w:rsidRPr="00482A36">
        <w:t xml:space="preserve">Table </w:t>
      </w:r>
      <w:r w:rsidR="00747D8C">
        <w:fldChar w:fldCharType="begin"/>
      </w:r>
      <w:r w:rsidR="00747D8C">
        <w:instrText xml:space="preserve"> SEQ Table \* ARABIC </w:instrText>
      </w:r>
      <w:r w:rsidR="00747D8C">
        <w:fldChar w:fldCharType="separate"/>
      </w:r>
      <w:r w:rsidR="003E4FD0">
        <w:rPr>
          <w:noProof/>
        </w:rPr>
        <w:t>16</w:t>
      </w:r>
      <w:r w:rsidR="00747D8C">
        <w:rPr>
          <w:noProof/>
        </w:rPr>
        <w:fldChar w:fldCharType="end"/>
      </w:r>
      <w:bookmarkEnd w:id="83"/>
      <w:r w:rsidRPr="00482A36">
        <w:t>:</w:t>
      </w:r>
      <w:r w:rsidRPr="00482A36">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713"/>
        <w:gridCol w:w="3102"/>
        <w:gridCol w:w="4202"/>
      </w:tblGrid>
      <w:tr w:rsidR="00713AF8" w:rsidRPr="00482A36" w14:paraId="1B912331" w14:textId="77777777" w:rsidTr="00C5237A">
        <w:trPr>
          <w:tblHeader/>
        </w:trPr>
        <w:tc>
          <w:tcPr>
            <w:tcW w:w="950" w:type="pct"/>
            <w:shd w:val="clear" w:color="auto" w:fill="auto"/>
            <w:vAlign w:val="center"/>
          </w:tcPr>
          <w:p w14:paraId="38D18E79" w14:textId="77777777" w:rsidR="00713AF8" w:rsidRPr="00482A36" w:rsidRDefault="00713AF8" w:rsidP="00FF4A90">
            <w:pPr>
              <w:pStyle w:val="In-tableHeading"/>
              <w:keepNext w:val="0"/>
              <w:keepLines/>
              <w:rPr>
                <w:lang w:val="en-AU"/>
              </w:rPr>
            </w:pPr>
            <w:r w:rsidRPr="00482A36">
              <w:rPr>
                <w:lang w:val="en-AU"/>
              </w:rPr>
              <w:t>Parameter</w:t>
            </w:r>
          </w:p>
        </w:tc>
        <w:tc>
          <w:tcPr>
            <w:tcW w:w="1720" w:type="pct"/>
            <w:shd w:val="clear" w:color="auto" w:fill="auto"/>
            <w:vAlign w:val="center"/>
          </w:tcPr>
          <w:p w14:paraId="5A5397DD" w14:textId="77777777" w:rsidR="00713AF8" w:rsidRPr="00482A36" w:rsidRDefault="00713AF8" w:rsidP="00FF4A90">
            <w:pPr>
              <w:pStyle w:val="In-tableHeading"/>
              <w:keepNext w:val="0"/>
              <w:keepLines/>
              <w:rPr>
                <w:lang w:val="en-AU"/>
              </w:rPr>
            </w:pPr>
            <w:r w:rsidRPr="00482A36">
              <w:rPr>
                <w:lang w:val="en-AU"/>
              </w:rPr>
              <w:t>Value applied and source</w:t>
            </w:r>
          </w:p>
        </w:tc>
        <w:tc>
          <w:tcPr>
            <w:tcW w:w="2330" w:type="pct"/>
            <w:shd w:val="clear" w:color="auto" w:fill="auto"/>
            <w:vAlign w:val="center"/>
          </w:tcPr>
          <w:p w14:paraId="53F5E64E" w14:textId="77777777" w:rsidR="00713AF8" w:rsidRPr="00482A36" w:rsidRDefault="00713AF8" w:rsidP="00FF4A90">
            <w:pPr>
              <w:pStyle w:val="In-tableHeading"/>
              <w:keepNext w:val="0"/>
              <w:keepLines/>
              <w:rPr>
                <w:lang w:val="en-AU"/>
              </w:rPr>
            </w:pPr>
            <w:r w:rsidRPr="00482A36">
              <w:rPr>
                <w:lang w:val="en-AU"/>
              </w:rPr>
              <w:t>Comment</w:t>
            </w:r>
          </w:p>
        </w:tc>
      </w:tr>
      <w:tr w:rsidR="00713AF8" w:rsidRPr="00713AF8" w14:paraId="6D4D0832" w14:textId="77777777" w:rsidTr="00C5237A">
        <w:tc>
          <w:tcPr>
            <w:tcW w:w="950" w:type="pct"/>
            <w:shd w:val="clear" w:color="auto" w:fill="FFFFFF" w:themeFill="background1"/>
          </w:tcPr>
          <w:p w14:paraId="29FFD503" w14:textId="77777777" w:rsidR="00713AF8" w:rsidRPr="00713AF8" w:rsidRDefault="00713AF8" w:rsidP="00FF4A90">
            <w:pPr>
              <w:pStyle w:val="TableText0"/>
              <w:keepNext w:val="0"/>
              <w:keepLines/>
            </w:pPr>
            <w:r w:rsidRPr="00713AF8">
              <w:rPr>
                <w:szCs w:val="20"/>
              </w:rPr>
              <w:t>Australian women aged 30-51 years</w:t>
            </w:r>
          </w:p>
        </w:tc>
        <w:tc>
          <w:tcPr>
            <w:tcW w:w="1720" w:type="pct"/>
            <w:shd w:val="clear" w:color="auto" w:fill="FFFFFF" w:themeFill="background1"/>
          </w:tcPr>
          <w:p w14:paraId="569B8F22"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Yr 1 (2025): 4,199,477</w:t>
            </w:r>
          </w:p>
          <w:p w14:paraId="28CEEA4A"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Yr 2: 4,265,871</w:t>
            </w:r>
          </w:p>
          <w:p w14:paraId="24FED1AE"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Yr 3: 4,336,832</w:t>
            </w:r>
          </w:p>
          <w:p w14:paraId="5EBECDE9"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Yr 4: 4,408,334</w:t>
            </w:r>
          </w:p>
          <w:p w14:paraId="58EE4B58"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Yr 5: 4,480,742</w:t>
            </w:r>
          </w:p>
          <w:p w14:paraId="48CD57CB" w14:textId="77777777" w:rsidR="00713AF8" w:rsidRPr="00713AF8" w:rsidRDefault="00713AF8" w:rsidP="00FF4A90">
            <w:pPr>
              <w:pStyle w:val="TableText0"/>
              <w:keepNext w:val="0"/>
              <w:keepLines/>
              <w:rPr>
                <w:szCs w:val="20"/>
              </w:rPr>
            </w:pPr>
            <w:r w:rsidRPr="00713AF8">
              <w:rPr>
                <w:szCs w:val="20"/>
              </w:rPr>
              <w:t>Yr 6: 4,552,408</w:t>
            </w:r>
          </w:p>
          <w:p w14:paraId="08ADE502" w14:textId="77777777" w:rsidR="00713AF8" w:rsidRPr="00713AF8" w:rsidRDefault="00713AF8" w:rsidP="00FF4A90">
            <w:pPr>
              <w:pStyle w:val="TableText0"/>
              <w:keepNext w:val="0"/>
              <w:keepLines/>
            </w:pPr>
            <w:r w:rsidRPr="00713AF8">
              <w:rPr>
                <w:szCs w:val="20"/>
              </w:rPr>
              <w:t>ABS 2023b</w:t>
            </w:r>
          </w:p>
        </w:tc>
        <w:tc>
          <w:tcPr>
            <w:tcW w:w="2330" w:type="pct"/>
            <w:shd w:val="clear" w:color="auto" w:fill="auto"/>
            <w:vAlign w:val="center"/>
          </w:tcPr>
          <w:p w14:paraId="12374489" w14:textId="1948B5A8" w:rsidR="00713AF8" w:rsidRPr="00713AF8" w:rsidRDefault="008B41E3" w:rsidP="00FF4A90">
            <w:pPr>
              <w:pStyle w:val="TableText0"/>
              <w:keepNext w:val="0"/>
              <w:keepLines/>
            </w:pPr>
            <w:r>
              <w:rPr>
                <w:szCs w:val="20"/>
              </w:rPr>
              <w:t>The evaluation and DUSC considered this</w:t>
            </w:r>
            <w:r w:rsidRPr="00713AF8">
              <w:rPr>
                <w:szCs w:val="20"/>
              </w:rPr>
              <w:t xml:space="preserve"> </w:t>
            </w:r>
            <w:r w:rsidR="00713AF8" w:rsidRPr="00713AF8">
              <w:rPr>
                <w:szCs w:val="20"/>
              </w:rPr>
              <w:t xml:space="preserve">was likely an underestimate, as the submission assumed only women aged 30-51 years would be eligible for treatment. The proposed TGA indication and the requested listing is for adult women (from 18 years) of reproductive age. In the PRIMROSE trials, women as young as 20 years were recruited. </w:t>
            </w:r>
            <w:r>
              <w:rPr>
                <w:szCs w:val="20"/>
              </w:rPr>
              <w:t>DUSC also noted that Australia has one of the highest hysterectomy rates in the world, with 50% due to fibroids, including younger patients. DUSC considered the need for patients to have trialled other</w:t>
            </w:r>
            <w:r w:rsidR="00621BE2">
              <w:rPr>
                <w:szCs w:val="20"/>
              </w:rPr>
              <w:t xml:space="preserve"> treatments and the</w:t>
            </w:r>
            <w:r>
              <w:rPr>
                <w:szCs w:val="20"/>
              </w:rPr>
              <w:t xml:space="preserve"> potential for use in </w:t>
            </w:r>
            <w:r w:rsidR="00621BE2">
              <w:rPr>
                <w:szCs w:val="20"/>
              </w:rPr>
              <w:t xml:space="preserve">fertility treatment should be considered </w:t>
            </w:r>
            <w:proofErr w:type="gramStart"/>
            <w:r w:rsidR="00621BE2">
              <w:rPr>
                <w:szCs w:val="20"/>
              </w:rPr>
              <w:t>with regard to</w:t>
            </w:r>
            <w:proofErr w:type="gramEnd"/>
            <w:r w:rsidR="00621BE2">
              <w:rPr>
                <w:szCs w:val="20"/>
              </w:rPr>
              <w:t xml:space="preserve"> the age of patients included in the estimates.</w:t>
            </w:r>
          </w:p>
        </w:tc>
      </w:tr>
      <w:tr w:rsidR="00713AF8" w:rsidRPr="00713AF8" w14:paraId="5C182EB4" w14:textId="77777777" w:rsidTr="00C5237A">
        <w:tc>
          <w:tcPr>
            <w:tcW w:w="950" w:type="pct"/>
            <w:shd w:val="clear" w:color="auto" w:fill="FFFFFF" w:themeFill="background1"/>
          </w:tcPr>
          <w:p w14:paraId="3F404A7E" w14:textId="77777777" w:rsidR="00713AF8" w:rsidRPr="00713AF8" w:rsidRDefault="00713AF8" w:rsidP="00FF4A90">
            <w:pPr>
              <w:pStyle w:val="TableText0"/>
              <w:keepNext w:val="0"/>
              <w:keepLines/>
            </w:pPr>
            <w:r w:rsidRPr="00713AF8">
              <w:rPr>
                <w:szCs w:val="20"/>
              </w:rPr>
              <w:t>Proportion with moderate to severe symptoms of UFs</w:t>
            </w:r>
          </w:p>
        </w:tc>
        <w:tc>
          <w:tcPr>
            <w:tcW w:w="1720" w:type="pct"/>
            <w:shd w:val="clear" w:color="auto" w:fill="FFFFFF" w:themeFill="background1"/>
          </w:tcPr>
          <w:p w14:paraId="2076A602" w14:textId="77777777" w:rsidR="00713AF8" w:rsidRPr="00713AF8" w:rsidRDefault="00713AF8" w:rsidP="00FF4A90">
            <w:pPr>
              <w:pStyle w:val="TableText0"/>
              <w:keepNext w:val="0"/>
              <w:keepLines/>
              <w:rPr>
                <w:szCs w:val="20"/>
              </w:rPr>
            </w:pPr>
            <w:r w:rsidRPr="00713AF8">
              <w:rPr>
                <w:szCs w:val="20"/>
              </w:rPr>
              <w:t>8.35%</w:t>
            </w:r>
          </w:p>
          <w:p w14:paraId="02CB533A"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 xml:space="preserve">Mid-point prevalence </w:t>
            </w:r>
          </w:p>
          <w:p w14:paraId="4D4489E6" w14:textId="77777777" w:rsidR="00713AF8" w:rsidRPr="00713AF8" w:rsidRDefault="00713AF8" w:rsidP="00FF4A90">
            <w:pPr>
              <w:pStyle w:val="TableText0"/>
              <w:keepNext w:val="0"/>
              <w:keepLines/>
            </w:pPr>
            <w:r w:rsidRPr="00713AF8">
              <w:rPr>
                <w:szCs w:val="20"/>
              </w:rPr>
              <w:t>estimate from UK prevalence of 12.2% and 4.5%, from Downes 2010 and Zimmermann 2012, respectively.</w:t>
            </w:r>
          </w:p>
        </w:tc>
        <w:tc>
          <w:tcPr>
            <w:tcW w:w="2330" w:type="pct"/>
            <w:shd w:val="clear" w:color="auto" w:fill="auto"/>
          </w:tcPr>
          <w:p w14:paraId="7B137733"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The prevalence of UFs varied among different studies and countries, and across different racial/ethnic demographics. The prevalence of UFs ranged from 11.7% in France up to 23.6% in Italy from Table 1 of Downes 2010.</w:t>
            </w:r>
          </w:p>
          <w:p w14:paraId="34D0E92C" w14:textId="77777777" w:rsidR="00713AF8" w:rsidRPr="00713AF8" w:rsidRDefault="00713AF8" w:rsidP="00FF4A90">
            <w:pPr>
              <w:keepLines/>
              <w:jc w:val="left"/>
              <w:rPr>
                <w:rFonts w:ascii="Arial Narrow" w:eastAsiaTheme="majorEastAsia" w:hAnsi="Arial Narrow" w:cstheme="majorBidi"/>
                <w:bCs/>
                <w:sz w:val="20"/>
                <w:szCs w:val="20"/>
              </w:rPr>
            </w:pPr>
          </w:p>
          <w:p w14:paraId="4D8E0A63" w14:textId="77777777" w:rsidR="00713AF8" w:rsidRPr="00713AF8" w:rsidRDefault="00713AF8" w:rsidP="00FF4A90">
            <w:pPr>
              <w:keepLines/>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 xml:space="preserve">In considering the financial implications for ulipristal for UFs, DUSC considered the applicability of the prevalence of 7% to the Australian population was uncertain. (para 6.45, ulipristal acetate PSD, July 2016 PBAC Meeting). </w:t>
            </w:r>
          </w:p>
          <w:p w14:paraId="5D3143CA" w14:textId="77777777" w:rsidR="00713AF8" w:rsidRPr="00713AF8" w:rsidRDefault="00713AF8" w:rsidP="00FF4A90">
            <w:pPr>
              <w:keepLines/>
              <w:jc w:val="left"/>
              <w:rPr>
                <w:rFonts w:ascii="Arial Narrow" w:eastAsiaTheme="majorEastAsia" w:hAnsi="Arial Narrow" w:cstheme="majorBidi"/>
                <w:bCs/>
                <w:sz w:val="20"/>
                <w:szCs w:val="20"/>
              </w:rPr>
            </w:pPr>
          </w:p>
          <w:p w14:paraId="460295B1" w14:textId="29A8EC19" w:rsidR="00713AF8" w:rsidRPr="00713AF8" w:rsidRDefault="00621BE2" w:rsidP="00FF4A90">
            <w:pPr>
              <w:keepLines/>
              <w:jc w:val="left"/>
            </w:pPr>
            <w:r>
              <w:rPr>
                <w:rFonts w:ascii="Arial Narrow" w:eastAsiaTheme="majorEastAsia" w:hAnsi="Arial Narrow" w:cstheme="majorBidi"/>
                <w:bCs/>
                <w:sz w:val="20"/>
                <w:szCs w:val="20"/>
              </w:rPr>
              <w:t>The evaluation and DUSC considered in Australian the proportion</w:t>
            </w:r>
            <w:r w:rsidR="00713AF8" w:rsidRPr="00713AF8">
              <w:rPr>
                <w:rFonts w:ascii="Arial Narrow" w:eastAsiaTheme="majorEastAsia" w:hAnsi="Arial Narrow" w:cstheme="majorBidi"/>
                <w:bCs/>
                <w:sz w:val="20"/>
                <w:szCs w:val="20"/>
              </w:rPr>
              <w:t xml:space="preserve"> could be higher than the 8.35% assumed in the financial estimates. </w:t>
            </w:r>
          </w:p>
          <w:p w14:paraId="6C35840F" w14:textId="77777777" w:rsidR="00713AF8" w:rsidRPr="00713AF8" w:rsidRDefault="00713AF8" w:rsidP="00FF4A90">
            <w:pPr>
              <w:pStyle w:val="TableText0"/>
              <w:keepNext w:val="0"/>
              <w:keepLines/>
            </w:pPr>
            <w:r w:rsidRPr="00713AF8">
              <w:rPr>
                <w:szCs w:val="20"/>
              </w:rPr>
              <w:t>Additional sensitivity analysis assuming a 25% prevalence was conducted during the evaluation.</w:t>
            </w:r>
          </w:p>
        </w:tc>
      </w:tr>
      <w:tr w:rsidR="00713AF8" w:rsidRPr="00713AF8" w14:paraId="44780227" w14:textId="77777777" w:rsidTr="00C5237A">
        <w:tc>
          <w:tcPr>
            <w:tcW w:w="950" w:type="pct"/>
            <w:shd w:val="clear" w:color="auto" w:fill="FFFFFF" w:themeFill="background1"/>
          </w:tcPr>
          <w:p w14:paraId="26C4A7F4" w14:textId="77777777" w:rsidR="00713AF8" w:rsidRPr="00713AF8" w:rsidRDefault="00713AF8" w:rsidP="00F3401C">
            <w:pPr>
              <w:pStyle w:val="TableText0"/>
              <w:rPr>
                <w:szCs w:val="20"/>
              </w:rPr>
            </w:pPr>
            <w:r w:rsidRPr="00713AF8">
              <w:rPr>
                <w:szCs w:val="20"/>
              </w:rPr>
              <w:lastRenderedPageBreak/>
              <w:t>Proportion receiving treatment for UFs</w:t>
            </w:r>
          </w:p>
        </w:tc>
        <w:tc>
          <w:tcPr>
            <w:tcW w:w="1720" w:type="pct"/>
            <w:shd w:val="clear" w:color="auto" w:fill="FFFFFF" w:themeFill="background1"/>
          </w:tcPr>
          <w:p w14:paraId="616BF915" w14:textId="77777777" w:rsidR="00713AF8" w:rsidRPr="00713AF8" w:rsidRDefault="00713AF8" w:rsidP="00F3401C">
            <w:pPr>
              <w:pStyle w:val="TableText0"/>
              <w:rPr>
                <w:szCs w:val="20"/>
              </w:rPr>
            </w:pPr>
            <w:r w:rsidRPr="00713AF8">
              <w:rPr>
                <w:szCs w:val="20"/>
              </w:rPr>
              <w:t>59.8%</w:t>
            </w:r>
          </w:p>
          <w:p w14:paraId="063F7260" w14:textId="77777777" w:rsidR="00713AF8" w:rsidRPr="00713AF8" w:rsidRDefault="00713AF8" w:rsidP="00F3401C">
            <w:pPr>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Proportion of those with UFs having HMB from Zimmermann 2012. The submission assumed that all women with UFs who experience HMB receive treatment. Treatment includes drug or hormonal treatment, as well as surgery.</w:t>
            </w:r>
          </w:p>
        </w:tc>
        <w:tc>
          <w:tcPr>
            <w:tcW w:w="2330" w:type="pct"/>
            <w:shd w:val="clear" w:color="auto" w:fill="auto"/>
          </w:tcPr>
          <w:p w14:paraId="4B1374E3" w14:textId="50764DCD" w:rsidR="00713AF8" w:rsidRPr="00713AF8" w:rsidRDefault="00621BE2" w:rsidP="00F3401C">
            <w:pPr>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The evaluation and DUSC considered this was u</w:t>
            </w:r>
            <w:r w:rsidR="00713AF8" w:rsidRPr="00713AF8">
              <w:rPr>
                <w:rFonts w:ascii="Arial Narrow" w:eastAsiaTheme="majorEastAsia" w:hAnsi="Arial Narrow" w:cstheme="majorBidi"/>
                <w:bCs/>
                <w:sz w:val="20"/>
                <w:szCs w:val="20"/>
              </w:rPr>
              <w:t>ncertain. Availability of a tablet formulation may result in more patients being treated.</w:t>
            </w:r>
            <w:r>
              <w:rPr>
                <w:rFonts w:ascii="Arial Narrow" w:eastAsiaTheme="majorEastAsia" w:hAnsi="Arial Narrow" w:cstheme="majorBidi"/>
                <w:bCs/>
                <w:sz w:val="20"/>
                <w:szCs w:val="20"/>
              </w:rPr>
              <w:t xml:space="preserve"> The DUSC noted that treatment could be intermittent.</w:t>
            </w:r>
          </w:p>
        </w:tc>
      </w:tr>
      <w:tr w:rsidR="00713AF8" w:rsidRPr="00713AF8" w14:paraId="7DA596D9" w14:textId="77777777" w:rsidTr="00C5237A">
        <w:tc>
          <w:tcPr>
            <w:tcW w:w="950" w:type="pct"/>
            <w:shd w:val="clear" w:color="auto" w:fill="FFFFFF" w:themeFill="background1"/>
          </w:tcPr>
          <w:p w14:paraId="4AF77C44" w14:textId="77777777" w:rsidR="00713AF8" w:rsidRPr="00713AF8" w:rsidRDefault="00713AF8" w:rsidP="00F3401C">
            <w:pPr>
              <w:pStyle w:val="TableText0"/>
              <w:rPr>
                <w:szCs w:val="20"/>
              </w:rPr>
            </w:pPr>
            <w:r w:rsidRPr="00713AF8">
              <w:rPr>
                <w:szCs w:val="20"/>
              </w:rPr>
              <w:t>Proportion failing treatment</w:t>
            </w:r>
          </w:p>
        </w:tc>
        <w:tc>
          <w:tcPr>
            <w:tcW w:w="1720" w:type="pct"/>
            <w:shd w:val="clear" w:color="auto" w:fill="FFFFFF" w:themeFill="background1"/>
          </w:tcPr>
          <w:p w14:paraId="13671E56" w14:textId="77777777" w:rsidR="00713AF8" w:rsidRPr="00713AF8" w:rsidRDefault="00713AF8" w:rsidP="00F3401C">
            <w:pPr>
              <w:pStyle w:val="TableText0"/>
              <w:rPr>
                <w:szCs w:val="20"/>
              </w:rPr>
            </w:pPr>
            <w:r w:rsidRPr="00713AF8">
              <w:rPr>
                <w:szCs w:val="20"/>
              </w:rPr>
              <w:t>10.9%</w:t>
            </w:r>
          </w:p>
          <w:p w14:paraId="760396B7" w14:textId="77777777" w:rsidR="00713AF8" w:rsidRPr="00713AF8" w:rsidRDefault="00713AF8" w:rsidP="00F3401C">
            <w:pPr>
              <w:pStyle w:val="TableText0"/>
              <w:rPr>
                <w:szCs w:val="20"/>
              </w:rPr>
            </w:pPr>
            <w:r w:rsidRPr="00713AF8">
              <w:rPr>
                <w:szCs w:val="20"/>
              </w:rPr>
              <w:t>Treatment failure or requirement of further treatment – women with LNG-IUS – 208 women from 2 RCTs from Cochrane systematic review by Rodriguez 2022</w:t>
            </w:r>
            <w:r w:rsidRPr="00713AF8">
              <w:rPr>
                <w:bCs w:val="0"/>
                <w:szCs w:val="20"/>
              </w:rPr>
              <w:t>.</w:t>
            </w:r>
          </w:p>
        </w:tc>
        <w:tc>
          <w:tcPr>
            <w:tcW w:w="2330" w:type="pct"/>
            <w:shd w:val="clear" w:color="auto" w:fill="auto"/>
          </w:tcPr>
          <w:p w14:paraId="02B9E3A5" w14:textId="65939FB1" w:rsidR="00713AF8" w:rsidRPr="00713AF8" w:rsidRDefault="00621BE2" w:rsidP="00F3401C">
            <w:pPr>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The evaluation and DUSC considered this was u</w:t>
            </w:r>
            <w:r w:rsidRPr="00713AF8">
              <w:rPr>
                <w:rFonts w:ascii="Arial Narrow" w:eastAsiaTheme="majorEastAsia" w:hAnsi="Arial Narrow" w:cstheme="majorBidi"/>
                <w:bCs/>
                <w:sz w:val="20"/>
                <w:szCs w:val="20"/>
              </w:rPr>
              <w:t>ncertain</w:t>
            </w:r>
            <w:r w:rsidR="00713AF8" w:rsidRPr="00713AF8">
              <w:rPr>
                <w:rFonts w:ascii="Arial Narrow" w:eastAsiaTheme="majorEastAsia" w:hAnsi="Arial Narrow" w:cstheme="majorBidi"/>
                <w:bCs/>
                <w:sz w:val="20"/>
                <w:szCs w:val="20"/>
              </w:rPr>
              <w:t>. It was also uncertain whether the estimated proportions would also include patients who are unsuitable for hormonal therapies.</w:t>
            </w:r>
          </w:p>
          <w:p w14:paraId="305ED97B" w14:textId="77777777" w:rsidR="00713AF8" w:rsidRPr="00713AF8" w:rsidRDefault="00713AF8" w:rsidP="00F3401C">
            <w:pPr>
              <w:jc w:val="left"/>
              <w:rPr>
                <w:rFonts w:ascii="Arial Narrow" w:eastAsiaTheme="majorEastAsia" w:hAnsi="Arial Narrow" w:cstheme="majorBidi"/>
                <w:bCs/>
                <w:sz w:val="20"/>
                <w:szCs w:val="20"/>
              </w:rPr>
            </w:pPr>
          </w:p>
          <w:p w14:paraId="41CA016D" w14:textId="77777777" w:rsidR="00713AF8" w:rsidRPr="00713AF8" w:rsidRDefault="00713AF8" w:rsidP="00F3401C">
            <w:pPr>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Additional sensitivity analysis conducted during the evaluation assumed 25% to have failed prior treatment.</w:t>
            </w:r>
          </w:p>
        </w:tc>
      </w:tr>
      <w:tr w:rsidR="00713AF8" w:rsidRPr="00713AF8" w14:paraId="4FDA53AE" w14:textId="77777777" w:rsidTr="00C5237A">
        <w:tc>
          <w:tcPr>
            <w:tcW w:w="950" w:type="pct"/>
            <w:shd w:val="clear" w:color="auto" w:fill="FFFFFF" w:themeFill="background1"/>
          </w:tcPr>
          <w:p w14:paraId="54990462" w14:textId="77777777" w:rsidR="00713AF8" w:rsidRPr="00713AF8" w:rsidRDefault="00713AF8" w:rsidP="00F3401C">
            <w:pPr>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Uptake rate of LGX</w:t>
            </w:r>
          </w:p>
          <w:p w14:paraId="0D49FFB1" w14:textId="77777777" w:rsidR="00713AF8" w:rsidRPr="00713AF8" w:rsidRDefault="00713AF8" w:rsidP="00F3401C">
            <w:pPr>
              <w:pStyle w:val="TableText0"/>
            </w:pPr>
            <w:r w:rsidRPr="00713AF8">
              <w:rPr>
                <w:szCs w:val="20"/>
              </w:rPr>
              <w:t>(additional uptake %s applied in the model)</w:t>
            </w:r>
          </w:p>
        </w:tc>
        <w:tc>
          <w:tcPr>
            <w:tcW w:w="1720" w:type="pct"/>
            <w:shd w:val="clear" w:color="auto" w:fill="FFFFFF" w:themeFill="background1"/>
          </w:tcPr>
          <w:p w14:paraId="6AE2E5D7" w14:textId="77777777" w:rsidR="00713AF8" w:rsidRPr="00713AF8" w:rsidRDefault="00713AF8" w:rsidP="00F3401C">
            <w:pPr>
              <w:jc w:val="left"/>
              <w:rPr>
                <w:rFonts w:ascii="Arial Narrow" w:eastAsiaTheme="majorEastAsia" w:hAnsi="Arial Narrow" w:cstheme="majorBidi"/>
                <w:bCs/>
                <w:sz w:val="20"/>
                <w:szCs w:val="20"/>
              </w:rPr>
            </w:pPr>
          </w:p>
          <w:tbl>
            <w:tblPr>
              <w:tblStyle w:val="TableGrid"/>
              <w:tblW w:w="0" w:type="auto"/>
              <w:tblLayout w:type="fixed"/>
              <w:tblLook w:val="04A0" w:firstRow="1" w:lastRow="0" w:firstColumn="1" w:lastColumn="0" w:noHBand="0" w:noVBand="1"/>
            </w:tblPr>
            <w:tblGrid>
              <w:gridCol w:w="734"/>
              <w:gridCol w:w="1060"/>
              <w:gridCol w:w="992"/>
            </w:tblGrid>
            <w:tr w:rsidR="00713AF8" w:rsidRPr="00713AF8" w14:paraId="5F0AD3DA" w14:textId="77777777" w:rsidTr="00F3401C">
              <w:tc>
                <w:tcPr>
                  <w:tcW w:w="734" w:type="dxa"/>
                </w:tcPr>
                <w:p w14:paraId="1D986052"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Yr</w:t>
                  </w:r>
                </w:p>
              </w:tc>
              <w:tc>
                <w:tcPr>
                  <w:tcW w:w="1060" w:type="dxa"/>
                </w:tcPr>
                <w:p w14:paraId="79B3DCF6"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Cumulative</w:t>
                  </w:r>
                </w:p>
              </w:tc>
              <w:tc>
                <w:tcPr>
                  <w:tcW w:w="992" w:type="dxa"/>
                  <w:shd w:val="clear" w:color="auto" w:fill="BFBFBF" w:themeFill="background1" w:themeFillShade="BF"/>
                </w:tcPr>
                <w:p w14:paraId="0430CBE5"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Additional</w:t>
                  </w:r>
                </w:p>
              </w:tc>
            </w:tr>
            <w:tr w:rsidR="00713AF8" w:rsidRPr="00713AF8" w14:paraId="776D9201" w14:textId="77777777" w:rsidTr="00F3401C">
              <w:tc>
                <w:tcPr>
                  <w:tcW w:w="734" w:type="dxa"/>
                </w:tcPr>
                <w:p w14:paraId="3D6E2CDC"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1</w:t>
                  </w:r>
                </w:p>
              </w:tc>
              <w:tc>
                <w:tcPr>
                  <w:tcW w:w="1060" w:type="dxa"/>
                </w:tcPr>
                <w:p w14:paraId="46BBC585"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20%</w:t>
                  </w:r>
                </w:p>
              </w:tc>
              <w:tc>
                <w:tcPr>
                  <w:tcW w:w="992" w:type="dxa"/>
                  <w:shd w:val="clear" w:color="auto" w:fill="BFBFBF" w:themeFill="background1" w:themeFillShade="BF"/>
                </w:tcPr>
                <w:p w14:paraId="2C9551BD"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20%</w:t>
                  </w:r>
                </w:p>
              </w:tc>
            </w:tr>
            <w:tr w:rsidR="00713AF8" w:rsidRPr="00713AF8" w14:paraId="6F49D33A" w14:textId="77777777" w:rsidTr="00F3401C">
              <w:tc>
                <w:tcPr>
                  <w:tcW w:w="734" w:type="dxa"/>
                </w:tcPr>
                <w:p w14:paraId="4187221B"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2</w:t>
                  </w:r>
                </w:p>
              </w:tc>
              <w:tc>
                <w:tcPr>
                  <w:tcW w:w="1060" w:type="dxa"/>
                </w:tcPr>
                <w:p w14:paraId="78343574"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25%</w:t>
                  </w:r>
                </w:p>
              </w:tc>
              <w:tc>
                <w:tcPr>
                  <w:tcW w:w="992" w:type="dxa"/>
                  <w:shd w:val="clear" w:color="auto" w:fill="BFBFBF" w:themeFill="background1" w:themeFillShade="BF"/>
                </w:tcPr>
                <w:p w14:paraId="05F3A692"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5%</w:t>
                  </w:r>
                </w:p>
              </w:tc>
            </w:tr>
            <w:tr w:rsidR="00713AF8" w:rsidRPr="00713AF8" w14:paraId="3CAD6CEA" w14:textId="77777777" w:rsidTr="00F3401C">
              <w:tc>
                <w:tcPr>
                  <w:tcW w:w="734" w:type="dxa"/>
                </w:tcPr>
                <w:p w14:paraId="7E394E01"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3</w:t>
                  </w:r>
                </w:p>
              </w:tc>
              <w:tc>
                <w:tcPr>
                  <w:tcW w:w="1060" w:type="dxa"/>
                </w:tcPr>
                <w:p w14:paraId="777278F7"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30%</w:t>
                  </w:r>
                </w:p>
              </w:tc>
              <w:tc>
                <w:tcPr>
                  <w:tcW w:w="992" w:type="dxa"/>
                  <w:shd w:val="clear" w:color="auto" w:fill="BFBFBF" w:themeFill="background1" w:themeFillShade="BF"/>
                </w:tcPr>
                <w:p w14:paraId="7D979EA0"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5%</w:t>
                  </w:r>
                </w:p>
              </w:tc>
            </w:tr>
            <w:tr w:rsidR="00713AF8" w:rsidRPr="00713AF8" w14:paraId="5CFB6578" w14:textId="77777777" w:rsidTr="00F3401C">
              <w:tc>
                <w:tcPr>
                  <w:tcW w:w="734" w:type="dxa"/>
                </w:tcPr>
                <w:p w14:paraId="64383289"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4</w:t>
                  </w:r>
                </w:p>
              </w:tc>
              <w:tc>
                <w:tcPr>
                  <w:tcW w:w="1060" w:type="dxa"/>
                </w:tcPr>
                <w:p w14:paraId="5AF79054"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35%</w:t>
                  </w:r>
                </w:p>
              </w:tc>
              <w:tc>
                <w:tcPr>
                  <w:tcW w:w="992" w:type="dxa"/>
                  <w:shd w:val="clear" w:color="auto" w:fill="BFBFBF" w:themeFill="background1" w:themeFillShade="BF"/>
                </w:tcPr>
                <w:p w14:paraId="6668C932"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5%</w:t>
                  </w:r>
                </w:p>
              </w:tc>
            </w:tr>
            <w:tr w:rsidR="00713AF8" w:rsidRPr="00713AF8" w14:paraId="5195B436" w14:textId="77777777" w:rsidTr="00F3401C">
              <w:tc>
                <w:tcPr>
                  <w:tcW w:w="734" w:type="dxa"/>
                </w:tcPr>
                <w:p w14:paraId="3370926C"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5</w:t>
                  </w:r>
                </w:p>
              </w:tc>
              <w:tc>
                <w:tcPr>
                  <w:tcW w:w="1060" w:type="dxa"/>
                </w:tcPr>
                <w:p w14:paraId="00AE0D4F"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40%</w:t>
                  </w:r>
                </w:p>
              </w:tc>
              <w:tc>
                <w:tcPr>
                  <w:tcW w:w="992" w:type="dxa"/>
                  <w:shd w:val="clear" w:color="auto" w:fill="BFBFBF" w:themeFill="background1" w:themeFillShade="BF"/>
                </w:tcPr>
                <w:p w14:paraId="30413B89"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5%</w:t>
                  </w:r>
                </w:p>
              </w:tc>
            </w:tr>
            <w:tr w:rsidR="00713AF8" w:rsidRPr="00713AF8" w14:paraId="255E9519" w14:textId="77777777" w:rsidTr="00F3401C">
              <w:tc>
                <w:tcPr>
                  <w:tcW w:w="734" w:type="dxa"/>
                </w:tcPr>
                <w:p w14:paraId="772F5EDB"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6</w:t>
                  </w:r>
                </w:p>
              </w:tc>
              <w:tc>
                <w:tcPr>
                  <w:tcW w:w="1060" w:type="dxa"/>
                </w:tcPr>
                <w:p w14:paraId="6F56FAFB" w14:textId="77777777" w:rsidR="00713AF8" w:rsidRPr="00713AF8" w:rsidRDefault="00713AF8" w:rsidP="00F3401C">
                  <w:pPr>
                    <w:jc w:val="left"/>
                    <w:rPr>
                      <w:rFonts w:ascii="Arial Narrow" w:eastAsiaTheme="majorEastAsia" w:hAnsi="Arial Narrow" w:cstheme="majorBidi"/>
                      <w:bCs/>
                      <w:sz w:val="18"/>
                      <w:szCs w:val="18"/>
                    </w:rPr>
                  </w:pPr>
                  <w:r w:rsidRPr="00713AF8">
                    <w:rPr>
                      <w:rFonts w:ascii="Arial Narrow" w:eastAsiaTheme="majorEastAsia" w:hAnsi="Arial Narrow" w:cstheme="majorBidi"/>
                      <w:bCs/>
                      <w:sz w:val="18"/>
                      <w:szCs w:val="18"/>
                    </w:rPr>
                    <w:t>45%</w:t>
                  </w:r>
                </w:p>
              </w:tc>
              <w:tc>
                <w:tcPr>
                  <w:tcW w:w="992" w:type="dxa"/>
                  <w:shd w:val="clear" w:color="auto" w:fill="BFBFBF" w:themeFill="background1" w:themeFillShade="BF"/>
                </w:tcPr>
                <w:p w14:paraId="76E76019" w14:textId="77777777" w:rsidR="00713AF8" w:rsidRPr="00713AF8" w:rsidRDefault="00713AF8" w:rsidP="00F3401C">
                  <w:pPr>
                    <w:jc w:val="left"/>
                    <w:rPr>
                      <w:rFonts w:ascii="Arial Narrow" w:eastAsiaTheme="majorEastAsia" w:hAnsi="Arial Narrow" w:cstheme="majorBidi"/>
                      <w:b/>
                      <w:sz w:val="18"/>
                      <w:szCs w:val="18"/>
                    </w:rPr>
                  </w:pPr>
                  <w:r w:rsidRPr="00713AF8">
                    <w:rPr>
                      <w:rFonts w:ascii="Arial Narrow" w:eastAsiaTheme="majorEastAsia" w:hAnsi="Arial Narrow" w:cstheme="majorBidi"/>
                      <w:b/>
                      <w:sz w:val="18"/>
                      <w:szCs w:val="18"/>
                    </w:rPr>
                    <w:t>5%</w:t>
                  </w:r>
                </w:p>
              </w:tc>
            </w:tr>
          </w:tbl>
          <w:p w14:paraId="37CA20EE" w14:textId="77777777" w:rsidR="00713AF8" w:rsidRPr="00713AF8" w:rsidRDefault="00713AF8" w:rsidP="00F3401C">
            <w:pPr>
              <w:pStyle w:val="TableText0"/>
            </w:pPr>
            <w:r w:rsidRPr="00713AF8">
              <w:rPr>
                <w:szCs w:val="20"/>
              </w:rPr>
              <w:t xml:space="preserve">Assumption. The financial analysis applied the additional uptake of 5% each year from Year 2 onwards, to the eligible population (removing patients already on treatment) and did not apply the cumulative uptake rates. </w:t>
            </w:r>
          </w:p>
        </w:tc>
        <w:tc>
          <w:tcPr>
            <w:tcW w:w="2330" w:type="pct"/>
            <w:shd w:val="clear" w:color="auto" w:fill="auto"/>
            <w:vAlign w:val="center"/>
          </w:tcPr>
          <w:p w14:paraId="18249E51" w14:textId="549EC0AF" w:rsidR="00713AF8" w:rsidRPr="00AA71F3" w:rsidRDefault="00713AF8" w:rsidP="00AA71F3">
            <w:pPr>
              <w:jc w:val="left"/>
              <w:rPr>
                <w:rFonts w:ascii="Arial Narrow" w:eastAsiaTheme="majorEastAsia" w:hAnsi="Arial Narrow" w:cstheme="majorBidi"/>
                <w:bCs/>
                <w:sz w:val="20"/>
                <w:szCs w:val="20"/>
              </w:rPr>
            </w:pPr>
            <w:r w:rsidRPr="00713AF8">
              <w:rPr>
                <w:rFonts w:ascii="Arial Narrow" w:eastAsiaTheme="majorEastAsia" w:hAnsi="Arial Narrow" w:cstheme="majorBidi"/>
                <w:bCs/>
                <w:sz w:val="20"/>
                <w:szCs w:val="20"/>
              </w:rPr>
              <w:t xml:space="preserve">The </w:t>
            </w:r>
            <w:r w:rsidR="00621BE2">
              <w:rPr>
                <w:rFonts w:ascii="Arial Narrow" w:eastAsiaTheme="majorEastAsia" w:hAnsi="Arial Narrow" w:cstheme="majorBidi"/>
                <w:bCs/>
                <w:sz w:val="20"/>
                <w:szCs w:val="20"/>
              </w:rPr>
              <w:t xml:space="preserve">evaluation and DUSC considered the </w:t>
            </w:r>
            <w:r w:rsidRPr="00713AF8">
              <w:rPr>
                <w:rFonts w:ascii="Arial Narrow" w:eastAsiaTheme="majorEastAsia" w:hAnsi="Arial Narrow" w:cstheme="majorBidi"/>
                <w:bCs/>
                <w:sz w:val="20"/>
                <w:szCs w:val="20"/>
              </w:rPr>
              <w:t>assumed uptake of LGX of up to 45% of eligible patients in year 6 appeared low, given the submission claimed a high unmet need in the requested population.</w:t>
            </w:r>
            <w:r w:rsidR="00621BE2">
              <w:rPr>
                <w:rFonts w:ascii="Arial Narrow" w:eastAsiaTheme="majorEastAsia" w:hAnsi="Arial Narrow" w:cstheme="majorBidi"/>
                <w:bCs/>
                <w:sz w:val="20"/>
                <w:szCs w:val="20"/>
              </w:rPr>
              <w:t xml:space="preserve"> However, DUSC considered the uptake rate would be affected by PBD concerns, use in fertility treatment, significant side effects, </w:t>
            </w:r>
            <w:proofErr w:type="gramStart"/>
            <w:r w:rsidR="00621BE2">
              <w:rPr>
                <w:rFonts w:ascii="Arial Narrow" w:eastAsiaTheme="majorEastAsia" w:hAnsi="Arial Narrow" w:cstheme="majorBidi"/>
                <w:bCs/>
                <w:sz w:val="20"/>
                <w:szCs w:val="20"/>
              </w:rPr>
              <w:t>clinician</w:t>
            </w:r>
            <w:proofErr w:type="gramEnd"/>
            <w:r w:rsidR="00621BE2">
              <w:rPr>
                <w:rFonts w:ascii="Arial Narrow" w:eastAsiaTheme="majorEastAsia" w:hAnsi="Arial Narrow" w:cstheme="majorBidi"/>
                <w:bCs/>
                <w:sz w:val="20"/>
                <w:szCs w:val="20"/>
              </w:rPr>
              <w:t xml:space="preserve"> and patient preferences.</w:t>
            </w:r>
          </w:p>
        </w:tc>
      </w:tr>
      <w:tr w:rsidR="00713AF8" w:rsidRPr="00713AF8" w14:paraId="14916E6C" w14:textId="77777777" w:rsidTr="00C5237A">
        <w:tc>
          <w:tcPr>
            <w:tcW w:w="950" w:type="pct"/>
            <w:shd w:val="clear" w:color="auto" w:fill="FFFFFF" w:themeFill="background1"/>
          </w:tcPr>
          <w:p w14:paraId="05C91447" w14:textId="77777777" w:rsidR="00713AF8" w:rsidRPr="00713AF8" w:rsidRDefault="00713AF8" w:rsidP="00F3401C">
            <w:pPr>
              <w:pStyle w:val="TableText0"/>
            </w:pPr>
            <w:r w:rsidRPr="00713AF8">
              <w:rPr>
                <w:szCs w:val="20"/>
              </w:rPr>
              <w:t>LGX response rate – 24 weeks</w:t>
            </w:r>
          </w:p>
        </w:tc>
        <w:tc>
          <w:tcPr>
            <w:tcW w:w="1720" w:type="pct"/>
            <w:shd w:val="clear" w:color="auto" w:fill="FFFFFF" w:themeFill="background1"/>
          </w:tcPr>
          <w:p w14:paraId="0E1BA803" w14:textId="77777777" w:rsidR="00713AF8" w:rsidRPr="00713AF8" w:rsidRDefault="00713AF8" w:rsidP="00F3401C">
            <w:pPr>
              <w:pStyle w:val="TableText0"/>
              <w:rPr>
                <w:szCs w:val="20"/>
              </w:rPr>
            </w:pPr>
            <w:r w:rsidRPr="00713AF8">
              <w:rPr>
                <w:szCs w:val="20"/>
              </w:rPr>
              <w:t>84.5%</w:t>
            </w:r>
          </w:p>
          <w:p w14:paraId="560921C0" w14:textId="77777777" w:rsidR="00713AF8" w:rsidRPr="00713AF8" w:rsidRDefault="00713AF8" w:rsidP="00F3401C">
            <w:pPr>
              <w:pStyle w:val="TableText0"/>
            </w:pPr>
            <w:r w:rsidRPr="00713AF8">
              <w:t xml:space="preserve">Pooled </w:t>
            </w:r>
            <w:r w:rsidRPr="00713AF8">
              <w:rPr>
                <w:szCs w:val="20"/>
              </w:rPr>
              <w:t>PRIMROSE 1 and 2 efficacy data for LGX 200 mg + ABT</w:t>
            </w:r>
          </w:p>
        </w:tc>
        <w:tc>
          <w:tcPr>
            <w:tcW w:w="2330" w:type="pct"/>
            <w:shd w:val="clear" w:color="auto" w:fill="auto"/>
            <w:vAlign w:val="center"/>
          </w:tcPr>
          <w:p w14:paraId="3760B877" w14:textId="07BDEF40" w:rsidR="00713AF8" w:rsidRPr="00713AF8" w:rsidRDefault="00713AF8" w:rsidP="00F3401C">
            <w:pPr>
              <w:pStyle w:val="TableText0"/>
            </w:pPr>
            <w:r w:rsidRPr="00713AF8">
              <w:rPr>
                <w:szCs w:val="20"/>
              </w:rPr>
              <w:t>Likely overestimated</w:t>
            </w:r>
            <w:r w:rsidR="00621BE2">
              <w:rPr>
                <w:szCs w:val="20"/>
              </w:rPr>
              <w:t xml:space="preserve"> due to applicability issues with the trial population.</w:t>
            </w:r>
            <w:r w:rsidRPr="00713AF8">
              <w:rPr>
                <w:szCs w:val="20"/>
              </w:rPr>
              <w:t xml:space="preserve"> </w:t>
            </w:r>
          </w:p>
        </w:tc>
      </w:tr>
      <w:tr w:rsidR="00713AF8" w:rsidRPr="00713AF8" w14:paraId="1C173C74" w14:textId="77777777" w:rsidTr="00C5237A">
        <w:tc>
          <w:tcPr>
            <w:tcW w:w="950" w:type="pct"/>
            <w:shd w:val="clear" w:color="auto" w:fill="FFFFFF" w:themeFill="background1"/>
          </w:tcPr>
          <w:p w14:paraId="2A45D9C3" w14:textId="77777777" w:rsidR="00713AF8" w:rsidRPr="00713AF8" w:rsidRDefault="00713AF8" w:rsidP="00F3401C">
            <w:pPr>
              <w:pStyle w:val="TableText0"/>
              <w:rPr>
                <w:szCs w:val="20"/>
              </w:rPr>
            </w:pPr>
            <w:r w:rsidRPr="00713AF8">
              <w:rPr>
                <w:szCs w:val="20"/>
              </w:rPr>
              <w:t>Annual discontinuation rate for LGX (responders; after 6 months)</w:t>
            </w:r>
          </w:p>
        </w:tc>
        <w:tc>
          <w:tcPr>
            <w:tcW w:w="1720" w:type="pct"/>
            <w:shd w:val="clear" w:color="auto" w:fill="FFFFFF" w:themeFill="background1"/>
          </w:tcPr>
          <w:p w14:paraId="54BFCDFA" w14:textId="77777777" w:rsidR="00713AF8" w:rsidRPr="00713AF8" w:rsidRDefault="00713AF8" w:rsidP="00F3401C">
            <w:pPr>
              <w:pStyle w:val="TableText0"/>
              <w:rPr>
                <w:szCs w:val="20"/>
              </w:rPr>
            </w:pPr>
            <w:r w:rsidRPr="00713AF8">
              <w:rPr>
                <w:szCs w:val="20"/>
              </w:rPr>
              <w:t>5%</w:t>
            </w:r>
          </w:p>
          <w:p w14:paraId="5D4DDC3D" w14:textId="77777777" w:rsidR="00713AF8" w:rsidRPr="00713AF8" w:rsidRDefault="00713AF8" w:rsidP="00F3401C">
            <w:pPr>
              <w:pStyle w:val="TableText0"/>
              <w:rPr>
                <w:szCs w:val="20"/>
              </w:rPr>
            </w:pPr>
            <w:r w:rsidRPr="00713AF8">
              <w:rPr>
                <w:szCs w:val="20"/>
              </w:rPr>
              <w:t>Assumption</w:t>
            </w:r>
          </w:p>
        </w:tc>
        <w:tc>
          <w:tcPr>
            <w:tcW w:w="2330" w:type="pct"/>
            <w:shd w:val="clear" w:color="auto" w:fill="auto"/>
            <w:vAlign w:val="center"/>
          </w:tcPr>
          <w:p w14:paraId="0F0709FF" w14:textId="29518F8E" w:rsidR="00713AF8" w:rsidRPr="00713AF8" w:rsidRDefault="00713AF8" w:rsidP="00F3401C">
            <w:pPr>
              <w:pStyle w:val="TableText0"/>
              <w:rPr>
                <w:szCs w:val="20"/>
              </w:rPr>
            </w:pPr>
            <w:r w:rsidRPr="00713AF8">
              <w:rPr>
                <w:szCs w:val="20"/>
              </w:rPr>
              <w:t>The PRIMROSE trials reported a much higher rate of discontinuation. 20% of patients on LGX 200 mg arm had discontinued linzagolix treatment by week 24 in the trials.</w:t>
            </w:r>
            <w:r w:rsidR="00621BE2">
              <w:rPr>
                <w:szCs w:val="20"/>
              </w:rPr>
              <w:t xml:space="preserve"> DUSC considered discontinuation rates are likely to be higher due to side effects, including BMD loss.</w:t>
            </w:r>
          </w:p>
        </w:tc>
      </w:tr>
      <w:tr w:rsidR="00713AF8" w:rsidRPr="00713AF8" w14:paraId="1F3C6447" w14:textId="77777777" w:rsidTr="00C5237A">
        <w:trPr>
          <w:trHeight w:val="774"/>
        </w:trPr>
        <w:tc>
          <w:tcPr>
            <w:tcW w:w="950" w:type="pct"/>
            <w:vMerge w:val="restart"/>
            <w:shd w:val="clear" w:color="auto" w:fill="auto"/>
            <w:vAlign w:val="center"/>
          </w:tcPr>
          <w:p w14:paraId="4276E630" w14:textId="77777777" w:rsidR="00713AF8" w:rsidRPr="00713AF8" w:rsidRDefault="00713AF8" w:rsidP="00F3401C">
            <w:pPr>
              <w:pStyle w:val="TableText0"/>
            </w:pPr>
            <w:r w:rsidRPr="00713AF8">
              <w:t>% having DXA scan</w:t>
            </w:r>
          </w:p>
        </w:tc>
        <w:tc>
          <w:tcPr>
            <w:tcW w:w="1720" w:type="pct"/>
            <w:shd w:val="clear" w:color="auto" w:fill="FFFFFF" w:themeFill="background1"/>
          </w:tcPr>
          <w:p w14:paraId="6669942E" w14:textId="77777777" w:rsidR="00713AF8" w:rsidRPr="00713AF8" w:rsidRDefault="00713AF8" w:rsidP="00F3401C">
            <w:pPr>
              <w:pStyle w:val="TableText0"/>
              <w:rPr>
                <w:szCs w:val="18"/>
              </w:rPr>
            </w:pPr>
            <w:r w:rsidRPr="00713AF8">
              <w:rPr>
                <w:szCs w:val="18"/>
              </w:rPr>
              <w:t>5% initial</w:t>
            </w:r>
          </w:p>
          <w:p w14:paraId="7B669341" w14:textId="77777777" w:rsidR="00713AF8" w:rsidRPr="00713AF8" w:rsidRDefault="00713AF8" w:rsidP="00F3401C">
            <w:pPr>
              <w:pStyle w:val="TableText0"/>
            </w:pPr>
            <w:r w:rsidRPr="00713AF8">
              <w:rPr>
                <w:szCs w:val="18"/>
              </w:rPr>
              <w:t>Assumption</w:t>
            </w:r>
          </w:p>
        </w:tc>
        <w:tc>
          <w:tcPr>
            <w:tcW w:w="2330" w:type="pct"/>
            <w:vMerge w:val="restart"/>
            <w:shd w:val="clear" w:color="auto" w:fill="auto"/>
            <w:vAlign w:val="center"/>
          </w:tcPr>
          <w:p w14:paraId="292C300E" w14:textId="280FABFE" w:rsidR="00713AF8" w:rsidRPr="00713AF8" w:rsidRDefault="00621BE2" w:rsidP="00F3401C">
            <w:pPr>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I</w:t>
            </w:r>
            <w:r w:rsidR="00713AF8" w:rsidRPr="00713AF8">
              <w:rPr>
                <w:rFonts w:ascii="Arial Narrow" w:eastAsiaTheme="majorEastAsia" w:hAnsi="Arial Narrow" w:cstheme="majorBidi"/>
                <w:bCs/>
                <w:sz w:val="20"/>
                <w:szCs w:val="20"/>
              </w:rPr>
              <w:t>t was uncertain whether all assumed DXA scans would be through the MBS. MBS item 12321 might be accessible if patients meet the condition (female hypogonadism lasting more than 6 months before the age of 45), MBS item 12306 might be accessible if for monitoring low BMD proven by DXA scan at least 12</w:t>
            </w:r>
            <w:r w:rsidR="00AA71F3">
              <w:rPr>
                <w:rFonts w:ascii="Arial Narrow" w:eastAsiaTheme="majorEastAsia" w:hAnsi="Arial Narrow" w:cstheme="majorBidi"/>
                <w:bCs/>
                <w:sz w:val="20"/>
                <w:szCs w:val="20"/>
              </w:rPr>
              <w:t> </w:t>
            </w:r>
            <w:r w:rsidR="00713AF8" w:rsidRPr="00713AF8">
              <w:rPr>
                <w:rFonts w:ascii="Arial Narrow" w:eastAsiaTheme="majorEastAsia" w:hAnsi="Arial Narrow" w:cstheme="majorBidi"/>
                <w:bCs/>
                <w:sz w:val="20"/>
                <w:szCs w:val="20"/>
              </w:rPr>
              <w:t>months previously.</w:t>
            </w:r>
            <w:r>
              <w:rPr>
                <w:rFonts w:ascii="Arial Narrow" w:eastAsiaTheme="majorEastAsia" w:hAnsi="Arial Narrow" w:cstheme="majorBidi"/>
                <w:bCs/>
                <w:sz w:val="20"/>
                <w:szCs w:val="20"/>
              </w:rPr>
              <w:t xml:space="preserve"> DUSC considered 100% annually may be an overestimate as there is no clinical indication for ongoing annual DXA scans.</w:t>
            </w:r>
          </w:p>
        </w:tc>
      </w:tr>
      <w:tr w:rsidR="00713AF8" w:rsidRPr="00713AF8" w14:paraId="1076B4A0" w14:textId="77777777" w:rsidTr="00C5237A">
        <w:tc>
          <w:tcPr>
            <w:tcW w:w="950" w:type="pct"/>
            <w:vMerge/>
            <w:shd w:val="clear" w:color="auto" w:fill="auto"/>
            <w:vAlign w:val="center"/>
          </w:tcPr>
          <w:p w14:paraId="6ADFAD70" w14:textId="77777777" w:rsidR="00713AF8" w:rsidRPr="00713AF8" w:rsidRDefault="00713AF8" w:rsidP="00F3401C">
            <w:pPr>
              <w:pStyle w:val="TableText0"/>
            </w:pPr>
          </w:p>
        </w:tc>
        <w:tc>
          <w:tcPr>
            <w:tcW w:w="1720" w:type="pct"/>
            <w:shd w:val="clear" w:color="auto" w:fill="FFFFFF" w:themeFill="background1"/>
          </w:tcPr>
          <w:p w14:paraId="220DA3FD" w14:textId="77777777" w:rsidR="00713AF8" w:rsidRPr="00713AF8" w:rsidRDefault="00713AF8" w:rsidP="00F3401C">
            <w:pPr>
              <w:pStyle w:val="TableText0"/>
              <w:rPr>
                <w:szCs w:val="18"/>
              </w:rPr>
            </w:pPr>
            <w:r w:rsidRPr="00713AF8">
              <w:rPr>
                <w:szCs w:val="18"/>
              </w:rPr>
              <w:t>100% annually</w:t>
            </w:r>
          </w:p>
          <w:p w14:paraId="0058F5F5" w14:textId="77777777" w:rsidR="00713AF8" w:rsidRPr="00713AF8" w:rsidRDefault="00713AF8" w:rsidP="00F3401C">
            <w:pPr>
              <w:pStyle w:val="TableText0"/>
            </w:pPr>
            <w:r w:rsidRPr="00713AF8">
              <w:rPr>
                <w:szCs w:val="18"/>
              </w:rPr>
              <w:t>Product Information</w:t>
            </w:r>
          </w:p>
        </w:tc>
        <w:tc>
          <w:tcPr>
            <w:tcW w:w="2330" w:type="pct"/>
            <w:vMerge/>
            <w:shd w:val="clear" w:color="auto" w:fill="auto"/>
            <w:vAlign w:val="center"/>
          </w:tcPr>
          <w:p w14:paraId="6FE071B2" w14:textId="77777777" w:rsidR="00713AF8" w:rsidRPr="00713AF8" w:rsidRDefault="00713AF8" w:rsidP="00F3401C">
            <w:pPr>
              <w:pStyle w:val="TableText0"/>
            </w:pPr>
          </w:p>
        </w:tc>
      </w:tr>
    </w:tbl>
    <w:p w14:paraId="34FC22D6" w14:textId="77777777" w:rsidR="00713AF8" w:rsidRPr="00713AF8" w:rsidRDefault="00713AF8" w:rsidP="00713AF8">
      <w:pPr>
        <w:pStyle w:val="TableFigureFooter"/>
        <w:rPr>
          <w:rStyle w:val="CommentReference"/>
          <w:b w:val="0"/>
          <w:bCs/>
          <w:sz w:val="18"/>
          <w:szCs w:val="18"/>
        </w:rPr>
      </w:pPr>
      <w:r w:rsidRPr="00713AF8">
        <w:rPr>
          <w:rStyle w:val="CommentReference"/>
          <w:b w:val="0"/>
          <w:bCs/>
          <w:sz w:val="18"/>
          <w:szCs w:val="18"/>
        </w:rPr>
        <w:t>Italics indicate results generated during the evaluation.</w:t>
      </w:r>
    </w:p>
    <w:p w14:paraId="47D134DF" w14:textId="77777777" w:rsidR="00713AF8" w:rsidRPr="00713AF8" w:rsidRDefault="00713AF8" w:rsidP="00713AF8">
      <w:pPr>
        <w:pStyle w:val="TableFigureFooter"/>
        <w:rPr>
          <w:szCs w:val="16"/>
        </w:rPr>
      </w:pPr>
      <w:r w:rsidRPr="00713AF8">
        <w:rPr>
          <w:rStyle w:val="CommentReference"/>
          <w:b w:val="0"/>
          <w:bCs/>
          <w:sz w:val="18"/>
          <w:szCs w:val="18"/>
        </w:rPr>
        <w:t>S</w:t>
      </w:r>
      <w:r w:rsidRPr="00713AF8">
        <w:rPr>
          <w:szCs w:val="16"/>
        </w:rPr>
        <w:t>ource: compiled during the evaluation.</w:t>
      </w:r>
    </w:p>
    <w:p w14:paraId="3FE633A4" w14:textId="77777777" w:rsidR="00713AF8" w:rsidRPr="00482A36" w:rsidRDefault="00713AF8" w:rsidP="00713AF8">
      <w:pPr>
        <w:pStyle w:val="TableFigureFooter"/>
      </w:pPr>
      <w:r w:rsidRPr="00482A36">
        <w:t xml:space="preserve">ABT = add-back therapy; BMD = bone mineral density; BSC = best supportive care; DXA = dual-energy x-ray absorptiometry; HMB = heavy menstrual bleeding; LGX = linzagolix; LNG-IUS = levonorgestrel-releasing </w:t>
      </w:r>
      <w:bookmarkStart w:id="84" w:name="_Hlk173569462"/>
      <w:r w:rsidRPr="00482A36">
        <w:t>intrauterine system</w:t>
      </w:r>
      <w:bookmarkEnd w:id="84"/>
      <w:r w:rsidRPr="00482A36">
        <w:t>; UFs = uterine fibroids.</w:t>
      </w:r>
    </w:p>
    <w:p w14:paraId="7D57F23E" w14:textId="3BE3A674" w:rsidR="00713AF8" w:rsidRPr="00482A36" w:rsidRDefault="00713AF8" w:rsidP="00713AF8">
      <w:pPr>
        <w:pStyle w:val="3-BodyText"/>
      </w:pPr>
      <w:r w:rsidRPr="00482A36">
        <w:t xml:space="preserve">The predicted use of linzagolix and financial implications associated with the proposed listing are summarised in </w:t>
      </w:r>
      <w:r w:rsidRPr="00482A36">
        <w:fldChar w:fldCharType="begin"/>
      </w:r>
      <w:r w:rsidRPr="00482A36">
        <w:instrText xml:space="preserve"> REF _Ref104805295 \h </w:instrText>
      </w:r>
      <w:r w:rsidRPr="00482A36">
        <w:fldChar w:fldCharType="separate"/>
      </w:r>
      <w:r w:rsidR="003E4FD0" w:rsidRPr="00482A36">
        <w:t xml:space="preserve">Table </w:t>
      </w:r>
      <w:r w:rsidR="003E4FD0">
        <w:rPr>
          <w:noProof/>
        </w:rPr>
        <w:t>17</w:t>
      </w:r>
      <w:r w:rsidRPr="00482A36">
        <w:fldChar w:fldCharType="end"/>
      </w:r>
      <w:r w:rsidRPr="00482A36">
        <w:t xml:space="preserve">. </w:t>
      </w:r>
    </w:p>
    <w:p w14:paraId="31F5224B" w14:textId="75F16B0C" w:rsidR="00713AF8" w:rsidRPr="00482A36" w:rsidRDefault="00713AF8" w:rsidP="00713AF8">
      <w:pPr>
        <w:pStyle w:val="Caption"/>
      </w:pPr>
      <w:bookmarkStart w:id="85" w:name="_Ref104805295"/>
      <w:r w:rsidRPr="00482A36">
        <w:lastRenderedPageBreak/>
        <w:t xml:space="preserve">Table </w:t>
      </w:r>
      <w:r w:rsidR="00747D8C">
        <w:fldChar w:fldCharType="begin"/>
      </w:r>
      <w:r w:rsidR="00747D8C">
        <w:instrText xml:space="preserve"> SEQ Table \* ARABIC </w:instrText>
      </w:r>
      <w:r w:rsidR="00747D8C">
        <w:fldChar w:fldCharType="separate"/>
      </w:r>
      <w:r w:rsidR="003E4FD0">
        <w:rPr>
          <w:noProof/>
        </w:rPr>
        <w:t>17</w:t>
      </w:r>
      <w:r w:rsidR="00747D8C">
        <w:rPr>
          <w:noProof/>
        </w:rPr>
        <w:fldChar w:fldCharType="end"/>
      </w:r>
      <w:bookmarkEnd w:id="85"/>
      <w:r w:rsidRPr="00482A36">
        <w:t>:</w:t>
      </w:r>
      <w:r w:rsidRPr="00482A36">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713AF8" w:rsidRPr="00583F51" w14:paraId="7A32B80E" w14:textId="77777777" w:rsidTr="00F3401C">
        <w:trPr>
          <w:tblHeader/>
        </w:trPr>
        <w:tc>
          <w:tcPr>
            <w:tcW w:w="1334" w:type="pct"/>
            <w:shd w:val="clear" w:color="auto" w:fill="auto"/>
            <w:vAlign w:val="center"/>
          </w:tcPr>
          <w:p w14:paraId="24317522" w14:textId="77777777" w:rsidR="00713AF8" w:rsidRPr="00583F51" w:rsidRDefault="00713AF8" w:rsidP="00F3401C">
            <w:pPr>
              <w:pStyle w:val="In-tableHeading"/>
              <w:jc w:val="center"/>
              <w:rPr>
                <w:szCs w:val="20"/>
                <w:lang w:val="en-AU"/>
              </w:rPr>
            </w:pPr>
          </w:p>
        </w:tc>
        <w:tc>
          <w:tcPr>
            <w:tcW w:w="611" w:type="pct"/>
            <w:shd w:val="clear" w:color="auto" w:fill="auto"/>
            <w:vAlign w:val="center"/>
          </w:tcPr>
          <w:p w14:paraId="186763AF" w14:textId="77777777" w:rsidR="00713AF8" w:rsidRPr="00583F51" w:rsidRDefault="00713AF8" w:rsidP="00F3401C">
            <w:pPr>
              <w:pStyle w:val="In-tableHeading"/>
              <w:jc w:val="center"/>
              <w:rPr>
                <w:szCs w:val="20"/>
                <w:lang w:val="en-AU"/>
              </w:rPr>
            </w:pPr>
            <w:r w:rsidRPr="00583F51">
              <w:rPr>
                <w:szCs w:val="20"/>
                <w:lang w:val="en-AU"/>
              </w:rPr>
              <w:t>Year 1</w:t>
            </w:r>
          </w:p>
        </w:tc>
        <w:tc>
          <w:tcPr>
            <w:tcW w:w="611" w:type="pct"/>
            <w:shd w:val="clear" w:color="auto" w:fill="auto"/>
            <w:vAlign w:val="center"/>
          </w:tcPr>
          <w:p w14:paraId="5167EB3E" w14:textId="77777777" w:rsidR="00713AF8" w:rsidRPr="00583F51" w:rsidRDefault="00713AF8" w:rsidP="00F3401C">
            <w:pPr>
              <w:pStyle w:val="In-tableHeading"/>
              <w:jc w:val="center"/>
              <w:rPr>
                <w:szCs w:val="20"/>
                <w:lang w:val="en-AU"/>
              </w:rPr>
            </w:pPr>
            <w:r w:rsidRPr="00583F51">
              <w:rPr>
                <w:szCs w:val="20"/>
                <w:lang w:val="en-AU"/>
              </w:rPr>
              <w:t>Year 2</w:t>
            </w:r>
          </w:p>
        </w:tc>
        <w:tc>
          <w:tcPr>
            <w:tcW w:w="611" w:type="pct"/>
            <w:shd w:val="clear" w:color="auto" w:fill="auto"/>
            <w:vAlign w:val="center"/>
          </w:tcPr>
          <w:p w14:paraId="1AB88BFB" w14:textId="77777777" w:rsidR="00713AF8" w:rsidRPr="00583F51" w:rsidRDefault="00713AF8" w:rsidP="00F3401C">
            <w:pPr>
              <w:pStyle w:val="In-tableHeading"/>
              <w:jc w:val="center"/>
              <w:rPr>
                <w:szCs w:val="20"/>
                <w:lang w:val="en-AU"/>
              </w:rPr>
            </w:pPr>
            <w:r w:rsidRPr="00583F51">
              <w:rPr>
                <w:szCs w:val="20"/>
                <w:lang w:val="en-AU"/>
              </w:rPr>
              <w:t>Year 3</w:t>
            </w:r>
          </w:p>
        </w:tc>
        <w:tc>
          <w:tcPr>
            <w:tcW w:w="611" w:type="pct"/>
            <w:shd w:val="clear" w:color="auto" w:fill="auto"/>
            <w:vAlign w:val="center"/>
          </w:tcPr>
          <w:p w14:paraId="34DEE996" w14:textId="77777777" w:rsidR="00713AF8" w:rsidRPr="00583F51" w:rsidRDefault="00713AF8" w:rsidP="00F3401C">
            <w:pPr>
              <w:pStyle w:val="In-tableHeading"/>
              <w:jc w:val="center"/>
              <w:rPr>
                <w:szCs w:val="20"/>
                <w:lang w:val="en-AU"/>
              </w:rPr>
            </w:pPr>
            <w:r w:rsidRPr="00583F51">
              <w:rPr>
                <w:szCs w:val="20"/>
                <w:lang w:val="en-AU"/>
              </w:rPr>
              <w:t>Year 4</w:t>
            </w:r>
          </w:p>
        </w:tc>
        <w:tc>
          <w:tcPr>
            <w:tcW w:w="611" w:type="pct"/>
            <w:shd w:val="clear" w:color="auto" w:fill="auto"/>
            <w:vAlign w:val="center"/>
          </w:tcPr>
          <w:p w14:paraId="66B3EB51" w14:textId="77777777" w:rsidR="00713AF8" w:rsidRPr="00583F51" w:rsidRDefault="00713AF8" w:rsidP="00F3401C">
            <w:pPr>
              <w:pStyle w:val="In-tableHeading"/>
              <w:jc w:val="center"/>
              <w:rPr>
                <w:szCs w:val="20"/>
                <w:lang w:val="en-AU"/>
              </w:rPr>
            </w:pPr>
            <w:r w:rsidRPr="00583F51">
              <w:rPr>
                <w:szCs w:val="20"/>
                <w:lang w:val="en-AU"/>
              </w:rPr>
              <w:t>Year 5</w:t>
            </w:r>
          </w:p>
        </w:tc>
        <w:tc>
          <w:tcPr>
            <w:tcW w:w="611" w:type="pct"/>
          </w:tcPr>
          <w:p w14:paraId="1F577BBD" w14:textId="77777777" w:rsidR="00713AF8" w:rsidRPr="00583F51" w:rsidRDefault="00713AF8" w:rsidP="00F3401C">
            <w:pPr>
              <w:pStyle w:val="In-tableHeading"/>
              <w:jc w:val="center"/>
              <w:rPr>
                <w:szCs w:val="20"/>
                <w:lang w:val="en-AU"/>
              </w:rPr>
            </w:pPr>
            <w:r w:rsidRPr="00583F51">
              <w:rPr>
                <w:szCs w:val="20"/>
                <w:lang w:val="en-AU"/>
              </w:rPr>
              <w:t>Year 6</w:t>
            </w:r>
          </w:p>
        </w:tc>
      </w:tr>
      <w:tr w:rsidR="00713AF8" w:rsidRPr="00583F51" w14:paraId="5836BE2A" w14:textId="77777777" w:rsidTr="00F3401C">
        <w:tc>
          <w:tcPr>
            <w:tcW w:w="5000" w:type="pct"/>
            <w:gridSpan w:val="7"/>
            <w:shd w:val="clear" w:color="auto" w:fill="auto"/>
            <w:vAlign w:val="center"/>
          </w:tcPr>
          <w:p w14:paraId="06CBEC59" w14:textId="77777777" w:rsidR="00713AF8" w:rsidRPr="00583F51" w:rsidRDefault="00713AF8" w:rsidP="00F3401C">
            <w:pPr>
              <w:pStyle w:val="In-tableHeading"/>
              <w:rPr>
                <w:color w:val="000000"/>
                <w:szCs w:val="20"/>
                <w:lang w:val="en-AU"/>
              </w:rPr>
            </w:pPr>
            <w:r w:rsidRPr="00583F51">
              <w:rPr>
                <w:color w:val="000000"/>
                <w:szCs w:val="20"/>
                <w:lang w:val="en-AU"/>
              </w:rPr>
              <w:t>Estimated extent of use</w:t>
            </w:r>
          </w:p>
        </w:tc>
      </w:tr>
      <w:tr w:rsidR="00713AF8" w:rsidRPr="00583F51" w14:paraId="40574461" w14:textId="77777777" w:rsidTr="00F3401C">
        <w:tc>
          <w:tcPr>
            <w:tcW w:w="1334" w:type="pct"/>
            <w:shd w:val="clear" w:color="auto" w:fill="auto"/>
            <w:vAlign w:val="center"/>
          </w:tcPr>
          <w:p w14:paraId="472A3510" w14:textId="77777777" w:rsidR="00713AF8" w:rsidRPr="00583F51" w:rsidRDefault="00713AF8" w:rsidP="00F3401C">
            <w:pPr>
              <w:pStyle w:val="TableText0"/>
              <w:rPr>
                <w:szCs w:val="20"/>
              </w:rPr>
            </w:pPr>
            <w:r w:rsidRPr="00583F51">
              <w:rPr>
                <w:szCs w:val="20"/>
              </w:rPr>
              <w:t>Number of patients treated</w:t>
            </w:r>
          </w:p>
        </w:tc>
        <w:tc>
          <w:tcPr>
            <w:tcW w:w="611" w:type="pct"/>
            <w:vAlign w:val="center"/>
          </w:tcPr>
          <w:p w14:paraId="39427E8E" w14:textId="6FC83E4C" w:rsidR="00713AF8" w:rsidRPr="00702A8E" w:rsidRDefault="00474E21" w:rsidP="00F3401C">
            <w:pPr>
              <w:pStyle w:val="TableText0"/>
              <w:jc w:val="center"/>
              <w:rPr>
                <w:color w:val="000000"/>
                <w:szCs w:val="20"/>
                <w:vertAlign w:val="superscript"/>
              </w:rPr>
            </w:pPr>
            <w:r w:rsidRPr="00474E21">
              <w:rPr>
                <w:rFonts w:hint="eastAsia"/>
                <w:color w:val="000000"/>
                <w:w w:val="15"/>
                <w:szCs w:val="20"/>
                <w:shd w:val="solid" w:color="000000" w:fill="000000"/>
                <w:fitText w:val="60" w:id="-894212339"/>
                <w14:textFill>
                  <w14:solidFill>
                    <w14:srgbClr w14:val="000000">
                      <w14:alpha w14:val="100000"/>
                    </w14:srgbClr>
                  </w14:solidFill>
                </w14:textFill>
              </w:rPr>
              <w:t xml:space="preserve">　</w:t>
            </w:r>
            <w:r w:rsidRPr="00474E21">
              <w:rPr>
                <w:color w:val="000000"/>
                <w:w w:val="15"/>
                <w:szCs w:val="20"/>
                <w:shd w:val="solid" w:color="000000" w:fill="000000"/>
                <w:fitText w:val="60" w:id="-894212339"/>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9"/>
                <w14:textFill>
                  <w14:solidFill>
                    <w14:srgbClr w14:val="000000">
                      <w14:alpha w14:val="100000"/>
                    </w14:srgbClr>
                  </w14:solidFill>
                </w14:textFill>
              </w:rPr>
              <w:t xml:space="preserve">　</w:t>
            </w:r>
            <w:r w:rsidR="00702A8E">
              <w:rPr>
                <w:szCs w:val="20"/>
                <w:vertAlign w:val="superscript"/>
              </w:rPr>
              <w:t>1</w:t>
            </w:r>
          </w:p>
        </w:tc>
        <w:tc>
          <w:tcPr>
            <w:tcW w:w="611" w:type="pct"/>
            <w:vAlign w:val="center"/>
          </w:tcPr>
          <w:p w14:paraId="46FDDBF6" w14:textId="483810FB"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38"/>
                <w14:textFill>
                  <w14:solidFill>
                    <w14:srgbClr w14:val="000000">
                      <w14:alpha w14:val="100000"/>
                    </w14:srgbClr>
                  </w14:solidFill>
                </w14:textFill>
              </w:rPr>
              <w:t xml:space="preserve">　</w:t>
            </w:r>
            <w:r w:rsidRPr="00474E21">
              <w:rPr>
                <w:color w:val="000000"/>
                <w:w w:val="15"/>
                <w:szCs w:val="20"/>
                <w:shd w:val="solid" w:color="000000" w:fill="000000"/>
                <w:fitText w:val="60" w:id="-894212338"/>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8"/>
                <w14:textFill>
                  <w14:solidFill>
                    <w14:srgbClr w14:val="000000">
                      <w14:alpha w14:val="100000"/>
                    </w14:srgbClr>
                  </w14:solidFill>
                </w14:textFill>
              </w:rPr>
              <w:t xml:space="preserve">　</w:t>
            </w:r>
            <w:r w:rsidR="00702A8E">
              <w:rPr>
                <w:szCs w:val="20"/>
                <w:vertAlign w:val="superscript"/>
              </w:rPr>
              <w:t>1</w:t>
            </w:r>
          </w:p>
        </w:tc>
        <w:tc>
          <w:tcPr>
            <w:tcW w:w="611" w:type="pct"/>
            <w:vAlign w:val="center"/>
          </w:tcPr>
          <w:p w14:paraId="13EC460F" w14:textId="6ED6CD7B"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37"/>
                <w14:textFill>
                  <w14:solidFill>
                    <w14:srgbClr w14:val="000000">
                      <w14:alpha w14:val="100000"/>
                    </w14:srgbClr>
                  </w14:solidFill>
                </w14:textFill>
              </w:rPr>
              <w:t xml:space="preserve">　</w:t>
            </w:r>
            <w:r w:rsidRPr="00474E21">
              <w:rPr>
                <w:color w:val="000000"/>
                <w:w w:val="15"/>
                <w:szCs w:val="20"/>
                <w:shd w:val="solid" w:color="000000" w:fill="000000"/>
                <w:fitText w:val="60" w:id="-894212337"/>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7"/>
                <w14:textFill>
                  <w14:solidFill>
                    <w14:srgbClr w14:val="000000">
                      <w14:alpha w14:val="100000"/>
                    </w14:srgbClr>
                  </w14:solidFill>
                </w14:textFill>
              </w:rPr>
              <w:t xml:space="preserve">　</w:t>
            </w:r>
            <w:r w:rsidR="00702A8E">
              <w:rPr>
                <w:szCs w:val="20"/>
                <w:vertAlign w:val="superscript"/>
              </w:rPr>
              <w:t>2</w:t>
            </w:r>
          </w:p>
        </w:tc>
        <w:tc>
          <w:tcPr>
            <w:tcW w:w="611" w:type="pct"/>
            <w:vAlign w:val="center"/>
          </w:tcPr>
          <w:p w14:paraId="6A48712F" w14:textId="1B4DF8EA"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36"/>
                <w14:textFill>
                  <w14:solidFill>
                    <w14:srgbClr w14:val="000000">
                      <w14:alpha w14:val="100000"/>
                    </w14:srgbClr>
                  </w14:solidFill>
                </w14:textFill>
              </w:rPr>
              <w:t xml:space="preserve">　</w:t>
            </w:r>
            <w:r w:rsidRPr="00474E21">
              <w:rPr>
                <w:color w:val="000000"/>
                <w:w w:val="15"/>
                <w:szCs w:val="20"/>
                <w:shd w:val="solid" w:color="000000" w:fill="000000"/>
                <w:fitText w:val="60" w:id="-894212336"/>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6"/>
                <w14:textFill>
                  <w14:solidFill>
                    <w14:srgbClr w14:val="000000">
                      <w14:alpha w14:val="100000"/>
                    </w14:srgbClr>
                  </w14:solidFill>
                </w14:textFill>
              </w:rPr>
              <w:t xml:space="preserve">　</w:t>
            </w:r>
            <w:r w:rsidR="00702A8E">
              <w:rPr>
                <w:szCs w:val="20"/>
                <w:vertAlign w:val="superscript"/>
              </w:rPr>
              <w:t>2</w:t>
            </w:r>
          </w:p>
        </w:tc>
        <w:tc>
          <w:tcPr>
            <w:tcW w:w="611" w:type="pct"/>
            <w:vAlign w:val="center"/>
          </w:tcPr>
          <w:p w14:paraId="782AF9B4" w14:textId="33E435F1"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52"/>
                <w14:textFill>
                  <w14:solidFill>
                    <w14:srgbClr w14:val="000000">
                      <w14:alpha w14:val="100000"/>
                    </w14:srgbClr>
                  </w14:solidFill>
                </w14:textFill>
              </w:rPr>
              <w:t xml:space="preserve">　</w:t>
            </w:r>
            <w:r w:rsidRPr="00474E21">
              <w:rPr>
                <w:color w:val="000000"/>
                <w:w w:val="15"/>
                <w:szCs w:val="20"/>
                <w:shd w:val="solid" w:color="000000" w:fill="000000"/>
                <w:fitText w:val="60" w:id="-894212352"/>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52"/>
                <w14:textFill>
                  <w14:solidFill>
                    <w14:srgbClr w14:val="000000">
                      <w14:alpha w14:val="100000"/>
                    </w14:srgbClr>
                  </w14:solidFill>
                </w14:textFill>
              </w:rPr>
              <w:t xml:space="preserve">　</w:t>
            </w:r>
            <w:r w:rsidR="00702A8E">
              <w:rPr>
                <w:szCs w:val="20"/>
                <w:vertAlign w:val="superscript"/>
              </w:rPr>
              <w:t>2</w:t>
            </w:r>
          </w:p>
        </w:tc>
        <w:tc>
          <w:tcPr>
            <w:tcW w:w="611" w:type="pct"/>
            <w:vAlign w:val="center"/>
          </w:tcPr>
          <w:p w14:paraId="23BA623B" w14:textId="294F2E49"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51"/>
                <w14:textFill>
                  <w14:solidFill>
                    <w14:srgbClr w14:val="000000">
                      <w14:alpha w14:val="100000"/>
                    </w14:srgbClr>
                  </w14:solidFill>
                </w14:textFill>
              </w:rPr>
              <w:t xml:space="preserve">　</w:t>
            </w:r>
            <w:r w:rsidRPr="00474E21">
              <w:rPr>
                <w:color w:val="000000"/>
                <w:w w:val="15"/>
                <w:szCs w:val="20"/>
                <w:shd w:val="solid" w:color="000000" w:fill="000000"/>
                <w:fitText w:val="60" w:id="-894212351"/>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51"/>
                <w14:textFill>
                  <w14:solidFill>
                    <w14:srgbClr w14:val="000000">
                      <w14:alpha w14:val="100000"/>
                    </w14:srgbClr>
                  </w14:solidFill>
                </w14:textFill>
              </w:rPr>
              <w:t xml:space="preserve">　</w:t>
            </w:r>
            <w:r w:rsidR="00702A8E">
              <w:rPr>
                <w:szCs w:val="20"/>
                <w:vertAlign w:val="superscript"/>
              </w:rPr>
              <w:t>2</w:t>
            </w:r>
          </w:p>
        </w:tc>
      </w:tr>
      <w:tr w:rsidR="00713AF8" w:rsidRPr="00583F51" w14:paraId="3A85A52B" w14:textId="77777777" w:rsidTr="00F3401C">
        <w:tc>
          <w:tcPr>
            <w:tcW w:w="1334" w:type="pct"/>
            <w:shd w:val="clear" w:color="auto" w:fill="auto"/>
            <w:vAlign w:val="center"/>
          </w:tcPr>
          <w:p w14:paraId="6EE719FF" w14:textId="77777777" w:rsidR="00713AF8" w:rsidRPr="00583F51" w:rsidRDefault="00713AF8" w:rsidP="00F3401C">
            <w:pPr>
              <w:pStyle w:val="TableText0"/>
              <w:rPr>
                <w:szCs w:val="20"/>
              </w:rPr>
            </w:pPr>
            <w:r w:rsidRPr="00583F51">
              <w:rPr>
                <w:szCs w:val="20"/>
              </w:rPr>
              <w:t xml:space="preserve">Number of scripts dispensed </w:t>
            </w:r>
            <w:r w:rsidRPr="00583F51">
              <w:rPr>
                <w:szCs w:val="20"/>
                <w:vertAlign w:val="superscript"/>
              </w:rPr>
              <w:t>a</w:t>
            </w:r>
          </w:p>
        </w:tc>
        <w:tc>
          <w:tcPr>
            <w:tcW w:w="611" w:type="pct"/>
            <w:vAlign w:val="center"/>
          </w:tcPr>
          <w:p w14:paraId="32DD46E5" w14:textId="5DF63F78"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50"/>
                <w14:textFill>
                  <w14:solidFill>
                    <w14:srgbClr w14:val="000000">
                      <w14:alpha w14:val="100000"/>
                    </w14:srgbClr>
                  </w14:solidFill>
                </w14:textFill>
              </w:rPr>
              <w:t xml:space="preserve">　</w:t>
            </w:r>
            <w:r w:rsidRPr="00474E21">
              <w:rPr>
                <w:color w:val="000000"/>
                <w:w w:val="15"/>
                <w:szCs w:val="20"/>
                <w:shd w:val="solid" w:color="000000" w:fill="000000"/>
                <w:fitText w:val="60" w:id="-894212350"/>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50"/>
                <w14:textFill>
                  <w14:solidFill>
                    <w14:srgbClr w14:val="000000">
                      <w14:alpha w14:val="100000"/>
                    </w14:srgbClr>
                  </w14:solidFill>
                </w14:textFill>
              </w:rPr>
              <w:t xml:space="preserve">　</w:t>
            </w:r>
            <w:r w:rsidR="00702A8E">
              <w:rPr>
                <w:szCs w:val="20"/>
                <w:vertAlign w:val="superscript"/>
              </w:rPr>
              <w:t>3</w:t>
            </w:r>
          </w:p>
        </w:tc>
        <w:tc>
          <w:tcPr>
            <w:tcW w:w="611" w:type="pct"/>
            <w:vAlign w:val="center"/>
          </w:tcPr>
          <w:p w14:paraId="6DF59163" w14:textId="68C3C4ED"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49"/>
                <w14:textFill>
                  <w14:solidFill>
                    <w14:srgbClr w14:val="000000">
                      <w14:alpha w14:val="100000"/>
                    </w14:srgbClr>
                  </w14:solidFill>
                </w14:textFill>
              </w:rPr>
              <w:t xml:space="preserve">　</w:t>
            </w:r>
            <w:r w:rsidRPr="00474E21">
              <w:rPr>
                <w:color w:val="000000"/>
                <w:w w:val="15"/>
                <w:szCs w:val="20"/>
                <w:shd w:val="solid" w:color="000000" w:fill="000000"/>
                <w:fitText w:val="60" w:id="-894212349"/>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9"/>
                <w14:textFill>
                  <w14:solidFill>
                    <w14:srgbClr w14:val="000000">
                      <w14:alpha w14:val="100000"/>
                    </w14:srgbClr>
                  </w14:solidFill>
                </w14:textFill>
              </w:rPr>
              <w:t xml:space="preserve">　</w:t>
            </w:r>
            <w:r w:rsidR="00702A8E">
              <w:rPr>
                <w:szCs w:val="20"/>
                <w:vertAlign w:val="superscript"/>
              </w:rPr>
              <w:t>3</w:t>
            </w:r>
          </w:p>
        </w:tc>
        <w:tc>
          <w:tcPr>
            <w:tcW w:w="611" w:type="pct"/>
            <w:vAlign w:val="center"/>
          </w:tcPr>
          <w:p w14:paraId="00D766C6" w14:textId="3F87F3A2"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48"/>
                <w14:textFill>
                  <w14:solidFill>
                    <w14:srgbClr w14:val="000000">
                      <w14:alpha w14:val="100000"/>
                    </w14:srgbClr>
                  </w14:solidFill>
                </w14:textFill>
              </w:rPr>
              <w:t xml:space="preserve">　</w:t>
            </w:r>
            <w:r w:rsidRPr="00474E21">
              <w:rPr>
                <w:color w:val="000000"/>
                <w:w w:val="15"/>
                <w:szCs w:val="20"/>
                <w:shd w:val="solid" w:color="000000" w:fill="000000"/>
                <w:fitText w:val="60" w:id="-894212348"/>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8"/>
                <w14:textFill>
                  <w14:solidFill>
                    <w14:srgbClr w14:val="000000">
                      <w14:alpha w14:val="100000"/>
                    </w14:srgbClr>
                  </w14:solidFill>
                </w14:textFill>
              </w:rPr>
              <w:t xml:space="preserve">　</w:t>
            </w:r>
            <w:r w:rsidR="00702A8E">
              <w:rPr>
                <w:szCs w:val="20"/>
                <w:vertAlign w:val="superscript"/>
              </w:rPr>
              <w:t>4</w:t>
            </w:r>
          </w:p>
        </w:tc>
        <w:tc>
          <w:tcPr>
            <w:tcW w:w="611" w:type="pct"/>
            <w:vAlign w:val="center"/>
          </w:tcPr>
          <w:p w14:paraId="628E6B4E" w14:textId="1CA7AE02"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47"/>
                <w14:textFill>
                  <w14:solidFill>
                    <w14:srgbClr w14:val="000000">
                      <w14:alpha w14:val="100000"/>
                    </w14:srgbClr>
                  </w14:solidFill>
                </w14:textFill>
              </w:rPr>
              <w:t xml:space="preserve">　</w:t>
            </w:r>
            <w:r w:rsidRPr="00474E21">
              <w:rPr>
                <w:color w:val="000000"/>
                <w:w w:val="15"/>
                <w:szCs w:val="20"/>
                <w:shd w:val="solid" w:color="000000" w:fill="000000"/>
                <w:fitText w:val="60" w:id="-894212347"/>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7"/>
                <w14:textFill>
                  <w14:solidFill>
                    <w14:srgbClr w14:val="000000">
                      <w14:alpha w14:val="100000"/>
                    </w14:srgbClr>
                  </w14:solidFill>
                </w14:textFill>
              </w:rPr>
              <w:t xml:space="preserve">　</w:t>
            </w:r>
            <w:r w:rsidR="00702A8E">
              <w:rPr>
                <w:szCs w:val="20"/>
                <w:vertAlign w:val="superscript"/>
              </w:rPr>
              <w:t>5</w:t>
            </w:r>
          </w:p>
        </w:tc>
        <w:tc>
          <w:tcPr>
            <w:tcW w:w="611" w:type="pct"/>
            <w:vAlign w:val="center"/>
          </w:tcPr>
          <w:p w14:paraId="0CB78414" w14:textId="1D92426A"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46"/>
                <w14:textFill>
                  <w14:solidFill>
                    <w14:srgbClr w14:val="000000">
                      <w14:alpha w14:val="100000"/>
                    </w14:srgbClr>
                  </w14:solidFill>
                </w14:textFill>
              </w:rPr>
              <w:t xml:space="preserve">　</w:t>
            </w:r>
            <w:r w:rsidRPr="00474E21">
              <w:rPr>
                <w:color w:val="000000"/>
                <w:w w:val="15"/>
                <w:szCs w:val="20"/>
                <w:shd w:val="solid" w:color="000000" w:fill="000000"/>
                <w:fitText w:val="60" w:id="-894212346"/>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6"/>
                <w14:textFill>
                  <w14:solidFill>
                    <w14:srgbClr w14:val="000000">
                      <w14:alpha w14:val="100000"/>
                    </w14:srgbClr>
                  </w14:solidFill>
                </w14:textFill>
              </w:rPr>
              <w:t xml:space="preserve">　</w:t>
            </w:r>
            <w:r w:rsidR="00702A8E">
              <w:rPr>
                <w:szCs w:val="20"/>
                <w:vertAlign w:val="superscript"/>
              </w:rPr>
              <w:t>5</w:t>
            </w:r>
          </w:p>
        </w:tc>
        <w:tc>
          <w:tcPr>
            <w:tcW w:w="611" w:type="pct"/>
            <w:vAlign w:val="center"/>
          </w:tcPr>
          <w:p w14:paraId="7752B20D" w14:textId="1B423E02" w:rsidR="00713AF8" w:rsidRPr="00583F51" w:rsidRDefault="00474E21" w:rsidP="00F3401C">
            <w:pPr>
              <w:pStyle w:val="TableText0"/>
              <w:jc w:val="center"/>
              <w:rPr>
                <w:color w:val="000000"/>
                <w:szCs w:val="20"/>
              </w:rPr>
            </w:pPr>
            <w:r w:rsidRPr="00474E21">
              <w:rPr>
                <w:rFonts w:hint="eastAsia"/>
                <w:color w:val="000000"/>
                <w:w w:val="15"/>
                <w:szCs w:val="20"/>
                <w:shd w:val="solid" w:color="000000" w:fill="000000"/>
                <w:fitText w:val="60" w:id="-894212345"/>
                <w14:textFill>
                  <w14:solidFill>
                    <w14:srgbClr w14:val="000000">
                      <w14:alpha w14:val="100000"/>
                    </w14:srgbClr>
                  </w14:solidFill>
                </w14:textFill>
              </w:rPr>
              <w:t xml:space="preserve">　</w:t>
            </w:r>
            <w:r w:rsidRPr="00474E21">
              <w:rPr>
                <w:color w:val="000000"/>
                <w:w w:val="15"/>
                <w:szCs w:val="20"/>
                <w:shd w:val="solid" w:color="000000" w:fill="000000"/>
                <w:fitText w:val="60" w:id="-894212345"/>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5"/>
                <w14:textFill>
                  <w14:solidFill>
                    <w14:srgbClr w14:val="000000">
                      <w14:alpha w14:val="100000"/>
                    </w14:srgbClr>
                  </w14:solidFill>
                </w14:textFill>
              </w:rPr>
              <w:t xml:space="preserve">　</w:t>
            </w:r>
            <w:r w:rsidR="005E6D91">
              <w:rPr>
                <w:szCs w:val="20"/>
                <w:vertAlign w:val="superscript"/>
              </w:rPr>
              <w:t>6</w:t>
            </w:r>
          </w:p>
        </w:tc>
      </w:tr>
      <w:tr w:rsidR="00713AF8" w:rsidRPr="00583F51" w14:paraId="05AF1BCE" w14:textId="77777777" w:rsidTr="00F3401C">
        <w:tc>
          <w:tcPr>
            <w:tcW w:w="5000" w:type="pct"/>
            <w:gridSpan w:val="7"/>
            <w:shd w:val="clear" w:color="auto" w:fill="auto"/>
            <w:vAlign w:val="center"/>
          </w:tcPr>
          <w:p w14:paraId="341E339F" w14:textId="77777777" w:rsidR="00713AF8" w:rsidRPr="00583F51" w:rsidRDefault="00713AF8" w:rsidP="00F3401C">
            <w:pPr>
              <w:pStyle w:val="In-tableHeading"/>
              <w:rPr>
                <w:szCs w:val="20"/>
                <w:lang w:val="en-AU"/>
              </w:rPr>
            </w:pPr>
            <w:r w:rsidRPr="00583F51">
              <w:rPr>
                <w:szCs w:val="20"/>
                <w:lang w:val="en-AU"/>
              </w:rPr>
              <w:t>Estimated financial implications of LGX</w:t>
            </w:r>
          </w:p>
        </w:tc>
      </w:tr>
      <w:tr w:rsidR="00713AF8" w:rsidRPr="00583F51" w14:paraId="46C2E675" w14:textId="77777777" w:rsidTr="00F3401C">
        <w:tc>
          <w:tcPr>
            <w:tcW w:w="1334" w:type="pct"/>
            <w:shd w:val="clear" w:color="auto" w:fill="auto"/>
            <w:vAlign w:val="center"/>
          </w:tcPr>
          <w:p w14:paraId="29CA546D" w14:textId="77777777" w:rsidR="00713AF8" w:rsidRPr="00583F51" w:rsidRDefault="00713AF8" w:rsidP="00F3401C">
            <w:pPr>
              <w:pStyle w:val="TableText0"/>
              <w:rPr>
                <w:szCs w:val="20"/>
              </w:rPr>
            </w:pPr>
            <w:r w:rsidRPr="00583F51">
              <w:rPr>
                <w:szCs w:val="20"/>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215A1FA" w14:textId="35AC475E" w:rsidR="00713AF8" w:rsidRPr="00583F51" w:rsidRDefault="00474E21" w:rsidP="00F3401C">
            <w:pPr>
              <w:pStyle w:val="TableText0"/>
              <w:jc w:val="center"/>
              <w:rPr>
                <w:szCs w:val="20"/>
              </w:rPr>
            </w:pPr>
            <w:r w:rsidRPr="00474E21">
              <w:rPr>
                <w:rFonts w:cs="Arial" w:hint="eastAsia"/>
                <w:color w:val="000000"/>
                <w:w w:val="15"/>
                <w:szCs w:val="20"/>
                <w:shd w:val="solid" w:color="000000" w:fill="000000"/>
                <w:fitText w:val="60" w:id="-894212344"/>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44"/>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44"/>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22F3DF7F" w14:textId="74D9553F" w:rsidR="00713AF8" w:rsidRPr="00583F51" w:rsidRDefault="00474E21" w:rsidP="00F3401C">
            <w:pPr>
              <w:pStyle w:val="TableText0"/>
              <w:jc w:val="center"/>
              <w:rPr>
                <w:szCs w:val="20"/>
              </w:rPr>
            </w:pPr>
            <w:r w:rsidRPr="00474E21">
              <w:rPr>
                <w:rFonts w:cs="Arial" w:hint="eastAsia"/>
                <w:color w:val="000000"/>
                <w:w w:val="15"/>
                <w:szCs w:val="20"/>
                <w:shd w:val="solid" w:color="000000" w:fill="000000"/>
                <w:fitText w:val="60" w:id="-894212343"/>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43"/>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43"/>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00D1BF4A" w14:textId="29E01B44" w:rsidR="00713AF8" w:rsidRPr="00583F51" w:rsidRDefault="00474E21" w:rsidP="00F3401C">
            <w:pPr>
              <w:pStyle w:val="TableText0"/>
              <w:jc w:val="center"/>
              <w:rPr>
                <w:szCs w:val="20"/>
              </w:rPr>
            </w:pPr>
            <w:r w:rsidRPr="00474E21">
              <w:rPr>
                <w:rFonts w:cs="Arial" w:hint="eastAsia"/>
                <w:color w:val="000000"/>
                <w:w w:val="15"/>
                <w:szCs w:val="20"/>
                <w:shd w:val="solid" w:color="000000" w:fill="000000"/>
                <w:fitText w:val="60" w:id="-894212342"/>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42"/>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42"/>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09A43D8C" w14:textId="2E8EBE8B" w:rsidR="00713AF8" w:rsidRPr="00583F51" w:rsidRDefault="00474E21" w:rsidP="00F3401C">
            <w:pPr>
              <w:pStyle w:val="TableText0"/>
              <w:jc w:val="center"/>
              <w:rPr>
                <w:szCs w:val="20"/>
              </w:rPr>
            </w:pPr>
            <w:r w:rsidRPr="00474E21">
              <w:rPr>
                <w:rFonts w:cs="Arial" w:hint="eastAsia"/>
                <w:color w:val="000000"/>
                <w:w w:val="15"/>
                <w:szCs w:val="20"/>
                <w:shd w:val="solid" w:color="000000" w:fill="000000"/>
                <w:fitText w:val="60" w:id="-894212341"/>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41"/>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41"/>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7CD9D828" w14:textId="6C9A0310" w:rsidR="00713AF8" w:rsidRPr="00583F51" w:rsidRDefault="00474E21" w:rsidP="00F3401C">
            <w:pPr>
              <w:pStyle w:val="TableText0"/>
              <w:jc w:val="center"/>
              <w:rPr>
                <w:szCs w:val="20"/>
              </w:rPr>
            </w:pPr>
            <w:r w:rsidRPr="00474E21">
              <w:rPr>
                <w:rFonts w:cs="Arial" w:hint="eastAsia"/>
                <w:color w:val="000000"/>
                <w:w w:val="15"/>
                <w:szCs w:val="20"/>
                <w:shd w:val="solid" w:color="000000" w:fill="000000"/>
                <w:fitText w:val="60" w:id="-894212340"/>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40"/>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40"/>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4C4679FE" w14:textId="6075C222" w:rsidR="00713AF8" w:rsidRPr="00EE591D" w:rsidRDefault="00474E21" w:rsidP="00F3401C">
            <w:pPr>
              <w:pStyle w:val="TableText0"/>
              <w:jc w:val="center"/>
              <w:rPr>
                <w:szCs w:val="20"/>
                <w:highlight w:val="darkGray"/>
              </w:rPr>
            </w:pPr>
            <w:r w:rsidRPr="00474E21">
              <w:rPr>
                <w:rFonts w:cs="Arial" w:hint="eastAsia"/>
                <w:color w:val="000000"/>
                <w:w w:val="15"/>
                <w:szCs w:val="20"/>
                <w:shd w:val="solid" w:color="000000" w:fill="000000"/>
                <w:fitText w:val="60" w:id="-894212339"/>
                <w14:textFill>
                  <w14:solidFill>
                    <w14:srgbClr w14:val="000000">
                      <w14:alpha w14:val="100000"/>
                    </w14:srgbClr>
                  </w14:solidFill>
                </w14:textFill>
              </w:rPr>
              <w:t xml:space="preserve">　</w:t>
            </w:r>
            <w:r w:rsidRPr="00474E21">
              <w:rPr>
                <w:rFonts w:cs="Arial"/>
                <w:color w:val="000000"/>
                <w:w w:val="15"/>
                <w:szCs w:val="20"/>
                <w:shd w:val="solid" w:color="000000" w:fill="000000"/>
                <w:fitText w:val="60" w:id="-894212339"/>
                <w14:textFill>
                  <w14:solidFill>
                    <w14:srgbClr w14:val="000000">
                      <w14:alpha w14:val="100000"/>
                    </w14:srgbClr>
                  </w14:solidFill>
                </w14:textFill>
              </w:rPr>
              <w:t>|</w:t>
            </w:r>
            <w:r w:rsidRPr="00474E21">
              <w:rPr>
                <w:rFonts w:cs="Arial" w:hint="eastAsia"/>
                <w:color w:val="000000"/>
                <w:spacing w:val="-5"/>
                <w:w w:val="15"/>
                <w:szCs w:val="20"/>
                <w:shd w:val="solid" w:color="000000" w:fill="000000"/>
                <w:fitText w:val="60" w:id="-894212339"/>
                <w14:textFill>
                  <w14:solidFill>
                    <w14:srgbClr w14:val="000000">
                      <w14:alpha w14:val="100000"/>
                    </w14:srgbClr>
                  </w14:solidFill>
                </w14:textFill>
              </w:rPr>
              <w:t xml:space="preserve">　</w:t>
            </w:r>
            <w:r w:rsidR="00702A8E" w:rsidRPr="00EE591D">
              <w:rPr>
                <w:szCs w:val="20"/>
                <w:vertAlign w:val="superscript"/>
              </w:rPr>
              <w:t>7</w:t>
            </w:r>
          </w:p>
        </w:tc>
      </w:tr>
      <w:tr w:rsidR="00713AF8" w:rsidRPr="00583F51" w14:paraId="0225ACEF" w14:textId="77777777" w:rsidTr="00F3401C">
        <w:tc>
          <w:tcPr>
            <w:tcW w:w="5000" w:type="pct"/>
            <w:gridSpan w:val="7"/>
            <w:shd w:val="clear" w:color="auto" w:fill="auto"/>
            <w:vAlign w:val="center"/>
          </w:tcPr>
          <w:p w14:paraId="3E0FE089" w14:textId="77777777" w:rsidR="00713AF8" w:rsidRPr="00583F51" w:rsidRDefault="00713AF8" w:rsidP="00F3401C">
            <w:pPr>
              <w:pStyle w:val="TableText0"/>
              <w:rPr>
                <w:b/>
                <w:szCs w:val="20"/>
              </w:rPr>
            </w:pPr>
            <w:r w:rsidRPr="00583F51">
              <w:rPr>
                <w:b/>
                <w:szCs w:val="20"/>
              </w:rPr>
              <w:t>Estimated financial implications for LGX and ABT</w:t>
            </w:r>
          </w:p>
        </w:tc>
      </w:tr>
      <w:tr w:rsidR="00713AF8" w:rsidRPr="00583F51" w14:paraId="5D7A7281" w14:textId="77777777" w:rsidTr="00F3401C">
        <w:tc>
          <w:tcPr>
            <w:tcW w:w="1334" w:type="pct"/>
            <w:shd w:val="clear" w:color="auto" w:fill="auto"/>
            <w:vAlign w:val="center"/>
          </w:tcPr>
          <w:p w14:paraId="7A67F309" w14:textId="77777777" w:rsidR="00713AF8" w:rsidRPr="00583F51" w:rsidRDefault="00713AF8" w:rsidP="00F3401C">
            <w:pPr>
              <w:pStyle w:val="TableText0"/>
              <w:rPr>
                <w:szCs w:val="20"/>
              </w:rPr>
            </w:pPr>
            <w:r w:rsidRPr="00583F51">
              <w:rPr>
                <w:szCs w:val="20"/>
              </w:rPr>
              <w:t>Cost to PBS/RPBS less co-payments</w:t>
            </w:r>
          </w:p>
        </w:tc>
        <w:tc>
          <w:tcPr>
            <w:tcW w:w="611" w:type="pct"/>
            <w:tcBorders>
              <w:top w:val="single" w:sz="4" w:space="0" w:color="auto"/>
              <w:left w:val="nil"/>
              <w:bottom w:val="single" w:sz="4" w:space="0" w:color="auto"/>
              <w:right w:val="single" w:sz="4" w:space="0" w:color="auto"/>
            </w:tcBorders>
            <w:shd w:val="clear" w:color="auto" w:fill="auto"/>
            <w:vAlign w:val="center"/>
          </w:tcPr>
          <w:p w14:paraId="00E3928B" w14:textId="58FD53D1"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38"/>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8"/>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8"/>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57982B0" w14:textId="62DE10F1"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37"/>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7"/>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7"/>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1976984" w14:textId="65CE0AC6"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36"/>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6"/>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6"/>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8B7A825" w14:textId="3A6F5636"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52"/>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2"/>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2"/>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8BA8050" w14:textId="3A0C002D"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51"/>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1"/>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1"/>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5D9540D" w14:textId="2069A93E"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50"/>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0"/>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0"/>
                <w14:textFill>
                  <w14:solidFill>
                    <w14:srgbClr w14:val="000000">
                      <w14:alpha w14:val="100000"/>
                    </w14:srgbClr>
                  </w14:solidFill>
                </w14:textFill>
              </w:rPr>
              <w:t xml:space="preserve">　</w:t>
            </w:r>
            <w:r w:rsidR="00702A8E">
              <w:rPr>
                <w:szCs w:val="20"/>
                <w:vertAlign w:val="superscript"/>
              </w:rPr>
              <w:t>7</w:t>
            </w:r>
          </w:p>
        </w:tc>
      </w:tr>
      <w:tr w:rsidR="00713AF8" w:rsidRPr="00583F51" w14:paraId="16617E69" w14:textId="77777777" w:rsidTr="00F3401C">
        <w:tc>
          <w:tcPr>
            <w:tcW w:w="5000" w:type="pct"/>
            <w:gridSpan w:val="7"/>
            <w:shd w:val="clear" w:color="auto" w:fill="auto"/>
            <w:vAlign w:val="center"/>
          </w:tcPr>
          <w:p w14:paraId="3D879B66" w14:textId="77777777" w:rsidR="00713AF8" w:rsidRPr="00583F51" w:rsidRDefault="00713AF8" w:rsidP="00F3401C">
            <w:pPr>
              <w:pStyle w:val="In-tableHeading"/>
              <w:rPr>
                <w:szCs w:val="20"/>
                <w:lang w:val="en-AU"/>
              </w:rPr>
            </w:pPr>
            <w:r w:rsidRPr="00583F51">
              <w:rPr>
                <w:szCs w:val="20"/>
                <w:lang w:val="en-AU"/>
              </w:rPr>
              <w:t>Net financial implications</w:t>
            </w:r>
            <w:r w:rsidRPr="00583F51">
              <w:rPr>
                <w:color w:val="4BACC6" w:themeColor="accent5"/>
                <w:szCs w:val="20"/>
                <w:lang w:val="en-AU"/>
              </w:rPr>
              <w:t xml:space="preserve"> </w:t>
            </w:r>
          </w:p>
        </w:tc>
      </w:tr>
      <w:tr w:rsidR="00713AF8" w:rsidRPr="00583F51" w14:paraId="71A385C1" w14:textId="77777777" w:rsidTr="00F3401C">
        <w:tc>
          <w:tcPr>
            <w:tcW w:w="1334" w:type="pct"/>
            <w:shd w:val="clear" w:color="auto" w:fill="auto"/>
            <w:vAlign w:val="center"/>
          </w:tcPr>
          <w:p w14:paraId="353B3A44" w14:textId="77777777" w:rsidR="00713AF8" w:rsidRPr="00583F51" w:rsidRDefault="00713AF8" w:rsidP="00F3401C">
            <w:pPr>
              <w:pStyle w:val="TableText0"/>
              <w:rPr>
                <w:szCs w:val="20"/>
              </w:rPr>
            </w:pPr>
            <w:r w:rsidRPr="00583F51">
              <w:rPr>
                <w:szCs w:val="20"/>
              </w:rPr>
              <w:t>Net cost to PBS/RPBS</w:t>
            </w:r>
          </w:p>
        </w:tc>
        <w:tc>
          <w:tcPr>
            <w:tcW w:w="611" w:type="pct"/>
            <w:tcBorders>
              <w:top w:val="single" w:sz="4" w:space="0" w:color="auto"/>
              <w:left w:val="nil"/>
              <w:bottom w:val="single" w:sz="4" w:space="0" w:color="auto"/>
              <w:right w:val="single" w:sz="4" w:space="0" w:color="auto"/>
            </w:tcBorders>
            <w:shd w:val="clear" w:color="auto" w:fill="auto"/>
            <w:vAlign w:val="center"/>
          </w:tcPr>
          <w:p w14:paraId="3C371E6A" w14:textId="1D651A91"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49"/>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9"/>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9"/>
                <w14:textFill>
                  <w14:solidFill>
                    <w14:srgbClr w14:val="000000">
                      <w14:alpha w14:val="100000"/>
                    </w14:srgbClr>
                  </w14:solidFill>
                </w14:textFill>
              </w:rPr>
              <w:t xml:space="preserve">　</w:t>
            </w:r>
            <w:r w:rsidR="00702A8E" w:rsidRPr="00EE591D">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996AEF0" w14:textId="69004077"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48"/>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8"/>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8"/>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4C1EC48" w14:textId="600CDD6F"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47"/>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7"/>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7"/>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E923762" w14:textId="5CAC1CA5"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46"/>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6"/>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6"/>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A639166" w14:textId="0B98934A" w:rsidR="00713AF8" w:rsidRPr="00583F51" w:rsidRDefault="00474E21" w:rsidP="00F3401C">
            <w:pPr>
              <w:pStyle w:val="TableText0"/>
              <w:jc w:val="center"/>
              <w:rPr>
                <w:szCs w:val="20"/>
              </w:rPr>
            </w:pPr>
            <w:r w:rsidRPr="00474E21">
              <w:rPr>
                <w:rFonts w:cs="Calibri" w:hint="eastAsia"/>
                <w:color w:val="000000"/>
                <w:w w:val="15"/>
                <w:szCs w:val="20"/>
                <w:shd w:val="solid" w:color="000000" w:fill="000000"/>
                <w:fitText w:val="60" w:id="-894212345"/>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5"/>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5"/>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8CDFE59" w14:textId="66911F2E" w:rsidR="00713AF8" w:rsidRPr="00EE591D" w:rsidRDefault="00474E21" w:rsidP="00F3401C">
            <w:pPr>
              <w:pStyle w:val="TableText0"/>
              <w:jc w:val="center"/>
              <w:rPr>
                <w:szCs w:val="20"/>
                <w:highlight w:val="darkGray"/>
              </w:rPr>
            </w:pPr>
            <w:r w:rsidRPr="00474E21">
              <w:rPr>
                <w:rFonts w:cs="Calibri" w:hint="eastAsia"/>
                <w:color w:val="000000"/>
                <w:w w:val="15"/>
                <w:szCs w:val="20"/>
                <w:shd w:val="solid" w:color="000000" w:fill="000000"/>
                <w:fitText w:val="60" w:id="-894212344"/>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4"/>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4"/>
                <w14:textFill>
                  <w14:solidFill>
                    <w14:srgbClr w14:val="000000">
                      <w14:alpha w14:val="100000"/>
                    </w14:srgbClr>
                  </w14:solidFill>
                </w14:textFill>
              </w:rPr>
              <w:t xml:space="preserve">　</w:t>
            </w:r>
            <w:r w:rsidR="00702A8E" w:rsidRPr="00EE591D">
              <w:rPr>
                <w:szCs w:val="20"/>
                <w:vertAlign w:val="superscript"/>
              </w:rPr>
              <w:t>7</w:t>
            </w:r>
          </w:p>
        </w:tc>
      </w:tr>
      <w:tr w:rsidR="00713AF8" w:rsidRPr="00583F51" w14:paraId="7C804C39" w14:textId="77777777" w:rsidTr="00F3401C">
        <w:tc>
          <w:tcPr>
            <w:tcW w:w="1334" w:type="pct"/>
            <w:tcBorders>
              <w:top w:val="single" w:sz="4" w:space="0" w:color="auto"/>
              <w:left w:val="single" w:sz="4" w:space="0" w:color="auto"/>
              <w:bottom w:val="single" w:sz="4" w:space="0" w:color="auto"/>
            </w:tcBorders>
          </w:tcPr>
          <w:p w14:paraId="294F2CC2" w14:textId="77777777" w:rsidR="00713AF8" w:rsidRPr="00583F51" w:rsidRDefault="00713AF8" w:rsidP="00F3401C">
            <w:pPr>
              <w:pStyle w:val="TableText0"/>
              <w:rPr>
                <w:szCs w:val="20"/>
              </w:rPr>
            </w:pPr>
            <w:r w:rsidRPr="00482A36">
              <w:rPr>
                <w:bCs w:val="0"/>
                <w:szCs w:val="20"/>
              </w:rPr>
              <w:t>Change in MBS costs</w:t>
            </w:r>
          </w:p>
        </w:tc>
        <w:tc>
          <w:tcPr>
            <w:tcW w:w="611" w:type="pct"/>
            <w:tcBorders>
              <w:bottom w:val="single" w:sz="4" w:space="0" w:color="auto"/>
            </w:tcBorders>
            <w:vAlign w:val="center"/>
          </w:tcPr>
          <w:p w14:paraId="5D74DAD4" w14:textId="2ED0FFD3"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43"/>
                <w14:textFill>
                  <w14:solidFill>
                    <w14:srgbClr w14:val="000000">
                      <w14:alpha w14:val="100000"/>
                    </w14:srgbClr>
                  </w14:solidFill>
                </w14:textFill>
              </w:rPr>
              <w:t xml:space="preserve">　</w:t>
            </w:r>
            <w:r w:rsidRPr="00474E21">
              <w:rPr>
                <w:color w:val="000000"/>
                <w:w w:val="15"/>
                <w:szCs w:val="20"/>
                <w:shd w:val="solid" w:color="000000" w:fill="000000"/>
                <w:fitText w:val="60" w:id="-894212343"/>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3"/>
                <w14:textFill>
                  <w14:solidFill>
                    <w14:srgbClr w14:val="000000">
                      <w14:alpha w14:val="100000"/>
                    </w14:srgbClr>
                  </w14:solidFill>
                </w14:textFill>
              </w:rPr>
              <w:t xml:space="preserve">　</w:t>
            </w:r>
            <w:r w:rsidR="00702A8E" w:rsidRPr="00EE591D">
              <w:rPr>
                <w:szCs w:val="20"/>
                <w:vertAlign w:val="superscript"/>
              </w:rPr>
              <w:t>8</w:t>
            </w:r>
          </w:p>
        </w:tc>
        <w:tc>
          <w:tcPr>
            <w:tcW w:w="611" w:type="pct"/>
            <w:tcBorders>
              <w:bottom w:val="single" w:sz="4" w:space="0" w:color="auto"/>
            </w:tcBorders>
            <w:vAlign w:val="center"/>
          </w:tcPr>
          <w:p w14:paraId="66FBD460" w14:textId="4AF92EE2"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42"/>
                <w14:textFill>
                  <w14:solidFill>
                    <w14:srgbClr w14:val="000000">
                      <w14:alpha w14:val="100000"/>
                    </w14:srgbClr>
                  </w14:solidFill>
                </w14:textFill>
              </w:rPr>
              <w:t xml:space="preserve">　</w:t>
            </w:r>
            <w:r w:rsidRPr="00474E21">
              <w:rPr>
                <w:color w:val="000000"/>
                <w:w w:val="15"/>
                <w:szCs w:val="20"/>
                <w:shd w:val="solid" w:color="000000" w:fill="000000"/>
                <w:fitText w:val="60" w:id="-894212342"/>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2"/>
                <w14:textFill>
                  <w14:solidFill>
                    <w14:srgbClr w14:val="000000">
                      <w14:alpha w14:val="100000"/>
                    </w14:srgbClr>
                  </w14:solidFill>
                </w14:textFill>
              </w:rPr>
              <w:t xml:space="preserve">　</w:t>
            </w:r>
            <w:r w:rsidR="00702A8E">
              <w:rPr>
                <w:szCs w:val="20"/>
                <w:vertAlign w:val="superscript"/>
              </w:rPr>
              <w:t>8</w:t>
            </w:r>
          </w:p>
        </w:tc>
        <w:tc>
          <w:tcPr>
            <w:tcW w:w="611" w:type="pct"/>
            <w:tcBorders>
              <w:bottom w:val="single" w:sz="4" w:space="0" w:color="auto"/>
            </w:tcBorders>
            <w:vAlign w:val="center"/>
          </w:tcPr>
          <w:p w14:paraId="660F4D26" w14:textId="32E287F3"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41"/>
                <w14:textFill>
                  <w14:solidFill>
                    <w14:srgbClr w14:val="000000">
                      <w14:alpha w14:val="100000"/>
                    </w14:srgbClr>
                  </w14:solidFill>
                </w14:textFill>
              </w:rPr>
              <w:t xml:space="preserve">　</w:t>
            </w:r>
            <w:r w:rsidRPr="00474E21">
              <w:rPr>
                <w:color w:val="000000"/>
                <w:w w:val="15"/>
                <w:szCs w:val="20"/>
                <w:shd w:val="solid" w:color="000000" w:fill="000000"/>
                <w:fitText w:val="60" w:id="-894212341"/>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1"/>
                <w14:textFill>
                  <w14:solidFill>
                    <w14:srgbClr w14:val="000000">
                      <w14:alpha w14:val="100000"/>
                    </w14:srgbClr>
                  </w14:solidFill>
                </w14:textFill>
              </w:rPr>
              <w:t xml:space="preserve">　</w:t>
            </w:r>
            <w:r w:rsidR="00702A8E">
              <w:rPr>
                <w:szCs w:val="20"/>
                <w:vertAlign w:val="superscript"/>
              </w:rPr>
              <w:t>8</w:t>
            </w:r>
          </w:p>
        </w:tc>
        <w:tc>
          <w:tcPr>
            <w:tcW w:w="611" w:type="pct"/>
            <w:tcBorders>
              <w:bottom w:val="single" w:sz="4" w:space="0" w:color="auto"/>
            </w:tcBorders>
            <w:vAlign w:val="center"/>
          </w:tcPr>
          <w:p w14:paraId="740FA8AE" w14:textId="67B08788"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40"/>
                <w14:textFill>
                  <w14:solidFill>
                    <w14:srgbClr w14:val="000000">
                      <w14:alpha w14:val="100000"/>
                    </w14:srgbClr>
                  </w14:solidFill>
                </w14:textFill>
              </w:rPr>
              <w:t xml:space="preserve">　</w:t>
            </w:r>
            <w:r w:rsidRPr="00474E21">
              <w:rPr>
                <w:color w:val="000000"/>
                <w:w w:val="15"/>
                <w:szCs w:val="20"/>
                <w:shd w:val="solid" w:color="000000" w:fill="000000"/>
                <w:fitText w:val="60" w:id="-894212340"/>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0"/>
                <w14:textFill>
                  <w14:solidFill>
                    <w14:srgbClr w14:val="000000">
                      <w14:alpha w14:val="100000"/>
                    </w14:srgbClr>
                  </w14:solidFill>
                </w14:textFill>
              </w:rPr>
              <w:t xml:space="preserve">　</w:t>
            </w:r>
            <w:r w:rsidR="00702A8E">
              <w:rPr>
                <w:szCs w:val="20"/>
                <w:vertAlign w:val="superscript"/>
              </w:rPr>
              <w:t>8</w:t>
            </w:r>
          </w:p>
        </w:tc>
        <w:tc>
          <w:tcPr>
            <w:tcW w:w="611" w:type="pct"/>
            <w:tcBorders>
              <w:bottom w:val="single" w:sz="4" w:space="0" w:color="auto"/>
            </w:tcBorders>
            <w:vAlign w:val="center"/>
          </w:tcPr>
          <w:p w14:paraId="17C72169" w14:textId="05E22CA8"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39"/>
                <w14:textFill>
                  <w14:solidFill>
                    <w14:srgbClr w14:val="000000">
                      <w14:alpha w14:val="100000"/>
                    </w14:srgbClr>
                  </w14:solidFill>
                </w14:textFill>
              </w:rPr>
              <w:t xml:space="preserve">　</w:t>
            </w:r>
            <w:r w:rsidRPr="00474E21">
              <w:rPr>
                <w:color w:val="000000"/>
                <w:w w:val="15"/>
                <w:szCs w:val="20"/>
                <w:shd w:val="solid" w:color="000000" w:fill="000000"/>
                <w:fitText w:val="60" w:id="-894212339"/>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9"/>
                <w14:textFill>
                  <w14:solidFill>
                    <w14:srgbClr w14:val="000000">
                      <w14:alpha w14:val="100000"/>
                    </w14:srgbClr>
                  </w14:solidFill>
                </w14:textFill>
              </w:rPr>
              <w:t xml:space="preserve">　</w:t>
            </w:r>
            <w:r w:rsidR="00702A8E">
              <w:rPr>
                <w:szCs w:val="20"/>
                <w:vertAlign w:val="superscript"/>
              </w:rPr>
              <w:t>8</w:t>
            </w:r>
          </w:p>
        </w:tc>
        <w:tc>
          <w:tcPr>
            <w:tcW w:w="611" w:type="pct"/>
            <w:tcBorders>
              <w:bottom w:val="single" w:sz="4" w:space="0" w:color="auto"/>
            </w:tcBorders>
            <w:vAlign w:val="center"/>
          </w:tcPr>
          <w:p w14:paraId="4D5978E8" w14:textId="6E4A34F0" w:rsidR="00713AF8" w:rsidRPr="00583F51" w:rsidRDefault="00474E21" w:rsidP="00F3401C">
            <w:pPr>
              <w:pStyle w:val="TableText0"/>
              <w:jc w:val="center"/>
              <w:rPr>
                <w:szCs w:val="20"/>
              </w:rPr>
            </w:pPr>
            <w:r w:rsidRPr="00474E21">
              <w:rPr>
                <w:rFonts w:hint="eastAsia"/>
                <w:color w:val="000000"/>
                <w:w w:val="15"/>
                <w:szCs w:val="20"/>
                <w:shd w:val="solid" w:color="000000" w:fill="000000"/>
                <w:fitText w:val="60" w:id="-894212338"/>
                <w14:textFill>
                  <w14:solidFill>
                    <w14:srgbClr w14:val="000000">
                      <w14:alpha w14:val="100000"/>
                    </w14:srgbClr>
                  </w14:solidFill>
                </w14:textFill>
              </w:rPr>
              <w:t xml:space="preserve">　</w:t>
            </w:r>
            <w:r w:rsidRPr="00474E21">
              <w:rPr>
                <w:color w:val="000000"/>
                <w:w w:val="15"/>
                <w:szCs w:val="20"/>
                <w:shd w:val="solid" w:color="000000" w:fill="000000"/>
                <w:fitText w:val="60" w:id="-894212338"/>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8"/>
                <w14:textFill>
                  <w14:solidFill>
                    <w14:srgbClr w14:val="000000">
                      <w14:alpha w14:val="100000"/>
                    </w14:srgbClr>
                  </w14:solidFill>
                </w14:textFill>
              </w:rPr>
              <w:t xml:space="preserve">　</w:t>
            </w:r>
            <w:r w:rsidR="00702A8E">
              <w:rPr>
                <w:szCs w:val="20"/>
                <w:vertAlign w:val="superscript"/>
              </w:rPr>
              <w:t>8</w:t>
            </w:r>
          </w:p>
        </w:tc>
      </w:tr>
      <w:tr w:rsidR="00713AF8" w:rsidRPr="00583F51" w14:paraId="083F8470" w14:textId="77777777" w:rsidTr="00F3401C">
        <w:tc>
          <w:tcPr>
            <w:tcW w:w="1334" w:type="pct"/>
            <w:shd w:val="clear" w:color="auto" w:fill="auto"/>
            <w:vAlign w:val="center"/>
          </w:tcPr>
          <w:p w14:paraId="60F90EC8" w14:textId="77777777" w:rsidR="00713AF8" w:rsidRPr="00583F51" w:rsidRDefault="00713AF8" w:rsidP="00F3401C">
            <w:pPr>
              <w:pStyle w:val="TableText0"/>
              <w:rPr>
                <w:szCs w:val="20"/>
              </w:rPr>
            </w:pPr>
            <w:r w:rsidRPr="00583F51">
              <w:rPr>
                <w:szCs w:val="20"/>
              </w:rPr>
              <w:t>Net cost to PBS/RPBS/MBS</w:t>
            </w:r>
          </w:p>
        </w:tc>
        <w:tc>
          <w:tcPr>
            <w:tcW w:w="611" w:type="pct"/>
            <w:tcBorders>
              <w:top w:val="single" w:sz="4" w:space="0" w:color="auto"/>
              <w:left w:val="nil"/>
              <w:bottom w:val="single" w:sz="4" w:space="0" w:color="auto"/>
              <w:right w:val="single" w:sz="4" w:space="0" w:color="auto"/>
            </w:tcBorders>
            <w:shd w:val="clear" w:color="auto" w:fill="auto"/>
            <w:vAlign w:val="bottom"/>
          </w:tcPr>
          <w:p w14:paraId="4DB8F409" w14:textId="63FAF786"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37"/>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7"/>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7"/>
                <w14:textFill>
                  <w14:solidFill>
                    <w14:srgbClr w14:val="000000">
                      <w14:alpha w14:val="100000"/>
                    </w14:srgbClr>
                  </w14:solidFill>
                </w14:textFill>
              </w:rPr>
              <w:t xml:space="preserve">　</w:t>
            </w:r>
            <w:r w:rsidR="00702A8E" w:rsidRPr="00EE591D">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4B76CDE4" w14:textId="3358A84C"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36"/>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6"/>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6"/>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27C58EC1" w14:textId="27A12F67"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52"/>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2"/>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2"/>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61023D4E" w14:textId="4163D7B8"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51"/>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1"/>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1"/>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2DF6C635" w14:textId="5B0BDD26"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50"/>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0"/>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0"/>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6F1EB62B" w14:textId="7A20DEDF" w:rsidR="00713AF8" w:rsidRPr="00482A36" w:rsidRDefault="00474E21" w:rsidP="00F3401C">
            <w:pPr>
              <w:pStyle w:val="TableText0"/>
              <w:jc w:val="center"/>
              <w:rPr>
                <w:szCs w:val="20"/>
              </w:rPr>
            </w:pPr>
            <w:r w:rsidRPr="00474E21">
              <w:rPr>
                <w:rFonts w:cs="Calibri" w:hint="eastAsia"/>
                <w:color w:val="000000"/>
                <w:w w:val="15"/>
                <w:szCs w:val="20"/>
                <w:shd w:val="solid" w:color="000000" w:fill="000000"/>
                <w:fitText w:val="60" w:id="-894212349"/>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9"/>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9"/>
                <w14:textFill>
                  <w14:solidFill>
                    <w14:srgbClr w14:val="000000">
                      <w14:alpha w14:val="100000"/>
                    </w14:srgbClr>
                  </w14:solidFill>
                </w14:textFill>
              </w:rPr>
              <w:t xml:space="preserve">　</w:t>
            </w:r>
            <w:r w:rsidR="00702A8E">
              <w:rPr>
                <w:szCs w:val="20"/>
                <w:vertAlign w:val="superscript"/>
              </w:rPr>
              <w:t>7</w:t>
            </w:r>
          </w:p>
        </w:tc>
      </w:tr>
      <w:tr w:rsidR="00066031" w:rsidRPr="00583F51" w14:paraId="25181467" w14:textId="77777777" w:rsidTr="00066031">
        <w:tc>
          <w:tcPr>
            <w:tcW w:w="5000" w:type="pct"/>
            <w:gridSpan w:val="7"/>
            <w:tcBorders>
              <w:right w:val="single" w:sz="4" w:space="0" w:color="auto"/>
            </w:tcBorders>
            <w:shd w:val="clear" w:color="auto" w:fill="auto"/>
            <w:vAlign w:val="center"/>
          </w:tcPr>
          <w:p w14:paraId="4B62B720" w14:textId="16B40A37" w:rsidR="00066031" w:rsidRPr="00066031" w:rsidRDefault="00066031" w:rsidP="00066031">
            <w:pPr>
              <w:pStyle w:val="TableText0"/>
              <w:rPr>
                <w:rFonts w:cs="Calibri"/>
                <w:color w:val="000000"/>
                <w:szCs w:val="20"/>
              </w:rPr>
            </w:pPr>
            <w:r>
              <w:rPr>
                <w:b/>
                <w:bCs w:val="0"/>
                <w:szCs w:val="20"/>
              </w:rPr>
              <w:t>Net financial implications: p</w:t>
            </w:r>
            <w:r w:rsidRPr="00066031">
              <w:rPr>
                <w:b/>
                <w:bCs w:val="0"/>
                <w:szCs w:val="20"/>
              </w:rPr>
              <w:t>re-PBAC response</w:t>
            </w:r>
          </w:p>
        </w:tc>
      </w:tr>
      <w:tr w:rsidR="0005741A" w:rsidRPr="00583F51" w14:paraId="02F2C67E" w14:textId="77777777" w:rsidTr="0005741A">
        <w:tc>
          <w:tcPr>
            <w:tcW w:w="1334" w:type="pct"/>
            <w:shd w:val="clear" w:color="auto" w:fill="auto"/>
            <w:vAlign w:val="center"/>
          </w:tcPr>
          <w:p w14:paraId="3E59A6F8" w14:textId="3778DE4C" w:rsidR="0005741A" w:rsidRDefault="0005741A" w:rsidP="0005741A">
            <w:pPr>
              <w:pStyle w:val="TableText0"/>
              <w:rPr>
                <w:szCs w:val="20"/>
              </w:rPr>
            </w:pPr>
            <w:r w:rsidRPr="00583F51">
              <w:rPr>
                <w:szCs w:val="20"/>
              </w:rPr>
              <w:t>Net cost to PBS/RPBS</w:t>
            </w:r>
          </w:p>
        </w:tc>
        <w:tc>
          <w:tcPr>
            <w:tcW w:w="611" w:type="pct"/>
            <w:tcBorders>
              <w:top w:val="single" w:sz="4" w:space="0" w:color="auto"/>
              <w:left w:val="nil"/>
              <w:bottom w:val="single" w:sz="4" w:space="0" w:color="auto"/>
              <w:right w:val="single" w:sz="4" w:space="0" w:color="auto"/>
            </w:tcBorders>
            <w:shd w:val="clear" w:color="auto" w:fill="auto"/>
            <w:vAlign w:val="center"/>
          </w:tcPr>
          <w:p w14:paraId="106758AE" w14:textId="13AE4226"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8"/>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8"/>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8"/>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7C1C3DB" w14:textId="7B88FB3E"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7"/>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7"/>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7"/>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F838EB0" w14:textId="489C686D"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6"/>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6"/>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6"/>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505BF84" w14:textId="4C8252F5"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5"/>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5"/>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5"/>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8911308" w14:textId="0AE6308F"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4"/>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4"/>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4"/>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093D8D9" w14:textId="31A252A7" w:rsidR="0005741A" w:rsidRPr="00066031" w:rsidRDefault="00474E21" w:rsidP="0005741A">
            <w:pPr>
              <w:pStyle w:val="TableText0"/>
              <w:jc w:val="center"/>
              <w:rPr>
                <w:rFonts w:cs="Calibri"/>
                <w:color w:val="000000"/>
                <w:szCs w:val="20"/>
              </w:rPr>
            </w:pPr>
            <w:r w:rsidRPr="00474E21">
              <w:rPr>
                <w:rFonts w:cs="Calibri" w:hint="eastAsia"/>
                <w:color w:val="000000"/>
                <w:w w:val="15"/>
                <w:szCs w:val="20"/>
                <w:shd w:val="solid" w:color="000000" w:fill="000000"/>
                <w:fitText w:val="60" w:id="-894212343"/>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3"/>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3"/>
                <w14:textFill>
                  <w14:solidFill>
                    <w14:srgbClr w14:val="000000">
                      <w14:alpha w14:val="100000"/>
                    </w14:srgbClr>
                  </w14:solidFill>
                </w14:textFill>
              </w:rPr>
              <w:t xml:space="preserve">　</w:t>
            </w:r>
            <w:r w:rsidR="00702A8E">
              <w:rPr>
                <w:szCs w:val="20"/>
                <w:vertAlign w:val="superscript"/>
              </w:rPr>
              <w:t>7</w:t>
            </w:r>
          </w:p>
        </w:tc>
      </w:tr>
      <w:tr w:rsidR="00066031" w:rsidRPr="00583F51" w14:paraId="5984A8D9" w14:textId="77777777" w:rsidTr="0005741A">
        <w:tc>
          <w:tcPr>
            <w:tcW w:w="1334" w:type="pct"/>
            <w:shd w:val="clear" w:color="auto" w:fill="auto"/>
          </w:tcPr>
          <w:p w14:paraId="4093D33C" w14:textId="5721AD99" w:rsidR="00066031" w:rsidRDefault="00066031" w:rsidP="00066031">
            <w:pPr>
              <w:pStyle w:val="TableText0"/>
              <w:rPr>
                <w:szCs w:val="20"/>
              </w:rPr>
            </w:pPr>
            <w:r w:rsidRPr="00482A36">
              <w:rPr>
                <w:bCs w:val="0"/>
                <w:szCs w:val="20"/>
              </w:rPr>
              <w:t>Change in MBS costs</w:t>
            </w:r>
          </w:p>
        </w:tc>
        <w:tc>
          <w:tcPr>
            <w:tcW w:w="611" w:type="pct"/>
            <w:tcBorders>
              <w:top w:val="single" w:sz="4" w:space="0" w:color="auto"/>
              <w:left w:val="nil"/>
              <w:bottom w:val="single" w:sz="4" w:space="0" w:color="auto"/>
              <w:right w:val="single" w:sz="4" w:space="0" w:color="auto"/>
            </w:tcBorders>
            <w:shd w:val="clear" w:color="auto" w:fill="auto"/>
            <w:vAlign w:val="center"/>
          </w:tcPr>
          <w:p w14:paraId="021B8875" w14:textId="1B1B3037"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42"/>
                <w14:textFill>
                  <w14:solidFill>
                    <w14:srgbClr w14:val="000000">
                      <w14:alpha w14:val="100000"/>
                    </w14:srgbClr>
                  </w14:solidFill>
                </w14:textFill>
              </w:rPr>
              <w:t xml:space="preserve">　</w:t>
            </w:r>
            <w:r w:rsidRPr="00474E21">
              <w:rPr>
                <w:color w:val="000000"/>
                <w:w w:val="15"/>
                <w:szCs w:val="20"/>
                <w:shd w:val="solid" w:color="000000" w:fill="000000"/>
                <w:fitText w:val="60" w:id="-894212342"/>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2"/>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54E93F1" w14:textId="1660CDE7"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41"/>
                <w14:textFill>
                  <w14:solidFill>
                    <w14:srgbClr w14:val="000000">
                      <w14:alpha w14:val="100000"/>
                    </w14:srgbClr>
                  </w14:solidFill>
                </w14:textFill>
              </w:rPr>
              <w:t xml:space="preserve">　</w:t>
            </w:r>
            <w:r w:rsidRPr="00474E21">
              <w:rPr>
                <w:color w:val="000000"/>
                <w:w w:val="15"/>
                <w:szCs w:val="20"/>
                <w:shd w:val="solid" w:color="000000" w:fill="000000"/>
                <w:fitText w:val="60" w:id="-894212341"/>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1"/>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28E8188" w14:textId="715D9E61"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40"/>
                <w14:textFill>
                  <w14:solidFill>
                    <w14:srgbClr w14:val="000000">
                      <w14:alpha w14:val="100000"/>
                    </w14:srgbClr>
                  </w14:solidFill>
                </w14:textFill>
              </w:rPr>
              <w:t xml:space="preserve">　</w:t>
            </w:r>
            <w:r w:rsidRPr="00474E21">
              <w:rPr>
                <w:color w:val="000000"/>
                <w:w w:val="15"/>
                <w:szCs w:val="20"/>
                <w:shd w:val="solid" w:color="000000" w:fill="000000"/>
                <w:fitText w:val="60" w:id="-894212340"/>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40"/>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00C2E6D" w14:textId="6D983241"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39"/>
                <w14:textFill>
                  <w14:solidFill>
                    <w14:srgbClr w14:val="000000">
                      <w14:alpha w14:val="100000"/>
                    </w14:srgbClr>
                  </w14:solidFill>
                </w14:textFill>
              </w:rPr>
              <w:t xml:space="preserve">　</w:t>
            </w:r>
            <w:r w:rsidRPr="00474E21">
              <w:rPr>
                <w:color w:val="000000"/>
                <w:w w:val="15"/>
                <w:szCs w:val="20"/>
                <w:shd w:val="solid" w:color="000000" w:fill="000000"/>
                <w:fitText w:val="60" w:id="-894212339"/>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9"/>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E5DD447" w14:textId="04DA7569"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38"/>
                <w14:textFill>
                  <w14:solidFill>
                    <w14:srgbClr w14:val="000000">
                      <w14:alpha w14:val="100000"/>
                    </w14:srgbClr>
                  </w14:solidFill>
                </w14:textFill>
              </w:rPr>
              <w:t xml:space="preserve">　</w:t>
            </w:r>
            <w:r w:rsidRPr="00474E21">
              <w:rPr>
                <w:color w:val="000000"/>
                <w:w w:val="15"/>
                <w:szCs w:val="20"/>
                <w:shd w:val="solid" w:color="000000" w:fill="000000"/>
                <w:fitText w:val="60" w:id="-894212338"/>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8"/>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0A588FA" w14:textId="294BC4A2" w:rsidR="00066031" w:rsidRPr="00066031" w:rsidRDefault="00474E21" w:rsidP="00066031">
            <w:pPr>
              <w:pStyle w:val="TableText0"/>
              <w:jc w:val="center"/>
              <w:rPr>
                <w:rFonts w:cs="Calibri"/>
                <w:color w:val="000000"/>
                <w:szCs w:val="20"/>
              </w:rPr>
            </w:pPr>
            <w:r w:rsidRPr="00474E21">
              <w:rPr>
                <w:rFonts w:hint="eastAsia"/>
                <w:color w:val="000000"/>
                <w:w w:val="15"/>
                <w:szCs w:val="20"/>
                <w:shd w:val="solid" w:color="000000" w:fill="000000"/>
                <w:fitText w:val="60" w:id="-894212337"/>
                <w14:textFill>
                  <w14:solidFill>
                    <w14:srgbClr w14:val="000000">
                      <w14:alpha w14:val="100000"/>
                    </w14:srgbClr>
                  </w14:solidFill>
                </w14:textFill>
              </w:rPr>
              <w:t xml:space="preserve">　</w:t>
            </w:r>
            <w:r w:rsidRPr="00474E21">
              <w:rPr>
                <w:color w:val="000000"/>
                <w:w w:val="15"/>
                <w:szCs w:val="20"/>
                <w:shd w:val="solid" w:color="000000" w:fill="000000"/>
                <w:fitText w:val="60" w:id="-894212337"/>
                <w14:textFill>
                  <w14:solidFill>
                    <w14:srgbClr w14:val="000000">
                      <w14:alpha w14:val="100000"/>
                    </w14:srgbClr>
                  </w14:solidFill>
                </w14:textFill>
              </w:rPr>
              <w:t>|</w:t>
            </w:r>
            <w:r w:rsidRPr="00474E21">
              <w:rPr>
                <w:rFonts w:hint="eastAsia"/>
                <w:color w:val="000000"/>
                <w:spacing w:val="-5"/>
                <w:w w:val="15"/>
                <w:szCs w:val="20"/>
                <w:shd w:val="solid" w:color="000000" w:fill="000000"/>
                <w:fitText w:val="60" w:id="-894212337"/>
                <w14:textFill>
                  <w14:solidFill>
                    <w14:srgbClr w14:val="000000">
                      <w14:alpha w14:val="100000"/>
                    </w14:srgbClr>
                  </w14:solidFill>
                </w14:textFill>
              </w:rPr>
              <w:t xml:space="preserve">　</w:t>
            </w:r>
            <w:r w:rsidR="00702A8E">
              <w:rPr>
                <w:szCs w:val="20"/>
                <w:vertAlign w:val="superscript"/>
              </w:rPr>
              <w:t>8</w:t>
            </w:r>
          </w:p>
        </w:tc>
      </w:tr>
      <w:tr w:rsidR="00066031" w:rsidRPr="00583F51" w14:paraId="274D38C8" w14:textId="77777777" w:rsidTr="00066031">
        <w:tc>
          <w:tcPr>
            <w:tcW w:w="1334" w:type="pct"/>
            <w:shd w:val="clear" w:color="auto" w:fill="auto"/>
            <w:vAlign w:val="center"/>
          </w:tcPr>
          <w:p w14:paraId="1FFE6BA2" w14:textId="77777777" w:rsidR="00066031" w:rsidRDefault="00066031" w:rsidP="00066031">
            <w:pPr>
              <w:pStyle w:val="TableText0"/>
              <w:rPr>
                <w:szCs w:val="20"/>
              </w:rPr>
            </w:pPr>
            <w:r>
              <w:rPr>
                <w:szCs w:val="20"/>
              </w:rPr>
              <w:t xml:space="preserve">Net cost to PBS/RPBS/MBS </w:t>
            </w:r>
          </w:p>
          <w:p w14:paraId="264A60F5" w14:textId="4C053FB5" w:rsidR="00066031" w:rsidRPr="00583F51" w:rsidRDefault="00066031" w:rsidP="00066031">
            <w:pPr>
              <w:pStyle w:val="TableText0"/>
              <w:rPr>
                <w:szCs w:val="20"/>
              </w:rPr>
            </w:pPr>
            <w:r>
              <w:rPr>
                <w:szCs w:val="20"/>
              </w:rPr>
              <w:t>Pre-PBAC response</w:t>
            </w:r>
          </w:p>
        </w:tc>
        <w:tc>
          <w:tcPr>
            <w:tcW w:w="611" w:type="pct"/>
            <w:tcBorders>
              <w:top w:val="single" w:sz="4" w:space="0" w:color="auto"/>
              <w:left w:val="nil"/>
              <w:bottom w:val="single" w:sz="4" w:space="0" w:color="auto"/>
              <w:right w:val="single" w:sz="4" w:space="0" w:color="auto"/>
            </w:tcBorders>
            <w:shd w:val="clear" w:color="auto" w:fill="auto"/>
            <w:vAlign w:val="center"/>
          </w:tcPr>
          <w:p w14:paraId="0E765F03" w14:textId="4334B64D"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36"/>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36"/>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36"/>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E27BEEB" w14:textId="3C3A4E8B"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52"/>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2"/>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2"/>
                <w14:textFill>
                  <w14:solidFill>
                    <w14:srgbClr w14:val="000000">
                      <w14:alpha w14:val="100000"/>
                    </w14:srgbClr>
                  </w14:solidFill>
                </w14:textFill>
              </w:rPr>
              <w:t xml:space="preserve">　</w:t>
            </w:r>
            <w:r w:rsidR="00702A8E">
              <w:rPr>
                <w:szCs w:val="20"/>
                <w:vertAlign w:val="superscript"/>
              </w:rPr>
              <w:t>8</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5D42C7E" w14:textId="5FDF9C49"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51"/>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1"/>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1"/>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7BB9FA3" w14:textId="2C8863E3"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50"/>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50"/>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50"/>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3E7FD18" w14:textId="426B8C53"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49"/>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9"/>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9"/>
                <w14:textFill>
                  <w14:solidFill>
                    <w14:srgbClr w14:val="000000">
                      <w14:alpha w14:val="100000"/>
                    </w14:srgbClr>
                  </w14:solidFill>
                </w14:textFill>
              </w:rPr>
              <w:t xml:space="preserve">　</w:t>
            </w:r>
            <w:r w:rsidR="00702A8E">
              <w:rPr>
                <w:szCs w:val="20"/>
                <w:vertAlign w:val="superscript"/>
              </w:rPr>
              <w:t>7</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5E54321" w14:textId="5ACAE6A0" w:rsidR="00066031" w:rsidRPr="00482A36" w:rsidRDefault="00474E21" w:rsidP="00066031">
            <w:pPr>
              <w:pStyle w:val="TableText0"/>
              <w:jc w:val="center"/>
              <w:rPr>
                <w:rFonts w:cs="Calibri"/>
                <w:color w:val="000000"/>
                <w:szCs w:val="20"/>
              </w:rPr>
            </w:pPr>
            <w:r w:rsidRPr="00474E21">
              <w:rPr>
                <w:rFonts w:cs="Calibri" w:hint="eastAsia"/>
                <w:color w:val="000000"/>
                <w:w w:val="15"/>
                <w:szCs w:val="20"/>
                <w:shd w:val="solid" w:color="000000" w:fill="000000"/>
                <w:fitText w:val="60" w:id="-894212348"/>
                <w14:textFill>
                  <w14:solidFill>
                    <w14:srgbClr w14:val="000000">
                      <w14:alpha w14:val="100000"/>
                    </w14:srgbClr>
                  </w14:solidFill>
                </w14:textFill>
              </w:rPr>
              <w:t xml:space="preserve">　</w:t>
            </w:r>
            <w:r w:rsidRPr="00474E21">
              <w:rPr>
                <w:rFonts w:cs="Calibri"/>
                <w:color w:val="000000"/>
                <w:w w:val="15"/>
                <w:szCs w:val="20"/>
                <w:shd w:val="solid" w:color="000000" w:fill="000000"/>
                <w:fitText w:val="60" w:id="-894212348"/>
                <w14:textFill>
                  <w14:solidFill>
                    <w14:srgbClr w14:val="000000">
                      <w14:alpha w14:val="100000"/>
                    </w14:srgbClr>
                  </w14:solidFill>
                </w14:textFill>
              </w:rPr>
              <w:t>|</w:t>
            </w:r>
            <w:r w:rsidRPr="00474E21">
              <w:rPr>
                <w:rFonts w:cs="Calibri" w:hint="eastAsia"/>
                <w:color w:val="000000"/>
                <w:spacing w:val="-5"/>
                <w:w w:val="15"/>
                <w:szCs w:val="20"/>
                <w:shd w:val="solid" w:color="000000" w:fill="000000"/>
                <w:fitText w:val="60" w:id="-894212348"/>
                <w14:textFill>
                  <w14:solidFill>
                    <w14:srgbClr w14:val="000000">
                      <w14:alpha w14:val="100000"/>
                    </w14:srgbClr>
                  </w14:solidFill>
                </w14:textFill>
              </w:rPr>
              <w:t xml:space="preserve">　</w:t>
            </w:r>
            <w:r w:rsidR="00702A8E">
              <w:rPr>
                <w:szCs w:val="20"/>
                <w:vertAlign w:val="superscript"/>
              </w:rPr>
              <w:t>7</w:t>
            </w:r>
          </w:p>
        </w:tc>
      </w:tr>
    </w:tbl>
    <w:p w14:paraId="308C4108" w14:textId="77777777" w:rsidR="00713AF8" w:rsidRPr="00482A36" w:rsidRDefault="00713AF8" w:rsidP="00713AF8">
      <w:pPr>
        <w:pStyle w:val="TableFigureFooter"/>
        <w:rPr>
          <w:szCs w:val="16"/>
        </w:rPr>
      </w:pPr>
      <w:r w:rsidRPr="00482A36">
        <w:rPr>
          <w:szCs w:val="16"/>
        </w:rPr>
        <w:t>Source: Tables 114-118, pp.270-273 of the submission.</w:t>
      </w:r>
    </w:p>
    <w:p w14:paraId="0FA7ADCB" w14:textId="77777777" w:rsidR="00713AF8" w:rsidRPr="00482A36" w:rsidRDefault="00713AF8" w:rsidP="00713AF8">
      <w:pPr>
        <w:pStyle w:val="TableFigureFooter"/>
        <w:spacing w:after="0"/>
        <w:rPr>
          <w:szCs w:val="16"/>
        </w:rPr>
      </w:pPr>
      <w:r w:rsidRPr="00482A36">
        <w:rPr>
          <w:szCs w:val="16"/>
        </w:rPr>
        <w:t>ABT = add=back therapy; LGX = linzagolix.</w:t>
      </w:r>
    </w:p>
    <w:p w14:paraId="074E4AEB" w14:textId="319880EE" w:rsidR="00066031" w:rsidRDefault="00713AF8" w:rsidP="00702A8E">
      <w:pPr>
        <w:pStyle w:val="FooterTableFigure"/>
        <w:spacing w:after="0"/>
        <w:ind w:left="165" w:hanging="165"/>
      </w:pPr>
      <w:r w:rsidRPr="00482A36">
        <w:rPr>
          <w:vertAlign w:val="superscript"/>
        </w:rPr>
        <w:t>a</w:t>
      </w:r>
      <w:r w:rsidRPr="00482A36">
        <w:tab/>
        <w:t>Assuming 13.04 LGX scripts per year as estimated by the submission, for the first six months of LGX treatment, assuming 100% adherence. After the first six months of treatment, 98.7% adherence was assumed.</w:t>
      </w:r>
    </w:p>
    <w:p w14:paraId="23A9071A" w14:textId="77777777" w:rsidR="00702A8E" w:rsidRPr="009A6D58" w:rsidRDefault="00702A8E" w:rsidP="00702A8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8233B9" w14:textId="4BD04019" w:rsidR="00702A8E" w:rsidRPr="009A6D58" w:rsidRDefault="00702A8E" w:rsidP="00702A8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02A8E">
        <w:rPr>
          <w:rFonts w:ascii="Arial Narrow" w:hAnsi="Arial Narrow"/>
          <w:i/>
          <w:sz w:val="18"/>
          <w:szCs w:val="18"/>
        </w:rPr>
        <w:t>500 to &lt; 5,000</w:t>
      </w:r>
    </w:p>
    <w:p w14:paraId="6C070F24" w14:textId="75EFEEB4" w:rsidR="00702A8E" w:rsidRPr="009A6D58" w:rsidRDefault="00702A8E" w:rsidP="00702A8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02A8E">
        <w:rPr>
          <w:rFonts w:ascii="Arial Narrow" w:hAnsi="Arial Narrow"/>
          <w:i/>
          <w:sz w:val="18"/>
          <w:szCs w:val="18"/>
        </w:rPr>
        <w:t>5,000 to &lt; 10,000</w:t>
      </w:r>
    </w:p>
    <w:p w14:paraId="65DCD2D9" w14:textId="548BDFB5" w:rsidR="00702A8E" w:rsidRDefault="00702A8E" w:rsidP="00702A8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5E6D91" w:rsidRPr="005E6D91">
        <w:rPr>
          <w:rFonts w:ascii="Arial Narrow" w:hAnsi="Arial Narrow"/>
          <w:i/>
          <w:sz w:val="18"/>
          <w:szCs w:val="18"/>
        </w:rPr>
        <w:t>50,000 to &lt; 60,000</w:t>
      </w:r>
    </w:p>
    <w:p w14:paraId="6391AD51" w14:textId="4B1BE447" w:rsidR="00702A8E" w:rsidRDefault="00702A8E" w:rsidP="00702A8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5E6D91">
        <w:rPr>
          <w:rFonts w:ascii="Arial Narrow" w:hAnsi="Arial Narrow"/>
          <w:i/>
          <w:sz w:val="18"/>
          <w:szCs w:val="18"/>
        </w:rPr>
        <w:t>6</w:t>
      </w:r>
      <w:r w:rsidR="005E6D91" w:rsidRPr="005E6D91">
        <w:rPr>
          <w:rFonts w:ascii="Arial Narrow" w:hAnsi="Arial Narrow"/>
          <w:i/>
          <w:sz w:val="18"/>
          <w:szCs w:val="18"/>
        </w:rPr>
        <w:t>0,000 to &lt; </w:t>
      </w:r>
      <w:r w:rsidR="005E6D91">
        <w:rPr>
          <w:rFonts w:ascii="Arial Narrow" w:hAnsi="Arial Narrow"/>
          <w:i/>
          <w:sz w:val="18"/>
          <w:szCs w:val="18"/>
        </w:rPr>
        <w:t>7</w:t>
      </w:r>
      <w:r w:rsidR="005E6D91" w:rsidRPr="005E6D91">
        <w:rPr>
          <w:rFonts w:ascii="Arial Narrow" w:hAnsi="Arial Narrow"/>
          <w:i/>
          <w:sz w:val="18"/>
          <w:szCs w:val="18"/>
        </w:rPr>
        <w:t>0,000</w:t>
      </w:r>
    </w:p>
    <w:p w14:paraId="66B2D823" w14:textId="074B83D0" w:rsidR="00702A8E" w:rsidRDefault="00702A8E" w:rsidP="00702A8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E6D91">
        <w:rPr>
          <w:rFonts w:ascii="Arial Narrow" w:hAnsi="Arial Narrow"/>
          <w:i/>
          <w:sz w:val="18"/>
          <w:szCs w:val="18"/>
        </w:rPr>
        <w:t>7</w:t>
      </w:r>
      <w:r w:rsidR="005E6D91" w:rsidRPr="005E6D91">
        <w:rPr>
          <w:rFonts w:ascii="Arial Narrow" w:hAnsi="Arial Narrow"/>
          <w:i/>
          <w:sz w:val="18"/>
          <w:szCs w:val="18"/>
        </w:rPr>
        <w:t>0,000 to &lt; </w:t>
      </w:r>
      <w:r w:rsidR="005E6D91">
        <w:rPr>
          <w:rFonts w:ascii="Arial Narrow" w:hAnsi="Arial Narrow"/>
          <w:i/>
          <w:sz w:val="18"/>
          <w:szCs w:val="18"/>
        </w:rPr>
        <w:t>8</w:t>
      </w:r>
      <w:r w:rsidR="005E6D91" w:rsidRPr="005E6D91">
        <w:rPr>
          <w:rFonts w:ascii="Arial Narrow" w:hAnsi="Arial Narrow"/>
          <w:i/>
          <w:sz w:val="18"/>
          <w:szCs w:val="18"/>
        </w:rPr>
        <w:t>0,000</w:t>
      </w:r>
    </w:p>
    <w:p w14:paraId="761A9D24" w14:textId="40C44307" w:rsidR="00702A8E" w:rsidRDefault="00702A8E" w:rsidP="00702A8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5E6D91">
        <w:rPr>
          <w:rFonts w:ascii="Arial Narrow" w:hAnsi="Arial Narrow"/>
          <w:i/>
          <w:sz w:val="18"/>
          <w:szCs w:val="18"/>
        </w:rPr>
        <w:t>8</w:t>
      </w:r>
      <w:r w:rsidR="005E6D91" w:rsidRPr="005E6D91">
        <w:rPr>
          <w:rFonts w:ascii="Arial Narrow" w:hAnsi="Arial Narrow"/>
          <w:i/>
          <w:sz w:val="18"/>
          <w:szCs w:val="18"/>
        </w:rPr>
        <w:t>0,000 to &lt; </w:t>
      </w:r>
      <w:r w:rsidR="005E6D91">
        <w:rPr>
          <w:rFonts w:ascii="Arial Narrow" w:hAnsi="Arial Narrow"/>
          <w:i/>
          <w:sz w:val="18"/>
          <w:szCs w:val="18"/>
        </w:rPr>
        <w:t>9</w:t>
      </w:r>
      <w:r w:rsidR="005E6D91" w:rsidRPr="005E6D91">
        <w:rPr>
          <w:rFonts w:ascii="Arial Narrow" w:hAnsi="Arial Narrow"/>
          <w:i/>
          <w:sz w:val="18"/>
          <w:szCs w:val="18"/>
        </w:rPr>
        <w:t>0,000</w:t>
      </w:r>
    </w:p>
    <w:p w14:paraId="760B5387" w14:textId="2FAFDC52" w:rsidR="00702A8E" w:rsidRPr="009A6D58" w:rsidRDefault="00702A8E" w:rsidP="00702A8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5E6D91" w:rsidRPr="005E6D91">
        <w:rPr>
          <w:rFonts w:ascii="Arial Narrow" w:hAnsi="Arial Narrow"/>
          <w:i/>
          <w:sz w:val="18"/>
          <w:szCs w:val="18"/>
        </w:rPr>
        <w:t>$10 million to &lt; $20 million</w:t>
      </w:r>
    </w:p>
    <w:p w14:paraId="5301129B" w14:textId="3D25853A" w:rsidR="00702A8E" w:rsidRPr="00702A8E" w:rsidRDefault="00702A8E" w:rsidP="00702A8E">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5E6D91" w:rsidRPr="005E6D91">
        <w:rPr>
          <w:rFonts w:ascii="Arial Narrow" w:hAnsi="Arial Narrow"/>
          <w:i/>
          <w:sz w:val="18"/>
          <w:szCs w:val="18"/>
        </w:rPr>
        <w:t>$0 to &lt; $</w:t>
      </w:r>
      <w:r w:rsidR="005E6D91">
        <w:rPr>
          <w:rFonts w:ascii="Arial Narrow" w:hAnsi="Arial Narrow"/>
          <w:i/>
          <w:sz w:val="18"/>
          <w:szCs w:val="18"/>
        </w:rPr>
        <w:t>1</w:t>
      </w:r>
      <w:r w:rsidR="005E6D91" w:rsidRPr="005E6D91">
        <w:rPr>
          <w:rFonts w:ascii="Arial Narrow" w:hAnsi="Arial Narrow"/>
          <w:i/>
          <w:sz w:val="18"/>
          <w:szCs w:val="18"/>
        </w:rPr>
        <w:t>0 million</w:t>
      </w:r>
    </w:p>
    <w:p w14:paraId="0C262CF0" w14:textId="2495306B" w:rsidR="00713AF8" w:rsidRPr="00482A36" w:rsidRDefault="00066031" w:rsidP="00713AF8">
      <w:pPr>
        <w:pStyle w:val="3-BodyText"/>
      </w:pPr>
      <w:r>
        <w:t>Based on the reduced price proposed in the pre-PBAC response the</w:t>
      </w:r>
      <w:r w:rsidRPr="00482A36">
        <w:t xml:space="preserve"> </w:t>
      </w:r>
      <w:r w:rsidR="00713AF8" w:rsidRPr="00482A36">
        <w:t xml:space="preserve">total cost to the PBS/RPBS of listing linzagolix was estimated to be </w:t>
      </w:r>
      <w:r w:rsidR="005E6D91" w:rsidRPr="005E6D91">
        <w:t>$10 million to &lt; $20 million</w:t>
      </w:r>
      <w:r w:rsidR="005E6D91" w:rsidRPr="005E6D91" w:rsidDel="005E6D91">
        <w:t xml:space="preserve"> </w:t>
      </w:r>
      <w:r w:rsidR="00713AF8" w:rsidRPr="00482A36">
        <w:t>in Year</w:t>
      </w:r>
      <w:r w:rsidR="00AA71F3">
        <w:t> </w:t>
      </w:r>
      <w:r w:rsidR="00713AF8" w:rsidRPr="00482A36">
        <w:t xml:space="preserve">6, and a total of </w:t>
      </w:r>
      <w:r w:rsidR="005E6D91" w:rsidRPr="005E6D91">
        <w:t>$60 million to &lt; $70 million</w:t>
      </w:r>
      <w:r w:rsidR="005E6D91" w:rsidRPr="005E6D91" w:rsidDel="005E6D91">
        <w:t xml:space="preserve"> </w:t>
      </w:r>
      <w:r w:rsidR="00713AF8" w:rsidRPr="00482A36">
        <w:t>in the first 6</w:t>
      </w:r>
      <w:r w:rsidR="005E6D91">
        <w:t> </w:t>
      </w:r>
      <w:r w:rsidR="00713AF8" w:rsidRPr="00482A36">
        <w:t>years of listing.</w:t>
      </w:r>
      <w:r w:rsidR="00EA72BD">
        <w:t xml:space="preserve"> </w:t>
      </w:r>
    </w:p>
    <w:p w14:paraId="2F96AF48" w14:textId="6DD19236" w:rsidR="00713AF8" w:rsidRPr="00713AF8" w:rsidRDefault="00713AF8" w:rsidP="00713AF8">
      <w:pPr>
        <w:pStyle w:val="3-BodyText"/>
      </w:pPr>
      <w:r w:rsidRPr="00713AF8">
        <w:t xml:space="preserve">Overall, the </w:t>
      </w:r>
      <w:r w:rsidR="00E95E0D">
        <w:t xml:space="preserve">evaluation considered that the </w:t>
      </w:r>
      <w:r w:rsidRPr="00713AF8">
        <w:t>submission’s estimates were likely to be underestimated due to:</w:t>
      </w:r>
    </w:p>
    <w:p w14:paraId="42CF2A8F" w14:textId="69D73201" w:rsidR="00713AF8" w:rsidRPr="00713AF8" w:rsidRDefault="00713AF8" w:rsidP="00FF4A90">
      <w:pPr>
        <w:pStyle w:val="Bulletpoints"/>
      </w:pPr>
      <w:r w:rsidRPr="00713AF8">
        <w:t>Underestimation of the Australian population due to assuming a narrow age bracket of 30-51 years, excluding women below 30 years</w:t>
      </w:r>
      <w:r w:rsidR="00C5237A">
        <w:t>.</w:t>
      </w:r>
    </w:p>
    <w:p w14:paraId="20A07BC7" w14:textId="7FA65283" w:rsidR="00713AF8" w:rsidRPr="00713AF8" w:rsidRDefault="00713AF8" w:rsidP="00FF4A90">
      <w:pPr>
        <w:pStyle w:val="Bulletpoints"/>
      </w:pPr>
      <w:r w:rsidRPr="00713AF8">
        <w:t>Uncertain but likely underestimation of women with moderate to severe symptoms of uterine fibroids</w:t>
      </w:r>
      <w:r w:rsidR="00C5237A">
        <w:t>.</w:t>
      </w:r>
    </w:p>
    <w:p w14:paraId="47B9543D" w14:textId="7D3A9CE0" w:rsidR="00713AF8" w:rsidRPr="00713AF8" w:rsidRDefault="00713AF8" w:rsidP="00FF4A90">
      <w:pPr>
        <w:pStyle w:val="Bulletpoints"/>
      </w:pPr>
      <w:r w:rsidRPr="00713AF8">
        <w:t xml:space="preserve">Uncertain proportion assumed to fail prior treatment </w:t>
      </w:r>
      <w:r w:rsidR="00C5237A">
        <w:t>or</w:t>
      </w:r>
      <w:r w:rsidR="00C5237A" w:rsidRPr="00713AF8">
        <w:t xml:space="preserve"> </w:t>
      </w:r>
      <w:r w:rsidRPr="00713AF8">
        <w:t>unsuitable for treatment</w:t>
      </w:r>
      <w:r w:rsidR="00C5237A">
        <w:t>.</w:t>
      </w:r>
    </w:p>
    <w:p w14:paraId="2BE184EC" w14:textId="4CA13BB4" w:rsidR="00713AF8" w:rsidRDefault="00713AF8" w:rsidP="00FF4A90">
      <w:pPr>
        <w:pStyle w:val="Bulletpoints"/>
      </w:pPr>
      <w:r w:rsidRPr="00713AF8">
        <w:t>Uncertain assumed uptake rate for linzagolix (from Year 2 onwards</w:t>
      </w:r>
      <w:r w:rsidR="00C5237A">
        <w:t>,</w:t>
      </w:r>
      <w:r w:rsidRPr="00713AF8">
        <w:t xml:space="preserve"> an annual </w:t>
      </w:r>
      <w:r w:rsidR="00C5237A">
        <w:t xml:space="preserve">additional </w:t>
      </w:r>
      <w:r w:rsidRPr="00713AF8">
        <w:t>uptake of 5% was applied). Should the uptake be higher, the cost to PBS would be underestimated.</w:t>
      </w:r>
    </w:p>
    <w:p w14:paraId="5F370450" w14:textId="1B75928E" w:rsidR="00713AF8" w:rsidRPr="00E95E0D" w:rsidRDefault="00713AF8" w:rsidP="00E95E0D">
      <w:pPr>
        <w:pStyle w:val="3-BodyText"/>
        <w:rPr>
          <w:bCs/>
        </w:rPr>
      </w:pPr>
      <w:r w:rsidRPr="00E95E0D">
        <w:rPr>
          <w:bCs/>
        </w:rPr>
        <w:t xml:space="preserve">DUSC </w:t>
      </w:r>
      <w:r w:rsidR="00E95E0D">
        <w:rPr>
          <w:bCs/>
        </w:rPr>
        <w:t xml:space="preserve">also </w:t>
      </w:r>
      <w:r w:rsidRPr="00E95E0D">
        <w:rPr>
          <w:bCs/>
        </w:rPr>
        <w:t>consider</w:t>
      </w:r>
      <w:r w:rsidR="00E95E0D" w:rsidRPr="00E95E0D">
        <w:rPr>
          <w:bCs/>
        </w:rPr>
        <w:t>ed</w:t>
      </w:r>
      <w:r w:rsidRPr="00E95E0D">
        <w:rPr>
          <w:bCs/>
        </w:rPr>
        <w:t xml:space="preserve"> the estimates presented in the submission to be underestimated. </w:t>
      </w:r>
      <w:r w:rsidR="00934C70">
        <w:rPr>
          <w:bCs/>
        </w:rPr>
        <w:t>DUSC considered the</w:t>
      </w:r>
      <w:r w:rsidR="00934C70" w:rsidRPr="00E95E0D">
        <w:rPr>
          <w:bCs/>
        </w:rPr>
        <w:t xml:space="preserve"> </w:t>
      </w:r>
      <w:r w:rsidRPr="00E95E0D">
        <w:rPr>
          <w:bCs/>
        </w:rPr>
        <w:t>main issues are:</w:t>
      </w:r>
    </w:p>
    <w:p w14:paraId="039D1DDD" w14:textId="4F3ED415" w:rsidR="00713AF8" w:rsidRPr="00713AF8" w:rsidRDefault="00713AF8" w:rsidP="00FF4A90">
      <w:pPr>
        <w:pStyle w:val="Bulletpoints"/>
      </w:pPr>
      <w:r w:rsidRPr="00713AF8">
        <w:lastRenderedPageBreak/>
        <w:t xml:space="preserve">The eligible population is underestimated and the trial population does not reflect the Australian population. </w:t>
      </w:r>
    </w:p>
    <w:p w14:paraId="3D8F5B83" w14:textId="08840E35" w:rsidR="00713AF8" w:rsidRPr="00713AF8" w:rsidRDefault="00713AF8" w:rsidP="00FF4A90">
      <w:pPr>
        <w:pStyle w:val="Bulletpoints"/>
      </w:pPr>
      <w:r w:rsidRPr="00713AF8">
        <w:t>The uptake rate is uncertain. DUSC considered that the uptake rate will have the highest impact on financial estimates and the resulting cost.</w:t>
      </w:r>
    </w:p>
    <w:p w14:paraId="3FB67B38" w14:textId="21B7CD19" w:rsidR="00713AF8" w:rsidRPr="00713AF8" w:rsidRDefault="00713AF8" w:rsidP="00FF4A90">
      <w:pPr>
        <w:pStyle w:val="Bulletpoints"/>
      </w:pPr>
      <w:r w:rsidRPr="00713AF8">
        <w:t>Safety issues, such as BMD loss, will likely impact uptake.</w:t>
      </w:r>
    </w:p>
    <w:p w14:paraId="11A85509" w14:textId="050226B0" w:rsidR="00934C70" w:rsidRDefault="00713AF8" w:rsidP="00FF4A90">
      <w:pPr>
        <w:pStyle w:val="Bulletpoints"/>
      </w:pPr>
      <w:r w:rsidRPr="00713AF8">
        <w:t>Menopausal side effects and BMD reductions might cause higher discontinuation.</w:t>
      </w:r>
    </w:p>
    <w:p w14:paraId="1C967B70" w14:textId="23440DA7" w:rsidR="00713AF8" w:rsidRPr="00934C70" w:rsidRDefault="00934C70" w:rsidP="00E95E0D">
      <w:pPr>
        <w:pStyle w:val="3-BodyText"/>
      </w:pPr>
      <w:bookmarkStart w:id="86" w:name="_Ref173946812"/>
      <w:r w:rsidRPr="00934C70">
        <w:t xml:space="preserve">DUSC agreed with the </w:t>
      </w:r>
      <w:r>
        <w:t>evaluation</w:t>
      </w:r>
      <w:r w:rsidRPr="006633A1">
        <w:t xml:space="preserve"> </w:t>
      </w:r>
      <w:r>
        <w:t>that t</w:t>
      </w:r>
      <w:r w:rsidRPr="006633A1">
        <w:t xml:space="preserve">he costs for </w:t>
      </w:r>
      <w:r w:rsidR="00F23D19">
        <w:t>linzagolix</w:t>
      </w:r>
      <w:r w:rsidRPr="006633A1">
        <w:t xml:space="preserve"> were likely to be underestimated due to the assumed narrow age bracket </w:t>
      </w:r>
      <w:r w:rsidRPr="00934C70">
        <w:t>of</w:t>
      </w:r>
      <w:r w:rsidRPr="006633A1">
        <w:t xml:space="preserve"> 30</w:t>
      </w:r>
      <w:r w:rsidR="00F23D19">
        <w:rPr>
          <w:rFonts w:cstheme="minorHAnsi"/>
        </w:rPr>
        <w:t>−</w:t>
      </w:r>
      <w:r w:rsidRPr="006633A1">
        <w:t xml:space="preserve">51 years in the model and exclusion of women under 30 years in the financial estimates. There was also uncertain but likely underestimation of women with moderate symptoms of uterine fibroids and the proportion that have failed prior therapies. The application of a 5% uptake rate for </w:t>
      </w:r>
      <w:r>
        <w:t xml:space="preserve">LGX </w:t>
      </w:r>
      <w:r w:rsidRPr="006633A1">
        <w:t>from Year 2 was also uncertain and likely an underestimate given the unmet need claimed in the submission. Should the uptake rates be higher, the cost to PBS would substantially increase.</w:t>
      </w:r>
      <w:bookmarkEnd w:id="86"/>
    </w:p>
    <w:p w14:paraId="05B526A2" w14:textId="77777777" w:rsidR="00713AF8" w:rsidRPr="00482A36" w:rsidRDefault="00713AF8" w:rsidP="00713AF8">
      <w:pPr>
        <w:pStyle w:val="4-SubsectionHeading"/>
      </w:pPr>
      <w:bookmarkStart w:id="87" w:name="_Toc22897648"/>
      <w:bookmarkStart w:id="88" w:name="_Toc107927634"/>
      <w:bookmarkStart w:id="89" w:name="_Toc167269208"/>
      <w:r w:rsidRPr="00482A36">
        <w:t>Quality Use of Medicines</w:t>
      </w:r>
      <w:bookmarkEnd w:id="87"/>
      <w:bookmarkEnd w:id="88"/>
      <w:bookmarkEnd w:id="89"/>
    </w:p>
    <w:p w14:paraId="2873BB58" w14:textId="4B8FF926" w:rsidR="00CD353C" w:rsidRPr="00C5237A" w:rsidRDefault="00713AF8" w:rsidP="00C5237A">
      <w:pPr>
        <w:pStyle w:val="3-BodyText"/>
        <w:rPr>
          <w:b/>
        </w:rPr>
      </w:pPr>
      <w:r w:rsidRPr="00482A36">
        <w:t>No quality use of medicine issues w</w:t>
      </w:r>
      <w:r w:rsidR="00C5237A">
        <w:t>ere</w:t>
      </w:r>
      <w:r w:rsidRPr="00482A36">
        <w:t xml:space="preserve"> identified in the submission. </w:t>
      </w:r>
      <w:r w:rsidR="00C5237A" w:rsidRPr="00713AF8">
        <w:t xml:space="preserve">DUSC considered that there are significant BMD issues in the use of </w:t>
      </w:r>
      <w:r w:rsidR="00C5237A">
        <w:t>linzagolix</w:t>
      </w:r>
      <w:r w:rsidR="00C5237A" w:rsidRPr="00713AF8">
        <w:t xml:space="preserve">, and that these side effects need to be conveyed to prescribers </w:t>
      </w:r>
      <w:r w:rsidR="00C5237A" w:rsidRPr="00C5237A">
        <w:t>and patients. DUSC considered that BMD monitoring can be problematic and might not be possible for a large group of patients who would need this therapy</w:t>
      </w:r>
      <w:r w:rsidR="00C5237A">
        <w:rPr>
          <w:b/>
        </w:rPr>
        <w:t>.</w:t>
      </w:r>
    </w:p>
    <w:p w14:paraId="5582C4D1" w14:textId="61EBA708" w:rsidR="002C0784" w:rsidRPr="00482A36" w:rsidRDefault="002C0784" w:rsidP="002C0784">
      <w:pPr>
        <w:pStyle w:val="4-SubsectionHeading"/>
      </w:pPr>
      <w:r w:rsidRPr="00482A36">
        <w:t>Financial Management – Risk Sharing Arrangements</w:t>
      </w:r>
      <w:bookmarkEnd w:id="80"/>
      <w:bookmarkEnd w:id="81"/>
      <w:bookmarkEnd w:id="82"/>
    </w:p>
    <w:p w14:paraId="14C55D4C" w14:textId="77777777" w:rsidR="002C0784" w:rsidRPr="00482A36" w:rsidRDefault="002C0784" w:rsidP="002C0784">
      <w:pPr>
        <w:pStyle w:val="3-BodyText"/>
      </w:pPr>
      <w:r w:rsidRPr="00482A36">
        <w:t>The Sponsor indicated willingness to work with the Department of Health and Aged Care on an appropriately formulated and structured RSA.</w:t>
      </w:r>
    </w:p>
    <w:p w14:paraId="0DBD619A" w14:textId="02CBA566" w:rsidR="00042853" w:rsidRDefault="00CD353C" w:rsidP="00CD353C">
      <w:pPr>
        <w:pStyle w:val="3-BodyText"/>
        <w:numPr>
          <w:ilvl w:val="0"/>
          <w:numId w:val="0"/>
        </w:numPr>
        <w:ind w:left="720"/>
        <w:rPr>
          <w:i/>
          <w:iCs/>
        </w:rPr>
      </w:pPr>
      <w:bookmarkStart w:id="90" w:name="_Toc107927639"/>
      <w:bookmarkStart w:id="91" w:name="_Toc167269211"/>
      <w:r w:rsidRPr="00CD353C">
        <w:rPr>
          <w:i/>
          <w:iCs/>
        </w:rPr>
        <w:t>For more detail on PBAC’s view, see section 7 PBAC outcome.</w:t>
      </w:r>
    </w:p>
    <w:p w14:paraId="7E7121E3" w14:textId="77777777" w:rsidR="00713AF8" w:rsidRPr="0090150D" w:rsidRDefault="00713AF8" w:rsidP="00713AF8">
      <w:pPr>
        <w:pStyle w:val="2-SectionHeading"/>
      </w:pPr>
      <w:bookmarkStart w:id="92" w:name="_Hlk76381249"/>
      <w:bookmarkStart w:id="93" w:name="_Hlk76377955"/>
      <w:r w:rsidRPr="0090150D">
        <w:t>PBAC Outcome</w:t>
      </w:r>
    </w:p>
    <w:p w14:paraId="44CAD01A" w14:textId="7E0993F5" w:rsidR="00765FD7" w:rsidRDefault="00765FD7" w:rsidP="00BD7614">
      <w:pPr>
        <w:widowControl w:val="0"/>
        <w:numPr>
          <w:ilvl w:val="1"/>
          <w:numId w:val="1"/>
        </w:numPr>
        <w:spacing w:after="120"/>
        <w:rPr>
          <w:rFonts w:asciiTheme="minorHAnsi" w:hAnsiTheme="minorHAnsi"/>
          <w:snapToGrid w:val="0"/>
          <w:lang w:val="en-GB"/>
        </w:rPr>
      </w:pPr>
      <w:bookmarkStart w:id="94" w:name="_Hlk111543188"/>
      <w:r w:rsidRPr="00BD7614">
        <w:rPr>
          <w:rFonts w:asciiTheme="minorHAnsi" w:hAnsiTheme="minorHAnsi"/>
          <w:snapToGrid w:val="0"/>
          <w:lang w:val="en-GB"/>
        </w:rPr>
        <w:t>The PBAC did not recommend the listing of linzagolix</w:t>
      </w:r>
      <w:r w:rsidR="00BD7614">
        <w:rPr>
          <w:rFonts w:asciiTheme="minorHAnsi" w:hAnsiTheme="minorHAnsi"/>
          <w:snapToGrid w:val="0"/>
          <w:lang w:val="en-GB"/>
        </w:rPr>
        <w:t xml:space="preserve"> </w:t>
      </w:r>
      <w:r w:rsidRPr="00BD7614">
        <w:rPr>
          <w:rFonts w:asciiTheme="minorHAnsi" w:hAnsiTheme="minorHAnsi"/>
          <w:snapToGrid w:val="0"/>
          <w:lang w:val="en-GB"/>
        </w:rPr>
        <w:t xml:space="preserve">for the treatment of symptomatic uterine fibroids. The PBAC noted that there were safety concerns regarding bone mineral density (BMD) loss, particularly at the higher 200 mg dose without add back hormonal therapy (ABT), and that in the short term, ABT did not fully ameliorate that risk. The PBAC also noted that long-term safety data with ongoing linzagolix treatment is currently limited. The PBAC considered the age of patients likely to </w:t>
      </w:r>
      <w:proofErr w:type="gramStart"/>
      <w:r w:rsidRPr="00BD7614">
        <w:rPr>
          <w:rFonts w:asciiTheme="minorHAnsi" w:hAnsiTheme="minorHAnsi"/>
          <w:snapToGrid w:val="0"/>
          <w:lang w:val="en-GB"/>
        </w:rPr>
        <w:t>be treated</w:t>
      </w:r>
      <w:proofErr w:type="gramEnd"/>
      <w:r w:rsidRPr="00BD7614">
        <w:rPr>
          <w:rFonts w:asciiTheme="minorHAnsi" w:hAnsiTheme="minorHAnsi"/>
          <w:snapToGrid w:val="0"/>
          <w:lang w:val="en-GB"/>
        </w:rPr>
        <w:t xml:space="preserve">, the treatment duration, and the treatment aims were uncertain and considered that the place in therapy for linzagolix required further consideration with respect to reducing the risks associated with BMD loss and to targeting treatment to patients with the highest clinical need. The PBAC also noted there were substantial issues with the cost-effectiveness model and advised the economic model should capture the benefit and risks associated with </w:t>
      </w:r>
      <w:proofErr w:type="gramStart"/>
      <w:r w:rsidRPr="00BD7614">
        <w:rPr>
          <w:rFonts w:asciiTheme="minorHAnsi" w:hAnsiTheme="minorHAnsi"/>
          <w:snapToGrid w:val="0"/>
          <w:lang w:val="en-GB"/>
        </w:rPr>
        <w:t>likely use</w:t>
      </w:r>
      <w:proofErr w:type="gramEnd"/>
      <w:r w:rsidRPr="00BD7614">
        <w:rPr>
          <w:rFonts w:asciiTheme="minorHAnsi" w:hAnsiTheme="minorHAnsi"/>
          <w:snapToGrid w:val="0"/>
          <w:lang w:val="en-GB"/>
        </w:rPr>
        <w:t xml:space="preserve">, particularly among younger </w:t>
      </w:r>
      <w:r w:rsidRPr="00BD7614">
        <w:rPr>
          <w:rFonts w:asciiTheme="minorHAnsi" w:hAnsiTheme="minorHAnsi"/>
          <w:snapToGrid w:val="0"/>
          <w:lang w:val="en-GB"/>
        </w:rPr>
        <w:lastRenderedPageBreak/>
        <w:t xml:space="preserve">patients. The PBAC considered the financial estimates were dependent on the population likely to </w:t>
      </w:r>
      <w:proofErr w:type="gramStart"/>
      <w:r w:rsidRPr="00BD7614">
        <w:rPr>
          <w:rFonts w:asciiTheme="minorHAnsi" w:hAnsiTheme="minorHAnsi"/>
          <w:snapToGrid w:val="0"/>
          <w:lang w:val="en-GB"/>
        </w:rPr>
        <w:t>be treated</w:t>
      </w:r>
      <w:proofErr w:type="gramEnd"/>
      <w:r w:rsidRPr="00BD7614">
        <w:rPr>
          <w:rFonts w:asciiTheme="minorHAnsi" w:hAnsiTheme="minorHAnsi"/>
          <w:snapToGrid w:val="0"/>
          <w:lang w:val="en-GB"/>
        </w:rPr>
        <w:t xml:space="preserve"> in Australian clinical practice and were therefore highly uncertain.</w:t>
      </w:r>
    </w:p>
    <w:p w14:paraId="4B848F50" w14:textId="49CA3E7C" w:rsidR="00721E8B" w:rsidRDefault="00721E8B" w:rsidP="00BD761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primary reason for this outcome was due to </w:t>
      </w:r>
      <w:r w:rsidR="003E66A2">
        <w:rPr>
          <w:rFonts w:asciiTheme="minorHAnsi" w:hAnsiTheme="minorHAnsi"/>
          <w:snapToGrid w:val="0"/>
          <w:lang w:val="en-GB"/>
        </w:rPr>
        <w:t>the economic evaluation.</w:t>
      </w:r>
    </w:p>
    <w:bookmarkEnd w:id="94"/>
    <w:p w14:paraId="68F5573E" w14:textId="2D67809E" w:rsidR="00E61FBF" w:rsidRPr="00F44750" w:rsidRDefault="00F1198D" w:rsidP="00713AF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w:t>
      </w:r>
      <w:r>
        <w:t>that the</w:t>
      </w:r>
      <w:r w:rsidRPr="00482A36">
        <w:t xml:space="preserve"> recommended dose of linzagolix is one tablet (100 mg or 200</w:t>
      </w:r>
      <w:r w:rsidR="00EE591D">
        <w:t> </w:t>
      </w:r>
      <w:r w:rsidRPr="00482A36">
        <w:t>mg) taken daily with or without ABT</w:t>
      </w:r>
      <w:r>
        <w:t xml:space="preserve">, and </w:t>
      </w:r>
      <w:r>
        <w:rPr>
          <w:rFonts w:asciiTheme="minorHAnsi" w:hAnsiTheme="minorHAnsi"/>
          <w:snapToGrid w:val="0"/>
          <w:lang w:val="en-GB"/>
        </w:rPr>
        <w:t xml:space="preserve">that the draft product information (PI) </w:t>
      </w:r>
      <w:r w:rsidR="00066F34">
        <w:rPr>
          <w:rFonts w:asciiTheme="minorHAnsi" w:hAnsiTheme="minorHAnsi"/>
          <w:snapToGrid w:val="0"/>
          <w:lang w:val="en-GB"/>
        </w:rPr>
        <w:t xml:space="preserve">stated </w:t>
      </w:r>
      <w:r>
        <w:rPr>
          <w:rFonts w:asciiTheme="minorHAnsi" w:hAnsiTheme="minorHAnsi"/>
          <w:snapToGrid w:val="0"/>
          <w:lang w:val="en-GB"/>
        </w:rPr>
        <w:t xml:space="preserve">that </w:t>
      </w:r>
      <w:r w:rsidRPr="00482A36">
        <w:t>linzagolix 200 mg is intended to induce full suppression of serum estradiol (E2) and thus must be administered with ABT beyond 6 months, whereas linzagolix 100</w:t>
      </w:r>
      <w:r w:rsidR="00EE591D">
        <w:t> </w:t>
      </w:r>
      <w:r w:rsidRPr="00482A36">
        <w:t>mg causes only partial suppression of E2 so can be administered without ABT long term (&gt;</w:t>
      </w:r>
      <w:r>
        <w:t xml:space="preserve"> </w:t>
      </w:r>
      <w:r w:rsidRPr="00482A36">
        <w:t>6 months).</w:t>
      </w:r>
    </w:p>
    <w:p w14:paraId="5C910830" w14:textId="7509565A" w:rsidR="00F44750" w:rsidRPr="00F44750" w:rsidRDefault="00F44750" w:rsidP="00F44750">
      <w:pPr>
        <w:widowControl w:val="0"/>
        <w:numPr>
          <w:ilvl w:val="1"/>
          <w:numId w:val="1"/>
        </w:numPr>
        <w:spacing w:after="120"/>
        <w:rPr>
          <w:rFonts w:asciiTheme="minorHAnsi" w:hAnsiTheme="minorHAnsi"/>
          <w:snapToGrid w:val="0"/>
          <w:lang w:val="en-GB"/>
        </w:rPr>
      </w:pPr>
      <w:r w:rsidRPr="00BD7614">
        <w:rPr>
          <w:rFonts w:asciiTheme="minorHAnsi" w:hAnsiTheme="minorHAnsi"/>
          <w:snapToGrid w:val="0"/>
          <w:lang w:val="en-GB"/>
        </w:rPr>
        <w:t xml:space="preserve">The PBAC noted that the final advice from the </w:t>
      </w:r>
      <w:r>
        <w:rPr>
          <w:rFonts w:asciiTheme="minorHAnsi" w:hAnsiTheme="minorHAnsi"/>
          <w:snapToGrid w:val="0"/>
          <w:lang w:val="en-GB"/>
        </w:rPr>
        <w:t xml:space="preserve">TGA </w:t>
      </w:r>
      <w:r w:rsidRPr="00BD7614">
        <w:rPr>
          <w:rFonts w:asciiTheme="minorHAnsi" w:hAnsiTheme="minorHAnsi"/>
          <w:snapToGrid w:val="0"/>
          <w:lang w:val="en-GB"/>
        </w:rPr>
        <w:t>Delegate was pending</w:t>
      </w:r>
      <w:r>
        <w:rPr>
          <w:rFonts w:asciiTheme="minorHAnsi" w:hAnsiTheme="minorHAnsi"/>
          <w:snapToGrid w:val="0"/>
          <w:lang w:val="en-GB"/>
        </w:rPr>
        <w:t xml:space="preserve">. The PBAC noted that the </w:t>
      </w:r>
      <w:r>
        <w:t xml:space="preserve">Delegate stated that </w:t>
      </w:r>
      <w:r w:rsidRPr="00E96FBD">
        <w:t>the potential for adverse events</w:t>
      </w:r>
      <w:r>
        <w:t xml:space="preserve"> with linzagolix</w:t>
      </w:r>
      <w:r w:rsidRPr="00E96FBD">
        <w:t xml:space="preserve"> </w:t>
      </w:r>
      <w:r>
        <w:t>wa</w:t>
      </w:r>
      <w:r w:rsidRPr="00E96FBD">
        <w:t xml:space="preserve">s significant and </w:t>
      </w:r>
      <w:r>
        <w:t xml:space="preserve">that the </w:t>
      </w:r>
      <w:r w:rsidRPr="00E96FBD">
        <w:t>benefit risk in the Australian population</w:t>
      </w:r>
      <w:r>
        <w:t xml:space="preserve"> was unclear. The PBAC noted the ACM advice to the TGA Delegate that the greatest risk would be BMD loss (3</w:t>
      </w:r>
      <w:r>
        <w:rPr>
          <w:rFonts w:cs="Calibri"/>
        </w:rPr>
        <w:t>−</w:t>
      </w:r>
      <w:r>
        <w:t xml:space="preserve">4%) at the higher 200 mg dose </w:t>
      </w:r>
      <w:r>
        <w:rPr>
          <w:rFonts w:asciiTheme="minorHAnsi" w:hAnsiTheme="minorHAnsi"/>
          <w:snapToGrid w:val="0"/>
          <w:lang w:val="en-GB"/>
        </w:rPr>
        <w:t>without ABT. In the short term, ABT did not fully ameliorate th</w:t>
      </w:r>
      <w:r w:rsidR="00B132CD">
        <w:rPr>
          <w:rFonts w:asciiTheme="minorHAnsi" w:hAnsiTheme="minorHAnsi"/>
          <w:snapToGrid w:val="0"/>
          <w:lang w:val="en-GB"/>
        </w:rPr>
        <w:t>e</w:t>
      </w:r>
      <w:r>
        <w:rPr>
          <w:rFonts w:asciiTheme="minorHAnsi" w:hAnsiTheme="minorHAnsi"/>
          <w:snapToGrid w:val="0"/>
          <w:lang w:val="en-GB"/>
        </w:rPr>
        <w:t xml:space="preserve"> risk </w:t>
      </w:r>
      <w:r w:rsidR="00B132CD">
        <w:rPr>
          <w:rFonts w:asciiTheme="minorHAnsi" w:hAnsiTheme="minorHAnsi"/>
          <w:snapToGrid w:val="0"/>
          <w:lang w:val="en-GB"/>
        </w:rPr>
        <w:t xml:space="preserve">of BMD loss </w:t>
      </w:r>
      <w:r>
        <w:rPr>
          <w:rFonts w:asciiTheme="minorHAnsi" w:hAnsiTheme="minorHAnsi"/>
          <w:snapToGrid w:val="0"/>
          <w:lang w:val="en-GB"/>
        </w:rPr>
        <w:t xml:space="preserve">and long-term data </w:t>
      </w:r>
      <w:r w:rsidR="007A5331">
        <w:rPr>
          <w:rFonts w:asciiTheme="minorHAnsi" w:hAnsiTheme="minorHAnsi"/>
          <w:snapToGrid w:val="0"/>
          <w:lang w:val="en-GB"/>
        </w:rPr>
        <w:t>are</w:t>
      </w:r>
      <w:r>
        <w:rPr>
          <w:rFonts w:asciiTheme="minorHAnsi" w:hAnsiTheme="minorHAnsi"/>
          <w:snapToGrid w:val="0"/>
          <w:lang w:val="en-GB"/>
        </w:rPr>
        <w:t xml:space="preserve"> currently limited.</w:t>
      </w:r>
      <w:r w:rsidR="00565D5E">
        <w:rPr>
          <w:rFonts w:asciiTheme="minorHAnsi" w:hAnsiTheme="minorHAnsi"/>
          <w:snapToGrid w:val="0"/>
          <w:lang w:val="en-GB"/>
        </w:rPr>
        <w:t xml:space="preserve"> The</w:t>
      </w:r>
      <w:r w:rsidR="007E2623">
        <w:rPr>
          <w:rFonts w:asciiTheme="minorHAnsi" w:hAnsiTheme="minorHAnsi"/>
          <w:snapToGrid w:val="0"/>
          <w:lang w:val="en-GB"/>
        </w:rPr>
        <w:t xml:space="preserve"> PBAC noted that the</w:t>
      </w:r>
      <w:r w:rsidR="00565D5E">
        <w:rPr>
          <w:rFonts w:asciiTheme="minorHAnsi" w:hAnsiTheme="minorHAnsi"/>
          <w:snapToGrid w:val="0"/>
          <w:lang w:val="en-GB"/>
        </w:rPr>
        <w:t xml:space="preserve"> ACM </w:t>
      </w:r>
      <w:r w:rsidR="007E2623">
        <w:rPr>
          <w:rFonts w:asciiTheme="minorHAnsi" w:hAnsiTheme="minorHAnsi"/>
          <w:snapToGrid w:val="0"/>
          <w:lang w:val="en-GB"/>
        </w:rPr>
        <w:t>concluded</w:t>
      </w:r>
      <w:r w:rsidR="00565D5E">
        <w:rPr>
          <w:rFonts w:asciiTheme="minorHAnsi" w:hAnsiTheme="minorHAnsi"/>
          <w:snapToGrid w:val="0"/>
          <w:lang w:val="en-GB"/>
        </w:rPr>
        <w:t xml:space="preserve"> linzagolix </w:t>
      </w:r>
      <w:r w:rsidR="00842D4E">
        <w:rPr>
          <w:rFonts w:asciiTheme="minorHAnsi" w:hAnsiTheme="minorHAnsi"/>
          <w:snapToGrid w:val="0"/>
          <w:lang w:val="en-GB"/>
        </w:rPr>
        <w:t>has</w:t>
      </w:r>
      <w:r w:rsidR="00565D5E">
        <w:rPr>
          <w:rFonts w:asciiTheme="minorHAnsi" w:hAnsiTheme="minorHAnsi"/>
          <w:snapToGrid w:val="0"/>
          <w:lang w:val="en-GB"/>
        </w:rPr>
        <w:t xml:space="preserve"> an overall positive-risk profile for the management of HMB</w:t>
      </w:r>
      <w:r w:rsidR="007E2623">
        <w:rPr>
          <w:rFonts w:asciiTheme="minorHAnsi" w:hAnsiTheme="minorHAnsi"/>
          <w:snapToGrid w:val="0"/>
          <w:lang w:val="en-GB"/>
        </w:rPr>
        <w:t xml:space="preserve"> associated with uterine fibroids.</w:t>
      </w:r>
      <w:r w:rsidR="00D6412A">
        <w:rPr>
          <w:rFonts w:asciiTheme="minorHAnsi" w:hAnsiTheme="minorHAnsi"/>
          <w:snapToGrid w:val="0"/>
          <w:lang w:val="en-GB"/>
        </w:rPr>
        <w:t xml:space="preserve"> </w:t>
      </w:r>
    </w:p>
    <w:p w14:paraId="67B15016" w14:textId="1423F38F" w:rsidR="002F6090" w:rsidRDefault="000743F1" w:rsidP="00713AF8">
      <w:pPr>
        <w:widowControl w:val="0"/>
        <w:numPr>
          <w:ilvl w:val="1"/>
          <w:numId w:val="1"/>
        </w:numPr>
        <w:spacing w:after="120"/>
        <w:rPr>
          <w:rFonts w:asciiTheme="minorHAnsi" w:hAnsiTheme="minorHAnsi"/>
          <w:snapToGrid w:val="0"/>
          <w:lang w:val="en-GB"/>
        </w:rPr>
      </w:pPr>
      <w:bookmarkStart w:id="95" w:name="_Ref173944038"/>
      <w:r>
        <w:rPr>
          <w:rFonts w:asciiTheme="minorHAnsi" w:hAnsiTheme="minorHAnsi"/>
          <w:snapToGrid w:val="0"/>
          <w:lang w:val="en-GB"/>
        </w:rPr>
        <w:t>The PBAC noted that the sponsor hearing outlined</w:t>
      </w:r>
      <w:r w:rsidR="00842D4E">
        <w:rPr>
          <w:rFonts w:asciiTheme="minorHAnsi" w:hAnsiTheme="minorHAnsi"/>
          <w:snapToGrid w:val="0"/>
          <w:lang w:val="en-GB"/>
        </w:rPr>
        <w:t xml:space="preserve"> that there is a range of </w:t>
      </w:r>
      <w:r>
        <w:rPr>
          <w:rFonts w:asciiTheme="minorHAnsi" w:hAnsiTheme="minorHAnsi"/>
          <w:snapToGrid w:val="0"/>
          <w:lang w:val="en-GB"/>
        </w:rPr>
        <w:t xml:space="preserve">patient characteristics and </w:t>
      </w:r>
      <w:r w:rsidR="00BF233E">
        <w:rPr>
          <w:rFonts w:asciiTheme="minorHAnsi" w:hAnsiTheme="minorHAnsi"/>
          <w:snapToGrid w:val="0"/>
          <w:lang w:val="en-GB"/>
        </w:rPr>
        <w:t xml:space="preserve">treatment with linzagolix would have different goals and require different approaches to </w:t>
      </w:r>
      <w:r w:rsidR="00EB2B01">
        <w:rPr>
          <w:rFonts w:asciiTheme="minorHAnsi" w:hAnsiTheme="minorHAnsi"/>
          <w:snapToGrid w:val="0"/>
          <w:lang w:val="en-GB"/>
        </w:rPr>
        <w:t>duration and dosing</w:t>
      </w:r>
      <w:r w:rsidR="00A66942">
        <w:rPr>
          <w:rFonts w:asciiTheme="minorHAnsi" w:hAnsiTheme="minorHAnsi"/>
          <w:snapToGrid w:val="0"/>
          <w:lang w:val="en-GB"/>
        </w:rPr>
        <w:t xml:space="preserve"> for individual patients. In addition, treatment with linzagolix would </w:t>
      </w:r>
      <w:r w:rsidR="00E35931">
        <w:rPr>
          <w:rFonts w:asciiTheme="minorHAnsi" w:hAnsiTheme="minorHAnsi"/>
          <w:snapToGrid w:val="0"/>
          <w:lang w:val="en-GB"/>
        </w:rPr>
        <w:t xml:space="preserve">potentially </w:t>
      </w:r>
      <w:r w:rsidR="00EB2B01">
        <w:rPr>
          <w:rFonts w:asciiTheme="minorHAnsi" w:hAnsiTheme="minorHAnsi"/>
          <w:snapToGrid w:val="0"/>
          <w:lang w:val="en-GB"/>
        </w:rPr>
        <w:t xml:space="preserve">provide </w:t>
      </w:r>
      <w:proofErr w:type="gramStart"/>
      <w:r w:rsidR="00EB2B01">
        <w:rPr>
          <w:rFonts w:asciiTheme="minorHAnsi" w:hAnsiTheme="minorHAnsi"/>
          <w:snapToGrid w:val="0"/>
          <w:lang w:val="en-GB"/>
        </w:rPr>
        <w:t>different types</w:t>
      </w:r>
      <w:proofErr w:type="gramEnd"/>
      <w:r w:rsidR="00EB2B01">
        <w:rPr>
          <w:rFonts w:asciiTheme="minorHAnsi" w:hAnsiTheme="minorHAnsi"/>
          <w:snapToGrid w:val="0"/>
          <w:lang w:val="en-GB"/>
        </w:rPr>
        <w:t xml:space="preserve"> of benefits to patients</w:t>
      </w:r>
      <w:r w:rsidR="00E35931">
        <w:rPr>
          <w:rFonts w:asciiTheme="minorHAnsi" w:hAnsiTheme="minorHAnsi"/>
          <w:snapToGrid w:val="0"/>
          <w:lang w:val="en-GB"/>
        </w:rPr>
        <w:t xml:space="preserve"> depending on the </w:t>
      </w:r>
      <w:r w:rsidR="002F6090">
        <w:rPr>
          <w:rFonts w:asciiTheme="minorHAnsi" w:hAnsiTheme="minorHAnsi"/>
          <w:snapToGrid w:val="0"/>
          <w:lang w:val="en-GB"/>
        </w:rPr>
        <w:t xml:space="preserve">patient’s age and </w:t>
      </w:r>
      <w:r w:rsidR="00AB524E">
        <w:rPr>
          <w:rFonts w:asciiTheme="minorHAnsi" w:hAnsiTheme="minorHAnsi"/>
          <w:snapToGrid w:val="0"/>
          <w:lang w:val="en-GB"/>
        </w:rPr>
        <w:t xml:space="preserve">disease </w:t>
      </w:r>
      <w:r w:rsidR="002F6090">
        <w:rPr>
          <w:rFonts w:asciiTheme="minorHAnsi" w:hAnsiTheme="minorHAnsi"/>
          <w:snapToGrid w:val="0"/>
          <w:lang w:val="en-GB"/>
        </w:rPr>
        <w:t>characteristics</w:t>
      </w:r>
      <w:r w:rsidR="00EB2B01">
        <w:rPr>
          <w:rFonts w:asciiTheme="minorHAnsi" w:hAnsiTheme="minorHAnsi"/>
          <w:snapToGrid w:val="0"/>
          <w:lang w:val="en-GB"/>
        </w:rPr>
        <w:t xml:space="preserve">. </w:t>
      </w:r>
      <w:r w:rsidR="00B27E7C">
        <w:rPr>
          <w:rFonts w:asciiTheme="minorHAnsi" w:hAnsiTheme="minorHAnsi"/>
          <w:snapToGrid w:val="0"/>
          <w:lang w:val="en-GB"/>
        </w:rPr>
        <w:t xml:space="preserve">For younger patients, treatment is likely to be of short duration, with a view to </w:t>
      </w:r>
      <w:r w:rsidR="00F476B4">
        <w:rPr>
          <w:rFonts w:asciiTheme="minorHAnsi" w:hAnsiTheme="minorHAnsi"/>
          <w:snapToGrid w:val="0"/>
          <w:lang w:val="en-GB"/>
        </w:rPr>
        <w:t xml:space="preserve">reducing fibroid volume </w:t>
      </w:r>
      <w:proofErr w:type="gramStart"/>
      <w:r w:rsidR="00214229">
        <w:rPr>
          <w:rFonts w:asciiTheme="minorHAnsi" w:hAnsiTheme="minorHAnsi"/>
          <w:snapToGrid w:val="0"/>
          <w:lang w:val="en-GB"/>
        </w:rPr>
        <w:t xml:space="preserve">in order </w:t>
      </w:r>
      <w:r w:rsidR="00F476B4">
        <w:rPr>
          <w:rFonts w:asciiTheme="minorHAnsi" w:hAnsiTheme="minorHAnsi"/>
          <w:snapToGrid w:val="0"/>
          <w:lang w:val="en-GB"/>
        </w:rPr>
        <w:t>to</w:t>
      </w:r>
      <w:proofErr w:type="gramEnd"/>
      <w:r w:rsidR="00F476B4">
        <w:rPr>
          <w:rFonts w:asciiTheme="minorHAnsi" w:hAnsiTheme="minorHAnsi"/>
          <w:snapToGrid w:val="0"/>
          <w:lang w:val="en-GB"/>
        </w:rPr>
        <w:t xml:space="preserve"> maximise the success of less invasive surgical therapy. For older patients, </w:t>
      </w:r>
      <w:r w:rsidR="00036122">
        <w:rPr>
          <w:rFonts w:asciiTheme="minorHAnsi" w:hAnsiTheme="minorHAnsi"/>
          <w:snapToGrid w:val="0"/>
          <w:lang w:val="en-GB"/>
        </w:rPr>
        <w:t xml:space="preserve">treatment with linzagolix is likely to reduce HMB </w:t>
      </w:r>
      <w:r w:rsidR="00662540">
        <w:rPr>
          <w:rFonts w:asciiTheme="minorHAnsi" w:hAnsiTheme="minorHAnsi"/>
          <w:snapToGrid w:val="0"/>
          <w:lang w:val="en-GB"/>
        </w:rPr>
        <w:t xml:space="preserve">and treatment may </w:t>
      </w:r>
      <w:proofErr w:type="gramStart"/>
      <w:r w:rsidR="00662540">
        <w:rPr>
          <w:rFonts w:asciiTheme="minorHAnsi" w:hAnsiTheme="minorHAnsi"/>
          <w:snapToGrid w:val="0"/>
          <w:lang w:val="en-GB"/>
        </w:rPr>
        <w:t>be maintained</w:t>
      </w:r>
      <w:proofErr w:type="gramEnd"/>
      <w:r w:rsidR="00662540">
        <w:rPr>
          <w:rFonts w:asciiTheme="minorHAnsi" w:hAnsiTheme="minorHAnsi"/>
          <w:snapToGrid w:val="0"/>
          <w:lang w:val="en-GB"/>
        </w:rPr>
        <w:t xml:space="preserve"> until menopause, potentially preventing the need for hysterectomy. </w:t>
      </w:r>
      <w:r w:rsidR="009D7FC6">
        <w:rPr>
          <w:rFonts w:asciiTheme="minorHAnsi" w:hAnsiTheme="minorHAnsi"/>
          <w:snapToGrid w:val="0"/>
          <w:lang w:val="en-GB"/>
        </w:rPr>
        <w:t>The PBAC noted the clinical place of linzagoli</w:t>
      </w:r>
      <w:r w:rsidR="00684A70">
        <w:rPr>
          <w:rFonts w:asciiTheme="minorHAnsi" w:hAnsiTheme="minorHAnsi"/>
          <w:snapToGrid w:val="0"/>
          <w:lang w:val="en-GB"/>
        </w:rPr>
        <w:t>x</w:t>
      </w:r>
      <w:r w:rsidR="009D7FC6">
        <w:rPr>
          <w:rFonts w:asciiTheme="minorHAnsi" w:hAnsiTheme="minorHAnsi"/>
          <w:snapToGrid w:val="0"/>
          <w:lang w:val="en-GB"/>
        </w:rPr>
        <w:t xml:space="preserve"> required consideration with respect </w:t>
      </w:r>
      <w:r w:rsidR="009D7FC6" w:rsidRPr="00BD7614">
        <w:rPr>
          <w:rFonts w:asciiTheme="minorHAnsi" w:hAnsiTheme="minorHAnsi"/>
          <w:snapToGrid w:val="0"/>
          <w:lang w:val="en-GB"/>
        </w:rPr>
        <w:t>to reducing the risks associated with BMD loss and to targeting treatment to patients with the highest clinical nee</w:t>
      </w:r>
      <w:r w:rsidR="009137E3">
        <w:rPr>
          <w:rFonts w:asciiTheme="minorHAnsi" w:hAnsiTheme="minorHAnsi"/>
          <w:snapToGrid w:val="0"/>
          <w:lang w:val="en-GB"/>
        </w:rPr>
        <w:t>d</w:t>
      </w:r>
      <w:r w:rsidR="00F525EE">
        <w:rPr>
          <w:rFonts w:asciiTheme="minorHAnsi" w:hAnsiTheme="minorHAnsi"/>
          <w:snapToGrid w:val="0"/>
          <w:lang w:val="en-GB"/>
        </w:rPr>
        <w:t>.</w:t>
      </w:r>
      <w:r w:rsidR="009D7FC6">
        <w:rPr>
          <w:rFonts w:asciiTheme="minorHAnsi" w:hAnsiTheme="minorHAnsi"/>
          <w:snapToGrid w:val="0"/>
          <w:lang w:val="en-GB"/>
        </w:rPr>
        <w:t xml:space="preserve"> </w:t>
      </w:r>
    </w:p>
    <w:p w14:paraId="4DB4F6B0" w14:textId="772D188F" w:rsidR="009D7FC6" w:rsidRDefault="00B03326" w:rsidP="00713AF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With respect to the restriction, </w:t>
      </w:r>
      <w:proofErr w:type="gramStart"/>
      <w:r>
        <w:rPr>
          <w:rFonts w:asciiTheme="minorHAnsi" w:hAnsiTheme="minorHAnsi"/>
          <w:snapToGrid w:val="0"/>
          <w:lang w:val="en-GB"/>
        </w:rPr>
        <w:t>the</w:t>
      </w:r>
      <w:r w:rsidR="009D7FC6">
        <w:rPr>
          <w:rFonts w:asciiTheme="minorHAnsi" w:hAnsiTheme="minorHAnsi"/>
          <w:snapToGrid w:val="0"/>
          <w:lang w:val="en-GB"/>
        </w:rPr>
        <w:t xml:space="preserve"> </w:t>
      </w:r>
      <w:r w:rsidR="00684A70">
        <w:rPr>
          <w:rFonts w:asciiTheme="minorHAnsi" w:hAnsiTheme="minorHAnsi"/>
          <w:snapToGrid w:val="0"/>
          <w:lang w:val="en-GB"/>
        </w:rPr>
        <w:t>following issues were</w:t>
      </w:r>
      <w:r w:rsidR="004533B9">
        <w:rPr>
          <w:rFonts w:asciiTheme="minorHAnsi" w:hAnsiTheme="minorHAnsi"/>
          <w:snapToGrid w:val="0"/>
          <w:lang w:val="en-GB"/>
        </w:rPr>
        <w:t xml:space="preserve"> </w:t>
      </w:r>
      <w:r w:rsidR="00684A70">
        <w:rPr>
          <w:rFonts w:asciiTheme="minorHAnsi" w:hAnsiTheme="minorHAnsi"/>
          <w:snapToGrid w:val="0"/>
          <w:lang w:val="en-GB"/>
        </w:rPr>
        <w:t>considered by the Committee</w:t>
      </w:r>
      <w:proofErr w:type="gramEnd"/>
      <w:r w:rsidR="00684A70">
        <w:rPr>
          <w:rFonts w:asciiTheme="minorHAnsi" w:hAnsiTheme="minorHAnsi"/>
          <w:snapToGrid w:val="0"/>
          <w:lang w:val="en-GB"/>
        </w:rPr>
        <w:t>:</w:t>
      </w:r>
      <w:bookmarkEnd w:id="95"/>
      <w:r w:rsidR="009D7FC6">
        <w:rPr>
          <w:rFonts w:asciiTheme="minorHAnsi" w:hAnsiTheme="minorHAnsi"/>
          <w:snapToGrid w:val="0"/>
          <w:lang w:val="en-GB"/>
        </w:rPr>
        <w:t xml:space="preserve"> </w:t>
      </w:r>
    </w:p>
    <w:p w14:paraId="12EA293F" w14:textId="7603BDD3" w:rsidR="00F4042F" w:rsidRDefault="00F4042F" w:rsidP="00FF4A90">
      <w:pPr>
        <w:pStyle w:val="Bulletpoints"/>
      </w:pPr>
      <w:r>
        <w:t>The indication should be revised to HMB associated with fibroids, in line with the ACM proposed TGA indication.</w:t>
      </w:r>
    </w:p>
    <w:p w14:paraId="69CAE9EB" w14:textId="1BD48816" w:rsidR="000333A4" w:rsidRPr="002C1138" w:rsidRDefault="00133C21" w:rsidP="00FF4A90">
      <w:pPr>
        <w:pStyle w:val="Bulletpoints"/>
      </w:pPr>
      <w:r w:rsidRPr="002C1138">
        <w:t>The PBAC considered that given the known effectiveness and safety profiles</w:t>
      </w:r>
      <w:r w:rsidR="003C0DE1">
        <w:t xml:space="preserve"> of first-line therapy options (</w:t>
      </w:r>
      <w:r w:rsidR="003C0DE1" w:rsidRPr="002C1138">
        <w:t>NSAIDs, COCs, and IUDs</w:t>
      </w:r>
      <w:r w:rsidR="003C0DE1">
        <w:t>)</w:t>
      </w:r>
      <w:r w:rsidRPr="002C1138">
        <w:t xml:space="preserve">, these therapies were appropriate to be considered for patients in the first-line setting prior to linzagolix. </w:t>
      </w:r>
      <w:r w:rsidR="00C27825" w:rsidRPr="002C1138">
        <w:rPr>
          <w:lang w:val="en-GB"/>
        </w:rPr>
        <w:t xml:space="preserve">The PBAC </w:t>
      </w:r>
      <w:r w:rsidRPr="002C1138">
        <w:rPr>
          <w:lang w:val="en-GB"/>
        </w:rPr>
        <w:t xml:space="preserve">therefore </w:t>
      </w:r>
      <w:r w:rsidR="000333A4" w:rsidRPr="002C1138">
        <w:t>considered the clinical criterion requiring patients to be unsuitable fo</w:t>
      </w:r>
      <w:r w:rsidRPr="002C1138">
        <w:t>r</w:t>
      </w:r>
      <w:r w:rsidR="000333A4" w:rsidRPr="002C1138">
        <w:t xml:space="preserve"> or </w:t>
      </w:r>
      <w:r w:rsidR="00097790">
        <w:t xml:space="preserve">to </w:t>
      </w:r>
      <w:r w:rsidR="000333A4" w:rsidRPr="002C1138">
        <w:t xml:space="preserve">have had inadequate response to prior hormonal therapies </w:t>
      </w:r>
      <w:r w:rsidRPr="002C1138">
        <w:t xml:space="preserve">was </w:t>
      </w:r>
      <w:r w:rsidR="000333A4" w:rsidRPr="002C1138">
        <w:t>appropriate.</w:t>
      </w:r>
      <w:r w:rsidRPr="002C1138">
        <w:t xml:space="preserve"> </w:t>
      </w:r>
      <w:r w:rsidR="004F3B9E">
        <w:rPr>
          <w:lang w:val="en-GB"/>
        </w:rPr>
        <w:t>Although</w:t>
      </w:r>
      <w:r w:rsidRPr="002C1138">
        <w:rPr>
          <w:lang w:val="en-GB"/>
        </w:rPr>
        <w:t xml:space="preserve"> the PRIMROSE trials </w:t>
      </w:r>
      <w:proofErr w:type="gramStart"/>
      <w:r w:rsidRPr="002C1138">
        <w:rPr>
          <w:lang w:val="en-GB"/>
        </w:rPr>
        <w:t>were primarily conducted</w:t>
      </w:r>
      <w:proofErr w:type="gramEnd"/>
      <w:r w:rsidRPr="002C1138">
        <w:rPr>
          <w:lang w:val="en-GB"/>
        </w:rPr>
        <w:t xml:space="preserve"> in the </w:t>
      </w:r>
      <w:r w:rsidR="00177E2C" w:rsidRPr="002C1138">
        <w:rPr>
          <w:lang w:val="en-GB"/>
        </w:rPr>
        <w:lastRenderedPageBreak/>
        <w:t>first line</w:t>
      </w:r>
      <w:r w:rsidRPr="002C1138">
        <w:rPr>
          <w:lang w:val="en-GB"/>
        </w:rPr>
        <w:t xml:space="preserve"> setting </w:t>
      </w:r>
      <w:r w:rsidR="004F3B9E">
        <w:rPr>
          <w:lang w:val="en-GB"/>
        </w:rPr>
        <w:t xml:space="preserve">the PBAC </w:t>
      </w:r>
      <w:r w:rsidRPr="002C1138">
        <w:rPr>
          <w:lang w:val="en-GB"/>
        </w:rPr>
        <w:t xml:space="preserve">considered that </w:t>
      </w:r>
      <w:r w:rsidR="00D46411">
        <w:rPr>
          <w:lang w:val="en-GB"/>
        </w:rPr>
        <w:t>it was reasonable t</w:t>
      </w:r>
      <w:r w:rsidR="00064AF2">
        <w:rPr>
          <w:lang w:val="en-GB"/>
        </w:rPr>
        <w:t>hat treatment with</w:t>
      </w:r>
      <w:r w:rsidRPr="002C1138">
        <w:rPr>
          <w:lang w:val="en-GB"/>
        </w:rPr>
        <w:t xml:space="preserve"> linzagolix</w:t>
      </w:r>
      <w:r w:rsidR="00064AF2">
        <w:rPr>
          <w:lang w:val="en-GB"/>
        </w:rPr>
        <w:t xml:space="preserve"> should primarily be in the second line setting</w:t>
      </w:r>
      <w:r w:rsidRPr="002C1138">
        <w:rPr>
          <w:lang w:val="en-GB"/>
        </w:rPr>
        <w:t>.</w:t>
      </w:r>
    </w:p>
    <w:p w14:paraId="32847009" w14:textId="710DECA3" w:rsidR="00B07F9B" w:rsidRPr="00B07F9B" w:rsidRDefault="00B07F9B" w:rsidP="00FF4A90">
      <w:pPr>
        <w:pStyle w:val="Bulletpoints"/>
        <w:rPr>
          <w:lang w:val="en-GB"/>
        </w:rPr>
      </w:pPr>
      <w:r>
        <w:rPr>
          <w:lang w:val="en-GB"/>
        </w:rPr>
        <w:t>The PBAC noted that the effectiveness of linzagolix</w:t>
      </w:r>
      <w:r w:rsidR="00CC5C54">
        <w:rPr>
          <w:lang w:val="en-GB"/>
        </w:rPr>
        <w:t xml:space="preserve"> in treating</w:t>
      </w:r>
      <w:r>
        <w:rPr>
          <w:lang w:val="en-GB"/>
        </w:rPr>
        <w:t xml:space="preserve"> </w:t>
      </w:r>
      <w:proofErr w:type="gramStart"/>
      <w:r>
        <w:rPr>
          <w:lang w:val="en-GB"/>
        </w:rPr>
        <w:t>different types</w:t>
      </w:r>
      <w:proofErr w:type="gramEnd"/>
      <w:r>
        <w:rPr>
          <w:lang w:val="en-GB"/>
        </w:rPr>
        <w:t xml:space="preserve"> of fibroids, and the possible need for exclusions</w:t>
      </w:r>
      <w:r w:rsidR="00D6412A">
        <w:rPr>
          <w:lang w:val="en-GB"/>
        </w:rPr>
        <w:t xml:space="preserve"> (e.g. calcified, subserosal)</w:t>
      </w:r>
      <w:r>
        <w:rPr>
          <w:lang w:val="en-GB"/>
        </w:rPr>
        <w:t xml:space="preserve">, was </w:t>
      </w:r>
      <w:r w:rsidR="006F4BCB">
        <w:rPr>
          <w:lang w:val="en-GB"/>
        </w:rPr>
        <w:t xml:space="preserve">complex </w:t>
      </w:r>
      <w:r>
        <w:rPr>
          <w:lang w:val="en-GB"/>
        </w:rPr>
        <w:t xml:space="preserve">and therefore prescribing should be restricted to practitioners </w:t>
      </w:r>
      <w:r w:rsidR="0070773C">
        <w:rPr>
          <w:lang w:val="en-GB"/>
        </w:rPr>
        <w:t xml:space="preserve">who </w:t>
      </w:r>
      <w:r>
        <w:rPr>
          <w:lang w:val="en-GB"/>
        </w:rPr>
        <w:t>specialise in women’s health</w:t>
      </w:r>
      <w:r w:rsidR="006F4BCB">
        <w:rPr>
          <w:lang w:val="en-GB"/>
        </w:rPr>
        <w:t xml:space="preserve">. The PBAC </w:t>
      </w:r>
      <w:r w:rsidRPr="00E23FD2">
        <w:rPr>
          <w:lang w:val="en-GB"/>
        </w:rPr>
        <w:t>considered that for the prescribing of initial and continuing treatment</w:t>
      </w:r>
      <w:r w:rsidR="006F4BCB">
        <w:rPr>
          <w:lang w:val="en-GB"/>
        </w:rPr>
        <w:t>,</w:t>
      </w:r>
      <w:r w:rsidRPr="00E23FD2">
        <w:rPr>
          <w:lang w:val="en-GB"/>
        </w:rPr>
        <w:t xml:space="preserve"> consultation with a specialist obstetrician/gynaecologist was essential to ensure appropriate use and monitoring of adverse events.</w:t>
      </w:r>
    </w:p>
    <w:p w14:paraId="0BF317AE" w14:textId="5D8D451D" w:rsidR="00A03AEE" w:rsidRDefault="00F1198D" w:rsidP="00FF4A90">
      <w:pPr>
        <w:pStyle w:val="Bulletpoints"/>
        <w:rPr>
          <w:lang w:val="en-GB"/>
        </w:rPr>
      </w:pPr>
      <w:r w:rsidRPr="002013C5">
        <w:rPr>
          <w:lang w:val="en-GB"/>
        </w:rPr>
        <w:t xml:space="preserve">The PBAC </w:t>
      </w:r>
      <w:r w:rsidR="002013C5" w:rsidRPr="002013C5">
        <w:rPr>
          <w:lang w:val="en-GB"/>
        </w:rPr>
        <w:t xml:space="preserve">noted </w:t>
      </w:r>
      <w:r w:rsidR="002013C5">
        <w:rPr>
          <w:lang w:val="en-GB"/>
        </w:rPr>
        <w:t xml:space="preserve">there were </w:t>
      </w:r>
      <w:r w:rsidR="002013C5" w:rsidRPr="002013C5">
        <w:rPr>
          <w:lang w:val="en-GB"/>
        </w:rPr>
        <w:t>differences in patient characteris</w:t>
      </w:r>
      <w:r w:rsidR="00A03AEE">
        <w:rPr>
          <w:lang w:val="en-GB"/>
        </w:rPr>
        <w:t>tic</w:t>
      </w:r>
      <w:r w:rsidR="002013C5" w:rsidRPr="002013C5">
        <w:rPr>
          <w:lang w:val="en-GB"/>
        </w:rPr>
        <w:t xml:space="preserve">s and treatment length/concomitant ABT between the 100 mg dose and 200 mg dose and therefore considered </w:t>
      </w:r>
      <w:r w:rsidR="00A03AEE">
        <w:rPr>
          <w:lang w:val="en-GB"/>
        </w:rPr>
        <w:t xml:space="preserve">a </w:t>
      </w:r>
      <w:r w:rsidR="002013C5" w:rsidRPr="002013C5">
        <w:rPr>
          <w:lang w:val="en-GB"/>
        </w:rPr>
        <w:t xml:space="preserve">separate restriction </w:t>
      </w:r>
      <w:r w:rsidR="000C1FF5">
        <w:rPr>
          <w:lang w:val="en-GB"/>
        </w:rPr>
        <w:t>specific to the treatment requirements for</w:t>
      </w:r>
      <w:r w:rsidR="002013C5" w:rsidRPr="002013C5">
        <w:rPr>
          <w:lang w:val="en-GB"/>
        </w:rPr>
        <w:t xml:space="preserve"> </w:t>
      </w:r>
      <w:r w:rsidR="00684A70">
        <w:rPr>
          <w:lang w:val="en-GB"/>
        </w:rPr>
        <w:t xml:space="preserve">each </w:t>
      </w:r>
      <w:r w:rsidR="002013C5" w:rsidRPr="002013C5">
        <w:rPr>
          <w:lang w:val="en-GB"/>
        </w:rPr>
        <w:t>dose</w:t>
      </w:r>
      <w:r w:rsidR="000C1FF5">
        <w:rPr>
          <w:lang w:val="en-GB"/>
        </w:rPr>
        <w:t xml:space="preserve"> </w:t>
      </w:r>
      <w:r w:rsidR="00F9619D">
        <w:rPr>
          <w:lang w:val="en-GB"/>
        </w:rPr>
        <w:t>would be appropriate and would help</w:t>
      </w:r>
      <w:r w:rsidR="000C1FF5">
        <w:rPr>
          <w:lang w:val="en-GB"/>
        </w:rPr>
        <w:t xml:space="preserve"> </w:t>
      </w:r>
      <w:r w:rsidR="009402F9">
        <w:rPr>
          <w:lang w:val="en-GB"/>
        </w:rPr>
        <w:t xml:space="preserve">to </w:t>
      </w:r>
      <w:r w:rsidR="00F9619D">
        <w:rPr>
          <w:lang w:val="en-GB"/>
        </w:rPr>
        <w:t>alert prescribers to</w:t>
      </w:r>
      <w:r w:rsidR="000C1FF5" w:rsidRPr="00BD7614">
        <w:rPr>
          <w:lang w:val="en-GB"/>
        </w:rPr>
        <w:t xml:space="preserve"> the risks associated with BMD loss</w:t>
      </w:r>
      <w:r w:rsidR="00A03AEE">
        <w:rPr>
          <w:lang w:val="en-GB"/>
        </w:rPr>
        <w:t>.</w:t>
      </w:r>
    </w:p>
    <w:p w14:paraId="7858BDA1" w14:textId="47AA5E97" w:rsidR="00704D1A" w:rsidRPr="00704D1A" w:rsidRDefault="00704D1A" w:rsidP="00FF4A90">
      <w:pPr>
        <w:pStyle w:val="Bulletpoints"/>
        <w:rPr>
          <w:rFonts w:cstheme="minorHAnsi"/>
          <w:iCs/>
        </w:rPr>
      </w:pPr>
      <w:r>
        <w:rPr>
          <w:rFonts w:cstheme="minorHAnsi"/>
          <w:iCs/>
        </w:rPr>
        <w:t xml:space="preserve">The PBAC noted that while the PRIMROSE trials excluded patients whose condition was so severe that they required surgery within 6 months there was likely value in providing linzagolix to patients prior to surgery to </w:t>
      </w:r>
      <w:r>
        <w:rPr>
          <w:bCs/>
        </w:rPr>
        <w:t>reduce fibroid volume and improve the likelihood for successful surgical outcomes</w:t>
      </w:r>
      <w:r>
        <w:rPr>
          <w:rFonts w:cstheme="minorHAnsi"/>
          <w:iCs/>
        </w:rPr>
        <w:t>. The PBAC therefore agreed with the submission’s proposed option to provide flexibility to the treating physician to determine</w:t>
      </w:r>
      <w:r w:rsidRPr="00684A70">
        <w:rPr>
          <w:rFonts w:cstheme="minorHAnsi"/>
          <w:iCs/>
        </w:rPr>
        <w:t xml:space="preserve"> </w:t>
      </w:r>
      <w:r>
        <w:rPr>
          <w:rFonts w:cstheme="minorHAnsi"/>
          <w:iCs/>
        </w:rPr>
        <w:t xml:space="preserve">whether </w:t>
      </w:r>
      <w:r w:rsidRPr="00684A70">
        <w:rPr>
          <w:rFonts w:cstheme="minorHAnsi"/>
          <w:iCs/>
        </w:rPr>
        <w:t xml:space="preserve">patients with very severe disease </w:t>
      </w:r>
      <w:r>
        <w:rPr>
          <w:rFonts w:cstheme="minorHAnsi"/>
          <w:iCs/>
        </w:rPr>
        <w:t>or</w:t>
      </w:r>
      <w:r w:rsidRPr="00684A70">
        <w:rPr>
          <w:rFonts w:cstheme="minorHAnsi"/>
          <w:iCs/>
        </w:rPr>
        <w:t xml:space="preserve"> patients requiring immediate surgery</w:t>
      </w:r>
      <w:r>
        <w:rPr>
          <w:rFonts w:cstheme="minorHAnsi"/>
          <w:iCs/>
        </w:rPr>
        <w:t xml:space="preserve"> would benefit from linzagolix.</w:t>
      </w:r>
    </w:p>
    <w:p w14:paraId="1088ADFD" w14:textId="0FA16013" w:rsidR="00133C21" w:rsidRDefault="00133C21" w:rsidP="00FF4A90">
      <w:pPr>
        <w:pStyle w:val="Bulletpoints"/>
        <w:rPr>
          <w:lang w:val="en-GB"/>
        </w:rPr>
      </w:pPr>
      <w:r>
        <w:rPr>
          <w:lang w:val="en-GB"/>
        </w:rPr>
        <w:t xml:space="preserve">The PBAC noted there were </w:t>
      </w:r>
      <w:proofErr w:type="gramStart"/>
      <w:r>
        <w:rPr>
          <w:lang w:val="en-GB"/>
        </w:rPr>
        <w:t>several</w:t>
      </w:r>
      <w:proofErr w:type="gramEnd"/>
      <w:r>
        <w:rPr>
          <w:lang w:val="en-GB"/>
        </w:rPr>
        <w:t xml:space="preserve"> types of ABT and that ABT in the PRIMROSE trials was estradiol 1 mg and norethisterone acetate 0.5 mg tablet once daily. The PBAC </w:t>
      </w:r>
      <w:r w:rsidR="00AF54D3">
        <w:rPr>
          <w:lang w:val="en-GB"/>
        </w:rPr>
        <w:t>considered</w:t>
      </w:r>
      <w:r>
        <w:rPr>
          <w:lang w:val="en-GB"/>
        </w:rPr>
        <w:t xml:space="preserve"> that </w:t>
      </w:r>
      <w:r w:rsidRPr="009137E3">
        <w:rPr>
          <w:lang w:val="en-GB"/>
        </w:rPr>
        <w:t>further clarification of the role and form of ABT in the clinical algorithm</w:t>
      </w:r>
      <w:r w:rsidR="00B07F9B">
        <w:rPr>
          <w:lang w:val="en-GB"/>
        </w:rPr>
        <w:t xml:space="preserve"> and restriction</w:t>
      </w:r>
      <w:r w:rsidRPr="009137E3">
        <w:rPr>
          <w:lang w:val="en-GB"/>
        </w:rPr>
        <w:t xml:space="preserve"> </w:t>
      </w:r>
      <w:proofErr w:type="gramStart"/>
      <w:r w:rsidRPr="009137E3">
        <w:rPr>
          <w:lang w:val="en-GB"/>
        </w:rPr>
        <w:t>was required</w:t>
      </w:r>
      <w:proofErr w:type="gramEnd"/>
      <w:r w:rsidRPr="009137E3">
        <w:rPr>
          <w:lang w:val="en-GB"/>
        </w:rPr>
        <w:t xml:space="preserve"> to prevent confusion or prescribing errors</w:t>
      </w:r>
      <w:r>
        <w:rPr>
          <w:lang w:val="en-GB"/>
        </w:rPr>
        <w:t>.</w:t>
      </w:r>
    </w:p>
    <w:p w14:paraId="462B72B4" w14:textId="1CE7D86D" w:rsidR="009137E3" w:rsidRDefault="00A03AEE" w:rsidP="00FF4A90">
      <w:pPr>
        <w:pStyle w:val="Bulletpoints"/>
        <w:rPr>
          <w:lang w:val="en-GB"/>
        </w:rPr>
      </w:pPr>
      <w:r>
        <w:rPr>
          <w:lang w:val="en-GB"/>
        </w:rPr>
        <w:t>The PBA</w:t>
      </w:r>
      <w:r w:rsidR="00AE0D19">
        <w:rPr>
          <w:lang w:val="en-GB"/>
        </w:rPr>
        <w:t xml:space="preserve">C noted that linzagolix treatment would </w:t>
      </w:r>
      <w:proofErr w:type="gramStart"/>
      <w:r w:rsidR="00AE0D19">
        <w:rPr>
          <w:lang w:val="en-GB"/>
        </w:rPr>
        <w:t>likely require</w:t>
      </w:r>
      <w:proofErr w:type="gramEnd"/>
      <w:r w:rsidR="00A040DB">
        <w:rPr>
          <w:lang w:val="en-GB"/>
        </w:rPr>
        <w:t xml:space="preserve"> BMD</w:t>
      </w:r>
      <w:r w:rsidRPr="00A03AEE">
        <w:rPr>
          <w:lang w:val="en-GB"/>
        </w:rPr>
        <w:t xml:space="preserve"> monitoring with DXA scans prior to the commencement of therapy in patients with risk factors for osteoporosis or bone loss and</w:t>
      </w:r>
      <w:r w:rsidR="00AE0D19">
        <w:rPr>
          <w:lang w:val="en-GB"/>
        </w:rPr>
        <w:t xml:space="preserve"> also</w:t>
      </w:r>
      <w:r w:rsidRPr="00A03AEE">
        <w:rPr>
          <w:lang w:val="en-GB"/>
        </w:rPr>
        <w:t xml:space="preserve"> </w:t>
      </w:r>
      <w:r w:rsidR="00AE0D19">
        <w:rPr>
          <w:lang w:val="en-GB"/>
        </w:rPr>
        <w:t>for ongoing longer-term use</w:t>
      </w:r>
      <w:r w:rsidRPr="00A03AEE">
        <w:rPr>
          <w:lang w:val="en-GB"/>
        </w:rPr>
        <w:t xml:space="preserve">. </w:t>
      </w:r>
      <w:r w:rsidR="00AE0D19">
        <w:rPr>
          <w:lang w:val="en-GB"/>
        </w:rPr>
        <w:t>The</w:t>
      </w:r>
      <w:r w:rsidR="00A040DB">
        <w:rPr>
          <w:lang w:val="en-GB"/>
        </w:rPr>
        <w:t xml:space="preserve"> PBAC</w:t>
      </w:r>
      <w:r w:rsidR="00AE0D19">
        <w:rPr>
          <w:lang w:val="en-GB"/>
        </w:rPr>
        <w:t xml:space="preserve"> </w:t>
      </w:r>
      <w:r w:rsidR="0032560F">
        <w:rPr>
          <w:lang w:val="en-GB"/>
        </w:rPr>
        <w:t xml:space="preserve">therefore </w:t>
      </w:r>
      <w:r w:rsidR="00A040DB">
        <w:rPr>
          <w:lang w:val="en-GB"/>
        </w:rPr>
        <w:t>considered</w:t>
      </w:r>
      <w:r w:rsidRPr="00A03AEE">
        <w:rPr>
          <w:lang w:val="en-GB"/>
        </w:rPr>
        <w:t xml:space="preserve"> the inclusion of</w:t>
      </w:r>
      <w:r w:rsidR="00051E7C">
        <w:rPr>
          <w:lang w:val="en-GB"/>
        </w:rPr>
        <w:t xml:space="preserve"> </w:t>
      </w:r>
      <w:r w:rsidR="00EB5962">
        <w:rPr>
          <w:lang w:val="en-GB"/>
        </w:rPr>
        <w:t>BMD monitoring</w:t>
      </w:r>
      <w:r w:rsidR="008A5908">
        <w:rPr>
          <w:lang w:val="en-GB"/>
        </w:rPr>
        <w:t xml:space="preserve"> for patients at </w:t>
      </w:r>
      <w:proofErr w:type="gramStart"/>
      <w:r w:rsidR="008A5908">
        <w:rPr>
          <w:lang w:val="en-GB"/>
        </w:rPr>
        <w:t>high risk</w:t>
      </w:r>
      <w:proofErr w:type="gramEnd"/>
      <w:r w:rsidR="007D694F">
        <w:rPr>
          <w:lang w:val="en-GB"/>
        </w:rPr>
        <w:t xml:space="preserve"> </w:t>
      </w:r>
      <w:r w:rsidRPr="00A03AEE">
        <w:rPr>
          <w:lang w:val="en-GB"/>
        </w:rPr>
        <w:t>as a clinical criterion or Prescriber Instruction would</w:t>
      </w:r>
      <w:r w:rsidR="0032560F">
        <w:rPr>
          <w:lang w:val="en-GB"/>
        </w:rPr>
        <w:t xml:space="preserve"> </w:t>
      </w:r>
      <w:r w:rsidR="00815022">
        <w:rPr>
          <w:lang w:val="en-GB"/>
        </w:rPr>
        <w:t>be appropriate</w:t>
      </w:r>
      <w:r w:rsidRPr="00A03AEE">
        <w:rPr>
          <w:lang w:val="en-GB"/>
        </w:rPr>
        <w:t>.</w:t>
      </w:r>
      <w:r w:rsidR="00815022">
        <w:rPr>
          <w:lang w:val="en-GB"/>
        </w:rPr>
        <w:t xml:space="preserve"> </w:t>
      </w:r>
      <w:r w:rsidR="00F312ED">
        <w:rPr>
          <w:lang w:val="en-GB"/>
        </w:rPr>
        <w:t xml:space="preserve">The PBAC noted that the requirement for a streamlined codependent submission would depend on whether </w:t>
      </w:r>
      <w:r w:rsidR="00EE4A7F">
        <w:rPr>
          <w:lang w:val="en-GB"/>
        </w:rPr>
        <w:t xml:space="preserve">patients requiring </w:t>
      </w:r>
      <w:r w:rsidR="001242A0">
        <w:rPr>
          <w:lang w:val="en-GB"/>
        </w:rPr>
        <w:t>monitoring are currently eligible under existing MBS items for DXA scan.</w:t>
      </w:r>
    </w:p>
    <w:p w14:paraId="36B316CB" w14:textId="05668EDD" w:rsidR="00B07F9B" w:rsidRPr="00B07F9B" w:rsidRDefault="00B07F9B" w:rsidP="00FF4A90">
      <w:pPr>
        <w:pStyle w:val="Bulletpoints"/>
        <w:rPr>
          <w:lang w:val="en-GB"/>
        </w:rPr>
      </w:pPr>
      <w:r>
        <w:rPr>
          <w:lang w:val="en-GB"/>
        </w:rPr>
        <w:t>The PBAC considered that a Restricted benefit listing of linzagolix was appropriate and would be consistent with other GnRH analogues for other indications currently on the PBS.</w:t>
      </w:r>
    </w:p>
    <w:p w14:paraId="41867A91" w14:textId="02CD2CFE" w:rsidR="002C0E4A" w:rsidRDefault="002C0E4A" w:rsidP="009D7FC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submission nominated best standard of care</w:t>
      </w:r>
      <w:r w:rsidR="00874EBB">
        <w:rPr>
          <w:rFonts w:asciiTheme="minorHAnsi" w:hAnsiTheme="minorHAnsi"/>
          <w:snapToGrid w:val="0"/>
          <w:lang w:val="en-GB"/>
        </w:rPr>
        <w:t xml:space="preserve"> (BSC), including</w:t>
      </w:r>
      <w:r w:rsidR="00874EBB" w:rsidRPr="00874EBB">
        <w:t xml:space="preserve"> </w:t>
      </w:r>
      <w:r w:rsidR="00874EBB">
        <w:t>n</w:t>
      </w:r>
      <w:r w:rsidR="00874EBB" w:rsidRPr="00EB3982">
        <w:t>on-steroidal anti-inflammatory</w:t>
      </w:r>
      <w:r w:rsidR="00874EBB">
        <w:t xml:space="preserve"> drugs (</w:t>
      </w:r>
      <w:r w:rsidR="00874EBB" w:rsidRPr="00482A36">
        <w:t>NSAID</w:t>
      </w:r>
      <w:r w:rsidR="00874EBB">
        <w:t>s)</w:t>
      </w:r>
      <w:r w:rsidR="00874EBB" w:rsidRPr="00482A36">
        <w:t xml:space="preserve"> and iron supplementation (for those with iron deficiency anaemia due to HMB</w:t>
      </w:r>
      <w:r w:rsidR="00874EBB">
        <w:t xml:space="preserve">) as the main comparator. </w:t>
      </w:r>
      <w:r w:rsidR="00C23873">
        <w:t xml:space="preserve">The PBAC considered </w:t>
      </w:r>
      <w:r w:rsidR="00C23873">
        <w:lastRenderedPageBreak/>
        <w:t xml:space="preserve">this comparator was appropriate for patients unsuitable for hormonal treatments. </w:t>
      </w:r>
      <w:r w:rsidR="00874EBB">
        <w:t xml:space="preserve">The PBAC noted that for patients who can tolerate hormone therapies but have an inadequate response, BSC could also include a hormone agent. The PBAC agreed that </w:t>
      </w:r>
      <w:r w:rsidR="00874EBB" w:rsidRPr="00FD5102">
        <w:t>complete discontinuation</w:t>
      </w:r>
      <w:r w:rsidR="00874EBB">
        <w:t xml:space="preserve"> </w:t>
      </w:r>
      <w:r w:rsidR="004F6381">
        <w:t xml:space="preserve">of </w:t>
      </w:r>
      <w:r w:rsidR="00874EBB">
        <w:t>hormonal therapies for this population</w:t>
      </w:r>
      <w:r w:rsidR="00874EBB" w:rsidRPr="00FD5102">
        <w:t xml:space="preserve"> was unlikely to reflect real-world practices, where </w:t>
      </w:r>
      <w:r w:rsidR="004F6381">
        <w:t xml:space="preserve">a proportion of </w:t>
      </w:r>
      <w:r w:rsidR="00874EBB" w:rsidRPr="00FD5102">
        <w:t>patients with low to moderate responses may remain on treatment.</w:t>
      </w:r>
    </w:p>
    <w:p w14:paraId="2E2A9F02" w14:textId="7042AAD9" w:rsidR="004F6381" w:rsidRPr="006B642F" w:rsidRDefault="007F0200" w:rsidP="009D7FC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w:t>
      </w:r>
      <w:r w:rsidRPr="007F0200">
        <w:rPr>
          <w:rFonts w:asciiTheme="minorHAnsi" w:hAnsiTheme="minorHAnsi"/>
          <w:snapToGrid w:val="0"/>
          <w:lang w:val="en-GB"/>
        </w:rPr>
        <w:t>he submission was based on two head-to-head trials comparing linzagolix to placebo, PRIMROSE 1 (n=574) and PRIMROSE 2 (n=535) and an extension safety study, PRIMROSE 3 (n=129</w:t>
      </w:r>
      <w:r>
        <w:rPr>
          <w:rFonts w:asciiTheme="minorHAnsi" w:hAnsiTheme="minorHAnsi"/>
          <w:snapToGrid w:val="0"/>
          <w:lang w:val="en-GB"/>
        </w:rPr>
        <w:t>).</w:t>
      </w:r>
      <w:r w:rsidR="003B41CD">
        <w:rPr>
          <w:rFonts w:asciiTheme="minorHAnsi" w:hAnsiTheme="minorHAnsi"/>
          <w:snapToGrid w:val="0"/>
          <w:lang w:val="en-GB"/>
        </w:rPr>
        <w:t xml:space="preserve"> </w:t>
      </w:r>
      <w:r w:rsidR="00577714">
        <w:rPr>
          <w:rFonts w:asciiTheme="minorHAnsi" w:hAnsiTheme="minorHAnsi"/>
          <w:snapToGrid w:val="0"/>
          <w:lang w:val="en-GB"/>
        </w:rPr>
        <w:t xml:space="preserve">The PBAC considered it was reasonable to consider the pooled data from the </w:t>
      </w:r>
      <w:r w:rsidR="002E142E">
        <w:rPr>
          <w:rFonts w:asciiTheme="minorHAnsi" w:hAnsiTheme="minorHAnsi"/>
          <w:snapToGrid w:val="0"/>
          <w:lang w:val="en-GB"/>
        </w:rPr>
        <w:t xml:space="preserve">PRIMROSE 1 and 2 </w:t>
      </w:r>
      <w:r w:rsidR="00577714">
        <w:rPr>
          <w:rFonts w:asciiTheme="minorHAnsi" w:hAnsiTheme="minorHAnsi"/>
          <w:snapToGrid w:val="0"/>
          <w:lang w:val="en-GB"/>
        </w:rPr>
        <w:t xml:space="preserve">trials as they were </w:t>
      </w:r>
      <w:proofErr w:type="gramStart"/>
      <w:r w:rsidR="00987300">
        <w:rPr>
          <w:rFonts w:asciiTheme="minorHAnsi" w:hAnsiTheme="minorHAnsi"/>
          <w:snapToGrid w:val="0"/>
          <w:lang w:val="en-GB"/>
        </w:rPr>
        <w:t>very similar</w:t>
      </w:r>
      <w:proofErr w:type="gramEnd"/>
      <w:r w:rsidR="002E142E">
        <w:rPr>
          <w:rFonts w:asciiTheme="minorHAnsi" w:hAnsiTheme="minorHAnsi"/>
          <w:snapToGrid w:val="0"/>
          <w:lang w:val="en-GB"/>
        </w:rPr>
        <w:t xml:space="preserve"> in design</w:t>
      </w:r>
      <w:r w:rsidR="00987300">
        <w:rPr>
          <w:rFonts w:asciiTheme="minorHAnsi" w:hAnsiTheme="minorHAnsi"/>
          <w:snapToGrid w:val="0"/>
          <w:lang w:val="en-GB"/>
        </w:rPr>
        <w:t xml:space="preserve">. </w:t>
      </w:r>
      <w:r w:rsidR="003B41CD">
        <w:rPr>
          <w:rFonts w:asciiTheme="minorHAnsi" w:hAnsiTheme="minorHAnsi"/>
          <w:snapToGrid w:val="0"/>
          <w:lang w:val="en-GB"/>
        </w:rPr>
        <w:t>The PBAC noted the clinical trials did not reflect the second-line setting, as only 16% of the trial populations had a history of prior uterine fibroid medications and</w:t>
      </w:r>
      <w:r w:rsidR="003B41CD" w:rsidRPr="00AB6295">
        <w:t xml:space="preserve"> the trial comparator (placebo) did not reflect the treatment most likely to </w:t>
      </w:r>
      <w:proofErr w:type="gramStart"/>
      <w:r w:rsidR="003B41CD" w:rsidRPr="00AB6295">
        <w:t>be replaced</w:t>
      </w:r>
      <w:proofErr w:type="gramEnd"/>
      <w:r w:rsidR="003B41CD" w:rsidRPr="00AB6295">
        <w:t xml:space="preserve"> in practice, </w:t>
      </w:r>
      <w:r w:rsidR="003B41CD">
        <w:t>which would include use of</w:t>
      </w:r>
      <w:r w:rsidR="003B41CD" w:rsidRPr="00AB6295">
        <w:t xml:space="preserve"> hormonal agents</w:t>
      </w:r>
      <w:r w:rsidR="003B41CD">
        <w:t>.</w:t>
      </w:r>
      <w:r w:rsidR="008260FD">
        <w:t xml:space="preserve"> </w:t>
      </w:r>
      <w:r w:rsidR="00212E3A">
        <w:t xml:space="preserve">In addition, patients </w:t>
      </w:r>
      <w:r w:rsidR="001637BA" w:rsidRPr="00AB6295">
        <w:rPr>
          <w:iCs/>
        </w:rPr>
        <w:t>whose condition was so severe that they required surgery within 6 months</w:t>
      </w:r>
      <w:r w:rsidR="001637BA" w:rsidDel="00212E3A">
        <w:t xml:space="preserve"> </w:t>
      </w:r>
      <w:r w:rsidR="00974B27">
        <w:t>were excluded from the PRIMROSE trials. The</w:t>
      </w:r>
      <w:r w:rsidR="0074615F">
        <w:t xml:space="preserve"> restrictions did not exclude patients requiring surgery within 6 months and </w:t>
      </w:r>
      <w:r w:rsidR="008D6008">
        <w:rPr>
          <w:iCs/>
        </w:rPr>
        <w:t xml:space="preserve">linzagolix is likely to be used in patients </w:t>
      </w:r>
      <w:r w:rsidR="007E597E">
        <w:rPr>
          <w:iCs/>
        </w:rPr>
        <w:t>requiring surgery with a view to reducing fibroid volume and maximising the chance of successful surgery.</w:t>
      </w:r>
      <w:r w:rsidR="0084454E">
        <w:rPr>
          <w:iCs/>
        </w:rPr>
        <w:t xml:space="preserve"> However, the PBAC noted that there was no evidence presented for use of linzagolix in </w:t>
      </w:r>
      <w:r w:rsidR="00BB6B88">
        <w:rPr>
          <w:iCs/>
        </w:rPr>
        <w:t xml:space="preserve">this way, </w:t>
      </w:r>
      <w:r w:rsidR="00EB02EF">
        <w:rPr>
          <w:iCs/>
        </w:rPr>
        <w:t xml:space="preserve">or </w:t>
      </w:r>
      <w:r w:rsidR="00BB6B88">
        <w:rPr>
          <w:iCs/>
        </w:rPr>
        <w:t xml:space="preserve">for these </w:t>
      </w:r>
      <w:r w:rsidR="0084454E">
        <w:rPr>
          <w:iCs/>
        </w:rPr>
        <w:t>patients</w:t>
      </w:r>
      <w:r w:rsidR="00BB6B88">
        <w:rPr>
          <w:iCs/>
        </w:rPr>
        <w:t>.</w:t>
      </w:r>
    </w:p>
    <w:p w14:paraId="63631FF2" w14:textId="2E6616A4" w:rsidR="006B642F" w:rsidRPr="00485580" w:rsidRDefault="006B642F" w:rsidP="00D27A33">
      <w:pPr>
        <w:pStyle w:val="3-BodyText"/>
      </w:pPr>
      <w:r>
        <w:t>The PBAC noted a</w:t>
      </w:r>
      <w:r w:rsidRPr="001A02AD">
        <w:t>t week 24, for the trial primary outcome, all active treatment arms in PRIMROSE 1 and 2 reported statistically significant higher proportion</w:t>
      </w:r>
      <w:r>
        <w:t>s</w:t>
      </w:r>
      <w:r w:rsidRPr="001A02AD">
        <w:t xml:space="preserve"> of patients with </w:t>
      </w:r>
      <w:r w:rsidR="00FF4E64">
        <w:t>menstrual</w:t>
      </w:r>
      <w:r w:rsidR="004B0798">
        <w:t xml:space="preserve"> blood loss (</w:t>
      </w:r>
      <w:r w:rsidRPr="001A02AD">
        <w:t>MBL</w:t>
      </w:r>
      <w:r w:rsidR="004B0798">
        <w:t>)</w:t>
      </w:r>
      <w:r w:rsidRPr="001A02AD">
        <w:t xml:space="preserve"> response compared to placebo.</w:t>
      </w:r>
      <w:r w:rsidR="004B0798">
        <w:t xml:space="preserve"> The PBAC noted there was a sizable proportion of patients who did not respond</w:t>
      </w:r>
      <w:r w:rsidR="00E508B6">
        <w:t xml:space="preserve"> to linzagolix.</w:t>
      </w:r>
      <w:r w:rsidR="004B0798">
        <w:t xml:space="preserve"> </w:t>
      </w:r>
      <w:r w:rsidR="00E508B6">
        <w:t>The PBAC</w:t>
      </w:r>
      <w:r w:rsidR="004B0798">
        <w:t xml:space="preserve"> noted that </w:t>
      </w:r>
      <w:r w:rsidR="00E508B6">
        <w:t xml:space="preserve">MBL </w:t>
      </w:r>
      <w:r w:rsidR="004B0798">
        <w:t>response was higher for the linzagolix 200 mg</w:t>
      </w:r>
      <w:r w:rsidR="002600A2">
        <w:t xml:space="preserve"> treatment</w:t>
      </w:r>
      <w:r w:rsidR="004B0798">
        <w:t xml:space="preserve"> groups and that response appeared to improve over time.</w:t>
      </w:r>
      <w:r w:rsidRPr="004B0798">
        <w:t xml:space="preserve"> The PBAC noted that the placebo responses in both PRIMROSE 1 and 2 were high (29</w:t>
      </w:r>
      <w:r w:rsidRPr="004B0798">
        <w:rPr>
          <w:rFonts w:cstheme="minorHAnsi"/>
        </w:rPr>
        <w:t>−</w:t>
      </w:r>
      <w:r w:rsidRPr="004B0798">
        <w:t>35%)</w:t>
      </w:r>
      <w:r w:rsidR="005A0742">
        <w:t xml:space="preserve"> which</w:t>
      </w:r>
      <w:r w:rsidR="002E142E">
        <w:t>,</w:t>
      </w:r>
      <w:r w:rsidR="005A0742">
        <w:t xml:space="preserve"> </w:t>
      </w:r>
      <w:r w:rsidR="002E142E">
        <w:t xml:space="preserve">to some extent, </w:t>
      </w:r>
      <w:r w:rsidR="005A0742">
        <w:t xml:space="preserve">may be due to </w:t>
      </w:r>
      <w:r w:rsidR="007F171C">
        <w:t>missing data</w:t>
      </w:r>
      <w:r w:rsidRPr="004B0798">
        <w:t>.</w:t>
      </w:r>
      <w:r w:rsidR="00D205F2" w:rsidRPr="00D205F2">
        <w:t xml:space="preserve"> </w:t>
      </w:r>
      <w:r w:rsidR="00E204EB">
        <w:t>For the secondary outcome of uterine fibroid volume, l</w:t>
      </w:r>
      <w:r w:rsidR="00D205F2">
        <w:t xml:space="preserve">arger reductions from baseline were observed for all linzagolix treatment arms compared to placebo up to week 24. </w:t>
      </w:r>
      <w:r w:rsidR="00485580">
        <w:t>However, t</w:t>
      </w:r>
      <w:r w:rsidR="00D205F2">
        <w:t>he reductions did not appear to be maintained over time</w:t>
      </w:r>
      <w:r w:rsidR="00485580">
        <w:t>, except</w:t>
      </w:r>
      <w:r w:rsidR="00D205F2">
        <w:t xml:space="preserve"> for those randomised to the linzagolix 200 mg + ABT arm, which continued to show a higher reduction in fibroid volume from baseline. </w:t>
      </w:r>
    </w:p>
    <w:p w14:paraId="7383A6FC" w14:textId="19967ADD" w:rsidR="009D7FC6" w:rsidRDefault="009D7FC6" w:rsidP="00FF4E6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there were significant safety concerns regarding BMD loss, </w:t>
      </w:r>
      <w:r w:rsidR="00135E95" w:rsidRPr="00BD7614">
        <w:rPr>
          <w:rFonts w:asciiTheme="minorHAnsi" w:hAnsiTheme="minorHAnsi"/>
          <w:snapToGrid w:val="0"/>
          <w:lang w:val="en-GB"/>
        </w:rPr>
        <w:t>particularly at the higher 200 mg dose without</w:t>
      </w:r>
      <w:r w:rsidR="00135E95">
        <w:rPr>
          <w:rFonts w:asciiTheme="minorHAnsi" w:hAnsiTheme="minorHAnsi"/>
          <w:snapToGrid w:val="0"/>
          <w:lang w:val="en-GB"/>
        </w:rPr>
        <w:t xml:space="preserve"> ABT</w:t>
      </w:r>
      <w:r w:rsidR="007C71A5">
        <w:rPr>
          <w:rFonts w:asciiTheme="minorHAnsi" w:hAnsiTheme="minorHAnsi"/>
          <w:snapToGrid w:val="0"/>
          <w:lang w:val="en-GB"/>
        </w:rPr>
        <w:t xml:space="preserve">. </w:t>
      </w:r>
      <w:r w:rsidR="00FF4E64">
        <w:rPr>
          <w:rFonts w:asciiTheme="minorHAnsi" w:hAnsiTheme="minorHAnsi"/>
          <w:snapToGrid w:val="0"/>
          <w:lang w:val="en-GB"/>
        </w:rPr>
        <w:t xml:space="preserve">The PBAC noted that the </w:t>
      </w:r>
      <w:r w:rsidR="00FF4E64" w:rsidRPr="00482A36">
        <w:t xml:space="preserve">PRIMROSE 1 and 2 trials </w:t>
      </w:r>
      <w:r w:rsidR="00FF4E64">
        <w:t>reported</w:t>
      </w:r>
      <w:r w:rsidR="00FF4E64" w:rsidRPr="00482A36">
        <w:t xml:space="preserve"> </w:t>
      </w:r>
      <w:r w:rsidR="00FF4E64">
        <w:t>changes</w:t>
      </w:r>
      <w:r w:rsidR="00FF4E64" w:rsidRPr="00482A36">
        <w:t xml:space="preserve"> in BMD at all three anatomical sites (lumbar spine, femoral neck, and total hip) by weeks 24 and 52</w:t>
      </w:r>
      <w:r w:rsidR="00FF4E64">
        <w:t xml:space="preserve">. </w:t>
      </w:r>
      <w:r w:rsidR="00FF4E64" w:rsidRPr="00482A36">
        <w:t xml:space="preserve">At week 24, the most significant mean </w:t>
      </w:r>
      <w:r w:rsidR="00FF4E64">
        <w:t>changes from baseline in BMD</w:t>
      </w:r>
      <w:r w:rsidR="00FF4E64" w:rsidRPr="00482A36">
        <w:t xml:space="preserve"> were observed in the lumbar spine, with linzagolix-treated groups experiencing decreases of 1.0% to 3.7% compared to a 0.4% increase in the placebo group.</w:t>
      </w:r>
      <w:r w:rsidR="00FF4E64">
        <w:rPr>
          <w:rFonts w:asciiTheme="minorHAnsi" w:hAnsiTheme="minorHAnsi"/>
          <w:snapToGrid w:val="0"/>
          <w:lang w:val="en-GB"/>
        </w:rPr>
        <w:t xml:space="preserve"> The PBAC </w:t>
      </w:r>
      <w:r w:rsidR="007C71A5" w:rsidRPr="00FF4E64">
        <w:rPr>
          <w:rFonts w:asciiTheme="minorHAnsi" w:hAnsiTheme="minorHAnsi"/>
          <w:snapToGrid w:val="0"/>
          <w:lang w:val="en-GB"/>
        </w:rPr>
        <w:t xml:space="preserve">noted that </w:t>
      </w:r>
      <w:r w:rsidR="007C71A5">
        <w:t>a</w:t>
      </w:r>
      <w:r w:rsidR="007C71A5" w:rsidRPr="00482A36">
        <w:t xml:space="preserve">ll treatments in the PRIMROSE 1 and 2 trials ceased at week </w:t>
      </w:r>
      <w:proofErr w:type="gramStart"/>
      <w:r w:rsidR="007C71A5" w:rsidRPr="00482A36">
        <w:t>52</w:t>
      </w:r>
      <w:proofErr w:type="gramEnd"/>
      <w:r w:rsidR="007C71A5">
        <w:t xml:space="preserve"> and</w:t>
      </w:r>
      <w:r w:rsidR="007C71A5" w:rsidRPr="00FF4E64">
        <w:rPr>
          <w:rFonts w:asciiTheme="minorHAnsi" w:hAnsiTheme="minorHAnsi"/>
          <w:snapToGrid w:val="0"/>
          <w:lang w:val="en-GB"/>
        </w:rPr>
        <w:t xml:space="preserve"> that </w:t>
      </w:r>
      <w:r w:rsidR="007C71A5">
        <w:t>b</w:t>
      </w:r>
      <w:r w:rsidR="007C71A5" w:rsidRPr="00482A36">
        <w:t xml:space="preserve">ased on PRIMROSE 3 results at week 104, some recovery in BMD was noted across treatment arms. However, linzagolix 200 mg + ABT and linzagolix 100 mg + ABT showed further declines in BMD </w:t>
      </w:r>
      <w:r w:rsidR="007C71A5" w:rsidRPr="00482A36">
        <w:lastRenderedPageBreak/>
        <w:t>for certain sites</w:t>
      </w:r>
      <w:r w:rsidR="00B47852">
        <w:t xml:space="preserve"> indicating that </w:t>
      </w:r>
      <w:r w:rsidR="00B47852" w:rsidRPr="00BD7614">
        <w:rPr>
          <w:rFonts w:asciiTheme="minorHAnsi" w:hAnsiTheme="minorHAnsi"/>
          <w:snapToGrid w:val="0"/>
          <w:lang w:val="en-GB"/>
        </w:rPr>
        <w:t xml:space="preserve">ABT did not fully ameliorate </w:t>
      </w:r>
      <w:r w:rsidR="00B47852">
        <w:rPr>
          <w:rFonts w:asciiTheme="minorHAnsi" w:hAnsiTheme="minorHAnsi"/>
          <w:snapToGrid w:val="0"/>
          <w:lang w:val="en-GB"/>
        </w:rPr>
        <w:t>the</w:t>
      </w:r>
      <w:r w:rsidR="00B47852" w:rsidRPr="00BD7614">
        <w:rPr>
          <w:rFonts w:asciiTheme="minorHAnsi" w:hAnsiTheme="minorHAnsi"/>
          <w:snapToGrid w:val="0"/>
          <w:lang w:val="en-GB"/>
        </w:rPr>
        <w:t xml:space="preserve"> risk</w:t>
      </w:r>
      <w:r w:rsidR="00B47852">
        <w:rPr>
          <w:rFonts w:asciiTheme="minorHAnsi" w:hAnsiTheme="minorHAnsi"/>
          <w:snapToGrid w:val="0"/>
          <w:lang w:val="en-GB"/>
        </w:rPr>
        <w:t xml:space="preserve"> of BMD loss</w:t>
      </w:r>
      <w:r w:rsidR="007C71A5" w:rsidRPr="00482A36">
        <w:t>.</w:t>
      </w:r>
      <w:r w:rsidR="007C71A5">
        <w:t xml:space="preserve"> The PBAC considered </w:t>
      </w:r>
      <w:r w:rsidR="007C71A5" w:rsidRPr="00FF4E64">
        <w:rPr>
          <w:iCs/>
        </w:rPr>
        <w:t>these findings raise concern regarding the safety of long</w:t>
      </w:r>
      <w:r w:rsidR="005B35A9">
        <w:rPr>
          <w:iCs/>
        </w:rPr>
        <w:t>-</w:t>
      </w:r>
      <w:r w:rsidR="007C71A5" w:rsidRPr="00FF4E64">
        <w:rPr>
          <w:iCs/>
        </w:rPr>
        <w:t>term linzagolix treatment</w:t>
      </w:r>
      <w:r w:rsidR="00D6251C">
        <w:rPr>
          <w:iCs/>
        </w:rPr>
        <w:t xml:space="preserve"> and </w:t>
      </w:r>
      <w:r w:rsidR="00B47852">
        <w:rPr>
          <w:iCs/>
        </w:rPr>
        <w:t xml:space="preserve">trial data </w:t>
      </w:r>
      <w:r w:rsidR="00D6251C">
        <w:rPr>
          <w:iCs/>
        </w:rPr>
        <w:t xml:space="preserve">showing recovery of BMD </w:t>
      </w:r>
      <w:r w:rsidR="00B47852">
        <w:rPr>
          <w:iCs/>
        </w:rPr>
        <w:t xml:space="preserve">after ceasing treatment </w:t>
      </w:r>
      <w:r w:rsidR="00D6251C">
        <w:rPr>
          <w:iCs/>
        </w:rPr>
        <w:t>would not be applicable to patients receiving ongoing therapy</w:t>
      </w:r>
      <w:r w:rsidR="007C71A5" w:rsidRPr="00FF4E64">
        <w:rPr>
          <w:iCs/>
        </w:rPr>
        <w:t>.</w:t>
      </w:r>
      <w:r w:rsidR="00FF4E64" w:rsidRPr="00FF4E64">
        <w:rPr>
          <w:rFonts w:asciiTheme="minorHAnsi" w:hAnsiTheme="minorHAnsi"/>
          <w:snapToGrid w:val="0"/>
          <w:lang w:val="en-GB"/>
        </w:rPr>
        <w:t xml:space="preserve"> </w:t>
      </w:r>
      <w:r w:rsidR="007D694F" w:rsidRPr="00FF4E64">
        <w:rPr>
          <w:rFonts w:asciiTheme="minorHAnsi" w:hAnsiTheme="minorHAnsi"/>
          <w:snapToGrid w:val="0"/>
          <w:lang w:val="en-GB"/>
        </w:rPr>
        <w:t xml:space="preserve">The PBAC </w:t>
      </w:r>
      <w:r w:rsidR="00FF4E64" w:rsidRPr="00FF4E64">
        <w:rPr>
          <w:rFonts w:asciiTheme="minorHAnsi" w:hAnsiTheme="minorHAnsi"/>
          <w:snapToGrid w:val="0"/>
          <w:lang w:val="en-GB"/>
        </w:rPr>
        <w:t>noted</w:t>
      </w:r>
      <w:r w:rsidR="007D694F" w:rsidRPr="00FF4E64">
        <w:rPr>
          <w:rFonts w:asciiTheme="minorHAnsi" w:hAnsiTheme="minorHAnsi"/>
          <w:snapToGrid w:val="0"/>
          <w:lang w:val="en-GB"/>
        </w:rPr>
        <w:t xml:space="preserve"> the ACM advice to the TGA Delegate that the lack of long-term safety data in the pivotal trials </w:t>
      </w:r>
      <w:r w:rsidR="006E3E64">
        <w:rPr>
          <w:rFonts w:asciiTheme="minorHAnsi" w:hAnsiTheme="minorHAnsi"/>
          <w:snapToGrid w:val="0"/>
          <w:lang w:val="en-GB"/>
        </w:rPr>
        <w:t>would mean</w:t>
      </w:r>
      <w:r w:rsidR="007D694F" w:rsidRPr="00FF4E64">
        <w:rPr>
          <w:rFonts w:asciiTheme="minorHAnsi" w:hAnsiTheme="minorHAnsi"/>
          <w:snapToGrid w:val="0"/>
          <w:lang w:val="en-GB"/>
        </w:rPr>
        <w:t xml:space="preserve"> a robust </w:t>
      </w:r>
      <w:r w:rsidR="00C80C43">
        <w:rPr>
          <w:rFonts w:asciiTheme="minorHAnsi" w:hAnsiTheme="minorHAnsi"/>
          <w:snapToGrid w:val="0"/>
          <w:lang w:val="en-GB"/>
        </w:rPr>
        <w:t>risk management plan</w:t>
      </w:r>
      <w:r w:rsidR="00C80C43" w:rsidRPr="00FF4E64">
        <w:rPr>
          <w:rFonts w:asciiTheme="minorHAnsi" w:hAnsiTheme="minorHAnsi"/>
          <w:snapToGrid w:val="0"/>
          <w:lang w:val="en-GB"/>
        </w:rPr>
        <w:t xml:space="preserve"> </w:t>
      </w:r>
      <w:r w:rsidR="006E3E64">
        <w:rPr>
          <w:rFonts w:asciiTheme="minorHAnsi" w:hAnsiTheme="minorHAnsi"/>
          <w:snapToGrid w:val="0"/>
          <w:lang w:val="en-GB"/>
        </w:rPr>
        <w:t>would</w:t>
      </w:r>
      <w:r w:rsidR="007D694F" w:rsidRPr="00FF4E64">
        <w:rPr>
          <w:rFonts w:asciiTheme="minorHAnsi" w:hAnsiTheme="minorHAnsi"/>
          <w:snapToGrid w:val="0"/>
          <w:lang w:val="en-GB"/>
        </w:rPr>
        <w:t xml:space="preserve"> be of high importance.</w:t>
      </w:r>
    </w:p>
    <w:p w14:paraId="6B37ED13" w14:textId="70A49DCC" w:rsidR="00C50F70" w:rsidRPr="00595985" w:rsidRDefault="00E15E02" w:rsidP="00595985">
      <w:pPr>
        <w:pStyle w:val="3-BodyText"/>
        <w:rPr>
          <w:rFonts w:ascii="Calibri" w:hAnsi="Calibri"/>
          <w:snapToGrid/>
        </w:rPr>
      </w:pPr>
      <w:r>
        <w:rPr>
          <w:lang w:val="en-GB"/>
        </w:rPr>
        <w:t xml:space="preserve">The PBAC noted the submission presented a modelled economic evaluation of </w:t>
      </w:r>
      <w:r w:rsidRPr="00482A36">
        <w:t>linzagolix versus BSC, based on results from the linzagolix 200 mg + ABT and placebo arms of pooled PRIMROSE 1 and 2 data.</w:t>
      </w:r>
      <w:r>
        <w:t xml:space="preserve"> </w:t>
      </w:r>
      <w:r w:rsidR="00C50F70">
        <w:t xml:space="preserve">The PBAC noted </w:t>
      </w:r>
      <w:r w:rsidR="002C0956">
        <w:t xml:space="preserve">that </w:t>
      </w:r>
      <w:r w:rsidR="00C50F70" w:rsidRPr="00C50F70">
        <w:t xml:space="preserve">this </w:t>
      </w:r>
      <w:r w:rsidR="002C0956">
        <w:t xml:space="preserve">evidence base </w:t>
      </w:r>
      <w:r w:rsidR="00C50F70">
        <w:t xml:space="preserve">was </w:t>
      </w:r>
      <w:r w:rsidR="002C0956">
        <w:t xml:space="preserve">likely </w:t>
      </w:r>
      <w:r w:rsidR="00C50F70">
        <w:t xml:space="preserve">not </w:t>
      </w:r>
      <w:r w:rsidR="001B62C0">
        <w:t xml:space="preserve">fully </w:t>
      </w:r>
      <w:r w:rsidR="00C50F70">
        <w:t>representative of a</w:t>
      </w:r>
      <w:r w:rsidR="00C50F70" w:rsidRPr="00C50F70">
        <w:t xml:space="preserve"> second</w:t>
      </w:r>
      <w:r w:rsidR="002C0956">
        <w:t>-</w:t>
      </w:r>
      <w:r w:rsidR="00C50F70" w:rsidRPr="00C50F70">
        <w:t>line setting in Australia</w:t>
      </w:r>
      <w:r w:rsidR="002C0956">
        <w:t>,</w:t>
      </w:r>
      <w:r w:rsidR="00C50F70" w:rsidRPr="00C50F70">
        <w:t xml:space="preserve"> which would also include hormone treatments as part of BSC</w:t>
      </w:r>
      <w:r w:rsidR="00436F27">
        <w:t xml:space="preserve">. The PBAC considered the exclusion of hormone therapies from the comparator arm for patients in the second-line setting favoured linzagolix. </w:t>
      </w:r>
      <w:r w:rsidR="00342A68">
        <w:t xml:space="preserve">The PBAC also noted that patients requiring surgery within </w:t>
      </w:r>
      <w:r w:rsidR="009D07B2">
        <w:t>6</w:t>
      </w:r>
      <w:r w:rsidR="00AA534F">
        <w:t> </w:t>
      </w:r>
      <w:r w:rsidR="009D07B2">
        <w:t>months were not</w:t>
      </w:r>
      <w:r w:rsidR="00032FAC">
        <w:t xml:space="preserve"> captured in the trial evidence applied in the economic model and patients on the 100 mg dose were not </w:t>
      </w:r>
      <w:r w:rsidR="00485611">
        <w:t xml:space="preserve">represented in the model base case. </w:t>
      </w:r>
      <w:r w:rsidR="00436F27">
        <w:t xml:space="preserve">The PBAC </w:t>
      </w:r>
      <w:r w:rsidR="00485611">
        <w:t>considered</w:t>
      </w:r>
      <w:r w:rsidR="00C50F70">
        <w:t xml:space="preserve"> </w:t>
      </w:r>
      <w:r w:rsidR="00C50F70" w:rsidRPr="00C50F70">
        <w:rPr>
          <w:rFonts w:ascii="Calibri" w:hAnsi="Calibri"/>
          <w:snapToGrid/>
        </w:rPr>
        <w:t>that the lack of evidence for the requested second</w:t>
      </w:r>
      <w:r w:rsidR="00595985">
        <w:rPr>
          <w:rFonts w:ascii="Calibri" w:hAnsi="Calibri"/>
          <w:snapToGrid/>
        </w:rPr>
        <w:t>-</w:t>
      </w:r>
      <w:r w:rsidR="00C50F70" w:rsidRPr="00C50F70">
        <w:rPr>
          <w:rFonts w:ascii="Calibri" w:hAnsi="Calibri"/>
          <w:snapToGrid/>
        </w:rPr>
        <w:t xml:space="preserve">line listing could not be resolved with modelling. </w:t>
      </w:r>
    </w:p>
    <w:p w14:paraId="47FA020F" w14:textId="19EEF539" w:rsidR="000B6333" w:rsidRPr="005C3374" w:rsidRDefault="000B6333" w:rsidP="000B6333">
      <w:pPr>
        <w:widowControl w:val="0"/>
        <w:numPr>
          <w:ilvl w:val="1"/>
          <w:numId w:val="1"/>
        </w:numPr>
        <w:spacing w:after="120"/>
        <w:rPr>
          <w:rFonts w:asciiTheme="minorHAnsi" w:hAnsiTheme="minorHAnsi"/>
          <w:snapToGrid w:val="0"/>
          <w:lang w:val="en-GB"/>
        </w:rPr>
      </w:pPr>
      <w:bookmarkStart w:id="96" w:name="_Ref173944406"/>
      <w:bookmarkStart w:id="97" w:name="_Ref173944357"/>
      <w:r w:rsidRPr="002515A5">
        <w:rPr>
          <w:iCs/>
        </w:rPr>
        <w:t xml:space="preserve">The PBAC </w:t>
      </w:r>
      <w:r>
        <w:rPr>
          <w:iCs/>
        </w:rPr>
        <w:t xml:space="preserve">noted that </w:t>
      </w:r>
      <w:r w:rsidRPr="00BC6121">
        <w:rPr>
          <w:iCs/>
        </w:rPr>
        <w:t xml:space="preserve">the submission applied EQ-5D-3L utilities </w:t>
      </w:r>
      <w:r>
        <w:rPr>
          <w:iCs/>
        </w:rPr>
        <w:t xml:space="preserve">that were </w:t>
      </w:r>
      <w:r w:rsidRPr="00BC6121">
        <w:rPr>
          <w:iCs/>
        </w:rPr>
        <w:t xml:space="preserve">mapped using </w:t>
      </w:r>
      <w:r>
        <w:rPr>
          <w:iCs/>
        </w:rPr>
        <w:t xml:space="preserve">a </w:t>
      </w:r>
      <w:r w:rsidRPr="00BC6121">
        <w:rPr>
          <w:iCs/>
        </w:rPr>
        <w:t>UK value set from UFS-QoL questionnaire data from the PRIMROSE trials</w:t>
      </w:r>
      <w:r>
        <w:rPr>
          <w:iCs/>
        </w:rPr>
        <w:t xml:space="preserve">. It was further noted </w:t>
      </w:r>
      <w:r w:rsidRPr="00521463">
        <w:rPr>
          <w:iCs/>
          <w:noProof/>
        </w:rPr>
        <w:t>that the utility values used in the base case were not adjusted for baseline utility.</w:t>
      </w:r>
      <w:r>
        <w:rPr>
          <w:iCs/>
          <w:noProof/>
        </w:rPr>
        <w:t xml:space="preserve"> The PBAC agreed with the ESC that </w:t>
      </w:r>
      <w:r w:rsidRPr="00FD5102">
        <w:rPr>
          <w:noProof/>
        </w:rPr>
        <w:t xml:space="preserve">utility estimates adjusted for baseline utility were </w:t>
      </w:r>
      <w:r>
        <w:rPr>
          <w:noProof/>
        </w:rPr>
        <w:t>more</w:t>
      </w:r>
      <w:r w:rsidRPr="00FD5102">
        <w:rPr>
          <w:noProof/>
        </w:rPr>
        <w:t xml:space="preserve"> appropriate to apply to the economic model as </w:t>
      </w:r>
      <w:r w:rsidR="00D25688">
        <w:rPr>
          <w:noProof/>
        </w:rPr>
        <w:t>they</w:t>
      </w:r>
      <w:r w:rsidRPr="00FD5102">
        <w:rPr>
          <w:noProof/>
        </w:rPr>
        <w:t xml:space="preserve"> more accurately reflect the true treatment effect. The </w:t>
      </w:r>
      <w:r>
        <w:rPr>
          <w:noProof/>
        </w:rPr>
        <w:t>PBAC</w:t>
      </w:r>
      <w:r w:rsidRPr="00FD5102">
        <w:rPr>
          <w:noProof/>
        </w:rPr>
        <w:t xml:space="preserve"> also considered that utilities</w:t>
      </w:r>
      <w:r>
        <w:rPr>
          <w:noProof/>
        </w:rPr>
        <w:t xml:space="preserve"> should ideally be</w:t>
      </w:r>
      <w:r w:rsidRPr="00FD5102">
        <w:rPr>
          <w:noProof/>
        </w:rPr>
        <w:t xml:space="preserve"> mapped to Australian values</w:t>
      </w:r>
      <w:r>
        <w:rPr>
          <w:noProof/>
        </w:rPr>
        <w:t>.</w:t>
      </w:r>
      <w:bookmarkEnd w:id="96"/>
    </w:p>
    <w:p w14:paraId="4FE252C2" w14:textId="5C76D39A" w:rsidR="00B47852" w:rsidRPr="00B47852" w:rsidRDefault="00B47852" w:rsidP="005C3374">
      <w:pPr>
        <w:widowControl w:val="0"/>
        <w:numPr>
          <w:ilvl w:val="1"/>
          <w:numId w:val="1"/>
        </w:numPr>
        <w:spacing w:after="120"/>
        <w:rPr>
          <w:rFonts w:asciiTheme="minorHAnsi" w:hAnsiTheme="minorHAnsi"/>
          <w:snapToGrid w:val="0"/>
          <w:lang w:val="en-GB"/>
        </w:rPr>
      </w:pPr>
      <w:bookmarkStart w:id="98" w:name="_Ref174090598"/>
      <w:r>
        <w:rPr>
          <w:iCs/>
        </w:rPr>
        <w:t>T</w:t>
      </w:r>
      <w:r w:rsidRPr="00B62EB5">
        <w:rPr>
          <w:iCs/>
        </w:rPr>
        <w:t xml:space="preserve">he PBAC </w:t>
      </w:r>
      <w:r>
        <w:rPr>
          <w:iCs/>
        </w:rPr>
        <w:t xml:space="preserve">noted that with the revised price the </w:t>
      </w:r>
      <w:r>
        <w:rPr>
          <w:rFonts w:eastAsia="Calibri"/>
          <w:iCs/>
          <w:szCs w:val="20"/>
        </w:rPr>
        <w:t>pre-PBAC response stated that the</w:t>
      </w:r>
      <w:r w:rsidRPr="00D623E2">
        <w:rPr>
          <w:rFonts w:eastAsia="Calibri"/>
          <w:iCs/>
          <w:szCs w:val="20"/>
        </w:rPr>
        <w:t xml:space="preserve"> ICER</w:t>
      </w:r>
      <w:r>
        <w:rPr>
          <w:rFonts w:eastAsia="Calibri"/>
          <w:iCs/>
          <w:szCs w:val="20"/>
        </w:rPr>
        <w:t xml:space="preserve"> was reduced from</w:t>
      </w:r>
      <w:r w:rsidRPr="00D623E2">
        <w:rPr>
          <w:rFonts w:eastAsia="Calibri"/>
          <w:iCs/>
          <w:szCs w:val="20"/>
        </w:rPr>
        <w:t xml:space="preserve"> </w:t>
      </w:r>
      <w:r w:rsidR="00915CD4" w:rsidRPr="00915CD4">
        <w:rPr>
          <w:rFonts w:eastAsia="Calibri"/>
          <w:iCs/>
          <w:szCs w:val="20"/>
        </w:rPr>
        <w:t>$45,000 to &lt; $55,000</w:t>
      </w:r>
      <w:r>
        <w:rPr>
          <w:rFonts w:eastAsia="Calibri"/>
          <w:iCs/>
          <w:szCs w:val="20"/>
        </w:rPr>
        <w:t>/QALY</w:t>
      </w:r>
      <w:r w:rsidRPr="00D623E2">
        <w:rPr>
          <w:rFonts w:eastAsia="Calibri"/>
          <w:iCs/>
          <w:szCs w:val="20"/>
        </w:rPr>
        <w:t xml:space="preserve"> to </w:t>
      </w:r>
      <w:r w:rsidR="005D7EA8" w:rsidRPr="005D7EA8">
        <w:rPr>
          <w:rFonts w:eastAsia="Calibri"/>
          <w:iCs/>
          <w:szCs w:val="20"/>
        </w:rPr>
        <w:t>$25,000 to &lt; $35,000</w:t>
      </w:r>
      <w:r>
        <w:rPr>
          <w:rFonts w:eastAsia="Calibri"/>
          <w:iCs/>
          <w:szCs w:val="20"/>
        </w:rPr>
        <w:t>/QALY</w:t>
      </w:r>
      <w:r w:rsidRPr="00D623E2">
        <w:rPr>
          <w:rFonts w:eastAsia="Calibri"/>
          <w:iCs/>
          <w:szCs w:val="20"/>
        </w:rPr>
        <w:t xml:space="preserve"> using unadjusted UFS-QoL utility values and </w:t>
      </w:r>
      <w:r w:rsidR="004819BA" w:rsidRPr="004819BA">
        <w:rPr>
          <w:rFonts w:eastAsia="Calibri"/>
          <w:iCs/>
          <w:szCs w:val="20"/>
        </w:rPr>
        <w:t>$75,000 to &lt; $95,000</w:t>
      </w:r>
      <w:r>
        <w:rPr>
          <w:rFonts w:eastAsia="Calibri"/>
          <w:iCs/>
          <w:szCs w:val="20"/>
        </w:rPr>
        <w:t>/QALY</w:t>
      </w:r>
      <w:r w:rsidRPr="00D623E2">
        <w:rPr>
          <w:rFonts w:eastAsia="Calibri"/>
          <w:iCs/>
          <w:szCs w:val="20"/>
        </w:rPr>
        <w:t xml:space="preserve"> using baseline-adjusted UFS-QoL utility values</w:t>
      </w:r>
      <w:r>
        <w:rPr>
          <w:rFonts w:eastAsia="Calibri"/>
          <w:iCs/>
          <w:szCs w:val="20"/>
        </w:rPr>
        <w:t xml:space="preserve">. The PBAC </w:t>
      </w:r>
      <w:r w:rsidRPr="00B62EB5">
        <w:rPr>
          <w:iCs/>
        </w:rPr>
        <w:t xml:space="preserve">considered there were </w:t>
      </w:r>
      <w:proofErr w:type="gramStart"/>
      <w:r w:rsidRPr="00B62EB5">
        <w:rPr>
          <w:iCs/>
        </w:rPr>
        <w:t>a number of</w:t>
      </w:r>
      <w:proofErr w:type="gramEnd"/>
      <w:r w:rsidRPr="00B62EB5">
        <w:rPr>
          <w:iCs/>
        </w:rPr>
        <w:t xml:space="preserve"> remaining assumptions that formed the basis of the revised base case that were not appropriate </w:t>
      </w:r>
      <w:r>
        <w:rPr>
          <w:iCs/>
        </w:rPr>
        <w:t xml:space="preserve">(e.g. utility values) </w:t>
      </w:r>
      <w:r w:rsidRPr="00B62EB5">
        <w:rPr>
          <w:iCs/>
        </w:rPr>
        <w:t xml:space="preserve">and </w:t>
      </w:r>
      <w:r>
        <w:rPr>
          <w:iCs/>
        </w:rPr>
        <w:t xml:space="preserve">the model </w:t>
      </w:r>
      <w:r w:rsidRPr="00B62EB5">
        <w:rPr>
          <w:iCs/>
        </w:rPr>
        <w:t>did not account for the benefits and risks associated with likely use</w:t>
      </w:r>
      <w:r>
        <w:rPr>
          <w:iCs/>
        </w:rPr>
        <w:t xml:space="preserve"> in clinical practice</w:t>
      </w:r>
      <w:r w:rsidRPr="00B62EB5">
        <w:rPr>
          <w:iCs/>
        </w:rPr>
        <w:t>.</w:t>
      </w:r>
    </w:p>
    <w:p w14:paraId="04CA0762" w14:textId="4CC551A8" w:rsidR="00E15E02" w:rsidRPr="002E142E" w:rsidRDefault="00C50F70" w:rsidP="005C3374">
      <w:pPr>
        <w:widowControl w:val="0"/>
        <w:numPr>
          <w:ilvl w:val="1"/>
          <w:numId w:val="1"/>
        </w:numPr>
        <w:spacing w:after="120"/>
        <w:rPr>
          <w:rFonts w:asciiTheme="minorHAnsi" w:hAnsiTheme="minorHAnsi"/>
          <w:snapToGrid w:val="0"/>
          <w:lang w:val="en-GB"/>
        </w:rPr>
      </w:pPr>
      <w:r w:rsidRPr="00616367">
        <w:rPr>
          <w:iCs/>
        </w:rPr>
        <w:t>The</w:t>
      </w:r>
      <w:r>
        <w:rPr>
          <w:iCs/>
        </w:rPr>
        <w:t xml:space="preserve"> PBAC noted that the economic</w:t>
      </w:r>
      <w:r w:rsidRPr="00616367">
        <w:rPr>
          <w:iCs/>
        </w:rPr>
        <w:t xml:space="preserve"> model did not include patients younger than 35</w:t>
      </w:r>
      <w:r w:rsidR="004819BA">
        <w:rPr>
          <w:iCs/>
        </w:rPr>
        <w:t> </w:t>
      </w:r>
      <w:r w:rsidRPr="00616367">
        <w:rPr>
          <w:iCs/>
        </w:rPr>
        <w:t>years</w:t>
      </w:r>
      <w:r w:rsidR="002C0956">
        <w:rPr>
          <w:iCs/>
        </w:rPr>
        <w:t xml:space="preserve">. </w:t>
      </w:r>
      <w:r w:rsidR="00436F27">
        <w:t xml:space="preserve">The PBAC noted data reported by </w:t>
      </w:r>
      <w:r w:rsidR="00436F27" w:rsidRPr="00FD5102">
        <w:t>Lou 2023</w:t>
      </w:r>
      <w:r w:rsidR="00436F27">
        <w:rPr>
          <w:rStyle w:val="FootnoteReference"/>
        </w:rPr>
        <w:footnoteReference w:id="23"/>
      </w:r>
      <w:r w:rsidR="00436F27" w:rsidRPr="00FD5102">
        <w:t xml:space="preserve"> </w:t>
      </w:r>
      <w:r w:rsidR="001B7ECD">
        <w:t>reported</w:t>
      </w:r>
      <w:r w:rsidR="00436F27">
        <w:t xml:space="preserve"> a </w:t>
      </w:r>
      <w:r w:rsidR="00517C5F">
        <w:t>sizable</w:t>
      </w:r>
      <w:r w:rsidR="00436F27">
        <w:t xml:space="preserve"> proportion of</w:t>
      </w:r>
      <w:r w:rsidR="001B7ECD">
        <w:t xml:space="preserve"> patients aged younger than 35 years</w:t>
      </w:r>
      <w:r w:rsidR="005346F4">
        <w:t xml:space="preserve"> experience uterine fibroids</w:t>
      </w:r>
      <w:r w:rsidR="001B7ECD">
        <w:t xml:space="preserve">, and </w:t>
      </w:r>
      <w:r w:rsidR="00517C5F">
        <w:t xml:space="preserve">therefore </w:t>
      </w:r>
      <w:r w:rsidR="001B7ECD">
        <w:t>considered</w:t>
      </w:r>
      <w:r w:rsidR="0002331F">
        <w:t xml:space="preserve"> that</w:t>
      </w:r>
      <w:r w:rsidR="001B7ECD">
        <w:t xml:space="preserve"> it was not appropriate to exclude younger patients from the economic model. </w:t>
      </w:r>
      <w:r>
        <w:t xml:space="preserve">The PBAC noted the economic model was sensitive to the </w:t>
      </w:r>
      <w:r w:rsidRPr="005C3374">
        <w:rPr>
          <w:iCs/>
        </w:rPr>
        <w:t xml:space="preserve">age of patients starting in the model due to the longer duration on linzagolix treatment for linzagolix </w:t>
      </w:r>
      <w:r w:rsidRPr="005C3374">
        <w:rPr>
          <w:iCs/>
        </w:rPr>
        <w:lastRenderedPageBreak/>
        <w:t>responders.</w:t>
      </w:r>
      <w:r w:rsidR="00517C5F" w:rsidRPr="005C3374">
        <w:rPr>
          <w:iCs/>
        </w:rPr>
        <w:t xml:space="preserve"> The PBAC noted that including patients 20 years and older in the model, and assuming an even distribution across 20, 30, 40 and 50 starting age groups, increased the incremental cost-effectiveness ratio (ICER) from </w:t>
      </w:r>
      <w:r w:rsidR="004819BA" w:rsidRPr="00915CD4">
        <w:rPr>
          <w:rFonts w:eastAsia="Calibri"/>
          <w:iCs/>
          <w:szCs w:val="20"/>
        </w:rPr>
        <w:t>$45,000 to &lt; $55,000</w:t>
      </w:r>
      <w:r w:rsidR="00684E14" w:rsidRPr="005C3374">
        <w:rPr>
          <w:iCs/>
        </w:rPr>
        <w:t>/QALY</w:t>
      </w:r>
      <w:r w:rsidR="00517C5F" w:rsidRPr="005C3374">
        <w:rPr>
          <w:iCs/>
        </w:rPr>
        <w:t xml:space="preserve"> to </w:t>
      </w:r>
      <w:r w:rsidR="004819BA" w:rsidRPr="004819BA">
        <w:rPr>
          <w:iCs/>
        </w:rPr>
        <w:t>$75,000 to &lt; $95,000</w:t>
      </w:r>
      <w:r w:rsidR="00517C5F" w:rsidRPr="005C3374">
        <w:rPr>
          <w:iCs/>
        </w:rPr>
        <w:t>/QALY gained</w:t>
      </w:r>
      <w:r w:rsidR="002E142E">
        <w:rPr>
          <w:iCs/>
        </w:rPr>
        <w:t xml:space="preserve">. </w:t>
      </w:r>
      <w:r w:rsidR="002E142E">
        <w:t xml:space="preserve">The PBAC considered that </w:t>
      </w:r>
      <w:r w:rsidR="003634B0">
        <w:t>for patients receiving ongoing treatment with linzagolix</w:t>
      </w:r>
      <w:r w:rsidR="00D25688">
        <w:t>,</w:t>
      </w:r>
      <w:r w:rsidR="003634B0">
        <w:t xml:space="preserve"> </w:t>
      </w:r>
      <w:r w:rsidR="002E142E">
        <w:t>the economic model should capture the harms of long-term use, particularly in younger women. The PBAC noted that</w:t>
      </w:r>
      <w:r w:rsidR="003634B0">
        <w:t xml:space="preserve"> the model </w:t>
      </w:r>
      <w:r w:rsidR="00BB399E">
        <w:rPr>
          <w:iCs/>
        </w:rPr>
        <w:t xml:space="preserve">assumes long term use of linzagolix, which may </w:t>
      </w:r>
      <w:r w:rsidR="00382D79">
        <w:rPr>
          <w:iCs/>
        </w:rPr>
        <w:t xml:space="preserve">not </w:t>
      </w:r>
      <w:r w:rsidR="00BB399E">
        <w:rPr>
          <w:iCs/>
        </w:rPr>
        <w:t xml:space="preserve">represent how </w:t>
      </w:r>
      <w:r w:rsidR="00382D79">
        <w:rPr>
          <w:iCs/>
        </w:rPr>
        <w:t>linzagolix</w:t>
      </w:r>
      <w:r w:rsidR="00BB399E">
        <w:rPr>
          <w:iCs/>
        </w:rPr>
        <w:t xml:space="preserve"> is used in practice</w:t>
      </w:r>
      <w:bookmarkEnd w:id="97"/>
      <w:r w:rsidR="002E142E" w:rsidRPr="002E142E">
        <w:t xml:space="preserve"> </w:t>
      </w:r>
      <w:r w:rsidR="003634B0">
        <w:t xml:space="preserve">in younger patients </w:t>
      </w:r>
      <w:r w:rsidR="002E142E">
        <w:t xml:space="preserve">and </w:t>
      </w:r>
      <w:r w:rsidR="003634B0">
        <w:t xml:space="preserve">the model </w:t>
      </w:r>
      <w:r w:rsidR="002E142E">
        <w:t>does not include the impact of surgical complications on, and/or preference for, fertility preservation.</w:t>
      </w:r>
      <w:r w:rsidR="002E142E" w:rsidRPr="002E142E">
        <w:t xml:space="preserve"> </w:t>
      </w:r>
      <w:r w:rsidR="002E142E">
        <w:rPr>
          <w:iCs/>
        </w:rPr>
        <w:t>The PBAC noted that the model doesn’t capture the potential cost and benefit of short-term use of linzagolix prior to surgery in younger patients as these patients were not included in the trial.</w:t>
      </w:r>
      <w:bookmarkEnd w:id="98"/>
      <w:r w:rsidR="002E142E">
        <w:rPr>
          <w:iCs/>
        </w:rPr>
        <w:t xml:space="preserve"> </w:t>
      </w:r>
    </w:p>
    <w:p w14:paraId="0EF6F24C" w14:textId="3C6556C6" w:rsidR="002E142E" w:rsidRPr="005C3374" w:rsidRDefault="002E142E" w:rsidP="005C3374">
      <w:pPr>
        <w:widowControl w:val="0"/>
        <w:numPr>
          <w:ilvl w:val="1"/>
          <w:numId w:val="1"/>
        </w:numPr>
        <w:spacing w:after="120"/>
        <w:rPr>
          <w:rFonts w:asciiTheme="minorHAnsi" w:hAnsiTheme="minorHAnsi"/>
          <w:snapToGrid w:val="0"/>
          <w:lang w:val="en-GB"/>
        </w:rPr>
      </w:pPr>
      <w:bookmarkStart w:id="99" w:name="_Ref174090600"/>
      <w:r>
        <w:t xml:space="preserve">Overall, the PBAC considered that it was difficult to interpret </w:t>
      </w:r>
      <w:r w:rsidR="003634B0">
        <w:t xml:space="preserve">the model results as it potentially does not capture the benefits and harms for linzagolix as it would be used in clinical practice. </w:t>
      </w:r>
      <w:r w:rsidR="000B6333">
        <w:t xml:space="preserve">The PBAC considered that reduction of fibroid size prior to surgery is potentially a clinically significant benefit for treatment with linzagolix, however this outcome was not sufficiently addressed in the submission or captured in the economic model. The PBAC considered that it was also difficult, from the model, to interpret the cost and potential benefit in older patients who would use linzagolix until menopause </w:t>
      </w:r>
      <w:proofErr w:type="gramStart"/>
      <w:r w:rsidR="000B6333">
        <w:t>in order to</w:t>
      </w:r>
      <w:proofErr w:type="gramEnd"/>
      <w:r w:rsidR="000B6333">
        <w:t xml:space="preserve"> avoid hysterectomy. The PBAC considered that it may be more informative for the model to focus on </w:t>
      </w:r>
      <w:proofErr w:type="gramStart"/>
      <w:r w:rsidR="000B6333">
        <w:t>particular populations</w:t>
      </w:r>
      <w:proofErr w:type="gramEnd"/>
      <w:r w:rsidR="000B6333">
        <w:t xml:space="preserve"> with high clinical need, to more clearly demonstrate the cost-effectiveness in these populations.</w:t>
      </w:r>
      <w:bookmarkEnd w:id="99"/>
    </w:p>
    <w:p w14:paraId="19665567" w14:textId="176DE76B" w:rsidR="00490897" w:rsidRPr="00B62EB5" w:rsidRDefault="00490897" w:rsidP="00641ADA">
      <w:pPr>
        <w:pStyle w:val="3-BodyText"/>
        <w:widowControl w:val="0"/>
        <w:rPr>
          <w:lang w:val="en-GB"/>
        </w:rPr>
      </w:pPr>
      <w:r w:rsidRPr="00B62EB5">
        <w:rPr>
          <w:iCs/>
        </w:rPr>
        <w:t>The PBAC</w:t>
      </w:r>
      <w:r w:rsidR="00871C7B" w:rsidRPr="00B62EB5">
        <w:rPr>
          <w:iCs/>
        </w:rPr>
        <w:t xml:space="preserve"> noted the </w:t>
      </w:r>
      <w:r w:rsidR="00F516CF" w:rsidRPr="00B62EB5">
        <w:rPr>
          <w:iCs/>
        </w:rPr>
        <w:t xml:space="preserve">re-specified base case and </w:t>
      </w:r>
      <w:r w:rsidR="00871C7B" w:rsidRPr="00B62EB5">
        <w:rPr>
          <w:iCs/>
        </w:rPr>
        <w:t>price reduction</w:t>
      </w:r>
      <w:r w:rsidR="00F516CF" w:rsidRPr="00B62EB5">
        <w:rPr>
          <w:iCs/>
        </w:rPr>
        <w:t xml:space="preserve"> </w:t>
      </w:r>
      <w:r w:rsidR="00871C7B" w:rsidRPr="00B62EB5">
        <w:rPr>
          <w:iCs/>
        </w:rPr>
        <w:t xml:space="preserve">proposed in the pre-PBAC response. </w:t>
      </w:r>
      <w:r w:rsidR="00182D2C" w:rsidRPr="00B62EB5">
        <w:rPr>
          <w:rFonts w:eastAsia="Calibri"/>
        </w:rPr>
        <w:t xml:space="preserve">The pre-PBAC </w:t>
      </w:r>
      <w:r w:rsidR="00E766CD" w:rsidRPr="00B62EB5">
        <w:rPr>
          <w:rFonts w:eastAsia="Calibri"/>
        </w:rPr>
        <w:t>response noted</w:t>
      </w:r>
      <w:r w:rsidR="00182D2C" w:rsidRPr="00B62EB5">
        <w:rPr>
          <w:rFonts w:eastAsia="Calibri"/>
        </w:rPr>
        <w:t xml:space="preserve"> the PBAC’s recommendation for relugolix for the </w:t>
      </w:r>
      <w:r w:rsidR="00182D2C" w:rsidRPr="00B62EB5">
        <w:rPr>
          <w:rFonts w:eastAsia="Calibri"/>
          <w:iCs/>
          <w:szCs w:val="20"/>
        </w:rPr>
        <w:t xml:space="preserve">treatment of moderate to severe pain associated with endometriosis was based on its assessment that the cost-effectiveness of relugolix would be acceptable if it were no more costly than GnRH therapy (plus add-back therapy) as currently supplied through the PBS (relugolix with estradiol and with norethisterone acetate PSD, March 2024). The pre-PBAC response suggested that the treatment algorithms for uterine fibroids and endometriosis were somewhat analogous, and therefore considered that an analogous approach to the cost-effectiveness of linzagolix may be informative. </w:t>
      </w:r>
      <w:r w:rsidR="000B6333" w:rsidRPr="00B62EB5">
        <w:rPr>
          <w:rFonts w:eastAsia="Calibri"/>
          <w:iCs/>
          <w:szCs w:val="20"/>
        </w:rPr>
        <w:t xml:space="preserve">The PBAC considered that </w:t>
      </w:r>
      <w:r w:rsidR="00B62EB5" w:rsidRPr="00B62EB5">
        <w:rPr>
          <w:rFonts w:eastAsia="Calibri"/>
          <w:iCs/>
          <w:szCs w:val="20"/>
        </w:rPr>
        <w:t>HMB associated with uterine fibroids was not comparable to endometriosis as there are no PBS</w:t>
      </w:r>
      <w:r w:rsidR="00B62EB5" w:rsidRPr="00B62EB5">
        <w:rPr>
          <w:rFonts w:eastAsia="Calibri"/>
          <w:iCs/>
          <w:szCs w:val="20"/>
        </w:rPr>
        <w:noBreakHyphen/>
        <w:t>listed GnRH antagonists for this indication</w:t>
      </w:r>
      <w:r w:rsidR="00182D2C" w:rsidRPr="00B62EB5">
        <w:rPr>
          <w:rFonts w:eastAsia="Calibri"/>
          <w:iCs/>
          <w:szCs w:val="20"/>
        </w:rPr>
        <w:t>.</w:t>
      </w:r>
      <w:r w:rsidR="00B62EB5">
        <w:rPr>
          <w:rFonts w:eastAsia="Calibri"/>
          <w:iCs/>
          <w:szCs w:val="20"/>
        </w:rPr>
        <w:t xml:space="preserve"> </w:t>
      </w:r>
    </w:p>
    <w:p w14:paraId="23D21E34" w14:textId="0E1BEFD2" w:rsidR="007D694F" w:rsidRPr="00D05FEE" w:rsidRDefault="00D85F7B" w:rsidP="00D05FEE">
      <w:pPr>
        <w:widowControl w:val="0"/>
        <w:numPr>
          <w:ilvl w:val="1"/>
          <w:numId w:val="1"/>
        </w:numPr>
        <w:spacing w:after="120"/>
        <w:rPr>
          <w:rFonts w:asciiTheme="minorHAnsi" w:hAnsiTheme="minorHAnsi"/>
          <w:snapToGrid w:val="0"/>
          <w:lang w:val="en-GB"/>
        </w:rPr>
      </w:pPr>
      <w:bookmarkStart w:id="100" w:name="_Ref173946958"/>
      <w:r>
        <w:rPr>
          <w:iCs/>
        </w:rPr>
        <w:t xml:space="preserve">The PBAC </w:t>
      </w:r>
      <w:r w:rsidR="00D05FEE">
        <w:rPr>
          <w:iCs/>
        </w:rPr>
        <w:t xml:space="preserve">agreed with the DUSC that the financial estimates presented were </w:t>
      </w:r>
      <w:r w:rsidR="00D25688">
        <w:rPr>
          <w:iCs/>
        </w:rPr>
        <w:t xml:space="preserve">overall </w:t>
      </w:r>
      <w:r w:rsidR="00066F34">
        <w:rPr>
          <w:iCs/>
        </w:rPr>
        <w:t xml:space="preserve">likely to be </w:t>
      </w:r>
      <w:r w:rsidR="00D05FEE">
        <w:rPr>
          <w:iCs/>
        </w:rPr>
        <w:t>underestimated</w:t>
      </w:r>
      <w:r w:rsidR="00066F34">
        <w:rPr>
          <w:iCs/>
        </w:rPr>
        <w:t xml:space="preserve">, however </w:t>
      </w:r>
      <w:r w:rsidR="00066F34">
        <w:t xml:space="preserve">the clinical place for linzagolix would have an impact on the eligible population, </w:t>
      </w:r>
      <w:proofErr w:type="gramStart"/>
      <w:r w:rsidR="00066F34">
        <w:t>uptake</w:t>
      </w:r>
      <w:proofErr w:type="gramEnd"/>
      <w:r w:rsidR="00066F34">
        <w:t xml:space="preserve"> and treatment duration</w:t>
      </w:r>
      <w:r w:rsidR="00D05FEE">
        <w:rPr>
          <w:iCs/>
        </w:rPr>
        <w:t xml:space="preserve">. </w:t>
      </w:r>
      <w:r w:rsidR="002515A5" w:rsidRPr="00FD5102">
        <w:t xml:space="preserve">The </w:t>
      </w:r>
      <w:r w:rsidR="002515A5">
        <w:t>PBAC</w:t>
      </w:r>
      <w:r w:rsidR="002515A5" w:rsidRPr="00FD5102">
        <w:t xml:space="preserve"> considered that the age distribution of the Australian population likely to be treated </w:t>
      </w:r>
      <w:r w:rsidR="002515A5">
        <w:t>and uptake, particularly among younger women,</w:t>
      </w:r>
      <w:r w:rsidR="002515A5" w:rsidRPr="00FD5102">
        <w:t xml:space="preserve"> </w:t>
      </w:r>
      <w:r w:rsidR="002515A5">
        <w:t>would likely</w:t>
      </w:r>
      <w:r w:rsidR="002515A5" w:rsidRPr="00FD5102">
        <w:t xml:space="preserve"> </w:t>
      </w:r>
      <w:r w:rsidR="00066F34">
        <w:t xml:space="preserve">also </w:t>
      </w:r>
      <w:r w:rsidR="002515A5" w:rsidRPr="00FD5102">
        <w:t xml:space="preserve">be impacted by increasing awareness of the condition and </w:t>
      </w:r>
      <w:r w:rsidR="002515A5">
        <w:t>availability of linzagolix</w:t>
      </w:r>
      <w:r w:rsidR="002515A5" w:rsidRPr="00FD5102">
        <w:t xml:space="preserve">. </w:t>
      </w:r>
      <w:r w:rsidR="007D694F" w:rsidRPr="00D05FEE">
        <w:rPr>
          <w:rFonts w:asciiTheme="minorHAnsi" w:hAnsiTheme="minorHAnsi"/>
          <w:snapToGrid w:val="0"/>
          <w:lang w:val="en-GB"/>
        </w:rPr>
        <w:t>The PBAC</w:t>
      </w:r>
      <w:r w:rsidR="002515A5">
        <w:rPr>
          <w:rFonts w:asciiTheme="minorHAnsi" w:hAnsiTheme="minorHAnsi"/>
          <w:snapToGrid w:val="0"/>
          <w:lang w:val="en-GB"/>
        </w:rPr>
        <w:t xml:space="preserve"> </w:t>
      </w:r>
      <w:r w:rsidR="00066F34">
        <w:rPr>
          <w:rFonts w:asciiTheme="minorHAnsi" w:hAnsiTheme="minorHAnsi"/>
          <w:snapToGrid w:val="0"/>
          <w:lang w:val="en-GB"/>
        </w:rPr>
        <w:t>considered</w:t>
      </w:r>
      <w:r w:rsidR="00066F34" w:rsidRPr="00D05FEE">
        <w:rPr>
          <w:rFonts w:asciiTheme="minorHAnsi" w:hAnsiTheme="minorHAnsi"/>
          <w:snapToGrid w:val="0"/>
          <w:lang w:val="en-GB"/>
        </w:rPr>
        <w:t xml:space="preserve"> </w:t>
      </w:r>
      <w:r w:rsidR="007D694F" w:rsidRPr="00D05FEE">
        <w:rPr>
          <w:rFonts w:asciiTheme="minorHAnsi" w:hAnsiTheme="minorHAnsi"/>
          <w:snapToGrid w:val="0"/>
          <w:lang w:val="en-GB"/>
        </w:rPr>
        <w:t xml:space="preserve">the cost of pre-screening blood tests, and testing for liver and baseline lipids </w:t>
      </w:r>
      <w:r w:rsidR="00A70687">
        <w:rPr>
          <w:rFonts w:asciiTheme="minorHAnsi" w:hAnsiTheme="minorHAnsi"/>
          <w:snapToGrid w:val="0"/>
          <w:lang w:val="en-GB"/>
        </w:rPr>
        <w:t xml:space="preserve">(as recommended by ACM) </w:t>
      </w:r>
      <w:r w:rsidR="00483343">
        <w:rPr>
          <w:rFonts w:asciiTheme="minorHAnsi" w:hAnsiTheme="minorHAnsi"/>
          <w:snapToGrid w:val="0"/>
          <w:lang w:val="en-GB"/>
        </w:rPr>
        <w:t>should</w:t>
      </w:r>
      <w:r w:rsidR="007D694F" w:rsidRPr="00D05FEE">
        <w:rPr>
          <w:rFonts w:asciiTheme="minorHAnsi" w:hAnsiTheme="minorHAnsi"/>
          <w:snapToGrid w:val="0"/>
          <w:lang w:val="en-GB"/>
        </w:rPr>
        <w:t xml:space="preserve"> </w:t>
      </w:r>
      <w:r w:rsidR="00D05FEE">
        <w:rPr>
          <w:rFonts w:asciiTheme="minorHAnsi" w:hAnsiTheme="minorHAnsi"/>
          <w:snapToGrid w:val="0"/>
          <w:lang w:val="en-GB"/>
        </w:rPr>
        <w:t xml:space="preserve">also </w:t>
      </w:r>
      <w:proofErr w:type="gramStart"/>
      <w:r w:rsidR="00483343">
        <w:rPr>
          <w:rFonts w:asciiTheme="minorHAnsi" w:hAnsiTheme="minorHAnsi"/>
          <w:snapToGrid w:val="0"/>
          <w:lang w:val="en-GB"/>
        </w:rPr>
        <w:t>be included</w:t>
      </w:r>
      <w:proofErr w:type="gramEnd"/>
      <w:r w:rsidR="00483343">
        <w:rPr>
          <w:rFonts w:asciiTheme="minorHAnsi" w:hAnsiTheme="minorHAnsi"/>
          <w:snapToGrid w:val="0"/>
          <w:lang w:val="en-GB"/>
        </w:rPr>
        <w:t xml:space="preserve"> in the financial estimates</w:t>
      </w:r>
      <w:r w:rsidR="007D694F" w:rsidRPr="00D05FEE">
        <w:rPr>
          <w:rFonts w:asciiTheme="minorHAnsi" w:hAnsiTheme="minorHAnsi"/>
          <w:snapToGrid w:val="0"/>
          <w:lang w:val="en-GB"/>
        </w:rPr>
        <w:t>.</w:t>
      </w:r>
      <w:bookmarkEnd w:id="100"/>
    </w:p>
    <w:p w14:paraId="76B76F2E" w14:textId="0E2CFDBD" w:rsidR="006B359A" w:rsidRPr="006C67EF" w:rsidRDefault="006B359A" w:rsidP="006C67EF">
      <w:pPr>
        <w:widowControl w:val="0"/>
        <w:numPr>
          <w:ilvl w:val="1"/>
          <w:numId w:val="1"/>
        </w:numPr>
        <w:spacing w:after="120"/>
        <w:rPr>
          <w:rFonts w:asciiTheme="minorHAnsi" w:hAnsiTheme="minorHAnsi"/>
          <w:bCs/>
          <w:snapToGrid w:val="0"/>
          <w:lang w:val="en-GB"/>
        </w:rPr>
      </w:pPr>
      <w:r w:rsidRPr="006B359A">
        <w:rPr>
          <w:rFonts w:asciiTheme="minorHAnsi" w:hAnsiTheme="minorHAnsi"/>
          <w:bCs/>
          <w:snapToGrid w:val="0"/>
          <w:lang w:val="en-GB"/>
        </w:rPr>
        <w:lastRenderedPageBreak/>
        <w:t xml:space="preserve">The PBAC considered a resubmission for </w:t>
      </w:r>
      <w:r w:rsidR="006C67EF">
        <w:rPr>
          <w:rFonts w:asciiTheme="minorHAnsi" w:hAnsiTheme="minorHAnsi"/>
          <w:bCs/>
          <w:snapToGrid w:val="0"/>
          <w:lang w:val="en-GB"/>
        </w:rPr>
        <w:t xml:space="preserve">linzagolix should </w:t>
      </w:r>
      <w:r w:rsidR="00137E7C">
        <w:rPr>
          <w:rFonts w:asciiTheme="minorHAnsi" w:hAnsiTheme="minorHAnsi"/>
          <w:bCs/>
          <w:snapToGrid w:val="0"/>
          <w:lang w:val="en-GB"/>
        </w:rPr>
        <w:t>more clearly define</w:t>
      </w:r>
      <w:r w:rsidR="00137E7C" w:rsidRPr="006C67EF">
        <w:rPr>
          <w:bCs/>
          <w:lang w:val="en-GB"/>
        </w:rPr>
        <w:t xml:space="preserve"> </w:t>
      </w:r>
      <w:r w:rsidR="006C67EF">
        <w:rPr>
          <w:bCs/>
          <w:lang w:val="en-GB"/>
        </w:rPr>
        <w:t xml:space="preserve">the </w:t>
      </w:r>
      <w:r w:rsidR="006C67EF">
        <w:rPr>
          <w:rFonts w:asciiTheme="minorHAnsi" w:hAnsiTheme="minorHAnsi"/>
          <w:snapToGrid w:val="0"/>
          <w:lang w:val="en-GB"/>
        </w:rPr>
        <w:t xml:space="preserve">clinical place of therapy </w:t>
      </w:r>
      <w:r w:rsidR="006D2C51">
        <w:rPr>
          <w:rFonts w:asciiTheme="minorHAnsi" w:hAnsiTheme="minorHAnsi"/>
          <w:snapToGrid w:val="0"/>
          <w:lang w:val="en-GB"/>
        </w:rPr>
        <w:t xml:space="preserve">and how linzagolix </w:t>
      </w:r>
      <w:proofErr w:type="gramStart"/>
      <w:r w:rsidR="006D2C51">
        <w:rPr>
          <w:rFonts w:asciiTheme="minorHAnsi" w:hAnsiTheme="minorHAnsi"/>
          <w:snapToGrid w:val="0"/>
          <w:lang w:val="en-GB"/>
        </w:rPr>
        <w:t>is intended</w:t>
      </w:r>
      <w:proofErr w:type="gramEnd"/>
      <w:r w:rsidR="006D2C51">
        <w:rPr>
          <w:rFonts w:asciiTheme="minorHAnsi" w:hAnsiTheme="minorHAnsi"/>
          <w:snapToGrid w:val="0"/>
          <w:lang w:val="en-GB"/>
        </w:rPr>
        <w:t xml:space="preserve"> to be used </w:t>
      </w:r>
      <w:r w:rsidR="006C67EF">
        <w:rPr>
          <w:rFonts w:asciiTheme="minorHAnsi" w:hAnsiTheme="minorHAnsi"/>
          <w:snapToGrid w:val="0"/>
          <w:lang w:val="en-GB"/>
        </w:rPr>
        <w:t xml:space="preserve">with respect </w:t>
      </w:r>
      <w:r w:rsidR="006C67EF" w:rsidRPr="00BD7614">
        <w:rPr>
          <w:rFonts w:asciiTheme="minorHAnsi" w:hAnsiTheme="minorHAnsi"/>
          <w:snapToGrid w:val="0"/>
          <w:lang w:val="en-GB"/>
        </w:rPr>
        <w:t>to reducing the risks associated with BMD loss and to targeting treatment to patients with the highest clinical nee</w:t>
      </w:r>
      <w:r w:rsidR="006C67EF">
        <w:rPr>
          <w:rFonts w:asciiTheme="minorHAnsi" w:hAnsiTheme="minorHAnsi"/>
          <w:snapToGrid w:val="0"/>
          <w:lang w:val="en-GB"/>
        </w:rPr>
        <w:t>d</w:t>
      </w:r>
      <w:r w:rsidR="00C2610D">
        <w:rPr>
          <w:lang w:val="en-GB"/>
        </w:rPr>
        <w:t xml:space="preserve">. The PBAC considered a resubmission </w:t>
      </w:r>
      <w:r w:rsidRPr="006C67EF">
        <w:rPr>
          <w:rFonts w:asciiTheme="minorHAnsi" w:hAnsiTheme="minorHAnsi"/>
          <w:bCs/>
          <w:snapToGrid w:val="0"/>
          <w:lang w:val="en-GB"/>
        </w:rPr>
        <w:t>should address the following issues:</w:t>
      </w:r>
    </w:p>
    <w:p w14:paraId="3915E03B" w14:textId="28C0B53A" w:rsidR="005A7203" w:rsidRDefault="00495A75" w:rsidP="00FF4A90">
      <w:pPr>
        <w:pStyle w:val="Bulletpoints"/>
        <w:rPr>
          <w:bCs/>
          <w:lang w:val="en-GB"/>
        </w:rPr>
      </w:pPr>
      <w:r>
        <w:rPr>
          <w:bCs/>
          <w:lang w:val="en-GB"/>
        </w:rPr>
        <w:t>Provide a</w:t>
      </w:r>
      <w:r w:rsidR="000C1FF5">
        <w:rPr>
          <w:bCs/>
          <w:lang w:val="en-GB"/>
        </w:rPr>
        <w:t xml:space="preserve"> revised </w:t>
      </w:r>
      <w:r w:rsidR="006C67EF">
        <w:rPr>
          <w:bCs/>
          <w:lang w:val="en-GB"/>
        </w:rPr>
        <w:t>restriction</w:t>
      </w:r>
      <w:r w:rsidR="000C1FF5">
        <w:rPr>
          <w:bCs/>
          <w:lang w:val="en-GB"/>
        </w:rPr>
        <w:t xml:space="preserve"> </w:t>
      </w:r>
      <w:r w:rsidR="000C1FF5">
        <w:rPr>
          <w:lang w:val="en-GB"/>
        </w:rPr>
        <w:t xml:space="preserve">addressing issues raised in paragraph </w:t>
      </w:r>
      <w:r>
        <w:rPr>
          <w:lang w:val="en-GB"/>
        </w:rPr>
        <w:fldChar w:fldCharType="begin"/>
      </w:r>
      <w:r>
        <w:rPr>
          <w:lang w:val="en-GB"/>
        </w:rPr>
        <w:instrText xml:space="preserve"> REF _Ref173944038 \r \h </w:instrText>
      </w:r>
      <w:r w:rsidR="00FF4A90">
        <w:rPr>
          <w:lang w:val="en-GB"/>
        </w:rPr>
        <w:instrText xml:space="preserve"> \* MERGEFORMAT </w:instrText>
      </w:r>
      <w:r>
        <w:rPr>
          <w:lang w:val="en-GB"/>
        </w:rPr>
      </w:r>
      <w:r>
        <w:rPr>
          <w:lang w:val="en-GB"/>
        </w:rPr>
        <w:fldChar w:fldCharType="separate"/>
      </w:r>
      <w:r w:rsidR="003E4FD0">
        <w:rPr>
          <w:lang w:val="en-GB"/>
        </w:rPr>
        <w:t>7.5</w:t>
      </w:r>
      <w:r>
        <w:rPr>
          <w:lang w:val="en-GB"/>
        </w:rPr>
        <w:fldChar w:fldCharType="end"/>
      </w:r>
      <w:r>
        <w:rPr>
          <w:lang w:val="en-GB"/>
        </w:rPr>
        <w:t>;</w:t>
      </w:r>
      <w:r w:rsidR="000C1FF5">
        <w:rPr>
          <w:lang w:val="en-GB"/>
        </w:rPr>
        <w:t xml:space="preserve"> </w:t>
      </w:r>
    </w:p>
    <w:p w14:paraId="69E0CC64" w14:textId="45768E56" w:rsidR="006C025C" w:rsidRDefault="006C025C" w:rsidP="00FF4A90">
      <w:pPr>
        <w:pStyle w:val="Bulletpoints"/>
        <w:rPr>
          <w:bCs/>
          <w:lang w:val="en-GB"/>
        </w:rPr>
      </w:pPr>
      <w:r>
        <w:rPr>
          <w:bCs/>
          <w:lang w:val="en-GB"/>
        </w:rPr>
        <w:t>Provide a</w:t>
      </w:r>
      <w:r w:rsidR="00D27A33">
        <w:rPr>
          <w:bCs/>
          <w:lang w:val="en-GB"/>
        </w:rPr>
        <w:t xml:space="preserve"> revised</w:t>
      </w:r>
      <w:r>
        <w:rPr>
          <w:bCs/>
          <w:lang w:val="en-GB"/>
        </w:rPr>
        <w:t xml:space="preserve"> economic model </w:t>
      </w:r>
      <w:r w:rsidR="00495A75">
        <w:rPr>
          <w:bCs/>
          <w:lang w:val="en-GB"/>
        </w:rPr>
        <w:t xml:space="preserve">that </w:t>
      </w:r>
      <w:r w:rsidR="00D27A33">
        <w:rPr>
          <w:bCs/>
          <w:lang w:val="en-GB"/>
        </w:rPr>
        <w:t xml:space="preserve">applies appropriate quality of life values (paragraph </w:t>
      </w:r>
      <w:r w:rsidR="00D27A33">
        <w:rPr>
          <w:bCs/>
          <w:lang w:val="en-GB"/>
        </w:rPr>
        <w:fldChar w:fldCharType="begin"/>
      </w:r>
      <w:r w:rsidR="00D27A33">
        <w:rPr>
          <w:bCs/>
          <w:lang w:val="en-GB"/>
        </w:rPr>
        <w:instrText xml:space="preserve"> REF _Ref173944406 \r \h </w:instrText>
      </w:r>
      <w:r w:rsidR="00FF4A90">
        <w:rPr>
          <w:bCs/>
          <w:lang w:val="en-GB"/>
        </w:rPr>
        <w:instrText xml:space="preserve"> \* MERGEFORMAT </w:instrText>
      </w:r>
      <w:r w:rsidR="00D27A33">
        <w:rPr>
          <w:bCs/>
          <w:lang w:val="en-GB"/>
        </w:rPr>
      </w:r>
      <w:r w:rsidR="00D27A33">
        <w:rPr>
          <w:bCs/>
          <w:lang w:val="en-GB"/>
        </w:rPr>
        <w:fldChar w:fldCharType="separate"/>
      </w:r>
      <w:r w:rsidR="003E4FD0">
        <w:rPr>
          <w:bCs/>
          <w:lang w:val="en-GB"/>
        </w:rPr>
        <w:t>7.12</w:t>
      </w:r>
      <w:r w:rsidR="00D27A33">
        <w:rPr>
          <w:bCs/>
          <w:lang w:val="en-GB"/>
        </w:rPr>
        <w:fldChar w:fldCharType="end"/>
      </w:r>
      <w:r w:rsidR="00D27A33">
        <w:rPr>
          <w:bCs/>
          <w:lang w:val="en-GB"/>
        </w:rPr>
        <w:t xml:space="preserve">) and </w:t>
      </w:r>
      <w:r w:rsidR="008B41E3">
        <w:rPr>
          <w:bCs/>
          <w:lang w:val="en-GB"/>
        </w:rPr>
        <w:t xml:space="preserve">for the specific populations likely to use linzagolix in clinical practice, </w:t>
      </w:r>
      <w:r w:rsidR="00D27A33">
        <w:rPr>
          <w:bCs/>
          <w:lang w:val="en-GB"/>
        </w:rPr>
        <w:t>captures the harms of long term use, benefits for reduced surgeries/surgical complications</w:t>
      </w:r>
      <w:r w:rsidR="008B41E3">
        <w:rPr>
          <w:bCs/>
          <w:lang w:val="en-GB"/>
        </w:rPr>
        <w:t xml:space="preserve"> and fertility preservation</w:t>
      </w:r>
      <w:r w:rsidR="00FC2204">
        <w:rPr>
          <w:bCs/>
          <w:lang w:val="en-GB"/>
        </w:rPr>
        <w:t>,</w:t>
      </w:r>
      <w:r w:rsidR="00D27A33">
        <w:rPr>
          <w:bCs/>
          <w:lang w:val="en-GB"/>
        </w:rPr>
        <w:t xml:space="preserve"> and costs for the doses and duration</w:t>
      </w:r>
      <w:r w:rsidR="00A25970">
        <w:rPr>
          <w:bCs/>
          <w:lang w:val="en-GB"/>
        </w:rPr>
        <w:t>s</w:t>
      </w:r>
      <w:r w:rsidR="00D27A33">
        <w:rPr>
          <w:bCs/>
          <w:lang w:val="en-GB"/>
        </w:rPr>
        <w:t xml:space="preserve"> most likely to be used in clinical practice </w:t>
      </w:r>
      <w:r w:rsidR="00495A75">
        <w:rPr>
          <w:bCs/>
          <w:lang w:val="en-GB"/>
        </w:rPr>
        <w:t>(paragraph</w:t>
      </w:r>
      <w:r w:rsidR="008B41E3">
        <w:rPr>
          <w:bCs/>
          <w:lang w:val="en-GB"/>
        </w:rPr>
        <w:t xml:space="preserve">s </w:t>
      </w:r>
      <w:r w:rsidR="008B41E3">
        <w:rPr>
          <w:bCs/>
          <w:lang w:val="en-GB"/>
        </w:rPr>
        <w:fldChar w:fldCharType="begin"/>
      </w:r>
      <w:r w:rsidR="008B41E3">
        <w:rPr>
          <w:bCs/>
          <w:lang w:val="en-GB"/>
        </w:rPr>
        <w:instrText xml:space="preserve"> REF _Ref174090598 \r \h </w:instrText>
      </w:r>
      <w:r w:rsidR="00FF4A90">
        <w:rPr>
          <w:bCs/>
          <w:lang w:val="en-GB"/>
        </w:rPr>
        <w:instrText xml:space="preserve"> \* MERGEFORMAT </w:instrText>
      </w:r>
      <w:r w:rsidR="008B41E3">
        <w:rPr>
          <w:bCs/>
          <w:lang w:val="en-GB"/>
        </w:rPr>
      </w:r>
      <w:r w:rsidR="008B41E3">
        <w:rPr>
          <w:bCs/>
          <w:lang w:val="en-GB"/>
        </w:rPr>
        <w:fldChar w:fldCharType="separate"/>
      </w:r>
      <w:r w:rsidR="003E4FD0">
        <w:rPr>
          <w:bCs/>
          <w:lang w:val="en-GB"/>
        </w:rPr>
        <w:t>7.13</w:t>
      </w:r>
      <w:r w:rsidR="008B41E3">
        <w:rPr>
          <w:bCs/>
          <w:lang w:val="en-GB"/>
        </w:rPr>
        <w:fldChar w:fldCharType="end"/>
      </w:r>
      <w:r w:rsidR="008B41E3">
        <w:rPr>
          <w:bCs/>
          <w:lang w:val="en-GB"/>
        </w:rPr>
        <w:t>-</w:t>
      </w:r>
      <w:r w:rsidR="008B41E3">
        <w:rPr>
          <w:bCs/>
          <w:lang w:val="en-GB"/>
        </w:rPr>
        <w:fldChar w:fldCharType="begin"/>
      </w:r>
      <w:r w:rsidR="008B41E3">
        <w:rPr>
          <w:bCs/>
          <w:lang w:val="en-GB"/>
        </w:rPr>
        <w:instrText xml:space="preserve"> REF _Ref174090600 \r \h </w:instrText>
      </w:r>
      <w:r w:rsidR="00FF4A90">
        <w:rPr>
          <w:bCs/>
          <w:lang w:val="en-GB"/>
        </w:rPr>
        <w:instrText xml:space="preserve"> \* MERGEFORMAT </w:instrText>
      </w:r>
      <w:r w:rsidR="008B41E3">
        <w:rPr>
          <w:bCs/>
          <w:lang w:val="en-GB"/>
        </w:rPr>
      </w:r>
      <w:r w:rsidR="008B41E3">
        <w:rPr>
          <w:bCs/>
          <w:lang w:val="en-GB"/>
        </w:rPr>
        <w:fldChar w:fldCharType="separate"/>
      </w:r>
      <w:r w:rsidR="003E4FD0">
        <w:rPr>
          <w:bCs/>
          <w:lang w:val="en-GB"/>
        </w:rPr>
        <w:t>7.15</w:t>
      </w:r>
      <w:r w:rsidR="008B41E3">
        <w:rPr>
          <w:bCs/>
          <w:lang w:val="en-GB"/>
        </w:rPr>
        <w:fldChar w:fldCharType="end"/>
      </w:r>
      <w:r w:rsidR="00B063FA">
        <w:rPr>
          <w:bCs/>
          <w:lang w:val="en-GB"/>
        </w:rPr>
        <w:t>)</w:t>
      </w:r>
      <w:r w:rsidR="005A7203">
        <w:rPr>
          <w:bCs/>
          <w:lang w:val="en-GB"/>
        </w:rPr>
        <w:t>;</w:t>
      </w:r>
    </w:p>
    <w:p w14:paraId="76689262" w14:textId="3C6C5748" w:rsidR="006B359A" w:rsidRPr="006B359A" w:rsidRDefault="006C025C" w:rsidP="00FF4A90">
      <w:pPr>
        <w:pStyle w:val="Bulletpoints"/>
        <w:rPr>
          <w:bCs/>
          <w:lang w:val="en-GB"/>
        </w:rPr>
      </w:pPr>
      <w:r>
        <w:rPr>
          <w:bCs/>
          <w:lang w:val="en-GB"/>
        </w:rPr>
        <w:t xml:space="preserve">Provide revised financial estimates that </w:t>
      </w:r>
      <w:r w:rsidR="00066F34">
        <w:rPr>
          <w:bCs/>
          <w:lang w:val="en-GB"/>
        </w:rPr>
        <w:t>reflect the proposed clinical place for linzagolix and expected population and treatment duration</w:t>
      </w:r>
      <w:r w:rsidR="00B063FA">
        <w:rPr>
          <w:bCs/>
          <w:lang w:val="en-GB"/>
        </w:rPr>
        <w:t>.</w:t>
      </w:r>
    </w:p>
    <w:p w14:paraId="72C3C9DF" w14:textId="651FCB2B" w:rsidR="006B359A" w:rsidRPr="006B359A" w:rsidRDefault="006B359A" w:rsidP="006B359A">
      <w:pPr>
        <w:widowControl w:val="0"/>
        <w:spacing w:after="120"/>
        <w:ind w:left="720"/>
        <w:rPr>
          <w:rFonts w:asciiTheme="minorHAnsi" w:hAnsiTheme="minorHAnsi"/>
          <w:bCs/>
          <w:snapToGrid w:val="0"/>
          <w:lang w:val="en-GB"/>
        </w:rPr>
      </w:pPr>
      <w:r w:rsidRPr="006B359A">
        <w:rPr>
          <w:rFonts w:asciiTheme="minorHAnsi" w:hAnsiTheme="minorHAnsi"/>
          <w:bCs/>
          <w:snapToGrid w:val="0"/>
          <w:lang w:val="en-GB"/>
        </w:rPr>
        <w:t xml:space="preserve">The resubmission may </w:t>
      </w:r>
      <w:proofErr w:type="gramStart"/>
      <w:r w:rsidRPr="006B359A">
        <w:rPr>
          <w:rFonts w:asciiTheme="minorHAnsi" w:hAnsiTheme="minorHAnsi"/>
          <w:bCs/>
          <w:snapToGrid w:val="0"/>
          <w:lang w:val="en-GB"/>
        </w:rPr>
        <w:t>be lodged</w:t>
      </w:r>
      <w:proofErr w:type="gramEnd"/>
      <w:r w:rsidRPr="006B359A">
        <w:rPr>
          <w:rFonts w:asciiTheme="minorHAnsi" w:hAnsiTheme="minorHAnsi"/>
          <w:bCs/>
          <w:snapToGrid w:val="0"/>
          <w:lang w:val="en-GB"/>
        </w:rPr>
        <w:t xml:space="preserve"> at any future standard due date for PBAC submission using the standard re-entry pathway.</w:t>
      </w:r>
    </w:p>
    <w:p w14:paraId="403BE3CD" w14:textId="75B09B1F" w:rsidR="006B359A" w:rsidRPr="006B359A" w:rsidRDefault="006B359A" w:rsidP="00713AF8">
      <w:pPr>
        <w:widowControl w:val="0"/>
        <w:numPr>
          <w:ilvl w:val="1"/>
          <w:numId w:val="1"/>
        </w:numPr>
        <w:spacing w:after="120"/>
        <w:rPr>
          <w:rFonts w:asciiTheme="minorHAnsi" w:hAnsiTheme="minorHAnsi"/>
          <w:bCs/>
          <w:snapToGrid w:val="0"/>
          <w:lang w:val="en-GB"/>
        </w:rPr>
      </w:pPr>
      <w:r w:rsidRPr="006B359A">
        <w:rPr>
          <w:rFonts w:asciiTheme="minorHAnsi" w:hAnsiTheme="minorHAnsi"/>
          <w:bCs/>
          <w:snapToGrid w:val="0"/>
          <w:lang w:val="en-GB"/>
        </w:rPr>
        <w:t>The PBAC noted that this submission is eligible for an Independent Review.</w:t>
      </w:r>
    </w:p>
    <w:p w14:paraId="792B8810" w14:textId="77777777" w:rsidR="00713AF8" w:rsidRPr="00525B39" w:rsidRDefault="00713AF8" w:rsidP="00713AF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6C6E820" w14:textId="21FB086B" w:rsidR="00713AF8" w:rsidRDefault="00713AF8" w:rsidP="00FF4A90">
      <w:pPr>
        <w:rPr>
          <w:rFonts w:asciiTheme="minorHAnsi" w:hAnsiTheme="minorHAnsi"/>
          <w:b/>
          <w:bCs/>
          <w:snapToGrid w:val="0"/>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056A83A9" w14:textId="77777777" w:rsidR="004A3609" w:rsidRDefault="004A3609" w:rsidP="004A3609">
      <w:pPr>
        <w:pStyle w:val="2-SectionHeading"/>
        <w:rPr>
          <w:bCs/>
          <w:lang w:val="en-GB"/>
        </w:rPr>
      </w:pPr>
      <w:r w:rsidRPr="00C07617">
        <w:t>Context for Decision</w:t>
      </w:r>
    </w:p>
    <w:p w14:paraId="6249934E" w14:textId="77777777" w:rsidR="004A3609" w:rsidRPr="00311EEF" w:rsidRDefault="004A3609" w:rsidP="004A3609">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3BA4F7EB" w14:textId="20BFD9EE" w:rsidR="004A3609" w:rsidRPr="00311EEF" w:rsidRDefault="004A3609" w:rsidP="004A3609">
      <w:pPr>
        <w:pStyle w:val="2-SectionHeading"/>
      </w:pPr>
      <w:r w:rsidRPr="00311EEF">
        <w:t>Sponsor’s Comment</w:t>
      </w:r>
    </w:p>
    <w:bookmarkEnd w:id="1"/>
    <w:bookmarkEnd w:id="2"/>
    <w:bookmarkEnd w:id="3"/>
    <w:bookmarkEnd w:id="4"/>
    <w:bookmarkEnd w:id="5"/>
    <w:bookmarkEnd w:id="90"/>
    <w:bookmarkEnd w:id="91"/>
    <w:bookmarkEnd w:id="92"/>
    <w:bookmarkEnd w:id="93"/>
    <w:p w14:paraId="088029AA" w14:textId="4FEA84A8" w:rsidR="004A3609" w:rsidRPr="00525B39" w:rsidRDefault="007819F1" w:rsidP="000B6044">
      <w:pPr>
        <w:widowControl w:val="0"/>
        <w:ind w:left="709"/>
        <w:rPr>
          <w:rFonts w:asciiTheme="minorHAnsi" w:hAnsiTheme="minorHAnsi"/>
          <w:b/>
          <w:bCs/>
          <w:snapToGrid w:val="0"/>
        </w:rPr>
      </w:pPr>
      <w:r w:rsidRPr="007819F1">
        <w:rPr>
          <w:rFonts w:asciiTheme="minorHAnsi" w:hAnsiTheme="minorHAnsi"/>
          <w:bCs/>
        </w:rPr>
        <w:t>Theramex continues to work with the PBAC to improve outcomes for women with heavy menstrual bleeding associated with uterine fibroids.</w:t>
      </w:r>
    </w:p>
    <w:sectPr w:rsidR="004A3609" w:rsidRPr="00525B39" w:rsidSect="00AB6295">
      <w:headerReference w:type="default" r:id="rId22"/>
      <w:footerReference w:type="defaul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339AC" w14:textId="77777777" w:rsidR="00683CB8" w:rsidRDefault="00683CB8" w:rsidP="00124A51">
      <w:r>
        <w:separator/>
      </w:r>
    </w:p>
    <w:p w14:paraId="27184178" w14:textId="77777777" w:rsidR="00683CB8" w:rsidRDefault="00683CB8"/>
  </w:endnote>
  <w:endnote w:type="continuationSeparator" w:id="0">
    <w:p w14:paraId="1FF73505" w14:textId="77777777" w:rsidR="00683CB8" w:rsidRDefault="00683CB8" w:rsidP="00124A51">
      <w:r>
        <w:continuationSeparator/>
      </w:r>
    </w:p>
    <w:p w14:paraId="69B9B87C" w14:textId="77777777" w:rsidR="00683CB8" w:rsidRDefault="00683CB8"/>
  </w:endnote>
  <w:endnote w:type="continuationNotice" w:id="1">
    <w:p w14:paraId="0D1AA4A4" w14:textId="77777777" w:rsidR="00683CB8" w:rsidRDefault="00683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F24A4D" w:rsidRDefault="00F24A4D" w:rsidP="00753B29">
    <w:pPr>
      <w:pStyle w:val="Footer"/>
      <w:jc w:val="center"/>
    </w:pPr>
  </w:p>
  <w:bookmarkStart w:id="102" w:name="_Hlk76375156"/>
  <w:p w14:paraId="37484CD3" w14:textId="606B5D9F" w:rsidR="00F24A4D" w:rsidRPr="00FD5102" w:rsidRDefault="00FD5102" w:rsidP="00FD5102">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5945D" w14:textId="77777777" w:rsidR="00683CB8" w:rsidRDefault="00683CB8" w:rsidP="00124A51">
      <w:r>
        <w:separator/>
      </w:r>
    </w:p>
    <w:p w14:paraId="5A896397" w14:textId="77777777" w:rsidR="00683CB8" w:rsidRDefault="00683CB8"/>
  </w:footnote>
  <w:footnote w:type="continuationSeparator" w:id="0">
    <w:p w14:paraId="1B75D2D7" w14:textId="77777777" w:rsidR="00683CB8" w:rsidRDefault="00683CB8" w:rsidP="00124A51">
      <w:r>
        <w:continuationSeparator/>
      </w:r>
    </w:p>
    <w:p w14:paraId="12263DFA" w14:textId="77777777" w:rsidR="00683CB8" w:rsidRDefault="00683CB8"/>
  </w:footnote>
  <w:footnote w:type="continuationNotice" w:id="1">
    <w:p w14:paraId="6D5CF39D" w14:textId="77777777" w:rsidR="00683CB8" w:rsidRDefault="00683CB8"/>
  </w:footnote>
  <w:footnote w:id="2">
    <w:p w14:paraId="3E719017" w14:textId="77777777" w:rsidR="00347F8C" w:rsidRDefault="00347F8C" w:rsidP="00347F8C">
      <w:pPr>
        <w:pStyle w:val="FootnoteText"/>
        <w:jc w:val="both"/>
      </w:pPr>
      <w:r>
        <w:rPr>
          <w:rStyle w:val="FootnoteReference"/>
        </w:rPr>
        <w:footnoteRef/>
      </w:r>
      <w:r>
        <w:t xml:space="preserve"> May-Tal Sauerbrun-Cutler, Ruben Alvero, (2019), ‘Short- and long-term impact of gonadotropin-releasing hormone analogue treatment on bone loss and fracture’, Fertil Steril, 112(5):799-803.</w:t>
      </w:r>
    </w:p>
  </w:footnote>
  <w:footnote w:id="3">
    <w:p w14:paraId="6E2BF7D2" w14:textId="77777777" w:rsidR="00347F8C" w:rsidRDefault="00347F8C" w:rsidP="00347F8C">
      <w:pPr>
        <w:pStyle w:val="FootnoteText"/>
      </w:pPr>
      <w:r>
        <w:rPr>
          <w:rStyle w:val="FootnoteReference"/>
        </w:rPr>
        <w:footnoteRef/>
      </w:r>
      <w:r>
        <w:t xml:space="preserve"> PBAC meeting outcomes, March 2024, available from: </w:t>
      </w:r>
      <w:hyperlink r:id="rId1" w:history="1">
        <w:r w:rsidRPr="00BE69CA">
          <w:rPr>
            <w:rStyle w:val="Hyperlink"/>
          </w:rPr>
          <w:t>https://www.pbs.gov.au/industry/listing/elements/pbac-meetings/pbac-outcomes/2024-03/pbac-web-outcomes-03-2024.pdf</w:t>
        </w:r>
      </w:hyperlink>
      <w:r>
        <w:t xml:space="preserve"> [accessed 2/5/2024].</w:t>
      </w:r>
    </w:p>
  </w:footnote>
  <w:footnote w:id="4">
    <w:p w14:paraId="02F9E16B" w14:textId="4E0C81DD" w:rsidR="00F9216E" w:rsidRDefault="00F9216E">
      <w:pPr>
        <w:pStyle w:val="FootnoteText"/>
      </w:pPr>
      <w:r>
        <w:rPr>
          <w:rStyle w:val="FootnoteReference"/>
        </w:rPr>
        <w:footnoteRef/>
      </w:r>
      <w:r>
        <w:t xml:space="preserve"> </w:t>
      </w:r>
      <w:r w:rsidRPr="00F9216E">
        <w:t>Serfaty D. 2019. Update on the contraceptive contraindications. Journal of Gynecology Obstetrics and Human Reproduction 48(5): 297-307.</w:t>
      </w:r>
    </w:p>
  </w:footnote>
  <w:footnote w:id="5">
    <w:p w14:paraId="7A138F41" w14:textId="77777777" w:rsidR="00F24A4D" w:rsidRDefault="00F24A4D" w:rsidP="005D1431">
      <w:pPr>
        <w:pStyle w:val="FootnoteText"/>
        <w:jc w:val="both"/>
      </w:pPr>
      <w:r>
        <w:rPr>
          <w:rStyle w:val="FootnoteReference"/>
        </w:rPr>
        <w:footnoteRef/>
      </w:r>
      <w:r>
        <w:t xml:space="preserve"> Yang Q. et al., (2022), ‘</w:t>
      </w:r>
      <w:r w:rsidRPr="00CE2973">
        <w:t>Comprehensive Review of Uterine Fibroids: Developmental Origin, Pathogenesis, and Treatment</w:t>
      </w:r>
      <w:r>
        <w:t xml:space="preserve">’, </w:t>
      </w:r>
      <w:hyperlink r:id="rId2" w:history="1">
        <w:r w:rsidRPr="00BE34FC">
          <w:t>Endocr Rev,</w:t>
        </w:r>
      </w:hyperlink>
      <w:r w:rsidRPr="00BE34FC">
        <w:t>  43(4): 678–719.</w:t>
      </w:r>
    </w:p>
  </w:footnote>
  <w:footnote w:id="6">
    <w:p w14:paraId="31FB597F" w14:textId="77777777" w:rsidR="00F24A4D" w:rsidRDefault="00F24A4D" w:rsidP="006D644A">
      <w:pPr>
        <w:pStyle w:val="FootnoteText"/>
        <w:jc w:val="both"/>
      </w:pPr>
      <w:r>
        <w:rPr>
          <w:rStyle w:val="FootnoteReference"/>
        </w:rPr>
        <w:footnoteRef/>
      </w:r>
      <w:r>
        <w:t xml:space="preserve"> Wallace K. et al., (2022), ‘</w:t>
      </w:r>
      <w:r w:rsidRPr="00CE2973">
        <w:t>Anxiety, Depression, and Quality of Life After Procedural Intervention for Uterine Fibroids</w:t>
      </w:r>
      <w:r>
        <w:t>’, J Womens Health (Larchmt). 31(3):415-424.</w:t>
      </w:r>
    </w:p>
  </w:footnote>
  <w:footnote w:id="7">
    <w:p w14:paraId="652317A6" w14:textId="77777777" w:rsidR="00F24A4D" w:rsidRDefault="00F24A4D" w:rsidP="006D644A">
      <w:pPr>
        <w:pStyle w:val="FootnoteText"/>
        <w:jc w:val="both"/>
      </w:pPr>
      <w:r>
        <w:rPr>
          <w:rStyle w:val="FootnoteReference"/>
        </w:rPr>
        <w:footnoteRef/>
      </w:r>
      <w:r>
        <w:t xml:space="preserve"> Dutton B. et al., (2023), ‘</w:t>
      </w:r>
      <w:r w:rsidRPr="00CE2973">
        <w:t>Women’s experiences of heavy menstrual bleeding and medical treatment: a qualitative study in primary care</w:t>
      </w:r>
      <w:r>
        <w:t xml:space="preserve">’, </w:t>
      </w:r>
      <w:r w:rsidRPr="00CE2973">
        <w:t>Br J Gen Pract. 73(729): e294–e301.</w:t>
      </w:r>
    </w:p>
  </w:footnote>
  <w:footnote w:id="8">
    <w:p w14:paraId="5DE8A8F7" w14:textId="77777777" w:rsidR="00F24A4D" w:rsidRDefault="00F24A4D" w:rsidP="009B5390">
      <w:pPr>
        <w:pStyle w:val="FootnoteText"/>
        <w:jc w:val="both"/>
      </w:pPr>
      <w:r>
        <w:rPr>
          <w:rStyle w:val="FootnoteReference"/>
        </w:rPr>
        <w:footnoteRef/>
      </w:r>
      <w:r>
        <w:t xml:space="preserve"> </w:t>
      </w:r>
      <w:r w:rsidRPr="006D644A">
        <w:t>National Institute for Health and Care Excellence (NICE)</w:t>
      </w:r>
      <w:r>
        <w:t>,</w:t>
      </w:r>
      <w:r w:rsidRPr="006D644A">
        <w:t xml:space="preserve"> </w:t>
      </w:r>
      <w:r>
        <w:t>(</w:t>
      </w:r>
      <w:r w:rsidRPr="006D644A">
        <w:t>2022</w:t>
      </w:r>
      <w:r>
        <w:t>),</w:t>
      </w:r>
      <w:r w:rsidRPr="006D644A">
        <w:t xml:space="preserve"> </w:t>
      </w:r>
      <w:r>
        <w:t>‘</w:t>
      </w:r>
      <w:r w:rsidRPr="006D644A">
        <w:t>Technology appraisal guidance [TA832]: Relugolix–estradiol–norethisterone acetate for treating moderate to severe symptoms of uterine fibroids</w:t>
      </w:r>
      <w:r>
        <w:t>’</w:t>
      </w:r>
      <w:r w:rsidRPr="006D644A">
        <w:t xml:space="preserve">. Available at: </w:t>
      </w:r>
      <w:hyperlink r:id="rId3" w:history="1">
        <w:r w:rsidRPr="00CB6E80">
          <w:rPr>
            <w:rStyle w:val="Hyperlink"/>
          </w:rPr>
          <w:t>https://www.nice.org.uk/guidance/ta832/history</w:t>
        </w:r>
      </w:hyperlink>
      <w:r>
        <w:t xml:space="preserve">, </w:t>
      </w:r>
      <w:r w:rsidRPr="006D644A">
        <w:t>accessed 4 May 2023</w:t>
      </w:r>
      <w:r>
        <w:t>.</w:t>
      </w:r>
    </w:p>
  </w:footnote>
  <w:footnote w:id="9">
    <w:p w14:paraId="07CD90E4" w14:textId="31DC2DFF" w:rsidR="00F24A4D" w:rsidRDefault="00F24A4D" w:rsidP="006D644A">
      <w:pPr>
        <w:pStyle w:val="FootnoteText"/>
        <w:jc w:val="both"/>
      </w:pPr>
      <w:r>
        <w:rPr>
          <w:rStyle w:val="FootnoteReference"/>
        </w:rPr>
        <w:footnoteRef/>
      </w:r>
      <w:r>
        <w:t xml:space="preserve"> </w:t>
      </w:r>
      <w:r w:rsidRPr="00F50B2B">
        <w:t>Kaganov H and Ades A</w:t>
      </w:r>
      <w:r>
        <w:t>, (</w:t>
      </w:r>
      <w:r w:rsidRPr="00F50B2B">
        <w:t>2016</w:t>
      </w:r>
      <w:r>
        <w:t>),</w:t>
      </w:r>
      <w:r w:rsidRPr="00F50B2B">
        <w:t xml:space="preserve"> </w:t>
      </w:r>
      <w:r>
        <w:t>‘</w:t>
      </w:r>
      <w:r w:rsidRPr="00F50B2B">
        <w:t>Uterine fibroids: Investigation and current management trends. Australian Journal for General Practitioners</w:t>
      </w:r>
      <w:r>
        <w:t>’,</w:t>
      </w:r>
      <w:r w:rsidRPr="00F50B2B">
        <w:t xml:space="preserve"> 45: 722-725. Available at: https://www.racgp.org.au/afp/2016/october/uterine-fibroids-investigation-and-current-managem.</w:t>
      </w:r>
    </w:p>
  </w:footnote>
  <w:footnote w:id="10">
    <w:p w14:paraId="6D231003" w14:textId="77777777" w:rsidR="00F24A4D" w:rsidRDefault="00F24A4D" w:rsidP="006D644A">
      <w:pPr>
        <w:pStyle w:val="FootnoteText"/>
        <w:jc w:val="both"/>
      </w:pPr>
      <w:r>
        <w:rPr>
          <w:rStyle w:val="FootnoteReference"/>
        </w:rPr>
        <w:footnoteRef/>
      </w:r>
      <w:r>
        <w:t xml:space="preserve"> Tezuka M. et al., (2022), ‘</w:t>
      </w:r>
      <w:r w:rsidRPr="002159BC">
        <w:t>Pharmacological characterization of linzagolix, a novel, orally active, non-peptide antagonist of gonadotropin-releasing hormone receptors</w:t>
      </w:r>
      <w:r>
        <w:t>’, Clin Exp Pharmacol Physiol, 49(10):1082-1093.</w:t>
      </w:r>
    </w:p>
  </w:footnote>
  <w:footnote w:id="11">
    <w:p w14:paraId="26503859" w14:textId="77777777" w:rsidR="00F24A4D" w:rsidRDefault="00F24A4D" w:rsidP="006D644A">
      <w:pPr>
        <w:pStyle w:val="FootnoteText"/>
        <w:jc w:val="both"/>
      </w:pPr>
      <w:r>
        <w:rPr>
          <w:rStyle w:val="FootnoteReference"/>
        </w:rPr>
        <w:footnoteRef/>
      </w:r>
      <w:r>
        <w:t xml:space="preserve"> </w:t>
      </w:r>
      <w:r w:rsidRPr="006700AA">
        <w:t>Serfaty D</w:t>
      </w:r>
      <w:r>
        <w:t>, (2019), ‘</w:t>
      </w:r>
      <w:r w:rsidRPr="006700AA">
        <w:t>Update on the contraceptive contraindications</w:t>
      </w:r>
      <w:r>
        <w:t>’,</w:t>
      </w:r>
      <w:r w:rsidRPr="006700AA">
        <w:t xml:space="preserve"> J Gynecol Obstet Hum Reprod.</w:t>
      </w:r>
      <w:r>
        <w:t xml:space="preserve">, </w:t>
      </w:r>
      <w:r w:rsidRPr="006700AA">
        <w:t>48(5):297-307.</w:t>
      </w:r>
    </w:p>
  </w:footnote>
  <w:footnote w:id="12">
    <w:p w14:paraId="3B0C6FAC" w14:textId="55737249" w:rsidR="00F24A4D" w:rsidRDefault="00F24A4D" w:rsidP="002D52CA">
      <w:pPr>
        <w:pStyle w:val="FootnoteText"/>
        <w:jc w:val="both"/>
      </w:pPr>
      <w:r>
        <w:rPr>
          <w:rStyle w:val="FootnoteReference"/>
        </w:rPr>
        <w:footnoteRef/>
      </w:r>
      <w:r>
        <w:t xml:space="preserve"> </w:t>
      </w:r>
      <w:r w:rsidRPr="003861E5">
        <w:t>Higgins C</w:t>
      </w:r>
      <w:r>
        <w:t>. et al., (</w:t>
      </w:r>
      <w:r w:rsidRPr="003861E5">
        <w:t>2022</w:t>
      </w:r>
      <w:r>
        <w:t>),</w:t>
      </w:r>
      <w:r w:rsidRPr="003861E5">
        <w:t xml:space="preserve"> </w:t>
      </w:r>
      <w:r>
        <w:t>‘</w:t>
      </w:r>
      <w:r w:rsidRPr="003861E5">
        <w:t>Indications and surgical route for hysterectomy for benign disorders: a retrospective analysis in a large Australian tertiary hospital network</w:t>
      </w:r>
      <w:r>
        <w:t>’,</w:t>
      </w:r>
      <w:r w:rsidRPr="003861E5">
        <w:t xml:space="preserve"> Archives of Gynecology and Obstetrics</w:t>
      </w:r>
      <w:r>
        <w:t>,</w:t>
      </w:r>
      <w:r w:rsidRPr="003861E5">
        <w:t xml:space="preserve"> 306(6): 2027-2033.</w:t>
      </w:r>
    </w:p>
  </w:footnote>
  <w:footnote w:id="13">
    <w:p w14:paraId="7111B1CA" w14:textId="3A0ECA87" w:rsidR="00F24A4D" w:rsidRDefault="00F24A4D" w:rsidP="002D52CA">
      <w:pPr>
        <w:pStyle w:val="FootnoteText"/>
        <w:jc w:val="both"/>
      </w:pPr>
      <w:r>
        <w:rPr>
          <w:rStyle w:val="FootnoteReference"/>
        </w:rPr>
        <w:footnoteRef/>
      </w:r>
      <w:r>
        <w:t xml:space="preserve"> </w:t>
      </w:r>
      <w:r w:rsidRPr="00B9508E">
        <w:rPr>
          <w:rFonts w:cstheme="minorHAnsi"/>
        </w:rPr>
        <w:t>Garry R</w:t>
      </w:r>
      <w:r>
        <w:rPr>
          <w:rFonts w:cstheme="minorHAnsi"/>
        </w:rPr>
        <w:t>. et al., (</w:t>
      </w:r>
      <w:r w:rsidRPr="00B9508E">
        <w:rPr>
          <w:rFonts w:cstheme="minorHAnsi"/>
        </w:rPr>
        <w:t>2004</w:t>
      </w:r>
      <w:r>
        <w:rPr>
          <w:rFonts w:cstheme="minorHAnsi"/>
        </w:rPr>
        <w:t>),</w:t>
      </w:r>
      <w:r w:rsidRPr="00B9508E">
        <w:rPr>
          <w:rFonts w:cstheme="minorHAnsi"/>
        </w:rPr>
        <w:t xml:space="preserve"> </w:t>
      </w:r>
      <w:r>
        <w:rPr>
          <w:rFonts w:cstheme="minorHAnsi"/>
        </w:rPr>
        <w:t>‘</w:t>
      </w:r>
      <w:r w:rsidRPr="00B9508E">
        <w:rPr>
          <w:rFonts w:cstheme="minorHAnsi"/>
        </w:rPr>
        <w:t>The eVALuate study: two parallel randomised trials, one comparing laparoscopic with abdominal hysterectomy, the other comparing laparoscopic with vaginal hysterectomy</w:t>
      </w:r>
      <w:r>
        <w:rPr>
          <w:rFonts w:cstheme="minorHAnsi"/>
        </w:rPr>
        <w:t>’,</w:t>
      </w:r>
      <w:r w:rsidRPr="003861E5">
        <w:t xml:space="preserve"> </w:t>
      </w:r>
      <w:r w:rsidRPr="003861E5">
        <w:rPr>
          <w:rFonts w:cstheme="minorHAnsi"/>
        </w:rPr>
        <w:t>BMJ</w:t>
      </w:r>
      <w:r>
        <w:rPr>
          <w:rFonts w:cstheme="minorHAnsi"/>
        </w:rPr>
        <w:t>,</w:t>
      </w:r>
      <w:r w:rsidRPr="003861E5">
        <w:rPr>
          <w:rFonts w:cstheme="minorHAnsi"/>
        </w:rPr>
        <w:t xml:space="preserve"> 328(7432): 129.</w:t>
      </w:r>
    </w:p>
  </w:footnote>
  <w:footnote w:id="14">
    <w:p w14:paraId="65D4D66F" w14:textId="5C61389C" w:rsidR="00F24A4D" w:rsidRDefault="00F24A4D" w:rsidP="002D52CA">
      <w:pPr>
        <w:pStyle w:val="FootnoteText"/>
        <w:jc w:val="both"/>
      </w:pPr>
      <w:r>
        <w:rPr>
          <w:rStyle w:val="FootnoteReference"/>
        </w:rPr>
        <w:footnoteRef/>
      </w:r>
      <w:r>
        <w:t xml:space="preserve"> </w:t>
      </w:r>
      <w:r w:rsidRPr="003861E5">
        <w:t>Radosa MP</w:t>
      </w:r>
      <w:r>
        <w:t xml:space="preserve"> et al.,</w:t>
      </w:r>
      <w:r w:rsidRPr="003861E5">
        <w:t xml:space="preserve"> </w:t>
      </w:r>
      <w:r>
        <w:t>(</w:t>
      </w:r>
      <w:r w:rsidRPr="003861E5">
        <w:t>2014</w:t>
      </w:r>
      <w:r>
        <w:t>),</w:t>
      </w:r>
      <w:r w:rsidRPr="003861E5">
        <w:t xml:space="preserve"> </w:t>
      </w:r>
      <w:r>
        <w:t>‘</w:t>
      </w:r>
      <w:r w:rsidRPr="003861E5">
        <w:t>Long-term risk of fibroid recurrence after laparoscopic myomectomy</w:t>
      </w:r>
      <w:r>
        <w:t>’,</w:t>
      </w:r>
      <w:r w:rsidRPr="003861E5">
        <w:t xml:space="preserve"> European Journal of Obstetrics and Gynecology and Reproductive Biology</w:t>
      </w:r>
      <w:r>
        <w:t>,</w:t>
      </w:r>
      <w:r w:rsidRPr="003861E5">
        <w:t xml:space="preserve"> 180: 35-39.</w:t>
      </w:r>
    </w:p>
  </w:footnote>
  <w:footnote w:id="15">
    <w:p w14:paraId="65A208B6" w14:textId="77777777" w:rsidR="00F24A4D" w:rsidRDefault="00F24A4D" w:rsidP="003D5B61">
      <w:pPr>
        <w:pStyle w:val="FootnoteText"/>
        <w:jc w:val="both"/>
      </w:pPr>
      <w:r>
        <w:rPr>
          <w:rStyle w:val="FootnoteReference"/>
        </w:rPr>
        <w:footnoteRef/>
      </w:r>
      <w:r>
        <w:t xml:space="preserve"> TGA, ‘RYEQO PI’, URL: </w:t>
      </w:r>
      <w:hyperlink r:id="rId4" w:history="1">
        <w:r w:rsidRPr="008D5DCC">
          <w:rPr>
            <w:rStyle w:val="Hyperlink"/>
          </w:rPr>
          <w:t>https://www.ebs.tga.gov.au/ebs/picmi/picmirepository.nsf/pdf?OpenAgent=&amp;id=CP-2022-PI-01955-1&amp;d=20240403172310101</w:t>
        </w:r>
      </w:hyperlink>
      <w:r>
        <w:t>. Accessed: 03/04/2024.</w:t>
      </w:r>
    </w:p>
  </w:footnote>
  <w:footnote w:id="16">
    <w:p w14:paraId="6E0DD930" w14:textId="1C090FF7" w:rsidR="007457DA" w:rsidRDefault="007457DA">
      <w:pPr>
        <w:pStyle w:val="FootnoteText"/>
      </w:pPr>
      <w:r>
        <w:rPr>
          <w:rStyle w:val="FootnoteReference"/>
        </w:rPr>
        <w:footnoteRef/>
      </w:r>
      <w:r>
        <w:t xml:space="preserve"> </w:t>
      </w:r>
      <w:r w:rsidRPr="007457DA">
        <w:t>Makary MS, Zane K, Hwang GL, Kim CY, Ahmed O, Koepsel EM, Monroe EJ, Scheidt MJ, Smolock AR, Stewart EA, Wasnik AP. ACR Appropriateness Criteria® Management of Uterine Fibroids: 2023 Update. Journal of the American College of Radiology. 2024 Jun 1;21(6):S203-18.</w:t>
      </w:r>
    </w:p>
  </w:footnote>
  <w:footnote w:id="17">
    <w:p w14:paraId="01ECB3E0" w14:textId="26E68152" w:rsidR="005C7DDF" w:rsidRDefault="005C7DDF">
      <w:pPr>
        <w:pStyle w:val="FootnoteText"/>
      </w:pPr>
      <w:r>
        <w:rPr>
          <w:rStyle w:val="FootnoteReference"/>
        </w:rPr>
        <w:footnoteRef/>
      </w:r>
      <w:r>
        <w:t xml:space="preserve"> </w:t>
      </w:r>
      <w:r w:rsidRPr="007457DA">
        <w:t>Makary MS, Zane K, Hwang GL, Kim CY, Ahmed O, Koepsel EM, Monroe EJ, Scheidt MJ, Smolock AR, Stewart EA, Wasnik AP. ACR Appropriateness Criteria® Management of Uterine Fibroids: 2023 Update. Journal of the American College of Radiology. 2024 Jun 1;21(6):S203-18.</w:t>
      </w:r>
    </w:p>
  </w:footnote>
  <w:footnote w:id="18">
    <w:p w14:paraId="3CD9227E" w14:textId="5B86D25F" w:rsidR="00727F11" w:rsidRDefault="00727F11">
      <w:pPr>
        <w:pStyle w:val="FootnoteText"/>
      </w:pPr>
      <w:r>
        <w:rPr>
          <w:rStyle w:val="FootnoteReference"/>
        </w:rPr>
        <w:footnoteRef/>
      </w:r>
      <w:r>
        <w:t xml:space="preserve"> A Z-score is the number of standard deviations the BMD is above or below the mean BMD value for a healthy, age and sex matched population. A Z-score of -2.0 or less generally indicates low BMD.</w:t>
      </w:r>
    </w:p>
  </w:footnote>
  <w:footnote w:id="19">
    <w:p w14:paraId="5DAA400D" w14:textId="62659622" w:rsidR="00BC49EA" w:rsidRPr="00BC49EA" w:rsidRDefault="00BC49EA" w:rsidP="00BC49EA">
      <w:pPr>
        <w:pStyle w:val="EndNoteBibliography"/>
        <w:spacing w:after="0"/>
        <w:rPr>
          <w:rFonts w:ascii="Calibri" w:hAnsi="Calibri" w:cs="Calibri"/>
          <w:szCs w:val="16"/>
        </w:rPr>
      </w:pPr>
      <w:r w:rsidRPr="00BC49EA">
        <w:rPr>
          <w:rStyle w:val="FootnoteReference"/>
          <w:rFonts w:ascii="Calibri" w:hAnsi="Calibri" w:cs="Calibri"/>
          <w:szCs w:val="16"/>
        </w:rPr>
        <w:footnoteRef/>
      </w:r>
      <w:r w:rsidRPr="00BC49EA">
        <w:rPr>
          <w:rFonts w:ascii="Calibri" w:hAnsi="Calibri" w:cs="Calibri"/>
          <w:szCs w:val="16"/>
        </w:rPr>
        <w:t xml:space="preserve"> Lou Z, Huang Y, Li S, Luo Z, Li C, Chu K, Zhang T, Song P and Zhou J. 2023. Global, regional, and national time trends in incidence, prevalence, years lived with disability for uterine fibroids, 1990–2019: an age-period-cohort analysis for the global burden of disease 2019 study. BMC Public Health 23(1): 916. </w:t>
      </w:r>
    </w:p>
    <w:p w14:paraId="5D5D2DF3" w14:textId="676826DC" w:rsidR="00BC49EA" w:rsidRPr="00BC49EA" w:rsidRDefault="00BC49EA" w:rsidP="00BC49EA">
      <w:pPr>
        <w:pStyle w:val="EndNoteBibliography"/>
        <w:spacing w:after="0"/>
        <w:rPr>
          <w:rFonts w:ascii="Calibri" w:hAnsi="Calibri" w:cs="Calibri"/>
          <w:szCs w:val="16"/>
        </w:rPr>
      </w:pPr>
    </w:p>
  </w:footnote>
  <w:footnote w:id="20">
    <w:p w14:paraId="584E4FE6" w14:textId="4C247EBE" w:rsidR="00BC49EA" w:rsidRDefault="00BC49EA" w:rsidP="00BC49EA">
      <w:pPr>
        <w:pStyle w:val="EndNoteBibliography"/>
        <w:spacing w:after="0"/>
      </w:pPr>
      <w:r w:rsidRPr="00BC49EA">
        <w:rPr>
          <w:rFonts w:ascii="Calibri" w:hAnsi="Calibri" w:cs="Calibri"/>
          <w:szCs w:val="16"/>
          <w:vertAlign w:val="superscript"/>
        </w:rPr>
        <w:footnoteRef/>
      </w:r>
      <w:r w:rsidRPr="00BC49EA">
        <w:rPr>
          <w:rFonts w:ascii="Calibri" w:hAnsi="Calibri" w:cs="Calibri"/>
          <w:szCs w:val="16"/>
          <w:vertAlign w:val="superscript"/>
        </w:rPr>
        <w:t xml:space="preserve"> </w:t>
      </w:r>
      <w:r w:rsidRPr="00BC49EA">
        <w:rPr>
          <w:rFonts w:ascii="Calibri" w:hAnsi="Calibri" w:cs="Calibri"/>
          <w:szCs w:val="16"/>
        </w:rPr>
        <w:t xml:space="preserve">Zimmermann A, Bernuit D, Gerlinger C, Schaefers M and Geppert K. 2012. Prevalence, </w:t>
      </w:r>
      <w:proofErr w:type="gramStart"/>
      <w:r w:rsidRPr="00BC49EA">
        <w:rPr>
          <w:rFonts w:ascii="Calibri" w:hAnsi="Calibri" w:cs="Calibri"/>
          <w:szCs w:val="16"/>
        </w:rPr>
        <w:t>symptoms</w:t>
      </w:r>
      <w:proofErr w:type="gramEnd"/>
      <w:r w:rsidRPr="00BC49EA">
        <w:rPr>
          <w:rFonts w:ascii="Calibri" w:hAnsi="Calibri" w:cs="Calibri"/>
          <w:szCs w:val="16"/>
        </w:rPr>
        <w:t xml:space="preserve"> and management of uterine fibroids: an international internet-based survey of 21,746 women. BMC Women's Health 12(1): 6.</w:t>
      </w:r>
    </w:p>
  </w:footnote>
  <w:footnote w:id="21">
    <w:p w14:paraId="759EF3F0" w14:textId="085EA307" w:rsidR="009663ED" w:rsidRDefault="009663ED">
      <w:pPr>
        <w:pStyle w:val="FootnoteText"/>
      </w:pPr>
      <w:r>
        <w:rPr>
          <w:rStyle w:val="FootnoteReference"/>
        </w:rPr>
        <w:footnoteRef/>
      </w:r>
      <w:r>
        <w:t xml:space="preserve"> </w:t>
      </w:r>
      <w:r w:rsidRPr="009663ED">
        <w:t>Hasselrot K, Lindeberg M, Konings P and Kopp Kallner H. 2018. Investigating the loss of work productivity due to symptomatic leiomyoma. PLOS ONE 13(6): e0197958.</w:t>
      </w:r>
    </w:p>
  </w:footnote>
  <w:footnote w:id="22">
    <w:p w14:paraId="587D5F57" w14:textId="587A8821" w:rsidR="009663ED" w:rsidRDefault="009663ED">
      <w:pPr>
        <w:pStyle w:val="FootnoteText"/>
      </w:pPr>
      <w:r>
        <w:rPr>
          <w:rStyle w:val="FootnoteReference"/>
        </w:rPr>
        <w:footnoteRef/>
      </w:r>
      <w:r>
        <w:t xml:space="preserve"> </w:t>
      </w:r>
      <w:r w:rsidRPr="009663ED">
        <w:t xml:space="preserve">Knox C and Merryweather J. 2023. A Tough Period. Southbank. Available at: https://www.plan.org.au/wp-content/uploads/2023/05/A-Tough-Period-Australia-Report.pdf </w:t>
      </w:r>
    </w:p>
  </w:footnote>
  <w:footnote w:id="23">
    <w:p w14:paraId="35FB0468" w14:textId="7370E0D4" w:rsidR="00436F27" w:rsidRDefault="00436F27">
      <w:pPr>
        <w:pStyle w:val="FootnoteText"/>
      </w:pPr>
      <w:r>
        <w:rPr>
          <w:rStyle w:val="FootnoteReference"/>
        </w:rPr>
        <w:footnoteRef/>
      </w:r>
      <w:r>
        <w:t xml:space="preserve"> </w:t>
      </w:r>
      <w:r w:rsidRPr="00BC49EA">
        <w:rPr>
          <w:rFonts w:ascii="Calibri" w:hAnsi="Calibri" w:cs="Calibri"/>
          <w:szCs w:val="16"/>
        </w:rPr>
        <w:t>Lou Z, Huang Y, Li S, Luo Z, Li C, Chu K, Zhang T, Song P and Zhou J. 2023. Global, regional, and national time trends in incidence, prevalence, years lived with disability for uterine fibroids, 1990–2019: an age-period-cohort analysis for the global burden of disease 2019 study. BMC Public Health 23(1): 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0181" w14:textId="4330C1C2" w:rsidR="00FD5102" w:rsidRDefault="004A3609" w:rsidP="00FD5102">
    <w:pPr>
      <w:pStyle w:val="Header"/>
      <w:ind w:left="360"/>
      <w:rPr>
        <w:rFonts w:asciiTheme="minorHAnsi" w:hAnsiTheme="minorHAnsi"/>
        <w:i/>
        <w:color w:val="808080"/>
      </w:rPr>
    </w:pPr>
    <w:bookmarkStart w:id="101" w:name="_Hlk76375146"/>
    <w:r w:rsidRPr="000B6044">
      <w:rPr>
        <w:rFonts w:asciiTheme="minorHAnsi" w:hAnsiTheme="minorHAnsi"/>
        <w:i/>
      </w:rPr>
      <w:t>Public Summary Document</w:t>
    </w:r>
    <w:r w:rsidR="008F5B1F">
      <w:rPr>
        <w:rFonts w:asciiTheme="minorHAnsi" w:hAnsiTheme="minorHAnsi"/>
        <w:i/>
        <w:color w:val="808080"/>
      </w:rPr>
      <w:t xml:space="preserve"> </w:t>
    </w:r>
    <w:r w:rsidR="00FD5102" w:rsidRPr="000B6044">
      <w:rPr>
        <w:rFonts w:asciiTheme="minorHAnsi" w:hAnsiTheme="minorHAnsi"/>
        <w:i/>
      </w:rPr>
      <w:t xml:space="preserve">– </w:t>
    </w:r>
    <w:r w:rsidR="00653F1F" w:rsidRPr="000B6044">
      <w:rPr>
        <w:rFonts w:asciiTheme="minorHAnsi" w:hAnsiTheme="minorHAnsi"/>
        <w:i/>
      </w:rPr>
      <w:t>July</w:t>
    </w:r>
    <w:r w:rsidR="00FD5102" w:rsidRPr="000B6044">
      <w:rPr>
        <w:rFonts w:asciiTheme="minorHAnsi" w:hAnsiTheme="minorHAnsi"/>
        <w:i/>
      </w:rPr>
      <w:t xml:space="preserve"> 202</w:t>
    </w:r>
    <w:r w:rsidR="00653F1F" w:rsidRPr="000B6044">
      <w:rPr>
        <w:rFonts w:asciiTheme="minorHAnsi" w:hAnsiTheme="minorHAnsi"/>
        <w:i/>
      </w:rPr>
      <w:t>4</w:t>
    </w:r>
    <w:r w:rsidR="00FD5102" w:rsidRPr="000B6044">
      <w:rPr>
        <w:rFonts w:asciiTheme="minorHAnsi" w:hAnsiTheme="minorHAnsi"/>
        <w:i/>
      </w:rPr>
      <w:t xml:space="preserve"> PBAC Meeting</w:t>
    </w:r>
  </w:p>
  <w:bookmarkEnd w:id="101"/>
  <w:p w14:paraId="03AF943B" w14:textId="77777777" w:rsidR="00F24A4D" w:rsidRPr="008C7ECB" w:rsidRDefault="00F24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F23DE6"/>
    <w:lvl w:ilvl="0">
      <w:start w:val="1"/>
      <w:numFmt w:val="bullet"/>
      <w:lvlText w:val="o"/>
      <w:lvlJc w:val="left"/>
      <w:pPr>
        <w:ind w:left="1800" w:hanging="360"/>
      </w:pPr>
      <w:rPr>
        <w:rFonts w:ascii="Courier New" w:hAnsi="Courier New" w:cs="Courier New" w:hint="default"/>
      </w:rPr>
    </w:lvl>
  </w:abstractNum>
  <w:abstractNum w:abstractNumId="1" w15:restartNumberingAfterBreak="0">
    <w:nsid w:val="01DE61C4"/>
    <w:multiLevelType w:val="hybridMultilevel"/>
    <w:tmpl w:val="D098E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A5818"/>
    <w:multiLevelType w:val="hybridMultilevel"/>
    <w:tmpl w:val="EEF8362C"/>
    <w:lvl w:ilvl="0" w:tplc="7402CFD6">
      <w:start w:val="3"/>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CA4CFC"/>
    <w:multiLevelType w:val="hybridMultilevel"/>
    <w:tmpl w:val="4AD8C5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D07BB4"/>
    <w:multiLevelType w:val="hybridMultilevel"/>
    <w:tmpl w:val="E152C43A"/>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0BE15A54"/>
    <w:multiLevelType w:val="hybridMultilevel"/>
    <w:tmpl w:val="BC3E31EC"/>
    <w:lvl w:ilvl="0" w:tplc="8AAEAEE8">
      <w:start w:val="2"/>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B8C7084"/>
    <w:multiLevelType w:val="multilevel"/>
    <w:tmpl w:val="95F20762"/>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E00248"/>
    <w:multiLevelType w:val="hybridMultilevel"/>
    <w:tmpl w:val="77DA58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DF1FCF"/>
    <w:multiLevelType w:val="multilevel"/>
    <w:tmpl w:val="FE328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9C5FDD"/>
    <w:multiLevelType w:val="hybridMultilevel"/>
    <w:tmpl w:val="E94A4D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B6274A"/>
    <w:multiLevelType w:val="hybridMultilevel"/>
    <w:tmpl w:val="E2545E30"/>
    <w:lvl w:ilvl="0" w:tplc="E1B6BF4A">
      <w:start w:val="1"/>
      <w:numFmt w:val="decimal"/>
      <w:lvlText w:val="%1."/>
      <w:lvlJc w:val="left"/>
      <w:pPr>
        <w:ind w:left="1778" w:hanging="360"/>
      </w:pPr>
      <w:rPr>
        <w:rFonts w:hint="default"/>
        <w:color w:val="auto"/>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AA3E12"/>
    <w:multiLevelType w:val="hybridMultilevel"/>
    <w:tmpl w:val="ED580B6C"/>
    <w:styleLink w:val="SectionBii"/>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4B2898"/>
    <w:multiLevelType w:val="hybridMultilevel"/>
    <w:tmpl w:val="A50653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8F45B2"/>
    <w:multiLevelType w:val="multilevel"/>
    <w:tmpl w:val="FA008D22"/>
    <w:lvl w:ilvl="0">
      <w:start w:val="3"/>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3A3D7282"/>
    <w:multiLevelType w:val="hybridMultilevel"/>
    <w:tmpl w:val="353C939C"/>
    <w:lvl w:ilvl="0" w:tplc="0C090003">
      <w:start w:val="1"/>
      <w:numFmt w:val="bullet"/>
      <w:lvlText w:val="o"/>
      <w:lvlJc w:val="left"/>
      <w:pPr>
        <w:ind w:left="502"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443158"/>
    <w:multiLevelType w:val="hybridMultilevel"/>
    <w:tmpl w:val="35F8C88A"/>
    <w:lvl w:ilvl="0" w:tplc="F618AF6C">
      <w:start w:val="4"/>
      <w:numFmt w:val="bullet"/>
      <w:lvlText w:val="-"/>
      <w:lvlJc w:val="left"/>
      <w:pPr>
        <w:ind w:left="502"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AE6AA4F2"/>
    <w:lvl w:ilvl="0" w:tplc="52EA3E44">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F4384"/>
    <w:multiLevelType w:val="hybridMultilevel"/>
    <w:tmpl w:val="E640D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813D8C"/>
    <w:multiLevelType w:val="hybridMultilevel"/>
    <w:tmpl w:val="BC5EF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2574F8"/>
    <w:multiLevelType w:val="hybridMultilevel"/>
    <w:tmpl w:val="6098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6A108BF"/>
    <w:multiLevelType w:val="multilevel"/>
    <w:tmpl w:val="7130AA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182BF8"/>
    <w:multiLevelType w:val="hybridMultilevel"/>
    <w:tmpl w:val="17FA395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92559450">
    <w:abstractNumId w:val="25"/>
  </w:num>
  <w:num w:numId="2" w16cid:durableId="749040563">
    <w:abstractNumId w:val="18"/>
  </w:num>
  <w:num w:numId="3" w16cid:durableId="1829587445">
    <w:abstractNumId w:val="19"/>
  </w:num>
  <w:num w:numId="4" w16cid:durableId="1110972912">
    <w:abstractNumId w:val="0"/>
  </w:num>
  <w:num w:numId="5" w16cid:durableId="137068080">
    <w:abstractNumId w:val="23"/>
  </w:num>
  <w:num w:numId="6" w16cid:durableId="1552885106">
    <w:abstractNumId w:val="9"/>
  </w:num>
  <w:num w:numId="7" w16cid:durableId="473564422">
    <w:abstractNumId w:val="13"/>
  </w:num>
  <w:num w:numId="8" w16cid:durableId="1667830320">
    <w:abstractNumId w:val="14"/>
  </w:num>
  <w:num w:numId="9" w16cid:durableId="1464692405">
    <w:abstractNumId w:val="11"/>
  </w:num>
  <w:num w:numId="10" w16cid:durableId="1301568151">
    <w:abstractNumId w:val="26"/>
  </w:num>
  <w:num w:numId="11" w16cid:durableId="1433471959">
    <w:abstractNumId w:val="5"/>
  </w:num>
  <w:num w:numId="12" w16cid:durableId="1934167349">
    <w:abstractNumId w:val="22"/>
  </w:num>
  <w:num w:numId="13" w16cid:durableId="1985113901">
    <w:abstractNumId w:val="20"/>
  </w:num>
  <w:num w:numId="14" w16cid:durableId="1091047742">
    <w:abstractNumId w:val="2"/>
  </w:num>
  <w:num w:numId="15" w16cid:durableId="287392479">
    <w:abstractNumId w:val="17"/>
  </w:num>
  <w:num w:numId="16" w16cid:durableId="896818239">
    <w:abstractNumId w:val="16"/>
  </w:num>
  <w:num w:numId="17" w16cid:durableId="1464345893">
    <w:abstractNumId w:val="21"/>
  </w:num>
  <w:num w:numId="18" w16cid:durableId="1317759654">
    <w:abstractNumId w:val="4"/>
  </w:num>
  <w:num w:numId="19" w16cid:durableId="2058578659">
    <w:abstractNumId w:val="12"/>
  </w:num>
  <w:num w:numId="20" w16cid:durableId="1372922785">
    <w:abstractNumId w:val="27"/>
  </w:num>
  <w:num w:numId="21" w16cid:durableId="973362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4503387">
    <w:abstractNumId w:val="10"/>
  </w:num>
  <w:num w:numId="23" w16cid:durableId="23516846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4159992">
    <w:abstractNumId w:val="1"/>
  </w:num>
  <w:num w:numId="25" w16cid:durableId="1207178845">
    <w:abstractNumId w:val="8"/>
  </w:num>
  <w:num w:numId="26" w16cid:durableId="1117410449">
    <w:abstractNumId w:val="3"/>
  </w:num>
  <w:num w:numId="27" w16cid:durableId="2094860912">
    <w:abstractNumId w:val="25"/>
  </w:num>
  <w:num w:numId="28" w16cid:durableId="821039821">
    <w:abstractNumId w:val="25"/>
  </w:num>
  <w:num w:numId="29" w16cid:durableId="1410152363">
    <w:abstractNumId w:val="25"/>
  </w:num>
  <w:num w:numId="30" w16cid:durableId="15682237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7197760">
    <w:abstractNumId w:val="19"/>
  </w:num>
  <w:num w:numId="32" w16cid:durableId="1079060480">
    <w:abstractNumId w:val="25"/>
  </w:num>
  <w:num w:numId="33" w16cid:durableId="341587399">
    <w:abstractNumId w:val="6"/>
  </w:num>
  <w:num w:numId="34" w16cid:durableId="1581913667">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1414"/>
    <w:rsid w:val="00002669"/>
    <w:rsid w:val="00002A93"/>
    <w:rsid w:val="00002C92"/>
    <w:rsid w:val="00002DF2"/>
    <w:rsid w:val="00002FCA"/>
    <w:rsid w:val="00003499"/>
    <w:rsid w:val="000039B7"/>
    <w:rsid w:val="00003E7F"/>
    <w:rsid w:val="00004430"/>
    <w:rsid w:val="00005234"/>
    <w:rsid w:val="000056B9"/>
    <w:rsid w:val="00005AAB"/>
    <w:rsid w:val="00005E32"/>
    <w:rsid w:val="0000639A"/>
    <w:rsid w:val="00006823"/>
    <w:rsid w:val="00007D77"/>
    <w:rsid w:val="00007EC7"/>
    <w:rsid w:val="0001008B"/>
    <w:rsid w:val="00010D1F"/>
    <w:rsid w:val="00012BF9"/>
    <w:rsid w:val="0001323C"/>
    <w:rsid w:val="00013247"/>
    <w:rsid w:val="00013B3C"/>
    <w:rsid w:val="00013DD4"/>
    <w:rsid w:val="00014F33"/>
    <w:rsid w:val="00014FB1"/>
    <w:rsid w:val="00015886"/>
    <w:rsid w:val="00015CBE"/>
    <w:rsid w:val="000162EF"/>
    <w:rsid w:val="00016616"/>
    <w:rsid w:val="000168FB"/>
    <w:rsid w:val="0002012A"/>
    <w:rsid w:val="0002031C"/>
    <w:rsid w:val="00020731"/>
    <w:rsid w:val="000207C9"/>
    <w:rsid w:val="0002097D"/>
    <w:rsid w:val="00020A36"/>
    <w:rsid w:val="00020FAE"/>
    <w:rsid w:val="000218A9"/>
    <w:rsid w:val="00021B63"/>
    <w:rsid w:val="00022066"/>
    <w:rsid w:val="000221C4"/>
    <w:rsid w:val="0002225F"/>
    <w:rsid w:val="0002254C"/>
    <w:rsid w:val="0002272A"/>
    <w:rsid w:val="0002331F"/>
    <w:rsid w:val="00023763"/>
    <w:rsid w:val="00023A17"/>
    <w:rsid w:val="00023AD6"/>
    <w:rsid w:val="0002462D"/>
    <w:rsid w:val="00024EB5"/>
    <w:rsid w:val="00026064"/>
    <w:rsid w:val="000274B8"/>
    <w:rsid w:val="0003022D"/>
    <w:rsid w:val="000306B6"/>
    <w:rsid w:val="0003121D"/>
    <w:rsid w:val="00031CFA"/>
    <w:rsid w:val="00032FAC"/>
    <w:rsid w:val="000333A4"/>
    <w:rsid w:val="00033863"/>
    <w:rsid w:val="00033FBD"/>
    <w:rsid w:val="000347B7"/>
    <w:rsid w:val="00035DC0"/>
    <w:rsid w:val="00036122"/>
    <w:rsid w:val="00036829"/>
    <w:rsid w:val="00037106"/>
    <w:rsid w:val="00037A4C"/>
    <w:rsid w:val="00040895"/>
    <w:rsid w:val="000410A0"/>
    <w:rsid w:val="00041542"/>
    <w:rsid w:val="00041C08"/>
    <w:rsid w:val="00042218"/>
    <w:rsid w:val="000423B6"/>
    <w:rsid w:val="00042853"/>
    <w:rsid w:val="000435EE"/>
    <w:rsid w:val="00043B32"/>
    <w:rsid w:val="00043C37"/>
    <w:rsid w:val="00044B09"/>
    <w:rsid w:val="00044B46"/>
    <w:rsid w:val="00045017"/>
    <w:rsid w:val="000458FF"/>
    <w:rsid w:val="00045A2B"/>
    <w:rsid w:val="0004698F"/>
    <w:rsid w:val="00046D64"/>
    <w:rsid w:val="00047CA7"/>
    <w:rsid w:val="000508C2"/>
    <w:rsid w:val="0005167D"/>
    <w:rsid w:val="00051E7C"/>
    <w:rsid w:val="0005308D"/>
    <w:rsid w:val="000537CD"/>
    <w:rsid w:val="000539D0"/>
    <w:rsid w:val="00054211"/>
    <w:rsid w:val="00054621"/>
    <w:rsid w:val="000546D7"/>
    <w:rsid w:val="00054A8D"/>
    <w:rsid w:val="00056255"/>
    <w:rsid w:val="00056B6B"/>
    <w:rsid w:val="00056ECF"/>
    <w:rsid w:val="0005741A"/>
    <w:rsid w:val="00057ABF"/>
    <w:rsid w:val="00057FC6"/>
    <w:rsid w:val="000604DF"/>
    <w:rsid w:val="00060758"/>
    <w:rsid w:val="00060B62"/>
    <w:rsid w:val="00061352"/>
    <w:rsid w:val="00061D40"/>
    <w:rsid w:val="000620AE"/>
    <w:rsid w:val="000622D1"/>
    <w:rsid w:val="0006256A"/>
    <w:rsid w:val="000625B8"/>
    <w:rsid w:val="00062C3F"/>
    <w:rsid w:val="00062DC1"/>
    <w:rsid w:val="00064703"/>
    <w:rsid w:val="000649EA"/>
    <w:rsid w:val="00064AF2"/>
    <w:rsid w:val="000653B5"/>
    <w:rsid w:val="00066031"/>
    <w:rsid w:val="00066360"/>
    <w:rsid w:val="000669DB"/>
    <w:rsid w:val="00066A77"/>
    <w:rsid w:val="00066AF8"/>
    <w:rsid w:val="00066F34"/>
    <w:rsid w:val="00067C58"/>
    <w:rsid w:val="000711FC"/>
    <w:rsid w:val="00071248"/>
    <w:rsid w:val="000720B9"/>
    <w:rsid w:val="0007276E"/>
    <w:rsid w:val="000737F7"/>
    <w:rsid w:val="000743F1"/>
    <w:rsid w:val="0007442C"/>
    <w:rsid w:val="00074516"/>
    <w:rsid w:val="00074C48"/>
    <w:rsid w:val="000751FE"/>
    <w:rsid w:val="0007672F"/>
    <w:rsid w:val="00076B54"/>
    <w:rsid w:val="000771E3"/>
    <w:rsid w:val="000774F0"/>
    <w:rsid w:val="0007762A"/>
    <w:rsid w:val="00080909"/>
    <w:rsid w:val="000812CA"/>
    <w:rsid w:val="000815B4"/>
    <w:rsid w:val="00081BE1"/>
    <w:rsid w:val="00081E63"/>
    <w:rsid w:val="0008258D"/>
    <w:rsid w:val="0008279A"/>
    <w:rsid w:val="00082EA8"/>
    <w:rsid w:val="00082FA6"/>
    <w:rsid w:val="00083E99"/>
    <w:rsid w:val="00083F72"/>
    <w:rsid w:val="0008494C"/>
    <w:rsid w:val="00084AA7"/>
    <w:rsid w:val="00084FA8"/>
    <w:rsid w:val="000856C5"/>
    <w:rsid w:val="00085C31"/>
    <w:rsid w:val="00085EE7"/>
    <w:rsid w:val="000861FB"/>
    <w:rsid w:val="00086A69"/>
    <w:rsid w:val="000877E8"/>
    <w:rsid w:val="00087B64"/>
    <w:rsid w:val="000902D9"/>
    <w:rsid w:val="000905D6"/>
    <w:rsid w:val="00090C7E"/>
    <w:rsid w:val="000911AC"/>
    <w:rsid w:val="00091231"/>
    <w:rsid w:val="00091697"/>
    <w:rsid w:val="00091ECB"/>
    <w:rsid w:val="0009224D"/>
    <w:rsid w:val="000922C4"/>
    <w:rsid w:val="00092600"/>
    <w:rsid w:val="0009262B"/>
    <w:rsid w:val="00092812"/>
    <w:rsid w:val="00093310"/>
    <w:rsid w:val="00093D96"/>
    <w:rsid w:val="00093E39"/>
    <w:rsid w:val="0009445C"/>
    <w:rsid w:val="00095200"/>
    <w:rsid w:val="000954CB"/>
    <w:rsid w:val="00095FE5"/>
    <w:rsid w:val="00096284"/>
    <w:rsid w:val="000963B6"/>
    <w:rsid w:val="00096C39"/>
    <w:rsid w:val="00097619"/>
    <w:rsid w:val="00097790"/>
    <w:rsid w:val="00097B2F"/>
    <w:rsid w:val="000A0C80"/>
    <w:rsid w:val="000A0D55"/>
    <w:rsid w:val="000A1583"/>
    <w:rsid w:val="000A1BC0"/>
    <w:rsid w:val="000A23FF"/>
    <w:rsid w:val="000A2F9E"/>
    <w:rsid w:val="000A3E47"/>
    <w:rsid w:val="000A4A48"/>
    <w:rsid w:val="000A522B"/>
    <w:rsid w:val="000A5C0E"/>
    <w:rsid w:val="000A6039"/>
    <w:rsid w:val="000A62DE"/>
    <w:rsid w:val="000A6C16"/>
    <w:rsid w:val="000A6E26"/>
    <w:rsid w:val="000A7453"/>
    <w:rsid w:val="000A7CA1"/>
    <w:rsid w:val="000A7D08"/>
    <w:rsid w:val="000B0121"/>
    <w:rsid w:val="000B0670"/>
    <w:rsid w:val="000B0E75"/>
    <w:rsid w:val="000B1790"/>
    <w:rsid w:val="000B2DCB"/>
    <w:rsid w:val="000B38EF"/>
    <w:rsid w:val="000B5ACC"/>
    <w:rsid w:val="000B5C1C"/>
    <w:rsid w:val="000B5CE0"/>
    <w:rsid w:val="000B5E3F"/>
    <w:rsid w:val="000B6044"/>
    <w:rsid w:val="000B6333"/>
    <w:rsid w:val="000B6C72"/>
    <w:rsid w:val="000B6CAC"/>
    <w:rsid w:val="000B7612"/>
    <w:rsid w:val="000B78AE"/>
    <w:rsid w:val="000B7B98"/>
    <w:rsid w:val="000C027F"/>
    <w:rsid w:val="000C11F2"/>
    <w:rsid w:val="000C1FF5"/>
    <w:rsid w:val="000C3DF9"/>
    <w:rsid w:val="000C408B"/>
    <w:rsid w:val="000C4672"/>
    <w:rsid w:val="000C4CF2"/>
    <w:rsid w:val="000C6323"/>
    <w:rsid w:val="000C6713"/>
    <w:rsid w:val="000C689B"/>
    <w:rsid w:val="000C7136"/>
    <w:rsid w:val="000C7B9B"/>
    <w:rsid w:val="000D0270"/>
    <w:rsid w:val="000D0ECC"/>
    <w:rsid w:val="000D1BFC"/>
    <w:rsid w:val="000D1D5D"/>
    <w:rsid w:val="000D245E"/>
    <w:rsid w:val="000D281A"/>
    <w:rsid w:val="000D2848"/>
    <w:rsid w:val="000D3261"/>
    <w:rsid w:val="000D326A"/>
    <w:rsid w:val="000D3B59"/>
    <w:rsid w:val="000D51FB"/>
    <w:rsid w:val="000D5665"/>
    <w:rsid w:val="000D594D"/>
    <w:rsid w:val="000D6887"/>
    <w:rsid w:val="000D73D9"/>
    <w:rsid w:val="000E0640"/>
    <w:rsid w:val="000E0806"/>
    <w:rsid w:val="000E0EC9"/>
    <w:rsid w:val="000E135D"/>
    <w:rsid w:val="000E1A73"/>
    <w:rsid w:val="000E1B9C"/>
    <w:rsid w:val="000E2CCE"/>
    <w:rsid w:val="000E2DF1"/>
    <w:rsid w:val="000E3838"/>
    <w:rsid w:val="000E4D67"/>
    <w:rsid w:val="000E57F4"/>
    <w:rsid w:val="000E6720"/>
    <w:rsid w:val="000E6E11"/>
    <w:rsid w:val="000E7372"/>
    <w:rsid w:val="000E79E3"/>
    <w:rsid w:val="000F00BA"/>
    <w:rsid w:val="000F0233"/>
    <w:rsid w:val="000F0262"/>
    <w:rsid w:val="000F12FE"/>
    <w:rsid w:val="000F316A"/>
    <w:rsid w:val="000F39E4"/>
    <w:rsid w:val="000F3B3A"/>
    <w:rsid w:val="000F3C74"/>
    <w:rsid w:val="000F40E8"/>
    <w:rsid w:val="000F42D9"/>
    <w:rsid w:val="000F4BAE"/>
    <w:rsid w:val="000F4BB8"/>
    <w:rsid w:val="000F4FA9"/>
    <w:rsid w:val="000F53FB"/>
    <w:rsid w:val="000F6358"/>
    <w:rsid w:val="000F7127"/>
    <w:rsid w:val="000F797D"/>
    <w:rsid w:val="000F7B54"/>
    <w:rsid w:val="000F7EFC"/>
    <w:rsid w:val="001000B3"/>
    <w:rsid w:val="00100825"/>
    <w:rsid w:val="00100C6C"/>
    <w:rsid w:val="00100F8A"/>
    <w:rsid w:val="00101F17"/>
    <w:rsid w:val="00104056"/>
    <w:rsid w:val="0010452E"/>
    <w:rsid w:val="001045BB"/>
    <w:rsid w:val="001055F6"/>
    <w:rsid w:val="00105AE2"/>
    <w:rsid w:val="001060C6"/>
    <w:rsid w:val="001066C4"/>
    <w:rsid w:val="00106A44"/>
    <w:rsid w:val="00106B80"/>
    <w:rsid w:val="00107F16"/>
    <w:rsid w:val="0011032E"/>
    <w:rsid w:val="00110943"/>
    <w:rsid w:val="00110A0A"/>
    <w:rsid w:val="00110A32"/>
    <w:rsid w:val="00110F49"/>
    <w:rsid w:val="00111212"/>
    <w:rsid w:val="00111ADE"/>
    <w:rsid w:val="0011204E"/>
    <w:rsid w:val="00112054"/>
    <w:rsid w:val="00112510"/>
    <w:rsid w:val="001133A0"/>
    <w:rsid w:val="0011348B"/>
    <w:rsid w:val="001149A7"/>
    <w:rsid w:val="00114D18"/>
    <w:rsid w:val="00115364"/>
    <w:rsid w:val="00115982"/>
    <w:rsid w:val="001159A7"/>
    <w:rsid w:val="00116547"/>
    <w:rsid w:val="0011669E"/>
    <w:rsid w:val="00116A19"/>
    <w:rsid w:val="00116C53"/>
    <w:rsid w:val="00117354"/>
    <w:rsid w:val="00117EBA"/>
    <w:rsid w:val="0012070E"/>
    <w:rsid w:val="00120D9C"/>
    <w:rsid w:val="00121799"/>
    <w:rsid w:val="001219A5"/>
    <w:rsid w:val="00121ACF"/>
    <w:rsid w:val="001222FC"/>
    <w:rsid w:val="00122775"/>
    <w:rsid w:val="00123902"/>
    <w:rsid w:val="00123EBD"/>
    <w:rsid w:val="001242A0"/>
    <w:rsid w:val="00124A51"/>
    <w:rsid w:val="0012567D"/>
    <w:rsid w:val="00125754"/>
    <w:rsid w:val="00126621"/>
    <w:rsid w:val="0012681A"/>
    <w:rsid w:val="00126B1D"/>
    <w:rsid w:val="00127ADA"/>
    <w:rsid w:val="00127BAE"/>
    <w:rsid w:val="001301E9"/>
    <w:rsid w:val="00130EF1"/>
    <w:rsid w:val="001319AD"/>
    <w:rsid w:val="00131D82"/>
    <w:rsid w:val="00132B22"/>
    <w:rsid w:val="001335BD"/>
    <w:rsid w:val="001337DC"/>
    <w:rsid w:val="00133825"/>
    <w:rsid w:val="00133C21"/>
    <w:rsid w:val="00133D36"/>
    <w:rsid w:val="00135E95"/>
    <w:rsid w:val="00136888"/>
    <w:rsid w:val="00136909"/>
    <w:rsid w:val="00137596"/>
    <w:rsid w:val="00137645"/>
    <w:rsid w:val="0013789A"/>
    <w:rsid w:val="00137E7C"/>
    <w:rsid w:val="0014015A"/>
    <w:rsid w:val="00140E99"/>
    <w:rsid w:val="00141632"/>
    <w:rsid w:val="00142C63"/>
    <w:rsid w:val="00143A93"/>
    <w:rsid w:val="00143E2C"/>
    <w:rsid w:val="00143F67"/>
    <w:rsid w:val="00144315"/>
    <w:rsid w:val="00145083"/>
    <w:rsid w:val="00145234"/>
    <w:rsid w:val="00145540"/>
    <w:rsid w:val="0014558C"/>
    <w:rsid w:val="001456B0"/>
    <w:rsid w:val="00145E87"/>
    <w:rsid w:val="00147180"/>
    <w:rsid w:val="001515AC"/>
    <w:rsid w:val="00152443"/>
    <w:rsid w:val="00153979"/>
    <w:rsid w:val="001547AB"/>
    <w:rsid w:val="001559A2"/>
    <w:rsid w:val="00156674"/>
    <w:rsid w:val="00156CFA"/>
    <w:rsid w:val="00156F8F"/>
    <w:rsid w:val="00157130"/>
    <w:rsid w:val="001576B1"/>
    <w:rsid w:val="00160025"/>
    <w:rsid w:val="0016047B"/>
    <w:rsid w:val="00160A4C"/>
    <w:rsid w:val="001613B6"/>
    <w:rsid w:val="00161720"/>
    <w:rsid w:val="001626C8"/>
    <w:rsid w:val="00162913"/>
    <w:rsid w:val="001637BA"/>
    <w:rsid w:val="00163EFF"/>
    <w:rsid w:val="00163F66"/>
    <w:rsid w:val="00163F9A"/>
    <w:rsid w:val="00164353"/>
    <w:rsid w:val="00164425"/>
    <w:rsid w:val="00164439"/>
    <w:rsid w:val="0016478E"/>
    <w:rsid w:val="00164B07"/>
    <w:rsid w:val="00164F12"/>
    <w:rsid w:val="001655AA"/>
    <w:rsid w:val="00165EC4"/>
    <w:rsid w:val="0016607D"/>
    <w:rsid w:val="001661BA"/>
    <w:rsid w:val="001661FB"/>
    <w:rsid w:val="001671A0"/>
    <w:rsid w:val="001675FA"/>
    <w:rsid w:val="0016767F"/>
    <w:rsid w:val="00167B77"/>
    <w:rsid w:val="001725BF"/>
    <w:rsid w:val="001734E7"/>
    <w:rsid w:val="00173565"/>
    <w:rsid w:val="0017385F"/>
    <w:rsid w:val="00173B07"/>
    <w:rsid w:val="00175018"/>
    <w:rsid w:val="001751FA"/>
    <w:rsid w:val="0017554C"/>
    <w:rsid w:val="001757A0"/>
    <w:rsid w:val="00175919"/>
    <w:rsid w:val="00177404"/>
    <w:rsid w:val="00177E2C"/>
    <w:rsid w:val="0018103B"/>
    <w:rsid w:val="0018103D"/>
    <w:rsid w:val="00181694"/>
    <w:rsid w:val="00181C10"/>
    <w:rsid w:val="00181C9B"/>
    <w:rsid w:val="00181D9C"/>
    <w:rsid w:val="00182882"/>
    <w:rsid w:val="00182D2C"/>
    <w:rsid w:val="001835A1"/>
    <w:rsid w:val="001837FF"/>
    <w:rsid w:val="00184B0C"/>
    <w:rsid w:val="00184B0E"/>
    <w:rsid w:val="0018544C"/>
    <w:rsid w:val="001857B2"/>
    <w:rsid w:val="0018667F"/>
    <w:rsid w:val="00186FFE"/>
    <w:rsid w:val="0018752F"/>
    <w:rsid w:val="00190A98"/>
    <w:rsid w:val="00190E2D"/>
    <w:rsid w:val="00190E77"/>
    <w:rsid w:val="00190F3E"/>
    <w:rsid w:val="001911B3"/>
    <w:rsid w:val="00191B5F"/>
    <w:rsid w:val="00192D99"/>
    <w:rsid w:val="00192F0C"/>
    <w:rsid w:val="001937A3"/>
    <w:rsid w:val="00193838"/>
    <w:rsid w:val="00194AD8"/>
    <w:rsid w:val="00194D84"/>
    <w:rsid w:val="00195222"/>
    <w:rsid w:val="00195452"/>
    <w:rsid w:val="00195495"/>
    <w:rsid w:val="00195828"/>
    <w:rsid w:val="00195A8A"/>
    <w:rsid w:val="00196420"/>
    <w:rsid w:val="001975D8"/>
    <w:rsid w:val="001A005D"/>
    <w:rsid w:val="001A019D"/>
    <w:rsid w:val="001A02AD"/>
    <w:rsid w:val="001A0F32"/>
    <w:rsid w:val="001A1154"/>
    <w:rsid w:val="001A178E"/>
    <w:rsid w:val="001A1F6B"/>
    <w:rsid w:val="001A244B"/>
    <w:rsid w:val="001A3179"/>
    <w:rsid w:val="001A3B3E"/>
    <w:rsid w:val="001A4110"/>
    <w:rsid w:val="001A43FA"/>
    <w:rsid w:val="001A47C5"/>
    <w:rsid w:val="001A59FB"/>
    <w:rsid w:val="001A5E9E"/>
    <w:rsid w:val="001A6092"/>
    <w:rsid w:val="001A62B7"/>
    <w:rsid w:val="001A6354"/>
    <w:rsid w:val="001A6366"/>
    <w:rsid w:val="001A63AF"/>
    <w:rsid w:val="001A6864"/>
    <w:rsid w:val="001A6893"/>
    <w:rsid w:val="001A6BCB"/>
    <w:rsid w:val="001A7AE8"/>
    <w:rsid w:val="001B0E02"/>
    <w:rsid w:val="001B204E"/>
    <w:rsid w:val="001B2372"/>
    <w:rsid w:val="001B2515"/>
    <w:rsid w:val="001B3237"/>
    <w:rsid w:val="001B3443"/>
    <w:rsid w:val="001B39F8"/>
    <w:rsid w:val="001B4D20"/>
    <w:rsid w:val="001B566B"/>
    <w:rsid w:val="001B586D"/>
    <w:rsid w:val="001B5B34"/>
    <w:rsid w:val="001B6000"/>
    <w:rsid w:val="001B62C0"/>
    <w:rsid w:val="001B71C4"/>
    <w:rsid w:val="001B767F"/>
    <w:rsid w:val="001B7D39"/>
    <w:rsid w:val="001B7ECD"/>
    <w:rsid w:val="001B7F84"/>
    <w:rsid w:val="001C05C1"/>
    <w:rsid w:val="001C0FFC"/>
    <w:rsid w:val="001C1DE5"/>
    <w:rsid w:val="001C2A9B"/>
    <w:rsid w:val="001C2FC9"/>
    <w:rsid w:val="001C39B9"/>
    <w:rsid w:val="001C3DD6"/>
    <w:rsid w:val="001C4299"/>
    <w:rsid w:val="001C4874"/>
    <w:rsid w:val="001C5F94"/>
    <w:rsid w:val="001C5FB3"/>
    <w:rsid w:val="001C683F"/>
    <w:rsid w:val="001C6E66"/>
    <w:rsid w:val="001C7524"/>
    <w:rsid w:val="001C7C8D"/>
    <w:rsid w:val="001D0BE8"/>
    <w:rsid w:val="001D1100"/>
    <w:rsid w:val="001D1391"/>
    <w:rsid w:val="001D1731"/>
    <w:rsid w:val="001D1DF6"/>
    <w:rsid w:val="001D23C8"/>
    <w:rsid w:val="001D25D7"/>
    <w:rsid w:val="001D369A"/>
    <w:rsid w:val="001D443D"/>
    <w:rsid w:val="001D50B2"/>
    <w:rsid w:val="001D5629"/>
    <w:rsid w:val="001D5CAB"/>
    <w:rsid w:val="001D5DA5"/>
    <w:rsid w:val="001D71F4"/>
    <w:rsid w:val="001D7645"/>
    <w:rsid w:val="001D7F01"/>
    <w:rsid w:val="001E0218"/>
    <w:rsid w:val="001E0E85"/>
    <w:rsid w:val="001E13EB"/>
    <w:rsid w:val="001E1E86"/>
    <w:rsid w:val="001E2094"/>
    <w:rsid w:val="001E238E"/>
    <w:rsid w:val="001E23DC"/>
    <w:rsid w:val="001E2483"/>
    <w:rsid w:val="001E2B1E"/>
    <w:rsid w:val="001E2B78"/>
    <w:rsid w:val="001E2CFF"/>
    <w:rsid w:val="001E2F24"/>
    <w:rsid w:val="001E30D4"/>
    <w:rsid w:val="001E34DF"/>
    <w:rsid w:val="001E39CD"/>
    <w:rsid w:val="001E4099"/>
    <w:rsid w:val="001E4485"/>
    <w:rsid w:val="001E52EB"/>
    <w:rsid w:val="001E5C59"/>
    <w:rsid w:val="001E61D2"/>
    <w:rsid w:val="001E6A29"/>
    <w:rsid w:val="001E740C"/>
    <w:rsid w:val="001E7478"/>
    <w:rsid w:val="001F05AD"/>
    <w:rsid w:val="001F0FB3"/>
    <w:rsid w:val="001F1235"/>
    <w:rsid w:val="001F1AFF"/>
    <w:rsid w:val="001F1C29"/>
    <w:rsid w:val="001F1CB3"/>
    <w:rsid w:val="001F22D5"/>
    <w:rsid w:val="001F24EF"/>
    <w:rsid w:val="001F2DA6"/>
    <w:rsid w:val="001F34E8"/>
    <w:rsid w:val="001F38B5"/>
    <w:rsid w:val="001F4081"/>
    <w:rsid w:val="001F4F7E"/>
    <w:rsid w:val="001F5174"/>
    <w:rsid w:val="001F5D63"/>
    <w:rsid w:val="001F7361"/>
    <w:rsid w:val="001F7667"/>
    <w:rsid w:val="002011B0"/>
    <w:rsid w:val="002013C5"/>
    <w:rsid w:val="0020162E"/>
    <w:rsid w:val="00201CBF"/>
    <w:rsid w:val="0020275D"/>
    <w:rsid w:val="00202EF2"/>
    <w:rsid w:val="0020311D"/>
    <w:rsid w:val="00203181"/>
    <w:rsid w:val="00203783"/>
    <w:rsid w:val="0020385F"/>
    <w:rsid w:val="00204F9E"/>
    <w:rsid w:val="0020613E"/>
    <w:rsid w:val="002068A0"/>
    <w:rsid w:val="00206C6A"/>
    <w:rsid w:val="00206F71"/>
    <w:rsid w:val="00207021"/>
    <w:rsid w:val="00207113"/>
    <w:rsid w:val="0020732F"/>
    <w:rsid w:val="00207AED"/>
    <w:rsid w:val="00207B06"/>
    <w:rsid w:val="00207D00"/>
    <w:rsid w:val="00207F04"/>
    <w:rsid w:val="002105C1"/>
    <w:rsid w:val="00210F25"/>
    <w:rsid w:val="002116FD"/>
    <w:rsid w:val="00211A84"/>
    <w:rsid w:val="00211B23"/>
    <w:rsid w:val="002122B1"/>
    <w:rsid w:val="00212C08"/>
    <w:rsid w:val="00212E3A"/>
    <w:rsid w:val="00213EB5"/>
    <w:rsid w:val="00213EF5"/>
    <w:rsid w:val="00214229"/>
    <w:rsid w:val="00214502"/>
    <w:rsid w:val="00215532"/>
    <w:rsid w:val="00215610"/>
    <w:rsid w:val="002157B9"/>
    <w:rsid w:val="00215C3A"/>
    <w:rsid w:val="00216BF5"/>
    <w:rsid w:val="002213CC"/>
    <w:rsid w:val="00221ABC"/>
    <w:rsid w:val="00221DB1"/>
    <w:rsid w:val="00222B82"/>
    <w:rsid w:val="00223B49"/>
    <w:rsid w:val="00223D5A"/>
    <w:rsid w:val="00224353"/>
    <w:rsid w:val="00224DD4"/>
    <w:rsid w:val="00226FA1"/>
    <w:rsid w:val="00227032"/>
    <w:rsid w:val="002278A0"/>
    <w:rsid w:val="00227CB3"/>
    <w:rsid w:val="002309CC"/>
    <w:rsid w:val="00230CB6"/>
    <w:rsid w:val="00230CEA"/>
    <w:rsid w:val="00231BA9"/>
    <w:rsid w:val="0023209F"/>
    <w:rsid w:val="00232606"/>
    <w:rsid w:val="0023386F"/>
    <w:rsid w:val="002339F2"/>
    <w:rsid w:val="00233B8F"/>
    <w:rsid w:val="00233C01"/>
    <w:rsid w:val="0023413C"/>
    <w:rsid w:val="002346F0"/>
    <w:rsid w:val="0023629D"/>
    <w:rsid w:val="002362C6"/>
    <w:rsid w:val="00236424"/>
    <w:rsid w:val="002366F6"/>
    <w:rsid w:val="00236C42"/>
    <w:rsid w:val="00236CF8"/>
    <w:rsid w:val="00237255"/>
    <w:rsid w:val="002424AF"/>
    <w:rsid w:val="0024252B"/>
    <w:rsid w:val="00242B43"/>
    <w:rsid w:val="00242CC5"/>
    <w:rsid w:val="002430E4"/>
    <w:rsid w:val="002439DC"/>
    <w:rsid w:val="00243C53"/>
    <w:rsid w:val="00243ED0"/>
    <w:rsid w:val="002441D2"/>
    <w:rsid w:val="0024478A"/>
    <w:rsid w:val="002447A5"/>
    <w:rsid w:val="00244934"/>
    <w:rsid w:val="00244BC7"/>
    <w:rsid w:val="00244D85"/>
    <w:rsid w:val="00244DC8"/>
    <w:rsid w:val="002452BC"/>
    <w:rsid w:val="00245522"/>
    <w:rsid w:val="00245682"/>
    <w:rsid w:val="002458BA"/>
    <w:rsid w:val="00245CE9"/>
    <w:rsid w:val="0024636C"/>
    <w:rsid w:val="00246611"/>
    <w:rsid w:val="00246B27"/>
    <w:rsid w:val="00246BAF"/>
    <w:rsid w:val="0024723A"/>
    <w:rsid w:val="00247873"/>
    <w:rsid w:val="00247925"/>
    <w:rsid w:val="0025081E"/>
    <w:rsid w:val="00250A77"/>
    <w:rsid w:val="00251006"/>
    <w:rsid w:val="0025129C"/>
    <w:rsid w:val="0025137A"/>
    <w:rsid w:val="002515A5"/>
    <w:rsid w:val="00252006"/>
    <w:rsid w:val="002524D5"/>
    <w:rsid w:val="002525A4"/>
    <w:rsid w:val="002527AD"/>
    <w:rsid w:val="002530C9"/>
    <w:rsid w:val="00253B1D"/>
    <w:rsid w:val="00253D60"/>
    <w:rsid w:val="00254DCF"/>
    <w:rsid w:val="0025534B"/>
    <w:rsid w:val="00255429"/>
    <w:rsid w:val="00255662"/>
    <w:rsid w:val="002556FB"/>
    <w:rsid w:val="00255BB7"/>
    <w:rsid w:val="002561F6"/>
    <w:rsid w:val="00256643"/>
    <w:rsid w:val="002572F8"/>
    <w:rsid w:val="00257541"/>
    <w:rsid w:val="00257A39"/>
    <w:rsid w:val="00257AC4"/>
    <w:rsid w:val="00257BBE"/>
    <w:rsid w:val="002600A2"/>
    <w:rsid w:val="0026074A"/>
    <w:rsid w:val="002612AE"/>
    <w:rsid w:val="00261572"/>
    <w:rsid w:val="00261746"/>
    <w:rsid w:val="00261EEF"/>
    <w:rsid w:val="00262A1A"/>
    <w:rsid w:val="00262A87"/>
    <w:rsid w:val="00262AF9"/>
    <w:rsid w:val="00264006"/>
    <w:rsid w:val="00264D26"/>
    <w:rsid w:val="00266716"/>
    <w:rsid w:val="00266E09"/>
    <w:rsid w:val="00267642"/>
    <w:rsid w:val="00267AEA"/>
    <w:rsid w:val="002700E6"/>
    <w:rsid w:val="0027045E"/>
    <w:rsid w:val="00270C1B"/>
    <w:rsid w:val="00271E8F"/>
    <w:rsid w:val="00271FA6"/>
    <w:rsid w:val="00272198"/>
    <w:rsid w:val="002721E4"/>
    <w:rsid w:val="002725E7"/>
    <w:rsid w:val="0027294B"/>
    <w:rsid w:val="00272CE0"/>
    <w:rsid w:val="002731DA"/>
    <w:rsid w:val="0027341A"/>
    <w:rsid w:val="002737CF"/>
    <w:rsid w:val="00273EB4"/>
    <w:rsid w:val="00273F39"/>
    <w:rsid w:val="00274682"/>
    <w:rsid w:val="00274FBE"/>
    <w:rsid w:val="00275158"/>
    <w:rsid w:val="00275C5A"/>
    <w:rsid w:val="00276A43"/>
    <w:rsid w:val="00277159"/>
    <w:rsid w:val="002775F4"/>
    <w:rsid w:val="00280A63"/>
    <w:rsid w:val="00281014"/>
    <w:rsid w:val="00281413"/>
    <w:rsid w:val="00283237"/>
    <w:rsid w:val="002832EF"/>
    <w:rsid w:val="00285993"/>
    <w:rsid w:val="00285B07"/>
    <w:rsid w:val="00285BCE"/>
    <w:rsid w:val="00285FBD"/>
    <w:rsid w:val="0028665D"/>
    <w:rsid w:val="00287756"/>
    <w:rsid w:val="0029014A"/>
    <w:rsid w:val="0029046F"/>
    <w:rsid w:val="002904BE"/>
    <w:rsid w:val="002910E0"/>
    <w:rsid w:val="0029206E"/>
    <w:rsid w:val="002920BF"/>
    <w:rsid w:val="00292F2F"/>
    <w:rsid w:val="00293468"/>
    <w:rsid w:val="00294859"/>
    <w:rsid w:val="00294B8A"/>
    <w:rsid w:val="002A0458"/>
    <w:rsid w:val="002A0660"/>
    <w:rsid w:val="002A06DF"/>
    <w:rsid w:val="002A0830"/>
    <w:rsid w:val="002A0C1F"/>
    <w:rsid w:val="002A14AB"/>
    <w:rsid w:val="002A1BB9"/>
    <w:rsid w:val="002A1C51"/>
    <w:rsid w:val="002A2023"/>
    <w:rsid w:val="002A2ADE"/>
    <w:rsid w:val="002A2F50"/>
    <w:rsid w:val="002A3922"/>
    <w:rsid w:val="002A4AC7"/>
    <w:rsid w:val="002A5716"/>
    <w:rsid w:val="002A5899"/>
    <w:rsid w:val="002A5F45"/>
    <w:rsid w:val="002A60DC"/>
    <w:rsid w:val="002A66B3"/>
    <w:rsid w:val="002A696C"/>
    <w:rsid w:val="002A6E18"/>
    <w:rsid w:val="002A78C6"/>
    <w:rsid w:val="002A7943"/>
    <w:rsid w:val="002A7D3A"/>
    <w:rsid w:val="002B03B2"/>
    <w:rsid w:val="002B05A1"/>
    <w:rsid w:val="002B09A4"/>
    <w:rsid w:val="002B16CA"/>
    <w:rsid w:val="002B1C1F"/>
    <w:rsid w:val="002B2B3F"/>
    <w:rsid w:val="002B3314"/>
    <w:rsid w:val="002B3E29"/>
    <w:rsid w:val="002B432F"/>
    <w:rsid w:val="002B4721"/>
    <w:rsid w:val="002B4C8A"/>
    <w:rsid w:val="002B4DBB"/>
    <w:rsid w:val="002B4FE7"/>
    <w:rsid w:val="002B554B"/>
    <w:rsid w:val="002B5815"/>
    <w:rsid w:val="002B5D84"/>
    <w:rsid w:val="002B5ED8"/>
    <w:rsid w:val="002B62B3"/>
    <w:rsid w:val="002B6651"/>
    <w:rsid w:val="002B6754"/>
    <w:rsid w:val="002B67B6"/>
    <w:rsid w:val="002B6CCE"/>
    <w:rsid w:val="002B7688"/>
    <w:rsid w:val="002C04AF"/>
    <w:rsid w:val="002C0784"/>
    <w:rsid w:val="002C0956"/>
    <w:rsid w:val="002C0E4A"/>
    <w:rsid w:val="002C109D"/>
    <w:rsid w:val="002C110A"/>
    <w:rsid w:val="002C1138"/>
    <w:rsid w:val="002C1535"/>
    <w:rsid w:val="002C222C"/>
    <w:rsid w:val="002C2510"/>
    <w:rsid w:val="002C2775"/>
    <w:rsid w:val="002C27C1"/>
    <w:rsid w:val="002C2A66"/>
    <w:rsid w:val="002C36E3"/>
    <w:rsid w:val="002C4989"/>
    <w:rsid w:val="002C4FA1"/>
    <w:rsid w:val="002C5099"/>
    <w:rsid w:val="002C5889"/>
    <w:rsid w:val="002C5F7F"/>
    <w:rsid w:val="002C6A53"/>
    <w:rsid w:val="002C71CE"/>
    <w:rsid w:val="002C7448"/>
    <w:rsid w:val="002C7BC4"/>
    <w:rsid w:val="002D0083"/>
    <w:rsid w:val="002D08F8"/>
    <w:rsid w:val="002D0EC4"/>
    <w:rsid w:val="002D255C"/>
    <w:rsid w:val="002D494D"/>
    <w:rsid w:val="002D52CA"/>
    <w:rsid w:val="002D577C"/>
    <w:rsid w:val="002D618D"/>
    <w:rsid w:val="002D6657"/>
    <w:rsid w:val="002D6BA7"/>
    <w:rsid w:val="002D7291"/>
    <w:rsid w:val="002D7832"/>
    <w:rsid w:val="002E02EB"/>
    <w:rsid w:val="002E051A"/>
    <w:rsid w:val="002E0B9E"/>
    <w:rsid w:val="002E1071"/>
    <w:rsid w:val="002E142E"/>
    <w:rsid w:val="002E15B9"/>
    <w:rsid w:val="002E1AB7"/>
    <w:rsid w:val="002E2158"/>
    <w:rsid w:val="002E2409"/>
    <w:rsid w:val="002E2844"/>
    <w:rsid w:val="002E35FF"/>
    <w:rsid w:val="002E36B6"/>
    <w:rsid w:val="002E3EC6"/>
    <w:rsid w:val="002E4633"/>
    <w:rsid w:val="002E4A66"/>
    <w:rsid w:val="002E4F02"/>
    <w:rsid w:val="002E5243"/>
    <w:rsid w:val="002E5B5F"/>
    <w:rsid w:val="002E64AF"/>
    <w:rsid w:val="002E698D"/>
    <w:rsid w:val="002E6A97"/>
    <w:rsid w:val="002E7722"/>
    <w:rsid w:val="002F01FE"/>
    <w:rsid w:val="002F07BA"/>
    <w:rsid w:val="002F0DA9"/>
    <w:rsid w:val="002F1014"/>
    <w:rsid w:val="002F19A8"/>
    <w:rsid w:val="002F1E3B"/>
    <w:rsid w:val="002F1F93"/>
    <w:rsid w:val="002F29AC"/>
    <w:rsid w:val="002F2F77"/>
    <w:rsid w:val="002F4313"/>
    <w:rsid w:val="002F4AD8"/>
    <w:rsid w:val="002F4FA6"/>
    <w:rsid w:val="002F6090"/>
    <w:rsid w:val="002F643C"/>
    <w:rsid w:val="002F71C0"/>
    <w:rsid w:val="002F74F1"/>
    <w:rsid w:val="003002C0"/>
    <w:rsid w:val="00300583"/>
    <w:rsid w:val="0030067B"/>
    <w:rsid w:val="003007CF"/>
    <w:rsid w:val="00300A98"/>
    <w:rsid w:val="00301017"/>
    <w:rsid w:val="0030155F"/>
    <w:rsid w:val="00301B1D"/>
    <w:rsid w:val="00301C98"/>
    <w:rsid w:val="00302197"/>
    <w:rsid w:val="0030476E"/>
    <w:rsid w:val="00304DA6"/>
    <w:rsid w:val="0030561E"/>
    <w:rsid w:val="00305864"/>
    <w:rsid w:val="0030587B"/>
    <w:rsid w:val="0030643F"/>
    <w:rsid w:val="003067B0"/>
    <w:rsid w:val="00306D98"/>
    <w:rsid w:val="0030786C"/>
    <w:rsid w:val="0031031A"/>
    <w:rsid w:val="00310981"/>
    <w:rsid w:val="00311D9B"/>
    <w:rsid w:val="003120C9"/>
    <w:rsid w:val="003124D9"/>
    <w:rsid w:val="00312594"/>
    <w:rsid w:val="00312EC1"/>
    <w:rsid w:val="00313CA2"/>
    <w:rsid w:val="003146C9"/>
    <w:rsid w:val="0031489B"/>
    <w:rsid w:val="00315498"/>
    <w:rsid w:val="00316474"/>
    <w:rsid w:val="0032043C"/>
    <w:rsid w:val="00322107"/>
    <w:rsid w:val="00322355"/>
    <w:rsid w:val="003227AF"/>
    <w:rsid w:val="00322846"/>
    <w:rsid w:val="00323226"/>
    <w:rsid w:val="00324219"/>
    <w:rsid w:val="003247F7"/>
    <w:rsid w:val="00324E85"/>
    <w:rsid w:val="0032560F"/>
    <w:rsid w:val="00325F01"/>
    <w:rsid w:val="00326DA7"/>
    <w:rsid w:val="00326EE4"/>
    <w:rsid w:val="003270E4"/>
    <w:rsid w:val="00327C26"/>
    <w:rsid w:val="003300D1"/>
    <w:rsid w:val="00330675"/>
    <w:rsid w:val="00330DAA"/>
    <w:rsid w:val="00330F5C"/>
    <w:rsid w:val="00331BC9"/>
    <w:rsid w:val="003343C5"/>
    <w:rsid w:val="00334756"/>
    <w:rsid w:val="003349A8"/>
    <w:rsid w:val="00334E7D"/>
    <w:rsid w:val="00335020"/>
    <w:rsid w:val="00335CD8"/>
    <w:rsid w:val="003366C9"/>
    <w:rsid w:val="00336B26"/>
    <w:rsid w:val="00336DE7"/>
    <w:rsid w:val="003371B0"/>
    <w:rsid w:val="0033788B"/>
    <w:rsid w:val="0034072B"/>
    <w:rsid w:val="00340DF1"/>
    <w:rsid w:val="003412D3"/>
    <w:rsid w:val="00342A68"/>
    <w:rsid w:val="00342D01"/>
    <w:rsid w:val="00343874"/>
    <w:rsid w:val="003448E0"/>
    <w:rsid w:val="00344C0C"/>
    <w:rsid w:val="00345709"/>
    <w:rsid w:val="00345716"/>
    <w:rsid w:val="00346606"/>
    <w:rsid w:val="0034725A"/>
    <w:rsid w:val="00347C52"/>
    <w:rsid w:val="00347F8C"/>
    <w:rsid w:val="003500BA"/>
    <w:rsid w:val="00350608"/>
    <w:rsid w:val="00350DA9"/>
    <w:rsid w:val="003516A9"/>
    <w:rsid w:val="003517F9"/>
    <w:rsid w:val="0035198D"/>
    <w:rsid w:val="00351BA9"/>
    <w:rsid w:val="003526C0"/>
    <w:rsid w:val="003537AF"/>
    <w:rsid w:val="003541E9"/>
    <w:rsid w:val="003545C1"/>
    <w:rsid w:val="00354700"/>
    <w:rsid w:val="00354A0B"/>
    <w:rsid w:val="00354F64"/>
    <w:rsid w:val="00355B66"/>
    <w:rsid w:val="00355F4E"/>
    <w:rsid w:val="003561BA"/>
    <w:rsid w:val="0035620E"/>
    <w:rsid w:val="0035680D"/>
    <w:rsid w:val="00356840"/>
    <w:rsid w:val="0035717F"/>
    <w:rsid w:val="0035754B"/>
    <w:rsid w:val="003575BE"/>
    <w:rsid w:val="0035768D"/>
    <w:rsid w:val="00357FEB"/>
    <w:rsid w:val="0036025A"/>
    <w:rsid w:val="00360345"/>
    <w:rsid w:val="00360972"/>
    <w:rsid w:val="00360AC3"/>
    <w:rsid w:val="00360BDD"/>
    <w:rsid w:val="00360E30"/>
    <w:rsid w:val="003610E3"/>
    <w:rsid w:val="00361A05"/>
    <w:rsid w:val="00361F72"/>
    <w:rsid w:val="003623E3"/>
    <w:rsid w:val="003624C4"/>
    <w:rsid w:val="003627BF"/>
    <w:rsid w:val="003634B0"/>
    <w:rsid w:val="00363B00"/>
    <w:rsid w:val="00364778"/>
    <w:rsid w:val="00364B9D"/>
    <w:rsid w:val="00365144"/>
    <w:rsid w:val="003654AC"/>
    <w:rsid w:val="003664A3"/>
    <w:rsid w:val="003675FA"/>
    <w:rsid w:val="003710CF"/>
    <w:rsid w:val="00372420"/>
    <w:rsid w:val="003725DB"/>
    <w:rsid w:val="00372A92"/>
    <w:rsid w:val="0037358A"/>
    <w:rsid w:val="0037374F"/>
    <w:rsid w:val="00373793"/>
    <w:rsid w:val="00373F59"/>
    <w:rsid w:val="00373FDE"/>
    <w:rsid w:val="003744B3"/>
    <w:rsid w:val="003748EA"/>
    <w:rsid w:val="00374C22"/>
    <w:rsid w:val="003750F6"/>
    <w:rsid w:val="00375369"/>
    <w:rsid w:val="0037594E"/>
    <w:rsid w:val="003760FC"/>
    <w:rsid w:val="003777FC"/>
    <w:rsid w:val="00377903"/>
    <w:rsid w:val="003818C2"/>
    <w:rsid w:val="003819CB"/>
    <w:rsid w:val="00381F78"/>
    <w:rsid w:val="0038229A"/>
    <w:rsid w:val="00382883"/>
    <w:rsid w:val="00382D79"/>
    <w:rsid w:val="0038314E"/>
    <w:rsid w:val="0038365C"/>
    <w:rsid w:val="0038369B"/>
    <w:rsid w:val="00383B78"/>
    <w:rsid w:val="00383D29"/>
    <w:rsid w:val="003843F9"/>
    <w:rsid w:val="00384C8D"/>
    <w:rsid w:val="00385A3F"/>
    <w:rsid w:val="00385A9D"/>
    <w:rsid w:val="003861E5"/>
    <w:rsid w:val="00386BD9"/>
    <w:rsid w:val="00386E21"/>
    <w:rsid w:val="00386FB8"/>
    <w:rsid w:val="00387121"/>
    <w:rsid w:val="00387BD1"/>
    <w:rsid w:val="00387DE2"/>
    <w:rsid w:val="003902B1"/>
    <w:rsid w:val="00390DD3"/>
    <w:rsid w:val="00391395"/>
    <w:rsid w:val="00391632"/>
    <w:rsid w:val="00391657"/>
    <w:rsid w:val="0039179C"/>
    <w:rsid w:val="00391964"/>
    <w:rsid w:val="00392A3E"/>
    <w:rsid w:val="00393882"/>
    <w:rsid w:val="003939E3"/>
    <w:rsid w:val="00393CA2"/>
    <w:rsid w:val="00394AB2"/>
    <w:rsid w:val="00394C1F"/>
    <w:rsid w:val="00394D46"/>
    <w:rsid w:val="00394FD4"/>
    <w:rsid w:val="00395344"/>
    <w:rsid w:val="003959DC"/>
    <w:rsid w:val="00396896"/>
    <w:rsid w:val="00396FD0"/>
    <w:rsid w:val="003A02B3"/>
    <w:rsid w:val="003A063D"/>
    <w:rsid w:val="003A084E"/>
    <w:rsid w:val="003A1A7A"/>
    <w:rsid w:val="003A2392"/>
    <w:rsid w:val="003A25DC"/>
    <w:rsid w:val="003A2831"/>
    <w:rsid w:val="003A3326"/>
    <w:rsid w:val="003A3374"/>
    <w:rsid w:val="003A34CF"/>
    <w:rsid w:val="003A3CB6"/>
    <w:rsid w:val="003A3ED1"/>
    <w:rsid w:val="003A42DE"/>
    <w:rsid w:val="003A44DB"/>
    <w:rsid w:val="003A4C14"/>
    <w:rsid w:val="003A4FA6"/>
    <w:rsid w:val="003A7196"/>
    <w:rsid w:val="003A74CD"/>
    <w:rsid w:val="003A78F7"/>
    <w:rsid w:val="003B11B8"/>
    <w:rsid w:val="003B16A3"/>
    <w:rsid w:val="003B181C"/>
    <w:rsid w:val="003B1F6C"/>
    <w:rsid w:val="003B231B"/>
    <w:rsid w:val="003B3034"/>
    <w:rsid w:val="003B338C"/>
    <w:rsid w:val="003B3515"/>
    <w:rsid w:val="003B35D8"/>
    <w:rsid w:val="003B3971"/>
    <w:rsid w:val="003B41CD"/>
    <w:rsid w:val="003B466A"/>
    <w:rsid w:val="003B5273"/>
    <w:rsid w:val="003B55D1"/>
    <w:rsid w:val="003B5B61"/>
    <w:rsid w:val="003B5E0E"/>
    <w:rsid w:val="003B73FC"/>
    <w:rsid w:val="003B7805"/>
    <w:rsid w:val="003C0DE1"/>
    <w:rsid w:val="003C1654"/>
    <w:rsid w:val="003C1DF9"/>
    <w:rsid w:val="003C24AF"/>
    <w:rsid w:val="003C25C8"/>
    <w:rsid w:val="003C261E"/>
    <w:rsid w:val="003C263D"/>
    <w:rsid w:val="003C29C6"/>
    <w:rsid w:val="003C4807"/>
    <w:rsid w:val="003C52BB"/>
    <w:rsid w:val="003C5343"/>
    <w:rsid w:val="003C5542"/>
    <w:rsid w:val="003C67B3"/>
    <w:rsid w:val="003C6F26"/>
    <w:rsid w:val="003C78B1"/>
    <w:rsid w:val="003C7C15"/>
    <w:rsid w:val="003C7D19"/>
    <w:rsid w:val="003C7D2F"/>
    <w:rsid w:val="003C7EDC"/>
    <w:rsid w:val="003D0A0D"/>
    <w:rsid w:val="003D0C5A"/>
    <w:rsid w:val="003D121D"/>
    <w:rsid w:val="003D1828"/>
    <w:rsid w:val="003D1DE4"/>
    <w:rsid w:val="003D1E9A"/>
    <w:rsid w:val="003D1FFA"/>
    <w:rsid w:val="003D2422"/>
    <w:rsid w:val="003D25AF"/>
    <w:rsid w:val="003D32DA"/>
    <w:rsid w:val="003D345A"/>
    <w:rsid w:val="003D39A1"/>
    <w:rsid w:val="003D3F38"/>
    <w:rsid w:val="003D3FBF"/>
    <w:rsid w:val="003D43FA"/>
    <w:rsid w:val="003D4637"/>
    <w:rsid w:val="003D4A30"/>
    <w:rsid w:val="003D51AC"/>
    <w:rsid w:val="003D5B61"/>
    <w:rsid w:val="003D643E"/>
    <w:rsid w:val="003D65E9"/>
    <w:rsid w:val="003D6F76"/>
    <w:rsid w:val="003D7452"/>
    <w:rsid w:val="003D79BB"/>
    <w:rsid w:val="003D7B51"/>
    <w:rsid w:val="003D7C98"/>
    <w:rsid w:val="003D7D9D"/>
    <w:rsid w:val="003D7FFB"/>
    <w:rsid w:val="003E0543"/>
    <w:rsid w:val="003E0902"/>
    <w:rsid w:val="003E0CC1"/>
    <w:rsid w:val="003E1227"/>
    <w:rsid w:val="003E19E1"/>
    <w:rsid w:val="003E4FD0"/>
    <w:rsid w:val="003E5148"/>
    <w:rsid w:val="003E5603"/>
    <w:rsid w:val="003E5887"/>
    <w:rsid w:val="003E5C5C"/>
    <w:rsid w:val="003E6026"/>
    <w:rsid w:val="003E611D"/>
    <w:rsid w:val="003E667F"/>
    <w:rsid w:val="003E66A2"/>
    <w:rsid w:val="003E73A6"/>
    <w:rsid w:val="003E749E"/>
    <w:rsid w:val="003E75F6"/>
    <w:rsid w:val="003F027D"/>
    <w:rsid w:val="003F15BE"/>
    <w:rsid w:val="003F173C"/>
    <w:rsid w:val="003F1741"/>
    <w:rsid w:val="003F17F4"/>
    <w:rsid w:val="003F2B6F"/>
    <w:rsid w:val="003F4156"/>
    <w:rsid w:val="003F471F"/>
    <w:rsid w:val="003F49AD"/>
    <w:rsid w:val="003F4A21"/>
    <w:rsid w:val="003F53E3"/>
    <w:rsid w:val="003F58AE"/>
    <w:rsid w:val="003F5ADF"/>
    <w:rsid w:val="003F69D5"/>
    <w:rsid w:val="003F6B8A"/>
    <w:rsid w:val="003F7CF5"/>
    <w:rsid w:val="004001BD"/>
    <w:rsid w:val="0040068A"/>
    <w:rsid w:val="00400B29"/>
    <w:rsid w:val="004015C5"/>
    <w:rsid w:val="004016B0"/>
    <w:rsid w:val="00401886"/>
    <w:rsid w:val="00401E4C"/>
    <w:rsid w:val="00402812"/>
    <w:rsid w:val="004028BE"/>
    <w:rsid w:val="00402B0C"/>
    <w:rsid w:val="00402B35"/>
    <w:rsid w:val="00403D31"/>
    <w:rsid w:val="00404928"/>
    <w:rsid w:val="0040504B"/>
    <w:rsid w:val="004057C7"/>
    <w:rsid w:val="004059F4"/>
    <w:rsid w:val="004062D7"/>
    <w:rsid w:val="0040633B"/>
    <w:rsid w:val="004065F2"/>
    <w:rsid w:val="00407675"/>
    <w:rsid w:val="004076FD"/>
    <w:rsid w:val="004079AC"/>
    <w:rsid w:val="00407FE5"/>
    <w:rsid w:val="004101B0"/>
    <w:rsid w:val="00410326"/>
    <w:rsid w:val="00410708"/>
    <w:rsid w:val="00410813"/>
    <w:rsid w:val="00410DDA"/>
    <w:rsid w:val="00410EC7"/>
    <w:rsid w:val="00411428"/>
    <w:rsid w:val="00411B39"/>
    <w:rsid w:val="00411F47"/>
    <w:rsid w:val="004120A2"/>
    <w:rsid w:val="0041231C"/>
    <w:rsid w:val="004127A7"/>
    <w:rsid w:val="00412982"/>
    <w:rsid w:val="00413A1E"/>
    <w:rsid w:val="0041443D"/>
    <w:rsid w:val="00414476"/>
    <w:rsid w:val="00414492"/>
    <w:rsid w:val="00414C2E"/>
    <w:rsid w:val="00414ED4"/>
    <w:rsid w:val="004151CF"/>
    <w:rsid w:val="00415B27"/>
    <w:rsid w:val="004160BA"/>
    <w:rsid w:val="00416364"/>
    <w:rsid w:val="00416CB0"/>
    <w:rsid w:val="00417481"/>
    <w:rsid w:val="004175B9"/>
    <w:rsid w:val="004178DE"/>
    <w:rsid w:val="00417A8C"/>
    <w:rsid w:val="00420342"/>
    <w:rsid w:val="0042047F"/>
    <w:rsid w:val="00420AA6"/>
    <w:rsid w:val="00420B9F"/>
    <w:rsid w:val="00421483"/>
    <w:rsid w:val="004216DE"/>
    <w:rsid w:val="0042192C"/>
    <w:rsid w:val="00422096"/>
    <w:rsid w:val="00422260"/>
    <w:rsid w:val="004228A2"/>
    <w:rsid w:val="0042413F"/>
    <w:rsid w:val="00424394"/>
    <w:rsid w:val="00425031"/>
    <w:rsid w:val="00425FF8"/>
    <w:rsid w:val="00426E65"/>
    <w:rsid w:val="00427A36"/>
    <w:rsid w:val="00427B24"/>
    <w:rsid w:val="00427D24"/>
    <w:rsid w:val="0043023D"/>
    <w:rsid w:val="00430818"/>
    <w:rsid w:val="004317A6"/>
    <w:rsid w:val="004319F8"/>
    <w:rsid w:val="00431AF1"/>
    <w:rsid w:val="00431DF5"/>
    <w:rsid w:val="00431E55"/>
    <w:rsid w:val="004321F6"/>
    <w:rsid w:val="004325CF"/>
    <w:rsid w:val="0043270D"/>
    <w:rsid w:val="00432ACE"/>
    <w:rsid w:val="00433044"/>
    <w:rsid w:val="0043359C"/>
    <w:rsid w:val="00434088"/>
    <w:rsid w:val="00435F21"/>
    <w:rsid w:val="00436F27"/>
    <w:rsid w:val="00437036"/>
    <w:rsid w:val="004375B9"/>
    <w:rsid w:val="004425D4"/>
    <w:rsid w:val="004428D0"/>
    <w:rsid w:val="00442BD6"/>
    <w:rsid w:val="00442E51"/>
    <w:rsid w:val="00444185"/>
    <w:rsid w:val="004443A7"/>
    <w:rsid w:val="0044442C"/>
    <w:rsid w:val="00444E0D"/>
    <w:rsid w:val="00444E8A"/>
    <w:rsid w:val="00445941"/>
    <w:rsid w:val="00445BA1"/>
    <w:rsid w:val="00445F5B"/>
    <w:rsid w:val="004464EB"/>
    <w:rsid w:val="00446744"/>
    <w:rsid w:val="00446C08"/>
    <w:rsid w:val="00447D26"/>
    <w:rsid w:val="00447DFC"/>
    <w:rsid w:val="00447FF6"/>
    <w:rsid w:val="00450AF2"/>
    <w:rsid w:val="00452190"/>
    <w:rsid w:val="004525E0"/>
    <w:rsid w:val="00452A16"/>
    <w:rsid w:val="004533B9"/>
    <w:rsid w:val="004540FD"/>
    <w:rsid w:val="00455D45"/>
    <w:rsid w:val="0045601E"/>
    <w:rsid w:val="00456CC5"/>
    <w:rsid w:val="00456D51"/>
    <w:rsid w:val="004576EE"/>
    <w:rsid w:val="00457779"/>
    <w:rsid w:val="00457C49"/>
    <w:rsid w:val="004606D4"/>
    <w:rsid w:val="004619E9"/>
    <w:rsid w:val="00461BB9"/>
    <w:rsid w:val="00461BF4"/>
    <w:rsid w:val="00463121"/>
    <w:rsid w:val="00463192"/>
    <w:rsid w:val="004633FB"/>
    <w:rsid w:val="00464595"/>
    <w:rsid w:val="00464846"/>
    <w:rsid w:val="004658B5"/>
    <w:rsid w:val="004665D0"/>
    <w:rsid w:val="00466CF9"/>
    <w:rsid w:val="004674FE"/>
    <w:rsid w:val="00471EA5"/>
    <w:rsid w:val="00472A79"/>
    <w:rsid w:val="00472FEA"/>
    <w:rsid w:val="00473817"/>
    <w:rsid w:val="00473BBD"/>
    <w:rsid w:val="00473C78"/>
    <w:rsid w:val="00473F19"/>
    <w:rsid w:val="00474556"/>
    <w:rsid w:val="00474E21"/>
    <w:rsid w:val="0047504D"/>
    <w:rsid w:val="00475574"/>
    <w:rsid w:val="004758BD"/>
    <w:rsid w:val="00475E22"/>
    <w:rsid w:val="00476DF9"/>
    <w:rsid w:val="004777FB"/>
    <w:rsid w:val="0048088E"/>
    <w:rsid w:val="00480F2B"/>
    <w:rsid w:val="00481838"/>
    <w:rsid w:val="00481895"/>
    <w:rsid w:val="004819BA"/>
    <w:rsid w:val="00482030"/>
    <w:rsid w:val="00482720"/>
    <w:rsid w:val="00482A36"/>
    <w:rsid w:val="0048330C"/>
    <w:rsid w:val="00483343"/>
    <w:rsid w:val="004835E7"/>
    <w:rsid w:val="004847DA"/>
    <w:rsid w:val="00485580"/>
    <w:rsid w:val="00485611"/>
    <w:rsid w:val="004859E1"/>
    <w:rsid w:val="00485F1F"/>
    <w:rsid w:val="00486093"/>
    <w:rsid w:val="0048622D"/>
    <w:rsid w:val="004867E2"/>
    <w:rsid w:val="004868EA"/>
    <w:rsid w:val="004870C1"/>
    <w:rsid w:val="004874C4"/>
    <w:rsid w:val="00487500"/>
    <w:rsid w:val="00487729"/>
    <w:rsid w:val="00487A5D"/>
    <w:rsid w:val="004906A5"/>
    <w:rsid w:val="00490897"/>
    <w:rsid w:val="00490B17"/>
    <w:rsid w:val="00491B3A"/>
    <w:rsid w:val="00491C01"/>
    <w:rsid w:val="00492523"/>
    <w:rsid w:val="00492CFD"/>
    <w:rsid w:val="004937E0"/>
    <w:rsid w:val="004938FD"/>
    <w:rsid w:val="00493B67"/>
    <w:rsid w:val="00493C58"/>
    <w:rsid w:val="00494207"/>
    <w:rsid w:val="00494DD5"/>
    <w:rsid w:val="00495502"/>
    <w:rsid w:val="00495A75"/>
    <w:rsid w:val="00495DC7"/>
    <w:rsid w:val="004961FE"/>
    <w:rsid w:val="004962D2"/>
    <w:rsid w:val="004967E2"/>
    <w:rsid w:val="00496B04"/>
    <w:rsid w:val="00496DEC"/>
    <w:rsid w:val="004977DF"/>
    <w:rsid w:val="004A0B64"/>
    <w:rsid w:val="004A0DA1"/>
    <w:rsid w:val="004A0DCD"/>
    <w:rsid w:val="004A13D6"/>
    <w:rsid w:val="004A1B61"/>
    <w:rsid w:val="004A22D1"/>
    <w:rsid w:val="004A2773"/>
    <w:rsid w:val="004A3609"/>
    <w:rsid w:val="004A4040"/>
    <w:rsid w:val="004A40A9"/>
    <w:rsid w:val="004A40C9"/>
    <w:rsid w:val="004A4DB1"/>
    <w:rsid w:val="004A507D"/>
    <w:rsid w:val="004A52E9"/>
    <w:rsid w:val="004A5D58"/>
    <w:rsid w:val="004A5EE0"/>
    <w:rsid w:val="004A6040"/>
    <w:rsid w:val="004A630C"/>
    <w:rsid w:val="004A6597"/>
    <w:rsid w:val="004A67EF"/>
    <w:rsid w:val="004A7848"/>
    <w:rsid w:val="004A793B"/>
    <w:rsid w:val="004A79F7"/>
    <w:rsid w:val="004A7B15"/>
    <w:rsid w:val="004A7C21"/>
    <w:rsid w:val="004B0798"/>
    <w:rsid w:val="004B0C21"/>
    <w:rsid w:val="004B1CB4"/>
    <w:rsid w:val="004B1FFE"/>
    <w:rsid w:val="004B2CBC"/>
    <w:rsid w:val="004B2D07"/>
    <w:rsid w:val="004B2F18"/>
    <w:rsid w:val="004B3543"/>
    <w:rsid w:val="004B3CD3"/>
    <w:rsid w:val="004B3DDB"/>
    <w:rsid w:val="004B44FD"/>
    <w:rsid w:val="004B455F"/>
    <w:rsid w:val="004B47E2"/>
    <w:rsid w:val="004B48A1"/>
    <w:rsid w:val="004B55AF"/>
    <w:rsid w:val="004B5CFC"/>
    <w:rsid w:val="004B6A14"/>
    <w:rsid w:val="004B6A56"/>
    <w:rsid w:val="004B6B4A"/>
    <w:rsid w:val="004B6F79"/>
    <w:rsid w:val="004B7214"/>
    <w:rsid w:val="004B774D"/>
    <w:rsid w:val="004B7B8D"/>
    <w:rsid w:val="004B7F14"/>
    <w:rsid w:val="004C0421"/>
    <w:rsid w:val="004C05EB"/>
    <w:rsid w:val="004C1488"/>
    <w:rsid w:val="004C195A"/>
    <w:rsid w:val="004C2AC2"/>
    <w:rsid w:val="004C2C8B"/>
    <w:rsid w:val="004C4AED"/>
    <w:rsid w:val="004C5BC3"/>
    <w:rsid w:val="004C5C21"/>
    <w:rsid w:val="004C7219"/>
    <w:rsid w:val="004C78CF"/>
    <w:rsid w:val="004D0B9F"/>
    <w:rsid w:val="004D1E8B"/>
    <w:rsid w:val="004D2C2D"/>
    <w:rsid w:val="004D3322"/>
    <w:rsid w:val="004D3C98"/>
    <w:rsid w:val="004D4DE5"/>
    <w:rsid w:val="004D553B"/>
    <w:rsid w:val="004D5606"/>
    <w:rsid w:val="004D6551"/>
    <w:rsid w:val="004D69B5"/>
    <w:rsid w:val="004D7227"/>
    <w:rsid w:val="004D7B5E"/>
    <w:rsid w:val="004E0449"/>
    <w:rsid w:val="004E0542"/>
    <w:rsid w:val="004E05D5"/>
    <w:rsid w:val="004E06D8"/>
    <w:rsid w:val="004E0A10"/>
    <w:rsid w:val="004E0E7F"/>
    <w:rsid w:val="004E0EB8"/>
    <w:rsid w:val="004E1226"/>
    <w:rsid w:val="004E18E9"/>
    <w:rsid w:val="004E1C7F"/>
    <w:rsid w:val="004E2ADC"/>
    <w:rsid w:val="004E43B2"/>
    <w:rsid w:val="004E4811"/>
    <w:rsid w:val="004E513E"/>
    <w:rsid w:val="004E5C82"/>
    <w:rsid w:val="004E64D9"/>
    <w:rsid w:val="004E7563"/>
    <w:rsid w:val="004E7A98"/>
    <w:rsid w:val="004F01A4"/>
    <w:rsid w:val="004F05BB"/>
    <w:rsid w:val="004F1A97"/>
    <w:rsid w:val="004F1D02"/>
    <w:rsid w:val="004F2679"/>
    <w:rsid w:val="004F2F21"/>
    <w:rsid w:val="004F309F"/>
    <w:rsid w:val="004F3200"/>
    <w:rsid w:val="004F3305"/>
    <w:rsid w:val="004F3B9E"/>
    <w:rsid w:val="004F3DE5"/>
    <w:rsid w:val="004F408B"/>
    <w:rsid w:val="004F427D"/>
    <w:rsid w:val="004F496A"/>
    <w:rsid w:val="004F51D1"/>
    <w:rsid w:val="004F6381"/>
    <w:rsid w:val="004F680C"/>
    <w:rsid w:val="004F6913"/>
    <w:rsid w:val="004F7394"/>
    <w:rsid w:val="004F7865"/>
    <w:rsid w:val="0050174E"/>
    <w:rsid w:val="00501854"/>
    <w:rsid w:val="005019CE"/>
    <w:rsid w:val="0050219B"/>
    <w:rsid w:val="005032DB"/>
    <w:rsid w:val="00503827"/>
    <w:rsid w:val="00503F17"/>
    <w:rsid w:val="00503F3A"/>
    <w:rsid w:val="0050475D"/>
    <w:rsid w:val="00505A11"/>
    <w:rsid w:val="00506928"/>
    <w:rsid w:val="005077EF"/>
    <w:rsid w:val="00510C04"/>
    <w:rsid w:val="00510E80"/>
    <w:rsid w:val="005110F4"/>
    <w:rsid w:val="00511602"/>
    <w:rsid w:val="00511AD5"/>
    <w:rsid w:val="00511B82"/>
    <w:rsid w:val="00511DC7"/>
    <w:rsid w:val="00511E45"/>
    <w:rsid w:val="0051202A"/>
    <w:rsid w:val="00512DF1"/>
    <w:rsid w:val="0051338E"/>
    <w:rsid w:val="005142C5"/>
    <w:rsid w:val="005143DF"/>
    <w:rsid w:val="0051501B"/>
    <w:rsid w:val="0051512C"/>
    <w:rsid w:val="00515183"/>
    <w:rsid w:val="005152B5"/>
    <w:rsid w:val="0051572E"/>
    <w:rsid w:val="00515886"/>
    <w:rsid w:val="0051654F"/>
    <w:rsid w:val="00517C5F"/>
    <w:rsid w:val="00520028"/>
    <w:rsid w:val="00520F0E"/>
    <w:rsid w:val="0052120B"/>
    <w:rsid w:val="0052123C"/>
    <w:rsid w:val="00521319"/>
    <w:rsid w:val="00521463"/>
    <w:rsid w:val="00522947"/>
    <w:rsid w:val="00522BC8"/>
    <w:rsid w:val="00523C28"/>
    <w:rsid w:val="00524E97"/>
    <w:rsid w:val="00525277"/>
    <w:rsid w:val="00525F43"/>
    <w:rsid w:val="00526C75"/>
    <w:rsid w:val="00530B08"/>
    <w:rsid w:val="0053121E"/>
    <w:rsid w:val="0053125C"/>
    <w:rsid w:val="00531505"/>
    <w:rsid w:val="0053176B"/>
    <w:rsid w:val="0053176D"/>
    <w:rsid w:val="00531AE0"/>
    <w:rsid w:val="00531AE8"/>
    <w:rsid w:val="00532EAA"/>
    <w:rsid w:val="00533431"/>
    <w:rsid w:val="005341B3"/>
    <w:rsid w:val="005346F4"/>
    <w:rsid w:val="00534868"/>
    <w:rsid w:val="00534AF5"/>
    <w:rsid w:val="00535394"/>
    <w:rsid w:val="00535BA4"/>
    <w:rsid w:val="00536D81"/>
    <w:rsid w:val="00536F42"/>
    <w:rsid w:val="00537182"/>
    <w:rsid w:val="0053747F"/>
    <w:rsid w:val="00537C80"/>
    <w:rsid w:val="00540486"/>
    <w:rsid w:val="00540C81"/>
    <w:rsid w:val="00541EDD"/>
    <w:rsid w:val="00542743"/>
    <w:rsid w:val="00542C2D"/>
    <w:rsid w:val="00543274"/>
    <w:rsid w:val="00543767"/>
    <w:rsid w:val="005438AF"/>
    <w:rsid w:val="00546C21"/>
    <w:rsid w:val="00547519"/>
    <w:rsid w:val="005478BD"/>
    <w:rsid w:val="005479E3"/>
    <w:rsid w:val="0055175A"/>
    <w:rsid w:val="00551985"/>
    <w:rsid w:val="00552BD3"/>
    <w:rsid w:val="005532A0"/>
    <w:rsid w:val="00553599"/>
    <w:rsid w:val="005541D1"/>
    <w:rsid w:val="00555109"/>
    <w:rsid w:val="00555493"/>
    <w:rsid w:val="0055597D"/>
    <w:rsid w:val="005559D1"/>
    <w:rsid w:val="00555B4A"/>
    <w:rsid w:val="00555EBC"/>
    <w:rsid w:val="0055670D"/>
    <w:rsid w:val="00556A4E"/>
    <w:rsid w:val="00556B35"/>
    <w:rsid w:val="00556C0C"/>
    <w:rsid w:val="0055741A"/>
    <w:rsid w:val="005578E0"/>
    <w:rsid w:val="00557BDF"/>
    <w:rsid w:val="0056034F"/>
    <w:rsid w:val="00560425"/>
    <w:rsid w:val="00560D36"/>
    <w:rsid w:val="005611B7"/>
    <w:rsid w:val="005618D4"/>
    <w:rsid w:val="005621C7"/>
    <w:rsid w:val="00562B4B"/>
    <w:rsid w:val="00564867"/>
    <w:rsid w:val="00565C79"/>
    <w:rsid w:val="00565D5E"/>
    <w:rsid w:val="00565DF0"/>
    <w:rsid w:val="00566913"/>
    <w:rsid w:val="0056696F"/>
    <w:rsid w:val="00567676"/>
    <w:rsid w:val="00567F61"/>
    <w:rsid w:val="00570C20"/>
    <w:rsid w:val="00570D23"/>
    <w:rsid w:val="00572269"/>
    <w:rsid w:val="0057244A"/>
    <w:rsid w:val="005724E0"/>
    <w:rsid w:val="0057279B"/>
    <w:rsid w:val="00572F26"/>
    <w:rsid w:val="005732DE"/>
    <w:rsid w:val="005737B2"/>
    <w:rsid w:val="00573C22"/>
    <w:rsid w:val="00574259"/>
    <w:rsid w:val="005744DA"/>
    <w:rsid w:val="005745BC"/>
    <w:rsid w:val="00574DCC"/>
    <w:rsid w:val="005750C5"/>
    <w:rsid w:val="005752DE"/>
    <w:rsid w:val="00575D60"/>
    <w:rsid w:val="00575D8D"/>
    <w:rsid w:val="005768E6"/>
    <w:rsid w:val="00576972"/>
    <w:rsid w:val="00576EDA"/>
    <w:rsid w:val="00577248"/>
    <w:rsid w:val="00577714"/>
    <w:rsid w:val="00580505"/>
    <w:rsid w:val="00580CB8"/>
    <w:rsid w:val="00580E78"/>
    <w:rsid w:val="005823CB"/>
    <w:rsid w:val="00582C8F"/>
    <w:rsid w:val="00583699"/>
    <w:rsid w:val="00583D54"/>
    <w:rsid w:val="00583F3D"/>
    <w:rsid w:val="00583F51"/>
    <w:rsid w:val="00584BD8"/>
    <w:rsid w:val="00584D78"/>
    <w:rsid w:val="00584FBC"/>
    <w:rsid w:val="005851C2"/>
    <w:rsid w:val="00585CDD"/>
    <w:rsid w:val="0058623C"/>
    <w:rsid w:val="00587058"/>
    <w:rsid w:val="005875C2"/>
    <w:rsid w:val="00587D84"/>
    <w:rsid w:val="00590A73"/>
    <w:rsid w:val="00590CB0"/>
    <w:rsid w:val="005915FB"/>
    <w:rsid w:val="00591957"/>
    <w:rsid w:val="00592FDC"/>
    <w:rsid w:val="005935D0"/>
    <w:rsid w:val="005937EC"/>
    <w:rsid w:val="0059393A"/>
    <w:rsid w:val="00593DBF"/>
    <w:rsid w:val="005943F7"/>
    <w:rsid w:val="005949B6"/>
    <w:rsid w:val="0059555F"/>
    <w:rsid w:val="00595985"/>
    <w:rsid w:val="0059672D"/>
    <w:rsid w:val="00596AE0"/>
    <w:rsid w:val="00596E21"/>
    <w:rsid w:val="00597126"/>
    <w:rsid w:val="00597B32"/>
    <w:rsid w:val="00597BF9"/>
    <w:rsid w:val="005A0742"/>
    <w:rsid w:val="005A0C11"/>
    <w:rsid w:val="005A1176"/>
    <w:rsid w:val="005A1B34"/>
    <w:rsid w:val="005A309A"/>
    <w:rsid w:val="005A3634"/>
    <w:rsid w:val="005A373D"/>
    <w:rsid w:val="005A553A"/>
    <w:rsid w:val="005A5BE0"/>
    <w:rsid w:val="005A7203"/>
    <w:rsid w:val="005A7E0D"/>
    <w:rsid w:val="005A7E37"/>
    <w:rsid w:val="005A7E65"/>
    <w:rsid w:val="005B064D"/>
    <w:rsid w:val="005B073E"/>
    <w:rsid w:val="005B0B58"/>
    <w:rsid w:val="005B1755"/>
    <w:rsid w:val="005B1D21"/>
    <w:rsid w:val="005B2046"/>
    <w:rsid w:val="005B205D"/>
    <w:rsid w:val="005B35A9"/>
    <w:rsid w:val="005B3C01"/>
    <w:rsid w:val="005B4053"/>
    <w:rsid w:val="005B46C9"/>
    <w:rsid w:val="005B4DC1"/>
    <w:rsid w:val="005B4E53"/>
    <w:rsid w:val="005B4FB7"/>
    <w:rsid w:val="005B5857"/>
    <w:rsid w:val="005B5D90"/>
    <w:rsid w:val="005B6ACE"/>
    <w:rsid w:val="005B6FAF"/>
    <w:rsid w:val="005C006E"/>
    <w:rsid w:val="005C054F"/>
    <w:rsid w:val="005C0863"/>
    <w:rsid w:val="005C1572"/>
    <w:rsid w:val="005C19C4"/>
    <w:rsid w:val="005C1A35"/>
    <w:rsid w:val="005C1B83"/>
    <w:rsid w:val="005C221C"/>
    <w:rsid w:val="005C25FF"/>
    <w:rsid w:val="005C270F"/>
    <w:rsid w:val="005C2D4E"/>
    <w:rsid w:val="005C2D55"/>
    <w:rsid w:val="005C3374"/>
    <w:rsid w:val="005C33E9"/>
    <w:rsid w:val="005C346B"/>
    <w:rsid w:val="005C3CB1"/>
    <w:rsid w:val="005C441B"/>
    <w:rsid w:val="005C4CE7"/>
    <w:rsid w:val="005C4EF5"/>
    <w:rsid w:val="005C53A7"/>
    <w:rsid w:val="005C5981"/>
    <w:rsid w:val="005C5ABC"/>
    <w:rsid w:val="005C7BC1"/>
    <w:rsid w:val="005C7DDF"/>
    <w:rsid w:val="005D0396"/>
    <w:rsid w:val="005D044D"/>
    <w:rsid w:val="005D0ABD"/>
    <w:rsid w:val="005D1431"/>
    <w:rsid w:val="005D18AD"/>
    <w:rsid w:val="005D26B4"/>
    <w:rsid w:val="005D29EC"/>
    <w:rsid w:val="005D2B98"/>
    <w:rsid w:val="005D2FF5"/>
    <w:rsid w:val="005D3515"/>
    <w:rsid w:val="005D4406"/>
    <w:rsid w:val="005D5EB6"/>
    <w:rsid w:val="005D7EA8"/>
    <w:rsid w:val="005E0417"/>
    <w:rsid w:val="005E08D1"/>
    <w:rsid w:val="005E0ADB"/>
    <w:rsid w:val="005E1995"/>
    <w:rsid w:val="005E1F07"/>
    <w:rsid w:val="005E203E"/>
    <w:rsid w:val="005E22E9"/>
    <w:rsid w:val="005E2605"/>
    <w:rsid w:val="005E3D3A"/>
    <w:rsid w:val="005E4666"/>
    <w:rsid w:val="005E4D41"/>
    <w:rsid w:val="005E4EDD"/>
    <w:rsid w:val="005E585B"/>
    <w:rsid w:val="005E6CBC"/>
    <w:rsid w:val="005E6D91"/>
    <w:rsid w:val="005E6FDA"/>
    <w:rsid w:val="005E72FF"/>
    <w:rsid w:val="005E73C0"/>
    <w:rsid w:val="005E7D05"/>
    <w:rsid w:val="005F0297"/>
    <w:rsid w:val="005F0518"/>
    <w:rsid w:val="005F07ED"/>
    <w:rsid w:val="005F1184"/>
    <w:rsid w:val="005F12C0"/>
    <w:rsid w:val="005F1417"/>
    <w:rsid w:val="005F1FC6"/>
    <w:rsid w:val="005F2621"/>
    <w:rsid w:val="005F2706"/>
    <w:rsid w:val="005F2752"/>
    <w:rsid w:val="005F27C3"/>
    <w:rsid w:val="005F2FE2"/>
    <w:rsid w:val="005F3266"/>
    <w:rsid w:val="005F345F"/>
    <w:rsid w:val="005F3929"/>
    <w:rsid w:val="005F415C"/>
    <w:rsid w:val="005F4216"/>
    <w:rsid w:val="005F54DE"/>
    <w:rsid w:val="005F57FE"/>
    <w:rsid w:val="005F5BC1"/>
    <w:rsid w:val="005F67BF"/>
    <w:rsid w:val="005F69D8"/>
    <w:rsid w:val="005F6A8F"/>
    <w:rsid w:val="005F6BB7"/>
    <w:rsid w:val="005F7334"/>
    <w:rsid w:val="005F7588"/>
    <w:rsid w:val="0060024B"/>
    <w:rsid w:val="006018C8"/>
    <w:rsid w:val="006023AE"/>
    <w:rsid w:val="00602CE7"/>
    <w:rsid w:val="00603D2A"/>
    <w:rsid w:val="00603DB9"/>
    <w:rsid w:val="00604C54"/>
    <w:rsid w:val="0060544C"/>
    <w:rsid w:val="00606B30"/>
    <w:rsid w:val="00606F31"/>
    <w:rsid w:val="00606FBA"/>
    <w:rsid w:val="00606FC5"/>
    <w:rsid w:val="00606FE5"/>
    <w:rsid w:val="00607422"/>
    <w:rsid w:val="00607669"/>
    <w:rsid w:val="006076F4"/>
    <w:rsid w:val="00607AFD"/>
    <w:rsid w:val="00611082"/>
    <w:rsid w:val="00611414"/>
    <w:rsid w:val="00611644"/>
    <w:rsid w:val="00611B12"/>
    <w:rsid w:val="00612549"/>
    <w:rsid w:val="00612F97"/>
    <w:rsid w:val="00613037"/>
    <w:rsid w:val="00613115"/>
    <w:rsid w:val="0061345D"/>
    <w:rsid w:val="00613A2D"/>
    <w:rsid w:val="006142B6"/>
    <w:rsid w:val="006145FB"/>
    <w:rsid w:val="006152EF"/>
    <w:rsid w:val="006152F0"/>
    <w:rsid w:val="0061549B"/>
    <w:rsid w:val="00615DEC"/>
    <w:rsid w:val="00616367"/>
    <w:rsid w:val="00616802"/>
    <w:rsid w:val="00616F6F"/>
    <w:rsid w:val="00617393"/>
    <w:rsid w:val="00617E12"/>
    <w:rsid w:val="00620C25"/>
    <w:rsid w:val="00621477"/>
    <w:rsid w:val="00621ADA"/>
    <w:rsid w:val="00621BE2"/>
    <w:rsid w:val="00622BDB"/>
    <w:rsid w:val="00623194"/>
    <w:rsid w:val="0062371D"/>
    <w:rsid w:val="00623F7B"/>
    <w:rsid w:val="0062401C"/>
    <w:rsid w:val="006241B7"/>
    <w:rsid w:val="00624584"/>
    <w:rsid w:val="00624BD4"/>
    <w:rsid w:val="00624C72"/>
    <w:rsid w:val="00625193"/>
    <w:rsid w:val="00625D08"/>
    <w:rsid w:val="00626409"/>
    <w:rsid w:val="00627403"/>
    <w:rsid w:val="00627DF5"/>
    <w:rsid w:val="0063030D"/>
    <w:rsid w:val="006307B8"/>
    <w:rsid w:val="0063158F"/>
    <w:rsid w:val="00631D5C"/>
    <w:rsid w:val="00631D6B"/>
    <w:rsid w:val="00632183"/>
    <w:rsid w:val="006325E5"/>
    <w:rsid w:val="006330A1"/>
    <w:rsid w:val="00633221"/>
    <w:rsid w:val="00633660"/>
    <w:rsid w:val="00633EC7"/>
    <w:rsid w:val="0063479F"/>
    <w:rsid w:val="00634A43"/>
    <w:rsid w:val="00635241"/>
    <w:rsid w:val="006353F0"/>
    <w:rsid w:val="006357B5"/>
    <w:rsid w:val="00635D7B"/>
    <w:rsid w:val="006364A1"/>
    <w:rsid w:val="0063678E"/>
    <w:rsid w:val="00636C07"/>
    <w:rsid w:val="00637BFD"/>
    <w:rsid w:val="00637C5C"/>
    <w:rsid w:val="00640E4F"/>
    <w:rsid w:val="00641C4E"/>
    <w:rsid w:val="00641FB3"/>
    <w:rsid w:val="00642E12"/>
    <w:rsid w:val="00644301"/>
    <w:rsid w:val="0064434C"/>
    <w:rsid w:val="006459E6"/>
    <w:rsid w:val="00646D2F"/>
    <w:rsid w:val="00647054"/>
    <w:rsid w:val="006471CC"/>
    <w:rsid w:val="006472FE"/>
    <w:rsid w:val="0064750B"/>
    <w:rsid w:val="00647628"/>
    <w:rsid w:val="00647A29"/>
    <w:rsid w:val="006506B6"/>
    <w:rsid w:val="0065079F"/>
    <w:rsid w:val="00650868"/>
    <w:rsid w:val="00650903"/>
    <w:rsid w:val="00650FAB"/>
    <w:rsid w:val="006514DC"/>
    <w:rsid w:val="00652A28"/>
    <w:rsid w:val="00652B25"/>
    <w:rsid w:val="006536C5"/>
    <w:rsid w:val="0065379F"/>
    <w:rsid w:val="00653F1F"/>
    <w:rsid w:val="00655E8A"/>
    <w:rsid w:val="00656188"/>
    <w:rsid w:val="006569F0"/>
    <w:rsid w:val="00656A97"/>
    <w:rsid w:val="0065715A"/>
    <w:rsid w:val="006571EC"/>
    <w:rsid w:val="00657434"/>
    <w:rsid w:val="00657933"/>
    <w:rsid w:val="00657F44"/>
    <w:rsid w:val="00660FE2"/>
    <w:rsid w:val="0066107C"/>
    <w:rsid w:val="006610F1"/>
    <w:rsid w:val="0066166F"/>
    <w:rsid w:val="00661C6B"/>
    <w:rsid w:val="00662540"/>
    <w:rsid w:val="00662D3E"/>
    <w:rsid w:val="006641E8"/>
    <w:rsid w:val="006642F5"/>
    <w:rsid w:val="00664741"/>
    <w:rsid w:val="0066489A"/>
    <w:rsid w:val="00666A3E"/>
    <w:rsid w:val="00666AB0"/>
    <w:rsid w:val="00667118"/>
    <w:rsid w:val="0066778B"/>
    <w:rsid w:val="00667BE3"/>
    <w:rsid w:val="0067001C"/>
    <w:rsid w:val="006700AA"/>
    <w:rsid w:val="00670479"/>
    <w:rsid w:val="00670FD5"/>
    <w:rsid w:val="00671004"/>
    <w:rsid w:val="0067168E"/>
    <w:rsid w:val="006716AB"/>
    <w:rsid w:val="00671832"/>
    <w:rsid w:val="00672326"/>
    <w:rsid w:val="00672489"/>
    <w:rsid w:val="00672646"/>
    <w:rsid w:val="006729EF"/>
    <w:rsid w:val="00673880"/>
    <w:rsid w:val="00674732"/>
    <w:rsid w:val="00674E42"/>
    <w:rsid w:val="00674E8F"/>
    <w:rsid w:val="00675458"/>
    <w:rsid w:val="0067552E"/>
    <w:rsid w:val="006762F2"/>
    <w:rsid w:val="00676388"/>
    <w:rsid w:val="006763BA"/>
    <w:rsid w:val="00676563"/>
    <w:rsid w:val="00677B24"/>
    <w:rsid w:val="00677C2D"/>
    <w:rsid w:val="00677FCC"/>
    <w:rsid w:val="006813F8"/>
    <w:rsid w:val="00682112"/>
    <w:rsid w:val="00682122"/>
    <w:rsid w:val="00682AA1"/>
    <w:rsid w:val="00682BA6"/>
    <w:rsid w:val="00683344"/>
    <w:rsid w:val="006834D4"/>
    <w:rsid w:val="006834EC"/>
    <w:rsid w:val="00683CB8"/>
    <w:rsid w:val="0068423D"/>
    <w:rsid w:val="006845A4"/>
    <w:rsid w:val="006846D2"/>
    <w:rsid w:val="00684A21"/>
    <w:rsid w:val="00684A70"/>
    <w:rsid w:val="00684E14"/>
    <w:rsid w:val="0068583F"/>
    <w:rsid w:val="006866BB"/>
    <w:rsid w:val="00686957"/>
    <w:rsid w:val="00686B91"/>
    <w:rsid w:val="006872BA"/>
    <w:rsid w:val="00687708"/>
    <w:rsid w:val="00687C21"/>
    <w:rsid w:val="00690795"/>
    <w:rsid w:val="0069092A"/>
    <w:rsid w:val="00690A39"/>
    <w:rsid w:val="00690D83"/>
    <w:rsid w:val="006911BA"/>
    <w:rsid w:val="00691648"/>
    <w:rsid w:val="006917D7"/>
    <w:rsid w:val="006919FF"/>
    <w:rsid w:val="00691A30"/>
    <w:rsid w:val="00692743"/>
    <w:rsid w:val="00693561"/>
    <w:rsid w:val="00693ADC"/>
    <w:rsid w:val="00693F98"/>
    <w:rsid w:val="006941F0"/>
    <w:rsid w:val="0069434C"/>
    <w:rsid w:val="00694379"/>
    <w:rsid w:val="00694F44"/>
    <w:rsid w:val="006960B2"/>
    <w:rsid w:val="00696130"/>
    <w:rsid w:val="00696EF9"/>
    <w:rsid w:val="00696F51"/>
    <w:rsid w:val="006973FA"/>
    <w:rsid w:val="0069759F"/>
    <w:rsid w:val="006979A5"/>
    <w:rsid w:val="006A016F"/>
    <w:rsid w:val="006A0DF7"/>
    <w:rsid w:val="006A19B8"/>
    <w:rsid w:val="006A2868"/>
    <w:rsid w:val="006A319B"/>
    <w:rsid w:val="006A3383"/>
    <w:rsid w:val="006A3C3E"/>
    <w:rsid w:val="006A4321"/>
    <w:rsid w:val="006A43D9"/>
    <w:rsid w:val="006A47A8"/>
    <w:rsid w:val="006A6B99"/>
    <w:rsid w:val="006A75D8"/>
    <w:rsid w:val="006A7E5F"/>
    <w:rsid w:val="006B078B"/>
    <w:rsid w:val="006B089E"/>
    <w:rsid w:val="006B12FA"/>
    <w:rsid w:val="006B1C45"/>
    <w:rsid w:val="006B261B"/>
    <w:rsid w:val="006B2C90"/>
    <w:rsid w:val="006B2D48"/>
    <w:rsid w:val="006B2FD1"/>
    <w:rsid w:val="006B32D4"/>
    <w:rsid w:val="006B359A"/>
    <w:rsid w:val="006B35E6"/>
    <w:rsid w:val="006B4174"/>
    <w:rsid w:val="006B465A"/>
    <w:rsid w:val="006B4FE0"/>
    <w:rsid w:val="006B5755"/>
    <w:rsid w:val="006B6102"/>
    <w:rsid w:val="006B642F"/>
    <w:rsid w:val="006B6545"/>
    <w:rsid w:val="006B6D58"/>
    <w:rsid w:val="006B6DD0"/>
    <w:rsid w:val="006B6EBE"/>
    <w:rsid w:val="006B709D"/>
    <w:rsid w:val="006C025C"/>
    <w:rsid w:val="006C0399"/>
    <w:rsid w:val="006C0ED1"/>
    <w:rsid w:val="006C1B94"/>
    <w:rsid w:val="006C1DB9"/>
    <w:rsid w:val="006C1ED7"/>
    <w:rsid w:val="006C2A8E"/>
    <w:rsid w:val="006C3255"/>
    <w:rsid w:val="006C37D2"/>
    <w:rsid w:val="006C3F26"/>
    <w:rsid w:val="006C530D"/>
    <w:rsid w:val="006C53E1"/>
    <w:rsid w:val="006C67EF"/>
    <w:rsid w:val="006C680D"/>
    <w:rsid w:val="006D05CE"/>
    <w:rsid w:val="006D0D17"/>
    <w:rsid w:val="006D17B4"/>
    <w:rsid w:val="006D1DA9"/>
    <w:rsid w:val="006D28A4"/>
    <w:rsid w:val="006D2C51"/>
    <w:rsid w:val="006D2D4B"/>
    <w:rsid w:val="006D317F"/>
    <w:rsid w:val="006D3C17"/>
    <w:rsid w:val="006D3C7D"/>
    <w:rsid w:val="006D3D30"/>
    <w:rsid w:val="006D4238"/>
    <w:rsid w:val="006D4659"/>
    <w:rsid w:val="006D471A"/>
    <w:rsid w:val="006D4CB6"/>
    <w:rsid w:val="006D4F9E"/>
    <w:rsid w:val="006D51E5"/>
    <w:rsid w:val="006D5263"/>
    <w:rsid w:val="006D52E1"/>
    <w:rsid w:val="006D5B4A"/>
    <w:rsid w:val="006D5D5F"/>
    <w:rsid w:val="006D644A"/>
    <w:rsid w:val="006D68FB"/>
    <w:rsid w:val="006D717D"/>
    <w:rsid w:val="006E02EF"/>
    <w:rsid w:val="006E062C"/>
    <w:rsid w:val="006E08B5"/>
    <w:rsid w:val="006E0A4F"/>
    <w:rsid w:val="006E23F4"/>
    <w:rsid w:val="006E2868"/>
    <w:rsid w:val="006E3E64"/>
    <w:rsid w:val="006E3FB8"/>
    <w:rsid w:val="006E411E"/>
    <w:rsid w:val="006E46EB"/>
    <w:rsid w:val="006E4857"/>
    <w:rsid w:val="006E4B25"/>
    <w:rsid w:val="006E5C5F"/>
    <w:rsid w:val="006E5F21"/>
    <w:rsid w:val="006E65F8"/>
    <w:rsid w:val="006E7C52"/>
    <w:rsid w:val="006F306C"/>
    <w:rsid w:val="006F3AE1"/>
    <w:rsid w:val="006F4BCB"/>
    <w:rsid w:val="006F63A5"/>
    <w:rsid w:val="006F6488"/>
    <w:rsid w:val="006F64B3"/>
    <w:rsid w:val="006F6BE3"/>
    <w:rsid w:val="0070026F"/>
    <w:rsid w:val="00700936"/>
    <w:rsid w:val="0070142B"/>
    <w:rsid w:val="00701920"/>
    <w:rsid w:val="007022A7"/>
    <w:rsid w:val="0070276E"/>
    <w:rsid w:val="00702A8E"/>
    <w:rsid w:val="00702F8F"/>
    <w:rsid w:val="00703C77"/>
    <w:rsid w:val="00704D1A"/>
    <w:rsid w:val="00704F4F"/>
    <w:rsid w:val="00705570"/>
    <w:rsid w:val="00705642"/>
    <w:rsid w:val="007067FE"/>
    <w:rsid w:val="00706A37"/>
    <w:rsid w:val="0070773C"/>
    <w:rsid w:val="007079FC"/>
    <w:rsid w:val="00707D19"/>
    <w:rsid w:val="00711405"/>
    <w:rsid w:val="00711451"/>
    <w:rsid w:val="00711A36"/>
    <w:rsid w:val="007125D3"/>
    <w:rsid w:val="00713609"/>
    <w:rsid w:val="00713AF8"/>
    <w:rsid w:val="007144FC"/>
    <w:rsid w:val="00714742"/>
    <w:rsid w:val="00714C26"/>
    <w:rsid w:val="0071529C"/>
    <w:rsid w:val="00715A86"/>
    <w:rsid w:val="00715F24"/>
    <w:rsid w:val="007167CB"/>
    <w:rsid w:val="007170DA"/>
    <w:rsid w:val="007172AD"/>
    <w:rsid w:val="00717546"/>
    <w:rsid w:val="00717907"/>
    <w:rsid w:val="00717AFD"/>
    <w:rsid w:val="00720801"/>
    <w:rsid w:val="00720915"/>
    <w:rsid w:val="00721E8B"/>
    <w:rsid w:val="007222DC"/>
    <w:rsid w:val="00722B1B"/>
    <w:rsid w:val="0072416F"/>
    <w:rsid w:val="007242E6"/>
    <w:rsid w:val="00724304"/>
    <w:rsid w:val="00724BDE"/>
    <w:rsid w:val="007251DB"/>
    <w:rsid w:val="00727C94"/>
    <w:rsid w:val="00727F11"/>
    <w:rsid w:val="007304D1"/>
    <w:rsid w:val="00731B0A"/>
    <w:rsid w:val="00731EAE"/>
    <w:rsid w:val="00732607"/>
    <w:rsid w:val="00732FAF"/>
    <w:rsid w:val="00733073"/>
    <w:rsid w:val="00733EF1"/>
    <w:rsid w:val="00734727"/>
    <w:rsid w:val="00734D74"/>
    <w:rsid w:val="00735033"/>
    <w:rsid w:val="00735328"/>
    <w:rsid w:val="00735CFD"/>
    <w:rsid w:val="007360AC"/>
    <w:rsid w:val="007363B3"/>
    <w:rsid w:val="007364B9"/>
    <w:rsid w:val="00736752"/>
    <w:rsid w:val="0073685B"/>
    <w:rsid w:val="00737AAB"/>
    <w:rsid w:val="007424AE"/>
    <w:rsid w:val="00742F41"/>
    <w:rsid w:val="00743076"/>
    <w:rsid w:val="00743F12"/>
    <w:rsid w:val="007447FA"/>
    <w:rsid w:val="0074481C"/>
    <w:rsid w:val="007449BF"/>
    <w:rsid w:val="00744CC2"/>
    <w:rsid w:val="00744D6B"/>
    <w:rsid w:val="007457DA"/>
    <w:rsid w:val="0074606A"/>
    <w:rsid w:val="0074615F"/>
    <w:rsid w:val="007463FE"/>
    <w:rsid w:val="007467DF"/>
    <w:rsid w:val="00746BC0"/>
    <w:rsid w:val="007477B8"/>
    <w:rsid w:val="00747D8C"/>
    <w:rsid w:val="00747F2D"/>
    <w:rsid w:val="007510B4"/>
    <w:rsid w:val="00752142"/>
    <w:rsid w:val="007523F9"/>
    <w:rsid w:val="00753521"/>
    <w:rsid w:val="0075357E"/>
    <w:rsid w:val="00753B29"/>
    <w:rsid w:val="00753D79"/>
    <w:rsid w:val="00754044"/>
    <w:rsid w:val="0075629E"/>
    <w:rsid w:val="00756865"/>
    <w:rsid w:val="00757092"/>
    <w:rsid w:val="0075709A"/>
    <w:rsid w:val="007573E8"/>
    <w:rsid w:val="00760084"/>
    <w:rsid w:val="007603B5"/>
    <w:rsid w:val="00760440"/>
    <w:rsid w:val="00760C4E"/>
    <w:rsid w:val="00760F9E"/>
    <w:rsid w:val="007616E6"/>
    <w:rsid w:val="007617E7"/>
    <w:rsid w:val="00761FDC"/>
    <w:rsid w:val="00762600"/>
    <w:rsid w:val="007627BE"/>
    <w:rsid w:val="00762DFC"/>
    <w:rsid w:val="00764493"/>
    <w:rsid w:val="007645BC"/>
    <w:rsid w:val="00764794"/>
    <w:rsid w:val="00764F03"/>
    <w:rsid w:val="00765B1A"/>
    <w:rsid w:val="00765DC1"/>
    <w:rsid w:val="00765FD7"/>
    <w:rsid w:val="00766191"/>
    <w:rsid w:val="00766F67"/>
    <w:rsid w:val="00767F0F"/>
    <w:rsid w:val="007706C9"/>
    <w:rsid w:val="007713C4"/>
    <w:rsid w:val="007730CB"/>
    <w:rsid w:val="007739D4"/>
    <w:rsid w:val="00774B54"/>
    <w:rsid w:val="0077548B"/>
    <w:rsid w:val="00775BB8"/>
    <w:rsid w:val="00776663"/>
    <w:rsid w:val="00777335"/>
    <w:rsid w:val="00780C28"/>
    <w:rsid w:val="00780D23"/>
    <w:rsid w:val="007814C4"/>
    <w:rsid w:val="007819F1"/>
    <w:rsid w:val="00782028"/>
    <w:rsid w:val="007829C5"/>
    <w:rsid w:val="00783ADD"/>
    <w:rsid w:val="00783B30"/>
    <w:rsid w:val="007843F2"/>
    <w:rsid w:val="007846FA"/>
    <w:rsid w:val="00785A9F"/>
    <w:rsid w:val="00787815"/>
    <w:rsid w:val="007907E2"/>
    <w:rsid w:val="00790C5F"/>
    <w:rsid w:val="00790F74"/>
    <w:rsid w:val="0079161A"/>
    <w:rsid w:val="007916F5"/>
    <w:rsid w:val="007925DF"/>
    <w:rsid w:val="007928A8"/>
    <w:rsid w:val="00792A63"/>
    <w:rsid w:val="007932A5"/>
    <w:rsid w:val="00793BA4"/>
    <w:rsid w:val="00793F65"/>
    <w:rsid w:val="00794135"/>
    <w:rsid w:val="00794140"/>
    <w:rsid w:val="00795824"/>
    <w:rsid w:val="00796195"/>
    <w:rsid w:val="0079709E"/>
    <w:rsid w:val="00797B9B"/>
    <w:rsid w:val="007A08AA"/>
    <w:rsid w:val="007A0A12"/>
    <w:rsid w:val="007A0BC3"/>
    <w:rsid w:val="007A0F48"/>
    <w:rsid w:val="007A1315"/>
    <w:rsid w:val="007A132D"/>
    <w:rsid w:val="007A1345"/>
    <w:rsid w:val="007A1DC0"/>
    <w:rsid w:val="007A2374"/>
    <w:rsid w:val="007A2AD4"/>
    <w:rsid w:val="007A2DDB"/>
    <w:rsid w:val="007A3E85"/>
    <w:rsid w:val="007A5331"/>
    <w:rsid w:val="007A57BE"/>
    <w:rsid w:val="007A627A"/>
    <w:rsid w:val="007A647A"/>
    <w:rsid w:val="007A65DB"/>
    <w:rsid w:val="007A6C6B"/>
    <w:rsid w:val="007A70BA"/>
    <w:rsid w:val="007A74F1"/>
    <w:rsid w:val="007A751D"/>
    <w:rsid w:val="007B0287"/>
    <w:rsid w:val="007B0D68"/>
    <w:rsid w:val="007B206F"/>
    <w:rsid w:val="007B24AB"/>
    <w:rsid w:val="007B251D"/>
    <w:rsid w:val="007B2544"/>
    <w:rsid w:val="007B2F0D"/>
    <w:rsid w:val="007B3533"/>
    <w:rsid w:val="007B4B2F"/>
    <w:rsid w:val="007B4B87"/>
    <w:rsid w:val="007B4C2F"/>
    <w:rsid w:val="007B4F58"/>
    <w:rsid w:val="007B5185"/>
    <w:rsid w:val="007B528D"/>
    <w:rsid w:val="007B537F"/>
    <w:rsid w:val="007B5AE6"/>
    <w:rsid w:val="007B63CA"/>
    <w:rsid w:val="007B656C"/>
    <w:rsid w:val="007B6D51"/>
    <w:rsid w:val="007B7780"/>
    <w:rsid w:val="007B77D1"/>
    <w:rsid w:val="007B79D8"/>
    <w:rsid w:val="007C0402"/>
    <w:rsid w:val="007C04A7"/>
    <w:rsid w:val="007C07C7"/>
    <w:rsid w:val="007C0FA2"/>
    <w:rsid w:val="007C1095"/>
    <w:rsid w:val="007C16F9"/>
    <w:rsid w:val="007C1CD9"/>
    <w:rsid w:val="007C2523"/>
    <w:rsid w:val="007C295B"/>
    <w:rsid w:val="007C32EF"/>
    <w:rsid w:val="007C361D"/>
    <w:rsid w:val="007C387F"/>
    <w:rsid w:val="007C4B84"/>
    <w:rsid w:val="007C59AD"/>
    <w:rsid w:val="007C5C98"/>
    <w:rsid w:val="007C6155"/>
    <w:rsid w:val="007C6CFE"/>
    <w:rsid w:val="007C70FF"/>
    <w:rsid w:val="007C71A5"/>
    <w:rsid w:val="007C78ED"/>
    <w:rsid w:val="007C7C25"/>
    <w:rsid w:val="007D004F"/>
    <w:rsid w:val="007D027B"/>
    <w:rsid w:val="007D035F"/>
    <w:rsid w:val="007D06B2"/>
    <w:rsid w:val="007D086B"/>
    <w:rsid w:val="007D0B38"/>
    <w:rsid w:val="007D0D79"/>
    <w:rsid w:val="007D1523"/>
    <w:rsid w:val="007D16A8"/>
    <w:rsid w:val="007D2D1A"/>
    <w:rsid w:val="007D2EEB"/>
    <w:rsid w:val="007D2FB7"/>
    <w:rsid w:val="007D3232"/>
    <w:rsid w:val="007D442C"/>
    <w:rsid w:val="007D4794"/>
    <w:rsid w:val="007D4B91"/>
    <w:rsid w:val="007D5440"/>
    <w:rsid w:val="007D614D"/>
    <w:rsid w:val="007D694F"/>
    <w:rsid w:val="007D69EB"/>
    <w:rsid w:val="007D74D4"/>
    <w:rsid w:val="007D7D73"/>
    <w:rsid w:val="007E07B5"/>
    <w:rsid w:val="007E10E8"/>
    <w:rsid w:val="007E111D"/>
    <w:rsid w:val="007E128F"/>
    <w:rsid w:val="007E1C66"/>
    <w:rsid w:val="007E2260"/>
    <w:rsid w:val="007E2623"/>
    <w:rsid w:val="007E2A74"/>
    <w:rsid w:val="007E2ADB"/>
    <w:rsid w:val="007E3184"/>
    <w:rsid w:val="007E3A67"/>
    <w:rsid w:val="007E4103"/>
    <w:rsid w:val="007E597E"/>
    <w:rsid w:val="007E5D54"/>
    <w:rsid w:val="007E5D6D"/>
    <w:rsid w:val="007E6237"/>
    <w:rsid w:val="007F0200"/>
    <w:rsid w:val="007F1017"/>
    <w:rsid w:val="007F171C"/>
    <w:rsid w:val="007F2A55"/>
    <w:rsid w:val="007F2D6D"/>
    <w:rsid w:val="007F313B"/>
    <w:rsid w:val="007F3E3F"/>
    <w:rsid w:val="007F4083"/>
    <w:rsid w:val="007F40FF"/>
    <w:rsid w:val="007F4248"/>
    <w:rsid w:val="007F4A3F"/>
    <w:rsid w:val="007F4A61"/>
    <w:rsid w:val="007F5255"/>
    <w:rsid w:val="007F56CC"/>
    <w:rsid w:val="007F5AE4"/>
    <w:rsid w:val="007F61C2"/>
    <w:rsid w:val="0080008E"/>
    <w:rsid w:val="00800A43"/>
    <w:rsid w:val="00802936"/>
    <w:rsid w:val="00802F85"/>
    <w:rsid w:val="00803146"/>
    <w:rsid w:val="00803475"/>
    <w:rsid w:val="00803C21"/>
    <w:rsid w:val="00803C47"/>
    <w:rsid w:val="00804765"/>
    <w:rsid w:val="00805142"/>
    <w:rsid w:val="00805FCE"/>
    <w:rsid w:val="00806A1E"/>
    <w:rsid w:val="00807421"/>
    <w:rsid w:val="00807A8B"/>
    <w:rsid w:val="00810099"/>
    <w:rsid w:val="00810A5B"/>
    <w:rsid w:val="00810B27"/>
    <w:rsid w:val="008112DB"/>
    <w:rsid w:val="00811383"/>
    <w:rsid w:val="00812149"/>
    <w:rsid w:val="0081288F"/>
    <w:rsid w:val="00812CAC"/>
    <w:rsid w:val="00813011"/>
    <w:rsid w:val="008132C7"/>
    <w:rsid w:val="008132DE"/>
    <w:rsid w:val="00814305"/>
    <w:rsid w:val="00814337"/>
    <w:rsid w:val="00815022"/>
    <w:rsid w:val="00816361"/>
    <w:rsid w:val="008166EF"/>
    <w:rsid w:val="0081676B"/>
    <w:rsid w:val="00816B35"/>
    <w:rsid w:val="00816FEF"/>
    <w:rsid w:val="00817427"/>
    <w:rsid w:val="008177A8"/>
    <w:rsid w:val="00817CF8"/>
    <w:rsid w:val="00820093"/>
    <w:rsid w:val="00820433"/>
    <w:rsid w:val="008204A2"/>
    <w:rsid w:val="00820728"/>
    <w:rsid w:val="00820A8C"/>
    <w:rsid w:val="00820C02"/>
    <w:rsid w:val="00820CAD"/>
    <w:rsid w:val="00821220"/>
    <w:rsid w:val="00821371"/>
    <w:rsid w:val="008215FB"/>
    <w:rsid w:val="00821D50"/>
    <w:rsid w:val="008220CC"/>
    <w:rsid w:val="0082243D"/>
    <w:rsid w:val="00822BA5"/>
    <w:rsid w:val="00823174"/>
    <w:rsid w:val="00823FB4"/>
    <w:rsid w:val="00824043"/>
    <w:rsid w:val="008245C9"/>
    <w:rsid w:val="00825751"/>
    <w:rsid w:val="0082595A"/>
    <w:rsid w:val="00825B70"/>
    <w:rsid w:val="00825F0F"/>
    <w:rsid w:val="008260FD"/>
    <w:rsid w:val="008264EB"/>
    <w:rsid w:val="00826537"/>
    <w:rsid w:val="008268CE"/>
    <w:rsid w:val="00826B22"/>
    <w:rsid w:val="00827339"/>
    <w:rsid w:val="00827714"/>
    <w:rsid w:val="00827C23"/>
    <w:rsid w:val="00827F2E"/>
    <w:rsid w:val="00830F18"/>
    <w:rsid w:val="00832783"/>
    <w:rsid w:val="00832F46"/>
    <w:rsid w:val="00833521"/>
    <w:rsid w:val="00833B05"/>
    <w:rsid w:val="0083442B"/>
    <w:rsid w:val="00834570"/>
    <w:rsid w:val="008362B4"/>
    <w:rsid w:val="008378AA"/>
    <w:rsid w:val="00840755"/>
    <w:rsid w:val="00840CA2"/>
    <w:rsid w:val="008419DC"/>
    <w:rsid w:val="008428F2"/>
    <w:rsid w:val="00842D4E"/>
    <w:rsid w:val="00843390"/>
    <w:rsid w:val="0084374F"/>
    <w:rsid w:val="00843FAE"/>
    <w:rsid w:val="0084454E"/>
    <w:rsid w:val="00844600"/>
    <w:rsid w:val="00844A22"/>
    <w:rsid w:val="00844B9C"/>
    <w:rsid w:val="008458C4"/>
    <w:rsid w:val="008461A4"/>
    <w:rsid w:val="0084653B"/>
    <w:rsid w:val="008467CA"/>
    <w:rsid w:val="00847703"/>
    <w:rsid w:val="00847DF5"/>
    <w:rsid w:val="00847FC8"/>
    <w:rsid w:val="0085179F"/>
    <w:rsid w:val="00851D83"/>
    <w:rsid w:val="00852C80"/>
    <w:rsid w:val="0085309D"/>
    <w:rsid w:val="0085334D"/>
    <w:rsid w:val="00853D40"/>
    <w:rsid w:val="00853ECB"/>
    <w:rsid w:val="008543F9"/>
    <w:rsid w:val="00854E9C"/>
    <w:rsid w:val="00855EB1"/>
    <w:rsid w:val="00856897"/>
    <w:rsid w:val="00856E9A"/>
    <w:rsid w:val="00857131"/>
    <w:rsid w:val="008573FD"/>
    <w:rsid w:val="00857F77"/>
    <w:rsid w:val="0086075D"/>
    <w:rsid w:val="00861283"/>
    <w:rsid w:val="008618CA"/>
    <w:rsid w:val="00862074"/>
    <w:rsid w:val="00862502"/>
    <w:rsid w:val="008628AF"/>
    <w:rsid w:val="00862CC1"/>
    <w:rsid w:val="00863BE3"/>
    <w:rsid w:val="00864035"/>
    <w:rsid w:val="0086427F"/>
    <w:rsid w:val="008642A7"/>
    <w:rsid w:val="00865903"/>
    <w:rsid w:val="008660D4"/>
    <w:rsid w:val="00866238"/>
    <w:rsid w:val="00866DA1"/>
    <w:rsid w:val="008670C6"/>
    <w:rsid w:val="0086743F"/>
    <w:rsid w:val="00867D4F"/>
    <w:rsid w:val="00867FD9"/>
    <w:rsid w:val="00870C20"/>
    <w:rsid w:val="00871C7B"/>
    <w:rsid w:val="00871FA9"/>
    <w:rsid w:val="008728E9"/>
    <w:rsid w:val="00872C60"/>
    <w:rsid w:val="008734DD"/>
    <w:rsid w:val="0087370B"/>
    <w:rsid w:val="00873A7D"/>
    <w:rsid w:val="008744D8"/>
    <w:rsid w:val="008747A9"/>
    <w:rsid w:val="00874EBB"/>
    <w:rsid w:val="00875175"/>
    <w:rsid w:val="00875FC4"/>
    <w:rsid w:val="008761B0"/>
    <w:rsid w:val="008770EB"/>
    <w:rsid w:val="00877BB1"/>
    <w:rsid w:val="00880440"/>
    <w:rsid w:val="0088059D"/>
    <w:rsid w:val="00880926"/>
    <w:rsid w:val="0088210A"/>
    <w:rsid w:val="00882873"/>
    <w:rsid w:val="00882874"/>
    <w:rsid w:val="00882E3C"/>
    <w:rsid w:val="0088308A"/>
    <w:rsid w:val="00883787"/>
    <w:rsid w:val="00884998"/>
    <w:rsid w:val="00884C78"/>
    <w:rsid w:val="008851D8"/>
    <w:rsid w:val="008855E4"/>
    <w:rsid w:val="00885B8F"/>
    <w:rsid w:val="00886CD2"/>
    <w:rsid w:val="00887A60"/>
    <w:rsid w:val="00887DC6"/>
    <w:rsid w:val="00890167"/>
    <w:rsid w:val="00890834"/>
    <w:rsid w:val="00891732"/>
    <w:rsid w:val="00891E6F"/>
    <w:rsid w:val="00892367"/>
    <w:rsid w:val="0089275D"/>
    <w:rsid w:val="00892A36"/>
    <w:rsid w:val="00893239"/>
    <w:rsid w:val="00893260"/>
    <w:rsid w:val="008933CD"/>
    <w:rsid w:val="00893FF2"/>
    <w:rsid w:val="00894489"/>
    <w:rsid w:val="008944BF"/>
    <w:rsid w:val="00894667"/>
    <w:rsid w:val="00894AFE"/>
    <w:rsid w:val="00894CD6"/>
    <w:rsid w:val="00895119"/>
    <w:rsid w:val="00895408"/>
    <w:rsid w:val="008963A5"/>
    <w:rsid w:val="00896B78"/>
    <w:rsid w:val="00896D5D"/>
    <w:rsid w:val="008A0B38"/>
    <w:rsid w:val="008A143A"/>
    <w:rsid w:val="008A252A"/>
    <w:rsid w:val="008A3158"/>
    <w:rsid w:val="008A3363"/>
    <w:rsid w:val="008A3371"/>
    <w:rsid w:val="008A38DF"/>
    <w:rsid w:val="008A3C3E"/>
    <w:rsid w:val="008A5908"/>
    <w:rsid w:val="008A5B23"/>
    <w:rsid w:val="008A60A5"/>
    <w:rsid w:val="008A64CC"/>
    <w:rsid w:val="008A6836"/>
    <w:rsid w:val="008A6AC2"/>
    <w:rsid w:val="008A6C39"/>
    <w:rsid w:val="008A6DCF"/>
    <w:rsid w:val="008A73C9"/>
    <w:rsid w:val="008A79DE"/>
    <w:rsid w:val="008A7BC3"/>
    <w:rsid w:val="008B1589"/>
    <w:rsid w:val="008B1757"/>
    <w:rsid w:val="008B1A48"/>
    <w:rsid w:val="008B1C33"/>
    <w:rsid w:val="008B2514"/>
    <w:rsid w:val="008B326A"/>
    <w:rsid w:val="008B39FE"/>
    <w:rsid w:val="008B41E3"/>
    <w:rsid w:val="008B4B6F"/>
    <w:rsid w:val="008B56D4"/>
    <w:rsid w:val="008B6536"/>
    <w:rsid w:val="008B7602"/>
    <w:rsid w:val="008B7992"/>
    <w:rsid w:val="008B7D7E"/>
    <w:rsid w:val="008C0FF4"/>
    <w:rsid w:val="008C1AE3"/>
    <w:rsid w:val="008C215D"/>
    <w:rsid w:val="008C2262"/>
    <w:rsid w:val="008C245D"/>
    <w:rsid w:val="008C38E1"/>
    <w:rsid w:val="008C3C41"/>
    <w:rsid w:val="008C3C52"/>
    <w:rsid w:val="008C4E1D"/>
    <w:rsid w:val="008C5610"/>
    <w:rsid w:val="008C5739"/>
    <w:rsid w:val="008C6F99"/>
    <w:rsid w:val="008C7282"/>
    <w:rsid w:val="008C7C9A"/>
    <w:rsid w:val="008C7ECB"/>
    <w:rsid w:val="008C7F3B"/>
    <w:rsid w:val="008D093C"/>
    <w:rsid w:val="008D0FB4"/>
    <w:rsid w:val="008D1E34"/>
    <w:rsid w:val="008D2055"/>
    <w:rsid w:val="008D29E8"/>
    <w:rsid w:val="008D2A1B"/>
    <w:rsid w:val="008D315C"/>
    <w:rsid w:val="008D3ACA"/>
    <w:rsid w:val="008D3B86"/>
    <w:rsid w:val="008D4063"/>
    <w:rsid w:val="008D421D"/>
    <w:rsid w:val="008D43FD"/>
    <w:rsid w:val="008D4648"/>
    <w:rsid w:val="008D4755"/>
    <w:rsid w:val="008D4C3D"/>
    <w:rsid w:val="008D55C2"/>
    <w:rsid w:val="008D5ACF"/>
    <w:rsid w:val="008D6008"/>
    <w:rsid w:val="008D61BD"/>
    <w:rsid w:val="008D65A4"/>
    <w:rsid w:val="008D687D"/>
    <w:rsid w:val="008D6B2C"/>
    <w:rsid w:val="008D743C"/>
    <w:rsid w:val="008D775A"/>
    <w:rsid w:val="008E011C"/>
    <w:rsid w:val="008E0BB2"/>
    <w:rsid w:val="008E0BD1"/>
    <w:rsid w:val="008E0D3C"/>
    <w:rsid w:val="008E0F48"/>
    <w:rsid w:val="008E0FF4"/>
    <w:rsid w:val="008E1AC9"/>
    <w:rsid w:val="008E1B9E"/>
    <w:rsid w:val="008E2120"/>
    <w:rsid w:val="008E24F5"/>
    <w:rsid w:val="008E254E"/>
    <w:rsid w:val="008E291A"/>
    <w:rsid w:val="008E3276"/>
    <w:rsid w:val="008E4CAB"/>
    <w:rsid w:val="008E55AB"/>
    <w:rsid w:val="008E582A"/>
    <w:rsid w:val="008E67D3"/>
    <w:rsid w:val="008E7629"/>
    <w:rsid w:val="008E7BE9"/>
    <w:rsid w:val="008F07C3"/>
    <w:rsid w:val="008F120A"/>
    <w:rsid w:val="008F156C"/>
    <w:rsid w:val="008F1ADA"/>
    <w:rsid w:val="008F27E0"/>
    <w:rsid w:val="008F2B9B"/>
    <w:rsid w:val="008F33F6"/>
    <w:rsid w:val="008F3A32"/>
    <w:rsid w:val="008F3B4A"/>
    <w:rsid w:val="008F436E"/>
    <w:rsid w:val="008F48EB"/>
    <w:rsid w:val="008F4B7D"/>
    <w:rsid w:val="008F4D84"/>
    <w:rsid w:val="008F4F0B"/>
    <w:rsid w:val="008F5A55"/>
    <w:rsid w:val="008F5B1F"/>
    <w:rsid w:val="008F5E58"/>
    <w:rsid w:val="008F6041"/>
    <w:rsid w:val="008F6E83"/>
    <w:rsid w:val="008F771C"/>
    <w:rsid w:val="008F77CD"/>
    <w:rsid w:val="008F7D51"/>
    <w:rsid w:val="009001AB"/>
    <w:rsid w:val="009002CC"/>
    <w:rsid w:val="00901001"/>
    <w:rsid w:val="00901206"/>
    <w:rsid w:val="00901F70"/>
    <w:rsid w:val="00902625"/>
    <w:rsid w:val="0090273B"/>
    <w:rsid w:val="00902B69"/>
    <w:rsid w:val="00903439"/>
    <w:rsid w:val="009035EB"/>
    <w:rsid w:val="009040E6"/>
    <w:rsid w:val="009046C4"/>
    <w:rsid w:val="009047F1"/>
    <w:rsid w:val="00904B10"/>
    <w:rsid w:val="00904F6E"/>
    <w:rsid w:val="009054D6"/>
    <w:rsid w:val="009059B7"/>
    <w:rsid w:val="00906293"/>
    <w:rsid w:val="009062A5"/>
    <w:rsid w:val="00906797"/>
    <w:rsid w:val="0090713F"/>
    <w:rsid w:val="00907699"/>
    <w:rsid w:val="00910B25"/>
    <w:rsid w:val="00910DC5"/>
    <w:rsid w:val="00910FA7"/>
    <w:rsid w:val="00911272"/>
    <w:rsid w:val="00911339"/>
    <w:rsid w:val="00912061"/>
    <w:rsid w:val="0091242E"/>
    <w:rsid w:val="00912F4A"/>
    <w:rsid w:val="00913157"/>
    <w:rsid w:val="009135D6"/>
    <w:rsid w:val="009137E3"/>
    <w:rsid w:val="00913F48"/>
    <w:rsid w:val="0091414B"/>
    <w:rsid w:val="00914255"/>
    <w:rsid w:val="00914C77"/>
    <w:rsid w:val="00915CD4"/>
    <w:rsid w:val="0091682A"/>
    <w:rsid w:val="0091709F"/>
    <w:rsid w:val="00917C4A"/>
    <w:rsid w:val="0092020D"/>
    <w:rsid w:val="00920B34"/>
    <w:rsid w:val="009211F0"/>
    <w:rsid w:val="00921ACB"/>
    <w:rsid w:val="00922F6B"/>
    <w:rsid w:val="0092369B"/>
    <w:rsid w:val="00923ED5"/>
    <w:rsid w:val="0092415D"/>
    <w:rsid w:val="009246F7"/>
    <w:rsid w:val="00925430"/>
    <w:rsid w:val="00925D88"/>
    <w:rsid w:val="00926E75"/>
    <w:rsid w:val="00930B94"/>
    <w:rsid w:val="009315A4"/>
    <w:rsid w:val="00931612"/>
    <w:rsid w:val="009316C2"/>
    <w:rsid w:val="00931EB2"/>
    <w:rsid w:val="0093219D"/>
    <w:rsid w:val="009322BD"/>
    <w:rsid w:val="009323EE"/>
    <w:rsid w:val="00932B50"/>
    <w:rsid w:val="00932EE0"/>
    <w:rsid w:val="0093301E"/>
    <w:rsid w:val="0093399B"/>
    <w:rsid w:val="00933B48"/>
    <w:rsid w:val="009341EE"/>
    <w:rsid w:val="0093485C"/>
    <w:rsid w:val="009348AB"/>
    <w:rsid w:val="00934988"/>
    <w:rsid w:val="00934C70"/>
    <w:rsid w:val="00935953"/>
    <w:rsid w:val="009359D1"/>
    <w:rsid w:val="0093653B"/>
    <w:rsid w:val="00936994"/>
    <w:rsid w:val="00937089"/>
    <w:rsid w:val="0093785D"/>
    <w:rsid w:val="00937C43"/>
    <w:rsid w:val="009402F9"/>
    <w:rsid w:val="00940D8D"/>
    <w:rsid w:val="00941628"/>
    <w:rsid w:val="0094184D"/>
    <w:rsid w:val="00941EFD"/>
    <w:rsid w:val="0094214A"/>
    <w:rsid w:val="0094261A"/>
    <w:rsid w:val="009429C4"/>
    <w:rsid w:val="0094329C"/>
    <w:rsid w:val="00943412"/>
    <w:rsid w:val="00943D3B"/>
    <w:rsid w:val="00943E9A"/>
    <w:rsid w:val="009440C8"/>
    <w:rsid w:val="0094432F"/>
    <w:rsid w:val="00944825"/>
    <w:rsid w:val="00944F8A"/>
    <w:rsid w:val="00945AA6"/>
    <w:rsid w:val="00946D48"/>
    <w:rsid w:val="0095038C"/>
    <w:rsid w:val="00950762"/>
    <w:rsid w:val="00951015"/>
    <w:rsid w:val="009510A2"/>
    <w:rsid w:val="009526B9"/>
    <w:rsid w:val="00952889"/>
    <w:rsid w:val="00952F66"/>
    <w:rsid w:val="009530D4"/>
    <w:rsid w:val="00953257"/>
    <w:rsid w:val="00953A8B"/>
    <w:rsid w:val="00953B7A"/>
    <w:rsid w:val="00954271"/>
    <w:rsid w:val="0095474C"/>
    <w:rsid w:val="00955953"/>
    <w:rsid w:val="0095684D"/>
    <w:rsid w:val="00957D92"/>
    <w:rsid w:val="009617F8"/>
    <w:rsid w:val="009619D0"/>
    <w:rsid w:val="00962CB9"/>
    <w:rsid w:val="00962EDF"/>
    <w:rsid w:val="00962F12"/>
    <w:rsid w:val="00963C77"/>
    <w:rsid w:val="00963D35"/>
    <w:rsid w:val="00964312"/>
    <w:rsid w:val="00964FCE"/>
    <w:rsid w:val="00965B8A"/>
    <w:rsid w:val="009663ED"/>
    <w:rsid w:val="0096704E"/>
    <w:rsid w:val="009705F5"/>
    <w:rsid w:val="0097071F"/>
    <w:rsid w:val="0097078A"/>
    <w:rsid w:val="00971387"/>
    <w:rsid w:val="009716C4"/>
    <w:rsid w:val="009717AC"/>
    <w:rsid w:val="009729E5"/>
    <w:rsid w:val="00972E3F"/>
    <w:rsid w:val="009734A6"/>
    <w:rsid w:val="00973632"/>
    <w:rsid w:val="00974B27"/>
    <w:rsid w:val="009751C1"/>
    <w:rsid w:val="00975C29"/>
    <w:rsid w:val="00975C6B"/>
    <w:rsid w:val="00976960"/>
    <w:rsid w:val="00977DF2"/>
    <w:rsid w:val="009801C1"/>
    <w:rsid w:val="0098098D"/>
    <w:rsid w:val="00980DF6"/>
    <w:rsid w:val="00981053"/>
    <w:rsid w:val="009811F1"/>
    <w:rsid w:val="00981ADC"/>
    <w:rsid w:val="00983D24"/>
    <w:rsid w:val="00983E57"/>
    <w:rsid w:val="009845C9"/>
    <w:rsid w:val="00984A83"/>
    <w:rsid w:val="00984B14"/>
    <w:rsid w:val="009854DA"/>
    <w:rsid w:val="00985DE2"/>
    <w:rsid w:val="0098675D"/>
    <w:rsid w:val="00987300"/>
    <w:rsid w:val="009877E8"/>
    <w:rsid w:val="00987BA4"/>
    <w:rsid w:val="0099060C"/>
    <w:rsid w:val="00990EBA"/>
    <w:rsid w:val="00990F08"/>
    <w:rsid w:val="0099122D"/>
    <w:rsid w:val="009917F1"/>
    <w:rsid w:val="009919CF"/>
    <w:rsid w:val="009923A5"/>
    <w:rsid w:val="00992499"/>
    <w:rsid w:val="009925D8"/>
    <w:rsid w:val="009926E0"/>
    <w:rsid w:val="00992854"/>
    <w:rsid w:val="009929B1"/>
    <w:rsid w:val="00992CFD"/>
    <w:rsid w:val="00992DEA"/>
    <w:rsid w:val="00993AFD"/>
    <w:rsid w:val="00993E5A"/>
    <w:rsid w:val="0099451E"/>
    <w:rsid w:val="009945E8"/>
    <w:rsid w:val="009954D7"/>
    <w:rsid w:val="009965FF"/>
    <w:rsid w:val="00996857"/>
    <w:rsid w:val="00996893"/>
    <w:rsid w:val="0099694A"/>
    <w:rsid w:val="00996B1A"/>
    <w:rsid w:val="00997306"/>
    <w:rsid w:val="009A128D"/>
    <w:rsid w:val="009A1434"/>
    <w:rsid w:val="009A154E"/>
    <w:rsid w:val="009A18F6"/>
    <w:rsid w:val="009A1BAC"/>
    <w:rsid w:val="009A1DC8"/>
    <w:rsid w:val="009A1F3E"/>
    <w:rsid w:val="009A2ADE"/>
    <w:rsid w:val="009A2DCC"/>
    <w:rsid w:val="009A31E0"/>
    <w:rsid w:val="009A3910"/>
    <w:rsid w:val="009A3BCC"/>
    <w:rsid w:val="009A3C6C"/>
    <w:rsid w:val="009A5ABC"/>
    <w:rsid w:val="009A5AD8"/>
    <w:rsid w:val="009A6EC5"/>
    <w:rsid w:val="009A7364"/>
    <w:rsid w:val="009A7F10"/>
    <w:rsid w:val="009B0313"/>
    <w:rsid w:val="009B2817"/>
    <w:rsid w:val="009B3B87"/>
    <w:rsid w:val="009B3E26"/>
    <w:rsid w:val="009B5363"/>
    <w:rsid w:val="009B5390"/>
    <w:rsid w:val="009B5971"/>
    <w:rsid w:val="009B5B0E"/>
    <w:rsid w:val="009B65D4"/>
    <w:rsid w:val="009B663B"/>
    <w:rsid w:val="009B763D"/>
    <w:rsid w:val="009B7AD9"/>
    <w:rsid w:val="009C0336"/>
    <w:rsid w:val="009C1271"/>
    <w:rsid w:val="009C167F"/>
    <w:rsid w:val="009C1699"/>
    <w:rsid w:val="009C256D"/>
    <w:rsid w:val="009C2B52"/>
    <w:rsid w:val="009C2DB8"/>
    <w:rsid w:val="009C3465"/>
    <w:rsid w:val="009C3706"/>
    <w:rsid w:val="009C3A3A"/>
    <w:rsid w:val="009C42EE"/>
    <w:rsid w:val="009C4530"/>
    <w:rsid w:val="009C49D9"/>
    <w:rsid w:val="009C5024"/>
    <w:rsid w:val="009C5523"/>
    <w:rsid w:val="009C5C3C"/>
    <w:rsid w:val="009C60AB"/>
    <w:rsid w:val="009C68FB"/>
    <w:rsid w:val="009C6BEE"/>
    <w:rsid w:val="009C6CEA"/>
    <w:rsid w:val="009C7517"/>
    <w:rsid w:val="009C79DE"/>
    <w:rsid w:val="009C7B85"/>
    <w:rsid w:val="009D0254"/>
    <w:rsid w:val="009D059E"/>
    <w:rsid w:val="009D07B2"/>
    <w:rsid w:val="009D120D"/>
    <w:rsid w:val="009D16E5"/>
    <w:rsid w:val="009D1A64"/>
    <w:rsid w:val="009D1D88"/>
    <w:rsid w:val="009D2455"/>
    <w:rsid w:val="009D2F2B"/>
    <w:rsid w:val="009D4ABA"/>
    <w:rsid w:val="009D54DE"/>
    <w:rsid w:val="009D56D5"/>
    <w:rsid w:val="009D5A8B"/>
    <w:rsid w:val="009D5B91"/>
    <w:rsid w:val="009D6660"/>
    <w:rsid w:val="009D6970"/>
    <w:rsid w:val="009D6BEC"/>
    <w:rsid w:val="009D74DC"/>
    <w:rsid w:val="009D792E"/>
    <w:rsid w:val="009D7FC6"/>
    <w:rsid w:val="009E07D1"/>
    <w:rsid w:val="009E0DFE"/>
    <w:rsid w:val="009E1D42"/>
    <w:rsid w:val="009E1F53"/>
    <w:rsid w:val="009E2821"/>
    <w:rsid w:val="009E29D5"/>
    <w:rsid w:val="009E29DE"/>
    <w:rsid w:val="009E31F6"/>
    <w:rsid w:val="009E4289"/>
    <w:rsid w:val="009E4C07"/>
    <w:rsid w:val="009E593C"/>
    <w:rsid w:val="009E618C"/>
    <w:rsid w:val="009E7319"/>
    <w:rsid w:val="009E75AF"/>
    <w:rsid w:val="009E777F"/>
    <w:rsid w:val="009E7DCB"/>
    <w:rsid w:val="009F257E"/>
    <w:rsid w:val="009F2FC6"/>
    <w:rsid w:val="009F30E4"/>
    <w:rsid w:val="009F3293"/>
    <w:rsid w:val="009F4848"/>
    <w:rsid w:val="009F57D3"/>
    <w:rsid w:val="009F5FA8"/>
    <w:rsid w:val="009F6120"/>
    <w:rsid w:val="009F6178"/>
    <w:rsid w:val="009F7F2A"/>
    <w:rsid w:val="00A0048F"/>
    <w:rsid w:val="00A00D76"/>
    <w:rsid w:val="00A010A5"/>
    <w:rsid w:val="00A01184"/>
    <w:rsid w:val="00A01449"/>
    <w:rsid w:val="00A01D33"/>
    <w:rsid w:val="00A03504"/>
    <w:rsid w:val="00A0353B"/>
    <w:rsid w:val="00A03794"/>
    <w:rsid w:val="00A037C2"/>
    <w:rsid w:val="00A03AEE"/>
    <w:rsid w:val="00A03D43"/>
    <w:rsid w:val="00A03EAD"/>
    <w:rsid w:val="00A040DB"/>
    <w:rsid w:val="00A04380"/>
    <w:rsid w:val="00A04786"/>
    <w:rsid w:val="00A04863"/>
    <w:rsid w:val="00A0537D"/>
    <w:rsid w:val="00A05472"/>
    <w:rsid w:val="00A05901"/>
    <w:rsid w:val="00A05A6A"/>
    <w:rsid w:val="00A05C32"/>
    <w:rsid w:val="00A062CC"/>
    <w:rsid w:val="00A0653F"/>
    <w:rsid w:val="00A06CA6"/>
    <w:rsid w:val="00A0736B"/>
    <w:rsid w:val="00A10904"/>
    <w:rsid w:val="00A1151B"/>
    <w:rsid w:val="00A11CD0"/>
    <w:rsid w:val="00A11F5E"/>
    <w:rsid w:val="00A12BE4"/>
    <w:rsid w:val="00A13297"/>
    <w:rsid w:val="00A13948"/>
    <w:rsid w:val="00A13B2D"/>
    <w:rsid w:val="00A147E1"/>
    <w:rsid w:val="00A14987"/>
    <w:rsid w:val="00A1555B"/>
    <w:rsid w:val="00A155C5"/>
    <w:rsid w:val="00A158BA"/>
    <w:rsid w:val="00A16AD8"/>
    <w:rsid w:val="00A1711A"/>
    <w:rsid w:val="00A1744C"/>
    <w:rsid w:val="00A1755D"/>
    <w:rsid w:val="00A2021E"/>
    <w:rsid w:val="00A21C95"/>
    <w:rsid w:val="00A21CF3"/>
    <w:rsid w:val="00A229DB"/>
    <w:rsid w:val="00A22BAD"/>
    <w:rsid w:val="00A239C0"/>
    <w:rsid w:val="00A23E00"/>
    <w:rsid w:val="00A24813"/>
    <w:rsid w:val="00A25924"/>
    <w:rsid w:val="00A25970"/>
    <w:rsid w:val="00A269F7"/>
    <w:rsid w:val="00A26EE0"/>
    <w:rsid w:val="00A275F8"/>
    <w:rsid w:val="00A27AEC"/>
    <w:rsid w:val="00A3000D"/>
    <w:rsid w:val="00A30467"/>
    <w:rsid w:val="00A3051E"/>
    <w:rsid w:val="00A30C33"/>
    <w:rsid w:val="00A310EB"/>
    <w:rsid w:val="00A31345"/>
    <w:rsid w:val="00A31358"/>
    <w:rsid w:val="00A31D0F"/>
    <w:rsid w:val="00A320DB"/>
    <w:rsid w:val="00A32209"/>
    <w:rsid w:val="00A32F81"/>
    <w:rsid w:val="00A3541E"/>
    <w:rsid w:val="00A35D16"/>
    <w:rsid w:val="00A36804"/>
    <w:rsid w:val="00A36EBB"/>
    <w:rsid w:val="00A37BCD"/>
    <w:rsid w:val="00A402EC"/>
    <w:rsid w:val="00A40449"/>
    <w:rsid w:val="00A40DDE"/>
    <w:rsid w:val="00A41415"/>
    <w:rsid w:val="00A41689"/>
    <w:rsid w:val="00A42592"/>
    <w:rsid w:val="00A42652"/>
    <w:rsid w:val="00A426C2"/>
    <w:rsid w:val="00A42D53"/>
    <w:rsid w:val="00A43C59"/>
    <w:rsid w:val="00A43DAE"/>
    <w:rsid w:val="00A4468C"/>
    <w:rsid w:val="00A44859"/>
    <w:rsid w:val="00A4487B"/>
    <w:rsid w:val="00A452DE"/>
    <w:rsid w:val="00A456A4"/>
    <w:rsid w:val="00A46291"/>
    <w:rsid w:val="00A463DF"/>
    <w:rsid w:val="00A46724"/>
    <w:rsid w:val="00A4679C"/>
    <w:rsid w:val="00A47250"/>
    <w:rsid w:val="00A47305"/>
    <w:rsid w:val="00A4785C"/>
    <w:rsid w:val="00A47CBC"/>
    <w:rsid w:val="00A50ECD"/>
    <w:rsid w:val="00A518F3"/>
    <w:rsid w:val="00A51A67"/>
    <w:rsid w:val="00A52048"/>
    <w:rsid w:val="00A52051"/>
    <w:rsid w:val="00A52729"/>
    <w:rsid w:val="00A52C54"/>
    <w:rsid w:val="00A52E6D"/>
    <w:rsid w:val="00A535D4"/>
    <w:rsid w:val="00A53675"/>
    <w:rsid w:val="00A547B8"/>
    <w:rsid w:val="00A54DD1"/>
    <w:rsid w:val="00A55495"/>
    <w:rsid w:val="00A55D84"/>
    <w:rsid w:val="00A5645F"/>
    <w:rsid w:val="00A564D7"/>
    <w:rsid w:val="00A567EB"/>
    <w:rsid w:val="00A56B6A"/>
    <w:rsid w:val="00A56E5B"/>
    <w:rsid w:val="00A57560"/>
    <w:rsid w:val="00A578DC"/>
    <w:rsid w:val="00A57F7C"/>
    <w:rsid w:val="00A600F4"/>
    <w:rsid w:val="00A608F8"/>
    <w:rsid w:val="00A611AB"/>
    <w:rsid w:val="00A615CB"/>
    <w:rsid w:val="00A61F0B"/>
    <w:rsid w:val="00A62048"/>
    <w:rsid w:val="00A62319"/>
    <w:rsid w:val="00A640E2"/>
    <w:rsid w:val="00A648DE"/>
    <w:rsid w:val="00A64D65"/>
    <w:rsid w:val="00A64DAA"/>
    <w:rsid w:val="00A65250"/>
    <w:rsid w:val="00A667D3"/>
    <w:rsid w:val="00A6691D"/>
    <w:rsid w:val="00A66942"/>
    <w:rsid w:val="00A6725B"/>
    <w:rsid w:val="00A70391"/>
    <w:rsid w:val="00A70605"/>
    <w:rsid w:val="00A70687"/>
    <w:rsid w:val="00A71833"/>
    <w:rsid w:val="00A71A66"/>
    <w:rsid w:val="00A71E93"/>
    <w:rsid w:val="00A71F81"/>
    <w:rsid w:val="00A7231F"/>
    <w:rsid w:val="00A72456"/>
    <w:rsid w:val="00A73134"/>
    <w:rsid w:val="00A7365A"/>
    <w:rsid w:val="00A743B5"/>
    <w:rsid w:val="00A7494B"/>
    <w:rsid w:val="00A749FE"/>
    <w:rsid w:val="00A76001"/>
    <w:rsid w:val="00A76654"/>
    <w:rsid w:val="00A76875"/>
    <w:rsid w:val="00A777B2"/>
    <w:rsid w:val="00A77DD8"/>
    <w:rsid w:val="00A8086F"/>
    <w:rsid w:val="00A80967"/>
    <w:rsid w:val="00A80F53"/>
    <w:rsid w:val="00A80FC8"/>
    <w:rsid w:val="00A81013"/>
    <w:rsid w:val="00A81EB2"/>
    <w:rsid w:val="00A82151"/>
    <w:rsid w:val="00A821C5"/>
    <w:rsid w:val="00A825D4"/>
    <w:rsid w:val="00A828F6"/>
    <w:rsid w:val="00A82B73"/>
    <w:rsid w:val="00A82CF6"/>
    <w:rsid w:val="00A830D7"/>
    <w:rsid w:val="00A831D6"/>
    <w:rsid w:val="00A834E7"/>
    <w:rsid w:val="00A83B1F"/>
    <w:rsid w:val="00A848D9"/>
    <w:rsid w:val="00A8549C"/>
    <w:rsid w:val="00A85B3B"/>
    <w:rsid w:val="00A85F46"/>
    <w:rsid w:val="00A85F7C"/>
    <w:rsid w:val="00A86459"/>
    <w:rsid w:val="00A86E8B"/>
    <w:rsid w:val="00A8708F"/>
    <w:rsid w:val="00A87164"/>
    <w:rsid w:val="00A872FC"/>
    <w:rsid w:val="00A875CA"/>
    <w:rsid w:val="00A87BF3"/>
    <w:rsid w:val="00A9000E"/>
    <w:rsid w:val="00A909A1"/>
    <w:rsid w:val="00A91E97"/>
    <w:rsid w:val="00A92B02"/>
    <w:rsid w:val="00A93072"/>
    <w:rsid w:val="00A930A1"/>
    <w:rsid w:val="00A938BD"/>
    <w:rsid w:val="00A93953"/>
    <w:rsid w:val="00A948B8"/>
    <w:rsid w:val="00A95948"/>
    <w:rsid w:val="00A959D8"/>
    <w:rsid w:val="00A96D45"/>
    <w:rsid w:val="00AA060A"/>
    <w:rsid w:val="00AA0EEA"/>
    <w:rsid w:val="00AA113D"/>
    <w:rsid w:val="00AA1245"/>
    <w:rsid w:val="00AA2124"/>
    <w:rsid w:val="00AA26D1"/>
    <w:rsid w:val="00AA30CD"/>
    <w:rsid w:val="00AA4423"/>
    <w:rsid w:val="00AA5046"/>
    <w:rsid w:val="00AA534F"/>
    <w:rsid w:val="00AA5533"/>
    <w:rsid w:val="00AA59FF"/>
    <w:rsid w:val="00AA6384"/>
    <w:rsid w:val="00AA6BD5"/>
    <w:rsid w:val="00AA6BD8"/>
    <w:rsid w:val="00AA6C7D"/>
    <w:rsid w:val="00AA6CB6"/>
    <w:rsid w:val="00AA6D9C"/>
    <w:rsid w:val="00AA71F3"/>
    <w:rsid w:val="00AA7FD6"/>
    <w:rsid w:val="00AB042A"/>
    <w:rsid w:val="00AB11AD"/>
    <w:rsid w:val="00AB19EF"/>
    <w:rsid w:val="00AB1C86"/>
    <w:rsid w:val="00AB2495"/>
    <w:rsid w:val="00AB2D34"/>
    <w:rsid w:val="00AB3430"/>
    <w:rsid w:val="00AB37B9"/>
    <w:rsid w:val="00AB3DAA"/>
    <w:rsid w:val="00AB3F9A"/>
    <w:rsid w:val="00AB4647"/>
    <w:rsid w:val="00AB4AD1"/>
    <w:rsid w:val="00AB524E"/>
    <w:rsid w:val="00AB56B9"/>
    <w:rsid w:val="00AB5ABB"/>
    <w:rsid w:val="00AB5E07"/>
    <w:rsid w:val="00AB6295"/>
    <w:rsid w:val="00AB6352"/>
    <w:rsid w:val="00AB6679"/>
    <w:rsid w:val="00AB7CFA"/>
    <w:rsid w:val="00AC07A7"/>
    <w:rsid w:val="00AC07B5"/>
    <w:rsid w:val="00AC1155"/>
    <w:rsid w:val="00AC1AD1"/>
    <w:rsid w:val="00AC1B5F"/>
    <w:rsid w:val="00AC1F7A"/>
    <w:rsid w:val="00AC2EDA"/>
    <w:rsid w:val="00AC576F"/>
    <w:rsid w:val="00AC5919"/>
    <w:rsid w:val="00AC5B42"/>
    <w:rsid w:val="00AC5B48"/>
    <w:rsid w:val="00AC65B5"/>
    <w:rsid w:val="00AC753A"/>
    <w:rsid w:val="00AD064E"/>
    <w:rsid w:val="00AD11D5"/>
    <w:rsid w:val="00AD1450"/>
    <w:rsid w:val="00AD15E8"/>
    <w:rsid w:val="00AD1854"/>
    <w:rsid w:val="00AD22AF"/>
    <w:rsid w:val="00AD2E2C"/>
    <w:rsid w:val="00AD3559"/>
    <w:rsid w:val="00AD356D"/>
    <w:rsid w:val="00AD39DB"/>
    <w:rsid w:val="00AD421D"/>
    <w:rsid w:val="00AD4703"/>
    <w:rsid w:val="00AD5C68"/>
    <w:rsid w:val="00AD5CA7"/>
    <w:rsid w:val="00AD6502"/>
    <w:rsid w:val="00AE0695"/>
    <w:rsid w:val="00AE06CF"/>
    <w:rsid w:val="00AE0D19"/>
    <w:rsid w:val="00AE14C1"/>
    <w:rsid w:val="00AE1A6B"/>
    <w:rsid w:val="00AE1F90"/>
    <w:rsid w:val="00AE3487"/>
    <w:rsid w:val="00AE3E7E"/>
    <w:rsid w:val="00AE40D2"/>
    <w:rsid w:val="00AE4192"/>
    <w:rsid w:val="00AE4275"/>
    <w:rsid w:val="00AE4955"/>
    <w:rsid w:val="00AE58EC"/>
    <w:rsid w:val="00AE5F49"/>
    <w:rsid w:val="00AE786D"/>
    <w:rsid w:val="00AE7E53"/>
    <w:rsid w:val="00AF00F2"/>
    <w:rsid w:val="00AF0A1B"/>
    <w:rsid w:val="00AF0A3C"/>
    <w:rsid w:val="00AF0D72"/>
    <w:rsid w:val="00AF1063"/>
    <w:rsid w:val="00AF1315"/>
    <w:rsid w:val="00AF1701"/>
    <w:rsid w:val="00AF19BF"/>
    <w:rsid w:val="00AF1DA2"/>
    <w:rsid w:val="00AF226A"/>
    <w:rsid w:val="00AF2554"/>
    <w:rsid w:val="00AF291F"/>
    <w:rsid w:val="00AF2D75"/>
    <w:rsid w:val="00AF2DC3"/>
    <w:rsid w:val="00AF2E0E"/>
    <w:rsid w:val="00AF34FC"/>
    <w:rsid w:val="00AF355A"/>
    <w:rsid w:val="00AF38CB"/>
    <w:rsid w:val="00AF409F"/>
    <w:rsid w:val="00AF4FDD"/>
    <w:rsid w:val="00AF54D3"/>
    <w:rsid w:val="00B007D4"/>
    <w:rsid w:val="00B00A0B"/>
    <w:rsid w:val="00B00A25"/>
    <w:rsid w:val="00B025CC"/>
    <w:rsid w:val="00B027CB"/>
    <w:rsid w:val="00B03326"/>
    <w:rsid w:val="00B033E5"/>
    <w:rsid w:val="00B039D5"/>
    <w:rsid w:val="00B03A63"/>
    <w:rsid w:val="00B041F6"/>
    <w:rsid w:val="00B05218"/>
    <w:rsid w:val="00B063FA"/>
    <w:rsid w:val="00B078CE"/>
    <w:rsid w:val="00B07D68"/>
    <w:rsid w:val="00B07F9B"/>
    <w:rsid w:val="00B10F65"/>
    <w:rsid w:val="00B1152B"/>
    <w:rsid w:val="00B118A4"/>
    <w:rsid w:val="00B1225E"/>
    <w:rsid w:val="00B12752"/>
    <w:rsid w:val="00B127E5"/>
    <w:rsid w:val="00B129A4"/>
    <w:rsid w:val="00B132CD"/>
    <w:rsid w:val="00B134C3"/>
    <w:rsid w:val="00B140C5"/>
    <w:rsid w:val="00B15D8C"/>
    <w:rsid w:val="00B1635A"/>
    <w:rsid w:val="00B16F7D"/>
    <w:rsid w:val="00B1740B"/>
    <w:rsid w:val="00B201A4"/>
    <w:rsid w:val="00B201D1"/>
    <w:rsid w:val="00B20F78"/>
    <w:rsid w:val="00B21297"/>
    <w:rsid w:val="00B21350"/>
    <w:rsid w:val="00B213A6"/>
    <w:rsid w:val="00B21E57"/>
    <w:rsid w:val="00B22910"/>
    <w:rsid w:val="00B235B0"/>
    <w:rsid w:val="00B24121"/>
    <w:rsid w:val="00B247AE"/>
    <w:rsid w:val="00B24DCF"/>
    <w:rsid w:val="00B24DF6"/>
    <w:rsid w:val="00B24FA7"/>
    <w:rsid w:val="00B25B02"/>
    <w:rsid w:val="00B25BE2"/>
    <w:rsid w:val="00B26EB5"/>
    <w:rsid w:val="00B2720D"/>
    <w:rsid w:val="00B2734B"/>
    <w:rsid w:val="00B279A8"/>
    <w:rsid w:val="00B27A61"/>
    <w:rsid w:val="00B27B2A"/>
    <w:rsid w:val="00B27E7C"/>
    <w:rsid w:val="00B31290"/>
    <w:rsid w:val="00B3191A"/>
    <w:rsid w:val="00B3248C"/>
    <w:rsid w:val="00B32D84"/>
    <w:rsid w:val="00B33062"/>
    <w:rsid w:val="00B3369C"/>
    <w:rsid w:val="00B3427F"/>
    <w:rsid w:val="00B34FE2"/>
    <w:rsid w:val="00B35166"/>
    <w:rsid w:val="00B354A3"/>
    <w:rsid w:val="00B357D8"/>
    <w:rsid w:val="00B360F4"/>
    <w:rsid w:val="00B36A00"/>
    <w:rsid w:val="00B36AA2"/>
    <w:rsid w:val="00B37645"/>
    <w:rsid w:val="00B3792B"/>
    <w:rsid w:val="00B37961"/>
    <w:rsid w:val="00B37BFC"/>
    <w:rsid w:val="00B37D9A"/>
    <w:rsid w:val="00B40358"/>
    <w:rsid w:val="00B41614"/>
    <w:rsid w:val="00B41673"/>
    <w:rsid w:val="00B42851"/>
    <w:rsid w:val="00B429F9"/>
    <w:rsid w:val="00B42F80"/>
    <w:rsid w:val="00B43262"/>
    <w:rsid w:val="00B435CB"/>
    <w:rsid w:val="00B43700"/>
    <w:rsid w:val="00B438A9"/>
    <w:rsid w:val="00B43B79"/>
    <w:rsid w:val="00B442D6"/>
    <w:rsid w:val="00B44EE0"/>
    <w:rsid w:val="00B465EC"/>
    <w:rsid w:val="00B4769C"/>
    <w:rsid w:val="00B47852"/>
    <w:rsid w:val="00B479A3"/>
    <w:rsid w:val="00B505C8"/>
    <w:rsid w:val="00B50A44"/>
    <w:rsid w:val="00B50DB8"/>
    <w:rsid w:val="00B51965"/>
    <w:rsid w:val="00B51B97"/>
    <w:rsid w:val="00B5251A"/>
    <w:rsid w:val="00B53150"/>
    <w:rsid w:val="00B531D9"/>
    <w:rsid w:val="00B534D8"/>
    <w:rsid w:val="00B53654"/>
    <w:rsid w:val="00B537F7"/>
    <w:rsid w:val="00B53905"/>
    <w:rsid w:val="00B54381"/>
    <w:rsid w:val="00B546DB"/>
    <w:rsid w:val="00B54776"/>
    <w:rsid w:val="00B54B5B"/>
    <w:rsid w:val="00B5562E"/>
    <w:rsid w:val="00B55862"/>
    <w:rsid w:val="00B55D65"/>
    <w:rsid w:val="00B562B1"/>
    <w:rsid w:val="00B56305"/>
    <w:rsid w:val="00B57000"/>
    <w:rsid w:val="00B5712C"/>
    <w:rsid w:val="00B60939"/>
    <w:rsid w:val="00B60AFD"/>
    <w:rsid w:val="00B60F35"/>
    <w:rsid w:val="00B614A5"/>
    <w:rsid w:val="00B62715"/>
    <w:rsid w:val="00B62EB5"/>
    <w:rsid w:val="00B631D1"/>
    <w:rsid w:val="00B634A9"/>
    <w:rsid w:val="00B64023"/>
    <w:rsid w:val="00B64CEB"/>
    <w:rsid w:val="00B65611"/>
    <w:rsid w:val="00B65B1B"/>
    <w:rsid w:val="00B65D1C"/>
    <w:rsid w:val="00B67B46"/>
    <w:rsid w:val="00B7027F"/>
    <w:rsid w:val="00B70E8E"/>
    <w:rsid w:val="00B71299"/>
    <w:rsid w:val="00B71BE6"/>
    <w:rsid w:val="00B731F3"/>
    <w:rsid w:val="00B73B36"/>
    <w:rsid w:val="00B73C05"/>
    <w:rsid w:val="00B7420E"/>
    <w:rsid w:val="00B7454D"/>
    <w:rsid w:val="00B76C92"/>
    <w:rsid w:val="00B76EC8"/>
    <w:rsid w:val="00B77848"/>
    <w:rsid w:val="00B77859"/>
    <w:rsid w:val="00B77DB0"/>
    <w:rsid w:val="00B80127"/>
    <w:rsid w:val="00B8039A"/>
    <w:rsid w:val="00B80EFD"/>
    <w:rsid w:val="00B818A4"/>
    <w:rsid w:val="00B81B37"/>
    <w:rsid w:val="00B82668"/>
    <w:rsid w:val="00B83035"/>
    <w:rsid w:val="00B832F4"/>
    <w:rsid w:val="00B83739"/>
    <w:rsid w:val="00B83E48"/>
    <w:rsid w:val="00B83F49"/>
    <w:rsid w:val="00B83FF1"/>
    <w:rsid w:val="00B84117"/>
    <w:rsid w:val="00B84609"/>
    <w:rsid w:val="00B85521"/>
    <w:rsid w:val="00B858F0"/>
    <w:rsid w:val="00B85AA2"/>
    <w:rsid w:val="00B8649C"/>
    <w:rsid w:val="00B8694C"/>
    <w:rsid w:val="00B8695D"/>
    <w:rsid w:val="00B86A3B"/>
    <w:rsid w:val="00B87F0A"/>
    <w:rsid w:val="00B90362"/>
    <w:rsid w:val="00B90792"/>
    <w:rsid w:val="00B91498"/>
    <w:rsid w:val="00B92ADF"/>
    <w:rsid w:val="00B92D0B"/>
    <w:rsid w:val="00B93267"/>
    <w:rsid w:val="00B9340F"/>
    <w:rsid w:val="00B93BB4"/>
    <w:rsid w:val="00B94945"/>
    <w:rsid w:val="00B94DD6"/>
    <w:rsid w:val="00B9553D"/>
    <w:rsid w:val="00B95AD9"/>
    <w:rsid w:val="00B96A5C"/>
    <w:rsid w:val="00B96B10"/>
    <w:rsid w:val="00B9722B"/>
    <w:rsid w:val="00B97B50"/>
    <w:rsid w:val="00B97B92"/>
    <w:rsid w:val="00BA06F8"/>
    <w:rsid w:val="00BA0747"/>
    <w:rsid w:val="00BA1632"/>
    <w:rsid w:val="00BA18D2"/>
    <w:rsid w:val="00BA1CF8"/>
    <w:rsid w:val="00BA1ECE"/>
    <w:rsid w:val="00BA2221"/>
    <w:rsid w:val="00BA2834"/>
    <w:rsid w:val="00BA322D"/>
    <w:rsid w:val="00BA3DC5"/>
    <w:rsid w:val="00BA4415"/>
    <w:rsid w:val="00BA4DF0"/>
    <w:rsid w:val="00BA5CDB"/>
    <w:rsid w:val="00BA6291"/>
    <w:rsid w:val="00BA63FA"/>
    <w:rsid w:val="00BA6E6D"/>
    <w:rsid w:val="00BA6FC6"/>
    <w:rsid w:val="00BA716B"/>
    <w:rsid w:val="00BA7296"/>
    <w:rsid w:val="00BB00B3"/>
    <w:rsid w:val="00BB02EB"/>
    <w:rsid w:val="00BB0BDD"/>
    <w:rsid w:val="00BB1316"/>
    <w:rsid w:val="00BB1688"/>
    <w:rsid w:val="00BB176C"/>
    <w:rsid w:val="00BB2A73"/>
    <w:rsid w:val="00BB3800"/>
    <w:rsid w:val="00BB399E"/>
    <w:rsid w:val="00BB3A45"/>
    <w:rsid w:val="00BB4589"/>
    <w:rsid w:val="00BB4689"/>
    <w:rsid w:val="00BB4ACC"/>
    <w:rsid w:val="00BB4DDA"/>
    <w:rsid w:val="00BB4DFD"/>
    <w:rsid w:val="00BB6495"/>
    <w:rsid w:val="00BB6B88"/>
    <w:rsid w:val="00BB703E"/>
    <w:rsid w:val="00BB7233"/>
    <w:rsid w:val="00BB732D"/>
    <w:rsid w:val="00BB7405"/>
    <w:rsid w:val="00BC019E"/>
    <w:rsid w:val="00BC0F37"/>
    <w:rsid w:val="00BC1986"/>
    <w:rsid w:val="00BC1AF3"/>
    <w:rsid w:val="00BC2201"/>
    <w:rsid w:val="00BC2C9F"/>
    <w:rsid w:val="00BC3631"/>
    <w:rsid w:val="00BC3951"/>
    <w:rsid w:val="00BC3A17"/>
    <w:rsid w:val="00BC3BD0"/>
    <w:rsid w:val="00BC40CE"/>
    <w:rsid w:val="00BC4690"/>
    <w:rsid w:val="00BC49EA"/>
    <w:rsid w:val="00BC4E19"/>
    <w:rsid w:val="00BC591F"/>
    <w:rsid w:val="00BC6121"/>
    <w:rsid w:val="00BC64A5"/>
    <w:rsid w:val="00BC69D9"/>
    <w:rsid w:val="00BC69F2"/>
    <w:rsid w:val="00BC7365"/>
    <w:rsid w:val="00BC7B3A"/>
    <w:rsid w:val="00BC7B3D"/>
    <w:rsid w:val="00BC7D3C"/>
    <w:rsid w:val="00BC7D6D"/>
    <w:rsid w:val="00BC7E85"/>
    <w:rsid w:val="00BD1429"/>
    <w:rsid w:val="00BD1731"/>
    <w:rsid w:val="00BD2108"/>
    <w:rsid w:val="00BD31AE"/>
    <w:rsid w:val="00BD378C"/>
    <w:rsid w:val="00BD38A4"/>
    <w:rsid w:val="00BD4240"/>
    <w:rsid w:val="00BD42EC"/>
    <w:rsid w:val="00BD46E0"/>
    <w:rsid w:val="00BD5A6D"/>
    <w:rsid w:val="00BD6682"/>
    <w:rsid w:val="00BD68A3"/>
    <w:rsid w:val="00BD6938"/>
    <w:rsid w:val="00BD6CF3"/>
    <w:rsid w:val="00BD6E71"/>
    <w:rsid w:val="00BD7614"/>
    <w:rsid w:val="00BD7DB2"/>
    <w:rsid w:val="00BD7F72"/>
    <w:rsid w:val="00BE0743"/>
    <w:rsid w:val="00BE0ECA"/>
    <w:rsid w:val="00BE1B40"/>
    <w:rsid w:val="00BE1D4B"/>
    <w:rsid w:val="00BE2180"/>
    <w:rsid w:val="00BE21F2"/>
    <w:rsid w:val="00BE2B0E"/>
    <w:rsid w:val="00BE2C0C"/>
    <w:rsid w:val="00BE2E59"/>
    <w:rsid w:val="00BE34FC"/>
    <w:rsid w:val="00BE3524"/>
    <w:rsid w:val="00BE4048"/>
    <w:rsid w:val="00BE4098"/>
    <w:rsid w:val="00BE4275"/>
    <w:rsid w:val="00BE4305"/>
    <w:rsid w:val="00BE45A9"/>
    <w:rsid w:val="00BE482F"/>
    <w:rsid w:val="00BE4D70"/>
    <w:rsid w:val="00BE6A17"/>
    <w:rsid w:val="00BF015F"/>
    <w:rsid w:val="00BF0204"/>
    <w:rsid w:val="00BF04D6"/>
    <w:rsid w:val="00BF06AE"/>
    <w:rsid w:val="00BF0F95"/>
    <w:rsid w:val="00BF233E"/>
    <w:rsid w:val="00BF2433"/>
    <w:rsid w:val="00BF2656"/>
    <w:rsid w:val="00BF28FC"/>
    <w:rsid w:val="00BF2C54"/>
    <w:rsid w:val="00BF2E6E"/>
    <w:rsid w:val="00BF39BA"/>
    <w:rsid w:val="00BF48FE"/>
    <w:rsid w:val="00BF4E46"/>
    <w:rsid w:val="00BF61C9"/>
    <w:rsid w:val="00BF6A4F"/>
    <w:rsid w:val="00BF6C94"/>
    <w:rsid w:val="00BF70BD"/>
    <w:rsid w:val="00BF7413"/>
    <w:rsid w:val="00BF7606"/>
    <w:rsid w:val="00BF7C2C"/>
    <w:rsid w:val="00C00217"/>
    <w:rsid w:val="00C00424"/>
    <w:rsid w:val="00C00806"/>
    <w:rsid w:val="00C00BB0"/>
    <w:rsid w:val="00C0101D"/>
    <w:rsid w:val="00C0248F"/>
    <w:rsid w:val="00C03F38"/>
    <w:rsid w:val="00C05E16"/>
    <w:rsid w:val="00C05E33"/>
    <w:rsid w:val="00C07ACF"/>
    <w:rsid w:val="00C07B70"/>
    <w:rsid w:val="00C105AF"/>
    <w:rsid w:val="00C109AD"/>
    <w:rsid w:val="00C116B1"/>
    <w:rsid w:val="00C1179F"/>
    <w:rsid w:val="00C127B9"/>
    <w:rsid w:val="00C128FA"/>
    <w:rsid w:val="00C12C14"/>
    <w:rsid w:val="00C137CB"/>
    <w:rsid w:val="00C141B6"/>
    <w:rsid w:val="00C14EDA"/>
    <w:rsid w:val="00C15F04"/>
    <w:rsid w:val="00C160EC"/>
    <w:rsid w:val="00C168B9"/>
    <w:rsid w:val="00C17395"/>
    <w:rsid w:val="00C17542"/>
    <w:rsid w:val="00C178A3"/>
    <w:rsid w:val="00C179B3"/>
    <w:rsid w:val="00C17E3F"/>
    <w:rsid w:val="00C200AA"/>
    <w:rsid w:val="00C2187E"/>
    <w:rsid w:val="00C22752"/>
    <w:rsid w:val="00C22DE9"/>
    <w:rsid w:val="00C23447"/>
    <w:rsid w:val="00C237ED"/>
    <w:rsid w:val="00C23873"/>
    <w:rsid w:val="00C23A10"/>
    <w:rsid w:val="00C23C40"/>
    <w:rsid w:val="00C242B9"/>
    <w:rsid w:val="00C24606"/>
    <w:rsid w:val="00C24632"/>
    <w:rsid w:val="00C25418"/>
    <w:rsid w:val="00C25D9C"/>
    <w:rsid w:val="00C2610D"/>
    <w:rsid w:val="00C26923"/>
    <w:rsid w:val="00C26CF3"/>
    <w:rsid w:val="00C2778B"/>
    <w:rsid w:val="00C27825"/>
    <w:rsid w:val="00C27BE4"/>
    <w:rsid w:val="00C31649"/>
    <w:rsid w:val="00C31720"/>
    <w:rsid w:val="00C324F7"/>
    <w:rsid w:val="00C32B50"/>
    <w:rsid w:val="00C33148"/>
    <w:rsid w:val="00C33721"/>
    <w:rsid w:val="00C3434C"/>
    <w:rsid w:val="00C34C61"/>
    <w:rsid w:val="00C36939"/>
    <w:rsid w:val="00C40385"/>
    <w:rsid w:val="00C4117B"/>
    <w:rsid w:val="00C415B9"/>
    <w:rsid w:val="00C41768"/>
    <w:rsid w:val="00C419E7"/>
    <w:rsid w:val="00C43B09"/>
    <w:rsid w:val="00C43EC6"/>
    <w:rsid w:val="00C44299"/>
    <w:rsid w:val="00C4435D"/>
    <w:rsid w:val="00C44B66"/>
    <w:rsid w:val="00C45BD7"/>
    <w:rsid w:val="00C46430"/>
    <w:rsid w:val="00C475AA"/>
    <w:rsid w:val="00C47C98"/>
    <w:rsid w:val="00C503FA"/>
    <w:rsid w:val="00C50E56"/>
    <w:rsid w:val="00C50F70"/>
    <w:rsid w:val="00C510F1"/>
    <w:rsid w:val="00C51C3D"/>
    <w:rsid w:val="00C5212B"/>
    <w:rsid w:val="00C52309"/>
    <w:rsid w:val="00C5237A"/>
    <w:rsid w:val="00C527C7"/>
    <w:rsid w:val="00C52EB0"/>
    <w:rsid w:val="00C53C98"/>
    <w:rsid w:val="00C54713"/>
    <w:rsid w:val="00C548ED"/>
    <w:rsid w:val="00C551D8"/>
    <w:rsid w:val="00C55978"/>
    <w:rsid w:val="00C56FCF"/>
    <w:rsid w:val="00C577C0"/>
    <w:rsid w:val="00C57A8B"/>
    <w:rsid w:val="00C57B6C"/>
    <w:rsid w:val="00C61690"/>
    <w:rsid w:val="00C61A59"/>
    <w:rsid w:val="00C628A6"/>
    <w:rsid w:val="00C62C25"/>
    <w:rsid w:val="00C62F7E"/>
    <w:rsid w:val="00C6344E"/>
    <w:rsid w:val="00C634B7"/>
    <w:rsid w:val="00C64344"/>
    <w:rsid w:val="00C644ED"/>
    <w:rsid w:val="00C65108"/>
    <w:rsid w:val="00C65576"/>
    <w:rsid w:val="00C65E0D"/>
    <w:rsid w:val="00C65E78"/>
    <w:rsid w:val="00C65F59"/>
    <w:rsid w:val="00C66165"/>
    <w:rsid w:val="00C67394"/>
    <w:rsid w:val="00C67716"/>
    <w:rsid w:val="00C7060A"/>
    <w:rsid w:val="00C70EED"/>
    <w:rsid w:val="00C7151A"/>
    <w:rsid w:val="00C717E3"/>
    <w:rsid w:val="00C71F60"/>
    <w:rsid w:val="00C72241"/>
    <w:rsid w:val="00C7345B"/>
    <w:rsid w:val="00C73B66"/>
    <w:rsid w:val="00C740CF"/>
    <w:rsid w:val="00C750C8"/>
    <w:rsid w:val="00C7560F"/>
    <w:rsid w:val="00C76A66"/>
    <w:rsid w:val="00C779E1"/>
    <w:rsid w:val="00C805C7"/>
    <w:rsid w:val="00C80A0E"/>
    <w:rsid w:val="00C80C43"/>
    <w:rsid w:val="00C8101C"/>
    <w:rsid w:val="00C817E9"/>
    <w:rsid w:val="00C81957"/>
    <w:rsid w:val="00C81C07"/>
    <w:rsid w:val="00C82017"/>
    <w:rsid w:val="00C8213F"/>
    <w:rsid w:val="00C8303F"/>
    <w:rsid w:val="00C8371D"/>
    <w:rsid w:val="00C83971"/>
    <w:rsid w:val="00C83A01"/>
    <w:rsid w:val="00C83D40"/>
    <w:rsid w:val="00C84880"/>
    <w:rsid w:val="00C84906"/>
    <w:rsid w:val="00C85154"/>
    <w:rsid w:val="00C85A70"/>
    <w:rsid w:val="00C86C8F"/>
    <w:rsid w:val="00C86FDA"/>
    <w:rsid w:val="00C8744B"/>
    <w:rsid w:val="00C878D5"/>
    <w:rsid w:val="00C8797A"/>
    <w:rsid w:val="00C900B8"/>
    <w:rsid w:val="00C90197"/>
    <w:rsid w:val="00C908FB"/>
    <w:rsid w:val="00C90C71"/>
    <w:rsid w:val="00C90EFC"/>
    <w:rsid w:val="00C91BAC"/>
    <w:rsid w:val="00C91FD1"/>
    <w:rsid w:val="00C931CF"/>
    <w:rsid w:val="00C938CF"/>
    <w:rsid w:val="00C93E71"/>
    <w:rsid w:val="00C94053"/>
    <w:rsid w:val="00C9622B"/>
    <w:rsid w:val="00C9624D"/>
    <w:rsid w:val="00C969DA"/>
    <w:rsid w:val="00CA2C61"/>
    <w:rsid w:val="00CA2C77"/>
    <w:rsid w:val="00CA2F30"/>
    <w:rsid w:val="00CA30AD"/>
    <w:rsid w:val="00CA444F"/>
    <w:rsid w:val="00CA45BA"/>
    <w:rsid w:val="00CA5245"/>
    <w:rsid w:val="00CA5D90"/>
    <w:rsid w:val="00CA5FB6"/>
    <w:rsid w:val="00CA694A"/>
    <w:rsid w:val="00CA6DDE"/>
    <w:rsid w:val="00CA71F4"/>
    <w:rsid w:val="00CA72DA"/>
    <w:rsid w:val="00CA7B09"/>
    <w:rsid w:val="00CB0CC2"/>
    <w:rsid w:val="00CB0CDA"/>
    <w:rsid w:val="00CB0D7F"/>
    <w:rsid w:val="00CB12A5"/>
    <w:rsid w:val="00CB1CAC"/>
    <w:rsid w:val="00CB2497"/>
    <w:rsid w:val="00CB2D14"/>
    <w:rsid w:val="00CB2F2A"/>
    <w:rsid w:val="00CB2F61"/>
    <w:rsid w:val="00CB358F"/>
    <w:rsid w:val="00CB3813"/>
    <w:rsid w:val="00CB5824"/>
    <w:rsid w:val="00CB5B1A"/>
    <w:rsid w:val="00CB5DDF"/>
    <w:rsid w:val="00CB6A45"/>
    <w:rsid w:val="00CB6B22"/>
    <w:rsid w:val="00CB6F01"/>
    <w:rsid w:val="00CB7F5F"/>
    <w:rsid w:val="00CC03A0"/>
    <w:rsid w:val="00CC0A11"/>
    <w:rsid w:val="00CC1768"/>
    <w:rsid w:val="00CC1B39"/>
    <w:rsid w:val="00CC1BFA"/>
    <w:rsid w:val="00CC1D90"/>
    <w:rsid w:val="00CC201C"/>
    <w:rsid w:val="00CC2810"/>
    <w:rsid w:val="00CC2E9F"/>
    <w:rsid w:val="00CC35EA"/>
    <w:rsid w:val="00CC366C"/>
    <w:rsid w:val="00CC3848"/>
    <w:rsid w:val="00CC3A62"/>
    <w:rsid w:val="00CC4E04"/>
    <w:rsid w:val="00CC5473"/>
    <w:rsid w:val="00CC5C54"/>
    <w:rsid w:val="00CC5E79"/>
    <w:rsid w:val="00CC6756"/>
    <w:rsid w:val="00CC6D5E"/>
    <w:rsid w:val="00CC790F"/>
    <w:rsid w:val="00CC7A38"/>
    <w:rsid w:val="00CC7C79"/>
    <w:rsid w:val="00CD0200"/>
    <w:rsid w:val="00CD0A07"/>
    <w:rsid w:val="00CD0CE4"/>
    <w:rsid w:val="00CD0EAA"/>
    <w:rsid w:val="00CD168F"/>
    <w:rsid w:val="00CD1982"/>
    <w:rsid w:val="00CD1AD0"/>
    <w:rsid w:val="00CD220A"/>
    <w:rsid w:val="00CD23D1"/>
    <w:rsid w:val="00CD2C67"/>
    <w:rsid w:val="00CD2E22"/>
    <w:rsid w:val="00CD353C"/>
    <w:rsid w:val="00CD3CA2"/>
    <w:rsid w:val="00CD3F77"/>
    <w:rsid w:val="00CD4E80"/>
    <w:rsid w:val="00CD62BF"/>
    <w:rsid w:val="00CD6666"/>
    <w:rsid w:val="00CD6ADC"/>
    <w:rsid w:val="00CD7193"/>
    <w:rsid w:val="00CE0E03"/>
    <w:rsid w:val="00CE19DA"/>
    <w:rsid w:val="00CE1C64"/>
    <w:rsid w:val="00CE30B5"/>
    <w:rsid w:val="00CE38C8"/>
    <w:rsid w:val="00CE396A"/>
    <w:rsid w:val="00CE524F"/>
    <w:rsid w:val="00CE58CC"/>
    <w:rsid w:val="00CE5B11"/>
    <w:rsid w:val="00CE6274"/>
    <w:rsid w:val="00CE712D"/>
    <w:rsid w:val="00CE77B6"/>
    <w:rsid w:val="00CF1176"/>
    <w:rsid w:val="00CF2B8D"/>
    <w:rsid w:val="00CF315D"/>
    <w:rsid w:val="00CF3A1B"/>
    <w:rsid w:val="00CF3CEB"/>
    <w:rsid w:val="00CF456B"/>
    <w:rsid w:val="00CF4781"/>
    <w:rsid w:val="00CF50EA"/>
    <w:rsid w:val="00CF5A22"/>
    <w:rsid w:val="00CF6B45"/>
    <w:rsid w:val="00CF6FA3"/>
    <w:rsid w:val="00D00223"/>
    <w:rsid w:val="00D00906"/>
    <w:rsid w:val="00D00E75"/>
    <w:rsid w:val="00D012EC"/>
    <w:rsid w:val="00D0185E"/>
    <w:rsid w:val="00D0199D"/>
    <w:rsid w:val="00D0262E"/>
    <w:rsid w:val="00D02DE2"/>
    <w:rsid w:val="00D03374"/>
    <w:rsid w:val="00D03679"/>
    <w:rsid w:val="00D04BF4"/>
    <w:rsid w:val="00D04D31"/>
    <w:rsid w:val="00D04DE3"/>
    <w:rsid w:val="00D04DF5"/>
    <w:rsid w:val="00D04F00"/>
    <w:rsid w:val="00D04F37"/>
    <w:rsid w:val="00D054DE"/>
    <w:rsid w:val="00D05734"/>
    <w:rsid w:val="00D05B6D"/>
    <w:rsid w:val="00D05E3D"/>
    <w:rsid w:val="00D05FEE"/>
    <w:rsid w:val="00D06139"/>
    <w:rsid w:val="00D06F2D"/>
    <w:rsid w:val="00D109C3"/>
    <w:rsid w:val="00D10D60"/>
    <w:rsid w:val="00D110BD"/>
    <w:rsid w:val="00D128FC"/>
    <w:rsid w:val="00D12E41"/>
    <w:rsid w:val="00D12ED3"/>
    <w:rsid w:val="00D13675"/>
    <w:rsid w:val="00D137C0"/>
    <w:rsid w:val="00D13989"/>
    <w:rsid w:val="00D13BE5"/>
    <w:rsid w:val="00D141E1"/>
    <w:rsid w:val="00D15314"/>
    <w:rsid w:val="00D15B48"/>
    <w:rsid w:val="00D16812"/>
    <w:rsid w:val="00D16940"/>
    <w:rsid w:val="00D17D6C"/>
    <w:rsid w:val="00D20473"/>
    <w:rsid w:val="00D205F2"/>
    <w:rsid w:val="00D20A5F"/>
    <w:rsid w:val="00D2155B"/>
    <w:rsid w:val="00D2182F"/>
    <w:rsid w:val="00D21A20"/>
    <w:rsid w:val="00D21F82"/>
    <w:rsid w:val="00D233D1"/>
    <w:rsid w:val="00D23D11"/>
    <w:rsid w:val="00D244B6"/>
    <w:rsid w:val="00D24F01"/>
    <w:rsid w:val="00D25688"/>
    <w:rsid w:val="00D25806"/>
    <w:rsid w:val="00D25AC4"/>
    <w:rsid w:val="00D2754D"/>
    <w:rsid w:val="00D27A33"/>
    <w:rsid w:val="00D27AB5"/>
    <w:rsid w:val="00D27B27"/>
    <w:rsid w:val="00D27F2B"/>
    <w:rsid w:val="00D3080C"/>
    <w:rsid w:val="00D30AB5"/>
    <w:rsid w:val="00D30D5B"/>
    <w:rsid w:val="00D31E61"/>
    <w:rsid w:val="00D32DFB"/>
    <w:rsid w:val="00D33BE9"/>
    <w:rsid w:val="00D33F93"/>
    <w:rsid w:val="00D34346"/>
    <w:rsid w:val="00D34FA9"/>
    <w:rsid w:val="00D3542B"/>
    <w:rsid w:val="00D35438"/>
    <w:rsid w:val="00D357D8"/>
    <w:rsid w:val="00D357FF"/>
    <w:rsid w:val="00D35CB3"/>
    <w:rsid w:val="00D360BF"/>
    <w:rsid w:val="00D367B1"/>
    <w:rsid w:val="00D372EF"/>
    <w:rsid w:val="00D37A5D"/>
    <w:rsid w:val="00D40CFD"/>
    <w:rsid w:val="00D40D3B"/>
    <w:rsid w:val="00D411FA"/>
    <w:rsid w:val="00D41AD2"/>
    <w:rsid w:val="00D41BFB"/>
    <w:rsid w:val="00D424C7"/>
    <w:rsid w:val="00D42B33"/>
    <w:rsid w:val="00D42CD3"/>
    <w:rsid w:val="00D432C4"/>
    <w:rsid w:val="00D434C6"/>
    <w:rsid w:val="00D43B2A"/>
    <w:rsid w:val="00D43CF1"/>
    <w:rsid w:val="00D43D83"/>
    <w:rsid w:val="00D4445B"/>
    <w:rsid w:val="00D45053"/>
    <w:rsid w:val="00D45455"/>
    <w:rsid w:val="00D45D97"/>
    <w:rsid w:val="00D46411"/>
    <w:rsid w:val="00D469C0"/>
    <w:rsid w:val="00D47575"/>
    <w:rsid w:val="00D478BC"/>
    <w:rsid w:val="00D52162"/>
    <w:rsid w:val="00D5243B"/>
    <w:rsid w:val="00D533EC"/>
    <w:rsid w:val="00D534AD"/>
    <w:rsid w:val="00D539AF"/>
    <w:rsid w:val="00D540C9"/>
    <w:rsid w:val="00D547A9"/>
    <w:rsid w:val="00D5552E"/>
    <w:rsid w:val="00D55E1D"/>
    <w:rsid w:val="00D55ED2"/>
    <w:rsid w:val="00D55F38"/>
    <w:rsid w:val="00D562DE"/>
    <w:rsid w:val="00D5674A"/>
    <w:rsid w:val="00D56A95"/>
    <w:rsid w:val="00D56B48"/>
    <w:rsid w:val="00D56C0A"/>
    <w:rsid w:val="00D57900"/>
    <w:rsid w:val="00D57953"/>
    <w:rsid w:val="00D600D2"/>
    <w:rsid w:val="00D60760"/>
    <w:rsid w:val="00D6076E"/>
    <w:rsid w:val="00D60AA8"/>
    <w:rsid w:val="00D60CD8"/>
    <w:rsid w:val="00D623E2"/>
    <w:rsid w:val="00D6251C"/>
    <w:rsid w:val="00D63193"/>
    <w:rsid w:val="00D6357E"/>
    <w:rsid w:val="00D6398C"/>
    <w:rsid w:val="00D6412A"/>
    <w:rsid w:val="00D64611"/>
    <w:rsid w:val="00D64998"/>
    <w:rsid w:val="00D64D3A"/>
    <w:rsid w:val="00D653CE"/>
    <w:rsid w:val="00D65926"/>
    <w:rsid w:val="00D66C61"/>
    <w:rsid w:val="00D7016E"/>
    <w:rsid w:val="00D70F16"/>
    <w:rsid w:val="00D71F22"/>
    <w:rsid w:val="00D72617"/>
    <w:rsid w:val="00D729EF"/>
    <w:rsid w:val="00D72F57"/>
    <w:rsid w:val="00D7363B"/>
    <w:rsid w:val="00D74283"/>
    <w:rsid w:val="00D7444F"/>
    <w:rsid w:val="00D7610F"/>
    <w:rsid w:val="00D76688"/>
    <w:rsid w:val="00D7680D"/>
    <w:rsid w:val="00D76A44"/>
    <w:rsid w:val="00D7710C"/>
    <w:rsid w:val="00D77441"/>
    <w:rsid w:val="00D778B6"/>
    <w:rsid w:val="00D77C1E"/>
    <w:rsid w:val="00D80A5C"/>
    <w:rsid w:val="00D80EFE"/>
    <w:rsid w:val="00D80F16"/>
    <w:rsid w:val="00D80F95"/>
    <w:rsid w:val="00D81003"/>
    <w:rsid w:val="00D815EF"/>
    <w:rsid w:val="00D81812"/>
    <w:rsid w:val="00D81949"/>
    <w:rsid w:val="00D81F26"/>
    <w:rsid w:val="00D822E2"/>
    <w:rsid w:val="00D8268D"/>
    <w:rsid w:val="00D8401F"/>
    <w:rsid w:val="00D843F2"/>
    <w:rsid w:val="00D852AB"/>
    <w:rsid w:val="00D855EC"/>
    <w:rsid w:val="00D85C10"/>
    <w:rsid w:val="00D85F7B"/>
    <w:rsid w:val="00D85F95"/>
    <w:rsid w:val="00D86231"/>
    <w:rsid w:val="00D86377"/>
    <w:rsid w:val="00D86838"/>
    <w:rsid w:val="00D87288"/>
    <w:rsid w:val="00D912AB"/>
    <w:rsid w:val="00D91923"/>
    <w:rsid w:val="00D92C2A"/>
    <w:rsid w:val="00D92E18"/>
    <w:rsid w:val="00D932A6"/>
    <w:rsid w:val="00D93753"/>
    <w:rsid w:val="00D95619"/>
    <w:rsid w:val="00D95A3E"/>
    <w:rsid w:val="00D96198"/>
    <w:rsid w:val="00DA0399"/>
    <w:rsid w:val="00DA04B0"/>
    <w:rsid w:val="00DA04E2"/>
    <w:rsid w:val="00DA184C"/>
    <w:rsid w:val="00DA18B0"/>
    <w:rsid w:val="00DA2723"/>
    <w:rsid w:val="00DA2CEF"/>
    <w:rsid w:val="00DA3167"/>
    <w:rsid w:val="00DA3AE3"/>
    <w:rsid w:val="00DA3E0D"/>
    <w:rsid w:val="00DA472A"/>
    <w:rsid w:val="00DA4958"/>
    <w:rsid w:val="00DA4DC3"/>
    <w:rsid w:val="00DA5530"/>
    <w:rsid w:val="00DA63B6"/>
    <w:rsid w:val="00DA6B49"/>
    <w:rsid w:val="00DA77A5"/>
    <w:rsid w:val="00DA7F76"/>
    <w:rsid w:val="00DB00F0"/>
    <w:rsid w:val="00DB065B"/>
    <w:rsid w:val="00DB0E36"/>
    <w:rsid w:val="00DB1086"/>
    <w:rsid w:val="00DB1EF3"/>
    <w:rsid w:val="00DB2B8B"/>
    <w:rsid w:val="00DB3DBF"/>
    <w:rsid w:val="00DB484F"/>
    <w:rsid w:val="00DB4EA1"/>
    <w:rsid w:val="00DB4EA9"/>
    <w:rsid w:val="00DB5E92"/>
    <w:rsid w:val="00DB6B35"/>
    <w:rsid w:val="00DB6E02"/>
    <w:rsid w:val="00DB70D2"/>
    <w:rsid w:val="00DB71BD"/>
    <w:rsid w:val="00DB75D9"/>
    <w:rsid w:val="00DB7C34"/>
    <w:rsid w:val="00DC04F6"/>
    <w:rsid w:val="00DC0690"/>
    <w:rsid w:val="00DC1D65"/>
    <w:rsid w:val="00DC2609"/>
    <w:rsid w:val="00DC2702"/>
    <w:rsid w:val="00DC2CF1"/>
    <w:rsid w:val="00DC375B"/>
    <w:rsid w:val="00DC3C57"/>
    <w:rsid w:val="00DC4DA0"/>
    <w:rsid w:val="00DC5501"/>
    <w:rsid w:val="00DC5DE4"/>
    <w:rsid w:val="00DC65CF"/>
    <w:rsid w:val="00DC6753"/>
    <w:rsid w:val="00DC7154"/>
    <w:rsid w:val="00DC739F"/>
    <w:rsid w:val="00DC74BA"/>
    <w:rsid w:val="00DC7561"/>
    <w:rsid w:val="00DC7E8A"/>
    <w:rsid w:val="00DD0F78"/>
    <w:rsid w:val="00DD1DF7"/>
    <w:rsid w:val="00DD273C"/>
    <w:rsid w:val="00DD2C9D"/>
    <w:rsid w:val="00DD3F28"/>
    <w:rsid w:val="00DD4446"/>
    <w:rsid w:val="00DD4537"/>
    <w:rsid w:val="00DD48A2"/>
    <w:rsid w:val="00DD4E15"/>
    <w:rsid w:val="00DD4FB4"/>
    <w:rsid w:val="00DD54B3"/>
    <w:rsid w:val="00DD7974"/>
    <w:rsid w:val="00DD7F54"/>
    <w:rsid w:val="00DE02EB"/>
    <w:rsid w:val="00DE1122"/>
    <w:rsid w:val="00DE14C6"/>
    <w:rsid w:val="00DE2304"/>
    <w:rsid w:val="00DE231A"/>
    <w:rsid w:val="00DE23A8"/>
    <w:rsid w:val="00DE2447"/>
    <w:rsid w:val="00DE3138"/>
    <w:rsid w:val="00DE3785"/>
    <w:rsid w:val="00DE37F8"/>
    <w:rsid w:val="00DE3E1C"/>
    <w:rsid w:val="00DE4273"/>
    <w:rsid w:val="00DE4964"/>
    <w:rsid w:val="00DE4967"/>
    <w:rsid w:val="00DE4FCB"/>
    <w:rsid w:val="00DE53A5"/>
    <w:rsid w:val="00DE54A3"/>
    <w:rsid w:val="00DE55AB"/>
    <w:rsid w:val="00DE5696"/>
    <w:rsid w:val="00DE5899"/>
    <w:rsid w:val="00DE5D07"/>
    <w:rsid w:val="00DE6498"/>
    <w:rsid w:val="00DE72A7"/>
    <w:rsid w:val="00DE7832"/>
    <w:rsid w:val="00DF0C21"/>
    <w:rsid w:val="00DF10DC"/>
    <w:rsid w:val="00DF18FC"/>
    <w:rsid w:val="00DF2AAF"/>
    <w:rsid w:val="00DF3F3C"/>
    <w:rsid w:val="00DF4056"/>
    <w:rsid w:val="00DF4216"/>
    <w:rsid w:val="00DF4EF5"/>
    <w:rsid w:val="00DF4FCB"/>
    <w:rsid w:val="00DF5870"/>
    <w:rsid w:val="00DF5D2B"/>
    <w:rsid w:val="00DF5DBE"/>
    <w:rsid w:val="00DF6341"/>
    <w:rsid w:val="00DF6854"/>
    <w:rsid w:val="00DF71EC"/>
    <w:rsid w:val="00DF72F3"/>
    <w:rsid w:val="00DF7B69"/>
    <w:rsid w:val="00E0010A"/>
    <w:rsid w:val="00E004FB"/>
    <w:rsid w:val="00E00546"/>
    <w:rsid w:val="00E00926"/>
    <w:rsid w:val="00E009D0"/>
    <w:rsid w:val="00E00DE6"/>
    <w:rsid w:val="00E00E8E"/>
    <w:rsid w:val="00E01EE7"/>
    <w:rsid w:val="00E01F51"/>
    <w:rsid w:val="00E02C91"/>
    <w:rsid w:val="00E034D7"/>
    <w:rsid w:val="00E03537"/>
    <w:rsid w:val="00E0371A"/>
    <w:rsid w:val="00E041FD"/>
    <w:rsid w:val="00E053F6"/>
    <w:rsid w:val="00E05630"/>
    <w:rsid w:val="00E05EDB"/>
    <w:rsid w:val="00E0699A"/>
    <w:rsid w:val="00E06DBB"/>
    <w:rsid w:val="00E06FC3"/>
    <w:rsid w:val="00E10149"/>
    <w:rsid w:val="00E10532"/>
    <w:rsid w:val="00E10AD3"/>
    <w:rsid w:val="00E11340"/>
    <w:rsid w:val="00E116A5"/>
    <w:rsid w:val="00E11A6F"/>
    <w:rsid w:val="00E122A1"/>
    <w:rsid w:val="00E13CBD"/>
    <w:rsid w:val="00E15345"/>
    <w:rsid w:val="00E15794"/>
    <w:rsid w:val="00E159E4"/>
    <w:rsid w:val="00E15A39"/>
    <w:rsid w:val="00E15E02"/>
    <w:rsid w:val="00E16372"/>
    <w:rsid w:val="00E163FD"/>
    <w:rsid w:val="00E16AD8"/>
    <w:rsid w:val="00E17FFA"/>
    <w:rsid w:val="00E204EB"/>
    <w:rsid w:val="00E20E4D"/>
    <w:rsid w:val="00E20ED6"/>
    <w:rsid w:val="00E21185"/>
    <w:rsid w:val="00E21358"/>
    <w:rsid w:val="00E21386"/>
    <w:rsid w:val="00E219E0"/>
    <w:rsid w:val="00E22159"/>
    <w:rsid w:val="00E2249B"/>
    <w:rsid w:val="00E22A0D"/>
    <w:rsid w:val="00E23FD2"/>
    <w:rsid w:val="00E244F6"/>
    <w:rsid w:val="00E24CA4"/>
    <w:rsid w:val="00E258DB"/>
    <w:rsid w:val="00E264AD"/>
    <w:rsid w:val="00E2771E"/>
    <w:rsid w:val="00E27F49"/>
    <w:rsid w:val="00E305E2"/>
    <w:rsid w:val="00E3086A"/>
    <w:rsid w:val="00E30A1A"/>
    <w:rsid w:val="00E30A52"/>
    <w:rsid w:val="00E311EF"/>
    <w:rsid w:val="00E32180"/>
    <w:rsid w:val="00E32F2C"/>
    <w:rsid w:val="00E33794"/>
    <w:rsid w:val="00E33B04"/>
    <w:rsid w:val="00E33E6F"/>
    <w:rsid w:val="00E33F7A"/>
    <w:rsid w:val="00E340AC"/>
    <w:rsid w:val="00E34948"/>
    <w:rsid w:val="00E352E0"/>
    <w:rsid w:val="00E354A9"/>
    <w:rsid w:val="00E35931"/>
    <w:rsid w:val="00E35F61"/>
    <w:rsid w:val="00E36B23"/>
    <w:rsid w:val="00E36C58"/>
    <w:rsid w:val="00E36F9B"/>
    <w:rsid w:val="00E372D6"/>
    <w:rsid w:val="00E37402"/>
    <w:rsid w:val="00E37569"/>
    <w:rsid w:val="00E37816"/>
    <w:rsid w:val="00E401B2"/>
    <w:rsid w:val="00E403DF"/>
    <w:rsid w:val="00E40925"/>
    <w:rsid w:val="00E40A64"/>
    <w:rsid w:val="00E40C65"/>
    <w:rsid w:val="00E41E30"/>
    <w:rsid w:val="00E41F5F"/>
    <w:rsid w:val="00E42092"/>
    <w:rsid w:val="00E42C38"/>
    <w:rsid w:val="00E42F73"/>
    <w:rsid w:val="00E43D70"/>
    <w:rsid w:val="00E4454E"/>
    <w:rsid w:val="00E44A01"/>
    <w:rsid w:val="00E44C99"/>
    <w:rsid w:val="00E466A9"/>
    <w:rsid w:val="00E466F3"/>
    <w:rsid w:val="00E467A2"/>
    <w:rsid w:val="00E47B2C"/>
    <w:rsid w:val="00E47C26"/>
    <w:rsid w:val="00E47F86"/>
    <w:rsid w:val="00E501C1"/>
    <w:rsid w:val="00E5079A"/>
    <w:rsid w:val="00E508B6"/>
    <w:rsid w:val="00E50E53"/>
    <w:rsid w:val="00E51560"/>
    <w:rsid w:val="00E51821"/>
    <w:rsid w:val="00E51F09"/>
    <w:rsid w:val="00E52BAF"/>
    <w:rsid w:val="00E53256"/>
    <w:rsid w:val="00E535FA"/>
    <w:rsid w:val="00E53FC8"/>
    <w:rsid w:val="00E54331"/>
    <w:rsid w:val="00E54347"/>
    <w:rsid w:val="00E54AF4"/>
    <w:rsid w:val="00E55424"/>
    <w:rsid w:val="00E55486"/>
    <w:rsid w:val="00E55915"/>
    <w:rsid w:val="00E55BB5"/>
    <w:rsid w:val="00E55BCF"/>
    <w:rsid w:val="00E55F5C"/>
    <w:rsid w:val="00E55FFE"/>
    <w:rsid w:val="00E56C43"/>
    <w:rsid w:val="00E57825"/>
    <w:rsid w:val="00E57A22"/>
    <w:rsid w:val="00E57A4E"/>
    <w:rsid w:val="00E60ADA"/>
    <w:rsid w:val="00E611DF"/>
    <w:rsid w:val="00E61776"/>
    <w:rsid w:val="00E61AA8"/>
    <w:rsid w:val="00E61B71"/>
    <w:rsid w:val="00E61FBF"/>
    <w:rsid w:val="00E61FEE"/>
    <w:rsid w:val="00E624E7"/>
    <w:rsid w:val="00E62F35"/>
    <w:rsid w:val="00E63823"/>
    <w:rsid w:val="00E652EE"/>
    <w:rsid w:val="00E65484"/>
    <w:rsid w:val="00E65C46"/>
    <w:rsid w:val="00E65E79"/>
    <w:rsid w:val="00E6609E"/>
    <w:rsid w:val="00E66134"/>
    <w:rsid w:val="00E6659D"/>
    <w:rsid w:val="00E66BA2"/>
    <w:rsid w:val="00E67416"/>
    <w:rsid w:val="00E67F53"/>
    <w:rsid w:val="00E705D7"/>
    <w:rsid w:val="00E71536"/>
    <w:rsid w:val="00E718B6"/>
    <w:rsid w:val="00E71FC1"/>
    <w:rsid w:val="00E723BA"/>
    <w:rsid w:val="00E725DF"/>
    <w:rsid w:val="00E72858"/>
    <w:rsid w:val="00E72AD5"/>
    <w:rsid w:val="00E72E01"/>
    <w:rsid w:val="00E730A6"/>
    <w:rsid w:val="00E73581"/>
    <w:rsid w:val="00E73C18"/>
    <w:rsid w:val="00E73F5E"/>
    <w:rsid w:val="00E74C14"/>
    <w:rsid w:val="00E7543D"/>
    <w:rsid w:val="00E75F65"/>
    <w:rsid w:val="00E766CD"/>
    <w:rsid w:val="00E76CC1"/>
    <w:rsid w:val="00E77463"/>
    <w:rsid w:val="00E77E02"/>
    <w:rsid w:val="00E80372"/>
    <w:rsid w:val="00E80B96"/>
    <w:rsid w:val="00E830F6"/>
    <w:rsid w:val="00E833F7"/>
    <w:rsid w:val="00E83BDF"/>
    <w:rsid w:val="00E84B64"/>
    <w:rsid w:val="00E85682"/>
    <w:rsid w:val="00E86082"/>
    <w:rsid w:val="00E86795"/>
    <w:rsid w:val="00E86DCB"/>
    <w:rsid w:val="00E86FCC"/>
    <w:rsid w:val="00E8720B"/>
    <w:rsid w:val="00E87A1D"/>
    <w:rsid w:val="00E90390"/>
    <w:rsid w:val="00E9094A"/>
    <w:rsid w:val="00E91264"/>
    <w:rsid w:val="00E91D35"/>
    <w:rsid w:val="00E926A5"/>
    <w:rsid w:val="00E92CCE"/>
    <w:rsid w:val="00E93486"/>
    <w:rsid w:val="00E95146"/>
    <w:rsid w:val="00E95180"/>
    <w:rsid w:val="00E95E0D"/>
    <w:rsid w:val="00E95F8E"/>
    <w:rsid w:val="00E96149"/>
    <w:rsid w:val="00E962CC"/>
    <w:rsid w:val="00E968D6"/>
    <w:rsid w:val="00E96AD9"/>
    <w:rsid w:val="00E96BF1"/>
    <w:rsid w:val="00E96FBD"/>
    <w:rsid w:val="00E97099"/>
    <w:rsid w:val="00E970C3"/>
    <w:rsid w:val="00E97AFB"/>
    <w:rsid w:val="00EA07C0"/>
    <w:rsid w:val="00EA124B"/>
    <w:rsid w:val="00EA17C3"/>
    <w:rsid w:val="00EA1A94"/>
    <w:rsid w:val="00EA2A44"/>
    <w:rsid w:val="00EA2CAA"/>
    <w:rsid w:val="00EA33A8"/>
    <w:rsid w:val="00EA3864"/>
    <w:rsid w:val="00EA3D4A"/>
    <w:rsid w:val="00EA570B"/>
    <w:rsid w:val="00EA6543"/>
    <w:rsid w:val="00EA7158"/>
    <w:rsid w:val="00EA72BD"/>
    <w:rsid w:val="00EA7F1C"/>
    <w:rsid w:val="00EB02EF"/>
    <w:rsid w:val="00EB15B6"/>
    <w:rsid w:val="00EB2B01"/>
    <w:rsid w:val="00EB3982"/>
    <w:rsid w:val="00EB398A"/>
    <w:rsid w:val="00EB3D06"/>
    <w:rsid w:val="00EB4916"/>
    <w:rsid w:val="00EB5163"/>
    <w:rsid w:val="00EB5519"/>
    <w:rsid w:val="00EB5962"/>
    <w:rsid w:val="00EB6E37"/>
    <w:rsid w:val="00EB73EC"/>
    <w:rsid w:val="00EC00C9"/>
    <w:rsid w:val="00EC09DB"/>
    <w:rsid w:val="00EC0DD9"/>
    <w:rsid w:val="00EC1CDD"/>
    <w:rsid w:val="00EC243B"/>
    <w:rsid w:val="00EC2649"/>
    <w:rsid w:val="00EC31ED"/>
    <w:rsid w:val="00EC37A5"/>
    <w:rsid w:val="00EC3F7F"/>
    <w:rsid w:val="00EC45EA"/>
    <w:rsid w:val="00EC4B49"/>
    <w:rsid w:val="00EC5698"/>
    <w:rsid w:val="00EC5836"/>
    <w:rsid w:val="00EC5A6D"/>
    <w:rsid w:val="00EC62F9"/>
    <w:rsid w:val="00EC688C"/>
    <w:rsid w:val="00EC6DA2"/>
    <w:rsid w:val="00EC7F2A"/>
    <w:rsid w:val="00ED12E3"/>
    <w:rsid w:val="00ED20B1"/>
    <w:rsid w:val="00ED280B"/>
    <w:rsid w:val="00ED3CA9"/>
    <w:rsid w:val="00ED4685"/>
    <w:rsid w:val="00ED4B04"/>
    <w:rsid w:val="00ED4BBA"/>
    <w:rsid w:val="00ED4D86"/>
    <w:rsid w:val="00ED55DA"/>
    <w:rsid w:val="00ED57EA"/>
    <w:rsid w:val="00ED5BC5"/>
    <w:rsid w:val="00ED5BD4"/>
    <w:rsid w:val="00ED75B3"/>
    <w:rsid w:val="00ED7886"/>
    <w:rsid w:val="00EE07D3"/>
    <w:rsid w:val="00EE1996"/>
    <w:rsid w:val="00EE1B94"/>
    <w:rsid w:val="00EE1C01"/>
    <w:rsid w:val="00EE22AF"/>
    <w:rsid w:val="00EE29AB"/>
    <w:rsid w:val="00EE2E58"/>
    <w:rsid w:val="00EE493C"/>
    <w:rsid w:val="00EE4A7F"/>
    <w:rsid w:val="00EE4C1D"/>
    <w:rsid w:val="00EE509F"/>
    <w:rsid w:val="00EE591D"/>
    <w:rsid w:val="00EE5A9A"/>
    <w:rsid w:val="00EE5E89"/>
    <w:rsid w:val="00EE6569"/>
    <w:rsid w:val="00EE7284"/>
    <w:rsid w:val="00EE76CB"/>
    <w:rsid w:val="00EF000D"/>
    <w:rsid w:val="00EF009F"/>
    <w:rsid w:val="00EF0171"/>
    <w:rsid w:val="00EF132C"/>
    <w:rsid w:val="00EF1B25"/>
    <w:rsid w:val="00EF1DA0"/>
    <w:rsid w:val="00EF2F91"/>
    <w:rsid w:val="00EF3FAE"/>
    <w:rsid w:val="00EF4747"/>
    <w:rsid w:val="00EF4A56"/>
    <w:rsid w:val="00EF4B44"/>
    <w:rsid w:val="00EF4BF8"/>
    <w:rsid w:val="00EF5855"/>
    <w:rsid w:val="00EF6B11"/>
    <w:rsid w:val="00F00610"/>
    <w:rsid w:val="00F00D52"/>
    <w:rsid w:val="00F014CB"/>
    <w:rsid w:val="00F02253"/>
    <w:rsid w:val="00F03C2E"/>
    <w:rsid w:val="00F04A66"/>
    <w:rsid w:val="00F04B4B"/>
    <w:rsid w:val="00F0516C"/>
    <w:rsid w:val="00F05BA4"/>
    <w:rsid w:val="00F05F06"/>
    <w:rsid w:val="00F06029"/>
    <w:rsid w:val="00F067A2"/>
    <w:rsid w:val="00F0777C"/>
    <w:rsid w:val="00F07ACA"/>
    <w:rsid w:val="00F07B9E"/>
    <w:rsid w:val="00F1116F"/>
    <w:rsid w:val="00F1198D"/>
    <w:rsid w:val="00F11C68"/>
    <w:rsid w:val="00F1250B"/>
    <w:rsid w:val="00F1263A"/>
    <w:rsid w:val="00F12E0F"/>
    <w:rsid w:val="00F12EB0"/>
    <w:rsid w:val="00F13034"/>
    <w:rsid w:val="00F139C5"/>
    <w:rsid w:val="00F14604"/>
    <w:rsid w:val="00F1545E"/>
    <w:rsid w:val="00F15853"/>
    <w:rsid w:val="00F15B77"/>
    <w:rsid w:val="00F161DE"/>
    <w:rsid w:val="00F202BB"/>
    <w:rsid w:val="00F21035"/>
    <w:rsid w:val="00F21236"/>
    <w:rsid w:val="00F216FB"/>
    <w:rsid w:val="00F22961"/>
    <w:rsid w:val="00F233E3"/>
    <w:rsid w:val="00F23D19"/>
    <w:rsid w:val="00F23D9C"/>
    <w:rsid w:val="00F245C0"/>
    <w:rsid w:val="00F24837"/>
    <w:rsid w:val="00F24A4D"/>
    <w:rsid w:val="00F24E8E"/>
    <w:rsid w:val="00F2575F"/>
    <w:rsid w:val="00F263FF"/>
    <w:rsid w:val="00F27565"/>
    <w:rsid w:val="00F27EC9"/>
    <w:rsid w:val="00F310D4"/>
    <w:rsid w:val="00F3122D"/>
    <w:rsid w:val="00F312ED"/>
    <w:rsid w:val="00F318C9"/>
    <w:rsid w:val="00F31D5A"/>
    <w:rsid w:val="00F33975"/>
    <w:rsid w:val="00F33DE9"/>
    <w:rsid w:val="00F344DD"/>
    <w:rsid w:val="00F353C9"/>
    <w:rsid w:val="00F35A02"/>
    <w:rsid w:val="00F35BEA"/>
    <w:rsid w:val="00F35D41"/>
    <w:rsid w:val="00F35E6D"/>
    <w:rsid w:val="00F35EF4"/>
    <w:rsid w:val="00F3619A"/>
    <w:rsid w:val="00F362FE"/>
    <w:rsid w:val="00F3749A"/>
    <w:rsid w:val="00F37A58"/>
    <w:rsid w:val="00F37ACF"/>
    <w:rsid w:val="00F37F84"/>
    <w:rsid w:val="00F4042F"/>
    <w:rsid w:val="00F404F0"/>
    <w:rsid w:val="00F40AAA"/>
    <w:rsid w:val="00F40BA7"/>
    <w:rsid w:val="00F40F9D"/>
    <w:rsid w:val="00F4132A"/>
    <w:rsid w:val="00F4159E"/>
    <w:rsid w:val="00F41ACD"/>
    <w:rsid w:val="00F44004"/>
    <w:rsid w:val="00F44254"/>
    <w:rsid w:val="00F44750"/>
    <w:rsid w:val="00F4477D"/>
    <w:rsid w:val="00F44CE4"/>
    <w:rsid w:val="00F4516E"/>
    <w:rsid w:val="00F46C9B"/>
    <w:rsid w:val="00F46CB6"/>
    <w:rsid w:val="00F47532"/>
    <w:rsid w:val="00F4756D"/>
    <w:rsid w:val="00F476B4"/>
    <w:rsid w:val="00F47C69"/>
    <w:rsid w:val="00F47DE8"/>
    <w:rsid w:val="00F5013A"/>
    <w:rsid w:val="00F50371"/>
    <w:rsid w:val="00F506EA"/>
    <w:rsid w:val="00F50C0B"/>
    <w:rsid w:val="00F515CF"/>
    <w:rsid w:val="00F516CF"/>
    <w:rsid w:val="00F5195F"/>
    <w:rsid w:val="00F51E4F"/>
    <w:rsid w:val="00F52333"/>
    <w:rsid w:val="00F525A5"/>
    <w:rsid w:val="00F525EE"/>
    <w:rsid w:val="00F531A7"/>
    <w:rsid w:val="00F542C1"/>
    <w:rsid w:val="00F54935"/>
    <w:rsid w:val="00F550E3"/>
    <w:rsid w:val="00F55E73"/>
    <w:rsid w:val="00F55EDA"/>
    <w:rsid w:val="00F55FEF"/>
    <w:rsid w:val="00F56C80"/>
    <w:rsid w:val="00F60092"/>
    <w:rsid w:val="00F60183"/>
    <w:rsid w:val="00F606F1"/>
    <w:rsid w:val="00F612F0"/>
    <w:rsid w:val="00F61C18"/>
    <w:rsid w:val="00F62CE0"/>
    <w:rsid w:val="00F630ED"/>
    <w:rsid w:val="00F6368F"/>
    <w:rsid w:val="00F6369F"/>
    <w:rsid w:val="00F6497E"/>
    <w:rsid w:val="00F64EDA"/>
    <w:rsid w:val="00F64EDB"/>
    <w:rsid w:val="00F65107"/>
    <w:rsid w:val="00F658BB"/>
    <w:rsid w:val="00F65C9F"/>
    <w:rsid w:val="00F65F4B"/>
    <w:rsid w:val="00F67405"/>
    <w:rsid w:val="00F678DD"/>
    <w:rsid w:val="00F67A69"/>
    <w:rsid w:val="00F70366"/>
    <w:rsid w:val="00F70BFF"/>
    <w:rsid w:val="00F70C9D"/>
    <w:rsid w:val="00F71635"/>
    <w:rsid w:val="00F7178B"/>
    <w:rsid w:val="00F71FD7"/>
    <w:rsid w:val="00F72934"/>
    <w:rsid w:val="00F73B20"/>
    <w:rsid w:val="00F73E08"/>
    <w:rsid w:val="00F74506"/>
    <w:rsid w:val="00F7471B"/>
    <w:rsid w:val="00F74CD9"/>
    <w:rsid w:val="00F75389"/>
    <w:rsid w:val="00F75997"/>
    <w:rsid w:val="00F75BD9"/>
    <w:rsid w:val="00F75C77"/>
    <w:rsid w:val="00F76D8D"/>
    <w:rsid w:val="00F77B7C"/>
    <w:rsid w:val="00F80688"/>
    <w:rsid w:val="00F80A7B"/>
    <w:rsid w:val="00F80E5D"/>
    <w:rsid w:val="00F810E3"/>
    <w:rsid w:val="00F81B2E"/>
    <w:rsid w:val="00F81E78"/>
    <w:rsid w:val="00F82C4B"/>
    <w:rsid w:val="00F83275"/>
    <w:rsid w:val="00F8358A"/>
    <w:rsid w:val="00F83916"/>
    <w:rsid w:val="00F83EC7"/>
    <w:rsid w:val="00F851CE"/>
    <w:rsid w:val="00F86701"/>
    <w:rsid w:val="00F8679B"/>
    <w:rsid w:val="00F877FE"/>
    <w:rsid w:val="00F878BE"/>
    <w:rsid w:val="00F87C20"/>
    <w:rsid w:val="00F91219"/>
    <w:rsid w:val="00F9216E"/>
    <w:rsid w:val="00F92444"/>
    <w:rsid w:val="00F92548"/>
    <w:rsid w:val="00F931E8"/>
    <w:rsid w:val="00F9393E"/>
    <w:rsid w:val="00F93A8C"/>
    <w:rsid w:val="00F941AA"/>
    <w:rsid w:val="00F95134"/>
    <w:rsid w:val="00F9525D"/>
    <w:rsid w:val="00F95FB7"/>
    <w:rsid w:val="00F960EF"/>
    <w:rsid w:val="00F9619D"/>
    <w:rsid w:val="00F96954"/>
    <w:rsid w:val="00F96A47"/>
    <w:rsid w:val="00F96FD0"/>
    <w:rsid w:val="00F97A78"/>
    <w:rsid w:val="00FA0197"/>
    <w:rsid w:val="00FA06B6"/>
    <w:rsid w:val="00FA0B20"/>
    <w:rsid w:val="00FA1546"/>
    <w:rsid w:val="00FA15B1"/>
    <w:rsid w:val="00FA24E7"/>
    <w:rsid w:val="00FA2B55"/>
    <w:rsid w:val="00FA4037"/>
    <w:rsid w:val="00FA43A7"/>
    <w:rsid w:val="00FA4B4C"/>
    <w:rsid w:val="00FA5EE6"/>
    <w:rsid w:val="00FA6593"/>
    <w:rsid w:val="00FA6AB2"/>
    <w:rsid w:val="00FA70CB"/>
    <w:rsid w:val="00FA7836"/>
    <w:rsid w:val="00FA7956"/>
    <w:rsid w:val="00FA7A51"/>
    <w:rsid w:val="00FA7D94"/>
    <w:rsid w:val="00FB0824"/>
    <w:rsid w:val="00FB11C0"/>
    <w:rsid w:val="00FB1A6E"/>
    <w:rsid w:val="00FB2205"/>
    <w:rsid w:val="00FB2FCB"/>
    <w:rsid w:val="00FB314D"/>
    <w:rsid w:val="00FB3B83"/>
    <w:rsid w:val="00FB407D"/>
    <w:rsid w:val="00FB431E"/>
    <w:rsid w:val="00FB44D0"/>
    <w:rsid w:val="00FB4C9C"/>
    <w:rsid w:val="00FB6E95"/>
    <w:rsid w:val="00FB7275"/>
    <w:rsid w:val="00FB77AE"/>
    <w:rsid w:val="00FB7B6A"/>
    <w:rsid w:val="00FB7C55"/>
    <w:rsid w:val="00FC061E"/>
    <w:rsid w:val="00FC0923"/>
    <w:rsid w:val="00FC1074"/>
    <w:rsid w:val="00FC1884"/>
    <w:rsid w:val="00FC2204"/>
    <w:rsid w:val="00FC26C6"/>
    <w:rsid w:val="00FC371D"/>
    <w:rsid w:val="00FC4069"/>
    <w:rsid w:val="00FC412F"/>
    <w:rsid w:val="00FC426D"/>
    <w:rsid w:val="00FC55D7"/>
    <w:rsid w:val="00FC592E"/>
    <w:rsid w:val="00FC59E8"/>
    <w:rsid w:val="00FC5B03"/>
    <w:rsid w:val="00FC5DEF"/>
    <w:rsid w:val="00FC5F0B"/>
    <w:rsid w:val="00FC64FE"/>
    <w:rsid w:val="00FC6CEC"/>
    <w:rsid w:val="00FC6E09"/>
    <w:rsid w:val="00FD0989"/>
    <w:rsid w:val="00FD1D82"/>
    <w:rsid w:val="00FD2100"/>
    <w:rsid w:val="00FD30EC"/>
    <w:rsid w:val="00FD3350"/>
    <w:rsid w:val="00FD3742"/>
    <w:rsid w:val="00FD436C"/>
    <w:rsid w:val="00FD446D"/>
    <w:rsid w:val="00FD4F2C"/>
    <w:rsid w:val="00FD5102"/>
    <w:rsid w:val="00FD6394"/>
    <w:rsid w:val="00FD7737"/>
    <w:rsid w:val="00FD7A38"/>
    <w:rsid w:val="00FD7F51"/>
    <w:rsid w:val="00FE05EC"/>
    <w:rsid w:val="00FE067A"/>
    <w:rsid w:val="00FE0E6C"/>
    <w:rsid w:val="00FE1CDC"/>
    <w:rsid w:val="00FE1EBA"/>
    <w:rsid w:val="00FE337F"/>
    <w:rsid w:val="00FE3B0D"/>
    <w:rsid w:val="00FE3FE9"/>
    <w:rsid w:val="00FE444A"/>
    <w:rsid w:val="00FE50F1"/>
    <w:rsid w:val="00FE54C0"/>
    <w:rsid w:val="00FE6D8A"/>
    <w:rsid w:val="00FE70C3"/>
    <w:rsid w:val="00FE7126"/>
    <w:rsid w:val="00FF0044"/>
    <w:rsid w:val="00FF03DA"/>
    <w:rsid w:val="00FF0899"/>
    <w:rsid w:val="00FF0DA4"/>
    <w:rsid w:val="00FF1A8B"/>
    <w:rsid w:val="00FF1E6A"/>
    <w:rsid w:val="00FF28C2"/>
    <w:rsid w:val="00FF2AD9"/>
    <w:rsid w:val="00FF2C43"/>
    <w:rsid w:val="00FF2E20"/>
    <w:rsid w:val="00FF359F"/>
    <w:rsid w:val="00FF3DCF"/>
    <w:rsid w:val="00FF41C7"/>
    <w:rsid w:val="00FF492C"/>
    <w:rsid w:val="00FF4A21"/>
    <w:rsid w:val="00FF4A90"/>
    <w:rsid w:val="00FF4E64"/>
    <w:rsid w:val="00FF59FA"/>
    <w:rsid w:val="00FF5AA3"/>
    <w:rsid w:val="00FF5AD8"/>
    <w:rsid w:val="00FF78D8"/>
    <w:rsid w:val="00FF7F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3F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Quantify,Normal: Bullets,Table Legend,Bullet1,Bullet List,Section 5,List Table,Bullets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Quantify Char,Normal: Bullet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E589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4F3200"/>
    <w:pPr>
      <w:numPr>
        <w:numId w:val="2"/>
      </w:numPr>
      <w:ind w:left="1134" w:hanging="357"/>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uiPriority w:val="99"/>
    <w:unhideWhenUsed/>
    <w:qFormat/>
    <w:rsid w:val="00D012EC"/>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D012EC"/>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D012EC"/>
    <w:rPr>
      <w:vertAlign w:val="superscript"/>
    </w:rPr>
  </w:style>
  <w:style w:type="table" w:customStyle="1" w:styleId="TableGrid11">
    <w:name w:val="Table Grid11"/>
    <w:basedOn w:val="TableNormal"/>
    <w:next w:val="TableGrid"/>
    <w:uiPriority w:val="59"/>
    <w:rsid w:val="00D012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12EC"/>
    <w:rPr>
      <w:color w:val="605E5C"/>
      <w:shd w:val="clear" w:color="auto" w:fill="E1DFDD"/>
    </w:rPr>
  </w:style>
  <w:style w:type="paragraph" w:customStyle="1" w:styleId="TableBullet">
    <w:name w:val="Table Bullet"/>
    <w:basedOn w:val="TableText0"/>
    <w:uiPriority w:val="1"/>
    <w:qFormat/>
    <w:rsid w:val="00D012EC"/>
    <w:pPr>
      <w:keepNext w:val="0"/>
      <w:numPr>
        <w:numId w:val="6"/>
      </w:numPr>
      <w:spacing w:before="40" w:after="40"/>
      <w:ind w:left="357" w:hanging="357"/>
    </w:pPr>
    <w:rPr>
      <w:rFonts w:asciiTheme="minorHAnsi" w:eastAsiaTheme="minorHAnsi" w:hAnsiTheme="minorHAnsi" w:cstheme="minorHAnsi"/>
      <w:bCs w:val="0"/>
      <w:szCs w:val="22"/>
      <w:lang w:eastAsia="en-US"/>
    </w:rPr>
  </w:style>
  <w:style w:type="character" w:styleId="Emphasis">
    <w:name w:val="Emphasis"/>
    <w:basedOn w:val="DefaultParagraphFont"/>
    <w:uiPriority w:val="20"/>
    <w:qFormat/>
    <w:rsid w:val="00D012EC"/>
    <w:rPr>
      <w:i/>
      <w:iCs/>
    </w:rPr>
  </w:style>
  <w:style w:type="table" w:customStyle="1" w:styleId="PBACTableStyle">
    <w:name w:val="PBAC Table Style"/>
    <w:basedOn w:val="TableGrid1"/>
    <w:uiPriority w:val="99"/>
    <w:rsid w:val="00B27B2A"/>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radley Hand ITC" w:hAnsi="Bradley Hand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radley Hand ITC" w:hAnsi="Bradley Hand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radley Hand ITC" w:hAnsi="Bradley Hand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B27B2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Text1">
    <w:name w:val="TableText"/>
    <w:basedOn w:val="Normal"/>
    <w:link w:val="TableTextChar1"/>
    <w:uiPriority w:val="3"/>
    <w:qFormat/>
    <w:rsid w:val="003E75F6"/>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3E75F6"/>
    <w:rPr>
      <w:rFonts w:ascii="Calibri" w:hAnsi="Calibri" w:cs="Calibri"/>
      <w:bCs/>
      <w:lang w:eastAsia="zh-CN"/>
    </w:rPr>
  </w:style>
  <w:style w:type="paragraph" w:customStyle="1" w:styleId="TableHeadingRow">
    <w:name w:val="TableHeadingRow"/>
    <w:basedOn w:val="TableText1"/>
    <w:uiPriority w:val="3"/>
    <w:qFormat/>
    <w:rsid w:val="003E75F6"/>
    <w:pPr>
      <w:keepNext/>
      <w:spacing w:before="40" w:after="40"/>
      <w:jc w:val="center"/>
    </w:pPr>
    <w:rPr>
      <w:b/>
      <w:bCs w:val="0"/>
    </w:rPr>
  </w:style>
  <w:style w:type="paragraph" w:customStyle="1" w:styleId="Footnote-TableFig">
    <w:name w:val="Footnote-TableFig"/>
    <w:basedOn w:val="Normal"/>
    <w:uiPriority w:val="1"/>
    <w:qFormat/>
    <w:rsid w:val="00901206"/>
    <w:pPr>
      <w:spacing w:after="240"/>
      <w:jc w:val="left"/>
    </w:pPr>
    <w:rPr>
      <w:rFonts w:asciiTheme="minorHAnsi" w:eastAsiaTheme="minorHAnsi" w:hAnsiTheme="minorHAnsi" w:cstheme="minorBidi"/>
      <w:sz w:val="18"/>
      <w:szCs w:val="22"/>
      <w:lang w:eastAsia="en-US"/>
    </w:rPr>
  </w:style>
  <w:style w:type="table" w:customStyle="1" w:styleId="TableGridLight1">
    <w:name w:val="Table Grid Light1"/>
    <w:basedOn w:val="TableNormal"/>
    <w:uiPriority w:val="40"/>
    <w:rsid w:val="0090120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PBACTabletext">
    <w:name w:val="PBAC Table text"/>
    <w:link w:val="PBACTabletextChar"/>
    <w:qFormat/>
    <w:rsid w:val="007A627A"/>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7A627A"/>
    <w:rPr>
      <w:rFonts w:ascii="Arial Narrow" w:hAnsi="Arial Narrow" w:cs="Arial"/>
      <w:szCs w:val="24"/>
      <w:lang w:eastAsia="en-GB"/>
    </w:rPr>
  </w:style>
  <w:style w:type="paragraph" w:customStyle="1" w:styleId="PBACTblFignote">
    <w:name w:val="PBAC Tbl/Fig note"/>
    <w:qFormat/>
    <w:rsid w:val="007A627A"/>
    <w:pPr>
      <w:keepNext/>
      <w:keepLines/>
      <w:spacing w:after="360"/>
      <w:contextualSpacing/>
      <w:textboxTightWrap w:val="allLines"/>
    </w:pPr>
    <w:rPr>
      <w:rFonts w:ascii="Arial Narrow" w:hAnsi="Arial Narrow" w:cs="Arial"/>
      <w:sz w:val="18"/>
      <w:szCs w:val="24"/>
      <w:lang w:eastAsia="en-GB"/>
    </w:rPr>
  </w:style>
  <w:style w:type="table" w:customStyle="1" w:styleId="MSDTableGrid1">
    <w:name w:val="MSD Table Grid1"/>
    <w:basedOn w:val="TableNormal"/>
    <w:next w:val="TableGrid"/>
    <w:rsid w:val="000423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uiPriority w:val="39"/>
    <w:rsid w:val="00556C0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622D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0622D1"/>
    <w:rPr>
      <w:rFonts w:ascii="Segoe UI" w:hAnsi="Segoe UI" w:cs="Segoe UI" w:hint="default"/>
      <w:sz w:val="18"/>
      <w:szCs w:val="18"/>
    </w:rPr>
  </w:style>
  <w:style w:type="table" w:customStyle="1" w:styleId="MSDTableGrid2">
    <w:name w:val="MSD Table Grid2"/>
    <w:basedOn w:val="TableNormal"/>
    <w:next w:val="TableGrid"/>
    <w:rsid w:val="00A300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i">
    <w:name w:val="Section Bii"/>
    <w:uiPriority w:val="99"/>
    <w:rsid w:val="00902625"/>
    <w:pPr>
      <w:numPr>
        <w:numId w:val="7"/>
      </w:numPr>
    </w:pPr>
  </w:style>
  <w:style w:type="numbering" w:customStyle="1" w:styleId="SectionBi1">
    <w:name w:val="Section Bi1"/>
    <w:uiPriority w:val="99"/>
    <w:rsid w:val="00C05E33"/>
  </w:style>
  <w:style w:type="table" w:customStyle="1" w:styleId="MSDTableGrid3">
    <w:name w:val="MSD Table Grid3"/>
    <w:basedOn w:val="TableNormal"/>
    <w:next w:val="TableGrid"/>
    <w:rsid w:val="006935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910B2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numbering" w:customStyle="1" w:styleId="SectionBi11">
    <w:name w:val="Section Bi11"/>
    <w:uiPriority w:val="99"/>
    <w:rsid w:val="00F64EDA"/>
  </w:style>
  <w:style w:type="paragraph" w:customStyle="1" w:styleId="TableFootnotetext">
    <w:name w:val="Table Footnote text"/>
    <w:basedOn w:val="Normal"/>
    <w:qFormat/>
    <w:rsid w:val="006A3383"/>
    <w:pPr>
      <w:jc w:val="left"/>
    </w:pPr>
    <w:rPr>
      <w:rFonts w:cs="Times New Roman"/>
      <w:sz w:val="16"/>
      <w:szCs w:val="20"/>
      <w:lang w:eastAsia="en-US"/>
    </w:rPr>
  </w:style>
  <w:style w:type="table" w:customStyle="1" w:styleId="ASDTable221">
    <w:name w:val="ASD Table221"/>
    <w:basedOn w:val="TableNormal"/>
    <w:next w:val="TableGrid"/>
    <w:uiPriority w:val="59"/>
    <w:rsid w:val="00387DE2"/>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link w:val="TableHeadingChar"/>
    <w:qFormat/>
    <w:rsid w:val="003146C9"/>
    <w:pPr>
      <w:spacing w:after="60"/>
    </w:pPr>
    <w:rPr>
      <w:rFonts w:ascii="Arial Narrow" w:eastAsiaTheme="minorHAnsi" w:hAnsi="Arial Narrow" w:cstheme="minorBidi"/>
      <w:b/>
      <w:sz w:val="20"/>
      <w:szCs w:val="22"/>
      <w:lang w:eastAsia="en-US"/>
    </w:rPr>
  </w:style>
  <w:style w:type="character" w:customStyle="1" w:styleId="TableHeadingChar">
    <w:name w:val="Table Heading Char"/>
    <w:link w:val="TableHeading0"/>
    <w:locked/>
    <w:rsid w:val="003146C9"/>
    <w:rPr>
      <w:rFonts w:ascii="Arial Narrow" w:eastAsiaTheme="minorHAnsi" w:hAnsi="Arial Narrow" w:cstheme="minorBidi"/>
      <w:b/>
      <w:szCs w:val="22"/>
      <w:lang w:eastAsia="en-US"/>
    </w:rPr>
  </w:style>
  <w:style w:type="paragraph" w:styleId="Bibliography">
    <w:name w:val="Bibliography"/>
    <w:basedOn w:val="Normal"/>
    <w:next w:val="Normal"/>
    <w:uiPriority w:val="37"/>
    <w:unhideWhenUsed/>
    <w:rsid w:val="003146C9"/>
    <w:pPr>
      <w:spacing w:after="220"/>
      <w:jc w:val="left"/>
    </w:pPr>
    <w:rPr>
      <w:rFonts w:asciiTheme="minorHAnsi" w:eastAsiaTheme="minorHAnsi" w:hAnsiTheme="minorHAnsi" w:cstheme="minorBidi"/>
      <w:sz w:val="22"/>
      <w:szCs w:val="22"/>
      <w:lang w:val="en-GB" w:eastAsia="en-US"/>
    </w:rPr>
  </w:style>
  <w:style w:type="character" w:customStyle="1" w:styleId="Heading1Char">
    <w:name w:val="Heading 1 Char"/>
    <w:basedOn w:val="DefaultParagraphFont"/>
    <w:link w:val="Heading1"/>
    <w:uiPriority w:val="1"/>
    <w:rsid w:val="002C0784"/>
    <w:rPr>
      <w:rFonts w:ascii="Calibri" w:hAnsi="Calibri" w:cs="Arial"/>
      <w:b/>
      <w:caps/>
      <w:sz w:val="32"/>
      <w:szCs w:val="24"/>
    </w:rPr>
  </w:style>
  <w:style w:type="character" w:customStyle="1" w:styleId="Heading3Char">
    <w:name w:val="Heading 3 Char"/>
    <w:basedOn w:val="DefaultParagraphFont"/>
    <w:link w:val="Heading3"/>
    <w:rsid w:val="002C0784"/>
    <w:rPr>
      <w:rFonts w:ascii="Calibri" w:hAnsi="Calibri" w:cs="Arial"/>
      <w:sz w:val="24"/>
      <w:szCs w:val="24"/>
      <w:u w:val="single"/>
    </w:rPr>
  </w:style>
  <w:style w:type="character" w:customStyle="1" w:styleId="Heading4Char">
    <w:name w:val="Heading 4 Char"/>
    <w:basedOn w:val="DefaultParagraphFont"/>
    <w:link w:val="Heading4"/>
    <w:rsid w:val="002C0784"/>
    <w:rPr>
      <w:rFonts w:ascii="Calibri" w:hAnsi="Calibri" w:cs="Arial"/>
      <w:b/>
      <w:bCs/>
      <w:i/>
      <w:sz w:val="26"/>
      <w:szCs w:val="28"/>
    </w:rPr>
  </w:style>
  <w:style w:type="character" w:customStyle="1" w:styleId="Heading5Char">
    <w:name w:val="Heading 5 Char"/>
    <w:basedOn w:val="DefaultParagraphFont"/>
    <w:link w:val="Heading5"/>
    <w:rsid w:val="002C0784"/>
    <w:rPr>
      <w:rFonts w:ascii="Calibri" w:hAnsi="Calibri" w:cs="Arial"/>
      <w:b/>
      <w:bCs/>
      <w:iCs/>
      <w:sz w:val="26"/>
      <w:szCs w:val="26"/>
    </w:rPr>
  </w:style>
  <w:style w:type="character" w:customStyle="1" w:styleId="Heading6Char">
    <w:name w:val="Heading 6 Char"/>
    <w:basedOn w:val="DefaultParagraphFont"/>
    <w:link w:val="Heading6"/>
    <w:rsid w:val="002C0784"/>
    <w:rPr>
      <w:rFonts w:ascii="Calibri" w:hAnsi="Calibri" w:cs="Arial"/>
      <w:b/>
      <w:bCs/>
      <w:i/>
      <w:sz w:val="24"/>
      <w:szCs w:val="24"/>
    </w:rPr>
  </w:style>
  <w:style w:type="paragraph" w:styleId="EndnoteText">
    <w:name w:val="endnote text"/>
    <w:basedOn w:val="Normal"/>
    <w:link w:val="EndnoteTextChar"/>
    <w:semiHidden/>
    <w:unhideWhenUsed/>
    <w:rsid w:val="00F362FE"/>
    <w:rPr>
      <w:sz w:val="20"/>
      <w:szCs w:val="20"/>
    </w:rPr>
  </w:style>
  <w:style w:type="character" w:customStyle="1" w:styleId="EndnoteTextChar">
    <w:name w:val="Endnote Text Char"/>
    <w:basedOn w:val="DefaultParagraphFont"/>
    <w:link w:val="EndnoteText"/>
    <w:semiHidden/>
    <w:rsid w:val="00F362FE"/>
    <w:rPr>
      <w:rFonts w:ascii="Calibri" w:hAnsi="Calibri" w:cs="Arial"/>
    </w:rPr>
  </w:style>
  <w:style w:type="character" w:styleId="EndnoteReference">
    <w:name w:val="endnote reference"/>
    <w:basedOn w:val="DefaultParagraphFont"/>
    <w:semiHidden/>
    <w:unhideWhenUsed/>
    <w:rsid w:val="00F362FE"/>
    <w:rPr>
      <w:vertAlign w:val="superscript"/>
    </w:rPr>
  </w:style>
  <w:style w:type="paragraph" w:customStyle="1" w:styleId="m5701993404698847243msolistparagraph">
    <w:name w:val="m_5701993404698847243msolistparagraph"/>
    <w:basedOn w:val="Normal"/>
    <w:rsid w:val="00FC6E09"/>
    <w:pPr>
      <w:spacing w:before="100" w:beforeAutospacing="1" w:after="100" w:afterAutospacing="1"/>
      <w:jc w:val="left"/>
    </w:pPr>
    <w:rPr>
      <w:rFonts w:eastAsiaTheme="minorHAnsi" w:cs="Calibri"/>
      <w:sz w:val="22"/>
      <w:szCs w:val="22"/>
    </w:rPr>
  </w:style>
  <w:style w:type="character" w:customStyle="1" w:styleId="EndNoteBibliographyChar">
    <w:name w:val="EndNote Bibliography Char"/>
    <w:basedOn w:val="DefaultParagraphFont"/>
    <w:link w:val="EndNoteBibliography"/>
    <w:locked/>
    <w:rsid w:val="00BC49EA"/>
    <w:rPr>
      <w:rFonts w:ascii="Aptos" w:hAnsi="Aptos"/>
      <w:sz w:val="16"/>
    </w:rPr>
  </w:style>
  <w:style w:type="paragraph" w:customStyle="1" w:styleId="EndNoteBibliography">
    <w:name w:val="EndNote Bibliography"/>
    <w:basedOn w:val="Normal"/>
    <w:link w:val="EndNoteBibliographyChar"/>
    <w:rsid w:val="00BC49EA"/>
    <w:pPr>
      <w:spacing w:after="60"/>
      <w:contextualSpacing/>
    </w:pPr>
    <w:rPr>
      <w:rFonts w:ascii="Aptos" w:hAnsi="Aptos" w:cs="Times New Roman"/>
      <w:sz w:val="16"/>
      <w:szCs w:val="20"/>
    </w:rPr>
  </w:style>
  <w:style w:type="paragraph" w:customStyle="1" w:styleId="3-SubsectionHeading">
    <w:name w:val="3-Subsection Heading"/>
    <w:basedOn w:val="Heading2"/>
    <w:next w:val="Normal"/>
    <w:link w:val="3-SubsectionHeadingChar"/>
    <w:qFormat/>
    <w:rsid w:val="00CD353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D353C"/>
    <w:rPr>
      <w:rFonts w:asciiTheme="minorHAnsi" w:eastAsiaTheme="majorEastAsia" w:hAnsiTheme="minorHAnsi" w:cstheme="majorBidi"/>
      <w:b/>
      <w:i/>
      <w:snapToGrid/>
      <w:spacing w:val="5"/>
      <w:kern w:val="28"/>
      <w:sz w:val="28"/>
      <w:szCs w:val="36"/>
      <w:lang w:eastAsia="en-US"/>
    </w:rPr>
  </w:style>
  <w:style w:type="character" w:customStyle="1" w:styleId="normaltextrun">
    <w:name w:val="normaltextrun"/>
    <w:basedOn w:val="DefaultParagraphFont"/>
    <w:rsid w:val="00C2610D"/>
  </w:style>
  <w:style w:type="paragraph" w:customStyle="1" w:styleId="Numberbullet2">
    <w:name w:val="Number bullet 2"/>
    <w:basedOn w:val="ListBullet2"/>
    <w:qFormat/>
    <w:rsid w:val="004A3609"/>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4A3609"/>
    <w:pPr>
      <w:numPr>
        <w:ilvl w:val="2"/>
        <w:numId w:val="33"/>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4A3609"/>
    <w:pPr>
      <w:numPr>
        <w:numId w:val="33"/>
      </w:numPr>
    </w:pPr>
  </w:style>
  <w:style w:type="paragraph" w:customStyle="1" w:styleId="COMH1numbered">
    <w:name w:val="COM H1 numbered"/>
    <w:next w:val="Normal"/>
    <w:link w:val="COMH1numberedChar"/>
    <w:qFormat/>
    <w:rsid w:val="004A3609"/>
    <w:pPr>
      <w:keepNext/>
      <w:numPr>
        <w:numId w:val="33"/>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4A3609"/>
    <w:rPr>
      <w:rFonts w:asciiTheme="minorHAnsi" w:hAnsiTheme="minorHAnsi" w:cs="Arial"/>
      <w:b/>
      <w:snapToGrid w:val="0"/>
      <w:sz w:val="32"/>
      <w:szCs w:val="32"/>
    </w:rPr>
  </w:style>
  <w:style w:type="paragraph" w:styleId="ListBullet2">
    <w:name w:val="List Bullet 2"/>
    <w:basedOn w:val="Normal"/>
    <w:semiHidden/>
    <w:unhideWhenUsed/>
    <w:rsid w:val="004A3609"/>
    <w:pPr>
      <w:ind w:left="425" w:hanging="425"/>
      <w:contextualSpacing/>
    </w:pPr>
  </w:style>
  <w:style w:type="paragraph" w:styleId="ListBullet3">
    <w:name w:val="List Bullet 3"/>
    <w:basedOn w:val="Normal"/>
    <w:semiHidden/>
    <w:unhideWhenUsed/>
    <w:rsid w:val="004A3609"/>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24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176907">
      <w:bodyDiv w:val="1"/>
      <w:marLeft w:val="0"/>
      <w:marRight w:val="0"/>
      <w:marTop w:val="0"/>
      <w:marBottom w:val="0"/>
      <w:divBdr>
        <w:top w:val="none" w:sz="0" w:space="0" w:color="auto"/>
        <w:left w:val="none" w:sz="0" w:space="0" w:color="auto"/>
        <w:bottom w:val="none" w:sz="0" w:space="0" w:color="auto"/>
        <w:right w:val="none" w:sz="0" w:space="0" w:color="auto"/>
      </w:divBdr>
    </w:div>
    <w:div w:id="28701178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1455709">
      <w:bodyDiv w:val="1"/>
      <w:marLeft w:val="0"/>
      <w:marRight w:val="0"/>
      <w:marTop w:val="0"/>
      <w:marBottom w:val="0"/>
      <w:divBdr>
        <w:top w:val="none" w:sz="0" w:space="0" w:color="auto"/>
        <w:left w:val="none" w:sz="0" w:space="0" w:color="auto"/>
        <w:bottom w:val="none" w:sz="0" w:space="0" w:color="auto"/>
        <w:right w:val="none" w:sz="0" w:space="0" w:color="auto"/>
      </w:divBdr>
    </w:div>
    <w:div w:id="455636968">
      <w:bodyDiv w:val="1"/>
      <w:marLeft w:val="0"/>
      <w:marRight w:val="0"/>
      <w:marTop w:val="0"/>
      <w:marBottom w:val="0"/>
      <w:divBdr>
        <w:top w:val="none" w:sz="0" w:space="0" w:color="auto"/>
        <w:left w:val="none" w:sz="0" w:space="0" w:color="auto"/>
        <w:bottom w:val="none" w:sz="0" w:space="0" w:color="auto"/>
        <w:right w:val="none" w:sz="0" w:space="0" w:color="auto"/>
      </w:divBdr>
    </w:div>
    <w:div w:id="538589449">
      <w:bodyDiv w:val="1"/>
      <w:marLeft w:val="0"/>
      <w:marRight w:val="0"/>
      <w:marTop w:val="0"/>
      <w:marBottom w:val="0"/>
      <w:divBdr>
        <w:top w:val="none" w:sz="0" w:space="0" w:color="auto"/>
        <w:left w:val="none" w:sz="0" w:space="0" w:color="auto"/>
        <w:bottom w:val="none" w:sz="0" w:space="0" w:color="auto"/>
        <w:right w:val="none" w:sz="0" w:space="0" w:color="auto"/>
      </w:divBdr>
    </w:div>
    <w:div w:id="610625766">
      <w:bodyDiv w:val="1"/>
      <w:marLeft w:val="0"/>
      <w:marRight w:val="0"/>
      <w:marTop w:val="0"/>
      <w:marBottom w:val="0"/>
      <w:divBdr>
        <w:top w:val="none" w:sz="0" w:space="0" w:color="auto"/>
        <w:left w:val="none" w:sz="0" w:space="0" w:color="auto"/>
        <w:bottom w:val="none" w:sz="0" w:space="0" w:color="auto"/>
        <w:right w:val="none" w:sz="0" w:space="0" w:color="auto"/>
      </w:divBdr>
    </w:div>
    <w:div w:id="71731875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4198206">
      <w:bodyDiv w:val="1"/>
      <w:marLeft w:val="0"/>
      <w:marRight w:val="0"/>
      <w:marTop w:val="0"/>
      <w:marBottom w:val="0"/>
      <w:divBdr>
        <w:top w:val="none" w:sz="0" w:space="0" w:color="auto"/>
        <w:left w:val="none" w:sz="0" w:space="0" w:color="auto"/>
        <w:bottom w:val="none" w:sz="0" w:space="0" w:color="auto"/>
        <w:right w:val="none" w:sz="0" w:space="0" w:color="auto"/>
      </w:divBdr>
    </w:div>
    <w:div w:id="934872433">
      <w:bodyDiv w:val="1"/>
      <w:marLeft w:val="0"/>
      <w:marRight w:val="0"/>
      <w:marTop w:val="0"/>
      <w:marBottom w:val="0"/>
      <w:divBdr>
        <w:top w:val="none" w:sz="0" w:space="0" w:color="auto"/>
        <w:left w:val="none" w:sz="0" w:space="0" w:color="auto"/>
        <w:bottom w:val="none" w:sz="0" w:space="0" w:color="auto"/>
        <w:right w:val="none" w:sz="0" w:space="0" w:color="auto"/>
      </w:divBdr>
    </w:div>
    <w:div w:id="10129545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121363">
      <w:bodyDiv w:val="1"/>
      <w:marLeft w:val="0"/>
      <w:marRight w:val="0"/>
      <w:marTop w:val="0"/>
      <w:marBottom w:val="0"/>
      <w:divBdr>
        <w:top w:val="none" w:sz="0" w:space="0" w:color="auto"/>
        <w:left w:val="none" w:sz="0" w:space="0" w:color="auto"/>
        <w:bottom w:val="none" w:sz="0" w:space="0" w:color="auto"/>
        <w:right w:val="none" w:sz="0" w:space="0" w:color="auto"/>
      </w:divBdr>
    </w:div>
    <w:div w:id="118220874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53754847">
      <w:bodyDiv w:val="1"/>
      <w:marLeft w:val="0"/>
      <w:marRight w:val="0"/>
      <w:marTop w:val="0"/>
      <w:marBottom w:val="0"/>
      <w:divBdr>
        <w:top w:val="none" w:sz="0" w:space="0" w:color="auto"/>
        <w:left w:val="none" w:sz="0" w:space="0" w:color="auto"/>
        <w:bottom w:val="none" w:sz="0" w:space="0" w:color="auto"/>
        <w:right w:val="none" w:sz="0" w:space="0" w:color="auto"/>
      </w:divBdr>
    </w:div>
    <w:div w:id="1752313318">
      <w:bodyDiv w:val="1"/>
      <w:marLeft w:val="0"/>
      <w:marRight w:val="0"/>
      <w:marTop w:val="0"/>
      <w:marBottom w:val="0"/>
      <w:divBdr>
        <w:top w:val="none" w:sz="0" w:space="0" w:color="auto"/>
        <w:left w:val="none" w:sz="0" w:space="0" w:color="auto"/>
        <w:bottom w:val="none" w:sz="0" w:space="0" w:color="auto"/>
        <w:right w:val="none" w:sz="0" w:space="0" w:color="auto"/>
      </w:divBdr>
      <w:divsChild>
        <w:div w:id="658771488">
          <w:marLeft w:val="360"/>
          <w:marRight w:val="0"/>
          <w:marTop w:val="200"/>
          <w:marBottom w:val="0"/>
          <w:divBdr>
            <w:top w:val="none" w:sz="0" w:space="0" w:color="auto"/>
            <w:left w:val="none" w:sz="0" w:space="0" w:color="auto"/>
            <w:bottom w:val="none" w:sz="0" w:space="0" w:color="auto"/>
            <w:right w:val="none" w:sz="0" w:space="0" w:color="auto"/>
          </w:divBdr>
        </w:div>
      </w:divsChild>
    </w:div>
    <w:div w:id="1786383986">
      <w:bodyDiv w:val="1"/>
      <w:marLeft w:val="0"/>
      <w:marRight w:val="0"/>
      <w:marTop w:val="0"/>
      <w:marBottom w:val="0"/>
      <w:divBdr>
        <w:top w:val="none" w:sz="0" w:space="0" w:color="auto"/>
        <w:left w:val="none" w:sz="0" w:space="0" w:color="auto"/>
        <w:bottom w:val="none" w:sz="0" w:space="0" w:color="auto"/>
        <w:right w:val="none" w:sz="0" w:space="0" w:color="auto"/>
      </w:divBdr>
    </w:div>
    <w:div w:id="1805463189">
      <w:bodyDiv w:val="1"/>
      <w:marLeft w:val="0"/>
      <w:marRight w:val="0"/>
      <w:marTop w:val="0"/>
      <w:marBottom w:val="0"/>
      <w:divBdr>
        <w:top w:val="none" w:sz="0" w:space="0" w:color="auto"/>
        <w:left w:val="none" w:sz="0" w:space="0" w:color="auto"/>
        <w:bottom w:val="none" w:sz="0" w:space="0" w:color="auto"/>
        <w:right w:val="none" w:sz="0" w:space="0" w:color="auto"/>
      </w:divBdr>
    </w:div>
    <w:div w:id="18613552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242411">
      <w:bodyDiv w:val="1"/>
      <w:marLeft w:val="0"/>
      <w:marRight w:val="0"/>
      <w:marTop w:val="0"/>
      <w:marBottom w:val="0"/>
      <w:divBdr>
        <w:top w:val="none" w:sz="0" w:space="0" w:color="auto"/>
        <w:left w:val="none" w:sz="0" w:space="0" w:color="auto"/>
        <w:bottom w:val="none" w:sz="0" w:space="0" w:color="auto"/>
        <w:right w:val="none" w:sz="0" w:space="0" w:color="auto"/>
      </w:divBdr>
    </w:div>
    <w:div w:id="20743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ice.org.uk/guidance/ta832/history" TargetMode="External"/><Relationship Id="rId2" Type="http://schemas.openxmlformats.org/officeDocument/2006/relationships/hyperlink" Target="https://www.ncbi.nlm.nih.gov/pmc/articles/PMC9277653/" TargetMode="External"/><Relationship Id="rId1" Type="http://schemas.openxmlformats.org/officeDocument/2006/relationships/hyperlink" Target="https://www.pbs.gov.au/industry/listing/elements/pbac-meetings/pbac-outcomes/2024-03/pbac-web-outcomes-03-2024.pdf" TargetMode="External"/><Relationship Id="rId4" Type="http://schemas.openxmlformats.org/officeDocument/2006/relationships/hyperlink" Target="https://www.ebs.tga.gov.au/ebs/picmi/picmirepository.nsf/pdf?OpenAgent=&amp;id=CP-2022-PI-01955-1&amp;d=2024040317231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C4C7D-DD91-4B61-860B-82391A06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21377</Words>
  <Characters>112853</Characters>
  <Application>Microsoft Office Word</Application>
  <DocSecurity>0</DocSecurity>
  <Lines>940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133963</CharactersWithSpaces>
  <SharedDoc>false</SharedDoc>
  <HLinks>
    <vt:vector size="540" baseType="variant">
      <vt:variant>
        <vt:i4>1310781</vt:i4>
      </vt:variant>
      <vt:variant>
        <vt:i4>386</vt:i4>
      </vt:variant>
      <vt:variant>
        <vt:i4>0</vt:i4>
      </vt:variant>
      <vt:variant>
        <vt:i4>5</vt:i4>
      </vt:variant>
      <vt:variant>
        <vt:lpwstr/>
      </vt:variant>
      <vt:variant>
        <vt:lpwstr>_Toc165904982</vt:lpwstr>
      </vt:variant>
      <vt:variant>
        <vt:i4>1310781</vt:i4>
      </vt:variant>
      <vt:variant>
        <vt:i4>380</vt:i4>
      </vt:variant>
      <vt:variant>
        <vt:i4>0</vt:i4>
      </vt:variant>
      <vt:variant>
        <vt:i4>5</vt:i4>
      </vt:variant>
      <vt:variant>
        <vt:lpwstr/>
      </vt:variant>
      <vt:variant>
        <vt:lpwstr>_Toc165904981</vt:lpwstr>
      </vt:variant>
      <vt:variant>
        <vt:i4>1310781</vt:i4>
      </vt:variant>
      <vt:variant>
        <vt:i4>374</vt:i4>
      </vt:variant>
      <vt:variant>
        <vt:i4>0</vt:i4>
      </vt:variant>
      <vt:variant>
        <vt:i4>5</vt:i4>
      </vt:variant>
      <vt:variant>
        <vt:lpwstr/>
      </vt:variant>
      <vt:variant>
        <vt:lpwstr>_Toc165904980</vt:lpwstr>
      </vt:variant>
      <vt:variant>
        <vt:i4>1769533</vt:i4>
      </vt:variant>
      <vt:variant>
        <vt:i4>368</vt:i4>
      </vt:variant>
      <vt:variant>
        <vt:i4>0</vt:i4>
      </vt:variant>
      <vt:variant>
        <vt:i4>5</vt:i4>
      </vt:variant>
      <vt:variant>
        <vt:lpwstr/>
      </vt:variant>
      <vt:variant>
        <vt:lpwstr>_Toc165904979</vt:lpwstr>
      </vt:variant>
      <vt:variant>
        <vt:i4>1769533</vt:i4>
      </vt:variant>
      <vt:variant>
        <vt:i4>362</vt:i4>
      </vt:variant>
      <vt:variant>
        <vt:i4>0</vt:i4>
      </vt:variant>
      <vt:variant>
        <vt:i4>5</vt:i4>
      </vt:variant>
      <vt:variant>
        <vt:lpwstr/>
      </vt:variant>
      <vt:variant>
        <vt:lpwstr>_Toc165904978</vt:lpwstr>
      </vt:variant>
      <vt:variant>
        <vt:i4>1769533</vt:i4>
      </vt:variant>
      <vt:variant>
        <vt:i4>356</vt:i4>
      </vt:variant>
      <vt:variant>
        <vt:i4>0</vt:i4>
      </vt:variant>
      <vt:variant>
        <vt:i4>5</vt:i4>
      </vt:variant>
      <vt:variant>
        <vt:lpwstr/>
      </vt:variant>
      <vt:variant>
        <vt:lpwstr>_Toc165904977</vt:lpwstr>
      </vt:variant>
      <vt:variant>
        <vt:i4>1769533</vt:i4>
      </vt:variant>
      <vt:variant>
        <vt:i4>350</vt:i4>
      </vt:variant>
      <vt:variant>
        <vt:i4>0</vt:i4>
      </vt:variant>
      <vt:variant>
        <vt:i4>5</vt:i4>
      </vt:variant>
      <vt:variant>
        <vt:lpwstr/>
      </vt:variant>
      <vt:variant>
        <vt:lpwstr>_Toc165904976</vt:lpwstr>
      </vt:variant>
      <vt:variant>
        <vt:i4>1769533</vt:i4>
      </vt:variant>
      <vt:variant>
        <vt:i4>344</vt:i4>
      </vt:variant>
      <vt:variant>
        <vt:i4>0</vt:i4>
      </vt:variant>
      <vt:variant>
        <vt:i4>5</vt:i4>
      </vt:variant>
      <vt:variant>
        <vt:lpwstr/>
      </vt:variant>
      <vt:variant>
        <vt:lpwstr>_Toc165904975</vt:lpwstr>
      </vt:variant>
      <vt:variant>
        <vt:i4>1769533</vt:i4>
      </vt:variant>
      <vt:variant>
        <vt:i4>338</vt:i4>
      </vt:variant>
      <vt:variant>
        <vt:i4>0</vt:i4>
      </vt:variant>
      <vt:variant>
        <vt:i4>5</vt:i4>
      </vt:variant>
      <vt:variant>
        <vt:lpwstr/>
      </vt:variant>
      <vt:variant>
        <vt:lpwstr>_Toc165904974</vt:lpwstr>
      </vt:variant>
      <vt:variant>
        <vt:i4>1769533</vt:i4>
      </vt:variant>
      <vt:variant>
        <vt:i4>332</vt:i4>
      </vt:variant>
      <vt:variant>
        <vt:i4>0</vt:i4>
      </vt:variant>
      <vt:variant>
        <vt:i4>5</vt:i4>
      </vt:variant>
      <vt:variant>
        <vt:lpwstr/>
      </vt:variant>
      <vt:variant>
        <vt:lpwstr>_Toc165904973</vt:lpwstr>
      </vt:variant>
      <vt:variant>
        <vt:i4>1769533</vt:i4>
      </vt:variant>
      <vt:variant>
        <vt:i4>326</vt:i4>
      </vt:variant>
      <vt:variant>
        <vt:i4>0</vt:i4>
      </vt:variant>
      <vt:variant>
        <vt:i4>5</vt:i4>
      </vt:variant>
      <vt:variant>
        <vt:lpwstr/>
      </vt:variant>
      <vt:variant>
        <vt:lpwstr>_Toc165904972</vt:lpwstr>
      </vt:variant>
      <vt:variant>
        <vt:i4>1769533</vt:i4>
      </vt:variant>
      <vt:variant>
        <vt:i4>320</vt:i4>
      </vt:variant>
      <vt:variant>
        <vt:i4>0</vt:i4>
      </vt:variant>
      <vt:variant>
        <vt:i4>5</vt:i4>
      </vt:variant>
      <vt:variant>
        <vt:lpwstr/>
      </vt:variant>
      <vt:variant>
        <vt:lpwstr>_Toc165904971</vt:lpwstr>
      </vt:variant>
      <vt:variant>
        <vt:i4>1769533</vt:i4>
      </vt:variant>
      <vt:variant>
        <vt:i4>314</vt:i4>
      </vt:variant>
      <vt:variant>
        <vt:i4>0</vt:i4>
      </vt:variant>
      <vt:variant>
        <vt:i4>5</vt:i4>
      </vt:variant>
      <vt:variant>
        <vt:lpwstr/>
      </vt:variant>
      <vt:variant>
        <vt:lpwstr>_Toc165904970</vt:lpwstr>
      </vt:variant>
      <vt:variant>
        <vt:i4>1703997</vt:i4>
      </vt:variant>
      <vt:variant>
        <vt:i4>308</vt:i4>
      </vt:variant>
      <vt:variant>
        <vt:i4>0</vt:i4>
      </vt:variant>
      <vt:variant>
        <vt:i4>5</vt:i4>
      </vt:variant>
      <vt:variant>
        <vt:lpwstr/>
      </vt:variant>
      <vt:variant>
        <vt:lpwstr>_Toc165904969</vt:lpwstr>
      </vt:variant>
      <vt:variant>
        <vt:i4>1703997</vt:i4>
      </vt:variant>
      <vt:variant>
        <vt:i4>302</vt:i4>
      </vt:variant>
      <vt:variant>
        <vt:i4>0</vt:i4>
      </vt:variant>
      <vt:variant>
        <vt:i4>5</vt:i4>
      </vt:variant>
      <vt:variant>
        <vt:lpwstr/>
      </vt:variant>
      <vt:variant>
        <vt:lpwstr>_Toc165904968</vt:lpwstr>
      </vt:variant>
      <vt:variant>
        <vt:i4>1703997</vt:i4>
      </vt:variant>
      <vt:variant>
        <vt:i4>296</vt:i4>
      </vt:variant>
      <vt:variant>
        <vt:i4>0</vt:i4>
      </vt:variant>
      <vt:variant>
        <vt:i4>5</vt:i4>
      </vt:variant>
      <vt:variant>
        <vt:lpwstr/>
      </vt:variant>
      <vt:variant>
        <vt:lpwstr>_Toc165904967</vt:lpwstr>
      </vt:variant>
      <vt:variant>
        <vt:i4>1703997</vt:i4>
      </vt:variant>
      <vt:variant>
        <vt:i4>290</vt:i4>
      </vt:variant>
      <vt:variant>
        <vt:i4>0</vt:i4>
      </vt:variant>
      <vt:variant>
        <vt:i4>5</vt:i4>
      </vt:variant>
      <vt:variant>
        <vt:lpwstr/>
      </vt:variant>
      <vt:variant>
        <vt:lpwstr>_Toc165904966</vt:lpwstr>
      </vt:variant>
      <vt:variant>
        <vt:i4>1703997</vt:i4>
      </vt:variant>
      <vt:variant>
        <vt:i4>284</vt:i4>
      </vt:variant>
      <vt:variant>
        <vt:i4>0</vt:i4>
      </vt:variant>
      <vt:variant>
        <vt:i4>5</vt:i4>
      </vt:variant>
      <vt:variant>
        <vt:lpwstr/>
      </vt:variant>
      <vt:variant>
        <vt:lpwstr>_Toc165904965</vt:lpwstr>
      </vt:variant>
      <vt:variant>
        <vt:i4>1703997</vt:i4>
      </vt:variant>
      <vt:variant>
        <vt:i4>278</vt:i4>
      </vt:variant>
      <vt:variant>
        <vt:i4>0</vt:i4>
      </vt:variant>
      <vt:variant>
        <vt:i4>5</vt:i4>
      </vt:variant>
      <vt:variant>
        <vt:lpwstr/>
      </vt:variant>
      <vt:variant>
        <vt:lpwstr>_Toc165904964</vt:lpwstr>
      </vt:variant>
      <vt:variant>
        <vt:i4>1703997</vt:i4>
      </vt:variant>
      <vt:variant>
        <vt:i4>272</vt:i4>
      </vt:variant>
      <vt:variant>
        <vt:i4>0</vt:i4>
      </vt:variant>
      <vt:variant>
        <vt:i4>5</vt:i4>
      </vt:variant>
      <vt:variant>
        <vt:lpwstr/>
      </vt:variant>
      <vt:variant>
        <vt:lpwstr>_Toc165904963</vt:lpwstr>
      </vt:variant>
      <vt:variant>
        <vt:i4>1703997</vt:i4>
      </vt:variant>
      <vt:variant>
        <vt:i4>266</vt:i4>
      </vt:variant>
      <vt:variant>
        <vt:i4>0</vt:i4>
      </vt:variant>
      <vt:variant>
        <vt:i4>5</vt:i4>
      </vt:variant>
      <vt:variant>
        <vt:lpwstr/>
      </vt:variant>
      <vt:variant>
        <vt:lpwstr>_Toc165904962</vt:lpwstr>
      </vt:variant>
      <vt:variant>
        <vt:i4>1703997</vt:i4>
      </vt:variant>
      <vt:variant>
        <vt:i4>260</vt:i4>
      </vt:variant>
      <vt:variant>
        <vt:i4>0</vt:i4>
      </vt:variant>
      <vt:variant>
        <vt:i4>5</vt:i4>
      </vt:variant>
      <vt:variant>
        <vt:lpwstr/>
      </vt:variant>
      <vt:variant>
        <vt:lpwstr>_Toc165904961</vt:lpwstr>
      </vt:variant>
      <vt:variant>
        <vt:i4>1703997</vt:i4>
      </vt:variant>
      <vt:variant>
        <vt:i4>254</vt:i4>
      </vt:variant>
      <vt:variant>
        <vt:i4>0</vt:i4>
      </vt:variant>
      <vt:variant>
        <vt:i4>5</vt:i4>
      </vt:variant>
      <vt:variant>
        <vt:lpwstr/>
      </vt:variant>
      <vt:variant>
        <vt:lpwstr>_Toc165904960</vt:lpwstr>
      </vt:variant>
      <vt:variant>
        <vt:i4>1638461</vt:i4>
      </vt:variant>
      <vt:variant>
        <vt:i4>248</vt:i4>
      </vt:variant>
      <vt:variant>
        <vt:i4>0</vt:i4>
      </vt:variant>
      <vt:variant>
        <vt:i4>5</vt:i4>
      </vt:variant>
      <vt:variant>
        <vt:lpwstr/>
      </vt:variant>
      <vt:variant>
        <vt:lpwstr>_Toc165904959</vt:lpwstr>
      </vt:variant>
      <vt:variant>
        <vt:i4>1638461</vt:i4>
      </vt:variant>
      <vt:variant>
        <vt:i4>242</vt:i4>
      </vt:variant>
      <vt:variant>
        <vt:i4>0</vt:i4>
      </vt:variant>
      <vt:variant>
        <vt:i4>5</vt:i4>
      </vt:variant>
      <vt:variant>
        <vt:lpwstr/>
      </vt:variant>
      <vt:variant>
        <vt:lpwstr>_Toc165904958</vt:lpwstr>
      </vt:variant>
      <vt:variant>
        <vt:i4>1638461</vt:i4>
      </vt:variant>
      <vt:variant>
        <vt:i4>236</vt:i4>
      </vt:variant>
      <vt:variant>
        <vt:i4>0</vt:i4>
      </vt:variant>
      <vt:variant>
        <vt:i4>5</vt:i4>
      </vt:variant>
      <vt:variant>
        <vt:lpwstr/>
      </vt:variant>
      <vt:variant>
        <vt:lpwstr>_Toc165904957</vt:lpwstr>
      </vt:variant>
      <vt:variant>
        <vt:i4>1638461</vt:i4>
      </vt:variant>
      <vt:variant>
        <vt:i4>230</vt:i4>
      </vt:variant>
      <vt:variant>
        <vt:i4>0</vt:i4>
      </vt:variant>
      <vt:variant>
        <vt:i4>5</vt:i4>
      </vt:variant>
      <vt:variant>
        <vt:lpwstr/>
      </vt:variant>
      <vt:variant>
        <vt:lpwstr>_Toc165904956</vt:lpwstr>
      </vt:variant>
      <vt:variant>
        <vt:i4>1638461</vt:i4>
      </vt:variant>
      <vt:variant>
        <vt:i4>224</vt:i4>
      </vt:variant>
      <vt:variant>
        <vt:i4>0</vt:i4>
      </vt:variant>
      <vt:variant>
        <vt:i4>5</vt:i4>
      </vt:variant>
      <vt:variant>
        <vt:lpwstr/>
      </vt:variant>
      <vt:variant>
        <vt:lpwstr>_Toc165904955</vt:lpwstr>
      </vt:variant>
      <vt:variant>
        <vt:i4>1638461</vt:i4>
      </vt:variant>
      <vt:variant>
        <vt:i4>218</vt:i4>
      </vt:variant>
      <vt:variant>
        <vt:i4>0</vt:i4>
      </vt:variant>
      <vt:variant>
        <vt:i4>5</vt:i4>
      </vt:variant>
      <vt:variant>
        <vt:lpwstr/>
      </vt:variant>
      <vt:variant>
        <vt:lpwstr>_Toc165904954</vt:lpwstr>
      </vt:variant>
      <vt:variant>
        <vt:i4>1638461</vt:i4>
      </vt:variant>
      <vt:variant>
        <vt:i4>212</vt:i4>
      </vt:variant>
      <vt:variant>
        <vt:i4>0</vt:i4>
      </vt:variant>
      <vt:variant>
        <vt:i4>5</vt:i4>
      </vt:variant>
      <vt:variant>
        <vt:lpwstr/>
      </vt:variant>
      <vt:variant>
        <vt:lpwstr>_Toc165904953</vt:lpwstr>
      </vt:variant>
      <vt:variant>
        <vt:i4>1638461</vt:i4>
      </vt:variant>
      <vt:variant>
        <vt:i4>206</vt:i4>
      </vt:variant>
      <vt:variant>
        <vt:i4>0</vt:i4>
      </vt:variant>
      <vt:variant>
        <vt:i4>5</vt:i4>
      </vt:variant>
      <vt:variant>
        <vt:lpwstr/>
      </vt:variant>
      <vt:variant>
        <vt:lpwstr>_Toc165904952</vt:lpwstr>
      </vt:variant>
      <vt:variant>
        <vt:i4>1638461</vt:i4>
      </vt:variant>
      <vt:variant>
        <vt:i4>200</vt:i4>
      </vt:variant>
      <vt:variant>
        <vt:i4>0</vt:i4>
      </vt:variant>
      <vt:variant>
        <vt:i4>5</vt:i4>
      </vt:variant>
      <vt:variant>
        <vt:lpwstr/>
      </vt:variant>
      <vt:variant>
        <vt:lpwstr>_Toc165904951</vt:lpwstr>
      </vt:variant>
      <vt:variant>
        <vt:i4>1638461</vt:i4>
      </vt:variant>
      <vt:variant>
        <vt:i4>194</vt:i4>
      </vt:variant>
      <vt:variant>
        <vt:i4>0</vt:i4>
      </vt:variant>
      <vt:variant>
        <vt:i4>5</vt:i4>
      </vt:variant>
      <vt:variant>
        <vt:lpwstr/>
      </vt:variant>
      <vt:variant>
        <vt:lpwstr>_Toc165904950</vt:lpwstr>
      </vt:variant>
      <vt:variant>
        <vt:i4>1572925</vt:i4>
      </vt:variant>
      <vt:variant>
        <vt:i4>188</vt:i4>
      </vt:variant>
      <vt:variant>
        <vt:i4>0</vt:i4>
      </vt:variant>
      <vt:variant>
        <vt:i4>5</vt:i4>
      </vt:variant>
      <vt:variant>
        <vt:lpwstr/>
      </vt:variant>
      <vt:variant>
        <vt:lpwstr>_Toc165904949</vt:lpwstr>
      </vt:variant>
      <vt:variant>
        <vt:i4>1572925</vt:i4>
      </vt:variant>
      <vt:variant>
        <vt:i4>182</vt:i4>
      </vt:variant>
      <vt:variant>
        <vt:i4>0</vt:i4>
      </vt:variant>
      <vt:variant>
        <vt:i4>5</vt:i4>
      </vt:variant>
      <vt:variant>
        <vt:lpwstr/>
      </vt:variant>
      <vt:variant>
        <vt:lpwstr>_Toc165904948</vt:lpwstr>
      </vt:variant>
      <vt:variant>
        <vt:i4>1572925</vt:i4>
      </vt:variant>
      <vt:variant>
        <vt:i4>176</vt:i4>
      </vt:variant>
      <vt:variant>
        <vt:i4>0</vt:i4>
      </vt:variant>
      <vt:variant>
        <vt:i4>5</vt:i4>
      </vt:variant>
      <vt:variant>
        <vt:lpwstr/>
      </vt:variant>
      <vt:variant>
        <vt:lpwstr>_Toc165904947</vt:lpwstr>
      </vt:variant>
      <vt:variant>
        <vt:i4>1572925</vt:i4>
      </vt:variant>
      <vt:variant>
        <vt:i4>170</vt:i4>
      </vt:variant>
      <vt:variant>
        <vt:i4>0</vt:i4>
      </vt:variant>
      <vt:variant>
        <vt:i4>5</vt:i4>
      </vt:variant>
      <vt:variant>
        <vt:lpwstr/>
      </vt:variant>
      <vt:variant>
        <vt:lpwstr>_Toc165904946</vt:lpwstr>
      </vt:variant>
      <vt:variant>
        <vt:i4>1572925</vt:i4>
      </vt:variant>
      <vt:variant>
        <vt:i4>164</vt:i4>
      </vt:variant>
      <vt:variant>
        <vt:i4>0</vt:i4>
      </vt:variant>
      <vt:variant>
        <vt:i4>5</vt:i4>
      </vt:variant>
      <vt:variant>
        <vt:lpwstr/>
      </vt:variant>
      <vt:variant>
        <vt:lpwstr>_Toc165904945</vt:lpwstr>
      </vt:variant>
      <vt:variant>
        <vt:i4>1572925</vt:i4>
      </vt:variant>
      <vt:variant>
        <vt:i4>158</vt:i4>
      </vt:variant>
      <vt:variant>
        <vt:i4>0</vt:i4>
      </vt:variant>
      <vt:variant>
        <vt:i4>5</vt:i4>
      </vt:variant>
      <vt:variant>
        <vt:lpwstr/>
      </vt:variant>
      <vt:variant>
        <vt:lpwstr>_Toc165904944</vt:lpwstr>
      </vt:variant>
      <vt:variant>
        <vt:i4>1572925</vt:i4>
      </vt:variant>
      <vt:variant>
        <vt:i4>152</vt:i4>
      </vt:variant>
      <vt:variant>
        <vt:i4>0</vt:i4>
      </vt:variant>
      <vt:variant>
        <vt:i4>5</vt:i4>
      </vt:variant>
      <vt:variant>
        <vt:lpwstr/>
      </vt:variant>
      <vt:variant>
        <vt:lpwstr>_Toc165904943</vt:lpwstr>
      </vt:variant>
      <vt:variant>
        <vt:i4>1572925</vt:i4>
      </vt:variant>
      <vt:variant>
        <vt:i4>146</vt:i4>
      </vt:variant>
      <vt:variant>
        <vt:i4>0</vt:i4>
      </vt:variant>
      <vt:variant>
        <vt:i4>5</vt:i4>
      </vt:variant>
      <vt:variant>
        <vt:lpwstr/>
      </vt:variant>
      <vt:variant>
        <vt:lpwstr>_Toc165904942</vt:lpwstr>
      </vt:variant>
      <vt:variant>
        <vt:i4>1572925</vt:i4>
      </vt:variant>
      <vt:variant>
        <vt:i4>140</vt:i4>
      </vt:variant>
      <vt:variant>
        <vt:i4>0</vt:i4>
      </vt:variant>
      <vt:variant>
        <vt:i4>5</vt:i4>
      </vt:variant>
      <vt:variant>
        <vt:lpwstr/>
      </vt:variant>
      <vt:variant>
        <vt:lpwstr>_Toc165904941</vt:lpwstr>
      </vt:variant>
      <vt:variant>
        <vt:i4>1572925</vt:i4>
      </vt:variant>
      <vt:variant>
        <vt:i4>134</vt:i4>
      </vt:variant>
      <vt:variant>
        <vt:i4>0</vt:i4>
      </vt:variant>
      <vt:variant>
        <vt:i4>5</vt:i4>
      </vt:variant>
      <vt:variant>
        <vt:lpwstr/>
      </vt:variant>
      <vt:variant>
        <vt:lpwstr>_Toc165904940</vt:lpwstr>
      </vt:variant>
      <vt:variant>
        <vt:i4>2031677</vt:i4>
      </vt:variant>
      <vt:variant>
        <vt:i4>128</vt:i4>
      </vt:variant>
      <vt:variant>
        <vt:i4>0</vt:i4>
      </vt:variant>
      <vt:variant>
        <vt:i4>5</vt:i4>
      </vt:variant>
      <vt:variant>
        <vt:lpwstr/>
      </vt:variant>
      <vt:variant>
        <vt:lpwstr>_Toc165904939</vt:lpwstr>
      </vt:variant>
      <vt:variant>
        <vt:i4>2031677</vt:i4>
      </vt:variant>
      <vt:variant>
        <vt:i4>122</vt:i4>
      </vt:variant>
      <vt:variant>
        <vt:i4>0</vt:i4>
      </vt:variant>
      <vt:variant>
        <vt:i4>5</vt:i4>
      </vt:variant>
      <vt:variant>
        <vt:lpwstr/>
      </vt:variant>
      <vt:variant>
        <vt:lpwstr>_Toc165904938</vt:lpwstr>
      </vt:variant>
      <vt:variant>
        <vt:i4>2031677</vt:i4>
      </vt:variant>
      <vt:variant>
        <vt:i4>116</vt:i4>
      </vt:variant>
      <vt:variant>
        <vt:i4>0</vt:i4>
      </vt:variant>
      <vt:variant>
        <vt:i4>5</vt:i4>
      </vt:variant>
      <vt:variant>
        <vt:lpwstr/>
      </vt:variant>
      <vt:variant>
        <vt:lpwstr>_Toc165904937</vt:lpwstr>
      </vt:variant>
      <vt:variant>
        <vt:i4>2031677</vt:i4>
      </vt:variant>
      <vt:variant>
        <vt:i4>110</vt:i4>
      </vt:variant>
      <vt:variant>
        <vt:i4>0</vt:i4>
      </vt:variant>
      <vt:variant>
        <vt:i4>5</vt:i4>
      </vt:variant>
      <vt:variant>
        <vt:lpwstr/>
      </vt:variant>
      <vt:variant>
        <vt:lpwstr>_Toc165904936</vt:lpwstr>
      </vt:variant>
      <vt:variant>
        <vt:i4>2031677</vt:i4>
      </vt:variant>
      <vt:variant>
        <vt:i4>104</vt:i4>
      </vt:variant>
      <vt:variant>
        <vt:i4>0</vt:i4>
      </vt:variant>
      <vt:variant>
        <vt:i4>5</vt:i4>
      </vt:variant>
      <vt:variant>
        <vt:lpwstr/>
      </vt:variant>
      <vt:variant>
        <vt:lpwstr>_Toc165904935</vt:lpwstr>
      </vt:variant>
      <vt:variant>
        <vt:i4>2031677</vt:i4>
      </vt:variant>
      <vt:variant>
        <vt:i4>98</vt:i4>
      </vt:variant>
      <vt:variant>
        <vt:i4>0</vt:i4>
      </vt:variant>
      <vt:variant>
        <vt:i4>5</vt:i4>
      </vt:variant>
      <vt:variant>
        <vt:lpwstr/>
      </vt:variant>
      <vt:variant>
        <vt:lpwstr>_Toc165904934</vt:lpwstr>
      </vt:variant>
      <vt:variant>
        <vt:i4>2031677</vt:i4>
      </vt:variant>
      <vt:variant>
        <vt:i4>92</vt:i4>
      </vt:variant>
      <vt:variant>
        <vt:i4>0</vt:i4>
      </vt:variant>
      <vt:variant>
        <vt:i4>5</vt:i4>
      </vt:variant>
      <vt:variant>
        <vt:lpwstr/>
      </vt:variant>
      <vt:variant>
        <vt:lpwstr>_Toc165904933</vt:lpwstr>
      </vt:variant>
      <vt:variant>
        <vt:i4>2031677</vt:i4>
      </vt:variant>
      <vt:variant>
        <vt:i4>86</vt:i4>
      </vt:variant>
      <vt:variant>
        <vt:i4>0</vt:i4>
      </vt:variant>
      <vt:variant>
        <vt:i4>5</vt:i4>
      </vt:variant>
      <vt:variant>
        <vt:lpwstr/>
      </vt:variant>
      <vt:variant>
        <vt:lpwstr>_Toc165904932</vt:lpwstr>
      </vt:variant>
      <vt:variant>
        <vt:i4>2031677</vt:i4>
      </vt:variant>
      <vt:variant>
        <vt:i4>80</vt:i4>
      </vt:variant>
      <vt:variant>
        <vt:i4>0</vt:i4>
      </vt:variant>
      <vt:variant>
        <vt:i4>5</vt:i4>
      </vt:variant>
      <vt:variant>
        <vt:lpwstr/>
      </vt:variant>
      <vt:variant>
        <vt:lpwstr>_Toc165904931</vt:lpwstr>
      </vt:variant>
      <vt:variant>
        <vt:i4>2031677</vt:i4>
      </vt:variant>
      <vt:variant>
        <vt:i4>74</vt:i4>
      </vt:variant>
      <vt:variant>
        <vt:i4>0</vt:i4>
      </vt:variant>
      <vt:variant>
        <vt:i4>5</vt:i4>
      </vt:variant>
      <vt:variant>
        <vt:lpwstr/>
      </vt:variant>
      <vt:variant>
        <vt:lpwstr>_Toc165904930</vt:lpwstr>
      </vt:variant>
      <vt:variant>
        <vt:i4>1966141</vt:i4>
      </vt:variant>
      <vt:variant>
        <vt:i4>68</vt:i4>
      </vt:variant>
      <vt:variant>
        <vt:i4>0</vt:i4>
      </vt:variant>
      <vt:variant>
        <vt:i4>5</vt:i4>
      </vt:variant>
      <vt:variant>
        <vt:lpwstr/>
      </vt:variant>
      <vt:variant>
        <vt:lpwstr>_Toc165904929</vt:lpwstr>
      </vt:variant>
      <vt:variant>
        <vt:i4>1966141</vt:i4>
      </vt:variant>
      <vt:variant>
        <vt:i4>62</vt:i4>
      </vt:variant>
      <vt:variant>
        <vt:i4>0</vt:i4>
      </vt:variant>
      <vt:variant>
        <vt:i4>5</vt:i4>
      </vt:variant>
      <vt:variant>
        <vt:lpwstr/>
      </vt:variant>
      <vt:variant>
        <vt:lpwstr>_Toc165904928</vt:lpwstr>
      </vt:variant>
      <vt:variant>
        <vt:i4>1966141</vt:i4>
      </vt:variant>
      <vt:variant>
        <vt:i4>56</vt:i4>
      </vt:variant>
      <vt:variant>
        <vt:i4>0</vt:i4>
      </vt:variant>
      <vt:variant>
        <vt:i4>5</vt:i4>
      </vt:variant>
      <vt:variant>
        <vt:lpwstr/>
      </vt:variant>
      <vt:variant>
        <vt:lpwstr>_Toc165904927</vt:lpwstr>
      </vt:variant>
      <vt:variant>
        <vt:i4>1966141</vt:i4>
      </vt:variant>
      <vt:variant>
        <vt:i4>50</vt:i4>
      </vt:variant>
      <vt:variant>
        <vt:i4>0</vt:i4>
      </vt:variant>
      <vt:variant>
        <vt:i4>5</vt:i4>
      </vt:variant>
      <vt:variant>
        <vt:lpwstr/>
      </vt:variant>
      <vt:variant>
        <vt:lpwstr>_Toc165904926</vt:lpwstr>
      </vt:variant>
      <vt:variant>
        <vt:i4>1966141</vt:i4>
      </vt:variant>
      <vt:variant>
        <vt:i4>44</vt:i4>
      </vt:variant>
      <vt:variant>
        <vt:i4>0</vt:i4>
      </vt:variant>
      <vt:variant>
        <vt:i4>5</vt:i4>
      </vt:variant>
      <vt:variant>
        <vt:lpwstr/>
      </vt:variant>
      <vt:variant>
        <vt:lpwstr>_Toc165904925</vt:lpwstr>
      </vt:variant>
      <vt:variant>
        <vt:i4>1966141</vt:i4>
      </vt:variant>
      <vt:variant>
        <vt:i4>38</vt:i4>
      </vt:variant>
      <vt:variant>
        <vt:i4>0</vt:i4>
      </vt:variant>
      <vt:variant>
        <vt:i4>5</vt:i4>
      </vt:variant>
      <vt:variant>
        <vt:lpwstr/>
      </vt:variant>
      <vt:variant>
        <vt:lpwstr>_Toc165904924</vt:lpwstr>
      </vt:variant>
      <vt:variant>
        <vt:i4>1966141</vt:i4>
      </vt:variant>
      <vt:variant>
        <vt:i4>32</vt:i4>
      </vt:variant>
      <vt:variant>
        <vt:i4>0</vt:i4>
      </vt:variant>
      <vt:variant>
        <vt:i4>5</vt:i4>
      </vt:variant>
      <vt:variant>
        <vt:lpwstr/>
      </vt:variant>
      <vt:variant>
        <vt:lpwstr>_Toc165904923</vt:lpwstr>
      </vt:variant>
      <vt:variant>
        <vt:i4>1966141</vt:i4>
      </vt:variant>
      <vt:variant>
        <vt:i4>26</vt:i4>
      </vt:variant>
      <vt:variant>
        <vt:i4>0</vt:i4>
      </vt:variant>
      <vt:variant>
        <vt:i4>5</vt:i4>
      </vt:variant>
      <vt:variant>
        <vt:lpwstr/>
      </vt:variant>
      <vt:variant>
        <vt:lpwstr>_Toc165904922</vt:lpwstr>
      </vt:variant>
      <vt:variant>
        <vt:i4>1966141</vt:i4>
      </vt:variant>
      <vt:variant>
        <vt:i4>20</vt:i4>
      </vt:variant>
      <vt:variant>
        <vt:i4>0</vt:i4>
      </vt:variant>
      <vt:variant>
        <vt:i4>5</vt:i4>
      </vt:variant>
      <vt:variant>
        <vt:lpwstr/>
      </vt:variant>
      <vt:variant>
        <vt:lpwstr>_Toc165904921</vt:lpwstr>
      </vt:variant>
      <vt:variant>
        <vt:i4>1966141</vt:i4>
      </vt:variant>
      <vt:variant>
        <vt:i4>14</vt:i4>
      </vt:variant>
      <vt:variant>
        <vt:i4>0</vt:i4>
      </vt:variant>
      <vt:variant>
        <vt:i4>5</vt:i4>
      </vt:variant>
      <vt:variant>
        <vt:lpwstr/>
      </vt:variant>
      <vt:variant>
        <vt:lpwstr>_Toc165904920</vt:lpwstr>
      </vt:variant>
      <vt:variant>
        <vt:i4>1900605</vt:i4>
      </vt:variant>
      <vt:variant>
        <vt:i4>8</vt:i4>
      </vt:variant>
      <vt:variant>
        <vt:i4>0</vt:i4>
      </vt:variant>
      <vt:variant>
        <vt:i4>5</vt:i4>
      </vt:variant>
      <vt:variant>
        <vt:lpwstr/>
      </vt:variant>
      <vt:variant>
        <vt:lpwstr>_Toc165904919</vt:lpwstr>
      </vt:variant>
      <vt:variant>
        <vt:i4>1900605</vt:i4>
      </vt:variant>
      <vt:variant>
        <vt:i4>2</vt:i4>
      </vt:variant>
      <vt:variant>
        <vt:i4>0</vt:i4>
      </vt:variant>
      <vt:variant>
        <vt:i4>5</vt:i4>
      </vt:variant>
      <vt:variant>
        <vt:lpwstr/>
      </vt:variant>
      <vt:variant>
        <vt:lpwstr>_Toc165904918</vt:lpwstr>
      </vt:variant>
      <vt:variant>
        <vt:i4>23</vt:i4>
      </vt:variant>
      <vt:variant>
        <vt:i4>72</vt:i4>
      </vt:variant>
      <vt:variant>
        <vt:i4>0</vt:i4>
      </vt:variant>
      <vt:variant>
        <vt:i4>5</vt:i4>
      </vt:variant>
      <vt:variant>
        <vt:lpwstr>https://www.acog.org/womens-health/faqs/uterine-fibroids</vt:lpwstr>
      </vt:variant>
      <vt:variant>
        <vt:lpwstr/>
      </vt:variant>
      <vt:variant>
        <vt:i4>2162747</vt:i4>
      </vt:variant>
      <vt:variant>
        <vt:i4>69</vt:i4>
      </vt:variant>
      <vt:variant>
        <vt:i4>0</vt:i4>
      </vt:variant>
      <vt:variant>
        <vt:i4>5</vt:i4>
      </vt:variant>
      <vt:variant>
        <vt:lpwstr>https://www.sydneyfibroidclinic.com.au/app/uploads/2019/10/HTT-Fibroids-Australian-Doctor-.pdf</vt:lpwstr>
      </vt:variant>
      <vt:variant>
        <vt:lpwstr/>
      </vt:variant>
      <vt:variant>
        <vt:i4>262210</vt:i4>
      </vt:variant>
      <vt:variant>
        <vt:i4>66</vt:i4>
      </vt:variant>
      <vt:variant>
        <vt:i4>0</vt:i4>
      </vt:variant>
      <vt:variant>
        <vt:i4>5</vt:i4>
      </vt:variant>
      <vt:variant>
        <vt:lpwstr>https://www.menopause.org.au/hp/information-sheets/ams-guide-to-mht-hrt-doses</vt:lpwstr>
      </vt:variant>
      <vt:variant>
        <vt:lpwstr/>
      </vt:variant>
      <vt:variant>
        <vt:i4>1966085</vt:i4>
      </vt:variant>
      <vt:variant>
        <vt:i4>63</vt:i4>
      </vt:variant>
      <vt:variant>
        <vt:i4>0</vt:i4>
      </vt:variant>
      <vt:variant>
        <vt:i4>5</vt:i4>
      </vt:variant>
      <vt:variant>
        <vt:lpwstr>https://www.abs.gov.au/statistics/people/people-and-communities/cultural-diversity-census/latest-release</vt:lpwstr>
      </vt:variant>
      <vt:variant>
        <vt:lpwstr/>
      </vt:variant>
      <vt:variant>
        <vt:i4>8323173</vt:i4>
      </vt:variant>
      <vt:variant>
        <vt:i4>60</vt:i4>
      </vt:variant>
      <vt:variant>
        <vt:i4>0</vt:i4>
      </vt:variant>
      <vt:variant>
        <vt:i4>5</vt:i4>
      </vt:variant>
      <vt:variant>
        <vt:lpwstr>https://www.nice.org.uk/guidance/ta832/history</vt:lpwstr>
      </vt:variant>
      <vt:variant>
        <vt:lpwstr/>
      </vt:variant>
      <vt:variant>
        <vt:i4>3473513</vt:i4>
      </vt:variant>
      <vt:variant>
        <vt:i4>57</vt:i4>
      </vt:variant>
      <vt:variant>
        <vt:i4>0</vt:i4>
      </vt:variant>
      <vt:variant>
        <vt:i4>5</vt:i4>
      </vt:variant>
      <vt:variant>
        <vt:lpwstr>https://www.nice.org.uk/guidance/gid-ta11131/documents/129</vt:lpwstr>
      </vt:variant>
      <vt:variant>
        <vt:lpwstr/>
      </vt:variant>
      <vt:variant>
        <vt:i4>3801208</vt:i4>
      </vt:variant>
      <vt:variant>
        <vt:i4>54</vt:i4>
      </vt:variant>
      <vt:variant>
        <vt:i4>0</vt:i4>
      </vt:variant>
      <vt:variant>
        <vt:i4>5</vt:i4>
      </vt:variant>
      <vt:variant>
        <vt:lpwstr>https://www.pbs.gov.au/industry/listing/elements/pbac-meetings/pbac-outcomes/2024-03/pbac-web-outcomes-03-2024.pdf</vt:lpwstr>
      </vt:variant>
      <vt:variant>
        <vt:lpwstr/>
      </vt:variant>
      <vt:variant>
        <vt:i4>4915255</vt:i4>
      </vt:variant>
      <vt:variant>
        <vt:i4>51</vt:i4>
      </vt:variant>
      <vt:variant>
        <vt:i4>0</vt:i4>
      </vt:variant>
      <vt:variant>
        <vt:i4>5</vt:i4>
      </vt:variant>
      <vt:variant>
        <vt:lpwstr>https://www.ema.europa.eu/en/documents/product-information/yselty-epar-product-information_en.pdf</vt:lpwstr>
      </vt:variant>
      <vt:variant>
        <vt:lpwstr/>
      </vt:variant>
      <vt:variant>
        <vt:i4>7012403</vt:i4>
      </vt:variant>
      <vt:variant>
        <vt:i4>48</vt:i4>
      </vt:variant>
      <vt:variant>
        <vt:i4>0</vt:i4>
      </vt:variant>
      <vt:variant>
        <vt:i4>5</vt:i4>
      </vt:variant>
      <vt:variant>
        <vt:lpwstr>https://www.ema.europa.eu/en/medicines/human/EPAR/ryeqo</vt:lpwstr>
      </vt:variant>
      <vt:variant>
        <vt:lpwstr/>
      </vt:variant>
      <vt:variant>
        <vt:i4>4522111</vt:i4>
      </vt:variant>
      <vt:variant>
        <vt:i4>45</vt:i4>
      </vt:variant>
      <vt:variant>
        <vt:i4>0</vt:i4>
      </vt:variant>
      <vt:variant>
        <vt:i4>5</vt:i4>
      </vt:variant>
      <vt:variant>
        <vt:lpwstr>https://www.accessdata.fda.gov/drugsatfda_docs/label/2020/213388s000lbl.pdf</vt:lpwstr>
      </vt:variant>
      <vt:variant>
        <vt:lpwstr/>
      </vt:variant>
      <vt:variant>
        <vt:i4>4194421</vt:i4>
      </vt:variant>
      <vt:variant>
        <vt:i4>42</vt:i4>
      </vt:variant>
      <vt:variant>
        <vt:i4>0</vt:i4>
      </vt:variant>
      <vt:variant>
        <vt:i4>5</vt:i4>
      </vt:variant>
      <vt:variant>
        <vt:lpwstr>https://www.accessdata.fda.gov/drugsatfda_docs/label/2021/214846s000lbl.pdf</vt:lpwstr>
      </vt:variant>
      <vt:variant>
        <vt:lpwstr/>
      </vt:variant>
      <vt:variant>
        <vt:i4>1572864</vt:i4>
      </vt:variant>
      <vt:variant>
        <vt:i4>39</vt:i4>
      </vt:variant>
      <vt:variant>
        <vt:i4>0</vt:i4>
      </vt:variant>
      <vt:variant>
        <vt:i4>5</vt:i4>
      </vt:variant>
      <vt:variant>
        <vt:lpwstr>https://www.ebs.tga.gov.au/ebs/picmi/picmirepository.nsf/pdf?OpenAgent=&amp;id=CP-2022-PI-01955-1&amp;d=20240403172310101</vt:lpwstr>
      </vt:variant>
      <vt:variant>
        <vt:lpwstr/>
      </vt:variant>
      <vt:variant>
        <vt:i4>4980750</vt:i4>
      </vt:variant>
      <vt:variant>
        <vt:i4>36</vt:i4>
      </vt:variant>
      <vt:variant>
        <vt:i4>0</vt:i4>
      </vt:variant>
      <vt:variant>
        <vt:i4>5</vt:i4>
      </vt:variant>
      <vt:variant>
        <vt:lpwstr>https://www.ema.europa.eu/en/medicines/human/EPAR/yselty</vt:lpwstr>
      </vt:variant>
      <vt:variant>
        <vt:lpwstr>ema-inpage-item-authorisation-details</vt:lpwstr>
      </vt:variant>
      <vt:variant>
        <vt:i4>5373978</vt:i4>
      </vt:variant>
      <vt:variant>
        <vt:i4>33</vt:i4>
      </vt:variant>
      <vt:variant>
        <vt:i4>0</vt:i4>
      </vt:variant>
      <vt:variant>
        <vt:i4>5</vt:i4>
      </vt:variant>
      <vt:variant>
        <vt:lpwstr>https://www.nice.org.uk/guidance/ta832/chapter/1-Recommendations</vt:lpwstr>
      </vt:variant>
      <vt:variant>
        <vt:lpwstr/>
      </vt:variant>
      <vt:variant>
        <vt:i4>6029341</vt:i4>
      </vt:variant>
      <vt:variant>
        <vt:i4>30</vt:i4>
      </vt:variant>
      <vt:variant>
        <vt:i4>0</vt:i4>
      </vt:variant>
      <vt:variant>
        <vt:i4>5</vt:i4>
      </vt:variant>
      <vt:variant>
        <vt:lpwstr>https://www.acog.org/clinical/clinical-guidance/practice-bulletin/articles/2021/06/management-of-symptomatic-uterine-leiomyomas</vt:lpwstr>
      </vt:variant>
      <vt:variant>
        <vt:lpwstr>:~:text=ABSTRACT%3A%20Uterine%20leiomyomas%20(fibroids),effective%20surgical%20treatment%20for%20leiomyoma</vt:lpwstr>
      </vt:variant>
      <vt:variant>
        <vt:i4>1572880</vt:i4>
      </vt:variant>
      <vt:variant>
        <vt:i4>27</vt:i4>
      </vt:variant>
      <vt:variant>
        <vt:i4>0</vt:i4>
      </vt:variant>
      <vt:variant>
        <vt:i4>5</vt:i4>
      </vt:variant>
      <vt:variant>
        <vt:lpwstr>https://www.aafp.org/pubs/afp/issues/2017/0115/p100.html</vt:lpwstr>
      </vt:variant>
      <vt:variant>
        <vt:lpwstr>:~:text=Ultrasonography%20is%20the%20recommended%20initial%20imaging%20modality%20for%20diagnosis%20of%20uterine%20fibroids.&amp;text=Management%20of%20uterine%20fibroids%20should,therapy%3B%20and%20the%20physician's%20experience</vt:lpwstr>
      </vt:variant>
      <vt:variant>
        <vt:i4>3211283</vt:i4>
      </vt:variant>
      <vt:variant>
        <vt:i4>24</vt:i4>
      </vt:variant>
      <vt:variant>
        <vt:i4>0</vt:i4>
      </vt:variant>
      <vt:variant>
        <vt:i4>5</vt:i4>
      </vt:variant>
      <vt:variant>
        <vt:lpwstr>https://www.uptodate.com/contents/uterine-fibroids-leiomyomas-treatment-overview?search=Uterine%20fibroids%20&amp;source=search_result&amp;selectedTitle=1%7E150&amp;usage_type=default&amp;display_rank=1</vt:lpwstr>
      </vt:variant>
      <vt:variant>
        <vt:lpwstr/>
      </vt:variant>
      <vt:variant>
        <vt:i4>4718666</vt:i4>
      </vt:variant>
      <vt:variant>
        <vt:i4>21</vt:i4>
      </vt:variant>
      <vt:variant>
        <vt:i4>0</vt:i4>
      </vt:variant>
      <vt:variant>
        <vt:i4>5</vt:i4>
      </vt:variant>
      <vt:variant>
        <vt:lpwstr>https://www.nice.org.uk/guidance/ng88/chapter/Recommendations</vt:lpwstr>
      </vt:variant>
      <vt:variant>
        <vt:lpwstr/>
      </vt:variant>
      <vt:variant>
        <vt:i4>1638481</vt:i4>
      </vt:variant>
      <vt:variant>
        <vt:i4>18</vt:i4>
      </vt:variant>
      <vt:variant>
        <vt:i4>0</vt:i4>
      </vt:variant>
      <vt:variant>
        <vt:i4>5</vt:i4>
      </vt:variant>
      <vt:variant>
        <vt:lpwstr>https://www.racgp.org.au/afp/2016/october/uterine-fibroids-investigation-and-current-managem</vt:lpwstr>
      </vt:variant>
      <vt:variant>
        <vt:lpwstr/>
      </vt:variant>
      <vt:variant>
        <vt:i4>3997735</vt:i4>
      </vt:variant>
      <vt:variant>
        <vt:i4>15</vt:i4>
      </vt:variant>
      <vt:variant>
        <vt:i4>0</vt:i4>
      </vt:variant>
      <vt:variant>
        <vt:i4>5</vt:i4>
      </vt:variant>
      <vt:variant>
        <vt:lpwstr>https://ranzcog.edu.au/wp-content/uploads/2022/05/Uterine-artery-embolisation-for-the-treatment-of-uterine-fibroids.pdf</vt:lpwstr>
      </vt:variant>
      <vt:variant>
        <vt:lpwstr/>
      </vt:variant>
      <vt:variant>
        <vt:i4>1572864</vt:i4>
      </vt:variant>
      <vt:variant>
        <vt:i4>12</vt:i4>
      </vt:variant>
      <vt:variant>
        <vt:i4>0</vt:i4>
      </vt:variant>
      <vt:variant>
        <vt:i4>5</vt:i4>
      </vt:variant>
      <vt:variant>
        <vt:lpwstr>https://www.ebs.tga.gov.au/ebs/picmi/picmirepository.nsf/pdf?OpenAgent=&amp;id=CP-2022-PI-01955-1&amp;d=20240403172310101</vt:lpwstr>
      </vt:variant>
      <vt:variant>
        <vt:lpwstr/>
      </vt:variant>
      <vt:variant>
        <vt:i4>2031682</vt:i4>
      </vt:variant>
      <vt:variant>
        <vt:i4>9</vt:i4>
      </vt:variant>
      <vt:variant>
        <vt:i4>0</vt:i4>
      </vt:variant>
      <vt:variant>
        <vt:i4>5</vt:i4>
      </vt:variant>
      <vt:variant>
        <vt:lpwstr>https://www.ncbi.nlm.nih.gov/pmc/articles/PMC9277653/</vt:lpwstr>
      </vt:variant>
      <vt:variant>
        <vt:lpwstr/>
      </vt:variant>
      <vt:variant>
        <vt:i4>1572864</vt:i4>
      </vt:variant>
      <vt:variant>
        <vt:i4>6</vt:i4>
      </vt:variant>
      <vt:variant>
        <vt:i4>0</vt:i4>
      </vt:variant>
      <vt:variant>
        <vt:i4>5</vt:i4>
      </vt:variant>
      <vt:variant>
        <vt:lpwstr>https://www.ebs.tga.gov.au/ebs/picmi/picmirepository.nsf/pdf?OpenAgent=&amp;id=CP-2022-PI-01955-1&amp;d=20240403172310101</vt:lpwstr>
      </vt:variant>
      <vt:variant>
        <vt:lpwstr/>
      </vt:variant>
      <vt:variant>
        <vt:i4>2031682</vt:i4>
      </vt:variant>
      <vt:variant>
        <vt:i4>3</vt:i4>
      </vt:variant>
      <vt:variant>
        <vt:i4>0</vt:i4>
      </vt:variant>
      <vt:variant>
        <vt:i4>5</vt:i4>
      </vt:variant>
      <vt:variant>
        <vt:lpwstr>https://www.ncbi.nlm.nih.gov/pmc/articles/PMC9277653/</vt:lpwstr>
      </vt:variant>
      <vt:variant>
        <vt:lpwstr/>
      </vt:variant>
      <vt:variant>
        <vt:i4>3801208</vt:i4>
      </vt:variant>
      <vt:variant>
        <vt:i4>0</vt:i4>
      </vt:variant>
      <vt:variant>
        <vt:i4>0</vt:i4>
      </vt:variant>
      <vt:variant>
        <vt:i4>5</vt:i4>
      </vt:variant>
      <vt:variant>
        <vt:lpwstr>https://www.pbs.gov.au/industry/listing/elements/pbac-meetings/pbac-outcomes/2024-03/pbac-web-outcomes-03-2024.pdf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2024-10-28T04:06:00Z</dcterms:created>
  <dcterms:modified xsi:type="dcterms:W3CDTF">2024-10-28T04:07:00Z</dcterms:modified>
</cp:coreProperties>
</file>