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15BD9" w14:textId="39B48CEF" w:rsidR="00181B1F" w:rsidRPr="00CA7D9B" w:rsidRDefault="00181B1F" w:rsidP="007E0187">
      <w:pPr>
        <w:pStyle w:val="1-MainHeading"/>
        <w:spacing w:before="0" w:after="0"/>
        <w:ind w:left="993" w:hanging="993"/>
        <w:rPr>
          <w:b w:val="0"/>
          <w:bCs/>
        </w:rPr>
      </w:pPr>
      <w:bookmarkStart w:id="0" w:name="_Ref169517843"/>
      <w:bookmarkStart w:id="1" w:name="_Toc22897637"/>
      <w:bookmarkStart w:id="2" w:name="_Toc22898843"/>
      <w:bookmarkEnd w:id="0"/>
      <w:r w:rsidRPr="00181B1F">
        <w:t>5.08</w:t>
      </w:r>
      <w:r w:rsidRPr="00181B1F">
        <w:tab/>
        <w:t>IVOSIDENIB</w:t>
      </w:r>
      <w:r w:rsidR="007E0187">
        <w:br/>
      </w:r>
      <w:r w:rsidRPr="00CA7D9B">
        <w:rPr>
          <w:bCs/>
        </w:rPr>
        <w:t>Tablet 250 mg,</w:t>
      </w:r>
    </w:p>
    <w:p w14:paraId="03FFFDFD" w14:textId="46C90132" w:rsidR="00181B1F" w:rsidRPr="00CA7D9B" w:rsidRDefault="00181B1F" w:rsidP="00CA7D9B">
      <w:pPr>
        <w:pStyle w:val="BodyText"/>
        <w:spacing w:before="0" w:after="0"/>
        <w:ind w:left="720" w:firstLine="273"/>
        <w:rPr>
          <w:b/>
          <w:bCs/>
          <w:sz w:val="36"/>
          <w:szCs w:val="36"/>
        </w:rPr>
      </w:pPr>
      <w:r w:rsidRPr="00CA7D9B">
        <w:rPr>
          <w:b/>
          <w:bCs/>
          <w:sz w:val="36"/>
          <w:szCs w:val="36"/>
        </w:rPr>
        <w:t>Tibsovo®,</w:t>
      </w:r>
    </w:p>
    <w:p w14:paraId="0D5F8AAF" w14:textId="1A9AB524" w:rsidR="00181B1F" w:rsidRPr="00CA7D9B" w:rsidRDefault="00181B1F" w:rsidP="00CA7D9B">
      <w:pPr>
        <w:pStyle w:val="BodyText"/>
        <w:spacing w:before="0" w:after="0"/>
        <w:ind w:left="720" w:firstLine="273"/>
        <w:rPr>
          <w:b/>
          <w:bCs/>
          <w:sz w:val="36"/>
          <w:szCs w:val="36"/>
        </w:rPr>
      </w:pPr>
      <w:r w:rsidRPr="00CA7D9B">
        <w:rPr>
          <w:b/>
          <w:bCs/>
          <w:sz w:val="36"/>
          <w:szCs w:val="36"/>
        </w:rPr>
        <w:t>Servier Laboratories Aust</w:t>
      </w:r>
      <w:r w:rsidR="00BF08E6" w:rsidRPr="00CA7D9B">
        <w:rPr>
          <w:b/>
          <w:bCs/>
          <w:sz w:val="36"/>
          <w:szCs w:val="36"/>
        </w:rPr>
        <w:t>.</w:t>
      </w:r>
      <w:r w:rsidRPr="00CA7D9B">
        <w:rPr>
          <w:b/>
          <w:bCs/>
          <w:sz w:val="36"/>
          <w:szCs w:val="36"/>
        </w:rPr>
        <w:t xml:space="preserve"> Pty</w:t>
      </w:r>
      <w:r w:rsidR="00BF08E6" w:rsidRPr="00CA7D9B">
        <w:rPr>
          <w:b/>
          <w:bCs/>
          <w:sz w:val="36"/>
          <w:szCs w:val="36"/>
        </w:rPr>
        <w:t>.</w:t>
      </w:r>
      <w:r w:rsidRPr="00CA7D9B">
        <w:rPr>
          <w:b/>
          <w:bCs/>
          <w:sz w:val="36"/>
          <w:szCs w:val="36"/>
        </w:rPr>
        <w:t xml:space="preserve"> Ltd</w:t>
      </w:r>
      <w:r w:rsidR="00BF08E6" w:rsidRPr="00CA7D9B">
        <w:rPr>
          <w:b/>
          <w:bCs/>
          <w:sz w:val="36"/>
          <w:szCs w:val="36"/>
        </w:rPr>
        <w:t>.</w:t>
      </w:r>
    </w:p>
    <w:p w14:paraId="25C14E40" w14:textId="77777777" w:rsidR="00C317F3" w:rsidRPr="003E7195" w:rsidRDefault="00C317F3" w:rsidP="00CD42C1">
      <w:pPr>
        <w:pStyle w:val="PBACESHeading1"/>
        <w:numPr>
          <w:ilvl w:val="0"/>
          <w:numId w:val="10"/>
        </w:numPr>
        <w:rPr>
          <w:color w:val="0D0D0D" w:themeColor="text1" w:themeTint="F2"/>
        </w:rPr>
      </w:pPr>
      <w:bookmarkStart w:id="3" w:name="_Toc413139271"/>
      <w:bookmarkStart w:id="4" w:name="_Toc166763136"/>
      <w:bookmarkEnd w:id="1"/>
      <w:bookmarkEnd w:id="2"/>
      <w:r w:rsidRPr="003E7195">
        <w:rPr>
          <w:color w:val="0D0D0D" w:themeColor="text1" w:themeTint="F2"/>
        </w:rPr>
        <w:t xml:space="preserve">Purpose of </w:t>
      </w:r>
      <w:r w:rsidR="00934564" w:rsidRPr="003E7195">
        <w:rPr>
          <w:color w:val="0D0D0D" w:themeColor="text1" w:themeTint="F2"/>
        </w:rPr>
        <w:t>submiss</w:t>
      </w:r>
      <w:r w:rsidRPr="003E7195">
        <w:rPr>
          <w:color w:val="0D0D0D" w:themeColor="text1" w:themeTint="F2"/>
        </w:rPr>
        <w:t>ion</w:t>
      </w:r>
      <w:bookmarkEnd w:id="3"/>
      <w:bookmarkEnd w:id="4"/>
    </w:p>
    <w:p w14:paraId="7AD49096" w14:textId="25C479EF" w:rsidR="00555CB0" w:rsidRPr="00AB222B" w:rsidRDefault="00544C91" w:rsidP="007E0187">
      <w:pPr>
        <w:pStyle w:val="ListParagraph"/>
        <w:numPr>
          <w:ilvl w:val="4"/>
          <w:numId w:val="23"/>
        </w:numPr>
      </w:pPr>
      <w:r w:rsidRPr="00AB222B">
        <w:t>An integrated codependent submission requesting</w:t>
      </w:r>
      <w:r w:rsidR="007017EB" w:rsidRPr="00AB222B">
        <w:t>: 1)</w:t>
      </w:r>
      <w:r w:rsidRPr="00AB222B">
        <w:t xml:space="preserve"> </w:t>
      </w:r>
      <w:r w:rsidR="007017EB" w:rsidRPr="00AB222B">
        <w:t xml:space="preserve">the </w:t>
      </w:r>
      <w:r w:rsidRPr="00AB222B">
        <w:t xml:space="preserve">MBS listing of isocitrate dehydrogenase 1 </w:t>
      </w:r>
      <w:r w:rsidRPr="007E0187">
        <w:rPr>
          <w:i/>
          <w:iCs/>
        </w:rPr>
        <w:t>(IDH1)</w:t>
      </w:r>
      <w:r w:rsidRPr="00AB222B">
        <w:t xml:space="preserve"> testing for </w:t>
      </w:r>
      <w:r w:rsidR="00544791" w:rsidRPr="00AB222B">
        <w:t>t</w:t>
      </w:r>
      <w:r w:rsidRPr="00AB222B">
        <w:t xml:space="preserve">ier </w:t>
      </w:r>
      <w:r w:rsidR="00AC1FDF" w:rsidRPr="00AB222B">
        <w:t xml:space="preserve">I </w:t>
      </w:r>
      <w:r w:rsidR="00FC56BE" w:rsidRPr="007E0187">
        <w:rPr>
          <w:i/>
          <w:iCs/>
        </w:rPr>
        <w:t>IDH1</w:t>
      </w:r>
      <w:r w:rsidR="00FC56BE" w:rsidRPr="00AB222B">
        <w:t xml:space="preserve"> </w:t>
      </w:r>
      <w:r w:rsidRPr="00AB222B">
        <w:t xml:space="preserve">p.R132X variants </w:t>
      </w:r>
      <w:r w:rsidR="00A00313" w:rsidRPr="00AB222B">
        <w:t xml:space="preserve">in patients with cholangiocarcinoma (CCA) </w:t>
      </w:r>
      <w:r w:rsidR="007017EB" w:rsidRPr="00AB222B">
        <w:t>to</w:t>
      </w:r>
      <w:r w:rsidRPr="00AB222B">
        <w:t xml:space="preserve"> determin</w:t>
      </w:r>
      <w:r w:rsidR="007017EB" w:rsidRPr="00AB222B">
        <w:t>e</w:t>
      </w:r>
      <w:r w:rsidR="00A00313" w:rsidRPr="00AB222B">
        <w:t xml:space="preserve"> access to an IDH1</w:t>
      </w:r>
      <w:r w:rsidR="00A00313" w:rsidRPr="007E0187">
        <w:rPr>
          <w:i/>
          <w:iCs/>
        </w:rPr>
        <w:t xml:space="preserve"> </w:t>
      </w:r>
      <w:r w:rsidR="00A00313" w:rsidRPr="00AB222B">
        <w:t>inhibitor under the PBS</w:t>
      </w:r>
      <w:r w:rsidRPr="00AB222B">
        <w:t xml:space="preserve">, and </w:t>
      </w:r>
      <w:r w:rsidR="007017EB" w:rsidRPr="00AB222B">
        <w:t xml:space="preserve">2) </w:t>
      </w:r>
      <w:r w:rsidR="00A00313" w:rsidRPr="00AB222B">
        <w:t xml:space="preserve">the </w:t>
      </w:r>
      <w:r w:rsidRPr="00AB222B">
        <w:t>PBS listing of ivosidenib for the treatment of locally advanced or metastatic CCA in patients who have evidence of a</w:t>
      </w:r>
      <w:r w:rsidR="009A147C" w:rsidRPr="00AB222B">
        <w:t>n</w:t>
      </w:r>
      <w:r w:rsidRPr="00AB222B">
        <w:t xml:space="preserve"> </w:t>
      </w:r>
      <w:r w:rsidRPr="007E0187">
        <w:rPr>
          <w:i/>
          <w:iCs/>
        </w:rPr>
        <w:t>IDH1</w:t>
      </w:r>
      <w:r w:rsidRPr="00AB222B">
        <w:t xml:space="preserve"> variant and whose disease ha</w:t>
      </w:r>
      <w:r w:rsidR="004D3F5F" w:rsidRPr="00AB222B">
        <w:t>s</w:t>
      </w:r>
      <w:r w:rsidRPr="00AB222B">
        <w:t xml:space="preserve"> progressed on at least one prior line of systemic therapy</w:t>
      </w:r>
      <w:r w:rsidR="00555CB0" w:rsidRPr="00AB222B">
        <w:t>.</w:t>
      </w:r>
    </w:p>
    <w:p w14:paraId="03E3BB1B" w14:textId="6F31D7DB" w:rsidR="009A580E" w:rsidRPr="003E7195" w:rsidRDefault="00544C91" w:rsidP="007E0187">
      <w:pPr>
        <w:pStyle w:val="ListParagraph"/>
      </w:pPr>
      <w:r w:rsidRPr="71BF619C">
        <w:t>Listing was requested based on a cost-utility analysis which assessed the incremental costs and quality-adjusted life years (QALYs) associated with ivosidenib compared to palliative/</w:t>
      </w:r>
      <w:r w:rsidR="00431969" w:rsidRPr="71BF619C">
        <w:t>best supportive care (</w:t>
      </w:r>
      <w:r w:rsidRPr="71BF619C">
        <w:t>BSC</w:t>
      </w:r>
      <w:r w:rsidR="00431969" w:rsidRPr="71BF619C">
        <w:t>)</w:t>
      </w:r>
      <w:r w:rsidRPr="71BF619C">
        <w:t xml:space="preserve"> for patients with locally advanced or metastatic CCA who have disease progression following at least one line of systemic therapy.</w:t>
      </w:r>
    </w:p>
    <w:p w14:paraId="1ECEAA6E" w14:textId="3152881F" w:rsidR="00E01D22" w:rsidRPr="003E7195" w:rsidRDefault="00E01D22" w:rsidP="00013016">
      <w:pPr>
        <w:pStyle w:val="Caption"/>
      </w:pPr>
      <w:r w:rsidRPr="003E7195">
        <w:t xml:space="preserve">Table </w:t>
      </w:r>
      <w:r w:rsidR="00841FC2">
        <w:fldChar w:fldCharType="begin" w:fldLock="1"/>
      </w:r>
      <w:r w:rsidR="00841FC2">
        <w:instrText xml:space="preserve"> SEQ Table_PBAC. \* ARABIC </w:instrText>
      </w:r>
      <w:r w:rsidR="00841FC2">
        <w:fldChar w:fldCharType="separate"/>
      </w:r>
      <w:r w:rsidR="00CB6594">
        <w:rPr>
          <w:noProof/>
        </w:rPr>
        <w:t>1</w:t>
      </w:r>
      <w:r w:rsidR="00841FC2">
        <w:rPr>
          <w:noProof/>
        </w:rPr>
        <w:fldChar w:fldCharType="end"/>
      </w:r>
      <w:r w:rsidR="007E0187">
        <w:t xml:space="preserve">: </w:t>
      </w:r>
      <w:r w:rsidRPr="003E7195">
        <w:t>Key components of the clinical issue addressed by the submission</w:t>
      </w:r>
    </w:p>
    <w:tbl>
      <w:tblPr>
        <w:tblStyle w:val="PBACTableStyle"/>
        <w:tblW w:w="0" w:type="auto"/>
        <w:tblLook w:val="04A0" w:firstRow="1" w:lastRow="0" w:firstColumn="1" w:lastColumn="0" w:noHBand="0" w:noVBand="1"/>
      </w:tblPr>
      <w:tblGrid>
        <w:gridCol w:w="1696"/>
        <w:gridCol w:w="7320"/>
      </w:tblGrid>
      <w:tr w:rsidR="003E7195" w:rsidRPr="003E7195" w14:paraId="2E9546AA" w14:textId="77777777" w:rsidTr="79C65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bottom"/>
          </w:tcPr>
          <w:p w14:paraId="1AF0608B" w14:textId="77777777" w:rsidR="00544C91" w:rsidRPr="003E7195" w:rsidRDefault="00544C91" w:rsidP="79C6582A">
            <w:pPr>
              <w:pStyle w:val="TableText"/>
              <w:rPr>
                <w:color w:val="0D0D0D" w:themeColor="text1" w:themeTint="F2"/>
                <w:lang w:val="en-AU"/>
              </w:rPr>
            </w:pPr>
            <w:r w:rsidRPr="79C6582A">
              <w:rPr>
                <w:color w:val="0D0D0D" w:themeColor="text1" w:themeTint="F2"/>
                <w:lang w:val="en-AU"/>
              </w:rPr>
              <w:t>Component</w:t>
            </w:r>
          </w:p>
        </w:tc>
        <w:tc>
          <w:tcPr>
            <w:tcW w:w="7320" w:type="dxa"/>
            <w:vAlign w:val="bottom"/>
          </w:tcPr>
          <w:p w14:paraId="12B46BB9" w14:textId="77777777" w:rsidR="00544C91" w:rsidRPr="003E7195" w:rsidRDefault="00544C91" w:rsidP="00D14A3E">
            <w:pPr>
              <w:pStyle w:val="TableText"/>
              <w:cnfStyle w:val="100000000000" w:firstRow="1"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Description</w:t>
            </w:r>
          </w:p>
        </w:tc>
      </w:tr>
      <w:tr w:rsidR="003E7195" w:rsidRPr="003E7195" w14:paraId="32F223D9" w14:textId="77777777" w:rsidTr="79C6582A">
        <w:tc>
          <w:tcPr>
            <w:cnfStyle w:val="001000000000" w:firstRow="0" w:lastRow="0" w:firstColumn="1" w:lastColumn="0" w:oddVBand="0" w:evenVBand="0" w:oddHBand="0" w:evenHBand="0" w:firstRowFirstColumn="0" w:firstRowLastColumn="0" w:lastRowFirstColumn="0" w:lastRowLastColumn="0"/>
            <w:tcW w:w="1696" w:type="dxa"/>
          </w:tcPr>
          <w:p w14:paraId="2FC4B2EA" w14:textId="77777777" w:rsidR="00544C91" w:rsidRPr="003E7195" w:rsidRDefault="00544C91" w:rsidP="00D14A3E">
            <w:pPr>
              <w:pStyle w:val="TableText"/>
              <w:rPr>
                <w:color w:val="0D0D0D" w:themeColor="text1" w:themeTint="F2"/>
              </w:rPr>
            </w:pPr>
            <w:r w:rsidRPr="003E7195">
              <w:rPr>
                <w:color w:val="0D0D0D" w:themeColor="text1" w:themeTint="F2"/>
              </w:rPr>
              <w:t>Population</w:t>
            </w:r>
          </w:p>
        </w:tc>
        <w:tc>
          <w:tcPr>
            <w:tcW w:w="7320" w:type="dxa"/>
          </w:tcPr>
          <w:p w14:paraId="2810759B" w14:textId="77777777"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Test:</w:t>
            </w:r>
            <w:r w:rsidRPr="003E7195">
              <w:rPr>
                <w:color w:val="0D0D0D" w:themeColor="text1" w:themeTint="F2"/>
              </w:rPr>
              <w:t xml:space="preserve"> Adult patients with cholangiocarcinoma (CCA)</w:t>
            </w:r>
          </w:p>
          <w:p w14:paraId="1A7C706F" w14:textId="5029720A"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Treatment</w:t>
            </w:r>
            <w:r w:rsidRPr="003E7195">
              <w:rPr>
                <w:color w:val="0D0D0D" w:themeColor="text1" w:themeTint="F2"/>
              </w:rPr>
              <w:t xml:space="preserve">: Patients with locally advanced or metastatic CCA who have disease progression following at least one line of chemotherapy and a confirmed </w:t>
            </w:r>
            <w:r w:rsidR="00A00313" w:rsidRPr="003E7195">
              <w:rPr>
                <w:color w:val="0D0D0D" w:themeColor="text1" w:themeTint="F2"/>
              </w:rPr>
              <w:t>isocitrate dehydrogenase 1 (</w:t>
            </w:r>
            <w:r w:rsidRPr="003E7195">
              <w:rPr>
                <w:i/>
                <w:iCs/>
                <w:color w:val="0D0D0D" w:themeColor="text1" w:themeTint="F2"/>
              </w:rPr>
              <w:t>IDH1</w:t>
            </w:r>
            <w:r w:rsidR="00A00313" w:rsidRPr="003E7195">
              <w:rPr>
                <w:color w:val="0D0D0D" w:themeColor="text1" w:themeTint="F2"/>
              </w:rPr>
              <w:t>)</w:t>
            </w:r>
            <w:r w:rsidRPr="003E7195">
              <w:rPr>
                <w:color w:val="0D0D0D" w:themeColor="text1" w:themeTint="F2"/>
              </w:rPr>
              <w:t xml:space="preserve"> mutation</w:t>
            </w:r>
          </w:p>
        </w:tc>
      </w:tr>
      <w:tr w:rsidR="003E7195" w:rsidRPr="003E7195" w14:paraId="752E2733" w14:textId="77777777" w:rsidTr="79C6582A">
        <w:tc>
          <w:tcPr>
            <w:cnfStyle w:val="001000000000" w:firstRow="0" w:lastRow="0" w:firstColumn="1" w:lastColumn="0" w:oddVBand="0" w:evenVBand="0" w:oddHBand="0" w:evenHBand="0" w:firstRowFirstColumn="0" w:firstRowLastColumn="0" w:lastRowFirstColumn="0" w:lastRowLastColumn="0"/>
            <w:tcW w:w="1696" w:type="dxa"/>
          </w:tcPr>
          <w:p w14:paraId="0E56074A" w14:textId="77777777" w:rsidR="00544C91" w:rsidRPr="003E7195" w:rsidRDefault="00544C91" w:rsidP="00D14A3E">
            <w:pPr>
              <w:pStyle w:val="TableText"/>
              <w:rPr>
                <w:color w:val="0D0D0D" w:themeColor="text1" w:themeTint="F2"/>
              </w:rPr>
            </w:pPr>
            <w:r w:rsidRPr="003E7195">
              <w:rPr>
                <w:color w:val="0D0D0D" w:themeColor="text1" w:themeTint="F2"/>
              </w:rPr>
              <w:t>Intervention</w:t>
            </w:r>
          </w:p>
        </w:tc>
        <w:tc>
          <w:tcPr>
            <w:tcW w:w="7320" w:type="dxa"/>
          </w:tcPr>
          <w:p w14:paraId="156251FD" w14:textId="1561F87C"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Test:</w:t>
            </w:r>
            <w:r w:rsidRPr="003E7195">
              <w:rPr>
                <w:color w:val="0D0D0D" w:themeColor="text1" w:themeTint="F2"/>
              </w:rPr>
              <w:t xml:space="preserve"> Tumour tissue testing for </w:t>
            </w:r>
            <w:r w:rsidRPr="003E7195">
              <w:rPr>
                <w:i/>
                <w:iCs/>
                <w:color w:val="0D0D0D" w:themeColor="text1" w:themeTint="F2"/>
              </w:rPr>
              <w:t>IDH1</w:t>
            </w:r>
            <w:r w:rsidRPr="003E7195">
              <w:rPr>
                <w:color w:val="0D0D0D" w:themeColor="text1" w:themeTint="F2"/>
              </w:rPr>
              <w:t xml:space="preserve"> tier </w:t>
            </w:r>
            <w:r w:rsidR="00AC1FDF">
              <w:rPr>
                <w:color w:val="0D0D0D" w:themeColor="text1" w:themeTint="F2"/>
              </w:rPr>
              <w:t>I</w:t>
            </w:r>
            <w:r w:rsidR="00AC1FDF" w:rsidRPr="003E7195">
              <w:rPr>
                <w:color w:val="0D0D0D" w:themeColor="text1" w:themeTint="F2"/>
              </w:rPr>
              <w:t xml:space="preserve"> </w:t>
            </w:r>
            <w:r w:rsidRPr="003E7195">
              <w:rPr>
                <w:color w:val="0D0D0D" w:themeColor="text1" w:themeTint="F2"/>
              </w:rPr>
              <w:t>variant status</w:t>
            </w:r>
          </w:p>
          <w:p w14:paraId="2A32AD46" w14:textId="0A66A462"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Treatment:</w:t>
            </w:r>
            <w:r w:rsidR="00A00313" w:rsidRPr="003E7195">
              <w:rPr>
                <w:b/>
                <w:color w:val="0D0D0D" w:themeColor="text1" w:themeTint="F2"/>
              </w:rPr>
              <w:t xml:space="preserve"> </w:t>
            </w:r>
            <w:r w:rsidRPr="003E7195">
              <w:rPr>
                <w:color w:val="0D0D0D" w:themeColor="text1" w:themeTint="F2"/>
              </w:rPr>
              <w:t xml:space="preserve">Ivosidenib as second or third-line treatment for locally advanced or metastatic CCAs in those with </w:t>
            </w:r>
            <w:r w:rsidRPr="003E7195">
              <w:rPr>
                <w:i/>
                <w:color w:val="0D0D0D" w:themeColor="text1" w:themeTint="F2"/>
              </w:rPr>
              <w:t xml:space="preserve">IDH1 </w:t>
            </w:r>
            <w:r w:rsidRPr="003E7195">
              <w:rPr>
                <w:color w:val="0D0D0D" w:themeColor="text1" w:themeTint="F2"/>
              </w:rPr>
              <w:t xml:space="preserve">p.R132X tier </w:t>
            </w:r>
            <w:r w:rsidR="00AC1FDF">
              <w:rPr>
                <w:color w:val="0D0D0D" w:themeColor="text1" w:themeTint="F2"/>
              </w:rPr>
              <w:t>I</w:t>
            </w:r>
            <w:r w:rsidR="00AC1FDF" w:rsidRPr="003E7195">
              <w:rPr>
                <w:color w:val="0D0D0D" w:themeColor="text1" w:themeTint="F2"/>
              </w:rPr>
              <w:t xml:space="preserve"> </w:t>
            </w:r>
            <w:r w:rsidRPr="003E7195">
              <w:rPr>
                <w:color w:val="0D0D0D" w:themeColor="text1" w:themeTint="F2"/>
              </w:rPr>
              <w:t>variants</w:t>
            </w:r>
          </w:p>
        </w:tc>
      </w:tr>
      <w:tr w:rsidR="003E7195" w:rsidRPr="003E7195" w14:paraId="0E38D3AB" w14:textId="77777777" w:rsidTr="79C6582A">
        <w:tc>
          <w:tcPr>
            <w:cnfStyle w:val="001000000000" w:firstRow="0" w:lastRow="0" w:firstColumn="1" w:lastColumn="0" w:oddVBand="0" w:evenVBand="0" w:oddHBand="0" w:evenHBand="0" w:firstRowFirstColumn="0" w:firstRowLastColumn="0" w:lastRowFirstColumn="0" w:lastRowLastColumn="0"/>
            <w:tcW w:w="1696" w:type="dxa"/>
          </w:tcPr>
          <w:p w14:paraId="06A2C864" w14:textId="77777777" w:rsidR="00544C91" w:rsidRPr="003E7195" w:rsidRDefault="00544C91" w:rsidP="00D14A3E">
            <w:pPr>
              <w:pStyle w:val="TableText"/>
              <w:rPr>
                <w:color w:val="0D0D0D" w:themeColor="text1" w:themeTint="F2"/>
              </w:rPr>
            </w:pPr>
            <w:r w:rsidRPr="003E7195">
              <w:rPr>
                <w:color w:val="0D0D0D" w:themeColor="text1" w:themeTint="F2"/>
              </w:rPr>
              <w:t>Comparator</w:t>
            </w:r>
          </w:p>
        </w:tc>
        <w:tc>
          <w:tcPr>
            <w:tcW w:w="7320" w:type="dxa"/>
          </w:tcPr>
          <w:p w14:paraId="2DEE575B" w14:textId="77777777"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Test:</w:t>
            </w:r>
            <w:r w:rsidRPr="003E7195">
              <w:rPr>
                <w:color w:val="0D0D0D" w:themeColor="text1" w:themeTint="F2"/>
              </w:rPr>
              <w:t xml:space="preserve"> No testing</w:t>
            </w:r>
          </w:p>
          <w:p w14:paraId="2B9A0C49" w14:textId="77777777"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3E7195">
              <w:rPr>
                <w:b/>
                <w:color w:val="0D0D0D" w:themeColor="text1" w:themeTint="F2"/>
              </w:rPr>
              <w:t>Treatment:</w:t>
            </w:r>
          </w:p>
          <w:p w14:paraId="4FD61845" w14:textId="2343E61B"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Primary comparator: palliative care</w:t>
            </w:r>
          </w:p>
          <w:p w14:paraId="636E0168" w14:textId="778F5C18"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Secondary comparator: chemotherapy with 5-</w:t>
            </w:r>
            <w:r w:rsidR="00A00313" w:rsidRPr="003E7195">
              <w:rPr>
                <w:color w:val="0D0D0D" w:themeColor="text1" w:themeTint="F2"/>
              </w:rPr>
              <w:t>f</w:t>
            </w:r>
            <w:r w:rsidRPr="003E7195">
              <w:rPr>
                <w:color w:val="0D0D0D" w:themeColor="text1" w:themeTint="F2"/>
              </w:rPr>
              <w:t xml:space="preserve">luorouracil (5-FU) </w:t>
            </w:r>
            <w:r w:rsidR="00A00313" w:rsidRPr="003E7195">
              <w:rPr>
                <w:color w:val="0D0D0D" w:themeColor="text1" w:themeTint="F2"/>
              </w:rPr>
              <w:t xml:space="preserve">plus </w:t>
            </w:r>
            <w:r w:rsidRPr="003E7195">
              <w:rPr>
                <w:color w:val="0D0D0D" w:themeColor="text1" w:themeTint="F2"/>
              </w:rPr>
              <w:t>oxaliplatin (FOLFOX) or 5-FU plus irinotecan (FOLFIRI)</w:t>
            </w:r>
          </w:p>
        </w:tc>
      </w:tr>
      <w:tr w:rsidR="003E7195" w:rsidRPr="003E7195" w14:paraId="13BB9E34" w14:textId="77777777" w:rsidTr="79C6582A">
        <w:tc>
          <w:tcPr>
            <w:cnfStyle w:val="001000000000" w:firstRow="0" w:lastRow="0" w:firstColumn="1" w:lastColumn="0" w:oddVBand="0" w:evenVBand="0" w:oddHBand="0" w:evenHBand="0" w:firstRowFirstColumn="0" w:firstRowLastColumn="0" w:lastRowFirstColumn="0" w:lastRowLastColumn="0"/>
            <w:tcW w:w="1696" w:type="dxa"/>
          </w:tcPr>
          <w:p w14:paraId="351CF547" w14:textId="77777777" w:rsidR="00544C91" w:rsidRPr="003E7195" w:rsidRDefault="00544C91" w:rsidP="00D14A3E">
            <w:pPr>
              <w:pStyle w:val="TableText"/>
              <w:rPr>
                <w:color w:val="0D0D0D" w:themeColor="text1" w:themeTint="F2"/>
              </w:rPr>
            </w:pPr>
            <w:r w:rsidRPr="003E7195">
              <w:rPr>
                <w:color w:val="0D0D0D" w:themeColor="text1" w:themeTint="F2"/>
              </w:rPr>
              <w:t>Outcomes</w:t>
            </w:r>
          </w:p>
        </w:tc>
        <w:tc>
          <w:tcPr>
            <w:tcW w:w="7320" w:type="dxa"/>
          </w:tcPr>
          <w:p w14:paraId="32FA7A70" w14:textId="77777777"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3E7195">
              <w:rPr>
                <w:b/>
                <w:color w:val="0D0D0D" w:themeColor="text1" w:themeTint="F2"/>
              </w:rPr>
              <w:t>Test-related outcomes:</w:t>
            </w:r>
          </w:p>
          <w:p w14:paraId="4E37E5C4" w14:textId="3827FBF1"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b/>
                <w:bCs/>
                <w:color w:val="0D0D0D" w:themeColor="text1" w:themeTint="F2"/>
              </w:rPr>
            </w:pPr>
            <w:r w:rsidRPr="003E7195">
              <w:rPr>
                <w:b/>
                <w:bCs/>
                <w:color w:val="0D0D0D" w:themeColor="text1" w:themeTint="F2"/>
              </w:rPr>
              <w:t>Clinical utility of the test</w:t>
            </w:r>
            <w:r w:rsidR="009A147C" w:rsidRPr="003E7195">
              <w:rPr>
                <w:b/>
                <w:bCs/>
                <w:color w:val="0D0D0D" w:themeColor="text1" w:themeTint="F2"/>
              </w:rPr>
              <w:t>:</w:t>
            </w:r>
          </w:p>
          <w:p w14:paraId="51766A31" w14:textId="27DE2334"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Treatment effect modification for ivosidenib based on IDH1 p.R132X tier </w:t>
            </w:r>
            <w:r w:rsidR="00AC1FDF">
              <w:rPr>
                <w:color w:val="0D0D0D" w:themeColor="text1" w:themeTint="F2"/>
              </w:rPr>
              <w:t>I</w:t>
            </w:r>
            <w:r w:rsidR="00AC1FDF" w:rsidRPr="003E7195">
              <w:rPr>
                <w:color w:val="0D0D0D" w:themeColor="text1" w:themeTint="F2"/>
              </w:rPr>
              <w:t xml:space="preserve"> </w:t>
            </w:r>
            <w:r w:rsidRPr="003E7195">
              <w:rPr>
                <w:color w:val="0D0D0D" w:themeColor="text1" w:themeTint="F2"/>
              </w:rPr>
              <w:t>variant status (predictive validity)</w:t>
            </w:r>
          </w:p>
          <w:p w14:paraId="46D4B969" w14:textId="77777777"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3E7195">
              <w:rPr>
                <w:b/>
                <w:color w:val="0D0D0D" w:themeColor="text1" w:themeTint="F2"/>
              </w:rPr>
              <w:t>Other test-related considerations:</w:t>
            </w:r>
          </w:p>
          <w:p w14:paraId="69D9C24A" w14:textId="0BEDE179"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Number estimated to be tested</w:t>
            </w:r>
          </w:p>
          <w:p w14:paraId="61FF8638" w14:textId="037FE83D"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Number needed to test (to identify one eligible case for ivosidenib)</w:t>
            </w:r>
          </w:p>
          <w:p w14:paraId="22CCFD6B" w14:textId="3F268475"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Test turnaround time</w:t>
            </w:r>
          </w:p>
          <w:p w14:paraId="2D22BB01" w14:textId="539119AE"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Rate of re-biopsy (including test failure and inadequate sample rate)</w:t>
            </w:r>
          </w:p>
          <w:p w14:paraId="286CD3A1" w14:textId="7B8B20C8"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Safety of re-biopsy</w:t>
            </w:r>
          </w:p>
          <w:p w14:paraId="71FF9F27" w14:textId="77777777"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3E7195">
              <w:rPr>
                <w:b/>
                <w:color w:val="0D0D0D" w:themeColor="text1" w:themeTint="F2"/>
              </w:rPr>
              <w:t>Treatment-related outcomes:</w:t>
            </w:r>
          </w:p>
          <w:p w14:paraId="5C5EC14B" w14:textId="727EA9A0" w:rsidR="004E2C90"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Critical outcomes (GRADE): </w:t>
            </w:r>
          </w:p>
          <w:p w14:paraId="768988EF" w14:textId="66983A75" w:rsidR="00544C91" w:rsidRPr="003E7195" w:rsidRDefault="00544C91" w:rsidP="00CD42C1">
            <w:pPr>
              <w:pStyle w:val="TableText"/>
              <w:numPr>
                <w:ilvl w:val="1"/>
                <w:numId w:val="21"/>
              </w:numPr>
              <w:ind w:left="742"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Progression free survival</w:t>
            </w:r>
          </w:p>
          <w:p w14:paraId="15573D13" w14:textId="79078EDD" w:rsidR="00544C91" w:rsidRPr="003E7195" w:rsidRDefault="00544C91" w:rsidP="00CD42C1">
            <w:pPr>
              <w:pStyle w:val="TableText"/>
              <w:numPr>
                <w:ilvl w:val="1"/>
                <w:numId w:val="21"/>
              </w:numPr>
              <w:ind w:left="742"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Overall survival</w:t>
            </w:r>
          </w:p>
          <w:p w14:paraId="4ECECC4E" w14:textId="3200B7DC" w:rsidR="00544C91" w:rsidRPr="003E7195" w:rsidRDefault="00544C91" w:rsidP="00CD42C1">
            <w:pPr>
              <w:pStyle w:val="TableText"/>
              <w:numPr>
                <w:ilvl w:val="1"/>
                <w:numId w:val="21"/>
              </w:numPr>
              <w:ind w:left="742"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Objective response rate</w:t>
            </w:r>
          </w:p>
          <w:p w14:paraId="6E80B455" w14:textId="76D160BF"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Important outcomes (GRADE)</w:t>
            </w:r>
          </w:p>
          <w:p w14:paraId="5A932593" w14:textId="609A4B43" w:rsidR="00544C91" w:rsidRPr="003E7195" w:rsidRDefault="00544C91" w:rsidP="00CD42C1">
            <w:pPr>
              <w:pStyle w:val="TableText"/>
              <w:numPr>
                <w:ilvl w:val="1"/>
                <w:numId w:val="21"/>
              </w:numPr>
              <w:ind w:left="742"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lastRenderedPageBreak/>
              <w:t>Time from randomisation to discontinuation or death</w:t>
            </w:r>
          </w:p>
          <w:p w14:paraId="5A156C9D" w14:textId="1A46291A" w:rsidR="00544C91" w:rsidRPr="003E7195" w:rsidRDefault="00544C91" w:rsidP="00CD42C1">
            <w:pPr>
              <w:pStyle w:val="TableText"/>
              <w:numPr>
                <w:ilvl w:val="1"/>
                <w:numId w:val="21"/>
              </w:numPr>
              <w:ind w:left="742"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Health-related quality of life </w:t>
            </w:r>
          </w:p>
          <w:p w14:paraId="02F4B8AD" w14:textId="76671DA9" w:rsidR="00544C91" w:rsidRPr="003E7195" w:rsidRDefault="00544C91" w:rsidP="00CD42C1">
            <w:pPr>
              <w:pStyle w:val="TableText"/>
              <w:numPr>
                <w:ilvl w:val="0"/>
                <w:numId w:val="20"/>
              </w:numPr>
              <w:ind w:left="317"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Safety and tolerability:</w:t>
            </w:r>
          </w:p>
          <w:p w14:paraId="015D7F12" w14:textId="10A3832B" w:rsidR="00544C91" w:rsidRPr="003E7195" w:rsidRDefault="00544C91" w:rsidP="00CD42C1">
            <w:pPr>
              <w:pStyle w:val="TableText"/>
              <w:numPr>
                <w:ilvl w:val="1"/>
                <w:numId w:val="21"/>
              </w:numPr>
              <w:ind w:left="742"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Treatment-emergent adverse events </w:t>
            </w:r>
          </w:p>
          <w:p w14:paraId="7AE08E2F" w14:textId="5C981BC7" w:rsidR="00544C91" w:rsidRPr="003E7195" w:rsidRDefault="00544C91" w:rsidP="00CD42C1">
            <w:pPr>
              <w:pStyle w:val="TableText"/>
              <w:numPr>
                <w:ilvl w:val="1"/>
                <w:numId w:val="21"/>
              </w:numPr>
              <w:ind w:left="742" w:hanging="284"/>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Physical examination and laboratory findings</w:t>
            </w:r>
          </w:p>
        </w:tc>
      </w:tr>
      <w:tr w:rsidR="003E7195" w:rsidRPr="003E7195" w14:paraId="1272296E" w14:textId="77777777" w:rsidTr="79C6582A">
        <w:tc>
          <w:tcPr>
            <w:cnfStyle w:val="001000000000" w:firstRow="0" w:lastRow="0" w:firstColumn="1" w:lastColumn="0" w:oddVBand="0" w:evenVBand="0" w:oddHBand="0" w:evenHBand="0" w:firstRowFirstColumn="0" w:firstRowLastColumn="0" w:lastRowFirstColumn="0" w:lastRowLastColumn="0"/>
            <w:tcW w:w="1696" w:type="dxa"/>
          </w:tcPr>
          <w:p w14:paraId="1FB0DE60" w14:textId="77777777" w:rsidR="00544C91" w:rsidRPr="003E7195" w:rsidRDefault="00544C91" w:rsidP="00D14A3E">
            <w:pPr>
              <w:pStyle w:val="TableText"/>
              <w:rPr>
                <w:color w:val="0D0D0D" w:themeColor="text1" w:themeTint="F2"/>
              </w:rPr>
            </w:pPr>
            <w:r w:rsidRPr="003E7195">
              <w:rPr>
                <w:color w:val="0D0D0D" w:themeColor="text1" w:themeTint="F2"/>
              </w:rPr>
              <w:lastRenderedPageBreak/>
              <w:t>Clinical claim</w:t>
            </w:r>
          </w:p>
        </w:tc>
        <w:tc>
          <w:tcPr>
            <w:tcW w:w="7320" w:type="dxa"/>
          </w:tcPr>
          <w:p w14:paraId="5F4FC62A" w14:textId="10C989A8" w:rsidR="00544C91" w:rsidRPr="003E7195" w:rsidRDefault="00544C91" w:rsidP="00D14A3E">
            <w:pPr>
              <w:pStyle w:val="TableTex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Testing </w:t>
            </w:r>
            <w:r w:rsidR="004E2C90" w:rsidRPr="003E7195">
              <w:rPr>
                <w:color w:val="0D0D0D" w:themeColor="text1" w:themeTint="F2"/>
              </w:rPr>
              <w:t>deoxyribonucleic acid (</w:t>
            </w:r>
            <w:r w:rsidRPr="003E7195">
              <w:rPr>
                <w:color w:val="0D0D0D" w:themeColor="text1" w:themeTint="F2"/>
              </w:rPr>
              <w:t>DNA</w:t>
            </w:r>
            <w:r w:rsidR="004E2C90" w:rsidRPr="003E7195">
              <w:rPr>
                <w:color w:val="0D0D0D" w:themeColor="text1" w:themeTint="F2"/>
              </w:rPr>
              <w:t>)</w:t>
            </w:r>
            <w:r w:rsidRPr="003E7195">
              <w:rPr>
                <w:color w:val="0D0D0D" w:themeColor="text1" w:themeTint="F2"/>
              </w:rPr>
              <w:t xml:space="preserve"> from tumour tissue to detect</w:t>
            </w:r>
            <w:r w:rsidRPr="003E7195">
              <w:rPr>
                <w:i/>
                <w:color w:val="0D0D0D" w:themeColor="text1" w:themeTint="F2"/>
              </w:rPr>
              <w:t xml:space="preserve"> IDH1 </w:t>
            </w:r>
            <w:r w:rsidRPr="003E7195">
              <w:rPr>
                <w:color w:val="0D0D0D" w:themeColor="text1" w:themeTint="F2"/>
              </w:rPr>
              <w:t xml:space="preserve">p.R132X tier </w:t>
            </w:r>
            <w:r w:rsidR="00AC1FDF">
              <w:rPr>
                <w:color w:val="0D0D0D" w:themeColor="text1" w:themeTint="F2"/>
              </w:rPr>
              <w:t>I</w:t>
            </w:r>
            <w:r w:rsidR="00AC1FDF" w:rsidRPr="003E7195">
              <w:rPr>
                <w:color w:val="0D0D0D" w:themeColor="text1" w:themeTint="F2"/>
              </w:rPr>
              <w:t xml:space="preserve"> </w:t>
            </w:r>
            <w:r w:rsidRPr="003E7195">
              <w:rPr>
                <w:color w:val="0D0D0D" w:themeColor="text1" w:themeTint="F2"/>
              </w:rPr>
              <w:t>variant, followed by targeted therapy with ivosidenib results in superior health outcomes compared to no testing and untargeted treatment/palliative care in patients with locally advanced or metastatic CCA.</w:t>
            </w:r>
          </w:p>
        </w:tc>
      </w:tr>
    </w:tbl>
    <w:p w14:paraId="78E454F5" w14:textId="01340F6D" w:rsidR="00461B49" w:rsidRPr="003E7195" w:rsidRDefault="00544C91" w:rsidP="00544C91">
      <w:pPr>
        <w:pStyle w:val="TableFooter"/>
        <w:rPr>
          <w:color w:val="0D0D0D" w:themeColor="text1" w:themeTint="F2"/>
        </w:rPr>
      </w:pPr>
      <w:r w:rsidRPr="003E7195">
        <w:rPr>
          <w:color w:val="0D0D0D" w:themeColor="text1" w:themeTint="F2"/>
        </w:rPr>
        <w:t>Source: Table 1-2, of the submission</w:t>
      </w:r>
    </w:p>
    <w:p w14:paraId="60F6D284" w14:textId="26675801" w:rsidR="009C4F22" w:rsidRPr="003E7195" w:rsidRDefault="009C4F22" w:rsidP="00E94E74">
      <w:pPr>
        <w:pStyle w:val="PBACESHeading1"/>
        <w:rPr>
          <w:color w:val="0D0D0D" w:themeColor="text1" w:themeTint="F2"/>
        </w:rPr>
      </w:pPr>
      <w:bookmarkStart w:id="5" w:name="_Toc487029150"/>
      <w:bookmarkStart w:id="6" w:name="_Toc166763137"/>
      <w:r w:rsidRPr="003E7195">
        <w:rPr>
          <w:color w:val="0D0D0D" w:themeColor="text1" w:themeTint="F2"/>
        </w:rPr>
        <w:t>Background</w:t>
      </w:r>
      <w:bookmarkEnd w:id="5"/>
      <w:bookmarkEnd w:id="6"/>
    </w:p>
    <w:p w14:paraId="77F6F5FB" w14:textId="77777777" w:rsidR="009C4F22" w:rsidRPr="00AB222B" w:rsidRDefault="008D7BF5" w:rsidP="007E0187">
      <w:pPr>
        <w:pStyle w:val="PBACESHeading2"/>
        <w:numPr>
          <w:ilvl w:val="2"/>
          <w:numId w:val="0"/>
        </w:numPr>
        <w:rPr>
          <w:rFonts w:asciiTheme="minorHAnsi" w:hAnsiTheme="minorHAnsi" w:cstheme="minorHAnsi"/>
          <w:color w:val="0D0D0D" w:themeColor="text1" w:themeTint="F2"/>
        </w:rPr>
      </w:pPr>
      <w:bookmarkStart w:id="7" w:name="_Toc166763138"/>
      <w:r w:rsidRPr="00AB222B">
        <w:rPr>
          <w:rFonts w:asciiTheme="minorHAnsi" w:hAnsiTheme="minorHAnsi" w:cstheme="minorHAnsi"/>
          <w:color w:val="0D0D0D" w:themeColor="text1" w:themeTint="F2"/>
        </w:rPr>
        <w:t xml:space="preserve">Registration </w:t>
      </w:r>
      <w:r w:rsidR="00854EF0" w:rsidRPr="00AB222B">
        <w:rPr>
          <w:rFonts w:asciiTheme="minorHAnsi" w:hAnsiTheme="minorHAnsi" w:cstheme="minorHAnsi"/>
          <w:color w:val="0D0D0D" w:themeColor="text1" w:themeTint="F2"/>
        </w:rPr>
        <w:t>st</w:t>
      </w:r>
      <w:r w:rsidRPr="00AB222B">
        <w:rPr>
          <w:rFonts w:asciiTheme="minorHAnsi" w:hAnsiTheme="minorHAnsi" w:cstheme="minorHAnsi"/>
          <w:color w:val="0D0D0D" w:themeColor="text1" w:themeTint="F2"/>
        </w:rPr>
        <w:t>atus</w:t>
      </w:r>
      <w:bookmarkEnd w:id="7"/>
    </w:p>
    <w:p w14:paraId="3CC4DC10" w14:textId="7C42DDC3" w:rsidR="00F35158" w:rsidRPr="003E7195" w:rsidRDefault="00DE33BF" w:rsidP="007E0187">
      <w:pPr>
        <w:pStyle w:val="ListParagraph"/>
      </w:pPr>
      <w:r w:rsidRPr="003E7195">
        <w:t>Ivosidenib was</w:t>
      </w:r>
      <w:r w:rsidR="004E56EE">
        <w:t xml:space="preserve"> included</w:t>
      </w:r>
      <w:r w:rsidR="00DE1236">
        <w:t xml:space="preserve"> </w:t>
      </w:r>
      <w:r w:rsidRPr="003E7195">
        <w:t>on the ARTG on 6</w:t>
      </w:r>
      <w:r w:rsidR="004E2C90" w:rsidRPr="003E7195">
        <w:rPr>
          <w:vertAlign w:val="superscript"/>
        </w:rPr>
        <w:t>th</w:t>
      </w:r>
      <w:r w:rsidRPr="003E7195">
        <w:t xml:space="preserve"> April 2023 </w:t>
      </w:r>
      <w:r w:rsidR="00F35158" w:rsidRPr="003E7195">
        <w:t>for the following indication:</w:t>
      </w:r>
    </w:p>
    <w:p w14:paraId="58478AD4" w14:textId="0DD93842" w:rsidR="009E2636" w:rsidRPr="003E7195" w:rsidRDefault="00F35158" w:rsidP="007E0187">
      <w:pPr>
        <w:spacing w:after="120"/>
        <w:ind w:left="1134"/>
      </w:pPr>
      <w:r w:rsidRPr="003E7195">
        <w:t>“For the treatment of adult patients with locally advanced or metastatic cholangiocarcinoma with an isocitrate dehydrogenase-1 (IDH1) R132 mutation after at least one prior line of systemic therapy</w:t>
      </w:r>
      <w:r w:rsidR="00DE33BF" w:rsidRPr="003E7195">
        <w:t>.</w:t>
      </w:r>
      <w:r w:rsidRPr="003E7195">
        <w:t>”</w:t>
      </w:r>
      <w:r w:rsidR="00DE33BF" w:rsidRPr="003E7195">
        <w:t xml:space="preserve"> </w:t>
      </w:r>
    </w:p>
    <w:p w14:paraId="226EB154" w14:textId="07570517" w:rsidR="00DE33BF" w:rsidRPr="00AB222B" w:rsidRDefault="00DE33BF" w:rsidP="007E0187">
      <w:pPr>
        <w:pStyle w:val="PBACESHeading2"/>
        <w:numPr>
          <w:ilvl w:val="2"/>
          <w:numId w:val="0"/>
        </w:numPr>
        <w:rPr>
          <w:rFonts w:asciiTheme="minorHAnsi" w:hAnsiTheme="minorHAnsi" w:cstheme="minorHAnsi"/>
          <w:color w:val="0D0D0D" w:themeColor="text1" w:themeTint="F2"/>
        </w:rPr>
      </w:pPr>
      <w:bookmarkStart w:id="8" w:name="_Toc492317094"/>
      <w:bookmarkStart w:id="9" w:name="_Toc156984626"/>
      <w:bookmarkStart w:id="10" w:name="_Toc166763139"/>
      <w:r w:rsidRPr="00AB222B">
        <w:rPr>
          <w:rFonts w:asciiTheme="minorHAnsi" w:hAnsiTheme="minorHAnsi" w:cstheme="minorHAnsi"/>
          <w:color w:val="0D0D0D" w:themeColor="text1" w:themeTint="F2"/>
        </w:rPr>
        <w:t>Previous PBAC consideration</w:t>
      </w:r>
      <w:bookmarkEnd w:id="8"/>
      <w:bookmarkEnd w:id="9"/>
      <w:bookmarkEnd w:id="10"/>
    </w:p>
    <w:p w14:paraId="07BEE399" w14:textId="5B16DA7E" w:rsidR="00DE33BF" w:rsidRPr="007E0187" w:rsidRDefault="00DE33BF" w:rsidP="007E0187">
      <w:pPr>
        <w:pStyle w:val="ListParagraph"/>
      </w:pPr>
      <w:r w:rsidRPr="007E0187">
        <w:t>The PBAC has not previously considered ivosidenib for th</w:t>
      </w:r>
      <w:r w:rsidR="009A147C" w:rsidRPr="007E0187">
        <w:t>is</w:t>
      </w:r>
      <w:r w:rsidRPr="007E0187">
        <w:t xml:space="preserve"> proposed indication.</w:t>
      </w:r>
    </w:p>
    <w:p w14:paraId="3D7FBC9D" w14:textId="77777777" w:rsidR="004C000E" w:rsidRDefault="00245AD9" w:rsidP="0010002A">
      <w:pPr>
        <w:pStyle w:val="PBACESHeading1"/>
        <w:rPr>
          <w:color w:val="0D0D0D" w:themeColor="text1" w:themeTint="F2"/>
        </w:rPr>
      </w:pPr>
      <w:bookmarkStart w:id="11" w:name="_Toc166763140"/>
      <w:bookmarkStart w:id="12" w:name="_Toc476306884"/>
      <w:bookmarkStart w:id="13" w:name="_Toc413139275"/>
      <w:r w:rsidRPr="003E7195">
        <w:rPr>
          <w:color w:val="0D0D0D" w:themeColor="text1" w:themeTint="F2"/>
        </w:rPr>
        <w:t>Requested listing</w:t>
      </w:r>
      <w:bookmarkEnd w:id="11"/>
    </w:p>
    <w:p w14:paraId="3E33F38F" w14:textId="1608C4C8" w:rsidR="00181B1F" w:rsidRPr="003C5E6D" w:rsidRDefault="003C5E6D" w:rsidP="007E0187">
      <w:pPr>
        <w:pStyle w:val="ListParagraph"/>
      </w:pPr>
      <w:r>
        <w:t>The requested restriction, with Secretariat proposed changes in italics, is shown below.</w:t>
      </w: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992"/>
        <w:gridCol w:w="993"/>
        <w:gridCol w:w="1559"/>
        <w:gridCol w:w="1843"/>
        <w:gridCol w:w="1796"/>
      </w:tblGrid>
      <w:tr w:rsidR="003E7195" w:rsidRPr="003E7195" w14:paraId="26549831" w14:textId="77777777" w:rsidTr="007E0187">
        <w:tc>
          <w:tcPr>
            <w:tcW w:w="1843" w:type="dxa"/>
            <w:tcBorders>
              <w:bottom w:val="single" w:sz="4" w:space="0" w:color="auto"/>
            </w:tcBorders>
          </w:tcPr>
          <w:p w14:paraId="269E1ABB" w14:textId="77777777" w:rsidR="00DE33BF" w:rsidRPr="003E7195" w:rsidRDefault="00DE33BF" w:rsidP="00D14A3E">
            <w:pPr>
              <w:pStyle w:val="TableText"/>
              <w:rPr>
                <w:b/>
                <w:bCs/>
                <w:color w:val="0D0D0D" w:themeColor="text1" w:themeTint="F2"/>
              </w:rPr>
            </w:pPr>
            <w:r w:rsidRPr="003E7195">
              <w:rPr>
                <w:b/>
                <w:bCs/>
                <w:color w:val="0D0D0D" w:themeColor="text1" w:themeTint="F2"/>
              </w:rPr>
              <w:t>Name, restriction, manner of administration, form</w:t>
            </w:r>
          </w:p>
        </w:tc>
        <w:tc>
          <w:tcPr>
            <w:tcW w:w="992" w:type="dxa"/>
            <w:tcBorders>
              <w:bottom w:val="single" w:sz="4" w:space="0" w:color="auto"/>
            </w:tcBorders>
          </w:tcPr>
          <w:p w14:paraId="1A743022" w14:textId="77777777" w:rsidR="00DE33BF" w:rsidRPr="003E7195" w:rsidRDefault="00DE33BF" w:rsidP="00D14A3E">
            <w:pPr>
              <w:pStyle w:val="TableText"/>
              <w:rPr>
                <w:b/>
                <w:bCs/>
                <w:color w:val="0D0D0D" w:themeColor="text1" w:themeTint="F2"/>
              </w:rPr>
            </w:pPr>
            <w:r w:rsidRPr="003E7195">
              <w:rPr>
                <w:b/>
                <w:bCs/>
                <w:color w:val="0D0D0D" w:themeColor="text1" w:themeTint="F2"/>
              </w:rPr>
              <w:t>Maximum quantity (packs)</w:t>
            </w:r>
          </w:p>
        </w:tc>
        <w:tc>
          <w:tcPr>
            <w:tcW w:w="993" w:type="dxa"/>
            <w:tcBorders>
              <w:bottom w:val="single" w:sz="4" w:space="0" w:color="auto"/>
            </w:tcBorders>
          </w:tcPr>
          <w:p w14:paraId="766744AA" w14:textId="77777777" w:rsidR="00DE33BF" w:rsidRPr="003E7195" w:rsidRDefault="00DE33BF" w:rsidP="00D14A3E">
            <w:pPr>
              <w:pStyle w:val="TableText"/>
              <w:rPr>
                <w:b/>
                <w:bCs/>
                <w:color w:val="0D0D0D" w:themeColor="text1" w:themeTint="F2"/>
              </w:rPr>
            </w:pPr>
            <w:r w:rsidRPr="003E7195">
              <w:rPr>
                <w:b/>
                <w:bCs/>
                <w:color w:val="0D0D0D" w:themeColor="text1" w:themeTint="F2"/>
              </w:rPr>
              <w:t>Maximum quantity (units)</w:t>
            </w:r>
          </w:p>
        </w:tc>
        <w:tc>
          <w:tcPr>
            <w:tcW w:w="1559" w:type="dxa"/>
            <w:tcBorders>
              <w:bottom w:val="single" w:sz="4" w:space="0" w:color="auto"/>
            </w:tcBorders>
          </w:tcPr>
          <w:p w14:paraId="72C2366D" w14:textId="77777777" w:rsidR="00DE33BF" w:rsidRPr="003E7195" w:rsidRDefault="00DE33BF" w:rsidP="00D14A3E">
            <w:pPr>
              <w:pStyle w:val="TableText"/>
              <w:rPr>
                <w:b/>
                <w:bCs/>
                <w:color w:val="0D0D0D" w:themeColor="text1" w:themeTint="F2"/>
              </w:rPr>
            </w:pPr>
            <w:r w:rsidRPr="003E7195">
              <w:rPr>
                <w:b/>
                <w:bCs/>
                <w:color w:val="0D0D0D" w:themeColor="text1" w:themeTint="F2"/>
              </w:rPr>
              <w:t>No. of repeats</w:t>
            </w:r>
          </w:p>
        </w:tc>
        <w:tc>
          <w:tcPr>
            <w:tcW w:w="1843" w:type="dxa"/>
            <w:tcBorders>
              <w:bottom w:val="single" w:sz="4" w:space="0" w:color="auto"/>
            </w:tcBorders>
          </w:tcPr>
          <w:p w14:paraId="1FAED96D" w14:textId="77777777" w:rsidR="00DE33BF" w:rsidRPr="003E7195" w:rsidRDefault="00DE33BF" w:rsidP="00D14A3E">
            <w:pPr>
              <w:pStyle w:val="TableText"/>
              <w:rPr>
                <w:b/>
                <w:bCs/>
                <w:color w:val="0D0D0D" w:themeColor="text1" w:themeTint="F2"/>
              </w:rPr>
            </w:pPr>
            <w:r w:rsidRPr="003E7195">
              <w:rPr>
                <w:b/>
                <w:bCs/>
                <w:color w:val="0D0D0D" w:themeColor="text1" w:themeTint="F2"/>
              </w:rPr>
              <w:t>Dispensed price for maximum quantity</w:t>
            </w:r>
          </w:p>
        </w:tc>
        <w:tc>
          <w:tcPr>
            <w:tcW w:w="1796" w:type="dxa"/>
            <w:tcBorders>
              <w:bottom w:val="single" w:sz="4" w:space="0" w:color="auto"/>
            </w:tcBorders>
          </w:tcPr>
          <w:p w14:paraId="11D7FEBF" w14:textId="77777777" w:rsidR="00DE33BF" w:rsidRPr="003E7195" w:rsidRDefault="00DE33BF" w:rsidP="00D14A3E">
            <w:pPr>
              <w:pStyle w:val="TableText"/>
              <w:rPr>
                <w:b/>
                <w:bCs/>
                <w:color w:val="0D0D0D" w:themeColor="text1" w:themeTint="F2"/>
              </w:rPr>
            </w:pPr>
            <w:r w:rsidRPr="003E7195">
              <w:rPr>
                <w:b/>
                <w:bCs/>
                <w:color w:val="0D0D0D" w:themeColor="text1" w:themeTint="F2"/>
              </w:rPr>
              <w:t>Proprietary name and manufacturer</w:t>
            </w:r>
          </w:p>
        </w:tc>
      </w:tr>
      <w:tr w:rsidR="003E7195" w:rsidRPr="003E7195" w14:paraId="7964AB6B" w14:textId="77777777" w:rsidTr="007E0187">
        <w:trPr>
          <w:trHeight w:val="637"/>
        </w:trPr>
        <w:tc>
          <w:tcPr>
            <w:tcW w:w="1843" w:type="dxa"/>
            <w:tcBorders>
              <w:bottom w:val="nil"/>
            </w:tcBorders>
          </w:tcPr>
          <w:p w14:paraId="165F4920" w14:textId="77777777" w:rsidR="00DE33BF" w:rsidRPr="003E7195" w:rsidRDefault="00DE33BF" w:rsidP="00D14A3E">
            <w:pPr>
              <w:pStyle w:val="TableText"/>
              <w:rPr>
                <w:bCs/>
                <w:color w:val="0D0D0D" w:themeColor="text1" w:themeTint="F2"/>
              </w:rPr>
            </w:pPr>
            <w:r w:rsidRPr="003E7195">
              <w:rPr>
                <w:color w:val="0D0D0D" w:themeColor="text1" w:themeTint="F2"/>
              </w:rPr>
              <w:t>Ivosidenib, oral tablet, 250 mg</w:t>
            </w:r>
          </w:p>
        </w:tc>
        <w:tc>
          <w:tcPr>
            <w:tcW w:w="992" w:type="dxa"/>
            <w:tcBorders>
              <w:bottom w:val="nil"/>
            </w:tcBorders>
          </w:tcPr>
          <w:p w14:paraId="60850260" w14:textId="77777777" w:rsidR="00DE33BF" w:rsidRPr="003E7195" w:rsidRDefault="00DE33BF" w:rsidP="00D14A3E">
            <w:pPr>
              <w:pStyle w:val="TableText"/>
              <w:rPr>
                <w:rFonts w:ascii="Times" w:hAnsi="Times"/>
                <w:color w:val="0D0D0D" w:themeColor="text1" w:themeTint="F2"/>
              </w:rPr>
            </w:pPr>
            <w:r w:rsidRPr="003E7195">
              <w:rPr>
                <w:color w:val="0D0D0D" w:themeColor="text1" w:themeTint="F2"/>
              </w:rPr>
              <w:t>1</w:t>
            </w:r>
          </w:p>
        </w:tc>
        <w:tc>
          <w:tcPr>
            <w:tcW w:w="993" w:type="dxa"/>
            <w:tcBorders>
              <w:bottom w:val="nil"/>
            </w:tcBorders>
          </w:tcPr>
          <w:p w14:paraId="69B90E17" w14:textId="77777777" w:rsidR="00DE33BF" w:rsidRPr="003E7195" w:rsidRDefault="00DE33BF" w:rsidP="00D14A3E">
            <w:pPr>
              <w:pStyle w:val="TableText"/>
              <w:rPr>
                <w:rFonts w:ascii="Times" w:hAnsi="Times"/>
                <w:color w:val="0D0D0D" w:themeColor="text1" w:themeTint="F2"/>
              </w:rPr>
            </w:pPr>
            <w:r w:rsidRPr="003E7195">
              <w:rPr>
                <w:color w:val="0D0D0D" w:themeColor="text1" w:themeTint="F2"/>
              </w:rPr>
              <w:t>60</w:t>
            </w:r>
          </w:p>
        </w:tc>
        <w:tc>
          <w:tcPr>
            <w:tcW w:w="1559" w:type="dxa"/>
            <w:tcBorders>
              <w:bottom w:val="nil"/>
            </w:tcBorders>
          </w:tcPr>
          <w:p w14:paraId="7B5E73CD" w14:textId="77777777" w:rsidR="00DE33BF" w:rsidRPr="003E7195" w:rsidRDefault="00DE33BF" w:rsidP="00D14A3E">
            <w:pPr>
              <w:pStyle w:val="TableText"/>
              <w:rPr>
                <w:color w:val="0D0D0D" w:themeColor="text1" w:themeTint="F2"/>
              </w:rPr>
            </w:pPr>
            <w:r w:rsidRPr="003E7195">
              <w:rPr>
                <w:color w:val="0D0D0D" w:themeColor="text1" w:themeTint="F2"/>
              </w:rPr>
              <w:t>2 (initial)</w:t>
            </w:r>
          </w:p>
          <w:p w14:paraId="718D6B71" w14:textId="77777777" w:rsidR="00DE33BF" w:rsidRPr="003E7195" w:rsidRDefault="00DE33BF" w:rsidP="00D14A3E">
            <w:pPr>
              <w:pStyle w:val="TableText"/>
              <w:rPr>
                <w:color w:val="0D0D0D" w:themeColor="text1" w:themeTint="F2"/>
              </w:rPr>
            </w:pPr>
            <w:r w:rsidRPr="003E7195">
              <w:rPr>
                <w:color w:val="0D0D0D" w:themeColor="text1" w:themeTint="F2"/>
              </w:rPr>
              <w:t>5 (continuing)</w:t>
            </w:r>
          </w:p>
          <w:p w14:paraId="595FC483" w14:textId="77777777" w:rsidR="00DE33BF" w:rsidRPr="003E7195" w:rsidRDefault="00DE33BF" w:rsidP="00D14A3E">
            <w:pPr>
              <w:pStyle w:val="TableText"/>
              <w:rPr>
                <w:rFonts w:ascii="Times" w:hAnsi="Times"/>
                <w:color w:val="0D0D0D" w:themeColor="text1" w:themeTint="F2"/>
              </w:rPr>
            </w:pPr>
            <w:r w:rsidRPr="003E7195">
              <w:rPr>
                <w:color w:val="0D0D0D" w:themeColor="text1" w:themeTint="F2"/>
              </w:rPr>
              <w:t>5 (grandfathering)</w:t>
            </w:r>
          </w:p>
        </w:tc>
        <w:tc>
          <w:tcPr>
            <w:tcW w:w="1843" w:type="dxa"/>
            <w:tcBorders>
              <w:bottom w:val="nil"/>
            </w:tcBorders>
          </w:tcPr>
          <w:p w14:paraId="4A02B62C" w14:textId="675818CC" w:rsidR="00DE33BF" w:rsidRPr="003E7195" w:rsidRDefault="00DE33BF" w:rsidP="00D14A3E">
            <w:pPr>
              <w:pStyle w:val="TableText"/>
              <w:rPr>
                <w:color w:val="0D0D0D" w:themeColor="text1" w:themeTint="F2"/>
                <w:szCs w:val="20"/>
              </w:rPr>
            </w:pPr>
            <w:r w:rsidRPr="003E7195">
              <w:rPr>
                <w:color w:val="0D0D0D" w:themeColor="text1" w:themeTint="F2"/>
              </w:rPr>
              <w:t xml:space="preserve">Published: </w:t>
            </w:r>
            <w:r w:rsidRPr="003E7195">
              <w:rPr>
                <w:color w:val="0D0D0D" w:themeColor="text1" w:themeTint="F2"/>
                <w:szCs w:val="20"/>
              </w:rPr>
              <w:t>$25,062.13</w:t>
            </w:r>
          </w:p>
          <w:p w14:paraId="651394FE" w14:textId="55775A87" w:rsidR="00DE33BF" w:rsidRPr="003E7195" w:rsidRDefault="00DE33BF" w:rsidP="00D14A3E">
            <w:pPr>
              <w:pStyle w:val="TableText"/>
              <w:rPr>
                <w:rFonts w:ascii="Times" w:hAnsi="Times"/>
                <w:color w:val="0D0D0D" w:themeColor="text1" w:themeTint="F2"/>
              </w:rPr>
            </w:pPr>
            <w:r w:rsidRPr="003E7195">
              <w:rPr>
                <w:color w:val="0D0D0D" w:themeColor="text1" w:themeTint="F2"/>
                <w:szCs w:val="20"/>
              </w:rPr>
              <w:t>Effective: $</w:t>
            </w:r>
            <w:r w:rsidR="00E26C98" w:rsidRPr="00E26C98">
              <w:rPr>
                <w:color w:val="0D0D0D" w:themeColor="text1" w:themeTint="F2"/>
                <w:spacing w:val="45"/>
                <w:szCs w:val="20"/>
                <w:shd w:val="solid" w:color="000000" w:fill="000000"/>
                <w:fitText w:val="330" w:id="-893744896"/>
                <w14:textFill>
                  <w14:solidFill>
                    <w14:schemeClr w14:val="tx1">
                      <w14:alpha w14:val="100000"/>
                      <w14:lumMod w14:val="95000"/>
                      <w14:lumOff w14:val="5000"/>
                    </w14:schemeClr>
                  </w14:solidFill>
                </w14:textFill>
              </w:rPr>
              <w:t>|||</w:t>
            </w:r>
            <w:r w:rsidR="00E26C98" w:rsidRPr="00E26C98">
              <w:rPr>
                <w:color w:val="0D0D0D" w:themeColor="text1" w:themeTint="F2"/>
                <w:spacing w:val="15"/>
                <w:szCs w:val="20"/>
                <w:shd w:val="solid" w:color="000000" w:fill="000000"/>
                <w:fitText w:val="330" w:id="-893744896"/>
                <w14:textFill>
                  <w14:solidFill>
                    <w14:schemeClr w14:val="tx1">
                      <w14:alpha w14:val="100000"/>
                      <w14:lumMod w14:val="95000"/>
                      <w14:lumOff w14:val="5000"/>
                    </w14:schemeClr>
                  </w14:solidFill>
                </w14:textFill>
              </w:rPr>
              <w:t>|</w:t>
            </w:r>
          </w:p>
        </w:tc>
        <w:tc>
          <w:tcPr>
            <w:tcW w:w="1796" w:type="dxa"/>
            <w:tcBorders>
              <w:bottom w:val="nil"/>
            </w:tcBorders>
          </w:tcPr>
          <w:p w14:paraId="3B47BA67" w14:textId="77777777" w:rsidR="00DE33BF" w:rsidRPr="003E7195" w:rsidRDefault="00DE33BF" w:rsidP="00D14A3E">
            <w:pPr>
              <w:pStyle w:val="TableText"/>
              <w:rPr>
                <w:color w:val="0D0D0D" w:themeColor="text1" w:themeTint="F2"/>
                <w:szCs w:val="20"/>
              </w:rPr>
            </w:pPr>
            <w:r w:rsidRPr="003E7195">
              <w:rPr>
                <w:color w:val="0D0D0D" w:themeColor="text1" w:themeTint="F2"/>
                <w:szCs w:val="20"/>
              </w:rPr>
              <w:t>TIBSOVO</w:t>
            </w:r>
          </w:p>
          <w:p w14:paraId="6A6680B6" w14:textId="7BDEDBDC" w:rsidR="00DE33BF" w:rsidRPr="003E7195" w:rsidRDefault="00DE33BF" w:rsidP="00D14A3E">
            <w:pPr>
              <w:pStyle w:val="TableText"/>
              <w:rPr>
                <w:color w:val="0D0D0D" w:themeColor="text1" w:themeTint="F2"/>
                <w:szCs w:val="20"/>
              </w:rPr>
            </w:pPr>
            <w:r w:rsidRPr="003E7195">
              <w:rPr>
                <w:color w:val="0D0D0D" w:themeColor="text1" w:themeTint="F2"/>
                <w:szCs w:val="20"/>
              </w:rPr>
              <w:t>Servier Laboratories (Aust.) Pty. Ltd.</w:t>
            </w:r>
          </w:p>
        </w:tc>
      </w:tr>
    </w:tbl>
    <w:p w14:paraId="4017115E" w14:textId="77777777" w:rsidR="007E0187" w:rsidRPr="007E0187" w:rsidRDefault="007E0187" w:rsidP="007E0187">
      <w:pPr>
        <w:spacing w:before="0" w:after="0"/>
        <w:rPr>
          <w:sz w:val="12"/>
          <w:szCs w:val="10"/>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562"/>
        <w:gridCol w:w="120"/>
        <w:gridCol w:w="587"/>
        <w:gridCol w:w="11"/>
        <w:gridCol w:w="2264"/>
        <w:gridCol w:w="992"/>
        <w:gridCol w:w="993"/>
        <w:gridCol w:w="875"/>
        <w:gridCol w:w="818"/>
        <w:gridCol w:w="1805"/>
      </w:tblGrid>
      <w:tr w:rsidR="003C5E6D" w:rsidRPr="003C5E6D" w14:paraId="5E1DD681" w14:textId="77777777" w:rsidTr="007E0187">
        <w:trPr>
          <w:trHeight w:val="20"/>
        </w:trPr>
        <w:tc>
          <w:tcPr>
            <w:tcW w:w="9027" w:type="dxa"/>
            <w:gridSpan w:val="10"/>
            <w:tcBorders>
              <w:top w:val="single" w:sz="4" w:space="0" w:color="auto"/>
              <w:left w:val="single" w:sz="4" w:space="0" w:color="auto"/>
              <w:right w:val="single" w:sz="4" w:space="0" w:color="auto"/>
            </w:tcBorders>
            <w:vAlign w:val="center"/>
          </w:tcPr>
          <w:p w14:paraId="21BCABF7" w14:textId="77777777" w:rsidR="003C5E6D" w:rsidRPr="003C5E6D" w:rsidRDefault="003C5E6D" w:rsidP="00FE7D97">
            <w:pPr>
              <w:keepLines/>
              <w:spacing w:before="0" w:after="0"/>
              <w:rPr>
                <w:rFonts w:ascii="Arial Narrow" w:hAnsi="Arial Narrow" w:cs="Arial"/>
                <w:b/>
                <w:sz w:val="20"/>
                <w:szCs w:val="20"/>
              </w:rPr>
            </w:pPr>
            <w:r w:rsidRPr="003C5E6D">
              <w:rPr>
                <w:rFonts w:ascii="Arial Narrow" w:eastAsia="Calibri" w:hAnsi="Arial Narrow"/>
                <w:b/>
                <w:sz w:val="20"/>
                <w:szCs w:val="20"/>
              </w:rPr>
              <w:t>Restriction Summary [new 1] / Treatment of Concept: [new 1]</w:t>
            </w:r>
          </w:p>
        </w:tc>
      </w:tr>
      <w:tr w:rsidR="003C5E6D" w:rsidRPr="003C5E6D" w14:paraId="12FC1373" w14:textId="77777777" w:rsidTr="007E0187">
        <w:trPr>
          <w:trHeight w:val="20"/>
        </w:trPr>
        <w:tc>
          <w:tcPr>
            <w:tcW w:w="1269" w:type="dxa"/>
            <w:gridSpan w:val="3"/>
            <w:vMerge w:val="restart"/>
            <w:tcBorders>
              <w:top w:val="single" w:sz="4" w:space="0" w:color="auto"/>
              <w:left w:val="single" w:sz="4" w:space="0" w:color="auto"/>
              <w:right w:val="single" w:sz="4" w:space="0" w:color="auto"/>
            </w:tcBorders>
          </w:tcPr>
          <w:p w14:paraId="39BB0069" w14:textId="5A3C22D5" w:rsidR="003C5E6D" w:rsidRPr="003C5E6D" w:rsidRDefault="003C5E6D" w:rsidP="00FE7D97">
            <w:pPr>
              <w:spacing w:before="0" w:after="0"/>
              <w:jc w:val="center"/>
              <w:rPr>
                <w:rFonts w:ascii="Arial Narrow" w:hAnsi="Arial Narrow" w:cs="Arial"/>
                <w:b/>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560B850C" w14:textId="77777777" w:rsidR="003C5E6D" w:rsidRPr="003C5E6D" w:rsidRDefault="003C5E6D" w:rsidP="00FE7D97">
            <w:pPr>
              <w:keepLines/>
              <w:spacing w:before="0" w:after="0"/>
              <w:rPr>
                <w:rFonts w:ascii="Arial Narrow" w:hAnsi="Arial Narrow" w:cs="Arial"/>
                <w:sz w:val="20"/>
                <w:szCs w:val="20"/>
              </w:rPr>
            </w:pPr>
            <w:r w:rsidRPr="003C5E6D">
              <w:rPr>
                <w:rFonts w:ascii="Arial Narrow" w:hAnsi="Arial Narrow" w:cs="Arial"/>
                <w:b/>
                <w:sz w:val="20"/>
                <w:szCs w:val="20"/>
              </w:rPr>
              <w:t xml:space="preserve">Category / Program: </w:t>
            </w:r>
            <w:r w:rsidRPr="003C5E6D">
              <w:rPr>
                <w:rFonts w:ascii="Arial Narrow" w:hAnsi="Arial Narrow" w:cs="Arial"/>
                <w:sz w:val="20"/>
                <w:szCs w:val="20"/>
              </w:rPr>
              <w:t>GENERAL – General Schedule (Code GE)</w:t>
            </w:r>
            <w:r w:rsidRPr="003C5E6D">
              <w:rPr>
                <w:rFonts w:ascii="Arial Narrow" w:hAnsi="Arial Narrow" w:cs="Arial"/>
                <w:color w:val="FF0000"/>
                <w:sz w:val="20"/>
                <w:szCs w:val="20"/>
              </w:rPr>
              <w:t xml:space="preserve"> </w:t>
            </w:r>
          </w:p>
        </w:tc>
      </w:tr>
      <w:tr w:rsidR="003C5E6D" w:rsidRPr="003C5E6D" w14:paraId="0CA40431" w14:textId="77777777" w:rsidTr="007E0187">
        <w:trPr>
          <w:trHeight w:val="20"/>
        </w:trPr>
        <w:tc>
          <w:tcPr>
            <w:tcW w:w="1269" w:type="dxa"/>
            <w:gridSpan w:val="3"/>
            <w:vMerge/>
            <w:tcBorders>
              <w:left w:val="single" w:sz="4" w:space="0" w:color="auto"/>
              <w:right w:val="single" w:sz="4" w:space="0" w:color="auto"/>
            </w:tcBorders>
          </w:tcPr>
          <w:p w14:paraId="6B82E071" w14:textId="77777777" w:rsidR="003C5E6D" w:rsidRPr="003C5E6D" w:rsidRDefault="003C5E6D" w:rsidP="00FE7D97">
            <w:pPr>
              <w:spacing w:before="0" w:after="0"/>
              <w:rPr>
                <w:rFonts w:ascii="Arial Narrow" w:hAnsi="Arial Narrow" w:cs="Arial"/>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16E93BB3" w14:textId="77777777" w:rsidR="003C5E6D" w:rsidRPr="003C5E6D" w:rsidRDefault="003C5E6D" w:rsidP="00FE7D97">
            <w:pPr>
              <w:keepLines/>
              <w:spacing w:before="0" w:after="0"/>
              <w:rPr>
                <w:rFonts w:ascii="Arial Narrow" w:hAnsi="Arial Narrow" w:cs="Arial"/>
                <w:b/>
                <w:sz w:val="20"/>
                <w:szCs w:val="20"/>
              </w:rPr>
            </w:pPr>
            <w:r w:rsidRPr="003C5E6D">
              <w:rPr>
                <w:rFonts w:ascii="Arial Narrow" w:hAnsi="Arial Narrow" w:cs="Arial"/>
                <w:b/>
                <w:sz w:val="20"/>
                <w:szCs w:val="20"/>
              </w:rPr>
              <w:t xml:space="preserve">Prescriber type: </w:t>
            </w:r>
            <w:r w:rsidRPr="003C5E6D">
              <w:rPr>
                <w:rFonts w:ascii="Arial Narrow" w:hAnsi="Arial Narrow" w:cs="Arial"/>
                <w:sz w:val="20"/>
                <w:szCs w:val="20"/>
              </w:rPr>
              <w:fldChar w:fldCharType="begin" w:fldLock="1">
                <w:ffData>
                  <w:name w:val=""/>
                  <w:enabled/>
                  <w:calcOnExit w:val="0"/>
                  <w:checkBox>
                    <w:sizeAuto/>
                    <w:default w:val="1"/>
                  </w:checkBox>
                </w:ffData>
              </w:fldChar>
            </w:r>
            <w:r w:rsidRPr="003C5E6D">
              <w:rPr>
                <w:rFonts w:ascii="Arial Narrow" w:hAnsi="Arial Narrow" w:cs="Arial"/>
                <w:sz w:val="20"/>
                <w:szCs w:val="20"/>
              </w:rPr>
              <w:instrText xml:space="preserve"> FORMCHECKBOX </w:instrText>
            </w:r>
            <w:r w:rsidRPr="003C5E6D">
              <w:rPr>
                <w:rFonts w:ascii="Arial Narrow" w:hAnsi="Arial Narrow" w:cs="Arial"/>
                <w:sz w:val="20"/>
                <w:szCs w:val="20"/>
              </w:rPr>
            </w:r>
            <w:r w:rsidRPr="003C5E6D">
              <w:rPr>
                <w:rFonts w:ascii="Arial Narrow" w:hAnsi="Arial Narrow" w:cs="Arial"/>
                <w:sz w:val="20"/>
                <w:szCs w:val="20"/>
              </w:rPr>
              <w:fldChar w:fldCharType="separate"/>
            </w:r>
            <w:r w:rsidRPr="003C5E6D">
              <w:rPr>
                <w:rFonts w:ascii="Arial Narrow" w:hAnsi="Arial Narrow" w:cs="Arial"/>
                <w:sz w:val="20"/>
                <w:szCs w:val="20"/>
              </w:rPr>
              <w:fldChar w:fldCharType="end"/>
            </w:r>
            <w:r w:rsidRPr="003C5E6D">
              <w:rPr>
                <w:rFonts w:ascii="Arial Narrow" w:hAnsi="Arial Narrow" w:cs="Arial"/>
                <w:sz w:val="20"/>
                <w:szCs w:val="20"/>
              </w:rPr>
              <w:t xml:space="preserve">Medical Practitioners </w:t>
            </w:r>
          </w:p>
        </w:tc>
      </w:tr>
      <w:tr w:rsidR="003C5E6D" w:rsidRPr="003C5E6D" w14:paraId="18EE36DD" w14:textId="77777777" w:rsidTr="007E0187">
        <w:trPr>
          <w:trHeight w:val="20"/>
        </w:trPr>
        <w:tc>
          <w:tcPr>
            <w:tcW w:w="1269" w:type="dxa"/>
            <w:gridSpan w:val="3"/>
            <w:vMerge/>
            <w:tcBorders>
              <w:left w:val="single" w:sz="4" w:space="0" w:color="auto"/>
              <w:bottom w:val="single" w:sz="4" w:space="0" w:color="auto"/>
              <w:right w:val="single" w:sz="4" w:space="0" w:color="auto"/>
            </w:tcBorders>
          </w:tcPr>
          <w:p w14:paraId="0B418E31" w14:textId="77777777" w:rsidR="003C5E6D" w:rsidRPr="003C5E6D" w:rsidRDefault="003C5E6D" w:rsidP="00FE7D97">
            <w:pPr>
              <w:spacing w:before="0" w:after="0"/>
              <w:rPr>
                <w:rFonts w:ascii="Arial Narrow" w:hAnsi="Arial Narrow" w:cs="Arial"/>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6CF89EBA" w14:textId="77777777" w:rsidR="003C5E6D" w:rsidRPr="003C5E6D" w:rsidRDefault="003C5E6D" w:rsidP="00FE7D97">
            <w:pPr>
              <w:keepLines/>
              <w:spacing w:before="0" w:after="0"/>
              <w:rPr>
                <w:rFonts w:ascii="Arial Narrow" w:eastAsia="Calibri" w:hAnsi="Arial Narrow" w:cs="Arial"/>
                <w:color w:val="FF0000"/>
                <w:sz w:val="20"/>
                <w:szCs w:val="20"/>
              </w:rPr>
            </w:pPr>
            <w:r w:rsidRPr="003C5E6D">
              <w:rPr>
                <w:rFonts w:ascii="Arial Narrow" w:hAnsi="Arial Narrow" w:cs="Arial"/>
                <w:b/>
                <w:sz w:val="20"/>
                <w:szCs w:val="20"/>
              </w:rPr>
              <w:t>Restriction type</w:t>
            </w:r>
            <w:r w:rsidRPr="003C5E6D">
              <w:rPr>
                <w:rFonts w:ascii="Arial Narrow" w:eastAsia="Calibri" w:hAnsi="Arial Narrow" w:cs="Arial"/>
                <w:sz w:val="20"/>
                <w:szCs w:val="20"/>
              </w:rPr>
              <w:t xml:space="preserve">:  </w:t>
            </w:r>
            <w:r w:rsidRPr="003C5E6D">
              <w:rPr>
                <w:rFonts w:ascii="Arial Narrow" w:eastAsia="Calibri" w:hAnsi="Arial Narrow" w:cs="Arial"/>
                <w:sz w:val="20"/>
                <w:szCs w:val="20"/>
              </w:rPr>
              <w:fldChar w:fldCharType="begin" w:fldLock="1">
                <w:ffData>
                  <w:name w:val=""/>
                  <w:enabled/>
                  <w:calcOnExit w:val="0"/>
                  <w:checkBox>
                    <w:sizeAuto/>
                    <w:default w:val="1"/>
                  </w:checkBox>
                </w:ffData>
              </w:fldChar>
            </w:r>
            <w:r w:rsidRPr="003C5E6D">
              <w:rPr>
                <w:rFonts w:ascii="Arial Narrow" w:eastAsia="Calibri" w:hAnsi="Arial Narrow" w:cs="Arial"/>
                <w:sz w:val="20"/>
                <w:szCs w:val="20"/>
              </w:rPr>
              <w:instrText xml:space="preserve"> FORMCHECKBOX </w:instrText>
            </w:r>
            <w:r w:rsidRPr="003C5E6D">
              <w:rPr>
                <w:rFonts w:ascii="Arial Narrow" w:eastAsia="Calibri" w:hAnsi="Arial Narrow" w:cs="Arial"/>
                <w:sz w:val="20"/>
                <w:szCs w:val="20"/>
              </w:rPr>
            </w:r>
            <w:r w:rsidRPr="003C5E6D">
              <w:rPr>
                <w:rFonts w:ascii="Arial Narrow" w:eastAsia="Calibri" w:hAnsi="Arial Narrow" w:cs="Arial"/>
                <w:sz w:val="20"/>
                <w:szCs w:val="20"/>
              </w:rPr>
              <w:fldChar w:fldCharType="separate"/>
            </w:r>
            <w:r w:rsidRPr="003C5E6D">
              <w:rPr>
                <w:rFonts w:ascii="Arial Narrow" w:eastAsia="Calibri" w:hAnsi="Arial Narrow" w:cs="Arial"/>
                <w:sz w:val="20"/>
                <w:szCs w:val="20"/>
              </w:rPr>
              <w:fldChar w:fldCharType="end"/>
            </w:r>
            <w:r w:rsidRPr="003C5E6D">
              <w:rPr>
                <w:rFonts w:ascii="Arial Narrow" w:eastAsia="Calibri" w:hAnsi="Arial Narrow" w:cs="Arial"/>
                <w:sz w:val="20"/>
                <w:szCs w:val="20"/>
              </w:rPr>
              <w:t xml:space="preserve">Authority Required (Streamlined) [new/existing code] </w:t>
            </w:r>
          </w:p>
        </w:tc>
      </w:tr>
      <w:tr w:rsidR="003C5E6D" w:rsidRPr="003C5E6D" w14:paraId="5DA684EA" w14:textId="77777777" w:rsidTr="007E0187">
        <w:trPr>
          <w:trHeight w:val="20"/>
        </w:trPr>
        <w:tc>
          <w:tcPr>
            <w:tcW w:w="682" w:type="dxa"/>
            <w:gridSpan w:val="2"/>
            <w:vMerge w:val="restart"/>
            <w:tcBorders>
              <w:left w:val="single" w:sz="4" w:space="0" w:color="auto"/>
              <w:right w:val="single" w:sz="4" w:space="0" w:color="auto"/>
            </w:tcBorders>
            <w:textDirection w:val="btLr"/>
            <w:vAlign w:val="center"/>
          </w:tcPr>
          <w:p w14:paraId="05BB8857" w14:textId="77777777" w:rsidR="003C5E6D" w:rsidRPr="003C5E6D" w:rsidRDefault="003C5E6D" w:rsidP="00FE7D97">
            <w:pPr>
              <w:spacing w:before="0" w:after="0"/>
              <w:jc w:val="center"/>
              <w:rPr>
                <w:rFonts w:ascii="Arial Narrow" w:hAnsi="Arial Narrow" w:cs="Arial"/>
                <w:i/>
                <w:iCs/>
                <w:sz w:val="20"/>
                <w:szCs w:val="20"/>
              </w:rPr>
            </w:pPr>
            <w:r w:rsidRPr="003C5E6D">
              <w:rPr>
                <w:rFonts w:ascii="Arial Narrow" w:hAnsi="Arial Narrow" w:cs="Arial"/>
                <w:i/>
                <w:iCs/>
                <w:sz w:val="20"/>
                <w:szCs w:val="20"/>
              </w:rPr>
              <w:t>Prescribing rule level</w:t>
            </w:r>
          </w:p>
        </w:tc>
        <w:tc>
          <w:tcPr>
            <w:tcW w:w="587" w:type="dxa"/>
            <w:tcMar>
              <w:left w:w="28" w:type="dxa"/>
              <w:right w:w="28" w:type="dxa"/>
            </w:tcMar>
            <w:vAlign w:val="center"/>
          </w:tcPr>
          <w:p w14:paraId="066A3319" w14:textId="5FC4028E" w:rsidR="003C5E6D" w:rsidRPr="003C5E6D" w:rsidRDefault="003C5E6D" w:rsidP="00FE7D9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3336F01E" w14:textId="77777777" w:rsidR="003C5E6D" w:rsidRPr="003C5E6D" w:rsidRDefault="003C5E6D" w:rsidP="00FE7D97">
            <w:pPr>
              <w:spacing w:before="0" w:after="0"/>
              <w:rPr>
                <w:rFonts w:ascii="Arial Narrow" w:eastAsia="Times New Roman" w:hAnsi="Arial Narrow"/>
                <w:i/>
                <w:iCs/>
                <w:color w:val="333333"/>
                <w:sz w:val="20"/>
                <w:szCs w:val="20"/>
                <w:lang w:eastAsia="en-AU"/>
              </w:rPr>
            </w:pPr>
            <w:r w:rsidRPr="003C5E6D">
              <w:rPr>
                <w:rFonts w:ascii="Arial Narrow" w:hAnsi="Arial Narrow"/>
                <w:b/>
                <w:bCs/>
                <w:i/>
                <w:iCs/>
                <w:sz w:val="20"/>
                <w:szCs w:val="20"/>
              </w:rPr>
              <w:t xml:space="preserve">Administrative Advice: </w:t>
            </w:r>
            <w:r w:rsidRPr="003C5E6D">
              <w:rPr>
                <w:rFonts w:ascii="Arial Narrow" w:hAnsi="Arial Narrow"/>
                <w:bCs/>
                <w:i/>
                <w:iCs/>
                <w:sz w:val="20"/>
                <w:szCs w:val="20"/>
              </w:rPr>
              <w:t>No increase in the maximum quantity or number of units may be authorised.</w:t>
            </w:r>
          </w:p>
        </w:tc>
      </w:tr>
      <w:tr w:rsidR="003C5E6D" w:rsidRPr="003C5E6D" w14:paraId="7263142D" w14:textId="77777777" w:rsidTr="007E0187">
        <w:trPr>
          <w:trHeight w:val="20"/>
        </w:trPr>
        <w:tc>
          <w:tcPr>
            <w:tcW w:w="682" w:type="dxa"/>
            <w:gridSpan w:val="2"/>
            <w:vMerge/>
            <w:tcBorders>
              <w:left w:val="single" w:sz="4" w:space="0" w:color="auto"/>
              <w:right w:val="single" w:sz="4" w:space="0" w:color="auto"/>
            </w:tcBorders>
          </w:tcPr>
          <w:p w14:paraId="5845F2ED" w14:textId="77777777" w:rsidR="003C5E6D" w:rsidRPr="003C5E6D" w:rsidRDefault="003C5E6D" w:rsidP="00FE7D97">
            <w:pPr>
              <w:spacing w:before="0" w:after="0"/>
              <w:rPr>
                <w:rFonts w:ascii="Arial Narrow" w:hAnsi="Arial Narrow" w:cs="Arial"/>
                <w:i/>
                <w:iCs/>
                <w:sz w:val="20"/>
                <w:szCs w:val="20"/>
              </w:rPr>
            </w:pPr>
          </w:p>
        </w:tc>
        <w:tc>
          <w:tcPr>
            <w:tcW w:w="587" w:type="dxa"/>
            <w:tcMar>
              <w:left w:w="28" w:type="dxa"/>
              <w:right w:w="28" w:type="dxa"/>
            </w:tcMar>
            <w:vAlign w:val="center"/>
          </w:tcPr>
          <w:p w14:paraId="0E8559D9" w14:textId="7DA2EA55" w:rsidR="003C5E6D" w:rsidRPr="003C5E6D" w:rsidRDefault="003C5E6D" w:rsidP="00FE7D9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2CD494F4" w14:textId="77777777" w:rsidR="003C5E6D" w:rsidRPr="003C5E6D" w:rsidRDefault="003C5E6D" w:rsidP="00FE7D97">
            <w:pPr>
              <w:spacing w:before="0" w:after="0"/>
              <w:rPr>
                <w:rFonts w:ascii="Arial Narrow" w:eastAsia="Times New Roman" w:hAnsi="Arial Narrow"/>
                <w:b/>
                <w:bCs/>
                <w:i/>
                <w:iCs/>
                <w:color w:val="333333"/>
                <w:sz w:val="20"/>
                <w:szCs w:val="20"/>
                <w:lang w:eastAsia="en-AU"/>
              </w:rPr>
            </w:pPr>
            <w:r w:rsidRPr="003C5E6D">
              <w:rPr>
                <w:rFonts w:ascii="Arial Narrow" w:hAnsi="Arial Narrow"/>
                <w:b/>
                <w:bCs/>
                <w:i/>
                <w:iCs/>
                <w:sz w:val="20"/>
                <w:szCs w:val="20"/>
              </w:rPr>
              <w:t xml:space="preserve">Administrative Advice: </w:t>
            </w:r>
            <w:r w:rsidRPr="003C5E6D">
              <w:rPr>
                <w:rFonts w:ascii="Arial Narrow" w:hAnsi="Arial Narrow"/>
                <w:bCs/>
                <w:i/>
                <w:iCs/>
                <w:sz w:val="20"/>
                <w:szCs w:val="20"/>
              </w:rPr>
              <w:t>No increase in the maximum number of repeats may be authorised.</w:t>
            </w:r>
          </w:p>
        </w:tc>
      </w:tr>
      <w:tr w:rsidR="003C5E6D" w:rsidRPr="003C5E6D" w14:paraId="579FDD7D" w14:textId="77777777" w:rsidTr="007E0187">
        <w:trPr>
          <w:trHeight w:val="20"/>
        </w:trPr>
        <w:tc>
          <w:tcPr>
            <w:tcW w:w="682" w:type="dxa"/>
            <w:gridSpan w:val="2"/>
            <w:vMerge/>
            <w:tcBorders>
              <w:left w:val="single" w:sz="4" w:space="0" w:color="auto"/>
              <w:bottom w:val="single" w:sz="4" w:space="0" w:color="auto"/>
              <w:right w:val="single" w:sz="4" w:space="0" w:color="auto"/>
            </w:tcBorders>
          </w:tcPr>
          <w:p w14:paraId="5E0A03BF" w14:textId="77777777" w:rsidR="003C5E6D" w:rsidRPr="003C5E6D" w:rsidRDefault="003C5E6D" w:rsidP="00FE7D97">
            <w:pPr>
              <w:spacing w:before="0" w:after="0"/>
              <w:rPr>
                <w:rFonts w:ascii="Arial Narrow" w:hAnsi="Arial Narrow" w:cs="Arial"/>
                <w:i/>
                <w:iCs/>
                <w:sz w:val="20"/>
                <w:szCs w:val="20"/>
              </w:rPr>
            </w:pPr>
          </w:p>
        </w:tc>
        <w:tc>
          <w:tcPr>
            <w:tcW w:w="587" w:type="dxa"/>
            <w:tcMar>
              <w:left w:w="28" w:type="dxa"/>
              <w:right w:w="28" w:type="dxa"/>
            </w:tcMar>
            <w:vAlign w:val="center"/>
          </w:tcPr>
          <w:p w14:paraId="413EAAE7" w14:textId="6E04BC88" w:rsidR="003C5E6D" w:rsidRPr="003C5E6D" w:rsidRDefault="003C5E6D" w:rsidP="00FE7D9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1C2F24B4" w14:textId="77777777" w:rsidR="003C5E6D" w:rsidRPr="003C5E6D" w:rsidRDefault="003C5E6D" w:rsidP="00FE7D97">
            <w:pPr>
              <w:spacing w:before="0" w:after="0"/>
              <w:rPr>
                <w:rFonts w:ascii="Arial Narrow" w:eastAsia="Times New Roman" w:hAnsi="Arial Narrow"/>
                <w:b/>
                <w:bCs/>
                <w:i/>
                <w:iCs/>
                <w:color w:val="333333"/>
                <w:sz w:val="20"/>
                <w:szCs w:val="20"/>
                <w:lang w:eastAsia="en-AU"/>
              </w:rPr>
            </w:pPr>
            <w:r w:rsidRPr="003C5E6D">
              <w:rPr>
                <w:rFonts w:ascii="Arial Narrow" w:hAnsi="Arial Narrow"/>
                <w:b/>
                <w:bCs/>
                <w:i/>
                <w:iCs/>
                <w:sz w:val="20"/>
                <w:szCs w:val="20"/>
              </w:rPr>
              <w:t xml:space="preserve">Administrative Advice: </w:t>
            </w:r>
            <w:r w:rsidRPr="003C5E6D">
              <w:rPr>
                <w:rFonts w:ascii="Arial Narrow" w:hAnsi="Arial Narrow"/>
                <w:bCs/>
                <w:i/>
                <w:iCs/>
                <w:sz w:val="20"/>
                <w:szCs w:val="20"/>
              </w:rPr>
              <w:t>Special Pricing Arrangements apply.</w:t>
            </w:r>
          </w:p>
        </w:tc>
      </w:tr>
      <w:tr w:rsidR="007E0187" w:rsidRPr="003C5E6D" w14:paraId="25D31D65" w14:textId="77777777" w:rsidTr="007E0187">
        <w:trPr>
          <w:cantSplit/>
          <w:trHeight w:val="20"/>
        </w:trPr>
        <w:tc>
          <w:tcPr>
            <w:tcW w:w="1269" w:type="dxa"/>
            <w:gridSpan w:val="3"/>
            <w:vMerge w:val="restart"/>
            <w:vAlign w:val="center"/>
          </w:tcPr>
          <w:p w14:paraId="2B00E4EB" w14:textId="77777777" w:rsidR="007E0187" w:rsidRPr="003C5E6D" w:rsidRDefault="007E0187" w:rsidP="007E0187">
            <w:pPr>
              <w:keepLines/>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5C5AE369" w14:textId="1B99115F" w:rsidR="007E0187" w:rsidRPr="003C5E6D" w:rsidRDefault="007E0187" w:rsidP="007E0187">
            <w:pPr>
              <w:keepLines/>
              <w:spacing w:before="0" w:after="0"/>
              <w:rPr>
                <w:rFonts w:ascii="Arial Narrow" w:eastAsia="Times New Roman" w:hAnsi="Arial Narrow"/>
                <w:bCs/>
                <w:sz w:val="20"/>
                <w:szCs w:val="20"/>
                <w:lang w:eastAsia="en-AU"/>
              </w:rPr>
            </w:pPr>
            <w:r w:rsidRPr="007E0187">
              <w:rPr>
                <w:rFonts w:ascii="Arial Narrow" w:eastAsia="Times New Roman" w:hAnsi="Arial Narrow"/>
                <w:b/>
                <w:bCs/>
                <w:sz w:val="20"/>
                <w:szCs w:val="20"/>
                <w:lang w:eastAsia="en-AU"/>
              </w:rPr>
              <w:t xml:space="preserve">Episodicity: </w:t>
            </w:r>
            <w:r w:rsidRPr="007E0187">
              <w:rPr>
                <w:rFonts w:ascii="Arial Narrow" w:eastAsia="Times New Roman" w:hAnsi="Arial Narrow"/>
                <w:bCs/>
                <w:sz w:val="20"/>
                <w:szCs w:val="20"/>
                <w:lang w:eastAsia="en-AU"/>
              </w:rPr>
              <w:t xml:space="preserve">[blank] </w:t>
            </w:r>
          </w:p>
        </w:tc>
      </w:tr>
      <w:tr w:rsidR="007E0187" w:rsidRPr="003C5E6D" w14:paraId="4B6DF8ED" w14:textId="77777777" w:rsidTr="007E0187">
        <w:trPr>
          <w:cantSplit/>
          <w:trHeight w:val="20"/>
        </w:trPr>
        <w:tc>
          <w:tcPr>
            <w:tcW w:w="1269" w:type="dxa"/>
            <w:gridSpan w:val="3"/>
            <w:vMerge/>
            <w:vAlign w:val="center"/>
          </w:tcPr>
          <w:p w14:paraId="2F1B74E6" w14:textId="77777777" w:rsidR="007E0187" w:rsidRPr="003C5E6D" w:rsidRDefault="007E0187" w:rsidP="007E0187">
            <w:pPr>
              <w:keepLines/>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4B6060CA" w14:textId="77777777" w:rsidR="007E0187" w:rsidRPr="003C5E6D" w:rsidRDefault="007E0187" w:rsidP="007E0187">
            <w:pPr>
              <w:keepLines/>
              <w:spacing w:before="0" w:after="0"/>
              <w:rPr>
                <w:rFonts w:ascii="Arial Narrow" w:eastAsia="Times New Roman" w:hAnsi="Arial Narrow"/>
                <w:b/>
                <w:bCs/>
                <w:sz w:val="20"/>
                <w:szCs w:val="20"/>
                <w:lang w:eastAsia="en-AU"/>
              </w:rPr>
            </w:pPr>
            <w:r w:rsidRPr="003C5E6D">
              <w:rPr>
                <w:rFonts w:ascii="Arial Narrow" w:eastAsia="Times New Roman" w:hAnsi="Arial Narrow"/>
                <w:b/>
                <w:bCs/>
                <w:sz w:val="20"/>
                <w:szCs w:val="20"/>
                <w:lang w:eastAsia="en-AU"/>
              </w:rPr>
              <w:t xml:space="preserve">Severity: </w:t>
            </w:r>
            <w:r w:rsidRPr="003C5E6D">
              <w:rPr>
                <w:rFonts w:ascii="Arial Narrow" w:eastAsia="Times New Roman" w:hAnsi="Arial Narrow"/>
                <w:bCs/>
                <w:sz w:val="20"/>
                <w:szCs w:val="20"/>
                <w:lang w:eastAsia="en-AU"/>
              </w:rPr>
              <w:t>Locally advanced or metastatic</w:t>
            </w:r>
          </w:p>
        </w:tc>
      </w:tr>
      <w:tr w:rsidR="007E0187" w:rsidRPr="003C5E6D" w14:paraId="31A86EAF" w14:textId="77777777" w:rsidTr="007E0187">
        <w:trPr>
          <w:cantSplit/>
          <w:trHeight w:val="20"/>
        </w:trPr>
        <w:tc>
          <w:tcPr>
            <w:tcW w:w="1269" w:type="dxa"/>
            <w:gridSpan w:val="3"/>
            <w:vMerge/>
            <w:vAlign w:val="center"/>
          </w:tcPr>
          <w:p w14:paraId="54F38A3E" w14:textId="77777777" w:rsidR="007E0187" w:rsidRPr="003C5E6D" w:rsidRDefault="007E0187" w:rsidP="007E0187">
            <w:pPr>
              <w:keepLines/>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1E0B46D0" w14:textId="77777777" w:rsidR="007E0187" w:rsidRPr="003C5E6D" w:rsidRDefault="007E0187" w:rsidP="007E0187">
            <w:pPr>
              <w:keepLines/>
              <w:spacing w:before="0" w:after="0"/>
              <w:rPr>
                <w:rFonts w:ascii="Arial Narrow" w:eastAsia="Times New Roman" w:hAnsi="Arial Narrow"/>
                <w:b/>
                <w:bCs/>
                <w:color w:val="333333"/>
                <w:sz w:val="20"/>
                <w:szCs w:val="20"/>
                <w:lang w:eastAsia="en-AU"/>
              </w:rPr>
            </w:pPr>
            <w:r w:rsidRPr="003C5E6D">
              <w:rPr>
                <w:rFonts w:ascii="Arial Narrow" w:eastAsia="Times New Roman" w:hAnsi="Arial Narrow"/>
                <w:b/>
                <w:bCs/>
                <w:color w:val="333333"/>
                <w:sz w:val="20"/>
                <w:szCs w:val="20"/>
                <w:lang w:eastAsia="en-AU"/>
              </w:rPr>
              <w:t xml:space="preserve">Condition: </w:t>
            </w:r>
            <w:r w:rsidRPr="003C5E6D">
              <w:rPr>
                <w:rFonts w:ascii="Arial Narrow" w:eastAsia="Times New Roman" w:hAnsi="Arial Narrow"/>
                <w:bCs/>
                <w:color w:val="333333"/>
                <w:sz w:val="20"/>
                <w:szCs w:val="20"/>
                <w:lang w:eastAsia="en-AU"/>
              </w:rPr>
              <w:t>Cholangiocarcinoma</w:t>
            </w:r>
          </w:p>
        </w:tc>
      </w:tr>
      <w:tr w:rsidR="007E0187" w:rsidRPr="003C5E6D" w14:paraId="0ABD37D7" w14:textId="77777777" w:rsidTr="007E0187">
        <w:trPr>
          <w:cantSplit/>
          <w:trHeight w:val="20"/>
        </w:trPr>
        <w:tc>
          <w:tcPr>
            <w:tcW w:w="1269" w:type="dxa"/>
            <w:gridSpan w:val="3"/>
            <w:vAlign w:val="center"/>
          </w:tcPr>
          <w:p w14:paraId="25AAF03D" w14:textId="46C19EC6" w:rsidR="007E0187" w:rsidRPr="003C5E6D" w:rsidRDefault="007E0187" w:rsidP="007E0187">
            <w:pPr>
              <w:keepLines/>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29CF24A3" w14:textId="77777777" w:rsidR="007E0187" w:rsidRPr="003C5E6D" w:rsidRDefault="007E0187" w:rsidP="007E0187">
            <w:pPr>
              <w:keepLines/>
              <w:spacing w:before="0" w:after="0"/>
              <w:rPr>
                <w:rFonts w:ascii="Arial Narrow" w:eastAsia="Times New Roman" w:hAnsi="Arial Narrow"/>
                <w:color w:val="333333"/>
                <w:sz w:val="20"/>
                <w:szCs w:val="20"/>
                <w:lang w:eastAsia="en-AU"/>
              </w:rPr>
            </w:pPr>
            <w:r w:rsidRPr="003C5E6D">
              <w:rPr>
                <w:rFonts w:ascii="Arial Narrow" w:eastAsia="Times New Roman" w:hAnsi="Arial Narrow"/>
                <w:b/>
                <w:bCs/>
                <w:color w:val="333333"/>
                <w:sz w:val="20"/>
                <w:szCs w:val="20"/>
                <w:lang w:eastAsia="en-AU"/>
              </w:rPr>
              <w:t>Indication:</w:t>
            </w:r>
            <w:r w:rsidRPr="003C5E6D">
              <w:rPr>
                <w:rFonts w:ascii="Arial Narrow" w:eastAsia="Times New Roman" w:hAnsi="Arial Narrow"/>
                <w:color w:val="333333"/>
                <w:sz w:val="20"/>
                <w:szCs w:val="20"/>
                <w:lang w:eastAsia="en-AU"/>
              </w:rPr>
              <w:t xml:space="preserve"> locally advanced or metastatic cholangiocarcinoma</w:t>
            </w:r>
          </w:p>
        </w:tc>
      </w:tr>
      <w:tr w:rsidR="007E0187" w:rsidRPr="003C5E6D" w14:paraId="2171B393" w14:textId="77777777" w:rsidTr="007E0187">
        <w:trPr>
          <w:cantSplit/>
          <w:trHeight w:val="20"/>
        </w:trPr>
        <w:tc>
          <w:tcPr>
            <w:tcW w:w="1269" w:type="dxa"/>
            <w:gridSpan w:val="3"/>
            <w:vAlign w:val="center"/>
          </w:tcPr>
          <w:p w14:paraId="1813F68B" w14:textId="77777777"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50E5F841" w14:textId="77777777" w:rsidR="007E0187" w:rsidRPr="003C5E6D" w:rsidRDefault="007E0187" w:rsidP="007E0187">
            <w:pPr>
              <w:spacing w:before="0" w:after="0"/>
              <w:rPr>
                <w:rFonts w:ascii="Arial Narrow" w:eastAsia="Times New Roman" w:hAnsi="Arial Narrow"/>
                <w:sz w:val="20"/>
                <w:szCs w:val="20"/>
                <w:lang w:eastAsia="en-AU"/>
              </w:rPr>
            </w:pPr>
            <w:r w:rsidRPr="003C5E6D">
              <w:rPr>
                <w:rFonts w:ascii="Arial Narrow" w:eastAsia="Times New Roman" w:hAnsi="Arial Narrow"/>
                <w:b/>
                <w:bCs/>
                <w:sz w:val="20"/>
                <w:szCs w:val="20"/>
                <w:lang w:eastAsia="en-AU"/>
              </w:rPr>
              <w:t>Treatment Phase:</w:t>
            </w:r>
            <w:r w:rsidRPr="003C5E6D">
              <w:rPr>
                <w:rFonts w:ascii="Arial Narrow" w:eastAsia="Times New Roman" w:hAnsi="Arial Narrow"/>
                <w:sz w:val="20"/>
                <w:szCs w:val="20"/>
                <w:lang w:eastAsia="en-AU"/>
              </w:rPr>
              <w:t xml:space="preserve"> Initial treatment</w:t>
            </w:r>
          </w:p>
        </w:tc>
      </w:tr>
      <w:tr w:rsidR="007E0187" w:rsidRPr="003C5E6D" w14:paraId="10798405" w14:textId="77777777" w:rsidTr="007E0187">
        <w:trPr>
          <w:cantSplit/>
          <w:trHeight w:val="20"/>
        </w:trPr>
        <w:tc>
          <w:tcPr>
            <w:tcW w:w="1269" w:type="dxa"/>
            <w:gridSpan w:val="3"/>
            <w:vAlign w:val="center"/>
          </w:tcPr>
          <w:p w14:paraId="2202DFB4" w14:textId="0CF4E507"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634CB2F0"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 xml:space="preserve">Clinical criteria: </w:t>
            </w:r>
          </w:p>
        </w:tc>
      </w:tr>
      <w:tr w:rsidR="007E0187" w:rsidRPr="003C5E6D" w14:paraId="5734B311" w14:textId="77777777" w:rsidTr="007E0187">
        <w:trPr>
          <w:cantSplit/>
          <w:trHeight w:val="20"/>
        </w:trPr>
        <w:tc>
          <w:tcPr>
            <w:tcW w:w="1269" w:type="dxa"/>
            <w:gridSpan w:val="3"/>
            <w:vAlign w:val="center"/>
          </w:tcPr>
          <w:p w14:paraId="20CA7DB3" w14:textId="2A0301E1"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1344F341" w14:textId="77777777" w:rsidR="007E0187" w:rsidRPr="003C5E6D" w:rsidRDefault="007E0187" w:rsidP="007E0187">
            <w:pPr>
              <w:spacing w:before="0" w:after="0"/>
              <w:rPr>
                <w:rFonts w:ascii="Arial Narrow" w:hAnsi="Arial Narrow" w:cstheme="minorHAnsi"/>
                <w:sz w:val="20"/>
                <w:szCs w:val="20"/>
              </w:rPr>
            </w:pPr>
            <w:r w:rsidRPr="003C5E6D">
              <w:rPr>
                <w:rFonts w:ascii="Arial Narrow" w:hAnsi="Arial Narrow" w:cstheme="minorHAnsi"/>
                <w:sz w:val="20"/>
                <w:szCs w:val="20"/>
              </w:rPr>
              <w:t>The</w:t>
            </w:r>
            <w:r w:rsidRPr="003C5E6D" w:rsidDel="000A0A16">
              <w:rPr>
                <w:rFonts w:ascii="Arial Narrow" w:hAnsi="Arial Narrow" w:cstheme="minorHAnsi"/>
                <w:sz w:val="20"/>
                <w:szCs w:val="20"/>
              </w:rPr>
              <w:t xml:space="preserve"> </w:t>
            </w:r>
            <w:r w:rsidRPr="003C5E6D">
              <w:rPr>
                <w:rFonts w:ascii="Arial Narrow" w:hAnsi="Arial Narrow" w:cstheme="minorHAnsi"/>
                <w:strike/>
                <w:sz w:val="20"/>
                <w:szCs w:val="20"/>
              </w:rPr>
              <w:t>patient</w:t>
            </w:r>
            <w:r w:rsidRPr="003C5E6D">
              <w:rPr>
                <w:rFonts w:ascii="Arial Narrow" w:hAnsi="Arial Narrow" w:cstheme="minorHAnsi"/>
                <w:sz w:val="20"/>
                <w:szCs w:val="20"/>
              </w:rPr>
              <w:t xml:space="preserve"> </w:t>
            </w:r>
            <w:r w:rsidRPr="003C5E6D">
              <w:rPr>
                <w:rFonts w:ascii="Arial Narrow" w:hAnsi="Arial Narrow" w:cstheme="minorHAnsi"/>
                <w:i/>
                <w:iCs/>
                <w:sz w:val="20"/>
                <w:szCs w:val="20"/>
              </w:rPr>
              <w:t>condition</w:t>
            </w:r>
            <w:r w:rsidRPr="003C5E6D">
              <w:rPr>
                <w:rFonts w:ascii="Arial Narrow" w:hAnsi="Arial Narrow" w:cstheme="minorHAnsi"/>
                <w:sz w:val="20"/>
                <w:szCs w:val="20"/>
              </w:rPr>
              <w:t xml:space="preserve"> must </w:t>
            </w:r>
            <w:r w:rsidRPr="003C5E6D">
              <w:rPr>
                <w:rFonts w:ascii="Arial Narrow" w:hAnsi="Arial Narrow" w:cstheme="minorHAnsi"/>
                <w:strike/>
                <w:sz w:val="20"/>
                <w:szCs w:val="20"/>
              </w:rPr>
              <w:t>have</w:t>
            </w:r>
            <w:r w:rsidRPr="003C5E6D">
              <w:rPr>
                <w:rFonts w:ascii="Arial Narrow" w:hAnsi="Arial Narrow" w:cstheme="minorHAnsi"/>
                <w:sz w:val="20"/>
                <w:szCs w:val="20"/>
              </w:rPr>
              <w:t xml:space="preserve"> </w:t>
            </w:r>
            <w:proofErr w:type="gramStart"/>
            <w:r w:rsidRPr="003C5E6D">
              <w:rPr>
                <w:rFonts w:ascii="Arial Narrow" w:hAnsi="Arial Narrow" w:cstheme="minorHAnsi"/>
                <w:i/>
                <w:iCs/>
                <w:sz w:val="20"/>
                <w:szCs w:val="20"/>
              </w:rPr>
              <w:t>be</w:t>
            </w:r>
            <w:proofErr w:type="gramEnd"/>
            <w:r w:rsidRPr="003C5E6D">
              <w:rPr>
                <w:rFonts w:ascii="Arial Narrow" w:hAnsi="Arial Narrow" w:cstheme="minorHAnsi"/>
                <w:i/>
                <w:iCs/>
                <w:sz w:val="20"/>
                <w:szCs w:val="20"/>
              </w:rPr>
              <w:t xml:space="preserve"> associated</w:t>
            </w:r>
            <w:r w:rsidRPr="003C5E6D">
              <w:rPr>
                <w:rFonts w:ascii="Arial Narrow" w:hAnsi="Arial Narrow" w:cstheme="minorHAnsi"/>
                <w:sz w:val="20"/>
                <w:szCs w:val="20"/>
              </w:rPr>
              <w:t xml:space="preserve"> with a confirmed </w:t>
            </w:r>
            <w:r w:rsidRPr="003C5E6D">
              <w:rPr>
                <w:rFonts w:ascii="Arial Narrow" w:eastAsia="Times New Roman" w:hAnsi="Arial Narrow"/>
                <w:i/>
                <w:iCs/>
                <w:sz w:val="20"/>
                <w:szCs w:val="20"/>
                <w:lang w:eastAsia="en-AU"/>
              </w:rPr>
              <w:t>Isocitrate dehydrogenase 1</w:t>
            </w:r>
            <w:r w:rsidRPr="003C5E6D">
              <w:rPr>
                <w:rFonts w:ascii="Arial Narrow" w:hAnsi="Arial Narrow" w:cstheme="minorHAnsi"/>
                <w:sz w:val="20"/>
                <w:szCs w:val="20"/>
              </w:rPr>
              <w:t xml:space="preserve"> (IDH1) </w:t>
            </w:r>
            <w:r w:rsidRPr="003C5E6D">
              <w:rPr>
                <w:rFonts w:ascii="Arial Narrow" w:hAnsi="Arial Narrow" w:cstheme="minorHAnsi"/>
                <w:i/>
                <w:iCs/>
                <w:sz w:val="20"/>
                <w:szCs w:val="20"/>
              </w:rPr>
              <w:t xml:space="preserve">tier I </w:t>
            </w:r>
            <w:r w:rsidRPr="003C5E6D">
              <w:rPr>
                <w:rFonts w:ascii="Arial Narrow" w:hAnsi="Arial Narrow" w:cstheme="minorHAnsi"/>
                <w:sz w:val="20"/>
                <w:szCs w:val="20"/>
              </w:rPr>
              <w:t>variant</w:t>
            </w:r>
          </w:p>
        </w:tc>
      </w:tr>
      <w:tr w:rsidR="007E0187" w:rsidRPr="003C5E6D" w14:paraId="2C02CE77" w14:textId="77777777" w:rsidTr="007E0187">
        <w:trPr>
          <w:cantSplit/>
          <w:trHeight w:val="20"/>
        </w:trPr>
        <w:tc>
          <w:tcPr>
            <w:tcW w:w="1269" w:type="dxa"/>
            <w:gridSpan w:val="3"/>
            <w:vAlign w:val="center"/>
          </w:tcPr>
          <w:p w14:paraId="1BC684B2" w14:textId="77777777"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29DD5B42" w14:textId="77777777" w:rsidR="007E0187" w:rsidRPr="003C5E6D" w:rsidRDefault="007E0187" w:rsidP="007E0187">
            <w:pPr>
              <w:spacing w:before="0" w:after="0"/>
              <w:rPr>
                <w:rFonts w:ascii="Arial Narrow" w:eastAsia="Times New Roman" w:hAnsi="Arial Narrow"/>
                <w:sz w:val="20"/>
                <w:szCs w:val="20"/>
                <w:lang w:eastAsia="en-AU"/>
              </w:rPr>
            </w:pPr>
            <w:r w:rsidRPr="003C5E6D">
              <w:rPr>
                <w:rFonts w:ascii="Arial Narrow" w:eastAsia="Times New Roman" w:hAnsi="Arial Narrow"/>
                <w:b/>
                <w:bCs/>
                <w:sz w:val="20"/>
                <w:szCs w:val="20"/>
                <w:lang w:eastAsia="en-AU"/>
              </w:rPr>
              <w:t>AND</w:t>
            </w:r>
          </w:p>
        </w:tc>
      </w:tr>
      <w:tr w:rsidR="007E0187" w:rsidRPr="003C5E6D" w14:paraId="47106825" w14:textId="77777777" w:rsidTr="007E0187">
        <w:trPr>
          <w:cantSplit/>
          <w:trHeight w:val="20"/>
        </w:trPr>
        <w:tc>
          <w:tcPr>
            <w:tcW w:w="1269" w:type="dxa"/>
            <w:gridSpan w:val="3"/>
            <w:vAlign w:val="center"/>
          </w:tcPr>
          <w:p w14:paraId="02B77CC2" w14:textId="506BE164"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5439C391"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 xml:space="preserve">Clinical criteria: </w:t>
            </w:r>
          </w:p>
        </w:tc>
      </w:tr>
      <w:tr w:rsidR="007E0187" w:rsidRPr="003C5E6D" w14:paraId="0551587E" w14:textId="77777777" w:rsidTr="007E0187">
        <w:trPr>
          <w:cantSplit/>
          <w:trHeight w:val="20"/>
        </w:trPr>
        <w:tc>
          <w:tcPr>
            <w:tcW w:w="1269" w:type="dxa"/>
            <w:gridSpan w:val="3"/>
            <w:vAlign w:val="center"/>
          </w:tcPr>
          <w:p w14:paraId="5B783572" w14:textId="55B28C33"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2DA746BC" w14:textId="77777777" w:rsidR="007E0187" w:rsidRPr="003C5E6D" w:rsidRDefault="007E0187" w:rsidP="007E0187">
            <w:pPr>
              <w:spacing w:before="0" w:after="0"/>
              <w:rPr>
                <w:rFonts w:ascii="Arial Narrow" w:hAnsi="Arial Narrow" w:cstheme="minorHAnsi"/>
                <w:i/>
                <w:iCs/>
                <w:sz w:val="20"/>
                <w:szCs w:val="20"/>
              </w:rPr>
            </w:pPr>
            <w:r w:rsidRPr="003C5E6D">
              <w:rPr>
                <w:rFonts w:ascii="Arial Narrow" w:hAnsi="Arial Narrow" w:cstheme="minorHAnsi"/>
                <w:sz w:val="20"/>
                <w:szCs w:val="20"/>
              </w:rPr>
              <w:t xml:space="preserve">The patient must have </w:t>
            </w:r>
            <w:r w:rsidRPr="003C5E6D">
              <w:rPr>
                <w:rFonts w:ascii="Arial Narrow" w:hAnsi="Arial Narrow" w:cstheme="minorHAnsi"/>
                <w:strike/>
                <w:sz w:val="20"/>
                <w:szCs w:val="20"/>
              </w:rPr>
              <w:t>prior</w:t>
            </w:r>
            <w:r w:rsidRPr="003C5E6D">
              <w:rPr>
                <w:rFonts w:ascii="Arial Narrow" w:hAnsi="Arial Narrow" w:cstheme="minorHAnsi"/>
                <w:sz w:val="20"/>
                <w:szCs w:val="20"/>
              </w:rPr>
              <w:t xml:space="preserve"> </w:t>
            </w:r>
            <w:r w:rsidRPr="003C5E6D">
              <w:rPr>
                <w:rFonts w:ascii="Arial Narrow" w:hAnsi="Arial Narrow" w:cstheme="minorHAnsi"/>
                <w:i/>
                <w:iCs/>
                <w:sz w:val="20"/>
                <w:szCs w:val="20"/>
              </w:rPr>
              <w:t>had</w:t>
            </w:r>
            <w:r w:rsidRPr="003C5E6D">
              <w:rPr>
                <w:rFonts w:ascii="Arial Narrow" w:hAnsi="Arial Narrow" w:cstheme="minorHAnsi"/>
                <w:sz w:val="20"/>
                <w:szCs w:val="20"/>
              </w:rPr>
              <w:t xml:space="preserve"> systemic therapy </w:t>
            </w:r>
            <w:r w:rsidRPr="003C5E6D">
              <w:rPr>
                <w:rFonts w:ascii="Arial Narrow" w:hAnsi="Arial Narrow" w:cstheme="minorHAnsi"/>
                <w:i/>
                <w:iCs/>
                <w:sz w:val="20"/>
                <w:szCs w:val="20"/>
              </w:rPr>
              <w:t>for this condition prior to initiating treatment with this drug for this condition.</w:t>
            </w:r>
          </w:p>
        </w:tc>
      </w:tr>
      <w:tr w:rsidR="007E0187" w:rsidRPr="003C5E6D" w14:paraId="2F593D77" w14:textId="77777777" w:rsidTr="007E0187">
        <w:trPr>
          <w:cantSplit/>
          <w:trHeight w:val="20"/>
        </w:trPr>
        <w:tc>
          <w:tcPr>
            <w:tcW w:w="1269" w:type="dxa"/>
            <w:gridSpan w:val="3"/>
            <w:vAlign w:val="center"/>
          </w:tcPr>
          <w:p w14:paraId="1CBC841C"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0724F1B4" w14:textId="77777777" w:rsidR="007E0187" w:rsidRPr="003C5E6D" w:rsidRDefault="007E0187" w:rsidP="007E0187">
            <w:pPr>
              <w:spacing w:before="0" w:after="0"/>
              <w:rPr>
                <w:rFonts w:ascii="Arial Narrow" w:eastAsia="Times New Roman" w:hAnsi="Arial Narrow"/>
                <w:sz w:val="20"/>
                <w:szCs w:val="20"/>
                <w:lang w:eastAsia="en-AU"/>
              </w:rPr>
            </w:pPr>
            <w:r w:rsidRPr="003C5E6D">
              <w:rPr>
                <w:rFonts w:ascii="Arial Narrow" w:eastAsia="Times New Roman" w:hAnsi="Arial Narrow"/>
                <w:b/>
                <w:bCs/>
                <w:sz w:val="20"/>
                <w:szCs w:val="20"/>
                <w:lang w:eastAsia="en-AU"/>
              </w:rPr>
              <w:t>AND</w:t>
            </w:r>
          </w:p>
        </w:tc>
      </w:tr>
      <w:tr w:rsidR="007E0187" w:rsidRPr="003C5E6D" w14:paraId="3069D6AC" w14:textId="77777777" w:rsidTr="007E0187">
        <w:trPr>
          <w:cantSplit/>
          <w:trHeight w:val="20"/>
        </w:trPr>
        <w:tc>
          <w:tcPr>
            <w:tcW w:w="1269" w:type="dxa"/>
            <w:gridSpan w:val="3"/>
            <w:vAlign w:val="center"/>
          </w:tcPr>
          <w:p w14:paraId="0D97C51E" w14:textId="3DB95652"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1271BCEF"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 xml:space="preserve">Clinical criteria: </w:t>
            </w:r>
          </w:p>
        </w:tc>
      </w:tr>
      <w:tr w:rsidR="007E0187" w:rsidRPr="003C5E6D" w14:paraId="56C81657" w14:textId="77777777" w:rsidTr="007E0187">
        <w:trPr>
          <w:cantSplit/>
          <w:trHeight w:val="20"/>
        </w:trPr>
        <w:tc>
          <w:tcPr>
            <w:tcW w:w="1269" w:type="dxa"/>
            <w:gridSpan w:val="3"/>
            <w:vAlign w:val="center"/>
          </w:tcPr>
          <w:p w14:paraId="675D40A6" w14:textId="0A3160CF"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7F861B09" w14:textId="77777777" w:rsidR="007E0187" w:rsidRPr="003C5E6D" w:rsidRDefault="007E0187" w:rsidP="007E0187">
            <w:pPr>
              <w:spacing w:before="0" w:after="0"/>
              <w:rPr>
                <w:rFonts w:ascii="Arial Narrow" w:hAnsi="Arial Narrow" w:cstheme="minorHAnsi"/>
                <w:sz w:val="20"/>
                <w:szCs w:val="20"/>
              </w:rPr>
            </w:pPr>
            <w:r w:rsidRPr="003C5E6D">
              <w:rPr>
                <w:rFonts w:ascii="Arial Narrow" w:hAnsi="Arial Narrow" w:cstheme="minorHAnsi"/>
                <w:sz w:val="20"/>
                <w:szCs w:val="20"/>
              </w:rPr>
              <w:t>Patient must have/</w:t>
            </w:r>
            <w:r w:rsidRPr="003C5E6D">
              <w:rPr>
                <w:rFonts w:ascii="Arial Narrow" w:hAnsi="Arial Narrow" w:cstheme="minorHAnsi"/>
                <w:i/>
                <w:iCs/>
                <w:sz w:val="20"/>
                <w:szCs w:val="20"/>
              </w:rPr>
              <w:t>have had</w:t>
            </w:r>
            <w:r w:rsidRPr="003C5E6D">
              <w:rPr>
                <w:rFonts w:ascii="Arial Narrow" w:hAnsi="Arial Narrow" w:cstheme="minorHAnsi"/>
                <w:sz w:val="20"/>
                <w:szCs w:val="20"/>
              </w:rPr>
              <w:t xml:space="preserve"> a WHO performance status of 2 or less at treatment initiation with this drug</w:t>
            </w:r>
          </w:p>
        </w:tc>
      </w:tr>
      <w:tr w:rsidR="007E0187" w:rsidRPr="003C5E6D" w14:paraId="3F9226C9" w14:textId="77777777" w:rsidTr="007E0187">
        <w:trPr>
          <w:cantSplit/>
          <w:trHeight w:val="20"/>
        </w:trPr>
        <w:tc>
          <w:tcPr>
            <w:tcW w:w="1269" w:type="dxa"/>
            <w:gridSpan w:val="3"/>
            <w:vAlign w:val="center"/>
          </w:tcPr>
          <w:p w14:paraId="550DDB00"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0F976F36"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AND</w:t>
            </w:r>
          </w:p>
        </w:tc>
      </w:tr>
      <w:tr w:rsidR="007E0187" w:rsidRPr="003C5E6D" w14:paraId="27E6E997" w14:textId="77777777" w:rsidTr="007E0187">
        <w:trPr>
          <w:cantSplit/>
          <w:trHeight w:val="20"/>
        </w:trPr>
        <w:tc>
          <w:tcPr>
            <w:tcW w:w="1269" w:type="dxa"/>
            <w:gridSpan w:val="3"/>
            <w:vAlign w:val="center"/>
          </w:tcPr>
          <w:p w14:paraId="64E6C163" w14:textId="235B9096"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0395E10A"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 xml:space="preserve">Clinical criteria: </w:t>
            </w:r>
          </w:p>
        </w:tc>
      </w:tr>
      <w:tr w:rsidR="007E0187" w:rsidRPr="003C5E6D" w14:paraId="216A8A82" w14:textId="77777777" w:rsidTr="007E0187">
        <w:trPr>
          <w:cantSplit/>
          <w:trHeight w:val="20"/>
        </w:trPr>
        <w:tc>
          <w:tcPr>
            <w:tcW w:w="1269" w:type="dxa"/>
            <w:gridSpan w:val="3"/>
            <w:vAlign w:val="center"/>
          </w:tcPr>
          <w:p w14:paraId="609C1F18" w14:textId="0AC6847E"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6061C25E" w14:textId="77777777" w:rsidR="007E0187" w:rsidRPr="003C5E6D" w:rsidRDefault="007E0187" w:rsidP="007E0187">
            <w:pPr>
              <w:spacing w:before="0" w:after="0"/>
              <w:rPr>
                <w:rFonts w:ascii="Arial Narrow" w:hAnsi="Arial Narrow" w:cstheme="minorHAnsi"/>
                <w:sz w:val="20"/>
                <w:szCs w:val="20"/>
              </w:rPr>
            </w:pPr>
            <w:r w:rsidRPr="003C5E6D">
              <w:rPr>
                <w:rFonts w:ascii="Arial Narrow" w:hAnsi="Arial Narrow" w:cstheme="minorHAnsi"/>
                <w:sz w:val="20"/>
                <w:szCs w:val="20"/>
              </w:rPr>
              <w:t>The treatment must be the sole PBS-subsidised therapy for this condition</w:t>
            </w:r>
          </w:p>
        </w:tc>
      </w:tr>
      <w:tr w:rsidR="007E0187" w:rsidRPr="003C5E6D" w14:paraId="6EF5ED8A" w14:textId="77777777" w:rsidTr="007E0187">
        <w:trPr>
          <w:cantSplit/>
          <w:trHeight w:val="20"/>
        </w:trPr>
        <w:tc>
          <w:tcPr>
            <w:tcW w:w="1269" w:type="dxa"/>
            <w:gridSpan w:val="3"/>
            <w:vAlign w:val="center"/>
          </w:tcPr>
          <w:p w14:paraId="0F506875"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1AC41212"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AND</w:t>
            </w:r>
          </w:p>
        </w:tc>
      </w:tr>
      <w:tr w:rsidR="007E0187" w:rsidRPr="003C5E6D" w14:paraId="3AF694EF" w14:textId="77777777" w:rsidTr="007E0187">
        <w:trPr>
          <w:cantSplit/>
          <w:trHeight w:val="20"/>
        </w:trPr>
        <w:tc>
          <w:tcPr>
            <w:tcW w:w="1269" w:type="dxa"/>
            <w:gridSpan w:val="3"/>
            <w:vAlign w:val="center"/>
          </w:tcPr>
          <w:p w14:paraId="6BA6BF64"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77094DB2" w14:textId="77777777" w:rsidR="007E0187" w:rsidRPr="003C5E6D" w:rsidRDefault="007E0187" w:rsidP="007E0187">
            <w:pPr>
              <w:spacing w:before="0" w:after="0"/>
              <w:rPr>
                <w:rFonts w:ascii="Arial Narrow" w:hAnsi="Arial Narrow" w:cstheme="minorHAnsi"/>
                <w:strike/>
                <w:sz w:val="20"/>
                <w:szCs w:val="20"/>
              </w:rPr>
            </w:pPr>
            <w:r w:rsidRPr="003C5E6D">
              <w:rPr>
                <w:rFonts w:ascii="Arial Narrow" w:eastAsia="Times New Roman" w:hAnsi="Arial Narrow"/>
                <w:b/>
                <w:bCs/>
                <w:strike/>
                <w:sz w:val="20"/>
                <w:szCs w:val="20"/>
                <w:lang w:eastAsia="en-AU"/>
              </w:rPr>
              <w:t xml:space="preserve">Clinical criteria: </w:t>
            </w:r>
          </w:p>
        </w:tc>
      </w:tr>
      <w:tr w:rsidR="007E0187" w:rsidRPr="003C5E6D" w14:paraId="51758500" w14:textId="77777777" w:rsidTr="007E0187">
        <w:trPr>
          <w:cantSplit/>
          <w:trHeight w:val="20"/>
        </w:trPr>
        <w:tc>
          <w:tcPr>
            <w:tcW w:w="1269" w:type="dxa"/>
            <w:gridSpan w:val="3"/>
            <w:vAlign w:val="center"/>
          </w:tcPr>
          <w:p w14:paraId="20BC64A0" w14:textId="7CD57983" w:rsidR="007E0187" w:rsidRPr="003C5E6D" w:rsidRDefault="007E0187" w:rsidP="007E0187">
            <w:pPr>
              <w:spacing w:before="0" w:after="0"/>
              <w:jc w:val="center"/>
              <w:rPr>
                <w:rFonts w:ascii="Arial Narrow" w:eastAsia="Times New Roman" w:hAnsi="Arial Narrow"/>
                <w:strike/>
                <w:color w:val="333333"/>
                <w:sz w:val="20"/>
                <w:szCs w:val="20"/>
                <w:lang w:eastAsia="en-AU"/>
              </w:rPr>
            </w:pPr>
          </w:p>
        </w:tc>
        <w:tc>
          <w:tcPr>
            <w:tcW w:w="7758" w:type="dxa"/>
            <w:gridSpan w:val="7"/>
            <w:vAlign w:val="center"/>
          </w:tcPr>
          <w:p w14:paraId="766D12C2" w14:textId="77777777" w:rsidR="007E0187" w:rsidRPr="003C5E6D" w:rsidRDefault="007E0187" w:rsidP="007E0187">
            <w:pPr>
              <w:spacing w:before="0" w:after="0"/>
              <w:rPr>
                <w:rFonts w:ascii="Arial Narrow" w:eastAsia="Times New Roman" w:hAnsi="Arial Narrow"/>
                <w:b/>
                <w:bCs/>
                <w:strike/>
                <w:sz w:val="20"/>
                <w:szCs w:val="20"/>
                <w:lang w:eastAsia="en-AU"/>
              </w:rPr>
            </w:pPr>
            <w:r w:rsidRPr="003C5E6D">
              <w:rPr>
                <w:rFonts w:ascii="Arial Narrow" w:hAnsi="Arial Narrow" w:cstheme="minorHAnsi"/>
                <w:strike/>
                <w:sz w:val="20"/>
                <w:szCs w:val="20"/>
              </w:rPr>
              <w:t xml:space="preserve">Patient must not </w:t>
            </w:r>
            <w:r w:rsidRPr="003C5E6D">
              <w:rPr>
                <w:rFonts w:ascii="Arial Narrow" w:hAnsi="Arial Narrow" w:cstheme="minorHAnsi"/>
                <w:i/>
                <w:iCs/>
                <w:strike/>
                <w:sz w:val="20"/>
                <w:szCs w:val="20"/>
              </w:rPr>
              <w:t>have</w:t>
            </w:r>
            <w:r w:rsidRPr="003C5E6D">
              <w:rPr>
                <w:rFonts w:ascii="Arial Narrow" w:hAnsi="Arial Narrow" w:cstheme="minorHAnsi"/>
                <w:strike/>
                <w:sz w:val="20"/>
                <w:szCs w:val="20"/>
              </w:rPr>
              <w:t xml:space="preserve"> develop</w:t>
            </w:r>
            <w:r w:rsidRPr="003C5E6D">
              <w:rPr>
                <w:rFonts w:ascii="Arial Narrow" w:hAnsi="Arial Narrow" w:cstheme="minorHAnsi"/>
                <w:i/>
                <w:iCs/>
                <w:strike/>
                <w:sz w:val="20"/>
                <w:szCs w:val="20"/>
              </w:rPr>
              <w:t>ed</w:t>
            </w:r>
            <w:r w:rsidRPr="003C5E6D">
              <w:rPr>
                <w:rFonts w:ascii="Arial Narrow" w:hAnsi="Arial Narrow" w:cstheme="minorHAnsi"/>
                <w:strike/>
                <w:sz w:val="20"/>
                <w:szCs w:val="20"/>
              </w:rPr>
              <w:t xml:space="preserve"> disease progression while receiving PBS-subsidised treatment with this drug for this condition</w:t>
            </w:r>
          </w:p>
        </w:tc>
      </w:tr>
      <w:tr w:rsidR="007E0187" w:rsidRPr="003C5E6D" w14:paraId="775EA4D0" w14:textId="77777777" w:rsidTr="007E0187">
        <w:trPr>
          <w:cantSplit/>
          <w:trHeight w:val="20"/>
        </w:trPr>
        <w:tc>
          <w:tcPr>
            <w:tcW w:w="1269" w:type="dxa"/>
            <w:gridSpan w:val="3"/>
            <w:vAlign w:val="center"/>
          </w:tcPr>
          <w:p w14:paraId="247C39D4" w14:textId="24A38915" w:rsidR="007E0187" w:rsidRPr="003C5E6D" w:rsidRDefault="007E0187" w:rsidP="007E0187">
            <w:pPr>
              <w:spacing w:before="0" w:after="0"/>
              <w:jc w:val="center"/>
              <w:rPr>
                <w:rFonts w:ascii="Arial Narrow" w:eastAsia="Times New Roman" w:hAnsi="Arial Narrow"/>
                <w:strike/>
                <w:color w:val="333333"/>
                <w:sz w:val="20"/>
                <w:szCs w:val="20"/>
                <w:lang w:eastAsia="en-AU"/>
              </w:rPr>
            </w:pPr>
          </w:p>
        </w:tc>
        <w:tc>
          <w:tcPr>
            <w:tcW w:w="7758" w:type="dxa"/>
            <w:gridSpan w:val="7"/>
            <w:vAlign w:val="center"/>
          </w:tcPr>
          <w:p w14:paraId="4CC331E9" w14:textId="77777777" w:rsidR="007E0187" w:rsidRPr="003C5E6D" w:rsidRDefault="007E0187" w:rsidP="007E0187">
            <w:pPr>
              <w:spacing w:before="0" w:after="0"/>
              <w:rPr>
                <w:rFonts w:ascii="Arial Narrow" w:hAnsi="Arial Narrow" w:cstheme="minorHAnsi"/>
                <w:strike/>
                <w:sz w:val="20"/>
                <w:szCs w:val="20"/>
              </w:rPr>
            </w:pPr>
            <w:r w:rsidRPr="003C5E6D">
              <w:rPr>
                <w:rFonts w:ascii="Arial Narrow" w:eastAsia="Times New Roman" w:hAnsi="Arial Narrow"/>
                <w:b/>
                <w:bCs/>
                <w:color w:val="333333"/>
                <w:sz w:val="20"/>
                <w:szCs w:val="20"/>
                <w:lang w:eastAsia="en-AU"/>
              </w:rPr>
              <w:t>Treatment criteria:</w:t>
            </w:r>
          </w:p>
        </w:tc>
      </w:tr>
      <w:tr w:rsidR="007E0187" w:rsidRPr="003C5E6D" w14:paraId="18CBC757" w14:textId="77777777" w:rsidTr="007E0187">
        <w:trPr>
          <w:cantSplit/>
          <w:trHeight w:val="20"/>
        </w:trPr>
        <w:tc>
          <w:tcPr>
            <w:tcW w:w="1269" w:type="dxa"/>
            <w:gridSpan w:val="3"/>
            <w:vAlign w:val="center"/>
          </w:tcPr>
          <w:p w14:paraId="04E5B25B" w14:textId="30CEB316" w:rsidR="007E0187" w:rsidRPr="003C5E6D" w:rsidRDefault="007E0187" w:rsidP="007E0187">
            <w:pPr>
              <w:spacing w:before="0" w:after="0"/>
              <w:jc w:val="center"/>
              <w:rPr>
                <w:rFonts w:ascii="Arial Narrow" w:eastAsia="Times New Roman" w:hAnsi="Arial Narrow"/>
                <w:strike/>
                <w:color w:val="333333"/>
                <w:sz w:val="20"/>
                <w:szCs w:val="20"/>
                <w:lang w:eastAsia="en-AU"/>
              </w:rPr>
            </w:pPr>
          </w:p>
        </w:tc>
        <w:tc>
          <w:tcPr>
            <w:tcW w:w="7758" w:type="dxa"/>
            <w:gridSpan w:val="7"/>
            <w:vAlign w:val="center"/>
          </w:tcPr>
          <w:p w14:paraId="7AF80B05" w14:textId="77777777" w:rsidR="007E0187" w:rsidRPr="003C5E6D" w:rsidRDefault="007E0187" w:rsidP="007E0187">
            <w:pPr>
              <w:spacing w:before="0" w:after="0"/>
              <w:rPr>
                <w:rFonts w:ascii="Arial Narrow" w:hAnsi="Arial Narrow" w:cstheme="minorHAnsi"/>
                <w:strike/>
                <w:sz w:val="20"/>
                <w:szCs w:val="20"/>
              </w:rPr>
            </w:pPr>
            <w:r w:rsidRPr="003C5E6D">
              <w:rPr>
                <w:rFonts w:ascii="Arial Narrow" w:eastAsia="Calibri" w:hAnsi="Arial Narrow" w:cs="Arial Narrow"/>
                <w:iCs/>
                <w:sz w:val="20"/>
                <w:szCs w:val="20"/>
              </w:rPr>
              <w:t>Patient must be undergoing treatment with this drug class for the first time</w:t>
            </w:r>
          </w:p>
        </w:tc>
      </w:tr>
      <w:tr w:rsidR="007E0187" w:rsidRPr="003C5E6D" w14:paraId="772678FC" w14:textId="77777777" w:rsidTr="007E0187">
        <w:trPr>
          <w:cantSplit/>
          <w:trHeight w:val="20"/>
        </w:trPr>
        <w:tc>
          <w:tcPr>
            <w:tcW w:w="1269" w:type="dxa"/>
            <w:gridSpan w:val="3"/>
            <w:vAlign w:val="center"/>
          </w:tcPr>
          <w:p w14:paraId="5CAB0648" w14:textId="04B91F46"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281CE268" w14:textId="77777777" w:rsidR="007E0187" w:rsidRPr="003C5E6D" w:rsidRDefault="007E0187" w:rsidP="007E0187">
            <w:pPr>
              <w:spacing w:before="0" w:after="0"/>
              <w:rPr>
                <w:rFonts w:ascii="Arial Narrow" w:eastAsia="Times New Roman" w:hAnsi="Arial Narrow"/>
                <w:b/>
                <w:bCs/>
                <w:sz w:val="20"/>
                <w:szCs w:val="20"/>
                <w:lang w:eastAsia="en-AU"/>
              </w:rPr>
            </w:pPr>
            <w:r w:rsidRPr="003C5E6D">
              <w:rPr>
                <w:rFonts w:ascii="Arial Narrow" w:eastAsia="Times New Roman" w:hAnsi="Arial Narrow"/>
                <w:b/>
                <w:bCs/>
                <w:sz w:val="20"/>
                <w:szCs w:val="20"/>
                <w:lang w:eastAsia="en-AU"/>
              </w:rPr>
              <w:t xml:space="preserve">Caution: </w:t>
            </w:r>
            <w:r w:rsidRPr="003C5E6D">
              <w:rPr>
                <w:rFonts w:ascii="Arial Narrow" w:eastAsia="Times New Roman" w:hAnsi="Arial Narrow" w:cstheme="minorHAnsi"/>
                <w:sz w:val="20"/>
                <w:szCs w:val="20"/>
                <w:lang w:eastAsia="en-AU"/>
              </w:rPr>
              <w:t xml:space="preserve">Ivosidenib can cause dose-dependent prolongation of the heart rate-corrected QT (QTc) interval. </w:t>
            </w:r>
            <w:r w:rsidRPr="003C5E6D">
              <w:rPr>
                <w:rFonts w:ascii="Arial Narrow" w:eastAsia="Times New Roman" w:hAnsi="Arial Narrow" w:cstheme="minorHAnsi"/>
                <w:i/>
                <w:iCs/>
                <w:sz w:val="20"/>
                <w:szCs w:val="20"/>
                <w:lang w:eastAsia="en-AU"/>
              </w:rPr>
              <w:t>At treatment initiation patients should undergo an electrocardiogram (ECG) to assess the heart rate-corrected QT (QTc) interval.</w:t>
            </w:r>
            <w:r w:rsidRPr="003C5E6D">
              <w:rPr>
                <w:rFonts w:ascii="Arial Narrow" w:eastAsia="Times New Roman" w:hAnsi="Arial Narrow" w:cstheme="minorHAnsi"/>
                <w:sz w:val="20"/>
                <w:szCs w:val="20"/>
                <w:lang w:eastAsia="en-AU"/>
              </w:rPr>
              <w:t xml:space="preserve"> Dose interruptions are recommended until QTc returns to ≤480 msec. Monitor ECGs at least weekly for two weeks following return of QTc. Permanently discontinue ivosidenib if QTc poses life threatening ventricular arrhythmia (Grade 4)</w:t>
            </w:r>
          </w:p>
        </w:tc>
      </w:tr>
      <w:tr w:rsidR="007E0187" w:rsidRPr="003C5E6D" w14:paraId="7E4229FC" w14:textId="77777777" w:rsidTr="007E0187">
        <w:trPr>
          <w:cantSplit/>
          <w:trHeight w:val="20"/>
        </w:trPr>
        <w:tc>
          <w:tcPr>
            <w:tcW w:w="9027" w:type="dxa"/>
            <w:gridSpan w:val="10"/>
            <w:vAlign w:val="center"/>
          </w:tcPr>
          <w:p w14:paraId="19FC4726" w14:textId="77777777" w:rsidR="007E0187" w:rsidRPr="003C5E6D" w:rsidRDefault="007E0187" w:rsidP="007E0187">
            <w:pPr>
              <w:spacing w:before="0" w:after="0"/>
              <w:rPr>
                <w:rFonts w:ascii="Arial Narrow" w:eastAsia="Times New Roman" w:hAnsi="Arial Narrow"/>
                <w:bCs/>
                <w:color w:val="FF0000"/>
                <w:sz w:val="20"/>
                <w:szCs w:val="20"/>
                <w:lang w:eastAsia="en-AU"/>
              </w:rPr>
            </w:pPr>
          </w:p>
        </w:tc>
      </w:tr>
      <w:tr w:rsidR="007E0187" w:rsidRPr="003C5E6D" w14:paraId="4432E9BE" w14:textId="77777777" w:rsidTr="007E0187">
        <w:tblPrEx>
          <w:tblCellMar>
            <w:top w:w="0" w:type="dxa"/>
            <w:bottom w:w="0" w:type="dxa"/>
          </w:tblCellMar>
          <w:tblLook w:val="0000" w:firstRow="0" w:lastRow="0" w:firstColumn="0" w:lastColumn="0" w:noHBand="0" w:noVBand="0"/>
        </w:tblPrEx>
        <w:trPr>
          <w:cantSplit/>
          <w:trHeight w:val="20"/>
        </w:trPr>
        <w:tc>
          <w:tcPr>
            <w:tcW w:w="3544" w:type="dxa"/>
            <w:gridSpan w:val="5"/>
            <w:vAlign w:val="center"/>
          </w:tcPr>
          <w:p w14:paraId="4B5196B1" w14:textId="77777777" w:rsidR="007E0187" w:rsidRPr="003C5E6D" w:rsidRDefault="007E0187" w:rsidP="007E0187">
            <w:pPr>
              <w:keepLines/>
              <w:spacing w:before="0" w:after="0"/>
              <w:rPr>
                <w:rFonts w:ascii="Arial Narrow" w:hAnsi="Arial Narrow" w:cs="Arial"/>
                <w:b/>
                <w:bCs/>
                <w:sz w:val="20"/>
                <w:szCs w:val="20"/>
              </w:rPr>
            </w:pPr>
            <w:r w:rsidRPr="003C5E6D">
              <w:rPr>
                <w:rFonts w:ascii="Arial Narrow" w:hAnsi="Arial Narrow" w:cs="Arial"/>
                <w:b/>
                <w:bCs/>
                <w:sz w:val="20"/>
                <w:szCs w:val="20"/>
              </w:rPr>
              <w:t>MEDICINAL PRODUCT</w:t>
            </w:r>
          </w:p>
          <w:p w14:paraId="140EDEBE" w14:textId="77777777" w:rsidR="007E0187" w:rsidRPr="003C5E6D" w:rsidRDefault="007E0187" w:rsidP="007E0187">
            <w:pPr>
              <w:keepLines/>
              <w:spacing w:before="0" w:after="0"/>
              <w:rPr>
                <w:rFonts w:ascii="Arial Narrow" w:hAnsi="Arial Narrow" w:cs="Arial"/>
                <w:b/>
                <w:sz w:val="20"/>
                <w:szCs w:val="20"/>
              </w:rPr>
            </w:pPr>
            <w:r w:rsidRPr="003C5E6D">
              <w:rPr>
                <w:rFonts w:ascii="Arial Narrow" w:hAnsi="Arial Narrow" w:cs="Arial"/>
                <w:b/>
                <w:bCs/>
                <w:sz w:val="20"/>
                <w:szCs w:val="20"/>
              </w:rPr>
              <w:t>medicinal product pack</w:t>
            </w:r>
          </w:p>
        </w:tc>
        <w:tc>
          <w:tcPr>
            <w:tcW w:w="992" w:type="dxa"/>
            <w:vAlign w:val="center"/>
          </w:tcPr>
          <w:p w14:paraId="1983DBB8" w14:textId="77777777" w:rsidR="007E0187" w:rsidRPr="003C5E6D" w:rsidRDefault="007E0187" w:rsidP="007E0187">
            <w:pPr>
              <w:keepLines/>
              <w:spacing w:before="0" w:after="0"/>
              <w:jc w:val="center"/>
              <w:rPr>
                <w:rFonts w:ascii="Arial Narrow" w:hAnsi="Arial Narrow" w:cs="Arial"/>
                <w:b/>
                <w:sz w:val="20"/>
                <w:szCs w:val="20"/>
              </w:rPr>
            </w:pPr>
            <w:r w:rsidRPr="003C5E6D">
              <w:rPr>
                <w:rFonts w:ascii="Arial Narrow" w:hAnsi="Arial Narrow" w:cs="Arial"/>
                <w:b/>
                <w:sz w:val="20"/>
                <w:szCs w:val="20"/>
              </w:rPr>
              <w:t>PBS item code</w:t>
            </w:r>
          </w:p>
        </w:tc>
        <w:tc>
          <w:tcPr>
            <w:tcW w:w="993" w:type="dxa"/>
            <w:vAlign w:val="center"/>
          </w:tcPr>
          <w:p w14:paraId="7290DA43" w14:textId="77777777" w:rsidR="007E0187" w:rsidRPr="003C5E6D" w:rsidRDefault="007E0187" w:rsidP="007E0187">
            <w:pPr>
              <w:keepLines/>
              <w:spacing w:before="0" w:after="0"/>
              <w:jc w:val="center"/>
              <w:rPr>
                <w:rFonts w:ascii="Arial Narrow" w:hAnsi="Arial Narrow" w:cs="Arial"/>
                <w:b/>
                <w:sz w:val="20"/>
                <w:szCs w:val="20"/>
              </w:rPr>
            </w:pPr>
            <w:r w:rsidRPr="003C5E6D">
              <w:rPr>
                <w:rFonts w:ascii="Arial Narrow" w:hAnsi="Arial Narrow" w:cs="Arial"/>
                <w:b/>
                <w:sz w:val="20"/>
                <w:szCs w:val="20"/>
              </w:rPr>
              <w:t>Max. qty packs</w:t>
            </w:r>
          </w:p>
        </w:tc>
        <w:tc>
          <w:tcPr>
            <w:tcW w:w="875" w:type="dxa"/>
            <w:vAlign w:val="center"/>
          </w:tcPr>
          <w:p w14:paraId="3A1233ED" w14:textId="77777777" w:rsidR="007E0187" w:rsidRPr="003C5E6D" w:rsidRDefault="007E0187" w:rsidP="007E0187">
            <w:pPr>
              <w:keepLines/>
              <w:spacing w:before="0" w:after="0"/>
              <w:jc w:val="center"/>
              <w:rPr>
                <w:rFonts w:ascii="Arial Narrow" w:hAnsi="Arial Narrow" w:cs="Arial"/>
                <w:b/>
                <w:sz w:val="20"/>
                <w:szCs w:val="20"/>
              </w:rPr>
            </w:pPr>
            <w:r w:rsidRPr="003C5E6D">
              <w:rPr>
                <w:rFonts w:ascii="Arial Narrow" w:hAnsi="Arial Narrow" w:cs="Arial"/>
                <w:b/>
                <w:sz w:val="20"/>
                <w:szCs w:val="20"/>
              </w:rPr>
              <w:t>Max. qty units</w:t>
            </w:r>
          </w:p>
        </w:tc>
        <w:tc>
          <w:tcPr>
            <w:tcW w:w="818" w:type="dxa"/>
            <w:vAlign w:val="center"/>
          </w:tcPr>
          <w:p w14:paraId="675EE10A" w14:textId="77777777" w:rsidR="007E0187" w:rsidRPr="003C5E6D" w:rsidRDefault="007E0187" w:rsidP="007E0187">
            <w:pPr>
              <w:keepLines/>
              <w:spacing w:before="0" w:after="0"/>
              <w:jc w:val="center"/>
              <w:rPr>
                <w:rFonts w:ascii="Arial Narrow" w:hAnsi="Arial Narrow" w:cs="Arial"/>
                <w:b/>
                <w:sz w:val="20"/>
                <w:szCs w:val="20"/>
              </w:rPr>
            </w:pPr>
            <w:r w:rsidRPr="003C5E6D">
              <w:rPr>
                <w:rFonts w:ascii="Arial Narrow" w:hAnsi="Arial Narrow" w:cs="Arial"/>
                <w:b/>
                <w:sz w:val="20"/>
                <w:szCs w:val="20"/>
              </w:rPr>
              <w:t>№.of</w:t>
            </w:r>
          </w:p>
          <w:p w14:paraId="3DEC2396" w14:textId="77777777" w:rsidR="007E0187" w:rsidRPr="003C5E6D" w:rsidRDefault="007E0187" w:rsidP="007E0187">
            <w:pPr>
              <w:keepLines/>
              <w:spacing w:before="0" w:after="0"/>
              <w:jc w:val="center"/>
              <w:rPr>
                <w:rFonts w:ascii="Arial Narrow" w:hAnsi="Arial Narrow" w:cs="Arial"/>
                <w:b/>
                <w:sz w:val="20"/>
                <w:szCs w:val="20"/>
              </w:rPr>
            </w:pPr>
            <w:r w:rsidRPr="003C5E6D">
              <w:rPr>
                <w:rFonts w:ascii="Arial Narrow" w:hAnsi="Arial Narrow" w:cs="Arial"/>
                <w:b/>
                <w:sz w:val="20"/>
                <w:szCs w:val="20"/>
              </w:rPr>
              <w:t>Rpts</w:t>
            </w:r>
          </w:p>
        </w:tc>
        <w:tc>
          <w:tcPr>
            <w:tcW w:w="1805" w:type="dxa"/>
            <w:vAlign w:val="center"/>
          </w:tcPr>
          <w:p w14:paraId="271DFB00" w14:textId="77777777" w:rsidR="007E0187" w:rsidRPr="003C5E6D" w:rsidRDefault="007E0187" w:rsidP="007E0187">
            <w:pPr>
              <w:keepLines/>
              <w:spacing w:before="0" w:after="0"/>
              <w:rPr>
                <w:rFonts w:ascii="Arial Narrow" w:hAnsi="Arial Narrow" w:cs="Arial"/>
                <w:b/>
                <w:sz w:val="20"/>
                <w:szCs w:val="20"/>
                <w:lang w:val="fr-FR"/>
              </w:rPr>
            </w:pPr>
            <w:r w:rsidRPr="003C5E6D">
              <w:rPr>
                <w:rFonts w:ascii="Arial Narrow" w:hAnsi="Arial Narrow" w:cs="Arial"/>
                <w:b/>
                <w:sz w:val="20"/>
                <w:szCs w:val="20"/>
              </w:rPr>
              <w:t>Available brands</w:t>
            </w:r>
          </w:p>
        </w:tc>
      </w:tr>
      <w:tr w:rsidR="007E0187" w:rsidRPr="003C5E6D" w14:paraId="16B0900F" w14:textId="77777777" w:rsidTr="007E0187">
        <w:tblPrEx>
          <w:tblCellMar>
            <w:top w:w="0" w:type="dxa"/>
            <w:bottom w:w="0" w:type="dxa"/>
          </w:tblCellMar>
          <w:tblLook w:val="0000" w:firstRow="0" w:lastRow="0" w:firstColumn="0" w:lastColumn="0" w:noHBand="0" w:noVBand="0"/>
        </w:tblPrEx>
        <w:trPr>
          <w:cantSplit/>
          <w:trHeight w:val="20"/>
        </w:trPr>
        <w:tc>
          <w:tcPr>
            <w:tcW w:w="9027" w:type="dxa"/>
            <w:gridSpan w:val="10"/>
            <w:vAlign w:val="center"/>
          </w:tcPr>
          <w:p w14:paraId="703E0772" w14:textId="77777777" w:rsidR="007E0187" w:rsidRPr="003C5E6D" w:rsidRDefault="007E0187" w:rsidP="007E0187">
            <w:pPr>
              <w:keepLines/>
              <w:spacing w:before="0" w:after="0"/>
              <w:rPr>
                <w:rFonts w:ascii="Arial Narrow" w:hAnsi="Arial Narrow" w:cs="Arial"/>
                <w:sz w:val="20"/>
                <w:szCs w:val="20"/>
              </w:rPr>
            </w:pPr>
            <w:r w:rsidRPr="003C5E6D">
              <w:rPr>
                <w:rFonts w:ascii="Arial Narrow" w:hAnsi="Arial Narrow" w:cs="Arial"/>
                <w:sz w:val="20"/>
                <w:szCs w:val="20"/>
              </w:rPr>
              <w:t>IVOSIDENIB</w:t>
            </w:r>
          </w:p>
        </w:tc>
      </w:tr>
      <w:tr w:rsidR="007E0187" w:rsidRPr="003C5E6D" w14:paraId="7E9F54D1" w14:textId="77777777" w:rsidTr="007E0187">
        <w:tblPrEx>
          <w:tblCellMar>
            <w:top w:w="0" w:type="dxa"/>
            <w:bottom w:w="0" w:type="dxa"/>
          </w:tblCellMar>
          <w:tblLook w:val="0000" w:firstRow="0" w:lastRow="0" w:firstColumn="0" w:lastColumn="0" w:noHBand="0" w:noVBand="0"/>
        </w:tblPrEx>
        <w:trPr>
          <w:cantSplit/>
          <w:trHeight w:val="20"/>
        </w:trPr>
        <w:tc>
          <w:tcPr>
            <w:tcW w:w="3544" w:type="dxa"/>
            <w:gridSpan w:val="5"/>
            <w:vAlign w:val="center"/>
          </w:tcPr>
          <w:p w14:paraId="0E935BCE" w14:textId="77777777" w:rsidR="007E0187" w:rsidRPr="003C5E6D" w:rsidRDefault="007E0187" w:rsidP="007E0187">
            <w:pPr>
              <w:keepLines/>
              <w:spacing w:before="0" w:after="0"/>
              <w:rPr>
                <w:rFonts w:ascii="Arial Narrow" w:hAnsi="Arial Narrow" w:cs="Arial"/>
                <w:sz w:val="20"/>
                <w:szCs w:val="20"/>
              </w:rPr>
            </w:pPr>
            <w:r w:rsidRPr="003C5E6D">
              <w:rPr>
                <w:rFonts w:ascii="Arial Narrow" w:hAnsi="Arial Narrow" w:cs="Arial"/>
                <w:sz w:val="20"/>
                <w:szCs w:val="20"/>
              </w:rPr>
              <w:t>Ivosidenib 250 mg tablet, 60</w:t>
            </w:r>
          </w:p>
        </w:tc>
        <w:tc>
          <w:tcPr>
            <w:tcW w:w="992" w:type="dxa"/>
            <w:vAlign w:val="center"/>
          </w:tcPr>
          <w:p w14:paraId="4635A4D5" w14:textId="77777777" w:rsidR="007E0187" w:rsidRPr="003C5E6D" w:rsidRDefault="007E0187" w:rsidP="007E0187">
            <w:pPr>
              <w:keepLines/>
              <w:spacing w:before="0" w:after="0"/>
              <w:jc w:val="center"/>
              <w:rPr>
                <w:rFonts w:ascii="Arial Narrow" w:hAnsi="Arial Narrow" w:cs="Arial"/>
                <w:sz w:val="20"/>
                <w:szCs w:val="20"/>
              </w:rPr>
            </w:pPr>
            <w:r w:rsidRPr="003C5E6D">
              <w:rPr>
                <w:rFonts w:ascii="Arial Narrow" w:hAnsi="Arial Narrow" w:cs="Arial"/>
                <w:sz w:val="20"/>
                <w:szCs w:val="20"/>
              </w:rPr>
              <w:t>NEW</w:t>
            </w:r>
          </w:p>
        </w:tc>
        <w:tc>
          <w:tcPr>
            <w:tcW w:w="993" w:type="dxa"/>
            <w:vAlign w:val="center"/>
          </w:tcPr>
          <w:p w14:paraId="130165A9" w14:textId="77777777" w:rsidR="007E0187" w:rsidRPr="003C5E6D" w:rsidRDefault="007E0187" w:rsidP="007E0187">
            <w:pPr>
              <w:keepLines/>
              <w:spacing w:before="0" w:after="0"/>
              <w:jc w:val="center"/>
              <w:rPr>
                <w:rFonts w:ascii="Arial Narrow" w:hAnsi="Arial Narrow" w:cs="Arial"/>
                <w:sz w:val="20"/>
                <w:szCs w:val="20"/>
              </w:rPr>
            </w:pPr>
            <w:r w:rsidRPr="003C5E6D">
              <w:rPr>
                <w:rFonts w:ascii="Arial Narrow" w:hAnsi="Arial Narrow" w:cs="Arial"/>
                <w:sz w:val="20"/>
                <w:szCs w:val="20"/>
              </w:rPr>
              <w:t>1</w:t>
            </w:r>
          </w:p>
        </w:tc>
        <w:tc>
          <w:tcPr>
            <w:tcW w:w="875" w:type="dxa"/>
            <w:vAlign w:val="center"/>
          </w:tcPr>
          <w:p w14:paraId="37A5B58C" w14:textId="77777777" w:rsidR="007E0187" w:rsidRPr="003C5E6D" w:rsidRDefault="007E0187" w:rsidP="007E0187">
            <w:pPr>
              <w:keepLines/>
              <w:spacing w:before="0" w:after="0"/>
              <w:jc w:val="center"/>
              <w:rPr>
                <w:rFonts w:ascii="Arial Narrow" w:hAnsi="Arial Narrow" w:cs="Arial"/>
                <w:sz w:val="20"/>
                <w:szCs w:val="20"/>
              </w:rPr>
            </w:pPr>
            <w:r w:rsidRPr="003C5E6D">
              <w:rPr>
                <w:rFonts w:ascii="Arial Narrow" w:hAnsi="Arial Narrow" w:cs="Arial"/>
                <w:sz w:val="20"/>
                <w:szCs w:val="20"/>
              </w:rPr>
              <w:t>60</w:t>
            </w:r>
          </w:p>
        </w:tc>
        <w:tc>
          <w:tcPr>
            <w:tcW w:w="818" w:type="dxa"/>
            <w:vAlign w:val="center"/>
          </w:tcPr>
          <w:p w14:paraId="6B329BB1" w14:textId="77777777" w:rsidR="007E0187" w:rsidRPr="003C5E6D" w:rsidRDefault="007E0187" w:rsidP="007E0187">
            <w:pPr>
              <w:keepLines/>
              <w:spacing w:before="0" w:after="0"/>
              <w:jc w:val="center"/>
              <w:rPr>
                <w:rFonts w:ascii="Arial Narrow" w:hAnsi="Arial Narrow" w:cs="Arial"/>
                <w:sz w:val="20"/>
                <w:szCs w:val="20"/>
              </w:rPr>
            </w:pPr>
            <w:r w:rsidRPr="003C5E6D">
              <w:rPr>
                <w:rFonts w:ascii="Arial Narrow" w:hAnsi="Arial Narrow" w:cs="Arial"/>
                <w:sz w:val="20"/>
                <w:szCs w:val="20"/>
              </w:rPr>
              <w:t>5</w:t>
            </w:r>
          </w:p>
        </w:tc>
        <w:tc>
          <w:tcPr>
            <w:tcW w:w="1805" w:type="dxa"/>
            <w:vAlign w:val="center"/>
          </w:tcPr>
          <w:p w14:paraId="0F8BBB5B" w14:textId="77777777" w:rsidR="007E0187" w:rsidRPr="003C5E6D" w:rsidRDefault="007E0187" w:rsidP="007E0187">
            <w:pPr>
              <w:keepLines/>
              <w:spacing w:before="0" w:after="0"/>
              <w:rPr>
                <w:rFonts w:ascii="Arial Narrow" w:hAnsi="Arial Narrow" w:cs="Arial"/>
                <w:sz w:val="20"/>
                <w:szCs w:val="20"/>
              </w:rPr>
            </w:pPr>
            <w:r w:rsidRPr="003C5E6D">
              <w:rPr>
                <w:rFonts w:ascii="Arial Narrow" w:hAnsi="Arial Narrow" w:cs="Arial"/>
                <w:sz w:val="20"/>
                <w:szCs w:val="20"/>
              </w:rPr>
              <w:t>Tibsovo</w:t>
            </w:r>
          </w:p>
        </w:tc>
      </w:tr>
      <w:tr w:rsidR="007E0187" w:rsidRPr="003C5E6D" w14:paraId="458BAC49" w14:textId="77777777" w:rsidTr="007E0187">
        <w:trPr>
          <w:trHeight w:val="20"/>
        </w:trPr>
        <w:tc>
          <w:tcPr>
            <w:tcW w:w="9027" w:type="dxa"/>
            <w:gridSpan w:val="10"/>
            <w:tcBorders>
              <w:top w:val="single" w:sz="4" w:space="0" w:color="auto"/>
              <w:left w:val="single" w:sz="4" w:space="0" w:color="auto"/>
              <w:right w:val="single" w:sz="4" w:space="0" w:color="auto"/>
            </w:tcBorders>
            <w:vAlign w:val="center"/>
          </w:tcPr>
          <w:p w14:paraId="4185D00F" w14:textId="77777777" w:rsidR="007E0187" w:rsidRPr="003C5E6D" w:rsidRDefault="007E0187" w:rsidP="007E0187">
            <w:pPr>
              <w:spacing w:before="0" w:after="0"/>
              <w:rPr>
                <w:rFonts w:ascii="Arial Narrow" w:hAnsi="Arial Narrow" w:cs="Arial"/>
                <w:sz w:val="20"/>
                <w:szCs w:val="20"/>
              </w:rPr>
            </w:pPr>
          </w:p>
        </w:tc>
      </w:tr>
      <w:tr w:rsidR="007E0187" w:rsidRPr="003C5E6D" w14:paraId="07AEA59B" w14:textId="77777777" w:rsidTr="007E0187">
        <w:trPr>
          <w:cantSplit/>
          <w:trHeight w:val="20"/>
        </w:trPr>
        <w:tc>
          <w:tcPr>
            <w:tcW w:w="9027" w:type="dxa"/>
            <w:gridSpan w:val="10"/>
            <w:vAlign w:val="center"/>
          </w:tcPr>
          <w:p w14:paraId="1A5D4862" w14:textId="77777777" w:rsidR="007E0187" w:rsidRPr="003C5E6D" w:rsidRDefault="007E0187" w:rsidP="007E0187">
            <w:pPr>
              <w:keepNext/>
              <w:keepLines/>
              <w:spacing w:before="0" w:after="0"/>
              <w:rPr>
                <w:rFonts w:ascii="Arial Narrow" w:eastAsia="Times New Roman" w:hAnsi="Arial Narrow"/>
                <w:b/>
                <w:bCs/>
                <w:color w:val="333333"/>
                <w:sz w:val="20"/>
                <w:szCs w:val="20"/>
                <w:lang w:eastAsia="en-AU"/>
              </w:rPr>
            </w:pPr>
            <w:r w:rsidRPr="003C5E6D">
              <w:rPr>
                <w:rFonts w:ascii="Arial Narrow" w:eastAsia="Times New Roman" w:hAnsi="Arial Narrow"/>
                <w:b/>
                <w:bCs/>
                <w:color w:val="333333"/>
                <w:sz w:val="20"/>
                <w:szCs w:val="20"/>
                <w:lang w:eastAsia="en-AU"/>
              </w:rPr>
              <w:t>Restriction Summary [new 2]</w:t>
            </w:r>
            <w:r w:rsidRPr="003C5E6D">
              <w:rPr>
                <w:rFonts w:ascii="Arial Narrow" w:eastAsia="Times New Roman" w:hAnsi="Arial Narrow"/>
                <w:b/>
                <w:bCs/>
                <w:color w:val="FF0000"/>
                <w:sz w:val="20"/>
                <w:szCs w:val="20"/>
                <w:lang w:eastAsia="en-AU"/>
              </w:rPr>
              <w:t xml:space="preserve"> </w:t>
            </w:r>
            <w:r w:rsidRPr="003C5E6D">
              <w:rPr>
                <w:rFonts w:ascii="Arial Narrow" w:eastAsia="Times New Roman" w:hAnsi="Arial Narrow"/>
                <w:b/>
                <w:bCs/>
                <w:color w:val="333333"/>
                <w:sz w:val="20"/>
                <w:szCs w:val="20"/>
                <w:lang w:eastAsia="en-AU"/>
              </w:rPr>
              <w:t xml:space="preserve">/ Treatment of Concept: [new 2] </w:t>
            </w:r>
          </w:p>
        </w:tc>
      </w:tr>
      <w:tr w:rsidR="007E0187" w:rsidRPr="003C5E6D" w14:paraId="7A407AC4" w14:textId="77777777" w:rsidTr="007E0187">
        <w:trPr>
          <w:cantSplit/>
          <w:trHeight w:val="20"/>
        </w:trPr>
        <w:tc>
          <w:tcPr>
            <w:tcW w:w="1269" w:type="dxa"/>
            <w:gridSpan w:val="3"/>
            <w:vMerge w:val="restart"/>
            <w:tcBorders>
              <w:top w:val="single" w:sz="4" w:space="0" w:color="auto"/>
              <w:left w:val="single" w:sz="4" w:space="0" w:color="auto"/>
              <w:right w:val="single" w:sz="4" w:space="0" w:color="auto"/>
            </w:tcBorders>
          </w:tcPr>
          <w:p w14:paraId="5213E228" w14:textId="09917BEC" w:rsidR="007E0187" w:rsidRPr="003C5E6D" w:rsidRDefault="007E0187" w:rsidP="007E0187">
            <w:pPr>
              <w:spacing w:before="0" w:after="0"/>
              <w:jc w:val="center"/>
              <w:rPr>
                <w:rFonts w:ascii="Arial Narrow" w:eastAsia="Calibri" w:hAnsi="Arial Narrow" w:cs="Arial"/>
                <w:b/>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5FD7F0DF" w14:textId="77777777" w:rsidR="007E0187" w:rsidRPr="003C5E6D" w:rsidRDefault="007E0187" w:rsidP="007E0187">
            <w:pPr>
              <w:keepNext/>
              <w:keepLines/>
              <w:spacing w:before="0" w:after="0"/>
              <w:rPr>
                <w:rFonts w:ascii="Arial Narrow" w:eastAsia="Calibri" w:hAnsi="Arial Narrow" w:cs="Arial"/>
                <w:sz w:val="20"/>
                <w:szCs w:val="20"/>
              </w:rPr>
            </w:pPr>
            <w:r w:rsidRPr="003C5E6D">
              <w:rPr>
                <w:rFonts w:ascii="Arial Narrow" w:eastAsia="Calibri" w:hAnsi="Arial Narrow" w:cs="Arial"/>
                <w:b/>
                <w:sz w:val="20"/>
                <w:szCs w:val="20"/>
              </w:rPr>
              <w:t xml:space="preserve">Category / Program: </w:t>
            </w:r>
            <w:r w:rsidRPr="003C5E6D">
              <w:rPr>
                <w:rFonts w:ascii="Arial Narrow" w:eastAsia="Calibri" w:hAnsi="Arial Narrow" w:cs="Arial"/>
                <w:sz w:val="20"/>
                <w:szCs w:val="20"/>
              </w:rPr>
              <w:t>GENERAL – General Schedule (Code GE)</w:t>
            </w:r>
            <w:r w:rsidRPr="003C5E6D">
              <w:rPr>
                <w:rFonts w:ascii="Arial Narrow" w:eastAsia="Calibri" w:hAnsi="Arial Narrow" w:cs="Arial"/>
                <w:color w:val="FF0000"/>
                <w:sz w:val="20"/>
                <w:szCs w:val="20"/>
              </w:rPr>
              <w:t xml:space="preserve"> </w:t>
            </w:r>
          </w:p>
        </w:tc>
      </w:tr>
      <w:tr w:rsidR="007E0187" w:rsidRPr="003C5E6D" w14:paraId="20F773C0" w14:textId="77777777" w:rsidTr="007E0187">
        <w:trPr>
          <w:cantSplit/>
          <w:trHeight w:val="20"/>
        </w:trPr>
        <w:tc>
          <w:tcPr>
            <w:tcW w:w="1269" w:type="dxa"/>
            <w:gridSpan w:val="3"/>
            <w:vMerge/>
            <w:tcBorders>
              <w:left w:val="single" w:sz="4" w:space="0" w:color="auto"/>
              <w:right w:val="single" w:sz="4" w:space="0" w:color="auto"/>
            </w:tcBorders>
          </w:tcPr>
          <w:p w14:paraId="16B2B6A7" w14:textId="77777777" w:rsidR="007E0187" w:rsidRPr="003C5E6D" w:rsidRDefault="007E0187" w:rsidP="007E0187">
            <w:pPr>
              <w:spacing w:before="0" w:after="0"/>
              <w:rPr>
                <w:rFonts w:ascii="Arial Narrow" w:eastAsia="Calibri" w:hAnsi="Arial Narrow" w:cs="Arial"/>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6115EB79" w14:textId="77777777" w:rsidR="007E0187" w:rsidRPr="003C5E6D" w:rsidRDefault="007E0187" w:rsidP="007E0187">
            <w:pPr>
              <w:keepNext/>
              <w:keepLines/>
              <w:spacing w:before="0" w:after="0"/>
              <w:rPr>
                <w:rFonts w:ascii="Arial Narrow" w:eastAsia="Calibri" w:hAnsi="Arial Narrow" w:cs="Arial"/>
                <w:b/>
                <w:sz w:val="20"/>
                <w:szCs w:val="20"/>
              </w:rPr>
            </w:pPr>
            <w:r w:rsidRPr="003C5E6D">
              <w:rPr>
                <w:rFonts w:ascii="Arial Narrow" w:eastAsia="Calibri" w:hAnsi="Arial Narrow" w:cs="Arial"/>
                <w:b/>
                <w:sz w:val="20"/>
                <w:szCs w:val="20"/>
              </w:rPr>
              <w:t xml:space="preserve">Prescriber type: </w:t>
            </w:r>
            <w:r w:rsidRPr="003C5E6D">
              <w:rPr>
                <w:rFonts w:ascii="Arial Narrow" w:eastAsia="Calibri" w:hAnsi="Arial Narrow" w:cs="Arial"/>
                <w:sz w:val="20"/>
                <w:szCs w:val="20"/>
              </w:rPr>
              <w:fldChar w:fldCharType="begin" w:fldLock="1">
                <w:ffData>
                  <w:name w:val=""/>
                  <w:enabled/>
                  <w:calcOnExit w:val="0"/>
                  <w:checkBox>
                    <w:sizeAuto/>
                    <w:default w:val="1"/>
                  </w:checkBox>
                </w:ffData>
              </w:fldChar>
            </w:r>
            <w:r w:rsidRPr="003C5E6D">
              <w:rPr>
                <w:rFonts w:ascii="Arial Narrow" w:eastAsia="Calibri" w:hAnsi="Arial Narrow" w:cs="Arial"/>
                <w:sz w:val="20"/>
                <w:szCs w:val="20"/>
              </w:rPr>
              <w:instrText xml:space="preserve"> FORMCHECKBOX </w:instrText>
            </w:r>
            <w:r w:rsidRPr="003C5E6D">
              <w:rPr>
                <w:rFonts w:ascii="Arial Narrow" w:eastAsia="Calibri" w:hAnsi="Arial Narrow" w:cs="Arial"/>
                <w:sz w:val="20"/>
                <w:szCs w:val="20"/>
              </w:rPr>
            </w:r>
            <w:r w:rsidRPr="003C5E6D">
              <w:rPr>
                <w:rFonts w:ascii="Arial Narrow" w:eastAsia="Calibri" w:hAnsi="Arial Narrow" w:cs="Arial"/>
                <w:sz w:val="20"/>
                <w:szCs w:val="20"/>
              </w:rPr>
              <w:fldChar w:fldCharType="separate"/>
            </w:r>
            <w:r w:rsidRPr="003C5E6D">
              <w:rPr>
                <w:rFonts w:ascii="Arial Narrow" w:eastAsia="Calibri" w:hAnsi="Arial Narrow" w:cs="Arial"/>
                <w:sz w:val="20"/>
                <w:szCs w:val="20"/>
              </w:rPr>
              <w:fldChar w:fldCharType="end"/>
            </w:r>
            <w:r w:rsidRPr="003C5E6D">
              <w:rPr>
                <w:rFonts w:ascii="Arial Narrow" w:eastAsia="Calibri" w:hAnsi="Arial Narrow" w:cs="Arial"/>
                <w:sz w:val="20"/>
                <w:szCs w:val="20"/>
              </w:rPr>
              <w:t xml:space="preserve">Medical Practitioners </w:t>
            </w:r>
          </w:p>
        </w:tc>
      </w:tr>
      <w:tr w:rsidR="007E0187" w:rsidRPr="003C5E6D" w14:paraId="6A59B51A" w14:textId="77777777" w:rsidTr="007E0187">
        <w:trPr>
          <w:cantSplit/>
          <w:trHeight w:val="20"/>
        </w:trPr>
        <w:tc>
          <w:tcPr>
            <w:tcW w:w="1269" w:type="dxa"/>
            <w:gridSpan w:val="3"/>
            <w:vMerge/>
            <w:tcBorders>
              <w:left w:val="single" w:sz="4" w:space="0" w:color="auto"/>
              <w:bottom w:val="single" w:sz="4" w:space="0" w:color="auto"/>
              <w:right w:val="single" w:sz="4" w:space="0" w:color="auto"/>
            </w:tcBorders>
          </w:tcPr>
          <w:p w14:paraId="50204AB7" w14:textId="77777777" w:rsidR="007E0187" w:rsidRPr="003C5E6D" w:rsidRDefault="007E0187" w:rsidP="007E0187">
            <w:pPr>
              <w:spacing w:before="0" w:after="0"/>
              <w:rPr>
                <w:rFonts w:ascii="Arial Narrow" w:eastAsia="Calibri" w:hAnsi="Arial Narrow" w:cs="Arial"/>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01DF30A4" w14:textId="77777777" w:rsidR="007E0187" w:rsidRPr="003C5E6D" w:rsidRDefault="007E0187" w:rsidP="007E0187">
            <w:pPr>
              <w:keepNext/>
              <w:keepLines/>
              <w:spacing w:before="0" w:after="0"/>
              <w:rPr>
                <w:rFonts w:ascii="Arial Narrow" w:eastAsia="Calibri" w:hAnsi="Arial Narrow" w:cs="Arial"/>
                <w:sz w:val="20"/>
                <w:szCs w:val="20"/>
              </w:rPr>
            </w:pPr>
            <w:r w:rsidRPr="003C5E6D">
              <w:rPr>
                <w:rFonts w:ascii="Arial Narrow" w:eastAsia="Calibri" w:hAnsi="Arial Narrow" w:cs="Arial"/>
                <w:b/>
                <w:sz w:val="20"/>
                <w:szCs w:val="20"/>
              </w:rPr>
              <w:t xml:space="preserve">Restriction type: </w:t>
            </w:r>
            <w:r w:rsidRPr="003C5E6D">
              <w:rPr>
                <w:rFonts w:ascii="Arial Narrow" w:eastAsia="Calibri" w:hAnsi="Arial Narrow" w:cs="Arial"/>
                <w:sz w:val="20"/>
                <w:szCs w:val="20"/>
              </w:rPr>
              <w:fldChar w:fldCharType="begin" w:fldLock="1">
                <w:ffData>
                  <w:name w:val=""/>
                  <w:enabled/>
                  <w:calcOnExit w:val="0"/>
                  <w:checkBox>
                    <w:sizeAuto/>
                    <w:default w:val="1"/>
                  </w:checkBox>
                </w:ffData>
              </w:fldChar>
            </w:r>
            <w:r w:rsidRPr="003C5E6D">
              <w:rPr>
                <w:rFonts w:ascii="Arial Narrow" w:eastAsia="Calibri" w:hAnsi="Arial Narrow" w:cs="Arial"/>
                <w:sz w:val="20"/>
                <w:szCs w:val="20"/>
              </w:rPr>
              <w:instrText xml:space="preserve"> FORMCHECKBOX </w:instrText>
            </w:r>
            <w:r w:rsidRPr="003C5E6D">
              <w:rPr>
                <w:rFonts w:ascii="Arial Narrow" w:eastAsia="Calibri" w:hAnsi="Arial Narrow" w:cs="Arial"/>
                <w:sz w:val="20"/>
                <w:szCs w:val="20"/>
              </w:rPr>
            </w:r>
            <w:r w:rsidRPr="003C5E6D">
              <w:rPr>
                <w:rFonts w:ascii="Arial Narrow" w:eastAsia="Calibri" w:hAnsi="Arial Narrow" w:cs="Arial"/>
                <w:sz w:val="20"/>
                <w:szCs w:val="20"/>
              </w:rPr>
              <w:fldChar w:fldCharType="separate"/>
            </w:r>
            <w:r w:rsidRPr="003C5E6D">
              <w:rPr>
                <w:rFonts w:ascii="Arial Narrow" w:eastAsia="Calibri" w:hAnsi="Arial Narrow" w:cs="Arial"/>
                <w:sz w:val="20"/>
                <w:szCs w:val="20"/>
              </w:rPr>
              <w:fldChar w:fldCharType="end"/>
            </w:r>
            <w:r w:rsidRPr="003C5E6D">
              <w:rPr>
                <w:rFonts w:ascii="Arial Narrow" w:eastAsia="Calibri" w:hAnsi="Arial Narrow" w:cs="Arial"/>
                <w:sz w:val="20"/>
                <w:szCs w:val="20"/>
              </w:rPr>
              <w:t xml:space="preserve">Authority Required (STREAMLINED) [new/existing code] </w:t>
            </w:r>
          </w:p>
        </w:tc>
      </w:tr>
      <w:tr w:rsidR="007E0187" w:rsidRPr="003C5E6D" w14:paraId="372D11E6" w14:textId="77777777" w:rsidTr="007E0187">
        <w:trPr>
          <w:cantSplit/>
          <w:trHeight w:val="20"/>
        </w:trPr>
        <w:tc>
          <w:tcPr>
            <w:tcW w:w="1269" w:type="dxa"/>
            <w:gridSpan w:val="3"/>
            <w:vAlign w:val="center"/>
          </w:tcPr>
          <w:p w14:paraId="0E85A920" w14:textId="4CF17075"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38B5F2B6"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b/>
                <w:bCs/>
                <w:color w:val="333333"/>
                <w:sz w:val="20"/>
                <w:szCs w:val="20"/>
                <w:lang w:eastAsia="en-AU"/>
              </w:rPr>
              <w:t>Indication:</w:t>
            </w:r>
            <w:r w:rsidRPr="003C5E6D">
              <w:rPr>
                <w:rFonts w:ascii="Arial" w:hAnsi="Arial" w:cs="Arial"/>
                <w:sz w:val="20"/>
                <w:szCs w:val="20"/>
              </w:rPr>
              <w:t xml:space="preserve"> </w:t>
            </w:r>
            <w:r w:rsidRPr="003C5E6D">
              <w:rPr>
                <w:rFonts w:ascii="Arial Narrow" w:eastAsia="Times New Roman" w:hAnsi="Arial Narrow"/>
                <w:color w:val="333333"/>
                <w:sz w:val="20"/>
                <w:szCs w:val="20"/>
                <w:lang w:eastAsia="en-AU"/>
              </w:rPr>
              <w:t xml:space="preserve">Locally advanced or metastatic cholangiocarcinoma </w:t>
            </w:r>
          </w:p>
        </w:tc>
      </w:tr>
      <w:tr w:rsidR="007E0187" w:rsidRPr="003C5E6D" w14:paraId="285E0AE1" w14:textId="77777777" w:rsidTr="007E0187">
        <w:trPr>
          <w:cantSplit/>
          <w:trHeight w:val="20"/>
        </w:trPr>
        <w:tc>
          <w:tcPr>
            <w:tcW w:w="1269" w:type="dxa"/>
            <w:gridSpan w:val="3"/>
            <w:vAlign w:val="center"/>
            <w:hideMark/>
          </w:tcPr>
          <w:p w14:paraId="57147FF7"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487E17A6" w14:textId="77777777" w:rsidR="007E0187" w:rsidRPr="003C5E6D" w:rsidRDefault="007E0187" w:rsidP="007E0187">
            <w:pPr>
              <w:spacing w:before="0" w:after="0"/>
              <w:rPr>
                <w:rFonts w:ascii="Arial Narrow" w:eastAsia="Times New Roman" w:hAnsi="Arial Narrow"/>
                <w:sz w:val="20"/>
                <w:szCs w:val="20"/>
                <w:lang w:eastAsia="en-AU"/>
              </w:rPr>
            </w:pPr>
            <w:r w:rsidRPr="003C5E6D">
              <w:rPr>
                <w:rFonts w:ascii="Arial Narrow" w:eastAsia="Times New Roman" w:hAnsi="Arial Narrow"/>
                <w:b/>
                <w:bCs/>
                <w:color w:val="333333"/>
                <w:sz w:val="20"/>
                <w:szCs w:val="20"/>
                <w:lang w:eastAsia="en-AU"/>
              </w:rPr>
              <w:t>Treatment Phase:</w:t>
            </w:r>
            <w:r w:rsidRPr="003C5E6D">
              <w:rPr>
                <w:rFonts w:ascii="Arial Narrow" w:eastAsia="Times New Roman" w:hAnsi="Arial Narrow"/>
                <w:color w:val="FF0000"/>
                <w:sz w:val="20"/>
                <w:szCs w:val="20"/>
                <w:lang w:eastAsia="en-AU"/>
              </w:rPr>
              <w:t xml:space="preserve"> </w:t>
            </w:r>
            <w:r w:rsidRPr="003C5E6D">
              <w:rPr>
                <w:rFonts w:ascii="Arial Narrow" w:eastAsia="Times New Roman" w:hAnsi="Arial Narrow"/>
                <w:sz w:val="20"/>
                <w:szCs w:val="20"/>
                <w:lang w:eastAsia="en-AU"/>
              </w:rPr>
              <w:t>Continuing treatment</w:t>
            </w:r>
          </w:p>
        </w:tc>
      </w:tr>
      <w:tr w:rsidR="007E0187" w:rsidRPr="003C5E6D" w14:paraId="0630A18C" w14:textId="77777777" w:rsidTr="007E0187">
        <w:trPr>
          <w:cantSplit/>
          <w:trHeight w:val="20"/>
        </w:trPr>
        <w:tc>
          <w:tcPr>
            <w:tcW w:w="1280" w:type="dxa"/>
            <w:gridSpan w:val="4"/>
            <w:vAlign w:val="center"/>
          </w:tcPr>
          <w:p w14:paraId="3AD42FD5" w14:textId="657422E6"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793BCCE7"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 xml:space="preserve">Clinical criteria: </w:t>
            </w:r>
          </w:p>
        </w:tc>
      </w:tr>
      <w:tr w:rsidR="007E0187" w:rsidRPr="003C5E6D" w14:paraId="1695BD97" w14:textId="77777777" w:rsidTr="007E0187">
        <w:trPr>
          <w:cantSplit/>
          <w:trHeight w:val="20"/>
        </w:trPr>
        <w:tc>
          <w:tcPr>
            <w:tcW w:w="1280" w:type="dxa"/>
            <w:gridSpan w:val="4"/>
            <w:vAlign w:val="center"/>
          </w:tcPr>
          <w:p w14:paraId="12B2336E" w14:textId="336BCF10"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596BC5F2" w14:textId="77777777" w:rsidR="007E0187" w:rsidRPr="003C5E6D" w:rsidRDefault="007E0187" w:rsidP="007E0187">
            <w:pPr>
              <w:spacing w:before="0" w:after="0"/>
              <w:rPr>
                <w:rFonts w:ascii="Arial Narrow" w:eastAsia="Times New Roman" w:hAnsi="Arial Narrow"/>
                <w:b/>
                <w:bCs/>
                <w:sz w:val="20"/>
                <w:szCs w:val="20"/>
                <w:lang w:eastAsia="en-AU"/>
              </w:rPr>
            </w:pPr>
            <w:r w:rsidRPr="003C5E6D">
              <w:rPr>
                <w:rFonts w:ascii="Arial Narrow" w:hAnsi="Arial Narrow" w:cstheme="minorHAnsi"/>
                <w:sz w:val="20"/>
                <w:szCs w:val="20"/>
              </w:rPr>
              <w:t>Patient must have previously received PBS-subsidised treatment with this drug for this condition</w:t>
            </w:r>
          </w:p>
        </w:tc>
      </w:tr>
      <w:tr w:rsidR="007E0187" w:rsidRPr="003C5E6D" w14:paraId="59B97584" w14:textId="77777777" w:rsidTr="007E0187">
        <w:trPr>
          <w:cantSplit/>
          <w:trHeight w:val="20"/>
        </w:trPr>
        <w:tc>
          <w:tcPr>
            <w:tcW w:w="1280" w:type="dxa"/>
            <w:gridSpan w:val="4"/>
            <w:vAlign w:val="center"/>
          </w:tcPr>
          <w:p w14:paraId="09971A2F"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04D425C4" w14:textId="77777777" w:rsidR="007E0187" w:rsidRPr="003C5E6D" w:rsidRDefault="007E0187" w:rsidP="007E0187">
            <w:pPr>
              <w:spacing w:before="0" w:after="0"/>
              <w:rPr>
                <w:rFonts w:ascii="Arial Narrow" w:eastAsia="Times New Roman" w:hAnsi="Arial Narrow"/>
                <w:b/>
                <w:bCs/>
                <w:sz w:val="20"/>
                <w:szCs w:val="20"/>
                <w:lang w:eastAsia="en-AU"/>
              </w:rPr>
            </w:pPr>
            <w:r w:rsidRPr="003C5E6D">
              <w:rPr>
                <w:rFonts w:ascii="Arial Narrow" w:eastAsia="Times New Roman" w:hAnsi="Arial Narrow"/>
                <w:b/>
                <w:bCs/>
                <w:sz w:val="20"/>
                <w:szCs w:val="20"/>
                <w:lang w:eastAsia="en-AU"/>
              </w:rPr>
              <w:t>AND</w:t>
            </w:r>
          </w:p>
        </w:tc>
      </w:tr>
      <w:tr w:rsidR="007E0187" w:rsidRPr="003C5E6D" w14:paraId="46BF87AD" w14:textId="77777777" w:rsidTr="007E0187">
        <w:trPr>
          <w:cantSplit/>
          <w:trHeight w:val="20"/>
        </w:trPr>
        <w:tc>
          <w:tcPr>
            <w:tcW w:w="1280" w:type="dxa"/>
            <w:gridSpan w:val="4"/>
            <w:vAlign w:val="center"/>
          </w:tcPr>
          <w:p w14:paraId="3ADE3453" w14:textId="49F355CE"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798A3927" w14:textId="77777777" w:rsidR="007E0187" w:rsidRPr="003C5E6D" w:rsidRDefault="007E0187" w:rsidP="007E0187">
            <w:pPr>
              <w:spacing w:before="0" w:after="0"/>
              <w:rPr>
                <w:rFonts w:ascii="Arial Narrow" w:eastAsia="Times New Roman" w:hAnsi="Arial Narrow"/>
                <w:b/>
                <w:bCs/>
                <w:sz w:val="20"/>
                <w:szCs w:val="20"/>
                <w:lang w:eastAsia="en-AU"/>
              </w:rPr>
            </w:pPr>
            <w:r w:rsidRPr="003C5E6D">
              <w:rPr>
                <w:rFonts w:ascii="Arial Narrow" w:eastAsia="Times New Roman" w:hAnsi="Arial Narrow"/>
                <w:b/>
                <w:bCs/>
                <w:sz w:val="20"/>
                <w:szCs w:val="20"/>
                <w:lang w:eastAsia="en-AU"/>
              </w:rPr>
              <w:t xml:space="preserve">Clinical criteria: </w:t>
            </w:r>
          </w:p>
        </w:tc>
      </w:tr>
      <w:tr w:rsidR="007E0187" w:rsidRPr="003C5E6D" w14:paraId="4B48D0F0" w14:textId="77777777" w:rsidTr="007E0187">
        <w:trPr>
          <w:cantSplit/>
          <w:trHeight w:val="20"/>
        </w:trPr>
        <w:tc>
          <w:tcPr>
            <w:tcW w:w="1280" w:type="dxa"/>
            <w:gridSpan w:val="4"/>
            <w:vAlign w:val="center"/>
          </w:tcPr>
          <w:p w14:paraId="3CC4D116" w14:textId="172F9422"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65961FA4" w14:textId="77777777" w:rsidR="007E0187" w:rsidRPr="003C5E6D" w:rsidRDefault="007E0187" w:rsidP="007E0187">
            <w:pPr>
              <w:spacing w:before="0" w:after="0"/>
              <w:rPr>
                <w:rFonts w:ascii="Arial Narrow" w:hAnsi="Arial Narrow" w:cstheme="minorHAnsi"/>
                <w:sz w:val="20"/>
                <w:szCs w:val="20"/>
              </w:rPr>
            </w:pPr>
            <w:r w:rsidRPr="003C5E6D">
              <w:rPr>
                <w:rFonts w:ascii="Arial Narrow" w:hAnsi="Arial Narrow" w:cstheme="minorHAnsi"/>
                <w:sz w:val="20"/>
                <w:szCs w:val="20"/>
              </w:rPr>
              <w:t>The treatment must be the sole PBS-subsidised therapy for this condition</w:t>
            </w:r>
          </w:p>
        </w:tc>
      </w:tr>
      <w:tr w:rsidR="007E0187" w:rsidRPr="003C5E6D" w14:paraId="1BFD3DB1" w14:textId="77777777" w:rsidTr="007E0187">
        <w:trPr>
          <w:cantSplit/>
          <w:trHeight w:val="20"/>
        </w:trPr>
        <w:tc>
          <w:tcPr>
            <w:tcW w:w="1280" w:type="dxa"/>
            <w:gridSpan w:val="4"/>
            <w:vAlign w:val="center"/>
          </w:tcPr>
          <w:p w14:paraId="4384526A"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465A946F"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AND</w:t>
            </w:r>
          </w:p>
        </w:tc>
      </w:tr>
      <w:tr w:rsidR="007E0187" w:rsidRPr="003C5E6D" w14:paraId="2A07F5BB" w14:textId="77777777" w:rsidTr="007E0187">
        <w:trPr>
          <w:cantSplit/>
          <w:trHeight w:val="20"/>
        </w:trPr>
        <w:tc>
          <w:tcPr>
            <w:tcW w:w="1280" w:type="dxa"/>
            <w:gridSpan w:val="4"/>
            <w:vAlign w:val="center"/>
          </w:tcPr>
          <w:p w14:paraId="5D348132" w14:textId="17529D18"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424D4975"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 xml:space="preserve">Clinical criteria: </w:t>
            </w:r>
          </w:p>
        </w:tc>
      </w:tr>
      <w:tr w:rsidR="007E0187" w:rsidRPr="003C5E6D" w14:paraId="1BD5A741" w14:textId="77777777" w:rsidTr="007E0187">
        <w:trPr>
          <w:cantSplit/>
          <w:trHeight w:val="20"/>
        </w:trPr>
        <w:tc>
          <w:tcPr>
            <w:tcW w:w="1280" w:type="dxa"/>
            <w:gridSpan w:val="4"/>
            <w:vAlign w:val="center"/>
          </w:tcPr>
          <w:p w14:paraId="0E6AD3D0" w14:textId="576152CC"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334C93FA" w14:textId="77777777" w:rsidR="007E0187" w:rsidRPr="003C5E6D" w:rsidRDefault="007E0187" w:rsidP="007E0187">
            <w:pPr>
              <w:spacing w:before="0" w:after="0"/>
              <w:rPr>
                <w:rFonts w:ascii="Arial Narrow" w:hAnsi="Arial Narrow" w:cstheme="minorHAnsi"/>
                <w:sz w:val="20"/>
                <w:szCs w:val="20"/>
              </w:rPr>
            </w:pPr>
            <w:r w:rsidRPr="003C5E6D">
              <w:rPr>
                <w:rFonts w:ascii="Arial Narrow" w:hAnsi="Arial Narrow" w:cstheme="minorHAnsi"/>
                <w:sz w:val="20"/>
                <w:szCs w:val="20"/>
              </w:rPr>
              <w:t xml:space="preserve">Patient must not </w:t>
            </w:r>
            <w:r w:rsidRPr="003C5E6D">
              <w:rPr>
                <w:rFonts w:ascii="Arial Narrow" w:hAnsi="Arial Narrow" w:cstheme="minorHAnsi"/>
                <w:i/>
                <w:iCs/>
                <w:sz w:val="20"/>
                <w:szCs w:val="20"/>
              </w:rPr>
              <w:t>have</w:t>
            </w:r>
            <w:r w:rsidRPr="003C5E6D">
              <w:rPr>
                <w:rFonts w:ascii="Arial Narrow" w:hAnsi="Arial Narrow" w:cstheme="minorHAnsi"/>
                <w:sz w:val="20"/>
                <w:szCs w:val="20"/>
              </w:rPr>
              <w:t xml:space="preserve"> develop</w:t>
            </w:r>
            <w:r w:rsidRPr="003C5E6D">
              <w:rPr>
                <w:rFonts w:ascii="Arial Narrow" w:hAnsi="Arial Narrow" w:cstheme="minorHAnsi"/>
                <w:i/>
                <w:iCs/>
                <w:sz w:val="20"/>
                <w:szCs w:val="20"/>
              </w:rPr>
              <w:t>ed</w:t>
            </w:r>
            <w:r w:rsidRPr="003C5E6D">
              <w:rPr>
                <w:rFonts w:ascii="Arial Narrow" w:hAnsi="Arial Narrow" w:cstheme="minorHAnsi"/>
                <w:sz w:val="20"/>
                <w:szCs w:val="20"/>
              </w:rPr>
              <w:t xml:space="preserve"> disease progression while receiving PBS-subsidised treatment with this drug for this condition</w:t>
            </w:r>
          </w:p>
        </w:tc>
      </w:tr>
      <w:tr w:rsidR="007E0187" w:rsidRPr="003C5E6D" w14:paraId="52D83DA5" w14:textId="77777777" w:rsidTr="007E0187">
        <w:trPr>
          <w:cantSplit/>
          <w:trHeight w:val="20"/>
        </w:trPr>
        <w:tc>
          <w:tcPr>
            <w:tcW w:w="1280" w:type="dxa"/>
            <w:gridSpan w:val="4"/>
            <w:vAlign w:val="center"/>
          </w:tcPr>
          <w:p w14:paraId="6E7E1C63" w14:textId="4BB234F9"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47" w:type="dxa"/>
            <w:gridSpan w:val="6"/>
            <w:vAlign w:val="center"/>
          </w:tcPr>
          <w:p w14:paraId="7713EF82" w14:textId="77777777" w:rsidR="007E0187" w:rsidRPr="003C5E6D" w:rsidRDefault="007E0187" w:rsidP="007E0187">
            <w:pPr>
              <w:spacing w:before="0" w:after="0"/>
              <w:rPr>
                <w:rFonts w:ascii="Arial Narrow" w:eastAsia="Times New Roman" w:hAnsi="Arial Narrow"/>
                <w:b/>
                <w:bCs/>
                <w:sz w:val="20"/>
                <w:szCs w:val="20"/>
                <w:lang w:eastAsia="en-AU"/>
              </w:rPr>
            </w:pPr>
            <w:r w:rsidRPr="003C5E6D">
              <w:rPr>
                <w:rFonts w:ascii="Arial Narrow" w:eastAsia="Times New Roman" w:hAnsi="Arial Narrow"/>
                <w:b/>
                <w:bCs/>
                <w:sz w:val="20"/>
                <w:szCs w:val="20"/>
                <w:lang w:eastAsia="en-AU"/>
              </w:rPr>
              <w:t xml:space="preserve">Caution: </w:t>
            </w:r>
            <w:r w:rsidRPr="003C5E6D">
              <w:rPr>
                <w:rFonts w:ascii="Arial Narrow" w:eastAsia="Times New Roman" w:hAnsi="Arial Narrow" w:cstheme="minorHAnsi"/>
                <w:sz w:val="20"/>
                <w:szCs w:val="20"/>
                <w:lang w:eastAsia="en-AU"/>
              </w:rPr>
              <w:t xml:space="preserve">Ivosidenib can cause dose-dependent prolongation of the heart rate-corrected QT (QTc) interval. </w:t>
            </w:r>
            <w:r w:rsidRPr="003C5E6D">
              <w:rPr>
                <w:rFonts w:ascii="Arial Narrow" w:eastAsia="Times New Roman" w:hAnsi="Arial Narrow" w:cstheme="minorHAnsi"/>
                <w:i/>
                <w:iCs/>
                <w:sz w:val="20"/>
                <w:szCs w:val="20"/>
                <w:lang w:eastAsia="en-AU"/>
              </w:rPr>
              <w:t>At treatment initiation patients should undergo an electrocardiogram (ECG) to assess the heart rate-corrected QT (QTc) interval.</w:t>
            </w:r>
            <w:r w:rsidRPr="003C5E6D">
              <w:rPr>
                <w:rFonts w:ascii="Arial Narrow" w:eastAsia="Times New Roman" w:hAnsi="Arial Narrow" w:cstheme="minorHAnsi"/>
                <w:sz w:val="20"/>
                <w:szCs w:val="20"/>
                <w:lang w:eastAsia="en-AU"/>
              </w:rPr>
              <w:t xml:space="preserve"> Dose interruptions are recommended until QTc returns to ≤480 msec. Monitor ECGs at least weekly for two weeks following return of QTc. Permanently discontinue ivosidenib if QTc poses life threatening ventricular arrhythmia (Grade 4)</w:t>
            </w:r>
          </w:p>
        </w:tc>
      </w:tr>
      <w:tr w:rsidR="007E0187" w:rsidRPr="003C5E6D" w14:paraId="49D6F038" w14:textId="77777777" w:rsidTr="007E0187">
        <w:trPr>
          <w:cantSplit/>
          <w:trHeight w:val="20"/>
        </w:trPr>
        <w:tc>
          <w:tcPr>
            <w:tcW w:w="9027" w:type="dxa"/>
            <w:gridSpan w:val="10"/>
            <w:vAlign w:val="center"/>
          </w:tcPr>
          <w:p w14:paraId="4CC1C0AD" w14:textId="77777777" w:rsidR="007E0187" w:rsidRPr="003C5E6D" w:rsidRDefault="007E0187" w:rsidP="007E0187">
            <w:pPr>
              <w:spacing w:before="0" w:after="0"/>
              <w:rPr>
                <w:rFonts w:ascii="Arial Narrow" w:eastAsia="Times New Roman" w:hAnsi="Arial Narrow"/>
                <w:b/>
                <w:bCs/>
                <w:sz w:val="20"/>
                <w:szCs w:val="20"/>
                <w:lang w:eastAsia="en-AU"/>
              </w:rPr>
            </w:pPr>
          </w:p>
          <w:p w14:paraId="40098F9A" w14:textId="77777777" w:rsidR="007E0187" w:rsidRPr="003C5E6D" w:rsidRDefault="007E0187" w:rsidP="007E0187">
            <w:pPr>
              <w:spacing w:before="0" w:after="0"/>
              <w:rPr>
                <w:rFonts w:ascii="Arial Narrow" w:eastAsia="Times New Roman" w:hAnsi="Arial Narrow"/>
                <w:b/>
                <w:bCs/>
                <w:sz w:val="20"/>
                <w:szCs w:val="20"/>
                <w:lang w:eastAsia="en-AU"/>
              </w:rPr>
            </w:pPr>
          </w:p>
        </w:tc>
      </w:tr>
      <w:tr w:rsidR="007E0187" w:rsidRPr="003C5E6D" w14:paraId="531FA52A" w14:textId="77777777" w:rsidTr="007E0187">
        <w:tblPrEx>
          <w:tblLook w:val="0000" w:firstRow="0" w:lastRow="0" w:firstColumn="0" w:lastColumn="0" w:noHBand="0" w:noVBand="0"/>
        </w:tblPrEx>
        <w:trPr>
          <w:trHeight w:val="20"/>
        </w:trPr>
        <w:tc>
          <w:tcPr>
            <w:tcW w:w="9027" w:type="dxa"/>
            <w:gridSpan w:val="10"/>
            <w:tcBorders>
              <w:top w:val="single" w:sz="4" w:space="0" w:color="auto"/>
              <w:left w:val="single" w:sz="4" w:space="0" w:color="auto"/>
              <w:right w:val="single" w:sz="4" w:space="0" w:color="auto"/>
            </w:tcBorders>
            <w:vAlign w:val="center"/>
          </w:tcPr>
          <w:p w14:paraId="55CA760D" w14:textId="77777777" w:rsidR="007E0187" w:rsidRPr="003C5E6D" w:rsidRDefault="007E0187" w:rsidP="007E0187">
            <w:pPr>
              <w:keepLines/>
              <w:spacing w:before="0" w:after="0"/>
              <w:rPr>
                <w:rFonts w:ascii="Arial Narrow" w:eastAsia="Calibri" w:hAnsi="Arial Narrow" w:cs="Arial"/>
                <w:b/>
                <w:sz w:val="20"/>
                <w:szCs w:val="20"/>
              </w:rPr>
            </w:pPr>
            <w:r w:rsidRPr="003C5E6D">
              <w:rPr>
                <w:rFonts w:ascii="Arial Narrow" w:eastAsia="Calibri" w:hAnsi="Arial Narrow"/>
                <w:b/>
                <w:sz w:val="20"/>
                <w:szCs w:val="20"/>
              </w:rPr>
              <w:lastRenderedPageBreak/>
              <w:t xml:space="preserve">Restriction Summary [new 1] / Treatment of Concept: [new 1] </w:t>
            </w:r>
          </w:p>
        </w:tc>
      </w:tr>
      <w:tr w:rsidR="007E0187" w:rsidRPr="003C5E6D" w14:paraId="7791F958" w14:textId="77777777" w:rsidTr="007E0187">
        <w:tblPrEx>
          <w:tblLook w:val="0000" w:firstRow="0" w:lastRow="0" w:firstColumn="0" w:lastColumn="0" w:noHBand="0" w:noVBand="0"/>
        </w:tblPrEx>
        <w:trPr>
          <w:trHeight w:val="20"/>
        </w:trPr>
        <w:tc>
          <w:tcPr>
            <w:tcW w:w="1269" w:type="dxa"/>
            <w:gridSpan w:val="3"/>
            <w:vMerge w:val="restart"/>
            <w:tcBorders>
              <w:top w:val="single" w:sz="4" w:space="0" w:color="auto"/>
              <w:left w:val="single" w:sz="4" w:space="0" w:color="auto"/>
              <w:right w:val="single" w:sz="4" w:space="0" w:color="auto"/>
            </w:tcBorders>
          </w:tcPr>
          <w:p w14:paraId="0010314D" w14:textId="4E3947DE" w:rsidR="007E0187" w:rsidRPr="003C5E6D" w:rsidRDefault="007E0187" w:rsidP="007E0187">
            <w:pPr>
              <w:spacing w:before="0" w:after="0"/>
              <w:jc w:val="center"/>
              <w:rPr>
                <w:rFonts w:ascii="Arial Narrow" w:eastAsia="Calibri" w:hAnsi="Arial Narrow" w:cs="Arial"/>
                <w:b/>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1A4581D1" w14:textId="2D4BC109" w:rsidR="007E0187" w:rsidRPr="003C5E6D" w:rsidRDefault="007E0187" w:rsidP="007E0187">
            <w:pPr>
              <w:keepLines/>
              <w:spacing w:before="0" w:after="0"/>
              <w:rPr>
                <w:rFonts w:ascii="Arial Narrow" w:eastAsia="Calibri" w:hAnsi="Arial Narrow" w:cs="Arial"/>
                <w:sz w:val="20"/>
                <w:szCs w:val="20"/>
              </w:rPr>
            </w:pPr>
            <w:r w:rsidRPr="003C5E6D">
              <w:rPr>
                <w:rFonts w:ascii="Arial Narrow" w:eastAsia="Calibri" w:hAnsi="Arial Narrow" w:cs="Arial"/>
                <w:b/>
                <w:sz w:val="20"/>
                <w:szCs w:val="20"/>
              </w:rPr>
              <w:t xml:space="preserve">Category / Program: </w:t>
            </w:r>
            <w:r w:rsidRPr="003C5E6D">
              <w:rPr>
                <w:rFonts w:ascii="Arial Narrow" w:eastAsia="Calibri" w:hAnsi="Arial Narrow" w:cs="Arial"/>
                <w:sz w:val="20"/>
                <w:szCs w:val="20"/>
              </w:rPr>
              <w:t>GENERAL – General Schedule (Code GE)</w:t>
            </w:r>
            <w:r w:rsidRPr="003C5E6D">
              <w:rPr>
                <w:rFonts w:ascii="Arial Narrow" w:eastAsia="Calibri" w:hAnsi="Arial Narrow" w:cs="Arial"/>
                <w:color w:val="FF0000"/>
                <w:sz w:val="20"/>
                <w:szCs w:val="20"/>
              </w:rPr>
              <w:t xml:space="preserve"> </w:t>
            </w:r>
          </w:p>
        </w:tc>
      </w:tr>
      <w:tr w:rsidR="007E0187" w:rsidRPr="003C5E6D" w14:paraId="25DC197C" w14:textId="77777777" w:rsidTr="007E0187">
        <w:tblPrEx>
          <w:tblLook w:val="0000" w:firstRow="0" w:lastRow="0" w:firstColumn="0" w:lastColumn="0" w:noHBand="0" w:noVBand="0"/>
        </w:tblPrEx>
        <w:trPr>
          <w:trHeight w:val="20"/>
        </w:trPr>
        <w:tc>
          <w:tcPr>
            <w:tcW w:w="1269" w:type="dxa"/>
            <w:gridSpan w:val="3"/>
            <w:vMerge/>
            <w:tcBorders>
              <w:left w:val="single" w:sz="4" w:space="0" w:color="auto"/>
              <w:right w:val="single" w:sz="4" w:space="0" w:color="auto"/>
            </w:tcBorders>
          </w:tcPr>
          <w:p w14:paraId="3617AB7C" w14:textId="77777777" w:rsidR="007E0187" w:rsidRPr="003C5E6D" w:rsidRDefault="007E0187" w:rsidP="007E0187">
            <w:pPr>
              <w:spacing w:before="0" w:after="0"/>
              <w:rPr>
                <w:rFonts w:ascii="Arial Narrow" w:eastAsia="Calibri" w:hAnsi="Arial Narrow" w:cs="Arial"/>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451A87E4" w14:textId="77777777" w:rsidR="007E0187" w:rsidRPr="003C5E6D" w:rsidRDefault="007E0187" w:rsidP="007E0187">
            <w:pPr>
              <w:keepLines/>
              <w:spacing w:before="0" w:after="0"/>
              <w:rPr>
                <w:rFonts w:ascii="Arial Narrow" w:eastAsia="Calibri" w:hAnsi="Arial Narrow" w:cs="Arial"/>
                <w:b/>
                <w:sz w:val="20"/>
                <w:szCs w:val="20"/>
              </w:rPr>
            </w:pPr>
            <w:r w:rsidRPr="003C5E6D">
              <w:rPr>
                <w:rFonts w:ascii="Arial Narrow" w:eastAsia="Calibri" w:hAnsi="Arial Narrow" w:cs="Arial"/>
                <w:b/>
                <w:sz w:val="20"/>
                <w:szCs w:val="20"/>
              </w:rPr>
              <w:t xml:space="preserve">Prescriber type: </w:t>
            </w:r>
            <w:r w:rsidRPr="003C5E6D">
              <w:rPr>
                <w:rFonts w:ascii="Arial Narrow" w:eastAsia="Calibri" w:hAnsi="Arial Narrow" w:cs="Arial"/>
                <w:sz w:val="20"/>
                <w:szCs w:val="20"/>
              </w:rPr>
              <w:fldChar w:fldCharType="begin" w:fldLock="1">
                <w:ffData>
                  <w:name w:val=""/>
                  <w:enabled/>
                  <w:calcOnExit w:val="0"/>
                  <w:checkBox>
                    <w:sizeAuto/>
                    <w:default w:val="1"/>
                  </w:checkBox>
                </w:ffData>
              </w:fldChar>
            </w:r>
            <w:r w:rsidRPr="003C5E6D">
              <w:rPr>
                <w:rFonts w:ascii="Arial Narrow" w:eastAsia="Calibri" w:hAnsi="Arial Narrow" w:cs="Arial"/>
                <w:sz w:val="20"/>
                <w:szCs w:val="20"/>
              </w:rPr>
              <w:instrText xml:space="preserve"> FORMCHECKBOX </w:instrText>
            </w:r>
            <w:r w:rsidRPr="003C5E6D">
              <w:rPr>
                <w:rFonts w:ascii="Arial Narrow" w:eastAsia="Calibri" w:hAnsi="Arial Narrow" w:cs="Arial"/>
                <w:sz w:val="20"/>
                <w:szCs w:val="20"/>
              </w:rPr>
            </w:r>
            <w:r w:rsidRPr="003C5E6D">
              <w:rPr>
                <w:rFonts w:ascii="Arial Narrow" w:eastAsia="Calibri" w:hAnsi="Arial Narrow" w:cs="Arial"/>
                <w:sz w:val="20"/>
                <w:szCs w:val="20"/>
              </w:rPr>
              <w:fldChar w:fldCharType="separate"/>
            </w:r>
            <w:r w:rsidRPr="003C5E6D">
              <w:rPr>
                <w:rFonts w:ascii="Arial Narrow" w:eastAsia="Calibri" w:hAnsi="Arial Narrow" w:cs="Arial"/>
                <w:sz w:val="20"/>
                <w:szCs w:val="20"/>
              </w:rPr>
              <w:fldChar w:fldCharType="end"/>
            </w:r>
            <w:r w:rsidRPr="003C5E6D">
              <w:rPr>
                <w:rFonts w:ascii="Arial Narrow" w:eastAsia="Calibri" w:hAnsi="Arial Narrow" w:cs="Arial"/>
                <w:sz w:val="20"/>
                <w:szCs w:val="20"/>
              </w:rPr>
              <w:t xml:space="preserve">Medical Practitioners </w:t>
            </w:r>
          </w:p>
        </w:tc>
      </w:tr>
      <w:tr w:rsidR="007E0187" w:rsidRPr="003C5E6D" w14:paraId="1DB52C81" w14:textId="77777777" w:rsidTr="007E0187">
        <w:tblPrEx>
          <w:tblLook w:val="0000" w:firstRow="0" w:lastRow="0" w:firstColumn="0" w:lastColumn="0" w:noHBand="0" w:noVBand="0"/>
        </w:tblPrEx>
        <w:trPr>
          <w:trHeight w:val="20"/>
        </w:trPr>
        <w:tc>
          <w:tcPr>
            <w:tcW w:w="1269" w:type="dxa"/>
            <w:gridSpan w:val="3"/>
            <w:vMerge/>
            <w:tcBorders>
              <w:left w:val="single" w:sz="4" w:space="0" w:color="auto"/>
              <w:bottom w:val="single" w:sz="4" w:space="0" w:color="auto"/>
              <w:right w:val="single" w:sz="4" w:space="0" w:color="auto"/>
            </w:tcBorders>
          </w:tcPr>
          <w:p w14:paraId="07CA73DB" w14:textId="77777777" w:rsidR="007E0187" w:rsidRPr="003C5E6D" w:rsidRDefault="007E0187" w:rsidP="007E0187">
            <w:pPr>
              <w:spacing w:before="0" w:after="0"/>
              <w:rPr>
                <w:rFonts w:ascii="Arial Narrow" w:eastAsia="Calibri" w:hAnsi="Arial Narrow" w:cs="Arial"/>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7CCB48CF" w14:textId="77777777" w:rsidR="007E0187" w:rsidRPr="003C5E6D" w:rsidRDefault="007E0187" w:rsidP="007E0187">
            <w:pPr>
              <w:keepLines/>
              <w:spacing w:before="0" w:after="0"/>
              <w:rPr>
                <w:rFonts w:ascii="Arial Narrow" w:eastAsia="Calibri" w:hAnsi="Arial Narrow" w:cs="Arial"/>
                <w:sz w:val="20"/>
                <w:szCs w:val="20"/>
              </w:rPr>
            </w:pPr>
            <w:r w:rsidRPr="003C5E6D">
              <w:rPr>
                <w:rFonts w:ascii="Arial Narrow" w:eastAsia="Calibri" w:hAnsi="Arial Narrow" w:cs="Arial"/>
                <w:b/>
                <w:sz w:val="20"/>
                <w:szCs w:val="20"/>
              </w:rPr>
              <w:t>Restriction type:</w:t>
            </w:r>
            <w:r w:rsidRPr="003C5E6D">
              <w:rPr>
                <w:rFonts w:ascii="Arial Narrow" w:eastAsia="Calibri" w:hAnsi="Arial Narrow" w:cs="Arial"/>
                <w:sz w:val="20"/>
                <w:szCs w:val="20"/>
              </w:rPr>
              <w:t xml:space="preserve"> </w:t>
            </w:r>
            <w:r w:rsidRPr="003C5E6D">
              <w:rPr>
                <w:rFonts w:ascii="Arial Narrow" w:eastAsia="Calibri" w:hAnsi="Arial Narrow" w:cs="Arial"/>
                <w:sz w:val="20"/>
                <w:szCs w:val="20"/>
              </w:rPr>
              <w:fldChar w:fldCharType="begin" w:fldLock="1">
                <w:ffData>
                  <w:name w:val=""/>
                  <w:enabled/>
                  <w:calcOnExit w:val="0"/>
                  <w:checkBox>
                    <w:sizeAuto/>
                    <w:default w:val="1"/>
                  </w:checkBox>
                </w:ffData>
              </w:fldChar>
            </w:r>
            <w:r w:rsidRPr="003C5E6D">
              <w:rPr>
                <w:rFonts w:ascii="Arial Narrow" w:eastAsia="Calibri" w:hAnsi="Arial Narrow" w:cs="Arial"/>
                <w:sz w:val="20"/>
                <w:szCs w:val="20"/>
              </w:rPr>
              <w:instrText xml:space="preserve"> FORMCHECKBOX </w:instrText>
            </w:r>
            <w:r w:rsidRPr="003C5E6D">
              <w:rPr>
                <w:rFonts w:ascii="Arial Narrow" w:eastAsia="Calibri" w:hAnsi="Arial Narrow" w:cs="Arial"/>
                <w:sz w:val="20"/>
                <w:szCs w:val="20"/>
              </w:rPr>
            </w:r>
            <w:r w:rsidRPr="003C5E6D">
              <w:rPr>
                <w:rFonts w:ascii="Arial Narrow" w:eastAsia="Calibri" w:hAnsi="Arial Narrow" w:cs="Arial"/>
                <w:sz w:val="20"/>
                <w:szCs w:val="20"/>
              </w:rPr>
              <w:fldChar w:fldCharType="separate"/>
            </w:r>
            <w:r w:rsidRPr="003C5E6D">
              <w:rPr>
                <w:rFonts w:ascii="Arial Narrow" w:eastAsia="Calibri" w:hAnsi="Arial Narrow" w:cs="Arial"/>
                <w:sz w:val="20"/>
                <w:szCs w:val="20"/>
              </w:rPr>
              <w:fldChar w:fldCharType="end"/>
            </w:r>
            <w:r w:rsidRPr="003C5E6D">
              <w:rPr>
                <w:rFonts w:ascii="Arial Narrow" w:eastAsia="Calibri" w:hAnsi="Arial Narrow" w:cs="Arial"/>
                <w:sz w:val="20"/>
                <w:szCs w:val="20"/>
              </w:rPr>
              <w:t xml:space="preserve">Authority Required (Streamlined) [new/existing code] </w:t>
            </w:r>
          </w:p>
        </w:tc>
      </w:tr>
      <w:tr w:rsidR="007E0187" w:rsidRPr="003C5E6D" w14:paraId="104655DB" w14:textId="77777777" w:rsidTr="007E0187">
        <w:tblPrEx>
          <w:tblLook w:val="0000" w:firstRow="0" w:lastRow="0" w:firstColumn="0" w:lastColumn="0" w:noHBand="0" w:noVBand="0"/>
        </w:tblPrEx>
        <w:trPr>
          <w:trHeight w:val="20"/>
        </w:trPr>
        <w:tc>
          <w:tcPr>
            <w:tcW w:w="562" w:type="dxa"/>
            <w:vMerge w:val="restart"/>
            <w:tcBorders>
              <w:left w:val="single" w:sz="4" w:space="0" w:color="auto"/>
              <w:right w:val="single" w:sz="4" w:space="0" w:color="auto"/>
            </w:tcBorders>
            <w:textDirection w:val="btLr"/>
            <w:vAlign w:val="center"/>
          </w:tcPr>
          <w:p w14:paraId="4A791BB7" w14:textId="77777777" w:rsidR="007E0187" w:rsidRPr="003C5E6D" w:rsidRDefault="007E0187" w:rsidP="007E0187">
            <w:pPr>
              <w:spacing w:before="0" w:after="0"/>
              <w:jc w:val="center"/>
              <w:rPr>
                <w:rFonts w:ascii="Arial Narrow" w:eastAsia="Calibri" w:hAnsi="Arial Narrow" w:cs="Arial"/>
                <w:sz w:val="20"/>
                <w:szCs w:val="20"/>
              </w:rPr>
            </w:pPr>
            <w:r w:rsidRPr="003C5E6D">
              <w:rPr>
                <w:rFonts w:ascii="Arial Narrow" w:eastAsia="Calibri" w:hAnsi="Arial Narrow" w:cs="Arial"/>
                <w:sz w:val="20"/>
                <w:szCs w:val="20"/>
              </w:rPr>
              <w:t>Prescribing rule level</w:t>
            </w:r>
          </w:p>
        </w:tc>
        <w:tc>
          <w:tcPr>
            <w:tcW w:w="707" w:type="dxa"/>
            <w:gridSpan w:val="2"/>
            <w:vAlign w:val="center"/>
          </w:tcPr>
          <w:p w14:paraId="232926EE" w14:textId="0EA71EA2"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02A50891" w14:textId="0686E213" w:rsidR="007E0187" w:rsidRPr="00013016" w:rsidRDefault="007E0187" w:rsidP="00013016">
            <w:pPr>
              <w:spacing w:before="0" w:after="0"/>
              <w:rPr>
                <w:rFonts w:ascii="Arial Narrow" w:eastAsia="Times New Roman" w:hAnsi="Arial Narrow"/>
                <w:sz w:val="20"/>
                <w:szCs w:val="20"/>
                <w:lang w:eastAsia="en-AU"/>
              </w:rPr>
            </w:pPr>
            <w:r w:rsidRPr="00013016">
              <w:rPr>
                <w:rFonts w:ascii="Arial Narrow" w:eastAsia="Times New Roman" w:hAnsi="Arial Narrow"/>
                <w:b/>
                <w:bCs/>
                <w:sz w:val="20"/>
                <w:szCs w:val="20"/>
                <w:lang w:eastAsia="en-AU"/>
              </w:rPr>
              <w:t>Administrative Advice:</w:t>
            </w:r>
            <w:r w:rsidRPr="00013016">
              <w:rPr>
                <w:rFonts w:ascii="Open Sans" w:eastAsia="Calibri" w:hAnsi="Open Sans" w:cs="Open Sans"/>
                <w:kern w:val="2"/>
                <w:sz w:val="20"/>
                <w:szCs w:val="20"/>
                <w:shd w:val="clear" w:color="auto" w:fill="FFFFFF"/>
              </w:rPr>
              <w:t xml:space="preserve"> </w:t>
            </w:r>
            <w:r w:rsidRPr="00013016">
              <w:rPr>
                <w:rFonts w:ascii="Arial Narrow" w:eastAsia="Times New Roman" w:hAnsi="Arial Narrow"/>
                <w:i/>
                <w:iCs/>
                <w:sz w:val="20"/>
                <w:szCs w:val="20"/>
                <w:lang w:eastAsia="en-AU"/>
              </w:rPr>
              <w:t>No increase in the maximum quantity or number of units may be authorised.</w:t>
            </w:r>
          </w:p>
        </w:tc>
      </w:tr>
      <w:tr w:rsidR="007E0187" w:rsidRPr="003C5E6D" w14:paraId="5E2B7DBB" w14:textId="77777777" w:rsidTr="007E0187">
        <w:tblPrEx>
          <w:tblLook w:val="0000" w:firstRow="0" w:lastRow="0" w:firstColumn="0" w:lastColumn="0" w:noHBand="0" w:noVBand="0"/>
        </w:tblPrEx>
        <w:trPr>
          <w:trHeight w:val="20"/>
        </w:trPr>
        <w:tc>
          <w:tcPr>
            <w:tcW w:w="562" w:type="dxa"/>
            <w:vMerge/>
            <w:tcBorders>
              <w:left w:val="single" w:sz="4" w:space="0" w:color="auto"/>
              <w:right w:val="single" w:sz="4" w:space="0" w:color="auto"/>
            </w:tcBorders>
          </w:tcPr>
          <w:p w14:paraId="7558685B" w14:textId="77777777" w:rsidR="007E0187" w:rsidRPr="003C5E6D" w:rsidRDefault="007E0187" w:rsidP="007E0187">
            <w:pPr>
              <w:spacing w:before="0" w:after="0"/>
              <w:rPr>
                <w:rFonts w:ascii="Arial Narrow" w:eastAsia="Calibri" w:hAnsi="Arial Narrow" w:cs="Arial"/>
                <w:sz w:val="20"/>
                <w:szCs w:val="20"/>
              </w:rPr>
            </w:pPr>
          </w:p>
        </w:tc>
        <w:tc>
          <w:tcPr>
            <w:tcW w:w="707" w:type="dxa"/>
            <w:gridSpan w:val="2"/>
            <w:vAlign w:val="center"/>
          </w:tcPr>
          <w:p w14:paraId="5BA86BEF" w14:textId="3C4EEF1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5AB7F47E" w14:textId="7F9B9EE2" w:rsidR="007E0187" w:rsidRPr="00013016" w:rsidRDefault="007E0187" w:rsidP="00013016">
            <w:pPr>
              <w:spacing w:before="0" w:after="0"/>
              <w:rPr>
                <w:rFonts w:ascii="Arial Narrow" w:eastAsia="Times New Roman" w:hAnsi="Arial Narrow"/>
                <w:b/>
                <w:bCs/>
                <w:sz w:val="20"/>
                <w:szCs w:val="20"/>
                <w:lang w:eastAsia="en-AU"/>
              </w:rPr>
            </w:pPr>
            <w:r w:rsidRPr="00013016">
              <w:rPr>
                <w:rFonts w:ascii="Arial Narrow" w:eastAsia="Times New Roman" w:hAnsi="Arial Narrow"/>
                <w:b/>
                <w:bCs/>
                <w:sz w:val="20"/>
                <w:szCs w:val="20"/>
                <w:lang w:eastAsia="en-AU"/>
              </w:rPr>
              <w:t>Administrative Advice:</w:t>
            </w:r>
            <w:r w:rsidRPr="00013016">
              <w:rPr>
                <w:rFonts w:ascii="Open Sans" w:eastAsia="Calibri" w:hAnsi="Open Sans" w:cs="Open Sans"/>
                <w:kern w:val="2"/>
                <w:sz w:val="20"/>
                <w:szCs w:val="20"/>
                <w:shd w:val="clear" w:color="auto" w:fill="FFFFFF"/>
              </w:rPr>
              <w:t xml:space="preserve"> </w:t>
            </w:r>
            <w:r w:rsidRPr="00013016">
              <w:rPr>
                <w:rFonts w:ascii="Arial Narrow" w:eastAsia="Times New Roman" w:hAnsi="Arial Narrow"/>
                <w:i/>
                <w:iCs/>
                <w:sz w:val="20"/>
                <w:szCs w:val="20"/>
                <w:lang w:eastAsia="en-AU"/>
              </w:rPr>
              <w:t>No increase in the maximum number of repeats may be authorised.</w:t>
            </w:r>
          </w:p>
        </w:tc>
      </w:tr>
      <w:tr w:rsidR="007E0187" w:rsidRPr="003C5E6D" w14:paraId="7005D5BD" w14:textId="77777777" w:rsidTr="007E0187">
        <w:tblPrEx>
          <w:tblLook w:val="0000" w:firstRow="0" w:lastRow="0" w:firstColumn="0" w:lastColumn="0" w:noHBand="0" w:noVBand="0"/>
        </w:tblPrEx>
        <w:trPr>
          <w:trHeight w:val="20"/>
        </w:trPr>
        <w:tc>
          <w:tcPr>
            <w:tcW w:w="562" w:type="dxa"/>
            <w:vMerge/>
            <w:tcBorders>
              <w:left w:val="single" w:sz="4" w:space="0" w:color="auto"/>
              <w:bottom w:val="single" w:sz="4" w:space="0" w:color="auto"/>
              <w:right w:val="single" w:sz="4" w:space="0" w:color="auto"/>
            </w:tcBorders>
          </w:tcPr>
          <w:p w14:paraId="458367B8" w14:textId="77777777" w:rsidR="007E0187" w:rsidRPr="003C5E6D" w:rsidRDefault="007E0187" w:rsidP="007E0187">
            <w:pPr>
              <w:spacing w:before="0" w:after="0"/>
              <w:rPr>
                <w:rFonts w:ascii="Arial Narrow" w:eastAsia="Calibri" w:hAnsi="Arial Narrow" w:cs="Arial"/>
                <w:sz w:val="20"/>
                <w:szCs w:val="20"/>
              </w:rPr>
            </w:pPr>
          </w:p>
        </w:tc>
        <w:tc>
          <w:tcPr>
            <w:tcW w:w="707" w:type="dxa"/>
            <w:gridSpan w:val="2"/>
            <w:vAlign w:val="center"/>
          </w:tcPr>
          <w:p w14:paraId="5D2ED030" w14:textId="3B370EB6"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57E7BB35" w14:textId="102B35D9" w:rsidR="007E0187" w:rsidRPr="00013016" w:rsidRDefault="007E0187" w:rsidP="00013016">
            <w:pPr>
              <w:spacing w:before="0" w:after="0"/>
              <w:rPr>
                <w:rFonts w:ascii="Arial Narrow" w:eastAsia="Times New Roman" w:hAnsi="Arial Narrow"/>
                <w:b/>
                <w:bCs/>
                <w:sz w:val="20"/>
                <w:szCs w:val="20"/>
                <w:lang w:eastAsia="en-AU"/>
              </w:rPr>
            </w:pPr>
            <w:r w:rsidRPr="00013016">
              <w:rPr>
                <w:rFonts w:ascii="Arial Narrow" w:eastAsia="Times New Roman" w:hAnsi="Arial Narrow"/>
                <w:b/>
                <w:bCs/>
                <w:sz w:val="20"/>
                <w:szCs w:val="20"/>
                <w:lang w:eastAsia="en-AU"/>
              </w:rPr>
              <w:t>Administrative Advice:</w:t>
            </w:r>
            <w:r w:rsidRPr="00013016">
              <w:rPr>
                <w:rFonts w:ascii="Open Sans" w:eastAsia="Calibri" w:hAnsi="Open Sans" w:cs="Open Sans"/>
                <w:kern w:val="2"/>
                <w:sz w:val="20"/>
                <w:szCs w:val="20"/>
                <w:shd w:val="clear" w:color="auto" w:fill="FFFFFF"/>
              </w:rPr>
              <w:t xml:space="preserve"> </w:t>
            </w:r>
            <w:r w:rsidRPr="00013016">
              <w:rPr>
                <w:rFonts w:ascii="Arial Narrow" w:eastAsia="Times New Roman" w:hAnsi="Arial Narrow"/>
                <w:i/>
                <w:iCs/>
                <w:sz w:val="20"/>
                <w:szCs w:val="20"/>
                <w:lang w:eastAsia="en-AU"/>
              </w:rPr>
              <w:t>Special Pricing Arrangements apply.</w:t>
            </w:r>
          </w:p>
        </w:tc>
      </w:tr>
      <w:tr w:rsidR="007E0187" w:rsidRPr="003C5E6D" w14:paraId="427718C3" w14:textId="77777777" w:rsidTr="007E0187">
        <w:tblPrEx>
          <w:tblLook w:val="0000" w:firstRow="0" w:lastRow="0" w:firstColumn="0" w:lastColumn="0" w:noHBand="0" w:noVBand="0"/>
        </w:tblPrEx>
        <w:trPr>
          <w:cantSplit/>
          <w:trHeight w:val="20"/>
        </w:trPr>
        <w:tc>
          <w:tcPr>
            <w:tcW w:w="1269" w:type="dxa"/>
            <w:gridSpan w:val="3"/>
            <w:vMerge w:val="restart"/>
            <w:vAlign w:val="center"/>
          </w:tcPr>
          <w:p w14:paraId="2AE5ACAC" w14:textId="77777777" w:rsidR="007E0187" w:rsidRPr="003C5E6D" w:rsidRDefault="007E0187" w:rsidP="007E0187">
            <w:pPr>
              <w:keepLines/>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481E0372" w14:textId="77777777" w:rsidR="007E0187" w:rsidRPr="007E0187" w:rsidRDefault="007E0187" w:rsidP="007E0187">
            <w:pPr>
              <w:keepLines/>
              <w:spacing w:before="0" w:after="0"/>
              <w:rPr>
                <w:rFonts w:ascii="Arial Narrow" w:eastAsia="Times New Roman" w:hAnsi="Arial Narrow"/>
                <w:bCs/>
                <w:sz w:val="20"/>
                <w:szCs w:val="20"/>
                <w:lang w:eastAsia="en-AU"/>
              </w:rPr>
            </w:pPr>
            <w:r w:rsidRPr="007E0187">
              <w:rPr>
                <w:rFonts w:ascii="Arial Narrow" w:eastAsia="Times New Roman" w:hAnsi="Arial Narrow"/>
                <w:b/>
                <w:bCs/>
                <w:sz w:val="20"/>
                <w:szCs w:val="20"/>
                <w:lang w:eastAsia="en-AU"/>
              </w:rPr>
              <w:t xml:space="preserve">Episodicity: </w:t>
            </w:r>
            <w:r w:rsidRPr="007E0187">
              <w:rPr>
                <w:rFonts w:ascii="Arial Narrow" w:eastAsia="Times New Roman" w:hAnsi="Arial Narrow"/>
                <w:bCs/>
                <w:sz w:val="20"/>
                <w:szCs w:val="20"/>
                <w:lang w:eastAsia="en-AU"/>
              </w:rPr>
              <w:t xml:space="preserve">[blank] </w:t>
            </w:r>
          </w:p>
        </w:tc>
      </w:tr>
      <w:tr w:rsidR="007E0187" w:rsidRPr="003C5E6D" w14:paraId="019784F5" w14:textId="77777777" w:rsidTr="007E0187">
        <w:tblPrEx>
          <w:tblLook w:val="0000" w:firstRow="0" w:lastRow="0" w:firstColumn="0" w:lastColumn="0" w:noHBand="0" w:noVBand="0"/>
        </w:tblPrEx>
        <w:trPr>
          <w:cantSplit/>
          <w:trHeight w:val="20"/>
        </w:trPr>
        <w:tc>
          <w:tcPr>
            <w:tcW w:w="1269" w:type="dxa"/>
            <w:gridSpan w:val="3"/>
            <w:vMerge/>
            <w:vAlign w:val="center"/>
          </w:tcPr>
          <w:p w14:paraId="6DFDBD57" w14:textId="77777777" w:rsidR="007E0187" w:rsidRPr="003C5E6D" w:rsidRDefault="007E0187" w:rsidP="007E0187">
            <w:pPr>
              <w:keepLines/>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3A559DE7" w14:textId="77777777" w:rsidR="007E0187" w:rsidRPr="003C5E6D" w:rsidRDefault="007E0187" w:rsidP="007E0187">
            <w:pPr>
              <w:keepLines/>
              <w:spacing w:before="0" w:after="0"/>
              <w:rPr>
                <w:rFonts w:ascii="Arial Narrow" w:eastAsia="Times New Roman" w:hAnsi="Arial Narrow"/>
                <w:b/>
                <w:bCs/>
                <w:sz w:val="20"/>
                <w:szCs w:val="20"/>
                <w:lang w:eastAsia="en-AU"/>
              </w:rPr>
            </w:pPr>
            <w:r w:rsidRPr="003C5E6D">
              <w:rPr>
                <w:rFonts w:ascii="Arial Narrow" w:eastAsia="Times New Roman" w:hAnsi="Arial Narrow"/>
                <w:b/>
                <w:bCs/>
                <w:sz w:val="20"/>
                <w:szCs w:val="20"/>
                <w:lang w:eastAsia="en-AU"/>
              </w:rPr>
              <w:t xml:space="preserve">Severity: </w:t>
            </w:r>
            <w:r w:rsidRPr="003C5E6D">
              <w:rPr>
                <w:rFonts w:ascii="Arial Narrow" w:eastAsia="Times New Roman" w:hAnsi="Arial Narrow"/>
                <w:sz w:val="20"/>
                <w:szCs w:val="20"/>
                <w:lang w:eastAsia="en-AU"/>
              </w:rPr>
              <w:t>Locally advanced or metastatic</w:t>
            </w:r>
          </w:p>
        </w:tc>
      </w:tr>
      <w:tr w:rsidR="007E0187" w:rsidRPr="003C5E6D" w14:paraId="2B51E63F" w14:textId="77777777" w:rsidTr="007E0187">
        <w:tblPrEx>
          <w:tblLook w:val="0000" w:firstRow="0" w:lastRow="0" w:firstColumn="0" w:lastColumn="0" w:noHBand="0" w:noVBand="0"/>
        </w:tblPrEx>
        <w:trPr>
          <w:cantSplit/>
          <w:trHeight w:val="20"/>
        </w:trPr>
        <w:tc>
          <w:tcPr>
            <w:tcW w:w="1269" w:type="dxa"/>
            <w:gridSpan w:val="3"/>
            <w:vMerge/>
            <w:vAlign w:val="center"/>
          </w:tcPr>
          <w:p w14:paraId="2CD45CE8" w14:textId="77777777" w:rsidR="007E0187" w:rsidRPr="003C5E6D" w:rsidRDefault="007E0187" w:rsidP="007E0187">
            <w:pPr>
              <w:keepLines/>
              <w:spacing w:before="0" w:after="0"/>
              <w:jc w:val="center"/>
              <w:rPr>
                <w:rFonts w:ascii="Arial Narrow" w:eastAsia="Times New Roman" w:hAnsi="Arial Narrow"/>
                <w:color w:val="333333"/>
                <w:sz w:val="20"/>
                <w:szCs w:val="20"/>
                <w:lang w:eastAsia="en-AU"/>
              </w:rPr>
            </w:pPr>
          </w:p>
        </w:tc>
        <w:tc>
          <w:tcPr>
            <w:tcW w:w="7758" w:type="dxa"/>
            <w:gridSpan w:val="7"/>
            <w:vAlign w:val="center"/>
          </w:tcPr>
          <w:p w14:paraId="69FD0912" w14:textId="77777777" w:rsidR="007E0187" w:rsidRPr="003C5E6D" w:rsidRDefault="007E0187" w:rsidP="007E0187">
            <w:pPr>
              <w:keepLines/>
              <w:spacing w:before="0" w:after="0"/>
              <w:rPr>
                <w:rFonts w:ascii="Arial Narrow" w:eastAsia="Times New Roman" w:hAnsi="Arial Narrow"/>
                <w:b/>
                <w:bCs/>
                <w:color w:val="333333"/>
                <w:sz w:val="20"/>
                <w:szCs w:val="20"/>
                <w:lang w:eastAsia="en-AU"/>
              </w:rPr>
            </w:pPr>
            <w:r w:rsidRPr="003C5E6D">
              <w:rPr>
                <w:rFonts w:ascii="Arial Narrow" w:eastAsia="Times New Roman" w:hAnsi="Arial Narrow"/>
                <w:b/>
                <w:bCs/>
                <w:color w:val="333333"/>
                <w:sz w:val="20"/>
                <w:szCs w:val="20"/>
                <w:lang w:eastAsia="en-AU"/>
              </w:rPr>
              <w:t>Condition:</w:t>
            </w:r>
            <w:r w:rsidRPr="00C315E4">
              <w:rPr>
                <w:rFonts w:ascii="Arial" w:eastAsia="Calibri" w:hAnsi="Arial" w:cs="Arial"/>
                <w:sz w:val="20"/>
                <w:szCs w:val="20"/>
              </w:rPr>
              <w:t xml:space="preserve"> </w:t>
            </w:r>
            <w:r w:rsidRPr="003C5E6D">
              <w:rPr>
                <w:rFonts w:ascii="Arial Narrow" w:eastAsia="Times New Roman" w:hAnsi="Arial Narrow"/>
                <w:color w:val="333333"/>
                <w:sz w:val="20"/>
                <w:szCs w:val="20"/>
                <w:lang w:eastAsia="en-AU"/>
              </w:rPr>
              <w:t>Cholangiocarcinoma</w:t>
            </w:r>
            <w:r w:rsidRPr="003C5E6D">
              <w:rPr>
                <w:rFonts w:ascii="Arial Narrow" w:eastAsia="Times New Roman" w:hAnsi="Arial Narrow"/>
                <w:b/>
                <w:bCs/>
                <w:color w:val="333333"/>
                <w:sz w:val="20"/>
                <w:szCs w:val="20"/>
                <w:lang w:eastAsia="en-AU"/>
              </w:rPr>
              <w:t xml:space="preserve"> </w:t>
            </w:r>
          </w:p>
        </w:tc>
      </w:tr>
      <w:tr w:rsidR="007E0187" w:rsidRPr="003C5E6D" w14:paraId="58AF2618" w14:textId="77777777" w:rsidTr="007E0187">
        <w:tblPrEx>
          <w:tblLook w:val="0000" w:firstRow="0" w:lastRow="0" w:firstColumn="0" w:lastColumn="0" w:noHBand="0" w:noVBand="0"/>
        </w:tblPrEx>
        <w:trPr>
          <w:cantSplit/>
          <w:trHeight w:val="20"/>
        </w:trPr>
        <w:tc>
          <w:tcPr>
            <w:tcW w:w="1269" w:type="dxa"/>
            <w:gridSpan w:val="3"/>
            <w:vAlign w:val="center"/>
          </w:tcPr>
          <w:p w14:paraId="7FFAD3DA" w14:textId="4A3C2F4A" w:rsidR="007E0187" w:rsidRPr="003C5E6D" w:rsidRDefault="007E0187" w:rsidP="007E0187">
            <w:pPr>
              <w:keepLines/>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549E51A6" w14:textId="77777777" w:rsidR="007E0187" w:rsidRPr="003C5E6D" w:rsidRDefault="007E0187" w:rsidP="007E0187">
            <w:pPr>
              <w:keepLines/>
              <w:spacing w:before="0" w:after="0"/>
              <w:rPr>
                <w:rFonts w:ascii="Arial Narrow" w:eastAsia="Times New Roman" w:hAnsi="Arial Narrow"/>
                <w:color w:val="333333"/>
                <w:sz w:val="20"/>
                <w:szCs w:val="20"/>
                <w:lang w:eastAsia="en-AU"/>
              </w:rPr>
            </w:pPr>
            <w:r w:rsidRPr="003C5E6D">
              <w:rPr>
                <w:rFonts w:ascii="Arial Narrow" w:eastAsia="Times New Roman" w:hAnsi="Arial Narrow"/>
                <w:b/>
                <w:bCs/>
                <w:color w:val="333333"/>
                <w:sz w:val="20"/>
                <w:szCs w:val="20"/>
                <w:lang w:eastAsia="en-AU"/>
              </w:rPr>
              <w:t>Indication:</w:t>
            </w:r>
            <w:r w:rsidRPr="003C5E6D">
              <w:rPr>
                <w:rFonts w:ascii="Arial Narrow" w:eastAsia="Times New Roman" w:hAnsi="Arial Narrow"/>
                <w:color w:val="333333"/>
                <w:sz w:val="20"/>
                <w:szCs w:val="20"/>
                <w:lang w:eastAsia="en-AU"/>
              </w:rPr>
              <w:t xml:space="preserve"> Locally advanced or metastatic cholangiocarcinoma </w:t>
            </w:r>
          </w:p>
        </w:tc>
      </w:tr>
      <w:tr w:rsidR="007E0187" w:rsidRPr="003C5E6D" w14:paraId="22D0B592" w14:textId="77777777" w:rsidTr="007E0187">
        <w:tblPrEx>
          <w:tblLook w:val="0000" w:firstRow="0" w:lastRow="0" w:firstColumn="0" w:lastColumn="0" w:noHBand="0" w:noVBand="0"/>
        </w:tblPrEx>
        <w:trPr>
          <w:cantSplit/>
          <w:trHeight w:val="20"/>
        </w:trPr>
        <w:tc>
          <w:tcPr>
            <w:tcW w:w="1269" w:type="dxa"/>
            <w:gridSpan w:val="3"/>
            <w:vAlign w:val="center"/>
          </w:tcPr>
          <w:p w14:paraId="525549EC"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2D01CF75" w14:textId="77777777" w:rsidR="007E0187" w:rsidRPr="003C5E6D" w:rsidRDefault="007E0187" w:rsidP="007E0187">
            <w:pPr>
              <w:spacing w:before="0" w:after="0"/>
              <w:rPr>
                <w:rFonts w:ascii="Arial Narrow" w:eastAsia="Times New Roman" w:hAnsi="Arial Narrow"/>
                <w:color w:val="FF0000"/>
                <w:sz w:val="20"/>
                <w:szCs w:val="20"/>
                <w:lang w:eastAsia="en-AU"/>
              </w:rPr>
            </w:pPr>
            <w:r w:rsidRPr="003C5E6D">
              <w:rPr>
                <w:rFonts w:ascii="Arial Narrow" w:eastAsia="Times New Roman" w:hAnsi="Arial Narrow"/>
                <w:b/>
                <w:bCs/>
                <w:color w:val="333333"/>
                <w:sz w:val="20"/>
                <w:szCs w:val="20"/>
                <w:lang w:eastAsia="en-AU"/>
              </w:rPr>
              <w:t>Treatment Phase:</w:t>
            </w:r>
            <w:r w:rsidRPr="003C5E6D">
              <w:rPr>
                <w:rFonts w:ascii="Arial Narrow" w:eastAsia="Times New Roman" w:hAnsi="Arial Narrow"/>
                <w:color w:val="FF0000"/>
                <w:sz w:val="20"/>
                <w:szCs w:val="20"/>
                <w:lang w:eastAsia="en-AU"/>
              </w:rPr>
              <w:t xml:space="preserve"> </w:t>
            </w:r>
          </w:p>
          <w:p w14:paraId="3980847C" w14:textId="77777777" w:rsidR="007E0187" w:rsidRPr="003C5E6D" w:rsidRDefault="007E0187" w:rsidP="007E0187">
            <w:pPr>
              <w:spacing w:before="0" w:after="0"/>
              <w:rPr>
                <w:rFonts w:ascii="Arial Narrow" w:eastAsia="Times New Roman" w:hAnsi="Arial Narrow"/>
                <w:strike/>
                <w:sz w:val="20"/>
                <w:szCs w:val="20"/>
                <w:lang w:eastAsia="en-AU"/>
              </w:rPr>
            </w:pPr>
            <w:r w:rsidRPr="003C5E6D">
              <w:rPr>
                <w:rFonts w:ascii="Arial Narrow" w:eastAsia="Times New Roman" w:hAnsi="Arial Narrow"/>
                <w:strike/>
                <w:sz w:val="20"/>
                <w:szCs w:val="20"/>
                <w:lang w:eastAsia="en-AU"/>
              </w:rPr>
              <w:t xml:space="preserve">Initial </w:t>
            </w:r>
          </w:p>
          <w:p w14:paraId="12675FBE" w14:textId="77777777" w:rsidR="007E0187" w:rsidRPr="003C5E6D" w:rsidRDefault="007E0187" w:rsidP="007E0187">
            <w:pPr>
              <w:spacing w:before="0" w:after="0"/>
              <w:rPr>
                <w:rFonts w:ascii="Arial Narrow" w:eastAsia="Times New Roman" w:hAnsi="Arial Narrow"/>
                <w:i/>
                <w:iCs/>
                <w:sz w:val="20"/>
                <w:szCs w:val="20"/>
                <w:lang w:eastAsia="en-AU"/>
              </w:rPr>
            </w:pPr>
            <w:r w:rsidRPr="003C5E6D">
              <w:rPr>
                <w:rFonts w:ascii="Arial Narrow" w:eastAsia="Times New Roman" w:hAnsi="Arial Narrow"/>
                <w:i/>
                <w:iCs/>
                <w:sz w:val="20"/>
                <w:szCs w:val="20"/>
                <w:lang w:eastAsia="en-AU"/>
              </w:rPr>
              <w:t>Transitioning from non-PBS to PBS-subsidised supply - Grandfather arrangements</w:t>
            </w:r>
          </w:p>
        </w:tc>
      </w:tr>
      <w:tr w:rsidR="007E0187" w:rsidRPr="003C5E6D" w14:paraId="4C343B16" w14:textId="77777777" w:rsidTr="007E0187">
        <w:tblPrEx>
          <w:tblLook w:val="0000" w:firstRow="0" w:lastRow="0" w:firstColumn="0" w:lastColumn="0" w:noHBand="0" w:noVBand="0"/>
        </w:tblPrEx>
        <w:trPr>
          <w:cantSplit/>
          <w:trHeight w:val="20"/>
        </w:trPr>
        <w:tc>
          <w:tcPr>
            <w:tcW w:w="1269" w:type="dxa"/>
            <w:gridSpan w:val="3"/>
            <w:vAlign w:val="center"/>
          </w:tcPr>
          <w:p w14:paraId="12075985" w14:textId="77777777"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3F020986" w14:textId="77777777" w:rsidR="007E0187" w:rsidRPr="003C5E6D" w:rsidRDefault="007E0187" w:rsidP="007E0187">
            <w:pPr>
              <w:spacing w:before="0" w:after="0"/>
              <w:rPr>
                <w:rFonts w:ascii="Arial Narrow" w:eastAsia="Times New Roman" w:hAnsi="Arial Narrow"/>
                <w:b/>
                <w:bCs/>
                <w:color w:val="333333"/>
                <w:sz w:val="20"/>
                <w:szCs w:val="20"/>
                <w:lang w:eastAsia="en-AU"/>
              </w:rPr>
            </w:pPr>
            <w:r w:rsidRPr="003C5E6D">
              <w:rPr>
                <w:rFonts w:ascii="Arial Narrow" w:eastAsia="Times New Roman" w:hAnsi="Arial Narrow"/>
                <w:b/>
                <w:bCs/>
                <w:color w:val="333333"/>
                <w:sz w:val="20"/>
                <w:szCs w:val="20"/>
                <w:lang w:eastAsia="en-AU"/>
              </w:rPr>
              <w:t xml:space="preserve">Clinical criteria: </w:t>
            </w:r>
          </w:p>
        </w:tc>
      </w:tr>
      <w:tr w:rsidR="007E0187" w:rsidRPr="003C5E6D" w14:paraId="1B2CC9AE" w14:textId="77777777" w:rsidTr="007E0187">
        <w:trPr>
          <w:cantSplit/>
          <w:trHeight w:val="20"/>
        </w:trPr>
        <w:tc>
          <w:tcPr>
            <w:tcW w:w="1269" w:type="dxa"/>
            <w:gridSpan w:val="3"/>
            <w:vAlign w:val="center"/>
          </w:tcPr>
          <w:p w14:paraId="0ACB99EE" w14:textId="4740FAF8"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3FDCF842" w14:textId="77777777" w:rsidR="007E0187" w:rsidRPr="003C5E6D" w:rsidRDefault="007E0187" w:rsidP="007E0187">
            <w:pPr>
              <w:spacing w:before="0" w:after="0"/>
              <w:rPr>
                <w:rFonts w:ascii="Arial Narrow" w:hAnsi="Arial Narrow" w:cstheme="minorHAnsi"/>
                <w:sz w:val="20"/>
                <w:szCs w:val="20"/>
              </w:rPr>
            </w:pPr>
            <w:r w:rsidRPr="003C5E6D">
              <w:rPr>
                <w:rFonts w:ascii="Arial Narrow" w:hAnsi="Arial Narrow" w:cstheme="minorHAnsi"/>
                <w:sz w:val="20"/>
                <w:szCs w:val="20"/>
              </w:rPr>
              <w:t>The</w:t>
            </w:r>
            <w:r w:rsidRPr="003C5E6D" w:rsidDel="000A0A16">
              <w:rPr>
                <w:rFonts w:ascii="Arial Narrow" w:hAnsi="Arial Narrow" w:cstheme="minorHAnsi"/>
                <w:sz w:val="20"/>
                <w:szCs w:val="20"/>
              </w:rPr>
              <w:t xml:space="preserve"> </w:t>
            </w:r>
            <w:r w:rsidRPr="003C5E6D">
              <w:rPr>
                <w:rFonts w:ascii="Arial Narrow" w:hAnsi="Arial Narrow" w:cstheme="minorHAnsi"/>
                <w:strike/>
                <w:sz w:val="20"/>
                <w:szCs w:val="20"/>
              </w:rPr>
              <w:t>patient</w:t>
            </w:r>
            <w:r w:rsidRPr="003C5E6D">
              <w:rPr>
                <w:rFonts w:ascii="Arial Narrow" w:hAnsi="Arial Narrow" w:cstheme="minorHAnsi"/>
                <w:sz w:val="20"/>
                <w:szCs w:val="20"/>
              </w:rPr>
              <w:t xml:space="preserve"> </w:t>
            </w:r>
            <w:r w:rsidRPr="003C5E6D">
              <w:rPr>
                <w:rFonts w:ascii="Arial Narrow" w:hAnsi="Arial Narrow" w:cstheme="minorHAnsi"/>
                <w:i/>
                <w:iCs/>
                <w:sz w:val="20"/>
                <w:szCs w:val="20"/>
              </w:rPr>
              <w:t>condition</w:t>
            </w:r>
            <w:r w:rsidRPr="003C5E6D">
              <w:rPr>
                <w:rFonts w:ascii="Arial Narrow" w:hAnsi="Arial Narrow" w:cstheme="minorHAnsi"/>
                <w:sz w:val="20"/>
                <w:szCs w:val="20"/>
              </w:rPr>
              <w:t xml:space="preserve"> must </w:t>
            </w:r>
            <w:r w:rsidRPr="003C5E6D">
              <w:rPr>
                <w:rFonts w:ascii="Arial Narrow" w:hAnsi="Arial Narrow" w:cstheme="minorHAnsi"/>
                <w:strike/>
                <w:sz w:val="20"/>
                <w:szCs w:val="20"/>
              </w:rPr>
              <w:t>have</w:t>
            </w:r>
            <w:r w:rsidRPr="003C5E6D">
              <w:rPr>
                <w:rFonts w:ascii="Arial Narrow" w:hAnsi="Arial Narrow" w:cstheme="minorHAnsi"/>
                <w:sz w:val="20"/>
                <w:szCs w:val="20"/>
              </w:rPr>
              <w:t xml:space="preserve"> </w:t>
            </w:r>
            <w:proofErr w:type="gramStart"/>
            <w:r w:rsidRPr="003C5E6D">
              <w:rPr>
                <w:rFonts w:ascii="Arial Narrow" w:hAnsi="Arial Narrow" w:cstheme="minorHAnsi"/>
                <w:i/>
                <w:iCs/>
                <w:sz w:val="20"/>
                <w:szCs w:val="20"/>
              </w:rPr>
              <w:t>be</w:t>
            </w:r>
            <w:proofErr w:type="gramEnd"/>
            <w:r w:rsidRPr="003C5E6D">
              <w:rPr>
                <w:rFonts w:ascii="Arial Narrow" w:hAnsi="Arial Narrow" w:cstheme="minorHAnsi"/>
                <w:i/>
                <w:iCs/>
                <w:sz w:val="20"/>
                <w:szCs w:val="20"/>
              </w:rPr>
              <w:t xml:space="preserve"> associated</w:t>
            </w:r>
            <w:r w:rsidRPr="003C5E6D">
              <w:rPr>
                <w:rFonts w:ascii="Arial Narrow" w:hAnsi="Arial Narrow" w:cstheme="minorHAnsi"/>
                <w:sz w:val="20"/>
                <w:szCs w:val="20"/>
              </w:rPr>
              <w:t xml:space="preserve"> with a confirmed </w:t>
            </w:r>
            <w:r w:rsidRPr="003C5E6D">
              <w:rPr>
                <w:rFonts w:ascii="Arial Narrow" w:eastAsia="Times New Roman" w:hAnsi="Arial Narrow"/>
                <w:i/>
                <w:iCs/>
                <w:sz w:val="20"/>
                <w:szCs w:val="20"/>
                <w:lang w:eastAsia="en-AU"/>
              </w:rPr>
              <w:t>Isocitrate dehydrogenase 1</w:t>
            </w:r>
            <w:r w:rsidRPr="003C5E6D">
              <w:rPr>
                <w:rFonts w:ascii="Arial Narrow" w:hAnsi="Arial Narrow" w:cstheme="minorHAnsi"/>
                <w:sz w:val="20"/>
                <w:szCs w:val="20"/>
              </w:rPr>
              <w:t xml:space="preserve"> IDH1 </w:t>
            </w:r>
            <w:r w:rsidRPr="003C5E6D">
              <w:rPr>
                <w:rFonts w:ascii="Arial Narrow" w:hAnsi="Arial Narrow" w:cstheme="minorHAnsi"/>
                <w:i/>
                <w:iCs/>
                <w:sz w:val="20"/>
                <w:szCs w:val="20"/>
              </w:rPr>
              <w:t xml:space="preserve">tier I </w:t>
            </w:r>
            <w:r w:rsidRPr="003C5E6D">
              <w:rPr>
                <w:rFonts w:ascii="Arial Narrow" w:hAnsi="Arial Narrow" w:cstheme="minorHAnsi"/>
                <w:sz w:val="20"/>
                <w:szCs w:val="20"/>
              </w:rPr>
              <w:t>variant</w:t>
            </w:r>
          </w:p>
        </w:tc>
      </w:tr>
      <w:tr w:rsidR="007E0187" w:rsidRPr="003C5E6D" w14:paraId="5610EFD5" w14:textId="77777777" w:rsidTr="007E0187">
        <w:trPr>
          <w:cantSplit/>
          <w:trHeight w:val="20"/>
        </w:trPr>
        <w:tc>
          <w:tcPr>
            <w:tcW w:w="1269" w:type="dxa"/>
            <w:gridSpan w:val="3"/>
            <w:vAlign w:val="center"/>
          </w:tcPr>
          <w:p w14:paraId="2041D98D" w14:textId="77777777"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1943B8B0" w14:textId="77777777" w:rsidR="007E0187" w:rsidRPr="003C5E6D" w:rsidRDefault="007E0187" w:rsidP="007E0187">
            <w:pPr>
              <w:spacing w:before="0" w:after="0"/>
              <w:rPr>
                <w:rFonts w:ascii="Arial Narrow" w:eastAsia="Times New Roman" w:hAnsi="Arial Narrow"/>
                <w:sz w:val="20"/>
                <w:szCs w:val="20"/>
                <w:lang w:eastAsia="en-AU"/>
              </w:rPr>
            </w:pPr>
            <w:r w:rsidRPr="003C5E6D">
              <w:rPr>
                <w:rFonts w:ascii="Arial Narrow" w:eastAsia="Times New Roman" w:hAnsi="Arial Narrow"/>
                <w:b/>
                <w:bCs/>
                <w:sz w:val="20"/>
                <w:szCs w:val="20"/>
                <w:lang w:eastAsia="en-AU"/>
              </w:rPr>
              <w:t>AND</w:t>
            </w:r>
          </w:p>
        </w:tc>
      </w:tr>
      <w:tr w:rsidR="007E0187" w:rsidRPr="003C5E6D" w14:paraId="7F6120A1" w14:textId="77777777" w:rsidTr="007E0187">
        <w:trPr>
          <w:cantSplit/>
          <w:trHeight w:val="20"/>
        </w:trPr>
        <w:tc>
          <w:tcPr>
            <w:tcW w:w="1269" w:type="dxa"/>
            <w:gridSpan w:val="3"/>
            <w:vAlign w:val="center"/>
          </w:tcPr>
          <w:p w14:paraId="62CDAB8C" w14:textId="22E8CF58"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073B0CA7"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 xml:space="preserve">Clinical criteria: </w:t>
            </w:r>
          </w:p>
        </w:tc>
      </w:tr>
      <w:tr w:rsidR="007E0187" w:rsidRPr="003C5E6D" w14:paraId="76A02E73" w14:textId="77777777" w:rsidTr="007E0187">
        <w:trPr>
          <w:cantSplit/>
          <w:trHeight w:val="20"/>
        </w:trPr>
        <w:tc>
          <w:tcPr>
            <w:tcW w:w="1269" w:type="dxa"/>
            <w:gridSpan w:val="3"/>
            <w:vAlign w:val="center"/>
          </w:tcPr>
          <w:p w14:paraId="4C2DC902" w14:textId="586725E1"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138529C5" w14:textId="77777777" w:rsidR="007E0187" w:rsidRPr="003C5E6D" w:rsidRDefault="007E0187" w:rsidP="007E0187">
            <w:pPr>
              <w:spacing w:before="0" w:after="0"/>
              <w:rPr>
                <w:rFonts w:ascii="Arial Narrow" w:hAnsi="Arial Narrow" w:cstheme="minorHAnsi"/>
                <w:i/>
                <w:iCs/>
                <w:sz w:val="20"/>
                <w:szCs w:val="20"/>
              </w:rPr>
            </w:pPr>
            <w:r w:rsidRPr="003C5E6D">
              <w:rPr>
                <w:rFonts w:ascii="Arial Narrow" w:hAnsi="Arial Narrow" w:cstheme="minorHAnsi"/>
                <w:sz w:val="20"/>
                <w:szCs w:val="20"/>
              </w:rPr>
              <w:t xml:space="preserve">The patient must have </w:t>
            </w:r>
            <w:r w:rsidRPr="003C5E6D">
              <w:rPr>
                <w:rFonts w:ascii="Arial Narrow" w:hAnsi="Arial Narrow" w:cstheme="minorHAnsi"/>
                <w:strike/>
                <w:sz w:val="20"/>
                <w:szCs w:val="20"/>
              </w:rPr>
              <w:t>prior</w:t>
            </w:r>
            <w:r w:rsidRPr="003C5E6D">
              <w:rPr>
                <w:rFonts w:ascii="Arial Narrow" w:hAnsi="Arial Narrow" w:cstheme="minorHAnsi"/>
                <w:sz w:val="20"/>
                <w:szCs w:val="20"/>
              </w:rPr>
              <w:t xml:space="preserve"> </w:t>
            </w:r>
            <w:r w:rsidRPr="003C5E6D">
              <w:rPr>
                <w:rFonts w:ascii="Arial Narrow" w:hAnsi="Arial Narrow" w:cstheme="minorHAnsi"/>
                <w:i/>
                <w:iCs/>
                <w:sz w:val="20"/>
                <w:szCs w:val="20"/>
              </w:rPr>
              <w:t>had</w:t>
            </w:r>
            <w:r w:rsidRPr="003C5E6D">
              <w:rPr>
                <w:rFonts w:ascii="Arial Narrow" w:hAnsi="Arial Narrow" w:cstheme="minorHAnsi"/>
                <w:sz w:val="20"/>
                <w:szCs w:val="20"/>
              </w:rPr>
              <w:t xml:space="preserve"> systemic therapy </w:t>
            </w:r>
            <w:r w:rsidRPr="003C5E6D">
              <w:rPr>
                <w:rFonts w:ascii="Arial Narrow" w:hAnsi="Arial Narrow" w:cstheme="minorHAnsi"/>
                <w:i/>
                <w:iCs/>
                <w:sz w:val="20"/>
                <w:szCs w:val="20"/>
              </w:rPr>
              <w:t>for this condition prior to initiating non-PBS-subsidised treatment with this drug for this condition.</w:t>
            </w:r>
          </w:p>
        </w:tc>
      </w:tr>
      <w:tr w:rsidR="007E0187" w:rsidRPr="003C5E6D" w14:paraId="5822E62A" w14:textId="77777777" w:rsidTr="007E0187">
        <w:trPr>
          <w:cantSplit/>
          <w:trHeight w:val="20"/>
        </w:trPr>
        <w:tc>
          <w:tcPr>
            <w:tcW w:w="1269" w:type="dxa"/>
            <w:gridSpan w:val="3"/>
            <w:vAlign w:val="center"/>
          </w:tcPr>
          <w:p w14:paraId="7A22E158"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272BD8A4" w14:textId="77777777" w:rsidR="007E0187" w:rsidRPr="003C5E6D" w:rsidRDefault="007E0187" w:rsidP="007E0187">
            <w:pPr>
              <w:spacing w:before="0" w:after="0"/>
              <w:rPr>
                <w:rFonts w:ascii="Arial Narrow" w:eastAsia="Times New Roman" w:hAnsi="Arial Narrow"/>
                <w:sz w:val="20"/>
                <w:szCs w:val="20"/>
                <w:lang w:eastAsia="en-AU"/>
              </w:rPr>
            </w:pPr>
            <w:r w:rsidRPr="003C5E6D">
              <w:rPr>
                <w:rFonts w:ascii="Arial Narrow" w:eastAsia="Times New Roman" w:hAnsi="Arial Narrow"/>
                <w:b/>
                <w:bCs/>
                <w:sz w:val="20"/>
                <w:szCs w:val="20"/>
                <w:lang w:eastAsia="en-AU"/>
              </w:rPr>
              <w:t>AND</w:t>
            </w:r>
          </w:p>
        </w:tc>
      </w:tr>
      <w:tr w:rsidR="007E0187" w:rsidRPr="003C5E6D" w14:paraId="0E4370B9" w14:textId="77777777" w:rsidTr="007E0187">
        <w:trPr>
          <w:cantSplit/>
          <w:trHeight w:val="20"/>
        </w:trPr>
        <w:tc>
          <w:tcPr>
            <w:tcW w:w="1269" w:type="dxa"/>
            <w:gridSpan w:val="3"/>
            <w:vAlign w:val="center"/>
          </w:tcPr>
          <w:p w14:paraId="4DE4CA40" w14:textId="08250A73"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5D2FCFCA" w14:textId="77777777"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 xml:space="preserve">Clinical criteria: </w:t>
            </w:r>
          </w:p>
        </w:tc>
      </w:tr>
      <w:tr w:rsidR="007E0187" w:rsidRPr="003C5E6D" w14:paraId="6508E13D" w14:textId="77777777" w:rsidTr="007E0187">
        <w:trPr>
          <w:cantSplit/>
          <w:trHeight w:val="20"/>
        </w:trPr>
        <w:tc>
          <w:tcPr>
            <w:tcW w:w="1269" w:type="dxa"/>
            <w:gridSpan w:val="3"/>
            <w:vAlign w:val="center"/>
          </w:tcPr>
          <w:p w14:paraId="4C4811BE" w14:textId="100E8BDD"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03DD8A22" w14:textId="77777777" w:rsidR="007E0187" w:rsidRPr="003C5E6D" w:rsidRDefault="007E0187" w:rsidP="007E0187">
            <w:pPr>
              <w:spacing w:before="0" w:after="0"/>
              <w:rPr>
                <w:rFonts w:ascii="Arial Narrow" w:hAnsi="Arial Narrow" w:cstheme="minorHAnsi"/>
                <w:sz w:val="20"/>
                <w:szCs w:val="20"/>
              </w:rPr>
            </w:pPr>
            <w:r w:rsidRPr="003C5E6D">
              <w:rPr>
                <w:rFonts w:ascii="Arial Narrow" w:hAnsi="Arial Narrow" w:cstheme="minorHAnsi"/>
                <w:sz w:val="20"/>
                <w:szCs w:val="20"/>
              </w:rPr>
              <w:t>Patient must have/</w:t>
            </w:r>
            <w:r w:rsidRPr="003C5E6D">
              <w:rPr>
                <w:rFonts w:ascii="Arial Narrow" w:hAnsi="Arial Narrow" w:cstheme="minorHAnsi"/>
                <w:i/>
                <w:iCs/>
                <w:sz w:val="20"/>
                <w:szCs w:val="20"/>
              </w:rPr>
              <w:t>have had</w:t>
            </w:r>
            <w:r w:rsidRPr="003C5E6D">
              <w:rPr>
                <w:rFonts w:ascii="Arial Narrow" w:hAnsi="Arial Narrow" w:cstheme="minorHAnsi"/>
                <w:sz w:val="20"/>
                <w:szCs w:val="20"/>
              </w:rPr>
              <w:t xml:space="preserve"> a WHO performance status of 2 or less at treatment initiation with this drug</w:t>
            </w:r>
          </w:p>
        </w:tc>
      </w:tr>
      <w:tr w:rsidR="007E0187" w:rsidRPr="003C5E6D" w14:paraId="7C8D6E33" w14:textId="77777777" w:rsidTr="007E0187">
        <w:trPr>
          <w:cantSplit/>
          <w:trHeight w:val="20"/>
        </w:trPr>
        <w:tc>
          <w:tcPr>
            <w:tcW w:w="1269" w:type="dxa"/>
            <w:gridSpan w:val="3"/>
            <w:vAlign w:val="center"/>
          </w:tcPr>
          <w:p w14:paraId="47F8EF5B" w14:textId="77777777"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3403457C" w14:textId="347454B9" w:rsidR="007E0187" w:rsidRPr="003C5E6D" w:rsidRDefault="007E0187" w:rsidP="007E0187">
            <w:pPr>
              <w:spacing w:before="0" w:after="0"/>
              <w:rPr>
                <w:rFonts w:ascii="Arial Narrow" w:hAnsi="Arial Narrow" w:cstheme="minorHAnsi"/>
                <w:sz w:val="20"/>
                <w:szCs w:val="20"/>
              </w:rPr>
            </w:pPr>
            <w:r w:rsidRPr="003C5E6D">
              <w:rPr>
                <w:rFonts w:ascii="Arial Narrow" w:eastAsia="Times New Roman" w:hAnsi="Arial Narrow"/>
                <w:b/>
                <w:bCs/>
                <w:sz w:val="20"/>
                <w:szCs w:val="20"/>
                <w:lang w:eastAsia="en-AU"/>
              </w:rPr>
              <w:t>AND</w:t>
            </w:r>
          </w:p>
        </w:tc>
      </w:tr>
      <w:tr w:rsidR="007E0187" w:rsidRPr="003C5E6D" w14:paraId="04746801" w14:textId="77777777" w:rsidTr="007E0187">
        <w:trPr>
          <w:cantSplit/>
          <w:trHeight w:val="20"/>
        </w:trPr>
        <w:tc>
          <w:tcPr>
            <w:tcW w:w="1269" w:type="dxa"/>
            <w:gridSpan w:val="3"/>
            <w:vAlign w:val="center"/>
          </w:tcPr>
          <w:p w14:paraId="5F416EC8" w14:textId="19184599"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hideMark/>
          </w:tcPr>
          <w:p w14:paraId="6C43E9FC" w14:textId="77777777" w:rsidR="007E0187" w:rsidRPr="003C5E6D" w:rsidRDefault="007E0187" w:rsidP="007E0187">
            <w:pPr>
              <w:spacing w:before="0" w:after="0"/>
              <w:rPr>
                <w:rFonts w:ascii="Arial Narrow" w:eastAsia="Times New Roman" w:hAnsi="Arial Narrow"/>
                <w:sz w:val="20"/>
                <w:szCs w:val="20"/>
                <w:lang w:eastAsia="en-AU"/>
              </w:rPr>
            </w:pPr>
            <w:r w:rsidRPr="003C5E6D">
              <w:rPr>
                <w:rFonts w:ascii="Arial Narrow" w:eastAsia="Times New Roman" w:hAnsi="Arial Narrow"/>
                <w:sz w:val="20"/>
                <w:szCs w:val="20"/>
                <w:lang w:eastAsia="en-AU"/>
              </w:rPr>
              <w:t xml:space="preserve">Patient must have previously received non-PBS-subsidised treatment with this drug for this condition </w:t>
            </w:r>
            <w:r w:rsidRPr="003C5E6D">
              <w:rPr>
                <w:rFonts w:ascii="Arial Narrow" w:eastAsia="Times New Roman" w:hAnsi="Arial Narrow"/>
                <w:i/>
                <w:iCs/>
                <w:sz w:val="20"/>
                <w:szCs w:val="20"/>
                <w:lang w:eastAsia="en-AU"/>
              </w:rPr>
              <w:t>prior to [Date]</w:t>
            </w:r>
          </w:p>
        </w:tc>
      </w:tr>
      <w:tr w:rsidR="007E0187" w:rsidRPr="003C5E6D" w14:paraId="01D48F38" w14:textId="77777777" w:rsidTr="007E0187">
        <w:trPr>
          <w:cantSplit/>
          <w:trHeight w:val="20"/>
        </w:trPr>
        <w:tc>
          <w:tcPr>
            <w:tcW w:w="1269" w:type="dxa"/>
            <w:gridSpan w:val="3"/>
            <w:vAlign w:val="center"/>
          </w:tcPr>
          <w:p w14:paraId="00C6A0CB"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5F134896"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b/>
                <w:bCs/>
                <w:color w:val="333333"/>
                <w:sz w:val="20"/>
                <w:szCs w:val="20"/>
                <w:lang w:eastAsia="en-AU"/>
              </w:rPr>
              <w:t>AND</w:t>
            </w:r>
          </w:p>
        </w:tc>
      </w:tr>
      <w:tr w:rsidR="007E0187" w:rsidRPr="003C5E6D" w14:paraId="7DB964A1" w14:textId="77777777" w:rsidTr="007E0187">
        <w:trPr>
          <w:cantSplit/>
          <w:trHeight w:val="20"/>
        </w:trPr>
        <w:tc>
          <w:tcPr>
            <w:tcW w:w="1269" w:type="dxa"/>
            <w:gridSpan w:val="3"/>
            <w:vAlign w:val="center"/>
          </w:tcPr>
          <w:p w14:paraId="5287056D" w14:textId="5332CDC8"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20E7F547"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b/>
                <w:bCs/>
                <w:color w:val="333333"/>
                <w:sz w:val="20"/>
                <w:szCs w:val="20"/>
                <w:lang w:eastAsia="en-AU"/>
              </w:rPr>
              <w:t>Clinical criteria:</w:t>
            </w:r>
          </w:p>
        </w:tc>
      </w:tr>
      <w:tr w:rsidR="007E0187" w:rsidRPr="003C5E6D" w14:paraId="34D36E47" w14:textId="77777777" w:rsidTr="007E0187">
        <w:trPr>
          <w:cantSplit/>
          <w:trHeight w:val="20"/>
        </w:trPr>
        <w:tc>
          <w:tcPr>
            <w:tcW w:w="1269" w:type="dxa"/>
            <w:gridSpan w:val="3"/>
            <w:vAlign w:val="center"/>
          </w:tcPr>
          <w:p w14:paraId="4C566B66" w14:textId="5F0D4B45"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2A630C16" w14:textId="77777777" w:rsidR="007E0187" w:rsidRPr="003C5E6D" w:rsidRDefault="007E0187" w:rsidP="007E0187">
            <w:pPr>
              <w:spacing w:before="0" w:after="0"/>
              <w:rPr>
                <w:rFonts w:ascii="Arial Narrow" w:eastAsia="Times New Roman" w:hAnsi="Arial Narrow"/>
                <w:bCs/>
                <w:color w:val="FF0000"/>
                <w:sz w:val="20"/>
                <w:szCs w:val="20"/>
                <w:lang w:eastAsia="en-AU"/>
              </w:rPr>
            </w:pPr>
            <w:r w:rsidRPr="003C5E6D">
              <w:rPr>
                <w:rFonts w:ascii="Arial Narrow" w:eastAsia="Times New Roman" w:hAnsi="Arial Narrow"/>
                <w:bCs/>
                <w:sz w:val="20"/>
                <w:szCs w:val="20"/>
                <w:lang w:eastAsia="en-AU"/>
              </w:rPr>
              <w:t>The treatment must be the sole PBS-subsidised therapy for this condition</w:t>
            </w:r>
          </w:p>
        </w:tc>
      </w:tr>
      <w:tr w:rsidR="007E0187" w:rsidRPr="003C5E6D" w14:paraId="3D7E67D7" w14:textId="77777777" w:rsidTr="007E0187">
        <w:trPr>
          <w:cantSplit/>
          <w:trHeight w:val="20"/>
        </w:trPr>
        <w:tc>
          <w:tcPr>
            <w:tcW w:w="1269" w:type="dxa"/>
            <w:gridSpan w:val="3"/>
            <w:vAlign w:val="center"/>
          </w:tcPr>
          <w:p w14:paraId="2E3A5BCE" w14:textId="77777777"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0FE0C8A7"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b/>
                <w:bCs/>
                <w:color w:val="333333"/>
                <w:sz w:val="20"/>
                <w:szCs w:val="20"/>
                <w:lang w:eastAsia="en-AU"/>
              </w:rPr>
              <w:t>AND</w:t>
            </w:r>
          </w:p>
        </w:tc>
      </w:tr>
      <w:tr w:rsidR="007E0187" w:rsidRPr="003C5E6D" w14:paraId="6178DDBB" w14:textId="77777777" w:rsidTr="007E0187">
        <w:trPr>
          <w:cantSplit/>
          <w:trHeight w:val="20"/>
        </w:trPr>
        <w:tc>
          <w:tcPr>
            <w:tcW w:w="1269" w:type="dxa"/>
            <w:gridSpan w:val="3"/>
            <w:vAlign w:val="center"/>
          </w:tcPr>
          <w:p w14:paraId="35626D49" w14:textId="1C0D7933"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1C075C9E"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b/>
                <w:bCs/>
                <w:color w:val="333333"/>
                <w:sz w:val="20"/>
                <w:szCs w:val="20"/>
                <w:lang w:eastAsia="en-AU"/>
              </w:rPr>
              <w:t>Clinical criteria:</w:t>
            </w:r>
          </w:p>
        </w:tc>
      </w:tr>
      <w:tr w:rsidR="007E0187" w:rsidRPr="003C5E6D" w14:paraId="604AB9BF" w14:textId="77777777" w:rsidTr="007E0187">
        <w:trPr>
          <w:cantSplit/>
          <w:trHeight w:val="20"/>
        </w:trPr>
        <w:tc>
          <w:tcPr>
            <w:tcW w:w="1269" w:type="dxa"/>
            <w:gridSpan w:val="3"/>
            <w:vAlign w:val="center"/>
          </w:tcPr>
          <w:p w14:paraId="74DF41F2" w14:textId="4BEF58EB"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33F1DA26"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color w:val="333333"/>
                <w:sz w:val="20"/>
                <w:szCs w:val="20"/>
                <w:lang w:eastAsia="en-AU"/>
              </w:rPr>
              <w:t>Patient must not have developed disease progression while receiving PBS-subsidised treatment with this drug for this condition</w:t>
            </w:r>
          </w:p>
        </w:tc>
      </w:tr>
      <w:tr w:rsidR="007E0187" w:rsidRPr="003C5E6D" w14:paraId="761AC637" w14:textId="77777777" w:rsidTr="007E0187">
        <w:trPr>
          <w:cantSplit/>
          <w:trHeight w:val="20"/>
        </w:trPr>
        <w:tc>
          <w:tcPr>
            <w:tcW w:w="1269" w:type="dxa"/>
            <w:gridSpan w:val="3"/>
            <w:vAlign w:val="center"/>
          </w:tcPr>
          <w:p w14:paraId="2DC4BB57" w14:textId="3832FC79"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6F53C21C" w14:textId="77777777" w:rsidR="007E0187" w:rsidRPr="003C5E6D" w:rsidRDefault="007E0187" w:rsidP="007E0187">
            <w:pPr>
              <w:spacing w:before="0" w:after="0"/>
              <w:rPr>
                <w:rFonts w:ascii="Arial Narrow" w:eastAsia="Times New Roman" w:hAnsi="Arial Narrow"/>
                <w:i/>
                <w:iCs/>
                <w:color w:val="333333"/>
                <w:sz w:val="20"/>
                <w:szCs w:val="20"/>
                <w:lang w:eastAsia="en-AU"/>
              </w:rPr>
            </w:pPr>
            <w:r w:rsidRPr="003C5E6D">
              <w:rPr>
                <w:rFonts w:ascii="Arial Narrow" w:eastAsia="Times New Roman" w:hAnsi="Arial Narrow"/>
                <w:b/>
                <w:bCs/>
                <w:i/>
                <w:iCs/>
                <w:color w:val="333333"/>
                <w:sz w:val="20"/>
                <w:szCs w:val="20"/>
                <w:lang w:eastAsia="en-AU"/>
              </w:rPr>
              <w:t>Prescribing Instructions:</w:t>
            </w:r>
          </w:p>
          <w:p w14:paraId="7B4A8D47"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i/>
                <w:iCs/>
                <w:color w:val="333333"/>
                <w:sz w:val="20"/>
                <w:szCs w:val="20"/>
                <w:lang w:eastAsia="en-AU"/>
              </w:rPr>
              <w:t>A patient may qualify for PBS-subsidised treatment under this restriction once only.</w:t>
            </w:r>
          </w:p>
        </w:tc>
      </w:tr>
      <w:tr w:rsidR="007E0187" w:rsidRPr="003C5E6D" w14:paraId="75232DAB" w14:textId="77777777" w:rsidTr="007E0187">
        <w:trPr>
          <w:cantSplit/>
          <w:trHeight w:val="20"/>
        </w:trPr>
        <w:tc>
          <w:tcPr>
            <w:tcW w:w="1269" w:type="dxa"/>
            <w:gridSpan w:val="3"/>
            <w:vAlign w:val="center"/>
          </w:tcPr>
          <w:p w14:paraId="7C331BB2" w14:textId="170C8447" w:rsidR="007E0187" w:rsidRPr="003C5E6D" w:rsidRDefault="007E0187" w:rsidP="007E0187">
            <w:pPr>
              <w:spacing w:before="0" w:after="0"/>
              <w:jc w:val="center"/>
              <w:rPr>
                <w:rFonts w:ascii="Arial Narrow" w:eastAsia="Times New Roman" w:hAnsi="Arial Narrow"/>
                <w:i/>
                <w:iCs/>
                <w:color w:val="333333"/>
                <w:sz w:val="20"/>
                <w:szCs w:val="20"/>
                <w:lang w:eastAsia="en-AU"/>
              </w:rPr>
            </w:pPr>
          </w:p>
        </w:tc>
        <w:tc>
          <w:tcPr>
            <w:tcW w:w="7758" w:type="dxa"/>
            <w:gridSpan w:val="7"/>
            <w:vAlign w:val="center"/>
          </w:tcPr>
          <w:p w14:paraId="4FBA7546" w14:textId="77777777" w:rsidR="007E0187" w:rsidRPr="003C5E6D" w:rsidRDefault="007E0187" w:rsidP="007E0187">
            <w:pPr>
              <w:spacing w:before="0" w:after="0"/>
              <w:rPr>
                <w:rFonts w:ascii="Arial Narrow" w:eastAsia="Times New Roman" w:hAnsi="Arial Narrow"/>
                <w:i/>
                <w:iCs/>
                <w:color w:val="333333"/>
                <w:sz w:val="20"/>
                <w:szCs w:val="20"/>
                <w:lang w:eastAsia="en-AU"/>
              </w:rPr>
            </w:pPr>
            <w:r w:rsidRPr="003C5E6D">
              <w:rPr>
                <w:rFonts w:ascii="Arial Narrow" w:eastAsia="Times New Roman" w:hAnsi="Arial Narrow"/>
                <w:b/>
                <w:bCs/>
                <w:i/>
                <w:iCs/>
                <w:color w:val="333333"/>
                <w:sz w:val="20"/>
                <w:szCs w:val="20"/>
                <w:lang w:eastAsia="en-AU"/>
              </w:rPr>
              <w:t>Prescribing Instructions:</w:t>
            </w:r>
          </w:p>
          <w:p w14:paraId="3F31D0C7"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i/>
                <w:iCs/>
                <w:color w:val="333333"/>
                <w:sz w:val="20"/>
                <w:szCs w:val="20"/>
                <w:lang w:eastAsia="en-AU"/>
              </w:rPr>
              <w:t>For continuing PBS-subsidised treatment, a Grandfathered patient must qualify under the Continuing treatment criteria.</w:t>
            </w:r>
          </w:p>
        </w:tc>
      </w:tr>
      <w:tr w:rsidR="007E0187" w:rsidRPr="003C5E6D" w14:paraId="52586100" w14:textId="77777777" w:rsidTr="007E0187">
        <w:trPr>
          <w:cantSplit/>
          <w:trHeight w:val="20"/>
        </w:trPr>
        <w:tc>
          <w:tcPr>
            <w:tcW w:w="1269" w:type="dxa"/>
            <w:gridSpan w:val="3"/>
            <w:vAlign w:val="center"/>
            <w:hideMark/>
          </w:tcPr>
          <w:p w14:paraId="619BEEFB" w14:textId="563B54DC" w:rsidR="007E0187" w:rsidRPr="003C5E6D" w:rsidRDefault="007E0187" w:rsidP="007E0187">
            <w:pPr>
              <w:spacing w:before="0" w:after="0"/>
              <w:jc w:val="center"/>
              <w:rPr>
                <w:rFonts w:ascii="Arial Narrow" w:eastAsia="Times New Roman" w:hAnsi="Arial Narrow"/>
                <w:color w:val="333333"/>
                <w:sz w:val="20"/>
                <w:szCs w:val="20"/>
                <w:lang w:eastAsia="en-AU"/>
              </w:rPr>
            </w:pPr>
          </w:p>
        </w:tc>
        <w:tc>
          <w:tcPr>
            <w:tcW w:w="7758" w:type="dxa"/>
            <w:gridSpan w:val="7"/>
            <w:vAlign w:val="center"/>
            <w:hideMark/>
          </w:tcPr>
          <w:p w14:paraId="362C08BF" w14:textId="77777777" w:rsidR="007E0187" w:rsidRPr="003C5E6D" w:rsidRDefault="007E0187" w:rsidP="007E0187">
            <w:pPr>
              <w:spacing w:before="0" w:after="0"/>
              <w:rPr>
                <w:rFonts w:ascii="Arial Narrow" w:eastAsia="Times New Roman" w:hAnsi="Arial Narrow"/>
                <w:color w:val="333333"/>
                <w:sz w:val="20"/>
                <w:szCs w:val="20"/>
                <w:lang w:eastAsia="en-AU"/>
              </w:rPr>
            </w:pPr>
            <w:r w:rsidRPr="003C5E6D">
              <w:rPr>
                <w:rFonts w:ascii="Arial Narrow" w:eastAsia="Times New Roman" w:hAnsi="Arial Narrow"/>
                <w:b/>
                <w:bCs/>
                <w:color w:val="333333"/>
                <w:sz w:val="20"/>
                <w:szCs w:val="20"/>
                <w:lang w:eastAsia="en-AU"/>
              </w:rPr>
              <w:t>Caution:</w:t>
            </w:r>
            <w:r w:rsidRPr="003C5E6D">
              <w:rPr>
                <w:rFonts w:ascii="Montserrat" w:eastAsia="Calibri" w:hAnsi="Montserrat" w:cs="Calibri"/>
                <w:sz w:val="20"/>
                <w:szCs w:val="20"/>
              </w:rPr>
              <w:t xml:space="preserve"> </w:t>
            </w:r>
            <w:r w:rsidRPr="003C5E6D">
              <w:rPr>
                <w:rFonts w:ascii="Arial Narrow" w:eastAsia="Times New Roman" w:hAnsi="Arial Narrow"/>
                <w:color w:val="333333"/>
                <w:sz w:val="20"/>
                <w:szCs w:val="20"/>
                <w:lang w:eastAsia="en-AU"/>
              </w:rPr>
              <w:t xml:space="preserve">Ivosidenib can cause dose-dependent prolongation of the heart rate-corrected QT (QTc) interval. </w:t>
            </w:r>
            <w:r w:rsidRPr="003C5E6D">
              <w:rPr>
                <w:rFonts w:ascii="Arial Narrow" w:eastAsia="Times New Roman" w:hAnsi="Arial Narrow"/>
                <w:i/>
                <w:iCs/>
                <w:color w:val="333333"/>
                <w:sz w:val="20"/>
                <w:szCs w:val="20"/>
                <w:lang w:eastAsia="en-AU"/>
              </w:rPr>
              <w:t>At treatment initiation patients should undergo an electrocardiogram (ECG) to assess the heart rate-corrected QT (QTc) interval.</w:t>
            </w:r>
            <w:r w:rsidRPr="003C5E6D">
              <w:rPr>
                <w:rFonts w:ascii="Arial Narrow" w:eastAsia="Times New Roman" w:hAnsi="Arial Narrow"/>
                <w:color w:val="333333"/>
                <w:sz w:val="20"/>
                <w:szCs w:val="20"/>
                <w:lang w:eastAsia="en-AU"/>
              </w:rPr>
              <w:t xml:space="preserve"> Dose interruptions are recommended until QTc returns to ≤480 msec. Monitor ECGs at least weekly for two weeks following return of QTc. Permanently discontinue ivosidenib if QTc poses life threatening ventricular arrhythmia (Grade 4)</w:t>
            </w:r>
          </w:p>
        </w:tc>
      </w:tr>
    </w:tbl>
    <w:p w14:paraId="6B893A6E" w14:textId="3D33572F" w:rsidR="00D04E5A" w:rsidRPr="003E7195" w:rsidRDefault="00D04E5A" w:rsidP="00D04E5A">
      <w:pPr>
        <w:spacing w:before="0" w:after="0"/>
        <w:rPr>
          <w:rFonts w:ascii="Arial Narrow" w:hAnsi="Arial Narrow"/>
          <w:color w:val="0D0D0D" w:themeColor="text1" w:themeTint="F2"/>
          <w:sz w:val="18"/>
          <w:szCs w:val="18"/>
        </w:rPr>
      </w:pPr>
      <w:r w:rsidRPr="003E7195">
        <w:rPr>
          <w:rFonts w:ascii="Arial Narrow" w:hAnsi="Arial Narrow"/>
          <w:color w:val="0D0D0D" w:themeColor="text1" w:themeTint="F2"/>
          <w:sz w:val="18"/>
          <w:szCs w:val="18"/>
        </w:rPr>
        <w:t>Source: Table 1-12, of the submission</w:t>
      </w:r>
    </w:p>
    <w:p w14:paraId="0A938254" w14:textId="77777777" w:rsidR="00D04E5A" w:rsidRPr="003E7195" w:rsidRDefault="00D04E5A" w:rsidP="00D04E5A">
      <w:pPr>
        <w:spacing w:before="0" w:after="0"/>
        <w:rPr>
          <w:rFonts w:ascii="Arial Narrow" w:hAnsi="Arial Narrow"/>
          <w:color w:val="0D0D0D" w:themeColor="text1" w:themeTint="F2"/>
          <w:sz w:val="18"/>
          <w:szCs w:val="18"/>
        </w:rPr>
      </w:pPr>
      <w:r w:rsidRPr="003E7195">
        <w:rPr>
          <w:rFonts w:ascii="Arial Narrow" w:hAnsi="Arial Narrow"/>
          <w:color w:val="0D0D0D" w:themeColor="text1" w:themeTint="F2"/>
          <w:sz w:val="18"/>
          <w:szCs w:val="18"/>
        </w:rPr>
        <w:t>IDH1 = isocitrate dehydrogenase 1</w:t>
      </w:r>
    </w:p>
    <w:p w14:paraId="58FC8BBA" w14:textId="64BD6F1E" w:rsidR="00D04E5A" w:rsidRPr="00013016" w:rsidRDefault="00D04E5A" w:rsidP="00013016">
      <w:pPr>
        <w:spacing w:before="0" w:after="120"/>
        <w:rPr>
          <w:rFonts w:ascii="Arial Narrow" w:hAnsi="Arial Narrow" w:cstheme="minorHAnsi"/>
          <w:color w:val="0D0D0D" w:themeColor="text1" w:themeTint="F2"/>
          <w:sz w:val="18"/>
          <w:szCs w:val="18"/>
        </w:rPr>
      </w:pPr>
      <w:r w:rsidRPr="003E7195">
        <w:rPr>
          <w:rFonts w:ascii="Arial Narrow" w:hAnsi="Arial Narrow"/>
          <w:color w:val="0D0D0D" w:themeColor="text1" w:themeTint="F2"/>
          <w:sz w:val="18"/>
          <w:szCs w:val="18"/>
        </w:rPr>
        <w:t>Note: In Table 1-12, of the submission, for clinical criteria, it said “</w:t>
      </w:r>
      <w:r w:rsidRPr="003E7195">
        <w:rPr>
          <w:rFonts w:ascii="Arial Narrow" w:hAnsi="Arial Narrow" w:cstheme="minorHAnsi"/>
          <w:color w:val="0D0D0D" w:themeColor="text1" w:themeTint="F2"/>
          <w:sz w:val="18"/>
          <w:szCs w:val="18"/>
        </w:rPr>
        <w:t xml:space="preserve">Patient must not develop disease progression while receiving PBS-subsidised treatment with this drug for this condition”. This is incorrect. </w:t>
      </w:r>
    </w:p>
    <w:p w14:paraId="6873B0FE" w14:textId="338FEB81" w:rsidR="00245AD9" w:rsidRPr="003E7195" w:rsidRDefault="00DE33BF" w:rsidP="00013016">
      <w:pPr>
        <w:pStyle w:val="ListParagraph"/>
      </w:pPr>
      <w:r w:rsidRPr="79C6582A">
        <w:lastRenderedPageBreak/>
        <w:t xml:space="preserve">The submission proposed a Special Pricing Arrangement (SPA). The requested effective </w:t>
      </w:r>
      <w:r w:rsidR="0043178C">
        <w:t>ex-manu</w:t>
      </w:r>
      <w:r w:rsidR="00BF4188">
        <w:t>factur</w:t>
      </w:r>
      <w:r w:rsidR="006D3135">
        <w:t>er</w:t>
      </w:r>
      <w:r w:rsidR="00BF4188">
        <w:t xml:space="preserve"> p</w:t>
      </w:r>
      <w:r w:rsidRPr="79C6582A">
        <w:t xml:space="preserve">rice </w:t>
      </w:r>
      <w:r w:rsidR="00BF4188">
        <w:t xml:space="preserve">(EMP) </w:t>
      </w:r>
      <w:r w:rsidR="008A2C57" w:rsidRPr="79C6582A">
        <w:t>wa</w:t>
      </w:r>
      <w:r w:rsidRPr="79C6582A">
        <w:t>s $</w:t>
      </w:r>
      <w:r w:rsidR="00E26C98" w:rsidRPr="002311C6">
        <w:rPr>
          <w:w w:val="15"/>
          <w:shd w:val="solid" w:color="000000" w:fill="000000"/>
          <w:fitText w:val="-20" w:id="-893744895"/>
          <w14:textFill>
            <w14:solidFill>
              <w14:schemeClr w14:val="tx1">
                <w14:alpha w14:val="100000"/>
                <w14:lumMod w14:val="95000"/>
                <w14:lumOff w14:val="5000"/>
              </w14:schemeClr>
            </w14:solidFill>
          </w14:textFill>
        </w:rPr>
        <w:t xml:space="preserve">|  </w:t>
      </w:r>
      <w:r w:rsidR="00E26C98" w:rsidRPr="002311C6">
        <w:rPr>
          <w:spacing w:val="-69"/>
          <w:w w:val="15"/>
          <w:shd w:val="solid" w:color="000000" w:fill="000000"/>
          <w:fitText w:val="-20" w:id="-893744895"/>
          <w14:textFill>
            <w14:solidFill>
              <w14:schemeClr w14:val="tx1">
                <w14:alpha w14:val="100000"/>
                <w14:lumMod w14:val="95000"/>
                <w14:lumOff w14:val="5000"/>
              </w14:schemeClr>
            </w14:solidFill>
          </w14:textFill>
        </w:rPr>
        <w:t>|</w:t>
      </w:r>
      <w:r w:rsidRPr="79C6582A">
        <w:t>.</w:t>
      </w:r>
    </w:p>
    <w:p w14:paraId="1D7E69CD" w14:textId="5012B91C" w:rsidR="00F35158" w:rsidRDefault="00DE33BF" w:rsidP="00013016">
      <w:pPr>
        <w:pStyle w:val="ListParagraph"/>
      </w:pPr>
      <w:r w:rsidRPr="003E7195">
        <w:t xml:space="preserve">The proposed </w:t>
      </w:r>
      <w:r w:rsidR="00B24658" w:rsidRPr="003E7195">
        <w:t>two</w:t>
      </w:r>
      <w:r w:rsidRPr="003E7195">
        <w:t xml:space="preserve"> repeats for initial </w:t>
      </w:r>
      <w:r w:rsidR="00895199" w:rsidRPr="003E7195">
        <w:t xml:space="preserve">scripts </w:t>
      </w:r>
      <w:r w:rsidRPr="003E7195">
        <w:t xml:space="preserve">and </w:t>
      </w:r>
      <w:r w:rsidR="00B24658" w:rsidRPr="003E7195">
        <w:t>five</w:t>
      </w:r>
      <w:r w:rsidRPr="003E7195">
        <w:t xml:space="preserve"> repeats </w:t>
      </w:r>
      <w:r w:rsidR="00895199" w:rsidRPr="003E7195">
        <w:t xml:space="preserve">for continuing scripts </w:t>
      </w:r>
      <w:r w:rsidRPr="003E7195">
        <w:t xml:space="preserve">cover </w:t>
      </w:r>
      <w:r w:rsidR="008A2C57" w:rsidRPr="003E7195">
        <w:t xml:space="preserve">12 weeks and 24 </w:t>
      </w:r>
      <w:r w:rsidRPr="003E7195">
        <w:t>weeks</w:t>
      </w:r>
      <w:r w:rsidR="00B06BFC" w:rsidRPr="003E7195">
        <w:t xml:space="preserve"> of treatment, </w:t>
      </w:r>
      <w:r w:rsidR="008A2C57" w:rsidRPr="003E7195">
        <w:t>respectively</w:t>
      </w:r>
      <w:r w:rsidRPr="003E7195">
        <w:t xml:space="preserve">. </w:t>
      </w:r>
    </w:p>
    <w:p w14:paraId="0EBB6AB6" w14:textId="2CA9B4EF" w:rsidR="00943DAA" w:rsidRPr="003E7195" w:rsidRDefault="00943DAA" w:rsidP="00013016">
      <w:pPr>
        <w:pStyle w:val="ListParagraph"/>
      </w:pPr>
      <w:r>
        <w:t>The PBAC considered a Streamlined Authority listing (as proposed) was appropriate as there is a low risk of use outside the intended population.</w:t>
      </w:r>
    </w:p>
    <w:p w14:paraId="1E200CDC" w14:textId="442AB5E7" w:rsidR="00DE33BF" w:rsidRPr="00181B1F" w:rsidRDefault="00213394" w:rsidP="00013016">
      <w:pPr>
        <w:pStyle w:val="ListParagraph"/>
      </w:pPr>
      <w:r w:rsidRPr="00181B1F">
        <w:t xml:space="preserve">Ivosidenib can cause dose-dependent prolongation of the heart rate-corrected QT (QTc) interval. </w:t>
      </w:r>
      <w:r w:rsidR="00F35158" w:rsidRPr="00181B1F">
        <w:t xml:space="preserve">The approved PI recommends performing </w:t>
      </w:r>
      <w:r w:rsidR="00DC6150">
        <w:t>“</w:t>
      </w:r>
      <w:r w:rsidR="00F35158" w:rsidRPr="00181B1F">
        <w:t xml:space="preserve">an </w:t>
      </w:r>
      <w:r w:rsidRPr="00181B1F">
        <w:t>electrocardiogram (</w:t>
      </w:r>
      <w:r w:rsidR="00F35158" w:rsidRPr="00181B1F">
        <w:t>ECG</w:t>
      </w:r>
      <w:r w:rsidRPr="00181B1F">
        <w:t>)</w:t>
      </w:r>
      <w:r w:rsidR="00F35158" w:rsidRPr="00181B1F">
        <w:t xml:space="preserve"> at baseline, at least weekly during the first three weeks of therapy and at least monthly thereafter. Monitor electrolytes at baseline and throughout treatment as clinically indicated. Patients at higher risk of QTc interval prolongation, including due to concomitant medications, may require more frequent monitoring.” However, the requested PBS restriction did not include routine monitoring for QTc prolongation, but only specified the requirement for dose modifications and ECG monitoring after </w:t>
      </w:r>
      <w:r w:rsidR="00786E18" w:rsidRPr="00181B1F">
        <w:t xml:space="preserve">QT prolongation has </w:t>
      </w:r>
      <w:r w:rsidR="00F35158" w:rsidRPr="00181B1F">
        <w:t>occur</w:t>
      </w:r>
      <w:r w:rsidR="00786E18" w:rsidRPr="00181B1F">
        <w:t>red</w:t>
      </w:r>
      <w:r w:rsidR="00E509FD" w:rsidRPr="00181B1F">
        <w:t xml:space="preserve">. </w:t>
      </w:r>
      <w:r w:rsidR="0070736A" w:rsidRPr="00C30625">
        <w:t xml:space="preserve">The </w:t>
      </w:r>
      <w:r w:rsidR="00A5537F">
        <w:t xml:space="preserve">PBAC agreed with the </w:t>
      </w:r>
      <w:r w:rsidR="00BD221D" w:rsidRPr="00BD221D">
        <w:rPr>
          <w:iCs/>
        </w:rPr>
        <w:t xml:space="preserve">Economic Sub-Committee </w:t>
      </w:r>
      <w:r w:rsidR="00BD221D">
        <w:rPr>
          <w:iCs/>
        </w:rPr>
        <w:t>(</w:t>
      </w:r>
      <w:r w:rsidR="0070736A" w:rsidRPr="00C30625">
        <w:t>ESC</w:t>
      </w:r>
      <w:r w:rsidR="00BD221D">
        <w:t>)</w:t>
      </w:r>
      <w:r w:rsidR="0070736A" w:rsidRPr="00C30625">
        <w:t xml:space="preserve"> that </w:t>
      </w:r>
      <w:r w:rsidR="00F35DEB" w:rsidRPr="00C30625">
        <w:t xml:space="preserve">the </w:t>
      </w:r>
      <w:r w:rsidR="00E4427A" w:rsidRPr="00C30625">
        <w:t xml:space="preserve">restrictions need not </w:t>
      </w:r>
      <w:r w:rsidR="003635C1" w:rsidRPr="00C30625">
        <w:t>stipulate</w:t>
      </w:r>
      <w:r w:rsidR="001F2D08" w:rsidRPr="00C30625">
        <w:t xml:space="preserve"> </w:t>
      </w:r>
      <w:r w:rsidR="009C68D5" w:rsidRPr="00C30625">
        <w:t xml:space="preserve">the requirement for routine </w:t>
      </w:r>
      <w:r w:rsidR="00DF3593" w:rsidRPr="00C30625">
        <w:t xml:space="preserve">ECG </w:t>
      </w:r>
      <w:r w:rsidR="009C68D5" w:rsidRPr="00C30625">
        <w:t>monitoring</w:t>
      </w:r>
      <w:r w:rsidR="00DF3593" w:rsidRPr="00C30625">
        <w:t xml:space="preserve"> for QT p</w:t>
      </w:r>
      <w:r w:rsidR="00F35DEB" w:rsidRPr="00C30625">
        <w:t>r</w:t>
      </w:r>
      <w:r w:rsidR="00DF3593" w:rsidRPr="00C30625">
        <w:t>olongation</w:t>
      </w:r>
      <w:r w:rsidR="001F2D08" w:rsidRPr="00C30625">
        <w:t>.</w:t>
      </w:r>
    </w:p>
    <w:p w14:paraId="60BE1EC1" w14:textId="50439238" w:rsidR="00245AD9" w:rsidRDefault="00DE33BF" w:rsidP="00013016">
      <w:pPr>
        <w:pStyle w:val="ListParagraph"/>
        <w:rPr>
          <w:rStyle w:val="cf01"/>
          <w:rFonts w:asciiTheme="minorHAnsi" w:hAnsiTheme="minorHAnsi" w:cstheme="minorHAnsi"/>
          <w:sz w:val="24"/>
          <w:szCs w:val="24"/>
        </w:rPr>
      </w:pPr>
      <w:r w:rsidRPr="003E7195">
        <w:t xml:space="preserve">The submission proposed ivosidenib </w:t>
      </w:r>
      <w:r w:rsidR="00665772" w:rsidRPr="003E7195">
        <w:t>is</w:t>
      </w:r>
      <w:r w:rsidRPr="003E7195">
        <w:t xml:space="preserve"> used for </w:t>
      </w:r>
      <w:r w:rsidR="00665772" w:rsidRPr="003E7195">
        <w:t xml:space="preserve">the </w:t>
      </w:r>
      <w:r w:rsidRPr="003E7195">
        <w:t xml:space="preserve">treatment of locally advanced or metastatic CCA in patients who have a World Health Organization (WHO) performance status </w:t>
      </w:r>
      <w:r w:rsidR="00A5537F">
        <w:t xml:space="preserve">(PS) </w:t>
      </w:r>
      <w:r w:rsidRPr="003E7195">
        <w:t>of 2 or less</w:t>
      </w:r>
      <w:r w:rsidR="00E509FD" w:rsidRPr="003E7195">
        <w:t xml:space="preserve"> and who have previously received treatment with systemic therapy</w:t>
      </w:r>
      <w:r w:rsidRPr="003E7195">
        <w:t xml:space="preserve">. </w:t>
      </w:r>
      <w:r w:rsidRPr="00181B1F">
        <w:t>Th</w:t>
      </w:r>
      <w:r w:rsidR="00E509FD" w:rsidRPr="00181B1F">
        <w:t xml:space="preserve">is was generally </w:t>
      </w:r>
      <w:r w:rsidRPr="00181B1F">
        <w:t>consistent with the TGA indication</w:t>
      </w:r>
      <w:r w:rsidR="00E509FD" w:rsidRPr="00181B1F">
        <w:t xml:space="preserve"> and the eligibility criteria in the ClarIDHy trial, except that patients with </w:t>
      </w:r>
      <w:r w:rsidR="00235F43" w:rsidRPr="00181B1F">
        <w:t xml:space="preserve">a </w:t>
      </w:r>
      <w:r w:rsidR="00E509FD" w:rsidRPr="00181B1F">
        <w:t>WHO performance status of 2</w:t>
      </w:r>
      <w:r w:rsidR="00665772" w:rsidRPr="00181B1F">
        <w:t xml:space="preserve"> or more</w:t>
      </w:r>
      <w:r w:rsidR="00E509FD" w:rsidRPr="00181B1F">
        <w:t xml:space="preserve"> were excluded from the clinical trial</w:t>
      </w:r>
      <w:r w:rsidRPr="00181B1F">
        <w:rPr>
          <w:rStyle w:val="cf01"/>
          <w:rFonts w:asciiTheme="minorHAnsi" w:hAnsiTheme="minorHAnsi" w:cstheme="minorHAnsi"/>
          <w:sz w:val="24"/>
          <w:szCs w:val="24"/>
        </w:rPr>
        <w:t>.</w:t>
      </w:r>
      <w:r w:rsidR="00A5537F">
        <w:rPr>
          <w:rStyle w:val="cf01"/>
          <w:rFonts w:asciiTheme="minorHAnsi" w:hAnsiTheme="minorHAnsi" w:cstheme="minorHAnsi"/>
          <w:sz w:val="24"/>
          <w:szCs w:val="24"/>
        </w:rPr>
        <w:t xml:space="preserve"> The PBAC considered it was reasonable for the listing to allow inclusion of patients with </w:t>
      </w:r>
      <w:r w:rsidR="00537173">
        <w:rPr>
          <w:rStyle w:val="cf01"/>
          <w:rFonts w:asciiTheme="minorHAnsi" w:hAnsiTheme="minorHAnsi" w:cstheme="minorHAnsi"/>
          <w:sz w:val="24"/>
          <w:szCs w:val="24"/>
        </w:rPr>
        <w:t xml:space="preserve">a </w:t>
      </w:r>
      <w:r w:rsidR="00A5537F">
        <w:rPr>
          <w:rStyle w:val="cf01"/>
          <w:rFonts w:asciiTheme="minorHAnsi" w:hAnsiTheme="minorHAnsi" w:cstheme="minorHAnsi"/>
          <w:sz w:val="24"/>
          <w:szCs w:val="24"/>
        </w:rPr>
        <w:t xml:space="preserve">WHO PS of 2 to enable clinicians to </w:t>
      </w:r>
      <w:r w:rsidR="00537173">
        <w:rPr>
          <w:rStyle w:val="cf01"/>
          <w:rFonts w:asciiTheme="minorHAnsi" w:hAnsiTheme="minorHAnsi" w:cstheme="minorHAnsi"/>
          <w:sz w:val="24"/>
          <w:szCs w:val="24"/>
        </w:rPr>
        <w:t xml:space="preserve">determine whether a patient is suitable for treatment. However the PBAC noted this may result in a less fit population compared with the pivotal trial and therefore the level of benefit shown in the trial may not be realised in the PBS population.  </w:t>
      </w:r>
    </w:p>
    <w:p w14:paraId="7FE7039F" w14:textId="350D727B" w:rsidR="001D6BF3" w:rsidRDefault="009F6B35" w:rsidP="00013016">
      <w:pPr>
        <w:pStyle w:val="ListParagraph"/>
      </w:pPr>
      <w:r>
        <w:t xml:space="preserve">The sponsor requested </w:t>
      </w:r>
      <w:r w:rsidRPr="00AB222B">
        <w:t xml:space="preserve">the MBS listing of </w:t>
      </w:r>
      <w:r w:rsidRPr="00AB222B">
        <w:rPr>
          <w:i/>
          <w:iCs/>
        </w:rPr>
        <w:t>IDH1</w:t>
      </w:r>
      <w:r w:rsidRPr="00AB222B">
        <w:t xml:space="preserve"> testing for tier I </w:t>
      </w:r>
      <w:r w:rsidRPr="00AB222B">
        <w:rPr>
          <w:i/>
          <w:iCs/>
        </w:rPr>
        <w:t>IDH1</w:t>
      </w:r>
      <w:r w:rsidRPr="00AB222B">
        <w:t xml:space="preserve"> p.R132X </w:t>
      </w:r>
      <w:r>
        <w:t xml:space="preserve">gene </w:t>
      </w:r>
      <w:r w:rsidRPr="00AB222B">
        <w:t>variants in patients with CCA to determine access to an IDH1</w:t>
      </w:r>
      <w:r w:rsidRPr="00AB222B">
        <w:rPr>
          <w:i/>
          <w:iCs/>
        </w:rPr>
        <w:t xml:space="preserve"> </w:t>
      </w:r>
      <w:r w:rsidRPr="00AB222B">
        <w:t>inhibitor under the PBS</w:t>
      </w:r>
      <w:r>
        <w:t>. The PBAC noted that this was for consideration by the MSAC.</w:t>
      </w:r>
      <w:r w:rsidRPr="00C30625" w:rsidDel="00537173">
        <w:t xml:space="preserve"> </w:t>
      </w:r>
      <w:r w:rsidR="00F853C7" w:rsidRPr="00C30625">
        <w:t xml:space="preserve">The ESCs noted that </w:t>
      </w:r>
      <w:r w:rsidR="00F853C7" w:rsidRPr="00364330">
        <w:rPr>
          <w:i/>
          <w:iCs/>
        </w:rPr>
        <w:t>IDH1</w:t>
      </w:r>
      <w:r w:rsidR="00F853C7" w:rsidRPr="00C30625">
        <w:t xml:space="preserve"> </w:t>
      </w:r>
      <w:r w:rsidR="00F672D6" w:rsidRPr="00C30625">
        <w:t xml:space="preserve">genetic </w:t>
      </w:r>
      <w:r w:rsidR="00F853C7" w:rsidRPr="00C30625">
        <w:t xml:space="preserve">variants encoding </w:t>
      </w:r>
      <w:r w:rsidR="002E3DDE" w:rsidRPr="00C30625">
        <w:t xml:space="preserve">gain of function </w:t>
      </w:r>
      <w:r w:rsidR="00F853C7" w:rsidRPr="00C30625">
        <w:t xml:space="preserve">IDH1 proteins other than those specified in the </w:t>
      </w:r>
      <w:r w:rsidR="00F853C7" w:rsidRPr="00C30625">
        <w:rPr>
          <w:bCs/>
        </w:rPr>
        <w:t>ClarIDHy</w:t>
      </w:r>
      <w:r w:rsidR="00F853C7" w:rsidRPr="00C30625">
        <w:t xml:space="preserve"> trial (p.R132C, p.R132G, p.R132H, p.R132L, p.R132S) are </w:t>
      </w:r>
      <w:r w:rsidR="00A435F2" w:rsidRPr="00C30625">
        <w:t xml:space="preserve">extremely </w:t>
      </w:r>
      <w:r w:rsidR="00F853C7" w:rsidRPr="00C30625">
        <w:t>rare</w:t>
      </w:r>
      <w:r w:rsidR="00970C65" w:rsidRPr="00C30625">
        <w:t>, and considered</w:t>
      </w:r>
      <w:r w:rsidR="00DF1102" w:rsidRPr="00C30625">
        <w:t xml:space="preserve"> </w:t>
      </w:r>
      <w:r w:rsidR="004266E1" w:rsidRPr="00C30625">
        <w:t>it would not be appropriate to deny treatment</w:t>
      </w:r>
      <w:r w:rsidR="00DF1102" w:rsidRPr="00C30625">
        <w:t xml:space="preserve"> to</w:t>
      </w:r>
      <w:r w:rsidR="00631486" w:rsidRPr="00C30625">
        <w:t xml:space="preserve"> the </w:t>
      </w:r>
      <w:r w:rsidR="00283A6E" w:rsidRPr="00C30625">
        <w:t xml:space="preserve">very </w:t>
      </w:r>
      <w:r w:rsidR="00631486" w:rsidRPr="00C30625">
        <w:t xml:space="preserve">small </w:t>
      </w:r>
      <w:r w:rsidR="00283A6E" w:rsidRPr="00C30625">
        <w:t>numb</w:t>
      </w:r>
      <w:r w:rsidR="00B33A0E" w:rsidRPr="00C30625">
        <w:t>er</w:t>
      </w:r>
      <w:r w:rsidR="00631486" w:rsidRPr="00C30625">
        <w:t xml:space="preserve"> of</w:t>
      </w:r>
      <w:r w:rsidR="00DF1102" w:rsidRPr="00C30625">
        <w:t xml:space="preserve"> patients wit</w:t>
      </w:r>
      <w:r w:rsidR="004266E1" w:rsidRPr="00C30625">
        <w:t xml:space="preserve">h other gain of function </w:t>
      </w:r>
      <w:r w:rsidR="00FC3479" w:rsidRPr="00C30625">
        <w:t xml:space="preserve">IDH1 </w:t>
      </w:r>
      <w:r w:rsidR="004266E1" w:rsidRPr="00C30625">
        <w:t>variants</w:t>
      </w:r>
      <w:r w:rsidR="00A435F2" w:rsidRPr="00C30625">
        <w:t>.</w:t>
      </w:r>
      <w:r w:rsidR="00537173">
        <w:t xml:space="preserve"> The PBAC considered the appropriate restriction wording </w:t>
      </w:r>
      <w:r w:rsidR="00537173" w:rsidRPr="00C30625">
        <w:t>for specifying the target population  would be:</w:t>
      </w:r>
      <w:r w:rsidR="00537173">
        <w:t xml:space="preserve"> </w:t>
      </w:r>
      <w:r w:rsidR="00537173" w:rsidRPr="00C30625">
        <w:t>“The</w:t>
      </w:r>
      <w:r w:rsidR="00537173" w:rsidRPr="00C30625" w:rsidDel="000A0A16">
        <w:t xml:space="preserve"> </w:t>
      </w:r>
      <w:r w:rsidR="00537173" w:rsidRPr="00C30625">
        <w:t xml:space="preserve">patient must have a test of tumour tissue confirming </w:t>
      </w:r>
      <w:r w:rsidR="00537173">
        <w:t xml:space="preserve">the presence of an </w:t>
      </w:r>
      <w:r w:rsidR="00537173" w:rsidRPr="00537173">
        <w:rPr>
          <w:i/>
          <w:iCs/>
        </w:rPr>
        <w:t>IDH1</w:t>
      </w:r>
      <w:r w:rsidR="00537173" w:rsidRPr="00C30625">
        <w:t xml:space="preserve"> R132</w:t>
      </w:r>
      <w:r w:rsidR="00537173">
        <w:t xml:space="preserve"> variant</w:t>
      </w:r>
      <w:r w:rsidR="00537173" w:rsidRPr="00C30625">
        <w:t>”</w:t>
      </w:r>
      <w:r w:rsidR="00537173">
        <w:t xml:space="preserve">. </w:t>
      </w:r>
    </w:p>
    <w:p w14:paraId="630E7D9E" w14:textId="77777777" w:rsidR="002F327D" w:rsidRPr="002F327D" w:rsidRDefault="002F327D" w:rsidP="00013016">
      <w:pPr>
        <w:pStyle w:val="3-BodyText"/>
        <w:ind w:firstLine="0"/>
      </w:pPr>
      <w:r w:rsidRPr="00013016">
        <w:rPr>
          <w:i/>
          <w:iCs/>
        </w:rPr>
        <w:t>For more detail on PBAC’s view, see section 7 PBAC outcome</w:t>
      </w:r>
      <w:r w:rsidRPr="002F327D">
        <w:t>.</w:t>
      </w:r>
    </w:p>
    <w:p w14:paraId="78AEABB9" w14:textId="77777777" w:rsidR="008D7BF5" w:rsidRPr="003E7195" w:rsidRDefault="008D7BF5" w:rsidP="00B05E21">
      <w:pPr>
        <w:pStyle w:val="PBACESHeading1"/>
        <w:rPr>
          <w:color w:val="0D0D0D" w:themeColor="text1" w:themeTint="F2"/>
        </w:rPr>
      </w:pPr>
      <w:bookmarkStart w:id="14" w:name="_Toc166763141"/>
      <w:r w:rsidRPr="003E7195">
        <w:rPr>
          <w:color w:val="0D0D0D" w:themeColor="text1" w:themeTint="F2"/>
        </w:rPr>
        <w:lastRenderedPageBreak/>
        <w:t>Population and disease</w:t>
      </w:r>
      <w:bookmarkEnd w:id="12"/>
      <w:bookmarkEnd w:id="14"/>
    </w:p>
    <w:p w14:paraId="5FFEE1B3" w14:textId="0E886295" w:rsidR="008D7BF5" w:rsidRPr="003E7195" w:rsidRDefault="00B6220E" w:rsidP="00013016">
      <w:pPr>
        <w:pStyle w:val="ListParagraph"/>
      </w:pPr>
      <w:r w:rsidRPr="003E7195">
        <w:t>CCA is a rare cancer that arises from the epithelium of the bile ducts and account</w:t>
      </w:r>
      <w:r w:rsidR="005005DB" w:rsidRPr="003E7195">
        <w:t>s</w:t>
      </w:r>
      <w:r w:rsidRPr="003E7195">
        <w:t xml:space="preserve"> for </w:t>
      </w:r>
      <w:r w:rsidRPr="00013016">
        <w:t>approximately</w:t>
      </w:r>
      <w:r w:rsidRPr="003E7195">
        <w:t xml:space="preserve"> 3% of all gastrointestinal cancers. It has an incidence of 0.3-6 per 100,000 people per year globally. </w:t>
      </w:r>
      <w:r w:rsidR="005005DB" w:rsidRPr="003E7195">
        <w:t>I</w:t>
      </w:r>
      <w:r w:rsidRPr="003E7195">
        <w:t>t was estimated that</w:t>
      </w:r>
      <w:r w:rsidR="005005DB" w:rsidRPr="003E7195">
        <w:t>, by 2025,</w:t>
      </w:r>
      <w:r w:rsidRPr="003E7195">
        <w:t xml:space="preserve"> there would be 1,613 newly diagnosed </w:t>
      </w:r>
      <w:r w:rsidR="00665772" w:rsidRPr="003E7195">
        <w:t xml:space="preserve">cases of </w:t>
      </w:r>
      <w:r w:rsidRPr="003E7195">
        <w:t>CCA in Australia</w:t>
      </w:r>
      <w:r w:rsidRPr="003E7195">
        <w:rPr>
          <w:rStyle w:val="FootnoteReference"/>
        </w:rPr>
        <w:footnoteReference w:id="2"/>
      </w:r>
      <w:r w:rsidRPr="003E7195">
        <w:t xml:space="preserve">. </w:t>
      </w:r>
      <w:r w:rsidRPr="008C19C7">
        <w:t>This would include 956 new cases of intrahepatic CCA (iCCA), 443 cases of extrahepatic CCA (eCCA) and 214 cases of overlapping or not otherwise specified bile duct cancer</w:t>
      </w:r>
      <w:r w:rsidRPr="003E7195">
        <w:rPr>
          <w:rStyle w:val="FootnoteReference"/>
        </w:rPr>
        <w:footnoteReference w:id="3"/>
      </w:r>
      <w:r w:rsidRPr="003E7195">
        <w:t>. There has been a</w:t>
      </w:r>
      <w:r w:rsidR="005005DB" w:rsidRPr="003E7195">
        <w:t>n upward</w:t>
      </w:r>
      <w:r w:rsidRPr="003E7195">
        <w:t xml:space="preserve"> </w:t>
      </w:r>
      <w:r w:rsidR="005005DB" w:rsidRPr="003E7195">
        <w:t xml:space="preserve">trend in the </w:t>
      </w:r>
      <w:r w:rsidRPr="003E7195">
        <w:t>incidence of CCA in the past decades owing to an increasing population with conditions that cause chronic liver inflammation</w:t>
      </w:r>
      <w:r w:rsidR="00CD7385" w:rsidRPr="003E7195">
        <w:rPr>
          <w:rStyle w:val="FootnoteReference"/>
        </w:rPr>
        <w:footnoteReference w:id="4"/>
      </w:r>
      <w:r w:rsidRPr="003E7195">
        <w:t xml:space="preserve">. </w:t>
      </w:r>
      <w:r w:rsidRPr="003E7195">
        <w:rPr>
          <w:szCs w:val="24"/>
        </w:rPr>
        <w:t>Signs and symptoms of CCA depend upon the location of the tumour. Jaundice is a common presentation in patients with eCCA due to the obstruction of the bile outflow. Symptoms associated with CCA can also include abdominal pain, fatigue, fever, nausea/vomiting, or weight loss. However, early CCA</w:t>
      </w:r>
      <w:r w:rsidR="00665772" w:rsidRPr="003E7195">
        <w:rPr>
          <w:szCs w:val="24"/>
        </w:rPr>
        <w:t xml:space="preserve"> i</w:t>
      </w:r>
      <w:r w:rsidR="005005DB" w:rsidRPr="003E7195">
        <w:rPr>
          <w:szCs w:val="24"/>
        </w:rPr>
        <w:t>s</w:t>
      </w:r>
      <w:r w:rsidRPr="003E7195">
        <w:rPr>
          <w:szCs w:val="24"/>
        </w:rPr>
        <w:t xml:space="preserve"> often </w:t>
      </w:r>
      <w:r w:rsidR="005005DB" w:rsidRPr="003E7195">
        <w:rPr>
          <w:szCs w:val="24"/>
        </w:rPr>
        <w:t>asymptomatic</w:t>
      </w:r>
      <w:r w:rsidRPr="003E7195">
        <w:rPr>
          <w:szCs w:val="24"/>
        </w:rPr>
        <w:t xml:space="preserve"> and only around 35% of patients with CCA are detected in early stages</w:t>
      </w:r>
      <w:r w:rsidR="00CD7385" w:rsidRPr="003E7195">
        <w:rPr>
          <w:rStyle w:val="FootnoteReference"/>
          <w:szCs w:val="24"/>
        </w:rPr>
        <w:footnoteReference w:id="5"/>
      </w:r>
      <w:r w:rsidRPr="003E7195">
        <w:rPr>
          <w:szCs w:val="24"/>
        </w:rPr>
        <w:t xml:space="preserve">. Surgical tumour resection is the only potentially curative approach for patients with localised, resectable CCA. However, cancer relapse </w:t>
      </w:r>
      <w:r w:rsidR="00665772" w:rsidRPr="003E7195">
        <w:rPr>
          <w:szCs w:val="24"/>
        </w:rPr>
        <w:t xml:space="preserve">occurs </w:t>
      </w:r>
      <w:r w:rsidRPr="003E7195">
        <w:rPr>
          <w:szCs w:val="24"/>
        </w:rPr>
        <w:t>in 42% to 70% of patients who have had the tumour surgically removed</w:t>
      </w:r>
      <w:r w:rsidR="00C51369" w:rsidRPr="003E7195">
        <w:rPr>
          <w:rStyle w:val="FootnoteReference"/>
          <w:szCs w:val="24"/>
        </w:rPr>
        <w:footnoteReference w:id="6"/>
      </w:r>
      <w:r w:rsidR="00A74E0E" w:rsidRPr="003E7195">
        <w:rPr>
          <w:szCs w:val="24"/>
        </w:rPr>
        <w:t>. R</w:t>
      </w:r>
      <w:r w:rsidRPr="003E7195">
        <w:rPr>
          <w:szCs w:val="24"/>
        </w:rPr>
        <w:t xml:space="preserve">ecurrence </w:t>
      </w:r>
      <w:r w:rsidR="00A74E0E" w:rsidRPr="003E7195">
        <w:rPr>
          <w:szCs w:val="24"/>
        </w:rPr>
        <w:t xml:space="preserve">is also </w:t>
      </w:r>
      <w:r w:rsidRPr="003E7195">
        <w:rPr>
          <w:szCs w:val="24"/>
        </w:rPr>
        <w:t>frequently found at a distant site</w:t>
      </w:r>
      <w:r w:rsidR="00A74E0E" w:rsidRPr="003E7195">
        <w:rPr>
          <w:rStyle w:val="FootnoteReference"/>
          <w:szCs w:val="24"/>
        </w:rPr>
        <w:footnoteReference w:id="7"/>
      </w:r>
      <w:r w:rsidR="00A74E0E" w:rsidRPr="003E7195">
        <w:rPr>
          <w:szCs w:val="24"/>
          <w:vertAlign w:val="superscript"/>
        </w:rPr>
        <w:t>,</w:t>
      </w:r>
      <w:r w:rsidR="00A74E0E" w:rsidRPr="003E7195">
        <w:rPr>
          <w:rStyle w:val="FootnoteReference"/>
          <w:szCs w:val="24"/>
        </w:rPr>
        <w:footnoteReference w:id="8"/>
      </w:r>
      <w:r w:rsidR="001C3532" w:rsidRPr="003E7195">
        <w:rPr>
          <w:szCs w:val="24"/>
        </w:rPr>
        <w:t xml:space="preserve">. </w:t>
      </w:r>
      <w:r w:rsidRPr="003E7195">
        <w:rPr>
          <w:szCs w:val="24"/>
        </w:rPr>
        <w:t>The American Cancer Society reported the 5-year survival rates for locally advanced eCCA and metastatic eCCA as 18% and 2%, respectively</w:t>
      </w:r>
      <w:r w:rsidRPr="003E7195">
        <w:rPr>
          <w:rStyle w:val="FootnoteReference"/>
          <w:szCs w:val="24"/>
        </w:rPr>
        <w:footnoteReference w:id="9"/>
      </w:r>
      <w:r w:rsidRPr="003E7195">
        <w:rPr>
          <w:szCs w:val="24"/>
        </w:rPr>
        <w:t>.</w:t>
      </w:r>
      <w:r w:rsidR="009E2636" w:rsidRPr="003E7195">
        <w:t xml:space="preserve"> </w:t>
      </w:r>
      <w:r w:rsidR="0002135E" w:rsidRPr="003E7195">
        <w:rPr>
          <w:szCs w:val="24"/>
        </w:rPr>
        <w:t>Five-year survival rates for patients with locally advanced and metastatic iCCA were reported as 9% and 2%, respectively</w:t>
      </w:r>
      <w:r w:rsidR="0002135E" w:rsidRPr="003E7195">
        <w:rPr>
          <w:rStyle w:val="FootnoteReference"/>
          <w:szCs w:val="24"/>
        </w:rPr>
        <w:footnoteReference w:id="10"/>
      </w:r>
      <w:r w:rsidR="0002135E" w:rsidRPr="003E7195">
        <w:rPr>
          <w:szCs w:val="24"/>
        </w:rPr>
        <w:t xml:space="preserve">. </w:t>
      </w:r>
    </w:p>
    <w:p w14:paraId="5DD34A54" w14:textId="3E3C1DD6" w:rsidR="0002135E" w:rsidRPr="003E7195" w:rsidRDefault="0002135E" w:rsidP="007E0187">
      <w:pPr>
        <w:pStyle w:val="ListParagraph"/>
      </w:pPr>
      <w:r w:rsidRPr="003E7195">
        <w:t xml:space="preserve">The current first-line treatment for patients diagnosed with locally advanced or metastatic </w:t>
      </w:r>
      <w:r w:rsidR="008D1AE0">
        <w:t xml:space="preserve">biliary tract cancer including </w:t>
      </w:r>
      <w:r w:rsidRPr="003E7195">
        <w:t xml:space="preserve">CCA who have </w:t>
      </w:r>
      <w:r w:rsidR="00606C09" w:rsidRPr="003E7195">
        <w:t xml:space="preserve">a </w:t>
      </w:r>
      <w:r w:rsidRPr="003E7195">
        <w:t>good performance status is chemotherapy with cisplatin plus gemcitabine</w:t>
      </w:r>
      <w:r w:rsidR="00665772" w:rsidRPr="003E7195">
        <w:t>,</w:t>
      </w:r>
      <w:r w:rsidRPr="003E7195">
        <w:t xml:space="preserve"> with the addition of durvalumab</w:t>
      </w:r>
      <w:r w:rsidR="00C64271">
        <w:t xml:space="preserve"> which is currently listed on PBS for this indication</w:t>
      </w:r>
      <w:r w:rsidRPr="003E7195">
        <w:t xml:space="preserve">, as recommended by the latest version of National Comprehensive Cancer Network (NCCN) and European Society for Medical </w:t>
      </w:r>
      <w:r w:rsidRPr="003E7195">
        <w:lastRenderedPageBreak/>
        <w:t>Oncology (ESMO) guidelines and endorsed by eviQ since June 2023</w:t>
      </w:r>
      <w:r w:rsidR="004F3A92" w:rsidRPr="003E7195">
        <w:t>.</w:t>
      </w:r>
      <w:r w:rsidRPr="003E7195">
        <w:rPr>
          <w:rStyle w:val="FootnoteReference"/>
        </w:rPr>
        <w:footnoteReference w:id="11"/>
      </w:r>
      <w:r w:rsidRPr="003E7195">
        <w:t xml:space="preserve"> </w:t>
      </w:r>
      <w:r w:rsidRPr="003E7195">
        <w:rPr>
          <w:szCs w:val="24"/>
        </w:rPr>
        <w:t xml:space="preserve">For patients whose disease does not respond to, or relapses after, first-line therapy, FOLFOX </w:t>
      </w:r>
      <w:r w:rsidRPr="003E7195">
        <w:t xml:space="preserve">(fluorouracil, leucovorin and oxaliplatin) </w:t>
      </w:r>
      <w:r w:rsidRPr="003E7195">
        <w:rPr>
          <w:szCs w:val="24"/>
        </w:rPr>
        <w:t>is the</w:t>
      </w:r>
      <w:r w:rsidR="00990787">
        <w:rPr>
          <w:szCs w:val="24"/>
        </w:rPr>
        <w:t xml:space="preserve"> </w:t>
      </w:r>
      <w:r w:rsidRPr="003E7195">
        <w:rPr>
          <w:szCs w:val="24"/>
        </w:rPr>
        <w:t xml:space="preserve">recommended </w:t>
      </w:r>
      <w:r w:rsidR="00574941" w:rsidRPr="003E7195">
        <w:rPr>
          <w:szCs w:val="24"/>
        </w:rPr>
        <w:t xml:space="preserve">active </w:t>
      </w:r>
      <w:r w:rsidRPr="003E7195">
        <w:rPr>
          <w:szCs w:val="24"/>
        </w:rPr>
        <w:t>treatment in the second-line and beyond setting, according to the latest NCCN and ESMO guidelines, as well as eviQ recommendation</w:t>
      </w:r>
      <w:r w:rsidR="004F3A92" w:rsidRPr="003E7195">
        <w:rPr>
          <w:szCs w:val="24"/>
        </w:rPr>
        <w:t>.</w:t>
      </w:r>
      <w:r w:rsidRPr="003E7195">
        <w:rPr>
          <w:rStyle w:val="FootnoteReference"/>
          <w:szCs w:val="24"/>
        </w:rPr>
        <w:footnoteReference w:id="12"/>
      </w:r>
      <w:r w:rsidRPr="003E7195">
        <w:rPr>
          <w:szCs w:val="24"/>
          <w:vertAlign w:val="superscript"/>
        </w:rPr>
        <w:t>.</w:t>
      </w:r>
    </w:p>
    <w:p w14:paraId="482726A1" w14:textId="4656E1A4" w:rsidR="009E2636" w:rsidRPr="002F327D" w:rsidRDefault="0002135E" w:rsidP="007E0187">
      <w:pPr>
        <w:pStyle w:val="ListParagraph"/>
      </w:pPr>
      <w:r w:rsidRPr="003E7195">
        <w:t xml:space="preserve">Ivosidenib is an inhibitor of </w:t>
      </w:r>
      <w:r w:rsidRPr="003E7195">
        <w:rPr>
          <w:i/>
          <w:iCs/>
        </w:rPr>
        <w:t>IDH1</w:t>
      </w:r>
      <w:r w:rsidRPr="003E7195">
        <w:t xml:space="preserve"> p.R132X variant proteins and specifically targets the prevalent </w:t>
      </w:r>
      <w:r w:rsidRPr="003E7195">
        <w:rPr>
          <w:i/>
          <w:iCs/>
        </w:rPr>
        <w:t>IDH1</w:t>
      </w:r>
      <w:r w:rsidRPr="003E7195">
        <w:t xml:space="preserve"> p.R132H and p.R132C variants. The drug intervenes in the </w:t>
      </w:r>
      <w:r w:rsidRPr="003E7195">
        <w:rPr>
          <w:i/>
          <w:iCs/>
        </w:rPr>
        <w:t>IDH1</w:t>
      </w:r>
      <w:r w:rsidRPr="003E7195">
        <w:t xml:space="preserve"> metabolic pathway to prevent accumulation of 2-hydroxyglutarate (2-HG), an oncometabolite that promotes oncogenic transformation of cells, cell proliferation and metastasis. Ivosidenib is proposed to be used as </w:t>
      </w:r>
      <w:r w:rsidR="001D6553" w:rsidRPr="003E7195">
        <w:t xml:space="preserve">a </w:t>
      </w:r>
      <w:r w:rsidRPr="003E7195">
        <w:t>second- or third-line treatment for patients with locally advanced or metastatic CCA whose cancer tissue test</w:t>
      </w:r>
      <w:r w:rsidR="001D6553" w:rsidRPr="003E7195">
        <w:t>s</w:t>
      </w:r>
      <w:r w:rsidRPr="003E7195">
        <w:t xml:space="preserve"> positive for </w:t>
      </w:r>
      <w:r w:rsidRPr="003E7195">
        <w:rPr>
          <w:i/>
          <w:iCs/>
        </w:rPr>
        <w:t>IDH1</w:t>
      </w:r>
      <w:r w:rsidRPr="003E7195">
        <w:t xml:space="preserve"> p.R132X tier </w:t>
      </w:r>
      <w:r w:rsidR="00AC1FDF">
        <w:t>I</w:t>
      </w:r>
      <w:r w:rsidR="00AC1FDF" w:rsidRPr="003E7195">
        <w:t xml:space="preserve"> </w:t>
      </w:r>
      <w:r w:rsidRPr="003E7195">
        <w:t>variant and whose disease does not respond to, or relapse</w:t>
      </w:r>
      <w:r w:rsidR="001D6553" w:rsidRPr="003E7195">
        <w:t>s</w:t>
      </w:r>
      <w:r w:rsidRPr="003E7195">
        <w:t xml:space="preserve">, after at least one line of </w:t>
      </w:r>
      <w:r w:rsidR="00574941" w:rsidRPr="003E7195">
        <w:t xml:space="preserve">systemic </w:t>
      </w:r>
      <w:r w:rsidRPr="003E7195">
        <w:t>therapy.</w:t>
      </w:r>
      <w:r w:rsidR="00CD42C1">
        <w:t xml:space="preserve"> The PBAC noted that there are </w:t>
      </w:r>
      <w:proofErr w:type="gramStart"/>
      <w:r w:rsidR="00CD42C1">
        <w:t>a number of</w:t>
      </w:r>
      <w:proofErr w:type="gramEnd"/>
      <w:r w:rsidR="00CD42C1">
        <w:t xml:space="preserve"> ongoing trials of IDH inhibitors and treatments targeting other gene variants common in CCA.</w:t>
      </w:r>
    </w:p>
    <w:p w14:paraId="5A28ECFE" w14:textId="77777777" w:rsidR="002F327D" w:rsidRPr="00013016" w:rsidRDefault="002F327D" w:rsidP="007E0187">
      <w:pPr>
        <w:pStyle w:val="3-BodyText"/>
        <w:ind w:firstLine="0"/>
        <w:rPr>
          <w:i/>
          <w:iCs/>
        </w:rPr>
      </w:pPr>
      <w:r w:rsidRPr="00013016">
        <w:rPr>
          <w:i/>
          <w:iCs/>
        </w:rPr>
        <w:t>For more detail on PBAC’s view, see section 7 PBAC outcome.</w:t>
      </w:r>
    </w:p>
    <w:p w14:paraId="2101C0B0" w14:textId="77777777" w:rsidR="00C317F3" w:rsidRPr="003E7195" w:rsidRDefault="00C317F3" w:rsidP="0068446B">
      <w:pPr>
        <w:pStyle w:val="PBACESHeading1"/>
        <w:rPr>
          <w:color w:val="0D0D0D" w:themeColor="text1" w:themeTint="F2"/>
        </w:rPr>
      </w:pPr>
      <w:bookmarkStart w:id="15" w:name="_Toc166763142"/>
      <w:r w:rsidRPr="003E7195">
        <w:rPr>
          <w:color w:val="0D0D0D" w:themeColor="text1" w:themeTint="F2"/>
        </w:rPr>
        <w:t>Comparator</w:t>
      </w:r>
      <w:bookmarkEnd w:id="13"/>
      <w:bookmarkEnd w:id="15"/>
    </w:p>
    <w:p w14:paraId="6A51D25E" w14:textId="033A18DA" w:rsidR="008015AD" w:rsidRPr="008015AD" w:rsidRDefault="00111E4F" w:rsidP="007E0187">
      <w:pPr>
        <w:pStyle w:val="ListParagraph"/>
      </w:pPr>
      <w:r w:rsidRPr="00AB5374">
        <w:t xml:space="preserve">The nominated comparator for the proposed </w:t>
      </w:r>
      <w:r w:rsidRPr="00AB5374">
        <w:rPr>
          <w:i/>
          <w:iCs/>
        </w:rPr>
        <w:t>IDH1</w:t>
      </w:r>
      <w:r w:rsidRPr="00AB5374">
        <w:t xml:space="preserve"> variant testing </w:t>
      </w:r>
      <w:r w:rsidR="00574941" w:rsidRPr="00AB5374">
        <w:t>wa</w:t>
      </w:r>
      <w:r w:rsidRPr="00AB5374">
        <w:t xml:space="preserve">s </w:t>
      </w:r>
      <w:proofErr w:type="gramStart"/>
      <w:r w:rsidRPr="00AB5374">
        <w:t>no</w:t>
      </w:r>
      <w:proofErr w:type="gramEnd"/>
      <w:r w:rsidRPr="00AB5374">
        <w:t xml:space="preserve"> testing. Palliative care/BSC </w:t>
      </w:r>
      <w:r w:rsidR="00574941" w:rsidRPr="00AB5374">
        <w:t>wa</w:t>
      </w:r>
      <w:r w:rsidRPr="00AB5374">
        <w:t>s nominated as the primary comparator</w:t>
      </w:r>
      <w:r w:rsidR="006972FB" w:rsidRPr="00AB5374">
        <w:t xml:space="preserve"> for ivosidenib</w:t>
      </w:r>
      <w:r w:rsidR="00574941" w:rsidRPr="00AB5374">
        <w:t>; and c</w:t>
      </w:r>
      <w:r w:rsidRPr="00AB5374">
        <w:t>hemotherapy with FOLFOX or FO</w:t>
      </w:r>
      <w:r w:rsidR="00BA1487" w:rsidRPr="00AB5374">
        <w:t>L</w:t>
      </w:r>
      <w:r w:rsidRPr="00AB5374">
        <w:t>FIRI (</w:t>
      </w:r>
      <w:r w:rsidRPr="00AB5374">
        <w:rPr>
          <w:rFonts w:ascii="Calibri" w:eastAsia="Times New Roman" w:hAnsi="Calibri" w:cs="Times New Roman"/>
          <w:bCs/>
          <w:szCs w:val="24"/>
        </w:rPr>
        <w:t xml:space="preserve">fluorouracil, leucovorin, and irinotecan) </w:t>
      </w:r>
      <w:r w:rsidR="00574941" w:rsidRPr="00AB5374">
        <w:rPr>
          <w:rFonts w:ascii="Calibri" w:eastAsia="Times New Roman" w:hAnsi="Calibri" w:cs="Times New Roman"/>
          <w:bCs/>
          <w:szCs w:val="24"/>
        </w:rPr>
        <w:t>wa</w:t>
      </w:r>
      <w:r w:rsidRPr="00AB5374">
        <w:rPr>
          <w:rFonts w:ascii="Calibri" w:eastAsia="Times New Roman" w:hAnsi="Calibri" w:cs="Times New Roman"/>
          <w:bCs/>
          <w:szCs w:val="24"/>
        </w:rPr>
        <w:t>s</w:t>
      </w:r>
      <w:r w:rsidRPr="00AB5374">
        <w:t xml:space="preserve"> nominated as </w:t>
      </w:r>
      <w:r w:rsidR="00574941" w:rsidRPr="00AB5374">
        <w:t xml:space="preserve">the </w:t>
      </w:r>
      <w:r w:rsidRPr="00AB5374">
        <w:t xml:space="preserve">secondary comparator. </w:t>
      </w:r>
      <w:r w:rsidR="00484F53">
        <w:rPr>
          <w:bCs/>
        </w:rPr>
        <w:t>The submission stated</w:t>
      </w:r>
      <w:r w:rsidR="0069363C" w:rsidRPr="00AB5374">
        <w:t xml:space="preserve"> </w:t>
      </w:r>
      <w:r w:rsidR="0069363C" w:rsidRPr="00AB5374">
        <w:rPr>
          <w:bCs/>
        </w:rPr>
        <w:t xml:space="preserve">there is an absence of PBS-listed medicines for </w:t>
      </w:r>
      <w:r w:rsidR="00803C98" w:rsidRPr="00AB5374">
        <w:rPr>
          <w:bCs/>
        </w:rPr>
        <w:t>locally advanced or metastatic CCA harbouring a</w:t>
      </w:r>
      <w:r w:rsidR="001D6553" w:rsidRPr="00AB5374">
        <w:rPr>
          <w:bCs/>
        </w:rPr>
        <w:t>n</w:t>
      </w:r>
      <w:r w:rsidR="00803C98" w:rsidRPr="00AB5374">
        <w:rPr>
          <w:bCs/>
          <w:i/>
          <w:iCs/>
        </w:rPr>
        <w:t xml:space="preserve"> </w:t>
      </w:r>
      <w:r w:rsidR="0069363C" w:rsidRPr="00AB5374">
        <w:rPr>
          <w:bCs/>
          <w:i/>
          <w:iCs/>
        </w:rPr>
        <w:t>IDH1</w:t>
      </w:r>
      <w:r w:rsidR="00803C98" w:rsidRPr="00AB5374">
        <w:rPr>
          <w:bCs/>
        </w:rPr>
        <w:t xml:space="preserve"> variant</w:t>
      </w:r>
      <w:r w:rsidR="00484F53">
        <w:rPr>
          <w:bCs/>
        </w:rPr>
        <w:t xml:space="preserve"> and</w:t>
      </w:r>
      <w:r w:rsidR="0069363C" w:rsidRPr="00AB5374">
        <w:rPr>
          <w:bCs/>
        </w:rPr>
        <w:t xml:space="preserve"> the </w:t>
      </w:r>
      <w:r w:rsidR="003B74D9" w:rsidRPr="00AB5374">
        <w:rPr>
          <w:bCs/>
        </w:rPr>
        <w:t>treatment options</w:t>
      </w:r>
      <w:r w:rsidR="0069363C" w:rsidRPr="00AB5374">
        <w:rPr>
          <w:bCs/>
        </w:rPr>
        <w:t xml:space="preserve"> </w:t>
      </w:r>
      <w:r w:rsidR="006972FB" w:rsidRPr="00AB5374">
        <w:rPr>
          <w:bCs/>
        </w:rPr>
        <w:t xml:space="preserve">for </w:t>
      </w:r>
      <w:r w:rsidR="0069363C" w:rsidRPr="00AB5374">
        <w:rPr>
          <w:bCs/>
        </w:rPr>
        <w:t>previously treated patients include palliative care, mono</w:t>
      </w:r>
      <w:r w:rsidR="001D6553" w:rsidRPr="00AB5374">
        <w:rPr>
          <w:bCs/>
        </w:rPr>
        <w:t>-chemo</w:t>
      </w:r>
      <w:r w:rsidR="0069363C" w:rsidRPr="00AB5374">
        <w:rPr>
          <w:bCs/>
        </w:rPr>
        <w:t>therapy, combination chemotherapy, or clinical trial participation</w:t>
      </w:r>
      <w:r w:rsidR="00484F53">
        <w:rPr>
          <w:bCs/>
        </w:rPr>
        <w:t xml:space="preserve">. The submission also noted that </w:t>
      </w:r>
      <w:r w:rsidRPr="00AB5374">
        <w:rPr>
          <w:bCs/>
        </w:rPr>
        <w:t>clinical studies report</w:t>
      </w:r>
      <w:r w:rsidR="003B74D9" w:rsidRPr="00AB5374">
        <w:rPr>
          <w:bCs/>
        </w:rPr>
        <w:t>ed</w:t>
      </w:r>
      <w:r w:rsidRPr="00AB5374">
        <w:rPr>
          <w:bCs/>
        </w:rPr>
        <w:t xml:space="preserve"> that between 57% and 82% </w:t>
      </w:r>
      <w:r w:rsidR="001D6553" w:rsidRPr="00AB5374">
        <w:rPr>
          <w:bCs/>
        </w:rPr>
        <w:t xml:space="preserve">of </w:t>
      </w:r>
      <w:r w:rsidRPr="00AB5374">
        <w:rPr>
          <w:bCs/>
        </w:rPr>
        <w:t xml:space="preserve">patients with locally advanced or metastatic CCA who receive first-line chemotherapy </w:t>
      </w:r>
      <w:r w:rsidR="001D6553" w:rsidRPr="00AB5374">
        <w:rPr>
          <w:bCs/>
        </w:rPr>
        <w:t xml:space="preserve">do </w:t>
      </w:r>
      <w:r w:rsidRPr="00AB5374">
        <w:rPr>
          <w:bCs/>
        </w:rPr>
        <w:t xml:space="preserve">not receive second-line chemotherapy as their cancer </w:t>
      </w:r>
      <w:r w:rsidR="001D6553" w:rsidRPr="00AB5374">
        <w:rPr>
          <w:bCs/>
        </w:rPr>
        <w:t>progresses</w:t>
      </w:r>
      <w:r w:rsidR="00C85687" w:rsidRPr="003E7195">
        <w:rPr>
          <w:rStyle w:val="FootnoteReference"/>
          <w:bCs/>
        </w:rPr>
        <w:footnoteReference w:id="13"/>
      </w:r>
      <w:r w:rsidR="00607317" w:rsidRPr="00AB5374">
        <w:rPr>
          <w:bCs/>
        </w:rPr>
        <w:t>.</w:t>
      </w:r>
      <w:r w:rsidRPr="00AB5374">
        <w:rPr>
          <w:bCs/>
        </w:rPr>
        <w:t xml:space="preserve"> </w:t>
      </w:r>
      <w:r w:rsidR="00AB5374">
        <w:rPr>
          <w:bCs/>
        </w:rPr>
        <w:lastRenderedPageBreak/>
        <w:t>However, m</w:t>
      </w:r>
      <w:r w:rsidR="003D1B8B" w:rsidRPr="00AB5374">
        <w:t>os</w:t>
      </w:r>
      <w:r w:rsidR="003B74D9" w:rsidRPr="00AB5374">
        <w:t xml:space="preserve">t of the studies </w:t>
      </w:r>
      <w:r w:rsidR="00C64C0B" w:rsidRPr="00484F53">
        <w:t>cited</w:t>
      </w:r>
      <w:r w:rsidR="003D1B8B" w:rsidRPr="00AB5374">
        <w:t xml:space="preserve"> were </w:t>
      </w:r>
      <w:r w:rsidRPr="00AB5374">
        <w:t>published before 2015</w:t>
      </w:r>
      <w:r w:rsidR="003D1B8B" w:rsidRPr="00AB5374">
        <w:t xml:space="preserve">. </w:t>
      </w:r>
      <w:r w:rsidR="001C15F6" w:rsidRPr="00C30625">
        <w:rPr>
          <w:bCs/>
        </w:rPr>
        <w:t>The ESCs noted that long term follow up data from the TOPAZ-1 trial</w:t>
      </w:r>
      <w:r w:rsidR="00C64C0B" w:rsidRPr="00C30625">
        <w:rPr>
          <w:rStyle w:val="FootnoteReference"/>
          <w:bCs/>
        </w:rPr>
        <w:footnoteReference w:id="14"/>
      </w:r>
      <w:r w:rsidR="001C15F6" w:rsidRPr="00C30625">
        <w:rPr>
          <w:bCs/>
        </w:rPr>
        <w:t xml:space="preserve"> (durvalumab or placebo plus gemcitabine + cisplatin) indicated that 51-5</w:t>
      </w:r>
      <w:r w:rsidR="00035673">
        <w:rPr>
          <w:bCs/>
        </w:rPr>
        <w:t>4</w:t>
      </w:r>
      <w:r w:rsidR="001C15F6" w:rsidRPr="00C30625">
        <w:rPr>
          <w:bCs/>
        </w:rPr>
        <w:t>% of patients received subsequent anti</w:t>
      </w:r>
      <w:r w:rsidR="006567D4" w:rsidRPr="00C30625">
        <w:rPr>
          <w:bCs/>
        </w:rPr>
        <w:noBreakHyphen/>
      </w:r>
      <w:r w:rsidR="001C15F6" w:rsidRPr="00C30625">
        <w:rPr>
          <w:bCs/>
        </w:rPr>
        <w:t xml:space="preserve">cancer therapy. The ESCs considered that </w:t>
      </w:r>
      <w:r w:rsidR="00D7134D">
        <w:rPr>
          <w:bCs/>
        </w:rPr>
        <w:t>this</w:t>
      </w:r>
      <w:r w:rsidR="00484F53">
        <w:rPr>
          <w:bCs/>
        </w:rPr>
        <w:t xml:space="preserve"> study </w:t>
      </w:r>
      <w:r w:rsidR="001C15F6" w:rsidRPr="00C30625">
        <w:rPr>
          <w:bCs/>
        </w:rPr>
        <w:t>suggests that a higher proportion of patients would receive second-line chemotherapy than was assumed in the submission.</w:t>
      </w:r>
      <w:r w:rsidR="001C15F6" w:rsidRPr="00AB5374">
        <w:rPr>
          <w:bCs/>
        </w:rPr>
        <w:t xml:space="preserve"> </w:t>
      </w:r>
    </w:p>
    <w:p w14:paraId="17B984AF" w14:textId="669EB394" w:rsidR="00C73DE5" w:rsidRPr="00AB5374" w:rsidRDefault="008015AD" w:rsidP="007E0187">
      <w:pPr>
        <w:pStyle w:val="ListParagraph"/>
      </w:pPr>
      <w:r w:rsidRPr="008015AD">
        <w:t>D</w:t>
      </w:r>
      <w:r w:rsidR="00111E4F" w:rsidRPr="00AB5374">
        <w:t xml:space="preserve">ata from the ABC-06 trial (published in May 2021), which compared FOLFOX with active symptom control alone in </w:t>
      </w:r>
      <w:r w:rsidR="003D1B8B" w:rsidRPr="00AB5374">
        <w:t>previous</w:t>
      </w:r>
      <w:r w:rsidR="003E4E4A" w:rsidRPr="00AB5374">
        <w:t>ly</w:t>
      </w:r>
      <w:r w:rsidR="003D1B8B" w:rsidRPr="00AB5374">
        <w:t xml:space="preserve"> treated locally advanced or metastatic biliary tract cancer</w:t>
      </w:r>
      <w:r w:rsidR="00111E4F" w:rsidRPr="00AB5374">
        <w:t xml:space="preserve"> between 2014 and 2018, led to </w:t>
      </w:r>
      <w:r w:rsidR="001A45B9" w:rsidRPr="00AB5374">
        <w:t>the</w:t>
      </w:r>
      <w:r w:rsidR="00111E4F" w:rsidRPr="00AB5374">
        <w:t xml:space="preserve"> </w:t>
      </w:r>
      <w:r w:rsidR="003D1B8B" w:rsidRPr="00AB5374">
        <w:t xml:space="preserve">recommendation </w:t>
      </w:r>
      <w:r w:rsidR="001D6553" w:rsidRPr="00AB5374">
        <w:t xml:space="preserve">that </w:t>
      </w:r>
      <w:r w:rsidR="00111E4F" w:rsidRPr="00AB5374">
        <w:t xml:space="preserve">FOLFOX </w:t>
      </w:r>
      <w:r w:rsidR="001D6553" w:rsidRPr="00AB5374">
        <w:t xml:space="preserve">is </w:t>
      </w:r>
      <w:r w:rsidR="00F35158" w:rsidRPr="00AB5374">
        <w:t>to be used</w:t>
      </w:r>
      <w:r w:rsidR="003D1B8B" w:rsidRPr="00AB5374">
        <w:t xml:space="preserve"> </w:t>
      </w:r>
      <w:r w:rsidR="001D6553" w:rsidRPr="00AB5374">
        <w:t xml:space="preserve">as </w:t>
      </w:r>
      <w:r w:rsidR="00111E4F" w:rsidRPr="00AB5374">
        <w:t xml:space="preserve">second-line </w:t>
      </w:r>
      <w:r w:rsidR="003D1B8B" w:rsidRPr="00AB5374">
        <w:t xml:space="preserve">treatment </w:t>
      </w:r>
      <w:r w:rsidR="006972FB" w:rsidRPr="00AB5374">
        <w:t>for</w:t>
      </w:r>
      <w:r w:rsidR="003D1B8B" w:rsidRPr="00AB5374">
        <w:t xml:space="preserve"> advanced CCA by</w:t>
      </w:r>
      <w:r w:rsidR="00111E4F" w:rsidRPr="00AB5374">
        <w:t xml:space="preserve"> the NCCN and ESMO guideline</w:t>
      </w:r>
      <w:r w:rsidR="00C73DE5" w:rsidRPr="00AB5374">
        <w:t>s</w:t>
      </w:r>
      <w:r w:rsidR="00111E4F" w:rsidRPr="00AB5374">
        <w:t xml:space="preserve">, as well as </w:t>
      </w:r>
      <w:r w:rsidR="003D1B8B" w:rsidRPr="00AB5374">
        <w:t xml:space="preserve">the </w:t>
      </w:r>
      <w:r w:rsidR="00111E4F" w:rsidRPr="00AB5374">
        <w:t>eviQ</w:t>
      </w:r>
      <w:r w:rsidR="003D1B8B" w:rsidRPr="00AB5374">
        <w:t xml:space="preserve"> guidelines</w:t>
      </w:r>
      <w:r w:rsidR="00111E4F" w:rsidRPr="5E50F0AE">
        <w:t xml:space="preserve">. </w:t>
      </w:r>
      <w:r w:rsidR="00E16E93" w:rsidRPr="00C30625">
        <w:rPr>
          <w:iCs/>
        </w:rPr>
        <w:t>The ESCs noted that</w:t>
      </w:r>
      <w:r w:rsidR="00111E4F" w:rsidRPr="00C30625">
        <w:rPr>
          <w:iCs/>
        </w:rPr>
        <w:t xml:space="preserve"> </w:t>
      </w:r>
      <w:r w:rsidR="006972FB" w:rsidRPr="00C30625">
        <w:rPr>
          <w:iCs/>
        </w:rPr>
        <w:t xml:space="preserve">the use of FOLFOX </w:t>
      </w:r>
      <w:r w:rsidR="000C580E" w:rsidRPr="00C30625">
        <w:rPr>
          <w:iCs/>
        </w:rPr>
        <w:t>is</w:t>
      </w:r>
      <w:r w:rsidR="00111E4F" w:rsidRPr="00C30625">
        <w:rPr>
          <w:iCs/>
        </w:rPr>
        <w:t xml:space="preserve"> limited by </w:t>
      </w:r>
      <w:r w:rsidR="00C73DE5" w:rsidRPr="00C30625">
        <w:rPr>
          <w:iCs/>
        </w:rPr>
        <w:t xml:space="preserve">its unfavourable safety profile </w:t>
      </w:r>
      <w:r w:rsidR="00667BC5" w:rsidRPr="00C30625">
        <w:rPr>
          <w:iCs/>
        </w:rPr>
        <w:t xml:space="preserve">in </w:t>
      </w:r>
      <w:r w:rsidR="001D6553" w:rsidRPr="00C30625">
        <w:rPr>
          <w:iCs/>
        </w:rPr>
        <w:t>frail patients</w:t>
      </w:r>
      <w:r w:rsidR="00E617F4" w:rsidRPr="00C30625">
        <w:rPr>
          <w:iCs/>
        </w:rPr>
        <w:t>,</w:t>
      </w:r>
      <w:r w:rsidR="001D6553" w:rsidRPr="00C30625">
        <w:rPr>
          <w:iCs/>
        </w:rPr>
        <w:t xml:space="preserve"> </w:t>
      </w:r>
      <w:r w:rsidR="00E617F4" w:rsidRPr="00C30625">
        <w:rPr>
          <w:iCs/>
        </w:rPr>
        <w:t xml:space="preserve">who </w:t>
      </w:r>
      <w:r w:rsidR="001D6553" w:rsidRPr="00C30625">
        <w:rPr>
          <w:iCs/>
        </w:rPr>
        <w:t xml:space="preserve">are unlikely to tolerate </w:t>
      </w:r>
      <w:r w:rsidR="005E6C9C" w:rsidRPr="00C30625">
        <w:rPr>
          <w:iCs/>
        </w:rPr>
        <w:t>it.</w:t>
      </w:r>
      <w:r w:rsidR="00C73DE5" w:rsidRPr="00C30625">
        <w:rPr>
          <w:iCs/>
        </w:rPr>
        <w:t xml:space="preserve"> </w:t>
      </w:r>
      <w:r w:rsidR="000C580E" w:rsidRPr="00C30625">
        <w:rPr>
          <w:iCs/>
        </w:rPr>
        <w:t xml:space="preserve">However, the ESCs also noted that patients </w:t>
      </w:r>
      <w:r w:rsidR="00CB14F7" w:rsidRPr="00C30625">
        <w:rPr>
          <w:iCs/>
        </w:rPr>
        <w:t xml:space="preserve">with poor performance status </w:t>
      </w:r>
      <w:r w:rsidR="000C580E" w:rsidRPr="00C30625">
        <w:rPr>
          <w:iCs/>
        </w:rPr>
        <w:t>may also be unsuitable for treatment with ivosidenib.</w:t>
      </w:r>
    </w:p>
    <w:p w14:paraId="1C85241C" w14:textId="1F60E4A0" w:rsidR="00111E4F" w:rsidRDefault="00111E4F" w:rsidP="007E0187">
      <w:pPr>
        <w:pStyle w:val="ListParagraph"/>
      </w:pPr>
      <w:r w:rsidRPr="5E50F0AE">
        <w:t xml:space="preserve">Overall, </w:t>
      </w:r>
      <w:r w:rsidR="00C73DE5" w:rsidRPr="5E50F0AE">
        <w:t xml:space="preserve">the submission’s nomination of </w:t>
      </w:r>
      <w:r w:rsidR="00C73DE5" w:rsidRPr="00181B1F">
        <w:t>p</w:t>
      </w:r>
      <w:r w:rsidRPr="00181B1F">
        <w:t xml:space="preserve">alliative care/BSC as </w:t>
      </w:r>
      <w:r w:rsidR="00C73DE5" w:rsidRPr="00181B1F">
        <w:t xml:space="preserve">the </w:t>
      </w:r>
      <w:r w:rsidRPr="00181B1F">
        <w:t xml:space="preserve">primary comparator and FOLFOX as </w:t>
      </w:r>
      <w:r w:rsidR="00C73DE5" w:rsidRPr="00181B1F">
        <w:t xml:space="preserve">the </w:t>
      </w:r>
      <w:r w:rsidRPr="00181B1F">
        <w:t>secondary comparator appear</w:t>
      </w:r>
      <w:r w:rsidR="00C73DE5" w:rsidRPr="00181B1F">
        <w:t>ed</w:t>
      </w:r>
      <w:r w:rsidRPr="00181B1F">
        <w:t xml:space="preserve"> reasonable</w:t>
      </w:r>
      <w:r w:rsidRPr="00C30625">
        <w:t>.</w:t>
      </w:r>
      <w:r w:rsidR="008D1AE0" w:rsidRPr="00C30625">
        <w:t xml:space="preserve"> </w:t>
      </w:r>
      <w:r w:rsidR="00C84796" w:rsidRPr="00C30625">
        <w:t xml:space="preserve">The </w:t>
      </w:r>
      <w:r w:rsidR="00D7134D">
        <w:t xml:space="preserve">PBAC agreed with the </w:t>
      </w:r>
      <w:r w:rsidR="00C84796" w:rsidRPr="00C30625">
        <w:t xml:space="preserve">ESCs that FOLFOX and FOLFIRI </w:t>
      </w:r>
      <w:r w:rsidR="009B3567" w:rsidRPr="00C30625">
        <w:t>were important relevant comparators for a substantial proportion of patients.</w:t>
      </w:r>
      <w:r w:rsidR="009B3567">
        <w:t xml:space="preserve"> </w:t>
      </w:r>
      <w:r w:rsidR="00C810E1" w:rsidRPr="00181B1F">
        <w:t xml:space="preserve">Although the submission provided clinical evidence for the comparison of ivosidenib and FOLFOX, it was not included in the base case </w:t>
      </w:r>
      <w:r w:rsidR="00DB474A">
        <w:t>economic evaluation</w:t>
      </w:r>
      <w:r w:rsidR="00C810E1" w:rsidRPr="00181B1F">
        <w:t xml:space="preserve">, </w:t>
      </w:r>
      <w:r w:rsidR="00CD42C1">
        <w:t>and was only</w:t>
      </w:r>
      <w:r w:rsidR="00C810E1" w:rsidRPr="00181B1F">
        <w:t xml:space="preserve"> considered in a sensitivity analysis.</w:t>
      </w:r>
    </w:p>
    <w:p w14:paraId="77E3AAE7" w14:textId="77777777" w:rsidR="002F327D" w:rsidRPr="002F327D" w:rsidRDefault="002F327D" w:rsidP="007E0187">
      <w:pPr>
        <w:pStyle w:val="3-BodyText"/>
        <w:ind w:firstLine="0"/>
      </w:pPr>
      <w:r w:rsidRPr="002F327D">
        <w:t>For more detail on PBAC’s view, see section 7 PBAC outcome.</w:t>
      </w:r>
    </w:p>
    <w:p w14:paraId="512348B1" w14:textId="77777777" w:rsidR="00015290" w:rsidRPr="003E7195" w:rsidRDefault="00015290" w:rsidP="00565A06">
      <w:pPr>
        <w:pStyle w:val="PBACESHeading1"/>
        <w:rPr>
          <w:color w:val="0D0D0D" w:themeColor="text1" w:themeTint="F2"/>
        </w:rPr>
      </w:pPr>
      <w:bookmarkStart w:id="16" w:name="_Toc166763143"/>
      <w:r w:rsidRPr="003E7195">
        <w:rPr>
          <w:color w:val="0D0D0D" w:themeColor="text1" w:themeTint="F2"/>
        </w:rPr>
        <w:t>Consideration of the evidence</w:t>
      </w:r>
      <w:bookmarkEnd w:id="16"/>
    </w:p>
    <w:p w14:paraId="03FB9C00" w14:textId="77777777" w:rsidR="002F327D" w:rsidRPr="002F327D" w:rsidRDefault="002F327D" w:rsidP="002F327D">
      <w:pPr>
        <w:pStyle w:val="PBACESHeading2"/>
        <w:numPr>
          <w:ilvl w:val="2"/>
          <w:numId w:val="0"/>
        </w:numPr>
        <w:rPr>
          <w:rFonts w:asciiTheme="minorHAnsi" w:hAnsiTheme="minorHAnsi" w:cstheme="minorHAnsi"/>
          <w:color w:val="0D0D0D" w:themeColor="text1" w:themeTint="F2"/>
        </w:rPr>
      </w:pPr>
      <w:bookmarkStart w:id="17" w:name="_Hlk76375935"/>
      <w:bookmarkStart w:id="18" w:name="_Toc166763144"/>
      <w:r w:rsidRPr="002F327D">
        <w:rPr>
          <w:rFonts w:asciiTheme="minorHAnsi" w:hAnsiTheme="minorHAnsi" w:cstheme="minorHAnsi"/>
          <w:color w:val="0D0D0D" w:themeColor="text1" w:themeTint="F2"/>
        </w:rPr>
        <w:t>Sponsor hearing</w:t>
      </w:r>
    </w:p>
    <w:p w14:paraId="1613737F" w14:textId="0B7C0679" w:rsidR="002F327D" w:rsidRPr="002F327D" w:rsidRDefault="002F327D" w:rsidP="007E0187">
      <w:pPr>
        <w:pStyle w:val="ListParagraph"/>
      </w:pPr>
      <w:r w:rsidRPr="002F327D">
        <w:t>There was no hearing for this item.</w:t>
      </w:r>
    </w:p>
    <w:p w14:paraId="2D81E5B4" w14:textId="77777777" w:rsidR="002F327D" w:rsidRPr="002F327D" w:rsidRDefault="002F327D" w:rsidP="002F327D">
      <w:pPr>
        <w:pStyle w:val="PBACESHeading2"/>
        <w:numPr>
          <w:ilvl w:val="2"/>
          <w:numId w:val="0"/>
        </w:numPr>
        <w:rPr>
          <w:rFonts w:asciiTheme="minorHAnsi" w:hAnsiTheme="minorHAnsi" w:cstheme="minorHAnsi"/>
          <w:color w:val="0D0D0D" w:themeColor="text1" w:themeTint="F2"/>
        </w:rPr>
      </w:pPr>
      <w:r w:rsidRPr="002F327D">
        <w:rPr>
          <w:rFonts w:asciiTheme="minorHAnsi" w:hAnsiTheme="minorHAnsi" w:cstheme="minorHAnsi"/>
          <w:color w:val="0D0D0D" w:themeColor="text1" w:themeTint="F2"/>
        </w:rPr>
        <w:t>Consumer comments</w:t>
      </w:r>
    </w:p>
    <w:p w14:paraId="0E9A2688" w14:textId="5F590149" w:rsidR="005C70FC" w:rsidRPr="00D90080" w:rsidRDefault="005C70FC" w:rsidP="007E0187">
      <w:pPr>
        <w:pStyle w:val="ListParagraph"/>
      </w:pPr>
      <w:bookmarkStart w:id="19" w:name="_Hlk76382618"/>
      <w:bookmarkStart w:id="20" w:name="_Hlk174516645"/>
      <w:r w:rsidRPr="005C70FC">
        <w:t xml:space="preserve">The PBAC noted and welcomed the input from health care professionals (5) and organisations (4) via the Consumer Comments facility on the PBS website. The comments </w:t>
      </w:r>
      <w:r>
        <w:t xml:space="preserve">from health care professionals </w:t>
      </w:r>
      <w:r w:rsidRPr="005C70FC">
        <w:t>described ivosidenib as an</w:t>
      </w:r>
      <w:r w:rsidRPr="00497E26">
        <w:t xml:space="preserve"> effective </w:t>
      </w:r>
      <w:r w:rsidRPr="005C70FC">
        <w:t xml:space="preserve">and tolerable </w:t>
      </w:r>
      <w:r w:rsidRPr="00497E26">
        <w:t xml:space="preserve">treatment option for </w:t>
      </w:r>
      <w:r w:rsidRPr="005C70FC">
        <w:t>the small subset of patients</w:t>
      </w:r>
      <w:r w:rsidRPr="00497E26">
        <w:t xml:space="preserve"> with </w:t>
      </w:r>
      <w:r w:rsidR="00D7489E">
        <w:t>CCA</w:t>
      </w:r>
      <w:r w:rsidRPr="005C70FC">
        <w:t xml:space="preserve"> with IDH mutations</w:t>
      </w:r>
      <w:r w:rsidRPr="00497E26">
        <w:t xml:space="preserve">, noting </w:t>
      </w:r>
      <w:r w:rsidR="00D7134D">
        <w:t xml:space="preserve">there is </w:t>
      </w:r>
      <w:r w:rsidRPr="00497E26">
        <w:t xml:space="preserve">sufficient evidence for its use. </w:t>
      </w:r>
      <w:r w:rsidRPr="005C70FC">
        <w:t xml:space="preserve">The comments also noted the value of molecular profiling in patients with cholangiocarcinoma as a range of key </w:t>
      </w:r>
      <w:r w:rsidRPr="005C70FC">
        <w:lastRenderedPageBreak/>
        <w:t xml:space="preserve">driver mutations have been identified as potential targets for new therapies with evidence for clinical benefit. Comments indicated that ivosidenib is considered less toxic than chemotherapy in the </w:t>
      </w:r>
      <w:r w:rsidR="00DC6150">
        <w:t>second line (</w:t>
      </w:r>
      <w:r w:rsidRPr="005C70FC">
        <w:t>2L</w:t>
      </w:r>
      <w:r w:rsidR="00DC6150">
        <w:t>)</w:t>
      </w:r>
      <w:r w:rsidRPr="005C70FC">
        <w:t xml:space="preserve"> setting. Input also described the </w:t>
      </w:r>
      <w:r w:rsidR="007202B2">
        <w:t>small number</w:t>
      </w:r>
      <w:r w:rsidR="007202B2" w:rsidRPr="005C70FC">
        <w:t xml:space="preserve"> </w:t>
      </w:r>
      <w:r w:rsidRPr="005C70FC">
        <w:t xml:space="preserve">of PBS-subsidised treatment options for patients with </w:t>
      </w:r>
      <w:r w:rsidR="00D7489E">
        <w:t>CCA</w:t>
      </w:r>
      <w:r w:rsidRPr="005C70FC">
        <w:t xml:space="preserve">, which has a very </w:t>
      </w:r>
      <w:r w:rsidRPr="00D90080">
        <w:t>poor prognosis.</w:t>
      </w:r>
    </w:p>
    <w:p w14:paraId="3DDBA380" w14:textId="453920FC" w:rsidR="00497E26" w:rsidRPr="00D90080" w:rsidRDefault="002F327D" w:rsidP="007E0187">
      <w:pPr>
        <w:pStyle w:val="ListParagraph"/>
      </w:pPr>
      <w:r w:rsidRPr="00D90080">
        <w:t xml:space="preserve">The PBAC noted the advice received from </w:t>
      </w:r>
      <w:r w:rsidR="00497E26" w:rsidRPr="00D90080">
        <w:t>Pancare Foundation, Liver Foundation and Rare Cancers Australia in support of the ivosidenib submission.</w:t>
      </w:r>
      <w:r w:rsidR="00376F46" w:rsidRPr="00D90080">
        <w:t xml:space="preserve"> Pancare Foundation also provided an in-depth report regarding the impact of upper GI cancers and </w:t>
      </w:r>
      <w:r w:rsidR="00AB6EAA" w:rsidRPr="00D90080">
        <w:t xml:space="preserve">the </w:t>
      </w:r>
      <w:r w:rsidR="00376F46" w:rsidRPr="00D90080">
        <w:t>challenges of treatment.</w:t>
      </w:r>
      <w:r w:rsidR="005A777F" w:rsidRPr="00D90080">
        <w:t xml:space="preserve"> Input from </w:t>
      </w:r>
      <w:r w:rsidR="00CF6CA7" w:rsidRPr="00D90080">
        <w:t xml:space="preserve">both Liver Foundation and </w:t>
      </w:r>
      <w:r w:rsidR="005A777F" w:rsidRPr="00D90080">
        <w:t>Pancare noted that patients diagnosed with cholangiocarcinoma are often diagnosed late, when chances of survival are reduced and treatment results in ser</w:t>
      </w:r>
      <w:r w:rsidR="00DC6150">
        <w:t>i</w:t>
      </w:r>
      <w:r w:rsidR="005A777F" w:rsidRPr="00D90080">
        <w:t>ous physical side effects</w:t>
      </w:r>
      <w:r w:rsidR="00D7134D">
        <w:t xml:space="preserve">, </w:t>
      </w:r>
      <w:r w:rsidR="005A777F" w:rsidRPr="00D90080">
        <w:t>major impact on quality of life</w:t>
      </w:r>
      <w:r w:rsidR="00CF6CA7" w:rsidRPr="00D90080">
        <w:t xml:space="preserve"> and </w:t>
      </w:r>
      <w:r w:rsidR="00D7134D">
        <w:t xml:space="preserve">high </w:t>
      </w:r>
      <w:r w:rsidR="00CF6CA7" w:rsidRPr="00D90080">
        <w:t>financial burden</w:t>
      </w:r>
      <w:r w:rsidR="005A777F" w:rsidRPr="00D90080">
        <w:t>. Comments noted the</w:t>
      </w:r>
      <w:r w:rsidR="00D7489E">
        <w:t xml:space="preserve"> progression free survival</w:t>
      </w:r>
      <w:r w:rsidR="005A777F" w:rsidRPr="00D90080">
        <w:t xml:space="preserve"> </w:t>
      </w:r>
      <w:r w:rsidR="00D7489E">
        <w:t>(</w:t>
      </w:r>
      <w:r w:rsidR="005A777F" w:rsidRPr="00D90080">
        <w:t>PFS</w:t>
      </w:r>
      <w:r w:rsidR="00D7489E">
        <w:t>)</w:t>
      </w:r>
      <w:r w:rsidR="005A777F" w:rsidRPr="00D90080">
        <w:t xml:space="preserve"> gain and the </w:t>
      </w:r>
      <w:r w:rsidR="00D7489E">
        <w:t>overall survival (</w:t>
      </w:r>
      <w:r w:rsidR="005A777F" w:rsidRPr="00D90080">
        <w:t>OS</w:t>
      </w:r>
      <w:r w:rsidR="00D7489E">
        <w:t>)</w:t>
      </w:r>
      <w:r w:rsidR="005A777F" w:rsidRPr="00D90080">
        <w:t xml:space="preserve"> gain (adjusted for cross over) for patients treated with ivosidenib was considered meaningful to patients, given the limited survival rate for </w:t>
      </w:r>
      <w:r w:rsidR="00D7489E">
        <w:t>CCA</w:t>
      </w:r>
      <w:r w:rsidR="005A777F" w:rsidRPr="00D90080">
        <w:t>.</w:t>
      </w:r>
      <w:r w:rsidR="00B9172C" w:rsidRPr="00D90080">
        <w:t xml:space="preserve"> </w:t>
      </w:r>
      <w:r w:rsidR="006B4D6E" w:rsidRPr="00D90080">
        <w:t>Comments from Rare Cancers Australia noted that ivosidenib is expected to improve the daily functioning of people with cholangiocarcinoma, with PBS listing expected to remove the financial burden of self-funding treatment. Comments from the three consumer groups also noted that the oral administration for ivosidenib has substantial benefits f</w:t>
      </w:r>
      <w:r w:rsidR="00D90080">
        <w:t>or</w:t>
      </w:r>
      <w:r w:rsidR="006B4D6E" w:rsidRPr="00D90080">
        <w:t xml:space="preserve"> patients compared with chemotherapy. </w:t>
      </w:r>
    </w:p>
    <w:bookmarkEnd w:id="17"/>
    <w:bookmarkEnd w:id="19"/>
    <w:p w14:paraId="6F3EDC31" w14:textId="3E4354D9" w:rsidR="002F327D" w:rsidRPr="005C70FC" w:rsidRDefault="002F327D" w:rsidP="007E0187">
      <w:pPr>
        <w:pStyle w:val="ListParagraph"/>
      </w:pPr>
      <w:r w:rsidRPr="005C70FC">
        <w:t xml:space="preserve">The </w:t>
      </w:r>
      <w:r w:rsidRPr="00497E26">
        <w:t>Medical</w:t>
      </w:r>
      <w:r w:rsidRPr="005C70FC">
        <w:t xml:space="preserve"> Oncology Group of Australia (MOGA) also expressed its support for the </w:t>
      </w:r>
      <w:r w:rsidR="00497E26" w:rsidRPr="005C70FC">
        <w:t>ivosidenib</w:t>
      </w:r>
      <w:r w:rsidRPr="005C70FC">
        <w:t xml:space="preserve"> submission</w:t>
      </w:r>
      <w:r w:rsidR="006308E8">
        <w:t xml:space="preserve"> as an “other supported application”</w:t>
      </w:r>
      <w:r w:rsidRPr="005C70FC">
        <w:t xml:space="preserve">. The PBAC noted that the MOGA presented a European Society for Medical Oncology Magnitude of Clinical Benefit Scale (ESMO-MCBS) for </w:t>
      </w:r>
      <w:r w:rsidR="00497E26" w:rsidRPr="005C70FC">
        <w:t>ivosidenib</w:t>
      </w:r>
      <w:r w:rsidRPr="005C70FC">
        <w:t xml:space="preserve">, which was limited to </w:t>
      </w:r>
      <w:r w:rsidR="00497E26" w:rsidRPr="005C70FC">
        <w:t>2</w:t>
      </w:r>
      <w:r w:rsidRPr="005C70FC">
        <w:t xml:space="preserve"> (out of a maximum of 5, where 5 and 4 represent the grades with substantial improvement)</w:t>
      </w:r>
      <w:r w:rsidR="00497E26" w:rsidRPr="005C70FC">
        <w:rPr>
          <w:vertAlign w:val="superscript"/>
        </w:rPr>
        <w:footnoteReference w:id="15"/>
      </w:r>
      <w:r w:rsidRPr="005C70FC">
        <w:t xml:space="preserve">, based on a comparison with </w:t>
      </w:r>
      <w:r w:rsidR="00497E26" w:rsidRPr="005C70FC">
        <w:t>placebo</w:t>
      </w:r>
      <w:r w:rsidRPr="005C70FC">
        <w:t xml:space="preserve">. </w:t>
      </w:r>
    </w:p>
    <w:bookmarkEnd w:id="20"/>
    <w:p w14:paraId="51A8A224" w14:textId="77777777" w:rsidR="00214438" w:rsidRPr="00AB222B" w:rsidRDefault="00214438" w:rsidP="003E29E8">
      <w:pPr>
        <w:pStyle w:val="PBACESHeading2"/>
        <w:numPr>
          <w:ilvl w:val="2"/>
          <w:numId w:val="0"/>
        </w:numPr>
        <w:rPr>
          <w:rFonts w:asciiTheme="minorHAnsi" w:hAnsiTheme="minorHAnsi" w:cstheme="minorHAnsi"/>
          <w:color w:val="0D0D0D" w:themeColor="text1" w:themeTint="F2"/>
        </w:rPr>
      </w:pPr>
      <w:r w:rsidRPr="00AB222B">
        <w:rPr>
          <w:rFonts w:asciiTheme="minorHAnsi" w:hAnsiTheme="minorHAnsi" w:cstheme="minorHAnsi"/>
          <w:color w:val="0D0D0D" w:themeColor="text1" w:themeTint="F2"/>
        </w:rPr>
        <w:t>Overview of the evidence base</w:t>
      </w:r>
      <w:bookmarkEnd w:id="18"/>
    </w:p>
    <w:p w14:paraId="35862AE5" w14:textId="77C5D92F" w:rsidR="00053F94" w:rsidRPr="003E7195" w:rsidRDefault="005B61EA" w:rsidP="007E0187">
      <w:pPr>
        <w:pStyle w:val="ListParagraph"/>
        <w:rPr>
          <w:rFonts w:cstheme="minorHAnsi"/>
        </w:rPr>
      </w:pPr>
      <w:r w:rsidRPr="003E7195">
        <w:t xml:space="preserve">The approach taken in the submission </w:t>
      </w:r>
      <w:r w:rsidR="00D7134D">
        <w:t>wa</w:t>
      </w:r>
      <w:r w:rsidRPr="003E7195">
        <w:t xml:space="preserve">s to present evidence </w:t>
      </w:r>
      <w:r w:rsidR="006526F1" w:rsidRPr="003E7195">
        <w:t xml:space="preserve">showing </w:t>
      </w:r>
      <w:r w:rsidRPr="003E7195">
        <w:t xml:space="preserve">that </w:t>
      </w:r>
      <w:r w:rsidR="008D3E21" w:rsidRPr="003E7195">
        <w:t xml:space="preserve">ivosidenib is superior to placebo in patients with </w:t>
      </w:r>
      <w:r w:rsidR="008D3E21" w:rsidRPr="003E7195">
        <w:rPr>
          <w:i/>
          <w:iCs/>
        </w:rPr>
        <w:t>IDH1</w:t>
      </w:r>
      <w:r w:rsidR="008D3E21" w:rsidRPr="003E7195">
        <w:t xml:space="preserve"> </w:t>
      </w:r>
      <w:r w:rsidR="001D6553" w:rsidRPr="003E7195">
        <w:t xml:space="preserve">variant </w:t>
      </w:r>
      <w:r w:rsidR="006526F1" w:rsidRPr="003E7195">
        <w:t>positive CCA</w:t>
      </w:r>
      <w:r w:rsidR="008D3E21" w:rsidRPr="003E7195">
        <w:t xml:space="preserve">, combined with </w:t>
      </w:r>
      <w:r w:rsidR="001D6553" w:rsidRPr="003E7195">
        <w:t xml:space="preserve">a </w:t>
      </w:r>
      <w:r w:rsidR="008D3E21" w:rsidRPr="003E7195">
        <w:t xml:space="preserve">biological rationale for restricting the use of ivosidenib to those </w:t>
      </w:r>
      <w:r w:rsidR="001D6553" w:rsidRPr="003E7195">
        <w:t xml:space="preserve">patients </w:t>
      </w:r>
      <w:r w:rsidR="008D3E21" w:rsidRPr="003E7195">
        <w:t xml:space="preserve">with </w:t>
      </w:r>
      <w:r w:rsidR="001D6553" w:rsidRPr="003E7195">
        <w:t xml:space="preserve">a tumour with </w:t>
      </w:r>
      <w:r w:rsidR="008D3E21" w:rsidRPr="003E7195">
        <w:t xml:space="preserve">the biomarker. </w:t>
      </w:r>
      <w:r w:rsidR="008D3E21" w:rsidRPr="00181B1F">
        <w:t xml:space="preserve">No predictive evidence, or evidence on the use of ivosidenib in biomarker-negative </w:t>
      </w:r>
      <w:r w:rsidR="006526F1" w:rsidRPr="00181B1F">
        <w:t>CCA</w:t>
      </w:r>
      <w:r w:rsidR="001D6553" w:rsidRPr="00181B1F">
        <w:t>,</w:t>
      </w:r>
      <w:r w:rsidR="006526F1" w:rsidRPr="00181B1F">
        <w:t xml:space="preserve"> </w:t>
      </w:r>
      <w:r w:rsidR="008D3E21" w:rsidRPr="00181B1F">
        <w:t>was identified.</w:t>
      </w:r>
      <w:r w:rsidR="008D3E21" w:rsidRPr="003E7195">
        <w:rPr>
          <w:i/>
          <w:iCs/>
        </w:rPr>
        <w:t xml:space="preserve"> </w:t>
      </w:r>
    </w:p>
    <w:p w14:paraId="1FF78D34" w14:textId="663283D1" w:rsidR="00C164A4" w:rsidRPr="003E7195" w:rsidRDefault="00B24658" w:rsidP="00013016">
      <w:pPr>
        <w:pStyle w:val="Caption"/>
      </w:pPr>
      <w:r w:rsidRPr="003E7195">
        <w:lastRenderedPageBreak/>
        <w:t xml:space="preserve">Table </w:t>
      </w:r>
      <w:r w:rsidR="00841FC2">
        <w:fldChar w:fldCharType="begin" w:fldLock="1"/>
      </w:r>
      <w:r w:rsidR="00841FC2">
        <w:instrText xml:space="preserve"> SEQ Table_PBAC. \* ARABIC </w:instrText>
      </w:r>
      <w:r w:rsidR="00841FC2">
        <w:fldChar w:fldCharType="separate"/>
      </w:r>
      <w:r w:rsidR="00CB6594">
        <w:rPr>
          <w:noProof/>
        </w:rPr>
        <w:t>2</w:t>
      </w:r>
      <w:r w:rsidR="00841FC2">
        <w:rPr>
          <w:noProof/>
        </w:rPr>
        <w:fldChar w:fldCharType="end"/>
      </w:r>
      <w:r w:rsidR="00013016">
        <w:t xml:space="preserve">: </w:t>
      </w:r>
      <w:r w:rsidR="00C164A4" w:rsidRPr="003E7195">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the linked evidence approach"/>
      </w:tblPr>
      <w:tblGrid>
        <w:gridCol w:w="2313"/>
        <w:gridCol w:w="4234"/>
        <w:gridCol w:w="2469"/>
      </w:tblGrid>
      <w:tr w:rsidR="003E7195" w:rsidRPr="003E7195" w14:paraId="53BFC919" w14:textId="77777777" w:rsidTr="009850A1">
        <w:tc>
          <w:tcPr>
            <w:tcW w:w="1283" w:type="pct"/>
            <w:tcBorders>
              <w:top w:val="single" w:sz="4" w:space="0" w:color="auto"/>
              <w:left w:val="single" w:sz="4" w:space="0" w:color="auto"/>
              <w:bottom w:val="single" w:sz="4" w:space="0" w:color="auto"/>
              <w:right w:val="single" w:sz="4" w:space="0" w:color="auto"/>
            </w:tcBorders>
            <w:vAlign w:val="bottom"/>
          </w:tcPr>
          <w:p w14:paraId="76F0BAA9" w14:textId="77777777" w:rsidR="003645D5" w:rsidRPr="003E7195" w:rsidRDefault="003645D5" w:rsidP="007338BA">
            <w:pPr>
              <w:pStyle w:val="TableText"/>
              <w:keepNext/>
              <w:rPr>
                <w:b/>
                <w:color w:val="0D0D0D" w:themeColor="text1" w:themeTint="F2"/>
              </w:rPr>
            </w:pPr>
          </w:p>
        </w:tc>
        <w:tc>
          <w:tcPr>
            <w:tcW w:w="2348" w:type="pct"/>
            <w:tcBorders>
              <w:top w:val="single" w:sz="4" w:space="0" w:color="auto"/>
              <w:left w:val="single" w:sz="4" w:space="0" w:color="auto"/>
              <w:bottom w:val="single" w:sz="4" w:space="0" w:color="auto"/>
              <w:right w:val="single" w:sz="4" w:space="0" w:color="auto"/>
            </w:tcBorders>
            <w:vAlign w:val="bottom"/>
            <w:hideMark/>
          </w:tcPr>
          <w:p w14:paraId="0C35DD22" w14:textId="77777777" w:rsidR="003645D5" w:rsidRPr="003E7195" w:rsidRDefault="003645D5" w:rsidP="007338BA">
            <w:pPr>
              <w:pStyle w:val="TableText"/>
              <w:keepNext/>
              <w:rPr>
                <w:b/>
                <w:color w:val="0D0D0D" w:themeColor="text1" w:themeTint="F2"/>
              </w:rPr>
            </w:pPr>
            <w:r w:rsidRPr="003E7195">
              <w:rPr>
                <w:b/>
                <w:color w:val="0D0D0D" w:themeColor="text1" w:themeTint="F2"/>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14:paraId="09711F05" w14:textId="77777777" w:rsidR="003645D5" w:rsidRPr="003E7195" w:rsidRDefault="003645D5" w:rsidP="007338BA">
            <w:pPr>
              <w:pStyle w:val="TableText"/>
              <w:keepNext/>
              <w:rPr>
                <w:b/>
                <w:color w:val="0D0D0D" w:themeColor="text1" w:themeTint="F2"/>
              </w:rPr>
            </w:pPr>
            <w:r w:rsidRPr="003E7195">
              <w:rPr>
                <w:b/>
                <w:color w:val="0D0D0D" w:themeColor="text1" w:themeTint="F2"/>
              </w:rPr>
              <w:t>Extent of evidence supplied</w:t>
            </w:r>
          </w:p>
        </w:tc>
      </w:tr>
      <w:tr w:rsidR="003E7195" w:rsidRPr="003E7195" w14:paraId="18C3788D"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7F92AC74" w14:textId="77777777" w:rsidR="00053F94" w:rsidRPr="003E7195" w:rsidRDefault="00053F94" w:rsidP="007338BA">
            <w:pPr>
              <w:pStyle w:val="TableText"/>
              <w:keepNext/>
              <w:rPr>
                <w:color w:val="0D0D0D" w:themeColor="text1" w:themeTint="F2"/>
              </w:rPr>
            </w:pPr>
            <w:r w:rsidRPr="003E7195">
              <w:rPr>
                <w:color w:val="0D0D0D" w:themeColor="text1" w:themeTint="F2"/>
              </w:rPr>
              <w:t>Accuracy and performance of the test (cross-sectional accuracy)</w:t>
            </w:r>
          </w:p>
        </w:tc>
        <w:tc>
          <w:tcPr>
            <w:tcW w:w="2348" w:type="pct"/>
            <w:tcBorders>
              <w:top w:val="single" w:sz="4" w:space="0" w:color="auto"/>
              <w:left w:val="single" w:sz="4" w:space="0" w:color="auto"/>
              <w:bottom w:val="single" w:sz="4" w:space="0" w:color="auto"/>
              <w:right w:val="single" w:sz="4" w:space="0" w:color="auto"/>
            </w:tcBorders>
            <w:hideMark/>
          </w:tcPr>
          <w:p w14:paraId="38EEDF51" w14:textId="223B4FF8" w:rsidR="00053F94" w:rsidRPr="003E7195" w:rsidRDefault="00053F94" w:rsidP="007338BA">
            <w:pPr>
              <w:pStyle w:val="TableText"/>
              <w:keepNext/>
              <w:rPr>
                <w:color w:val="0D0D0D" w:themeColor="text1" w:themeTint="F2"/>
              </w:rPr>
            </w:pPr>
            <w:r w:rsidRPr="003E7195">
              <w:rPr>
                <w:color w:val="0D0D0D" w:themeColor="text1" w:themeTint="F2"/>
              </w:rPr>
              <w:t>Concordance with clinical utility standard</w:t>
            </w:r>
          </w:p>
        </w:tc>
        <w:tc>
          <w:tcPr>
            <w:tcW w:w="1369" w:type="pct"/>
            <w:tcBorders>
              <w:top w:val="single" w:sz="4" w:space="0" w:color="auto"/>
              <w:left w:val="single" w:sz="4" w:space="0" w:color="auto"/>
              <w:bottom w:val="single" w:sz="4" w:space="0" w:color="auto"/>
              <w:right w:val="single" w:sz="4" w:space="0" w:color="auto"/>
            </w:tcBorders>
            <w:hideMark/>
          </w:tcPr>
          <w:p w14:paraId="3EFA05F6" w14:textId="6B78C4A4" w:rsidR="00053F94" w:rsidRPr="003E7195" w:rsidRDefault="00053F94" w:rsidP="007338BA">
            <w:pPr>
              <w:pStyle w:val="TableText"/>
              <w:keepNext/>
              <w:rPr>
                <w:color w:val="0D0D0D" w:themeColor="text1" w:themeTint="F2"/>
              </w:rPr>
            </w:pPr>
            <w:r w:rsidRPr="003E7195">
              <w:rPr>
                <w:rFonts w:ascii="Segoe UI Symbol" w:hAnsi="Segoe UI Symbol" w:cs="Segoe UI Symbol"/>
                <w:color w:val="0D0D0D" w:themeColor="text1" w:themeTint="F2"/>
              </w:rPr>
              <w:t>☒</w:t>
            </w:r>
            <w:r w:rsidRPr="003E7195">
              <w:rPr>
                <w:color w:val="0D0D0D" w:themeColor="text1" w:themeTint="F2"/>
              </w:rPr>
              <w:tab/>
              <w:t>k=1</w:t>
            </w:r>
            <w:r w:rsidRPr="003E7195">
              <w:rPr>
                <w:color w:val="0D0D0D" w:themeColor="text1" w:themeTint="F2"/>
              </w:rPr>
              <w:tab/>
              <w:t>n=383</w:t>
            </w:r>
          </w:p>
        </w:tc>
      </w:tr>
      <w:tr w:rsidR="003E7195" w:rsidRPr="003E7195" w14:paraId="339400D9"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1DF465F5" w14:textId="77777777" w:rsidR="00053F94" w:rsidRPr="003E7195" w:rsidRDefault="00053F94" w:rsidP="007338BA">
            <w:pPr>
              <w:pStyle w:val="TableText"/>
              <w:keepNext/>
              <w:rPr>
                <w:color w:val="0D0D0D" w:themeColor="text1" w:themeTint="F2"/>
              </w:rPr>
            </w:pPr>
            <w:r w:rsidRPr="003E7195">
              <w:rPr>
                <w:color w:val="0D0D0D" w:themeColor="text1" w:themeTint="F2"/>
              </w:rPr>
              <w:t>Prognostic evidence (longitudinal accuracy)</w:t>
            </w:r>
          </w:p>
        </w:tc>
        <w:tc>
          <w:tcPr>
            <w:tcW w:w="2348" w:type="pct"/>
            <w:tcBorders>
              <w:top w:val="single" w:sz="4" w:space="0" w:color="auto"/>
              <w:left w:val="single" w:sz="4" w:space="0" w:color="auto"/>
              <w:bottom w:val="single" w:sz="4" w:space="0" w:color="auto"/>
              <w:right w:val="single" w:sz="4" w:space="0" w:color="auto"/>
            </w:tcBorders>
            <w:hideMark/>
          </w:tcPr>
          <w:p w14:paraId="43F82C57" w14:textId="4E3C3D1F" w:rsidR="00053F94" w:rsidRPr="003E7195" w:rsidRDefault="00053F94" w:rsidP="007338BA">
            <w:pPr>
              <w:pStyle w:val="TableText"/>
              <w:keepNext/>
              <w:rPr>
                <w:color w:val="0D0D0D" w:themeColor="text1" w:themeTint="F2"/>
              </w:rPr>
            </w:pPr>
            <w:r w:rsidRPr="003E7195">
              <w:rPr>
                <w:color w:val="0D0D0D" w:themeColor="text1" w:themeTint="F2"/>
              </w:rPr>
              <w:t xml:space="preserve">Comparison of health outcomes in patients receiving </w:t>
            </w:r>
            <w:r w:rsidRPr="00D7489E">
              <w:rPr>
                <w:color w:val="0D0D0D" w:themeColor="text1" w:themeTint="F2"/>
              </w:rPr>
              <w:t>usual care</w:t>
            </w:r>
            <w:r w:rsidRPr="00D7489E">
              <w:rPr>
                <w:color w:val="0D0D0D" w:themeColor="text1" w:themeTint="F2"/>
                <w:u w:val="single"/>
              </w:rPr>
              <w:t>,</w:t>
            </w:r>
            <w:r w:rsidRPr="003E7195">
              <w:rPr>
                <w:color w:val="0D0D0D" w:themeColor="text1" w:themeTint="F2"/>
              </w:rPr>
              <w:t xml:space="preserve"> conditioned on the presence or absence of biomarker-positive status</w:t>
            </w:r>
          </w:p>
        </w:tc>
        <w:tc>
          <w:tcPr>
            <w:tcW w:w="1369" w:type="pct"/>
            <w:tcBorders>
              <w:top w:val="single" w:sz="4" w:space="0" w:color="auto"/>
              <w:left w:val="single" w:sz="4" w:space="0" w:color="auto"/>
              <w:bottom w:val="single" w:sz="4" w:space="0" w:color="auto"/>
              <w:right w:val="single" w:sz="4" w:space="0" w:color="auto"/>
            </w:tcBorders>
            <w:hideMark/>
          </w:tcPr>
          <w:p w14:paraId="22C9D242" w14:textId="166D4125" w:rsidR="00053F94" w:rsidRPr="003E7195" w:rsidRDefault="00053F94" w:rsidP="007338BA">
            <w:pPr>
              <w:pStyle w:val="TableText"/>
              <w:keepNext/>
              <w:rPr>
                <w:color w:val="0D0D0D" w:themeColor="text1" w:themeTint="F2"/>
              </w:rPr>
            </w:pPr>
            <w:r w:rsidRPr="003E7195">
              <w:rPr>
                <w:rFonts w:ascii="Segoe UI Symbol" w:hAnsi="Segoe UI Symbol" w:cs="Segoe UI Symbol"/>
                <w:color w:val="0D0D0D" w:themeColor="text1" w:themeTint="F2"/>
              </w:rPr>
              <w:t>☒</w:t>
            </w:r>
            <w:r w:rsidRPr="003E7195">
              <w:rPr>
                <w:color w:val="0D0D0D" w:themeColor="text1" w:themeTint="F2"/>
              </w:rPr>
              <w:tab/>
              <w:t>k=6</w:t>
            </w:r>
            <w:r w:rsidRPr="003E7195">
              <w:rPr>
                <w:color w:val="0D0D0D" w:themeColor="text1" w:themeTint="F2"/>
              </w:rPr>
              <w:tab/>
              <w:t>n=1153</w:t>
            </w:r>
          </w:p>
        </w:tc>
      </w:tr>
      <w:tr w:rsidR="003E7195" w:rsidRPr="003E7195" w14:paraId="5D858A15"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4FF15AA0" w14:textId="77777777" w:rsidR="000829F7" w:rsidRPr="003E7195" w:rsidRDefault="000829F7" w:rsidP="007338BA">
            <w:pPr>
              <w:pStyle w:val="TableText"/>
              <w:keepNext/>
              <w:rPr>
                <w:color w:val="0D0D0D" w:themeColor="text1" w:themeTint="F2"/>
              </w:rPr>
            </w:pPr>
            <w:r w:rsidRPr="003E7195">
              <w:rPr>
                <w:color w:val="0D0D0D" w:themeColor="text1" w:themeTint="F2"/>
              </w:rPr>
              <w:t xml:space="preserve">Change in patient management </w:t>
            </w:r>
          </w:p>
        </w:tc>
        <w:tc>
          <w:tcPr>
            <w:tcW w:w="2348" w:type="pct"/>
            <w:tcBorders>
              <w:top w:val="single" w:sz="4" w:space="0" w:color="auto"/>
              <w:left w:val="single" w:sz="4" w:space="0" w:color="auto"/>
              <w:bottom w:val="single" w:sz="4" w:space="0" w:color="auto"/>
              <w:right w:val="single" w:sz="4" w:space="0" w:color="auto"/>
            </w:tcBorders>
            <w:hideMark/>
          </w:tcPr>
          <w:p w14:paraId="792E8523" w14:textId="1EA1F8D3" w:rsidR="000829F7" w:rsidRPr="003E7195" w:rsidRDefault="003E49B7" w:rsidP="007338BA">
            <w:pPr>
              <w:pStyle w:val="TableText"/>
              <w:keepNext/>
              <w:rPr>
                <w:color w:val="0D0D0D" w:themeColor="text1" w:themeTint="F2"/>
              </w:rPr>
            </w:pPr>
            <w:r w:rsidRPr="003E7195">
              <w:rPr>
                <w:color w:val="0D0D0D" w:themeColor="text1" w:themeTint="F2"/>
              </w:rPr>
              <w:t>No evidence supplied</w:t>
            </w:r>
          </w:p>
        </w:tc>
        <w:tc>
          <w:tcPr>
            <w:tcW w:w="1369" w:type="pct"/>
            <w:tcBorders>
              <w:top w:val="single" w:sz="4" w:space="0" w:color="auto"/>
              <w:left w:val="single" w:sz="4" w:space="0" w:color="auto"/>
              <w:bottom w:val="single" w:sz="4" w:space="0" w:color="auto"/>
              <w:right w:val="single" w:sz="4" w:space="0" w:color="auto"/>
            </w:tcBorders>
            <w:hideMark/>
          </w:tcPr>
          <w:p w14:paraId="08B687D4" w14:textId="07DF6E03" w:rsidR="000829F7" w:rsidRPr="003E7195" w:rsidRDefault="000829F7" w:rsidP="007338BA">
            <w:pPr>
              <w:pStyle w:val="TableText"/>
              <w:keepNext/>
              <w:rPr>
                <w:color w:val="0D0D0D" w:themeColor="text1" w:themeTint="F2"/>
              </w:rPr>
            </w:pPr>
            <w:r w:rsidRPr="003E7195">
              <w:rPr>
                <w:rFonts w:ascii="MS Gothic" w:eastAsia="MS Gothic" w:hAnsi="MS Gothic" w:hint="eastAsia"/>
                <w:color w:val="0D0D0D" w:themeColor="text1" w:themeTint="F2"/>
              </w:rPr>
              <w:t>☐</w:t>
            </w:r>
            <w:r w:rsidRPr="003E7195">
              <w:rPr>
                <w:color w:val="0D0D0D" w:themeColor="text1" w:themeTint="F2"/>
              </w:rPr>
              <w:tab/>
              <w:t>k=</w:t>
            </w:r>
            <w:r w:rsidR="007338BA" w:rsidRPr="003E7195">
              <w:rPr>
                <w:color w:val="0D0D0D" w:themeColor="text1" w:themeTint="F2"/>
              </w:rPr>
              <w:t>0</w:t>
            </w:r>
            <w:r w:rsidRPr="003E7195">
              <w:rPr>
                <w:color w:val="0D0D0D" w:themeColor="text1" w:themeTint="F2"/>
              </w:rPr>
              <w:tab/>
              <w:t>n=</w:t>
            </w:r>
            <w:r w:rsidR="007338BA" w:rsidRPr="003E7195">
              <w:rPr>
                <w:color w:val="0D0D0D" w:themeColor="text1" w:themeTint="F2"/>
              </w:rPr>
              <w:t>0</w:t>
            </w:r>
          </w:p>
        </w:tc>
      </w:tr>
      <w:tr w:rsidR="003E7195" w:rsidRPr="003E7195" w14:paraId="78466309" w14:textId="77777777" w:rsidTr="003645D5">
        <w:tc>
          <w:tcPr>
            <w:tcW w:w="1283" w:type="pct"/>
            <w:tcBorders>
              <w:top w:val="single" w:sz="4" w:space="0" w:color="auto"/>
              <w:left w:val="single" w:sz="4" w:space="0" w:color="auto"/>
              <w:bottom w:val="nil"/>
              <w:right w:val="single" w:sz="4" w:space="0" w:color="auto"/>
            </w:tcBorders>
          </w:tcPr>
          <w:p w14:paraId="670F3F10" w14:textId="77777777" w:rsidR="000829F7" w:rsidRPr="003E7195" w:rsidRDefault="000829F7" w:rsidP="007338BA">
            <w:pPr>
              <w:pStyle w:val="TableText"/>
              <w:keepNext/>
              <w:rPr>
                <w:color w:val="0D0D0D" w:themeColor="text1" w:themeTint="F2"/>
              </w:rPr>
            </w:pPr>
            <w:r w:rsidRPr="003E7195">
              <w:rPr>
                <w:color w:val="0D0D0D" w:themeColor="text1" w:themeTint="F2"/>
              </w:rPr>
              <w:t xml:space="preserve">Health outcomes (clinical utility) </w:t>
            </w:r>
          </w:p>
        </w:tc>
        <w:tc>
          <w:tcPr>
            <w:tcW w:w="2348" w:type="pct"/>
            <w:tcBorders>
              <w:top w:val="single" w:sz="4" w:space="0" w:color="auto"/>
              <w:left w:val="single" w:sz="4" w:space="0" w:color="auto"/>
              <w:bottom w:val="nil"/>
              <w:right w:val="single" w:sz="4" w:space="0" w:color="auto"/>
            </w:tcBorders>
          </w:tcPr>
          <w:p w14:paraId="4EF3372E" w14:textId="5664BFCF" w:rsidR="000829F7" w:rsidRPr="003E7195" w:rsidRDefault="00A53F36" w:rsidP="007338BA">
            <w:pPr>
              <w:pStyle w:val="TableText"/>
              <w:keepNext/>
              <w:rPr>
                <w:color w:val="0D0D0D" w:themeColor="text1" w:themeTint="F2"/>
              </w:rPr>
            </w:pPr>
            <w:r w:rsidRPr="003E7195">
              <w:rPr>
                <w:color w:val="0D0D0D" w:themeColor="text1" w:themeTint="F2"/>
              </w:rPr>
              <w:t xml:space="preserve">As per treatment effect evidence (enriched) </w:t>
            </w:r>
          </w:p>
        </w:tc>
        <w:tc>
          <w:tcPr>
            <w:tcW w:w="1369" w:type="pct"/>
            <w:tcBorders>
              <w:top w:val="single" w:sz="4" w:space="0" w:color="auto"/>
              <w:left w:val="single" w:sz="4" w:space="0" w:color="auto"/>
              <w:bottom w:val="nil"/>
              <w:right w:val="single" w:sz="4" w:space="0" w:color="auto"/>
            </w:tcBorders>
          </w:tcPr>
          <w:p w14:paraId="6398CEE7" w14:textId="1331B955" w:rsidR="000829F7" w:rsidRPr="003E7195" w:rsidRDefault="007338BA" w:rsidP="007338BA">
            <w:pPr>
              <w:pStyle w:val="TableText"/>
              <w:keepNext/>
              <w:rPr>
                <w:color w:val="0D0D0D" w:themeColor="text1" w:themeTint="F2"/>
              </w:rPr>
            </w:pPr>
            <w:r w:rsidRPr="003E7195">
              <w:rPr>
                <w:rFonts w:ascii="MS Gothic" w:eastAsia="MS Gothic" w:hAnsi="MS Gothic" w:hint="eastAsia"/>
                <w:color w:val="0D0D0D" w:themeColor="text1" w:themeTint="F2"/>
              </w:rPr>
              <w:t>☒</w:t>
            </w:r>
            <w:r w:rsidRPr="003E7195">
              <w:rPr>
                <w:color w:val="0D0D0D" w:themeColor="text1" w:themeTint="F2"/>
              </w:rPr>
              <w:tab/>
              <w:t>k=1</w:t>
            </w:r>
            <w:r w:rsidRPr="003E7195">
              <w:rPr>
                <w:color w:val="0D0D0D" w:themeColor="text1" w:themeTint="F2"/>
              </w:rPr>
              <w:tab/>
              <w:t>n=187</w:t>
            </w:r>
          </w:p>
        </w:tc>
      </w:tr>
      <w:tr w:rsidR="003E7195" w:rsidRPr="003E7195" w14:paraId="4B734384" w14:textId="77777777" w:rsidTr="003645D5">
        <w:tc>
          <w:tcPr>
            <w:tcW w:w="1283" w:type="pct"/>
            <w:tcBorders>
              <w:top w:val="nil"/>
              <w:left w:val="single" w:sz="4" w:space="0" w:color="auto"/>
              <w:bottom w:val="nil"/>
              <w:right w:val="single" w:sz="4" w:space="0" w:color="auto"/>
            </w:tcBorders>
          </w:tcPr>
          <w:p w14:paraId="3F52386C" w14:textId="77777777" w:rsidR="000829F7" w:rsidRPr="003E7195" w:rsidRDefault="000829F7" w:rsidP="007338BA">
            <w:pPr>
              <w:pStyle w:val="TableText"/>
              <w:keepNext/>
              <w:rPr>
                <w:color w:val="0D0D0D" w:themeColor="text1" w:themeTint="F2"/>
              </w:rPr>
            </w:pPr>
            <w:r w:rsidRPr="003E7195">
              <w:rPr>
                <w:color w:val="0D0D0D" w:themeColor="text1" w:themeTint="F2"/>
              </w:rPr>
              <w:t xml:space="preserve">Predictive effect (treatment effect variation) </w:t>
            </w:r>
          </w:p>
        </w:tc>
        <w:tc>
          <w:tcPr>
            <w:tcW w:w="2348" w:type="pct"/>
            <w:tcBorders>
              <w:top w:val="nil"/>
              <w:left w:val="single" w:sz="4" w:space="0" w:color="auto"/>
              <w:bottom w:val="nil"/>
              <w:right w:val="single" w:sz="4" w:space="0" w:color="auto"/>
            </w:tcBorders>
          </w:tcPr>
          <w:p w14:paraId="504B4D4B" w14:textId="7651249F" w:rsidR="000829F7" w:rsidRPr="003E7195" w:rsidRDefault="003E49B7" w:rsidP="007338BA">
            <w:pPr>
              <w:pStyle w:val="TableText"/>
              <w:keepNext/>
              <w:rPr>
                <w:color w:val="0D0D0D" w:themeColor="text1" w:themeTint="F2"/>
              </w:rPr>
            </w:pPr>
            <w:r w:rsidRPr="003E7195">
              <w:rPr>
                <w:color w:val="0D0D0D" w:themeColor="text1" w:themeTint="F2"/>
              </w:rPr>
              <w:t>No evidence supplied (only biological rationale)</w:t>
            </w:r>
          </w:p>
        </w:tc>
        <w:tc>
          <w:tcPr>
            <w:tcW w:w="1369" w:type="pct"/>
            <w:tcBorders>
              <w:top w:val="nil"/>
              <w:left w:val="single" w:sz="4" w:space="0" w:color="auto"/>
              <w:bottom w:val="nil"/>
              <w:right w:val="single" w:sz="4" w:space="0" w:color="auto"/>
            </w:tcBorders>
          </w:tcPr>
          <w:p w14:paraId="73E109B7" w14:textId="41303BDB" w:rsidR="000829F7" w:rsidRPr="003E7195" w:rsidRDefault="007558FA" w:rsidP="007338BA">
            <w:pPr>
              <w:pStyle w:val="TableText"/>
              <w:keepNext/>
              <w:rPr>
                <w:color w:val="0D0D0D" w:themeColor="text1" w:themeTint="F2"/>
              </w:rPr>
            </w:pPr>
            <w:r w:rsidRPr="003E7195">
              <w:rPr>
                <w:rFonts w:ascii="MS Gothic" w:eastAsia="MS Gothic" w:hAnsi="MS Gothic" w:hint="eastAsia"/>
                <w:color w:val="0D0D0D" w:themeColor="text1" w:themeTint="F2"/>
              </w:rPr>
              <w:t>☐</w:t>
            </w:r>
            <w:r w:rsidR="000829F7" w:rsidRPr="003E7195">
              <w:rPr>
                <w:color w:val="0D0D0D" w:themeColor="text1" w:themeTint="F2"/>
              </w:rPr>
              <w:tab/>
              <w:t>k=</w:t>
            </w:r>
            <w:r w:rsidR="001D6553" w:rsidRPr="003E7195">
              <w:rPr>
                <w:color w:val="0D0D0D" w:themeColor="text1" w:themeTint="F2"/>
              </w:rPr>
              <w:t>0</w:t>
            </w:r>
            <w:r w:rsidR="000829F7" w:rsidRPr="003E7195">
              <w:rPr>
                <w:color w:val="0D0D0D" w:themeColor="text1" w:themeTint="F2"/>
              </w:rPr>
              <w:tab/>
              <w:t>n=</w:t>
            </w:r>
            <w:r w:rsidR="001D6553" w:rsidRPr="003E7195">
              <w:rPr>
                <w:color w:val="0D0D0D" w:themeColor="text1" w:themeTint="F2"/>
              </w:rPr>
              <w:t>0</w:t>
            </w:r>
          </w:p>
          <w:p w14:paraId="1B3E98A9" w14:textId="77777777" w:rsidR="000829F7" w:rsidRPr="003E7195" w:rsidRDefault="000829F7" w:rsidP="007338BA">
            <w:pPr>
              <w:pStyle w:val="TableText"/>
              <w:keepNext/>
              <w:rPr>
                <w:color w:val="0D0D0D" w:themeColor="text1" w:themeTint="F2"/>
              </w:rPr>
            </w:pPr>
          </w:p>
        </w:tc>
      </w:tr>
      <w:tr w:rsidR="003E7195" w:rsidRPr="003E7195" w14:paraId="660A84A2" w14:textId="77777777" w:rsidTr="003645D5">
        <w:tc>
          <w:tcPr>
            <w:tcW w:w="1283" w:type="pct"/>
            <w:tcBorders>
              <w:top w:val="nil"/>
              <w:left w:val="single" w:sz="4" w:space="0" w:color="auto"/>
              <w:bottom w:val="single" w:sz="4" w:space="0" w:color="auto"/>
              <w:right w:val="single" w:sz="4" w:space="0" w:color="auto"/>
            </w:tcBorders>
          </w:tcPr>
          <w:p w14:paraId="1FF1FAAB" w14:textId="77777777" w:rsidR="000829F7" w:rsidRPr="003E7195" w:rsidRDefault="000829F7" w:rsidP="007338BA">
            <w:pPr>
              <w:pStyle w:val="TableText"/>
              <w:keepNext/>
              <w:rPr>
                <w:color w:val="0D0D0D" w:themeColor="text1" w:themeTint="F2"/>
              </w:rPr>
            </w:pPr>
            <w:r w:rsidRPr="003E7195">
              <w:rPr>
                <w:color w:val="0D0D0D" w:themeColor="text1" w:themeTint="F2"/>
              </w:rPr>
              <w:t>Treatment effect (enriched)</w:t>
            </w:r>
          </w:p>
        </w:tc>
        <w:tc>
          <w:tcPr>
            <w:tcW w:w="2348" w:type="pct"/>
            <w:tcBorders>
              <w:top w:val="nil"/>
              <w:left w:val="single" w:sz="4" w:space="0" w:color="auto"/>
              <w:bottom w:val="single" w:sz="4" w:space="0" w:color="auto"/>
              <w:right w:val="single" w:sz="4" w:space="0" w:color="auto"/>
            </w:tcBorders>
          </w:tcPr>
          <w:p w14:paraId="212A3230" w14:textId="6F3B605A" w:rsidR="000829F7" w:rsidRPr="003E7195" w:rsidRDefault="005D17F2" w:rsidP="007338BA">
            <w:pPr>
              <w:pStyle w:val="TableText"/>
              <w:keepNext/>
              <w:rPr>
                <w:color w:val="0D0D0D" w:themeColor="text1" w:themeTint="F2"/>
              </w:rPr>
            </w:pPr>
            <w:r w:rsidRPr="003E7195">
              <w:rPr>
                <w:color w:val="0D0D0D" w:themeColor="text1" w:themeTint="F2"/>
              </w:rPr>
              <w:t xml:space="preserve">Single randomised controlled trial of ivosidenib vs placebo/BSC in locally advanced or metastatic CCA with positive </w:t>
            </w:r>
            <w:r w:rsidRPr="003E7195">
              <w:rPr>
                <w:i/>
                <w:iCs/>
                <w:color w:val="0D0D0D" w:themeColor="text1" w:themeTint="F2"/>
              </w:rPr>
              <w:t>IDH1</w:t>
            </w:r>
            <w:r w:rsidRPr="003E7195">
              <w:rPr>
                <w:color w:val="0D0D0D" w:themeColor="text1" w:themeTint="F2"/>
              </w:rPr>
              <w:t xml:space="preserve"> variant status</w:t>
            </w:r>
          </w:p>
        </w:tc>
        <w:tc>
          <w:tcPr>
            <w:tcW w:w="1369" w:type="pct"/>
            <w:tcBorders>
              <w:top w:val="nil"/>
              <w:left w:val="single" w:sz="4" w:space="0" w:color="auto"/>
              <w:bottom w:val="single" w:sz="4" w:space="0" w:color="auto"/>
              <w:right w:val="single" w:sz="4" w:space="0" w:color="auto"/>
            </w:tcBorders>
          </w:tcPr>
          <w:p w14:paraId="6AD41A86" w14:textId="7931241B" w:rsidR="000829F7" w:rsidRPr="003E7195" w:rsidRDefault="00250C27" w:rsidP="007338BA">
            <w:pPr>
              <w:pStyle w:val="TableText"/>
              <w:keepNext/>
              <w:rPr>
                <w:color w:val="0D0D0D" w:themeColor="text1" w:themeTint="F2"/>
              </w:rPr>
            </w:pPr>
            <w:r w:rsidRPr="003E7195">
              <w:rPr>
                <w:rFonts w:ascii="MS Gothic" w:eastAsia="MS Gothic" w:hAnsi="MS Gothic" w:hint="eastAsia"/>
                <w:color w:val="0D0D0D" w:themeColor="text1" w:themeTint="F2"/>
              </w:rPr>
              <w:t>☒</w:t>
            </w:r>
            <w:r w:rsidR="000829F7" w:rsidRPr="003E7195">
              <w:rPr>
                <w:color w:val="0D0D0D" w:themeColor="text1" w:themeTint="F2"/>
              </w:rPr>
              <w:tab/>
              <w:t>k=</w:t>
            </w:r>
            <w:r w:rsidR="005D17F2" w:rsidRPr="003E7195">
              <w:rPr>
                <w:color w:val="0D0D0D" w:themeColor="text1" w:themeTint="F2"/>
              </w:rPr>
              <w:t xml:space="preserve">1         </w:t>
            </w:r>
            <w:r w:rsidR="000829F7" w:rsidRPr="003E7195">
              <w:rPr>
                <w:color w:val="0D0D0D" w:themeColor="text1" w:themeTint="F2"/>
              </w:rPr>
              <w:t>n=</w:t>
            </w:r>
            <w:r w:rsidR="005D17F2" w:rsidRPr="003E7195">
              <w:rPr>
                <w:color w:val="0D0D0D" w:themeColor="text1" w:themeTint="F2"/>
              </w:rPr>
              <w:t xml:space="preserve"> 187</w:t>
            </w:r>
          </w:p>
        </w:tc>
      </w:tr>
    </w:tbl>
    <w:p w14:paraId="3C8F21BB" w14:textId="73A5DE5F" w:rsidR="006333C5" w:rsidRPr="001F6D90" w:rsidRDefault="006333C5" w:rsidP="006333C5">
      <w:pPr>
        <w:pStyle w:val="TableFooter"/>
        <w:rPr>
          <w:color w:val="0D0D0D" w:themeColor="text1" w:themeTint="F2"/>
        </w:rPr>
      </w:pPr>
      <w:r w:rsidRPr="001F6D90">
        <w:rPr>
          <w:color w:val="0D0D0D" w:themeColor="text1" w:themeTint="F2"/>
        </w:rPr>
        <w:t xml:space="preserve">Source: </w:t>
      </w:r>
      <w:r w:rsidR="00E932D5" w:rsidRPr="001F6D90">
        <w:rPr>
          <w:color w:val="0D0D0D" w:themeColor="text1" w:themeTint="F2"/>
        </w:rPr>
        <w:t xml:space="preserve">developed during the </w:t>
      </w:r>
      <w:r w:rsidR="00DC5CF3">
        <w:rPr>
          <w:color w:val="0D0D0D" w:themeColor="text1" w:themeTint="F2"/>
        </w:rPr>
        <w:t>commentary</w:t>
      </w:r>
    </w:p>
    <w:p w14:paraId="7517BEE8" w14:textId="418036C6" w:rsidR="005D17F2" w:rsidRPr="003E7195" w:rsidRDefault="005D17F2" w:rsidP="006333C5">
      <w:pPr>
        <w:pStyle w:val="TableFooter"/>
        <w:rPr>
          <w:color w:val="0D0D0D" w:themeColor="text1" w:themeTint="F2"/>
        </w:rPr>
      </w:pPr>
      <w:r w:rsidRPr="003E7195">
        <w:rPr>
          <w:color w:val="0D0D0D" w:themeColor="text1" w:themeTint="F2"/>
        </w:rPr>
        <w:t xml:space="preserve">BSC = best supportive care; </w:t>
      </w:r>
      <w:r w:rsidRPr="003E7195">
        <w:rPr>
          <w:i/>
          <w:iCs/>
          <w:color w:val="0D0D0D" w:themeColor="text1" w:themeTint="F2"/>
        </w:rPr>
        <w:t>IDH</w:t>
      </w:r>
      <w:r w:rsidRPr="003E7195">
        <w:rPr>
          <w:color w:val="0D0D0D" w:themeColor="text1" w:themeTint="F2"/>
        </w:rPr>
        <w:t xml:space="preserve"> = isocitrate dehydrogenase; k=number of studies, n=number of patients.</w:t>
      </w:r>
    </w:p>
    <w:p w14:paraId="5A0DC578" w14:textId="54081843" w:rsidR="009C4F22" w:rsidRPr="003E7195" w:rsidRDefault="009C4F22" w:rsidP="00013016">
      <w:pPr>
        <w:pStyle w:val="TableFooter"/>
        <w:rPr>
          <w:color w:val="0D0D0D" w:themeColor="text1" w:themeTint="F2"/>
        </w:rPr>
      </w:pPr>
      <w:r w:rsidRPr="003E7195">
        <w:rPr>
          <w:color w:val="0D0D0D" w:themeColor="text1" w:themeTint="F2"/>
          <w:vertAlign w:val="superscript"/>
        </w:rPr>
        <w:t>a</w:t>
      </w:r>
      <w:r w:rsidRPr="003E7195">
        <w:rPr>
          <w:color w:val="0D0D0D" w:themeColor="text1" w:themeTint="F2"/>
        </w:rPr>
        <w:t xml:space="preserve"> reference standard available </w:t>
      </w:r>
    </w:p>
    <w:p w14:paraId="2A17CAF7" w14:textId="676BE298" w:rsidR="006526F1" w:rsidRPr="003E7195" w:rsidRDefault="006526F1" w:rsidP="007E0187">
      <w:pPr>
        <w:pStyle w:val="ListParagraph"/>
      </w:pPr>
      <w:r w:rsidRPr="003E7195">
        <w:t xml:space="preserve">The submission included a single key trial </w:t>
      </w:r>
      <w:r w:rsidR="00DA0587" w:rsidRPr="003E7195">
        <w:t xml:space="preserve">(ClarIDHy) </w:t>
      </w:r>
      <w:r w:rsidRPr="003E7195">
        <w:t xml:space="preserve">of ivosidenib </w:t>
      </w:r>
      <w:r w:rsidRPr="003E7195">
        <w:rPr>
          <w:i/>
          <w:iCs/>
        </w:rPr>
        <w:t>versus</w:t>
      </w:r>
      <w:r w:rsidRPr="003E7195">
        <w:t xml:space="preserve"> placebo in the proposed indication (second-line or third-line treatment for locally advanced or metastatic CCA with </w:t>
      </w:r>
      <w:r w:rsidRPr="003E7195">
        <w:rPr>
          <w:i/>
          <w:iCs/>
        </w:rPr>
        <w:t>IDH1</w:t>
      </w:r>
      <w:r w:rsidRPr="003E7195">
        <w:t xml:space="preserve"> variants). </w:t>
      </w:r>
    </w:p>
    <w:p w14:paraId="2A69CC69" w14:textId="7F4B5C81" w:rsidR="00C8296F" w:rsidRPr="003E7195" w:rsidRDefault="00B24658" w:rsidP="00013016">
      <w:pPr>
        <w:pStyle w:val="Caption"/>
      </w:pPr>
      <w:r w:rsidRPr="003E7195">
        <w:t xml:space="preserve">Table </w:t>
      </w:r>
      <w:r w:rsidR="00841FC2">
        <w:fldChar w:fldCharType="begin" w:fldLock="1"/>
      </w:r>
      <w:r w:rsidR="00841FC2">
        <w:instrText xml:space="preserve"> SEQ Table_PBAC. \* ARABIC </w:instrText>
      </w:r>
      <w:r w:rsidR="00841FC2">
        <w:fldChar w:fldCharType="separate"/>
      </w:r>
      <w:r w:rsidR="00CB6594">
        <w:rPr>
          <w:noProof/>
        </w:rPr>
        <w:t>3</w:t>
      </w:r>
      <w:r w:rsidR="00841FC2">
        <w:rPr>
          <w:noProof/>
        </w:rPr>
        <w:fldChar w:fldCharType="end"/>
      </w:r>
      <w:r w:rsidR="00013016">
        <w:t xml:space="preserve">: </w:t>
      </w:r>
      <w:r w:rsidR="00C164A4" w:rsidRPr="003E7195">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3: Data availability to inform comparisons"/>
      </w:tblPr>
      <w:tblGrid>
        <w:gridCol w:w="2193"/>
        <w:gridCol w:w="3134"/>
        <w:gridCol w:w="3689"/>
      </w:tblGrid>
      <w:tr w:rsidR="003E7195" w:rsidRPr="003E7195" w14:paraId="6D29508F" w14:textId="77777777" w:rsidTr="00981467">
        <w:tc>
          <w:tcPr>
            <w:tcW w:w="1216" w:type="pct"/>
            <w:tcBorders>
              <w:top w:val="single" w:sz="4" w:space="0" w:color="000000"/>
              <w:left w:val="single" w:sz="4" w:space="0" w:color="000000"/>
              <w:bottom w:val="single" w:sz="4" w:space="0" w:color="000000"/>
              <w:right w:val="single" w:sz="4" w:space="0" w:color="000000"/>
            </w:tcBorders>
          </w:tcPr>
          <w:p w14:paraId="37D39297" w14:textId="77777777" w:rsidR="005B61EA" w:rsidRPr="003E7195" w:rsidRDefault="005B61EA" w:rsidP="00F0152D">
            <w:pPr>
              <w:pStyle w:val="TableText"/>
              <w:rPr>
                <w:color w:val="0D0D0D" w:themeColor="text1" w:themeTint="F2"/>
              </w:rPr>
            </w:pPr>
          </w:p>
        </w:tc>
        <w:tc>
          <w:tcPr>
            <w:tcW w:w="1738" w:type="pct"/>
            <w:tcBorders>
              <w:top w:val="single" w:sz="4" w:space="0" w:color="000000"/>
              <w:left w:val="single" w:sz="4" w:space="0" w:color="000000"/>
              <w:bottom w:val="single" w:sz="4" w:space="0" w:color="000000"/>
              <w:right w:val="single" w:sz="4" w:space="0" w:color="000000"/>
            </w:tcBorders>
            <w:hideMark/>
          </w:tcPr>
          <w:p w14:paraId="4AAB7868" w14:textId="461B9DD1" w:rsidR="005B61EA" w:rsidRPr="003E7195" w:rsidRDefault="008D3E21" w:rsidP="0002166E">
            <w:pPr>
              <w:pStyle w:val="In-tableHeading"/>
              <w:rPr>
                <w:color w:val="0D0D0D" w:themeColor="text1" w:themeTint="F2"/>
                <w:lang w:val="en-AU"/>
              </w:rPr>
            </w:pPr>
            <w:r w:rsidRPr="003E7195">
              <w:rPr>
                <w:color w:val="0D0D0D" w:themeColor="text1" w:themeTint="F2"/>
                <w:lang w:val="en-AU"/>
              </w:rPr>
              <w:t>Ivosidenib</w:t>
            </w:r>
          </w:p>
        </w:tc>
        <w:tc>
          <w:tcPr>
            <w:tcW w:w="2046" w:type="pct"/>
            <w:tcBorders>
              <w:top w:val="single" w:sz="4" w:space="0" w:color="000000"/>
              <w:left w:val="single" w:sz="4" w:space="0" w:color="000000"/>
              <w:bottom w:val="single" w:sz="4" w:space="0" w:color="000000"/>
              <w:right w:val="single" w:sz="4" w:space="0" w:color="000000"/>
            </w:tcBorders>
            <w:hideMark/>
          </w:tcPr>
          <w:p w14:paraId="2F37078C" w14:textId="3160244E" w:rsidR="005B61EA" w:rsidRPr="003E7195" w:rsidRDefault="005B61EA" w:rsidP="0002166E">
            <w:pPr>
              <w:pStyle w:val="In-tableHeading"/>
              <w:rPr>
                <w:color w:val="0D0D0D" w:themeColor="text1" w:themeTint="F2"/>
                <w:lang w:val="en-AU"/>
              </w:rPr>
            </w:pPr>
            <w:r w:rsidRPr="003E7195">
              <w:rPr>
                <w:color w:val="0D0D0D" w:themeColor="text1" w:themeTint="F2"/>
                <w:lang w:val="en-AU"/>
              </w:rPr>
              <w:t xml:space="preserve">Comparator </w:t>
            </w:r>
            <w:r w:rsidR="000A027E" w:rsidRPr="003E7195">
              <w:rPr>
                <w:color w:val="0D0D0D" w:themeColor="text1" w:themeTint="F2"/>
                <w:lang w:val="en-AU"/>
              </w:rPr>
              <w:t>drug</w:t>
            </w:r>
          </w:p>
        </w:tc>
      </w:tr>
      <w:tr w:rsidR="003E7195" w:rsidRPr="003E7195" w14:paraId="41928473" w14:textId="77777777" w:rsidTr="00981467">
        <w:tc>
          <w:tcPr>
            <w:tcW w:w="1216" w:type="pct"/>
            <w:tcBorders>
              <w:top w:val="single" w:sz="4" w:space="0" w:color="000000"/>
              <w:left w:val="single" w:sz="4" w:space="0" w:color="000000"/>
              <w:bottom w:val="single" w:sz="4" w:space="0" w:color="000000"/>
              <w:right w:val="single" w:sz="4" w:space="0" w:color="000000"/>
            </w:tcBorders>
            <w:hideMark/>
          </w:tcPr>
          <w:p w14:paraId="650481D2" w14:textId="77777777" w:rsidR="008D3E21" w:rsidRPr="003E7195" w:rsidRDefault="008D3E21" w:rsidP="008D3E21">
            <w:pPr>
              <w:pStyle w:val="TableText"/>
              <w:rPr>
                <w:color w:val="0D0D0D" w:themeColor="text1" w:themeTint="F2"/>
              </w:rPr>
            </w:pPr>
            <w:r w:rsidRPr="003E7195">
              <w:rPr>
                <w:color w:val="0D0D0D" w:themeColor="text1" w:themeTint="F2"/>
              </w:rPr>
              <w:t>Biomarker test positive</w:t>
            </w:r>
          </w:p>
        </w:tc>
        <w:tc>
          <w:tcPr>
            <w:tcW w:w="1738" w:type="pct"/>
            <w:tcBorders>
              <w:top w:val="single" w:sz="4" w:space="0" w:color="000000"/>
              <w:left w:val="single" w:sz="4" w:space="0" w:color="000000"/>
              <w:bottom w:val="single" w:sz="4" w:space="0" w:color="000000"/>
              <w:right w:val="single" w:sz="4" w:space="0" w:color="000000"/>
            </w:tcBorders>
            <w:hideMark/>
          </w:tcPr>
          <w:p w14:paraId="658B10A9" w14:textId="77777777" w:rsidR="008D3E21" w:rsidRPr="003E7195" w:rsidRDefault="008D3E21" w:rsidP="008D3E21">
            <w:pPr>
              <w:pStyle w:val="TableText"/>
              <w:rPr>
                <w:color w:val="0D0D0D" w:themeColor="text1" w:themeTint="F2"/>
              </w:rPr>
            </w:pPr>
            <w:r w:rsidRPr="003E7195">
              <w:rPr>
                <w:color w:val="0D0D0D" w:themeColor="text1" w:themeTint="F2"/>
              </w:rPr>
              <w:t>ClarIDHy trial</w:t>
            </w:r>
          </w:p>
          <w:p w14:paraId="78F54980" w14:textId="74349600" w:rsidR="008D3E21" w:rsidRPr="003E7195" w:rsidRDefault="008D3E21" w:rsidP="008D3E21">
            <w:pPr>
              <w:pStyle w:val="TableText"/>
              <w:rPr>
                <w:color w:val="0D0D0D" w:themeColor="text1" w:themeTint="F2"/>
              </w:rPr>
            </w:pPr>
          </w:p>
        </w:tc>
        <w:tc>
          <w:tcPr>
            <w:tcW w:w="2046" w:type="pct"/>
            <w:tcBorders>
              <w:top w:val="single" w:sz="4" w:space="0" w:color="000000"/>
              <w:left w:val="single" w:sz="4" w:space="0" w:color="000000"/>
              <w:bottom w:val="single" w:sz="4" w:space="0" w:color="000000"/>
              <w:right w:val="single" w:sz="4" w:space="0" w:color="000000"/>
            </w:tcBorders>
            <w:hideMark/>
          </w:tcPr>
          <w:p w14:paraId="7BCF085B" w14:textId="77777777" w:rsidR="008D3E21" w:rsidRPr="003E7195" w:rsidRDefault="008D3E21" w:rsidP="008D3E21">
            <w:pPr>
              <w:pStyle w:val="TableText"/>
              <w:rPr>
                <w:color w:val="0D0D0D" w:themeColor="text1" w:themeTint="F2"/>
              </w:rPr>
            </w:pPr>
            <w:r w:rsidRPr="003E7195">
              <w:rPr>
                <w:color w:val="0D0D0D" w:themeColor="text1" w:themeTint="F2"/>
              </w:rPr>
              <w:t>ClarIDHy trial</w:t>
            </w:r>
          </w:p>
          <w:p w14:paraId="7511A922" w14:textId="088A2CA4" w:rsidR="008D3E21" w:rsidRPr="003E7195" w:rsidRDefault="008D3E21" w:rsidP="008D3E21">
            <w:pPr>
              <w:pStyle w:val="TableText"/>
              <w:rPr>
                <w:color w:val="0D0D0D" w:themeColor="text1" w:themeTint="F2"/>
              </w:rPr>
            </w:pPr>
            <w:r w:rsidRPr="003E7195">
              <w:rPr>
                <w:color w:val="0D0D0D" w:themeColor="text1" w:themeTint="F2"/>
              </w:rPr>
              <w:t xml:space="preserve">Prognostic studies </w:t>
            </w:r>
          </w:p>
        </w:tc>
      </w:tr>
      <w:tr w:rsidR="003E7195" w:rsidRPr="003E7195" w14:paraId="474AA7C7" w14:textId="77777777" w:rsidTr="00981467">
        <w:tc>
          <w:tcPr>
            <w:tcW w:w="1216" w:type="pct"/>
            <w:tcBorders>
              <w:top w:val="single" w:sz="4" w:space="0" w:color="000000"/>
              <w:left w:val="single" w:sz="4" w:space="0" w:color="000000"/>
              <w:bottom w:val="single" w:sz="4" w:space="0" w:color="000000"/>
              <w:right w:val="single" w:sz="4" w:space="0" w:color="000000"/>
            </w:tcBorders>
            <w:hideMark/>
          </w:tcPr>
          <w:p w14:paraId="2CEFF670" w14:textId="77777777" w:rsidR="008D3E21" w:rsidRPr="003E7195" w:rsidRDefault="008D3E21" w:rsidP="008D3E21">
            <w:pPr>
              <w:pStyle w:val="TableText"/>
              <w:rPr>
                <w:color w:val="0D0D0D" w:themeColor="text1" w:themeTint="F2"/>
              </w:rPr>
            </w:pPr>
            <w:r w:rsidRPr="003E7195">
              <w:rPr>
                <w:color w:val="0D0D0D" w:themeColor="text1" w:themeTint="F2"/>
              </w:rPr>
              <w:t>Biomarker test negative</w:t>
            </w:r>
            <w:r w:rsidRPr="003E7195">
              <w:rPr>
                <w:b/>
                <w:color w:val="0D0D0D" w:themeColor="text1" w:themeTint="F2"/>
              </w:rPr>
              <w:t xml:space="preserve"> </w:t>
            </w:r>
          </w:p>
        </w:tc>
        <w:tc>
          <w:tcPr>
            <w:tcW w:w="1738" w:type="pct"/>
            <w:tcBorders>
              <w:top w:val="single" w:sz="4" w:space="0" w:color="000000"/>
              <w:left w:val="single" w:sz="4" w:space="0" w:color="000000"/>
              <w:bottom w:val="single" w:sz="4" w:space="0" w:color="000000"/>
              <w:right w:val="single" w:sz="4" w:space="0" w:color="000000"/>
            </w:tcBorders>
            <w:hideMark/>
          </w:tcPr>
          <w:p w14:paraId="0CCDE52E" w14:textId="605784A7" w:rsidR="008D3E21" w:rsidRPr="003E7195" w:rsidRDefault="008D3E21" w:rsidP="008D3E21">
            <w:pPr>
              <w:pStyle w:val="TableText"/>
              <w:rPr>
                <w:color w:val="0D0D0D" w:themeColor="text1" w:themeTint="F2"/>
              </w:rPr>
            </w:pPr>
            <w:r w:rsidRPr="003E7195">
              <w:rPr>
                <w:color w:val="0D0D0D" w:themeColor="text1" w:themeTint="F2"/>
              </w:rPr>
              <w:t>No evidence presented</w:t>
            </w:r>
          </w:p>
        </w:tc>
        <w:tc>
          <w:tcPr>
            <w:tcW w:w="2046" w:type="pct"/>
            <w:tcBorders>
              <w:top w:val="single" w:sz="4" w:space="0" w:color="000000"/>
              <w:left w:val="single" w:sz="4" w:space="0" w:color="000000"/>
              <w:bottom w:val="single" w:sz="4" w:space="0" w:color="000000"/>
              <w:right w:val="single" w:sz="4" w:space="0" w:color="000000"/>
            </w:tcBorders>
            <w:hideMark/>
          </w:tcPr>
          <w:p w14:paraId="51DDDBEB" w14:textId="25FEF15B" w:rsidR="008D3E21" w:rsidRPr="003E7195" w:rsidRDefault="008D3E21" w:rsidP="008D3E21">
            <w:pPr>
              <w:pStyle w:val="TableText"/>
              <w:rPr>
                <w:color w:val="0D0D0D" w:themeColor="text1" w:themeTint="F2"/>
              </w:rPr>
            </w:pPr>
            <w:r w:rsidRPr="003E7195">
              <w:rPr>
                <w:color w:val="0D0D0D" w:themeColor="text1" w:themeTint="F2"/>
              </w:rPr>
              <w:t>Prognostic studies</w:t>
            </w:r>
          </w:p>
        </w:tc>
      </w:tr>
    </w:tbl>
    <w:p w14:paraId="16135C3B" w14:textId="62E85A4B" w:rsidR="00981467" w:rsidRPr="001F6D90" w:rsidRDefault="00B446C2" w:rsidP="00CB55A7">
      <w:pPr>
        <w:pStyle w:val="TableFooter"/>
        <w:rPr>
          <w:color w:val="0D0D0D" w:themeColor="text1" w:themeTint="F2"/>
        </w:rPr>
      </w:pPr>
      <w:r w:rsidRPr="001F6D90">
        <w:rPr>
          <w:color w:val="0D0D0D" w:themeColor="text1" w:themeTint="F2"/>
        </w:rPr>
        <w:t xml:space="preserve">Source: </w:t>
      </w:r>
      <w:r w:rsidR="006526F1" w:rsidRPr="001F6D90">
        <w:rPr>
          <w:color w:val="0D0D0D" w:themeColor="text1" w:themeTint="F2"/>
        </w:rPr>
        <w:t xml:space="preserve">Developed during the </w:t>
      </w:r>
      <w:r w:rsidR="00DC5CF3">
        <w:rPr>
          <w:color w:val="0D0D0D" w:themeColor="text1" w:themeTint="F2"/>
        </w:rPr>
        <w:t>commentary</w:t>
      </w:r>
      <w:r w:rsidR="006526F1" w:rsidRPr="001F6D90">
        <w:rPr>
          <w:color w:val="0D0D0D" w:themeColor="text1" w:themeTint="F2"/>
        </w:rPr>
        <w:t xml:space="preserve"> </w:t>
      </w:r>
    </w:p>
    <w:p w14:paraId="77CF351A" w14:textId="4BF0D210" w:rsidR="00DA6BC9" w:rsidRPr="00181B1F" w:rsidRDefault="00DA6BC9" w:rsidP="007E0187">
      <w:pPr>
        <w:pStyle w:val="ListParagraph"/>
      </w:pPr>
      <w:r w:rsidRPr="00181B1F">
        <w:t xml:space="preserve">The risk of bias in the treatment effect trial, i.e. ClarIDHy, was </w:t>
      </w:r>
      <w:r w:rsidR="004E641C" w:rsidRPr="00181B1F">
        <w:t xml:space="preserve">considered </w:t>
      </w:r>
      <w:r w:rsidRPr="00181B1F">
        <w:t>generally low due to its double-blind</w:t>
      </w:r>
      <w:r w:rsidR="006F2998" w:rsidRPr="00181B1F">
        <w:t xml:space="preserve"> and </w:t>
      </w:r>
      <w:r w:rsidR="004E641C" w:rsidRPr="00181B1F">
        <w:t>placebo-controlled</w:t>
      </w:r>
      <w:r w:rsidRPr="00181B1F">
        <w:t xml:space="preserve"> study design</w:t>
      </w:r>
      <w:r w:rsidR="00DA0587" w:rsidRPr="00181B1F">
        <w:t xml:space="preserve">. </w:t>
      </w:r>
      <w:r w:rsidR="006F2998" w:rsidRPr="00181B1F">
        <w:t xml:space="preserve">However, </w:t>
      </w:r>
      <w:r w:rsidR="00DA0587" w:rsidRPr="00181B1F">
        <w:t>70.5% of patients in the placebo arm crossed over to receive open-label ivosidenib and</w:t>
      </w:r>
      <w:r w:rsidR="006F2998" w:rsidRPr="00181B1F">
        <w:t>,</w:t>
      </w:r>
      <w:r w:rsidR="00DA0587" w:rsidRPr="00181B1F">
        <w:t xml:space="preserve"> </w:t>
      </w:r>
      <w:r w:rsidR="006F2998" w:rsidRPr="00181B1F">
        <w:t xml:space="preserve">as </w:t>
      </w:r>
      <w:r w:rsidR="00DA0587" w:rsidRPr="00181B1F">
        <w:t>this may have introduced bias in the assessment of subjective outcomes such as health-related quality of life (HRQoL)</w:t>
      </w:r>
      <w:r w:rsidR="006F2998" w:rsidRPr="00181B1F">
        <w:t>, the analysis of HRQoL is undertaken prior to cross-over</w:t>
      </w:r>
      <w:r w:rsidRPr="00181B1F">
        <w:t>.</w:t>
      </w:r>
    </w:p>
    <w:p w14:paraId="7C13B3C1" w14:textId="77777777" w:rsidR="00074AE6" w:rsidRPr="00074AE6" w:rsidRDefault="00074AE6" w:rsidP="00074AE6">
      <w:pPr>
        <w:pStyle w:val="PBACESHeading2"/>
        <w:numPr>
          <w:ilvl w:val="2"/>
          <w:numId w:val="0"/>
        </w:numPr>
        <w:rPr>
          <w:rFonts w:asciiTheme="minorHAnsi" w:hAnsiTheme="minorHAnsi" w:cstheme="minorHAnsi"/>
          <w:color w:val="0D0D0D" w:themeColor="text1" w:themeTint="F2"/>
        </w:rPr>
      </w:pPr>
      <w:bookmarkStart w:id="21" w:name="_Toc166763145"/>
      <w:r w:rsidRPr="00074AE6">
        <w:rPr>
          <w:rFonts w:asciiTheme="minorHAnsi" w:hAnsiTheme="minorHAnsi" w:cstheme="minorHAnsi"/>
          <w:color w:val="0D0D0D" w:themeColor="text1" w:themeTint="F2"/>
        </w:rPr>
        <w:t xml:space="preserve">Claim of codependence </w:t>
      </w:r>
    </w:p>
    <w:p w14:paraId="40D8DF56" w14:textId="7B5BEDC5" w:rsidR="00074AE6" w:rsidRPr="00CA7D9B" w:rsidRDefault="00074AE6" w:rsidP="007E0187">
      <w:pPr>
        <w:pStyle w:val="ListParagraph"/>
      </w:pPr>
      <w:bookmarkStart w:id="22" w:name="_Ref173414788"/>
      <w:r w:rsidRPr="00CA7D9B">
        <w:t xml:space="preserve">The commentary considered the claim of codependence was not explicitly justified in the submission </w:t>
      </w:r>
      <w:r w:rsidR="00CA7D9B" w:rsidRPr="00CA7D9B">
        <w:t xml:space="preserve">as </w:t>
      </w:r>
      <w:r w:rsidRPr="00CA7D9B">
        <w:t xml:space="preserve">no evidence was provided to demonstrate treatment effect variation in those with/without IDH1 variants. </w:t>
      </w:r>
      <w:r w:rsidR="00CA7D9B" w:rsidRPr="00CA7D9B">
        <w:t xml:space="preserve">However, ivosidenib is an IDH1 enzyme inhibitor, and there is a reasonable biological rationale and pre-clinical evidence that it can selectively and reversibly inhibit the IDH1 variant proteins in cholangiocarcinoma. </w:t>
      </w:r>
      <w:r w:rsidRPr="00A27A23">
        <w:t>IDH1</w:t>
      </w:r>
      <w:r w:rsidRPr="00CA7D9B">
        <w:t xml:space="preserve"> p.R132X variants alter the behaviour of the </w:t>
      </w:r>
      <w:r w:rsidRPr="00A27A23">
        <w:rPr>
          <w:i/>
          <w:iCs/>
        </w:rPr>
        <w:t>IDH1</w:t>
      </w:r>
      <w:r w:rsidRPr="00CA7D9B">
        <w:t xml:space="preserve"> gene, resulting in overexpression of IDH1 enzymes, which causes an excessive accumulation of the oncometabolite D-2-hydroxyglutarate (2-HG). Ivosidenib has been shown to bind to the altered IDH1 enzyme, reducing 2-HG levels (which interfere with cellular metabolism and epigenetic regulation, contributing to oncogenesis). </w:t>
      </w:r>
      <w:r w:rsidR="005E3B27">
        <w:t>The PBAC considered i</w:t>
      </w:r>
      <w:r w:rsidR="00CA7D9B" w:rsidRPr="00CA7D9B">
        <w:t xml:space="preserve">t therefore appears likely that there is a codependency between test and </w:t>
      </w:r>
      <w:r w:rsidR="00CA7D9B" w:rsidRPr="00CA7D9B">
        <w:lastRenderedPageBreak/>
        <w:t>drug</w:t>
      </w:r>
      <w:r w:rsidR="00CA7D9B">
        <w:t xml:space="preserve"> and t</w:t>
      </w:r>
      <w:r w:rsidRPr="00CA7D9B">
        <w:t xml:space="preserve">here is a reasonable rationale for restricting the use of ivosidenib to patients with tumours with </w:t>
      </w:r>
      <w:r w:rsidRPr="00A27A23">
        <w:rPr>
          <w:i/>
          <w:iCs/>
        </w:rPr>
        <w:t>IDH1</w:t>
      </w:r>
      <w:r w:rsidRPr="00CA7D9B">
        <w:t xml:space="preserve"> gene variants.</w:t>
      </w:r>
      <w:bookmarkEnd w:id="22"/>
      <w:r w:rsidRPr="00CA7D9B">
        <w:t xml:space="preserve"> </w:t>
      </w:r>
    </w:p>
    <w:p w14:paraId="29EBCD21" w14:textId="59D44E9E" w:rsidR="00CE7A3F" w:rsidRPr="00AB222B" w:rsidRDefault="00C6499E" w:rsidP="00074AE6">
      <w:pPr>
        <w:pStyle w:val="PBACESHeading2"/>
        <w:numPr>
          <w:ilvl w:val="2"/>
          <w:numId w:val="0"/>
        </w:numPr>
        <w:rPr>
          <w:rFonts w:asciiTheme="minorHAnsi" w:hAnsiTheme="minorHAnsi" w:cstheme="minorHAnsi"/>
          <w:color w:val="0D0D0D" w:themeColor="text1" w:themeTint="F2"/>
        </w:rPr>
      </w:pPr>
      <w:r w:rsidRPr="00AB222B">
        <w:rPr>
          <w:rFonts w:asciiTheme="minorHAnsi" w:hAnsiTheme="minorHAnsi" w:cstheme="minorHAnsi"/>
          <w:color w:val="0D0D0D" w:themeColor="text1" w:themeTint="F2"/>
        </w:rPr>
        <w:t xml:space="preserve">Clinical </w:t>
      </w:r>
      <w:bookmarkStart w:id="23" w:name="_Hlk163852053"/>
      <w:r w:rsidR="003F6819" w:rsidRPr="00AB222B">
        <w:rPr>
          <w:rFonts w:asciiTheme="minorHAnsi" w:hAnsiTheme="minorHAnsi" w:cstheme="minorHAnsi"/>
          <w:color w:val="0D0D0D" w:themeColor="text1" w:themeTint="F2"/>
        </w:rPr>
        <w:t>trial on the effectiveness and safety of iv</w:t>
      </w:r>
      <w:bookmarkEnd w:id="23"/>
      <w:r w:rsidR="003F6819" w:rsidRPr="00AB222B">
        <w:rPr>
          <w:rFonts w:asciiTheme="minorHAnsi" w:hAnsiTheme="minorHAnsi" w:cstheme="minorHAnsi"/>
          <w:color w:val="0D0D0D" w:themeColor="text1" w:themeTint="F2"/>
        </w:rPr>
        <w:t>osidenib</w:t>
      </w:r>
      <w:bookmarkEnd w:id="21"/>
      <w:r w:rsidRPr="00AB222B">
        <w:rPr>
          <w:rFonts w:asciiTheme="minorHAnsi" w:hAnsiTheme="minorHAnsi" w:cstheme="minorHAnsi"/>
          <w:color w:val="0D0D0D" w:themeColor="text1" w:themeTint="F2"/>
        </w:rPr>
        <w:t xml:space="preserve"> </w:t>
      </w:r>
    </w:p>
    <w:p w14:paraId="5E80BF45" w14:textId="3C4B6481" w:rsidR="00DA6BC9" w:rsidRPr="003E7195" w:rsidRDefault="00DA6BC9" w:rsidP="007E0187">
      <w:pPr>
        <w:pStyle w:val="ListParagraph"/>
      </w:pPr>
      <w:r w:rsidRPr="003E7195">
        <w:t xml:space="preserve">The submission was based on a Phase 3, multicentre, randomised, double-blind, placebo-controlled trial comparing ivosidenib </w:t>
      </w:r>
      <w:r w:rsidR="00C7026F" w:rsidRPr="003E7195">
        <w:t xml:space="preserve">with placebo in </w:t>
      </w:r>
      <w:r w:rsidRPr="003E7195">
        <w:t xml:space="preserve">patients diagnosed with locally advanced or metastatic CCA who had their tumour tissue confirmed to harbour the </w:t>
      </w:r>
      <w:r w:rsidRPr="00F63A00">
        <w:rPr>
          <w:i/>
          <w:iCs/>
        </w:rPr>
        <w:t>IDH1</w:t>
      </w:r>
      <w:r w:rsidRPr="003E7195">
        <w:t xml:space="preserve"> p.R132X tier </w:t>
      </w:r>
      <w:r w:rsidR="00AC1FDF">
        <w:t>I</w:t>
      </w:r>
      <w:r w:rsidR="00AC1FDF" w:rsidRPr="003E7195">
        <w:t xml:space="preserve"> </w:t>
      </w:r>
      <w:r w:rsidRPr="003E7195">
        <w:t xml:space="preserve">variant and had </w:t>
      </w:r>
      <w:r w:rsidR="001D640F" w:rsidRPr="003E7195">
        <w:t>disease progression following</w:t>
      </w:r>
      <w:r w:rsidRPr="003E7195">
        <w:t xml:space="preserve"> at least one line of gemcitabine-based or fluorouracil-based chemotherapy. All enrolled participants continued to receive BSC throughout the duration of the study.</w:t>
      </w:r>
    </w:p>
    <w:p w14:paraId="53605B1E" w14:textId="2A78777F" w:rsidR="00AF7AD4" w:rsidRPr="003E7195" w:rsidRDefault="00AF7AD4" w:rsidP="007E0187">
      <w:pPr>
        <w:pStyle w:val="ListParagraph"/>
      </w:pPr>
      <w:r w:rsidRPr="003E7195">
        <w:t xml:space="preserve">Details of the trial presented in the submission are provided in </w:t>
      </w:r>
      <w:r w:rsidR="00B24658" w:rsidRPr="003E7195">
        <w:fldChar w:fldCharType="begin" w:fldLock="1"/>
      </w:r>
      <w:r w:rsidR="00B24658" w:rsidRPr="003E7195">
        <w:instrText xml:space="preserve"> REF _Ref164094114 \h </w:instrText>
      </w:r>
      <w:r w:rsidR="00B24658" w:rsidRPr="003E7195">
        <w:fldChar w:fldCharType="separate"/>
      </w:r>
      <w:r w:rsidR="00CB6594" w:rsidRPr="003E7195">
        <w:t xml:space="preserve">Table </w:t>
      </w:r>
      <w:r w:rsidR="00CB6594">
        <w:rPr>
          <w:noProof/>
        </w:rPr>
        <w:t>4</w:t>
      </w:r>
      <w:r w:rsidR="00B24658" w:rsidRPr="003E7195">
        <w:fldChar w:fldCharType="end"/>
      </w:r>
      <w:r w:rsidRPr="003E7195">
        <w:t>.</w:t>
      </w:r>
    </w:p>
    <w:p w14:paraId="3EC135EA" w14:textId="24F57F55" w:rsidR="00AF7AD4" w:rsidRPr="003E7195" w:rsidRDefault="00B24658" w:rsidP="00013016">
      <w:pPr>
        <w:pStyle w:val="Caption"/>
      </w:pPr>
      <w:bookmarkStart w:id="24" w:name="_Ref164094114"/>
      <w:r w:rsidRPr="003E7195">
        <w:t xml:space="preserve">Table </w:t>
      </w:r>
      <w:r w:rsidR="00841FC2">
        <w:fldChar w:fldCharType="begin" w:fldLock="1"/>
      </w:r>
      <w:r w:rsidR="00841FC2">
        <w:instrText xml:space="preserve"> SEQ Table_PBAC. \* ARABIC </w:instrText>
      </w:r>
      <w:r w:rsidR="00841FC2">
        <w:fldChar w:fldCharType="separate"/>
      </w:r>
      <w:r w:rsidR="00CB6594">
        <w:rPr>
          <w:noProof/>
        </w:rPr>
        <w:t>4</w:t>
      </w:r>
      <w:r w:rsidR="00841FC2">
        <w:rPr>
          <w:noProof/>
        </w:rPr>
        <w:fldChar w:fldCharType="end"/>
      </w:r>
      <w:bookmarkEnd w:id="24"/>
      <w:r w:rsidR="00CB55A7">
        <w:rPr>
          <w:noProof/>
        </w:rPr>
        <w:t xml:space="preserve">: </w:t>
      </w:r>
      <w:r w:rsidR="00AF7AD4" w:rsidRPr="003E7195">
        <w:t>Trials and associated reports presented in the submission</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Trials and associated reports presented in the submission"/>
      </w:tblPr>
      <w:tblGrid>
        <w:gridCol w:w="1283"/>
        <w:gridCol w:w="5658"/>
        <w:gridCol w:w="2126"/>
      </w:tblGrid>
      <w:tr w:rsidR="003E7195" w:rsidRPr="003E7195" w14:paraId="659B7DA5" w14:textId="77777777" w:rsidTr="001D640F">
        <w:trPr>
          <w:cnfStyle w:val="100000000000" w:firstRow="1" w:lastRow="0" w:firstColumn="0" w:lastColumn="0" w:oddVBand="0" w:evenVBand="0" w:oddHBand="0" w:evenHBand="0" w:firstRowFirstColumn="0" w:firstRowLastColumn="0" w:lastRowFirstColumn="0" w:lastRowLastColumn="0"/>
        </w:trPr>
        <w:tc>
          <w:tcPr>
            <w:tcW w:w="1283" w:type="dxa"/>
            <w:shd w:val="clear" w:color="auto" w:fill="FFFFFF" w:themeFill="background1"/>
          </w:tcPr>
          <w:p w14:paraId="56405873"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Trial ID</w:t>
            </w:r>
          </w:p>
        </w:tc>
        <w:tc>
          <w:tcPr>
            <w:tcW w:w="5658" w:type="dxa"/>
            <w:shd w:val="clear" w:color="auto" w:fill="FFFFFF" w:themeFill="background1"/>
          </w:tcPr>
          <w:p w14:paraId="7D8E1781"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Protocol title/Publication title</w:t>
            </w:r>
          </w:p>
        </w:tc>
        <w:tc>
          <w:tcPr>
            <w:tcW w:w="2126" w:type="dxa"/>
            <w:shd w:val="clear" w:color="auto" w:fill="FFFFFF" w:themeFill="background1"/>
          </w:tcPr>
          <w:p w14:paraId="4F28A700"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Publication citation</w:t>
            </w:r>
          </w:p>
        </w:tc>
      </w:tr>
      <w:tr w:rsidR="003E7195" w:rsidRPr="003E7195" w14:paraId="5EACBD07" w14:textId="77777777" w:rsidTr="001D640F">
        <w:tc>
          <w:tcPr>
            <w:tcW w:w="1283" w:type="dxa"/>
            <w:vMerge w:val="restart"/>
            <w:vAlign w:val="center"/>
          </w:tcPr>
          <w:p w14:paraId="19300A32"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ClarIDHy</w:t>
            </w:r>
          </w:p>
          <w:p w14:paraId="6303DF2D"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NCT02989857</w:t>
            </w:r>
          </w:p>
        </w:tc>
        <w:tc>
          <w:tcPr>
            <w:tcW w:w="5658" w:type="dxa"/>
          </w:tcPr>
          <w:p w14:paraId="2695B856" w14:textId="6CA2EE30" w:rsidR="00AF7AD4" w:rsidRPr="003E7195" w:rsidRDefault="00C7026F"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A phase 3, multicenter, randomized, double</w:t>
            </w:r>
            <w:r w:rsidR="00C13BD0" w:rsidRPr="003E7195">
              <w:rPr>
                <w:rFonts w:ascii="Arial Narrow" w:hAnsi="Arial Narrow"/>
                <w:color w:val="0D0D0D" w:themeColor="text1" w:themeTint="F2"/>
                <w:sz w:val="20"/>
                <w:szCs w:val="20"/>
                <w:lang w:val="en-AU"/>
              </w:rPr>
              <w:t>-</w:t>
            </w:r>
            <w:r w:rsidRPr="003E7195">
              <w:rPr>
                <w:rFonts w:ascii="Arial Narrow" w:hAnsi="Arial Narrow"/>
                <w:color w:val="0D0D0D" w:themeColor="text1" w:themeTint="F2"/>
                <w:sz w:val="20"/>
                <w:szCs w:val="20"/>
                <w:lang w:val="en-AU"/>
              </w:rPr>
              <w:t xml:space="preserve">blind, placebo-controlled study of AG-120 in previously treated subjects with nonresectable or metastatic cholangiocarcinoma with an </w:t>
            </w:r>
            <w:r w:rsidR="001D640F" w:rsidRPr="003E7195">
              <w:rPr>
                <w:rFonts w:ascii="Arial Narrow" w:hAnsi="Arial Narrow"/>
                <w:i/>
                <w:iCs/>
                <w:color w:val="0D0D0D" w:themeColor="text1" w:themeTint="F2"/>
                <w:sz w:val="20"/>
                <w:szCs w:val="20"/>
                <w:lang w:val="en-AU"/>
              </w:rPr>
              <w:t>IDH1</w:t>
            </w:r>
            <w:r w:rsidR="001D640F" w:rsidRPr="003E7195">
              <w:rPr>
                <w:rFonts w:ascii="Arial Narrow" w:hAnsi="Arial Narrow"/>
                <w:color w:val="0D0D0D" w:themeColor="text1" w:themeTint="F2"/>
                <w:sz w:val="20"/>
                <w:szCs w:val="20"/>
                <w:lang w:val="en-AU"/>
              </w:rPr>
              <w:t xml:space="preserve"> </w:t>
            </w:r>
            <w:r w:rsidRPr="003E7195">
              <w:rPr>
                <w:rFonts w:ascii="Arial Narrow" w:hAnsi="Arial Narrow"/>
                <w:color w:val="0D0D0D" w:themeColor="text1" w:themeTint="F2"/>
                <w:sz w:val="20"/>
                <w:szCs w:val="20"/>
                <w:lang w:val="en-AU"/>
              </w:rPr>
              <w:t xml:space="preserve">mutation. </w:t>
            </w:r>
            <w:r w:rsidR="00AF7AD4" w:rsidRPr="003E7195">
              <w:rPr>
                <w:rFonts w:ascii="Arial Narrow" w:hAnsi="Arial Narrow"/>
                <w:color w:val="0D0D0D" w:themeColor="text1" w:themeTint="F2"/>
                <w:sz w:val="20"/>
                <w:szCs w:val="20"/>
                <w:lang w:val="en-AU"/>
              </w:rPr>
              <w:t xml:space="preserve">DCO1 CSR </w:t>
            </w:r>
            <w:r w:rsidRPr="003E7195">
              <w:rPr>
                <w:rFonts w:ascii="Arial Narrow" w:hAnsi="Arial Narrow"/>
                <w:color w:val="0D0D0D" w:themeColor="text1" w:themeTint="F2"/>
                <w:sz w:val="20"/>
                <w:szCs w:val="20"/>
                <w:lang w:val="en-AU"/>
              </w:rPr>
              <w:t>(</w:t>
            </w:r>
            <w:r w:rsidR="00AF7AD4" w:rsidRPr="003E7195">
              <w:rPr>
                <w:rFonts w:ascii="Arial Narrow" w:hAnsi="Arial Narrow"/>
                <w:color w:val="0D0D0D" w:themeColor="text1" w:themeTint="F2"/>
                <w:sz w:val="20"/>
                <w:szCs w:val="20"/>
                <w:lang w:val="en-AU"/>
              </w:rPr>
              <w:t>data cut</w:t>
            </w:r>
            <w:r w:rsidR="00C13BD0" w:rsidRPr="003E7195">
              <w:rPr>
                <w:rFonts w:ascii="Arial Narrow" w:hAnsi="Arial Narrow"/>
                <w:color w:val="0D0D0D" w:themeColor="text1" w:themeTint="F2"/>
                <w:sz w:val="20"/>
                <w:szCs w:val="20"/>
                <w:lang w:val="en-AU"/>
              </w:rPr>
              <w:t xml:space="preserve">off </w:t>
            </w:r>
            <w:r w:rsidR="00AF7AD4" w:rsidRPr="003E7195">
              <w:rPr>
                <w:rFonts w:ascii="Arial Narrow" w:hAnsi="Arial Narrow"/>
                <w:color w:val="0D0D0D" w:themeColor="text1" w:themeTint="F2"/>
                <w:sz w:val="20"/>
                <w:szCs w:val="20"/>
                <w:lang w:val="en-AU"/>
              </w:rPr>
              <w:t>31 January 2019</w:t>
            </w:r>
            <w:r w:rsidRPr="003E7195">
              <w:rPr>
                <w:rFonts w:ascii="Arial Narrow" w:hAnsi="Arial Narrow"/>
                <w:color w:val="0D0D0D" w:themeColor="text1" w:themeTint="F2"/>
                <w:sz w:val="20"/>
                <w:szCs w:val="20"/>
                <w:lang w:val="en-AU"/>
              </w:rPr>
              <w:t>)</w:t>
            </w:r>
          </w:p>
        </w:tc>
        <w:tc>
          <w:tcPr>
            <w:tcW w:w="2126" w:type="dxa"/>
          </w:tcPr>
          <w:p w14:paraId="58CD7FCD" w14:textId="1214F37C" w:rsidR="00AF7AD4" w:rsidRPr="003E7195" w:rsidRDefault="001D640F" w:rsidP="00502D6C">
            <w:pPr>
              <w:keepNext/>
              <w:widowControl w:val="0"/>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February 2020</w:t>
            </w:r>
          </w:p>
        </w:tc>
      </w:tr>
      <w:tr w:rsidR="003E7195" w:rsidRPr="003E7195" w14:paraId="64FE2C04" w14:textId="77777777" w:rsidTr="001D640F">
        <w:tc>
          <w:tcPr>
            <w:tcW w:w="1283" w:type="dxa"/>
            <w:vMerge/>
          </w:tcPr>
          <w:p w14:paraId="23DCA26A"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p>
        </w:tc>
        <w:tc>
          <w:tcPr>
            <w:tcW w:w="5658" w:type="dxa"/>
          </w:tcPr>
          <w:p w14:paraId="624F936C" w14:textId="08B6904A" w:rsidR="00AF7AD4" w:rsidRPr="003E7195" w:rsidRDefault="001D640F"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A phase 3, multicenter, randomized, double</w:t>
            </w:r>
            <w:r w:rsidR="00C13BD0" w:rsidRPr="003E7195">
              <w:rPr>
                <w:rFonts w:ascii="Arial Narrow" w:hAnsi="Arial Narrow"/>
                <w:color w:val="0D0D0D" w:themeColor="text1" w:themeTint="F2"/>
                <w:sz w:val="20"/>
                <w:szCs w:val="20"/>
                <w:lang w:val="en-AU"/>
              </w:rPr>
              <w:t>-</w:t>
            </w:r>
            <w:r w:rsidRPr="003E7195">
              <w:rPr>
                <w:rFonts w:ascii="Arial Narrow" w:hAnsi="Arial Narrow"/>
                <w:color w:val="0D0D0D" w:themeColor="text1" w:themeTint="F2"/>
                <w:sz w:val="20"/>
                <w:szCs w:val="20"/>
                <w:lang w:val="en-AU"/>
              </w:rPr>
              <w:t xml:space="preserve">blind, placebo-controlled study of AG-120 in previously treated subjects with nonresectable or metastatic cholangiocarcinoma with an </w:t>
            </w:r>
            <w:r w:rsidRPr="003E7195">
              <w:rPr>
                <w:rFonts w:ascii="Arial Narrow" w:hAnsi="Arial Narrow"/>
                <w:i/>
                <w:iCs/>
                <w:color w:val="0D0D0D" w:themeColor="text1" w:themeTint="F2"/>
                <w:sz w:val="20"/>
                <w:szCs w:val="20"/>
                <w:lang w:val="en-AU"/>
              </w:rPr>
              <w:t>IDH1</w:t>
            </w:r>
            <w:r w:rsidRPr="003E7195">
              <w:rPr>
                <w:rFonts w:ascii="Arial Narrow" w:hAnsi="Arial Narrow"/>
                <w:color w:val="0D0D0D" w:themeColor="text1" w:themeTint="F2"/>
                <w:sz w:val="20"/>
                <w:szCs w:val="20"/>
                <w:lang w:val="en-AU"/>
              </w:rPr>
              <w:t xml:space="preserve"> mutation. </w:t>
            </w:r>
            <w:r w:rsidR="00AF7AD4" w:rsidRPr="003E7195">
              <w:rPr>
                <w:rFonts w:ascii="Arial Narrow" w:hAnsi="Arial Narrow"/>
                <w:color w:val="0D0D0D" w:themeColor="text1" w:themeTint="F2"/>
                <w:sz w:val="20"/>
                <w:szCs w:val="20"/>
                <w:lang w:val="en-AU"/>
              </w:rPr>
              <w:t xml:space="preserve">DCO2 CSR </w:t>
            </w:r>
            <w:r w:rsidRPr="003E7195">
              <w:rPr>
                <w:rFonts w:ascii="Arial Narrow" w:hAnsi="Arial Narrow"/>
                <w:color w:val="0D0D0D" w:themeColor="text1" w:themeTint="F2"/>
                <w:sz w:val="20"/>
                <w:szCs w:val="20"/>
                <w:lang w:val="en-AU"/>
              </w:rPr>
              <w:t>(</w:t>
            </w:r>
            <w:r w:rsidR="00AF7AD4" w:rsidRPr="003E7195">
              <w:rPr>
                <w:rFonts w:ascii="Arial Narrow" w:hAnsi="Arial Narrow"/>
                <w:color w:val="0D0D0D" w:themeColor="text1" w:themeTint="F2"/>
                <w:sz w:val="20"/>
                <w:szCs w:val="20"/>
                <w:lang w:val="en-AU"/>
              </w:rPr>
              <w:t>data cut</w:t>
            </w:r>
            <w:r w:rsidR="00C13BD0" w:rsidRPr="003E7195">
              <w:rPr>
                <w:rFonts w:ascii="Arial Narrow" w:hAnsi="Arial Narrow"/>
                <w:color w:val="0D0D0D" w:themeColor="text1" w:themeTint="F2"/>
                <w:sz w:val="20"/>
                <w:szCs w:val="20"/>
                <w:lang w:val="en-AU"/>
              </w:rPr>
              <w:t>off</w:t>
            </w:r>
            <w:r w:rsidR="00AF7AD4" w:rsidRPr="003E7195">
              <w:rPr>
                <w:rFonts w:ascii="Arial Narrow" w:hAnsi="Arial Narrow"/>
                <w:color w:val="0D0D0D" w:themeColor="text1" w:themeTint="F2"/>
                <w:sz w:val="20"/>
                <w:szCs w:val="20"/>
                <w:lang w:val="en-AU"/>
              </w:rPr>
              <w:t xml:space="preserve"> 31 May 2020</w:t>
            </w:r>
            <w:r w:rsidRPr="003E7195">
              <w:rPr>
                <w:rFonts w:ascii="Arial Narrow" w:hAnsi="Arial Narrow"/>
                <w:color w:val="0D0D0D" w:themeColor="text1" w:themeTint="F2"/>
                <w:sz w:val="20"/>
                <w:szCs w:val="20"/>
                <w:lang w:val="en-AU"/>
              </w:rPr>
              <w:t>)</w:t>
            </w:r>
          </w:p>
        </w:tc>
        <w:tc>
          <w:tcPr>
            <w:tcW w:w="2126" w:type="dxa"/>
          </w:tcPr>
          <w:p w14:paraId="21D78B0D" w14:textId="0EBCD7E7" w:rsidR="00AF7AD4" w:rsidRPr="003E7195" w:rsidRDefault="001D640F" w:rsidP="00502D6C">
            <w:pPr>
              <w:keepNext/>
              <w:widowControl w:val="0"/>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February 2021</w:t>
            </w:r>
          </w:p>
        </w:tc>
      </w:tr>
      <w:tr w:rsidR="003E7195" w:rsidRPr="003E7195" w14:paraId="37D4C0EA" w14:textId="77777777" w:rsidTr="001D640F">
        <w:tc>
          <w:tcPr>
            <w:tcW w:w="1283" w:type="dxa"/>
            <w:vMerge/>
          </w:tcPr>
          <w:p w14:paraId="05EB7B6F"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p>
        </w:tc>
        <w:tc>
          <w:tcPr>
            <w:tcW w:w="5658" w:type="dxa"/>
          </w:tcPr>
          <w:p w14:paraId="35EB0CF8" w14:textId="2A3E9B39"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B0EA5">
              <w:rPr>
                <w:rFonts w:ascii="Arial Narrow" w:hAnsi="Arial Narrow"/>
                <w:color w:val="0D0D0D" w:themeColor="text1" w:themeTint="F2"/>
                <w:sz w:val="20"/>
                <w:szCs w:val="20"/>
                <w:lang w:val="pt-PT"/>
              </w:rPr>
              <w:t xml:space="preserve">Abou-Alfa GK, Macarulla Mercade T, </w:t>
            </w:r>
            <w:r w:rsidRPr="003B0EA5">
              <w:rPr>
                <w:rFonts w:ascii="Arial Narrow" w:hAnsi="Arial Narrow"/>
                <w:i/>
                <w:iCs/>
                <w:color w:val="0D0D0D" w:themeColor="text1" w:themeTint="F2"/>
                <w:sz w:val="20"/>
                <w:szCs w:val="20"/>
                <w:lang w:val="pt-PT"/>
              </w:rPr>
              <w:t>et al</w:t>
            </w:r>
            <w:r w:rsidRPr="003B0EA5">
              <w:rPr>
                <w:rFonts w:ascii="Arial Narrow" w:hAnsi="Arial Narrow"/>
                <w:color w:val="0D0D0D" w:themeColor="text1" w:themeTint="F2"/>
                <w:sz w:val="20"/>
                <w:szCs w:val="20"/>
                <w:lang w:val="pt-PT"/>
              </w:rPr>
              <w:t xml:space="preserve">. </w:t>
            </w:r>
            <w:r w:rsidRPr="003E7195">
              <w:rPr>
                <w:rFonts w:ascii="Arial Narrow" w:hAnsi="Arial Narrow"/>
                <w:color w:val="0D0D0D" w:themeColor="text1" w:themeTint="F2"/>
                <w:sz w:val="20"/>
                <w:szCs w:val="20"/>
                <w:lang w:val="en-AU"/>
              </w:rPr>
              <w:t xml:space="preserve">LBA10_PR - ClarIDHy: A global, phase III, randomized, double-blind study of ivosidenib (IVO) </w:t>
            </w:r>
            <w:r w:rsidRPr="003E7195">
              <w:rPr>
                <w:rFonts w:ascii="Arial Narrow" w:hAnsi="Arial Narrow"/>
                <w:i/>
                <w:iCs/>
                <w:color w:val="0D0D0D" w:themeColor="text1" w:themeTint="F2"/>
                <w:sz w:val="20"/>
                <w:szCs w:val="20"/>
                <w:lang w:val="en-AU"/>
              </w:rPr>
              <w:t>vs</w:t>
            </w:r>
            <w:r w:rsidRPr="003E7195">
              <w:rPr>
                <w:rFonts w:ascii="Arial Narrow" w:hAnsi="Arial Narrow"/>
                <w:color w:val="0D0D0D" w:themeColor="text1" w:themeTint="F2"/>
                <w:sz w:val="20"/>
                <w:szCs w:val="20"/>
                <w:lang w:val="en-AU"/>
              </w:rPr>
              <w:t xml:space="preserve"> placebo in patients with advanced cholangiocarcinoma (CC) with an isocitrate dehydrogenase 1 (</w:t>
            </w:r>
            <w:r w:rsidRPr="003E7195">
              <w:rPr>
                <w:rFonts w:ascii="Arial Narrow" w:hAnsi="Arial Narrow"/>
                <w:i/>
                <w:iCs/>
                <w:color w:val="0D0D0D" w:themeColor="text1" w:themeTint="F2"/>
                <w:sz w:val="20"/>
                <w:szCs w:val="20"/>
                <w:lang w:val="en-AU"/>
              </w:rPr>
              <w:t>IDH1</w:t>
            </w:r>
            <w:r w:rsidRPr="003E7195">
              <w:rPr>
                <w:rFonts w:ascii="Arial Narrow" w:hAnsi="Arial Narrow"/>
                <w:color w:val="0D0D0D" w:themeColor="text1" w:themeTint="F2"/>
                <w:sz w:val="20"/>
                <w:szCs w:val="20"/>
                <w:lang w:val="en-AU"/>
              </w:rPr>
              <w:t>) mutation.</w:t>
            </w:r>
          </w:p>
        </w:tc>
        <w:tc>
          <w:tcPr>
            <w:tcW w:w="2126" w:type="dxa"/>
          </w:tcPr>
          <w:p w14:paraId="155D500D" w14:textId="77777777"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i/>
                <w:iCs/>
                <w:color w:val="0D0D0D" w:themeColor="text1" w:themeTint="F2"/>
                <w:sz w:val="20"/>
                <w:szCs w:val="20"/>
                <w:lang w:val="en-AU"/>
              </w:rPr>
              <w:t>Annals of Oncology</w:t>
            </w:r>
            <w:r w:rsidRPr="003E7195">
              <w:rPr>
                <w:rFonts w:ascii="Arial Narrow" w:hAnsi="Arial Narrow"/>
                <w:color w:val="0D0D0D" w:themeColor="text1" w:themeTint="F2"/>
                <w:sz w:val="20"/>
                <w:szCs w:val="20"/>
                <w:lang w:val="en-AU"/>
              </w:rPr>
              <w:t>. 2019;30: v872-v3.</w:t>
            </w:r>
          </w:p>
        </w:tc>
      </w:tr>
      <w:tr w:rsidR="003E7195" w:rsidRPr="003E7195" w14:paraId="2603E11A" w14:textId="77777777" w:rsidTr="001D640F">
        <w:tc>
          <w:tcPr>
            <w:tcW w:w="1283" w:type="dxa"/>
            <w:vMerge/>
          </w:tcPr>
          <w:p w14:paraId="77F9A1B4"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p>
        </w:tc>
        <w:tc>
          <w:tcPr>
            <w:tcW w:w="5658" w:type="dxa"/>
          </w:tcPr>
          <w:p w14:paraId="3EBD6848" w14:textId="0B9BF2BA"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 xml:space="preserve">Abou-Alfa GK, Valle JW, </w:t>
            </w:r>
            <w:r w:rsidRPr="003E7195">
              <w:rPr>
                <w:rFonts w:ascii="Arial Narrow" w:hAnsi="Arial Narrow"/>
                <w:i/>
                <w:iCs/>
                <w:color w:val="0D0D0D" w:themeColor="text1" w:themeTint="F2"/>
                <w:sz w:val="20"/>
                <w:szCs w:val="20"/>
                <w:lang w:val="en-AU"/>
              </w:rPr>
              <w:t>et al</w:t>
            </w:r>
            <w:r w:rsidRPr="003E7195">
              <w:rPr>
                <w:rFonts w:ascii="Arial Narrow" w:hAnsi="Arial Narrow"/>
                <w:color w:val="0D0D0D" w:themeColor="text1" w:themeTint="F2"/>
                <w:sz w:val="20"/>
                <w:szCs w:val="20"/>
                <w:lang w:val="en-AU"/>
              </w:rPr>
              <w:t xml:space="preserve">. ClarIDHy: A phase 3 multicenter randomized double-blind study of AG-120 versus placebo in patients with non-resectable or metastatic cholangiocarcinoma with an </w:t>
            </w:r>
            <w:r w:rsidRPr="003E7195">
              <w:rPr>
                <w:rFonts w:ascii="Arial Narrow" w:hAnsi="Arial Narrow"/>
                <w:i/>
                <w:iCs/>
                <w:color w:val="0D0D0D" w:themeColor="text1" w:themeTint="F2"/>
                <w:sz w:val="20"/>
                <w:szCs w:val="20"/>
                <w:lang w:val="en-AU"/>
              </w:rPr>
              <w:t>IDH1</w:t>
            </w:r>
            <w:r w:rsidRPr="003E7195">
              <w:rPr>
                <w:rFonts w:ascii="Arial Narrow" w:hAnsi="Arial Narrow"/>
                <w:color w:val="0D0D0D" w:themeColor="text1" w:themeTint="F2"/>
                <w:sz w:val="20"/>
                <w:szCs w:val="20"/>
                <w:lang w:val="en-AU"/>
              </w:rPr>
              <w:t xml:space="preserve"> mutation.</w:t>
            </w:r>
          </w:p>
        </w:tc>
        <w:tc>
          <w:tcPr>
            <w:tcW w:w="2126" w:type="dxa"/>
          </w:tcPr>
          <w:p w14:paraId="03566F99" w14:textId="77777777"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i/>
                <w:iCs/>
                <w:color w:val="0D0D0D" w:themeColor="text1" w:themeTint="F2"/>
                <w:sz w:val="20"/>
                <w:szCs w:val="20"/>
                <w:lang w:val="en-AU"/>
              </w:rPr>
              <w:t>Journal of Clinical Oncology</w:t>
            </w:r>
            <w:r w:rsidRPr="003E7195">
              <w:rPr>
                <w:rFonts w:ascii="Arial Narrow" w:hAnsi="Arial Narrow"/>
                <w:color w:val="0D0D0D" w:themeColor="text1" w:themeTint="F2"/>
                <w:sz w:val="20"/>
                <w:szCs w:val="20"/>
                <w:lang w:val="en-AU"/>
              </w:rPr>
              <w:t>. 2018;36(4_suppl): TPS545-TPS.</w:t>
            </w:r>
          </w:p>
        </w:tc>
      </w:tr>
      <w:tr w:rsidR="003E7195" w:rsidRPr="003E7195" w14:paraId="252BBF97" w14:textId="77777777" w:rsidTr="001D640F">
        <w:tc>
          <w:tcPr>
            <w:tcW w:w="1283" w:type="dxa"/>
            <w:vMerge/>
          </w:tcPr>
          <w:p w14:paraId="7DDF75D6"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p>
        </w:tc>
        <w:tc>
          <w:tcPr>
            <w:tcW w:w="5658" w:type="dxa"/>
          </w:tcPr>
          <w:p w14:paraId="00B89951" w14:textId="5C737513"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 xml:space="preserve">Abou-Alfa GK, Macarulla T, </w:t>
            </w:r>
            <w:r w:rsidRPr="003E7195">
              <w:rPr>
                <w:rFonts w:ascii="Arial Narrow" w:hAnsi="Arial Narrow"/>
                <w:i/>
                <w:iCs/>
                <w:color w:val="0D0D0D" w:themeColor="text1" w:themeTint="F2"/>
                <w:sz w:val="20"/>
                <w:szCs w:val="20"/>
                <w:lang w:val="en-AU"/>
              </w:rPr>
              <w:t>et al</w:t>
            </w:r>
            <w:r w:rsidRPr="003E7195">
              <w:rPr>
                <w:rFonts w:ascii="Arial Narrow" w:hAnsi="Arial Narrow"/>
                <w:color w:val="0D0D0D" w:themeColor="text1" w:themeTint="F2"/>
                <w:sz w:val="20"/>
                <w:szCs w:val="20"/>
                <w:lang w:val="en-AU"/>
              </w:rPr>
              <w:t xml:space="preserve">. Ivosidenib in </w:t>
            </w:r>
            <w:r w:rsidRPr="003E7195">
              <w:rPr>
                <w:rFonts w:ascii="Arial Narrow" w:hAnsi="Arial Narrow"/>
                <w:i/>
                <w:iCs/>
                <w:color w:val="0D0D0D" w:themeColor="text1" w:themeTint="F2"/>
                <w:sz w:val="20"/>
                <w:szCs w:val="20"/>
                <w:lang w:val="en-AU"/>
              </w:rPr>
              <w:t>IDH1</w:t>
            </w:r>
            <w:r w:rsidRPr="003E7195">
              <w:rPr>
                <w:rFonts w:ascii="Arial Narrow" w:hAnsi="Arial Narrow"/>
                <w:color w:val="0D0D0D" w:themeColor="text1" w:themeTint="F2"/>
                <w:sz w:val="20"/>
                <w:szCs w:val="20"/>
                <w:lang w:val="en-AU"/>
              </w:rPr>
              <w:t>-mutant, chemotherapy-refractory cholangiocarcinoma (ClarIDHy): a multicentre, randomised, double-blind, placebo-controlled, phase 3 study.</w:t>
            </w:r>
          </w:p>
        </w:tc>
        <w:tc>
          <w:tcPr>
            <w:tcW w:w="2126" w:type="dxa"/>
          </w:tcPr>
          <w:p w14:paraId="44DE7498" w14:textId="77777777"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i/>
                <w:iCs/>
                <w:color w:val="0D0D0D" w:themeColor="text1" w:themeTint="F2"/>
                <w:sz w:val="20"/>
                <w:szCs w:val="20"/>
                <w:lang w:val="en-AU"/>
              </w:rPr>
              <w:t>The Lancet Oncology</w:t>
            </w:r>
            <w:r w:rsidRPr="003E7195">
              <w:rPr>
                <w:rFonts w:ascii="Arial Narrow" w:hAnsi="Arial Narrow"/>
                <w:color w:val="0D0D0D" w:themeColor="text1" w:themeTint="F2"/>
                <w:sz w:val="20"/>
                <w:szCs w:val="20"/>
                <w:lang w:val="en-AU"/>
              </w:rPr>
              <w:t>. 2020;21(6):796-807.</w:t>
            </w:r>
          </w:p>
        </w:tc>
      </w:tr>
      <w:tr w:rsidR="003E7195" w:rsidRPr="003E7195" w14:paraId="3B77BE08" w14:textId="77777777" w:rsidTr="001D640F">
        <w:tc>
          <w:tcPr>
            <w:tcW w:w="1283" w:type="dxa"/>
            <w:vMerge/>
          </w:tcPr>
          <w:p w14:paraId="1A61D707"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p>
        </w:tc>
        <w:tc>
          <w:tcPr>
            <w:tcW w:w="5658" w:type="dxa"/>
          </w:tcPr>
          <w:p w14:paraId="3682F2D9" w14:textId="1EE23805"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 xml:space="preserve">Lowery MA, Abou-Alfa GK, </w:t>
            </w:r>
            <w:r w:rsidRPr="003E7195">
              <w:rPr>
                <w:rFonts w:ascii="Arial Narrow" w:hAnsi="Arial Narrow"/>
                <w:i/>
                <w:iCs/>
                <w:color w:val="0D0D0D" w:themeColor="text1" w:themeTint="F2"/>
                <w:sz w:val="20"/>
                <w:szCs w:val="20"/>
                <w:lang w:val="en-AU"/>
              </w:rPr>
              <w:t>et al</w:t>
            </w:r>
            <w:r w:rsidRPr="003E7195">
              <w:rPr>
                <w:rFonts w:ascii="Arial Narrow" w:hAnsi="Arial Narrow"/>
                <w:color w:val="0D0D0D" w:themeColor="text1" w:themeTint="F2"/>
                <w:sz w:val="20"/>
                <w:szCs w:val="20"/>
                <w:lang w:val="en-AU"/>
              </w:rPr>
              <w:t xml:space="preserve">. ClarIDHy: a phase 3, multicenter, randomized, double-blind study of AG-120 vs placebo in patients with an advanced cholangiocarcinoma with an </w:t>
            </w:r>
            <w:r w:rsidRPr="003E7195">
              <w:rPr>
                <w:rFonts w:ascii="Arial Narrow" w:hAnsi="Arial Narrow"/>
                <w:i/>
                <w:iCs/>
                <w:color w:val="0D0D0D" w:themeColor="text1" w:themeTint="F2"/>
                <w:sz w:val="20"/>
                <w:szCs w:val="20"/>
                <w:lang w:val="en-AU"/>
              </w:rPr>
              <w:t>IDH1</w:t>
            </w:r>
            <w:r w:rsidRPr="003E7195">
              <w:rPr>
                <w:rFonts w:ascii="Arial Narrow" w:hAnsi="Arial Narrow"/>
                <w:color w:val="0D0D0D" w:themeColor="text1" w:themeTint="F2"/>
                <w:sz w:val="20"/>
                <w:szCs w:val="20"/>
                <w:lang w:val="en-AU"/>
              </w:rPr>
              <w:t xml:space="preserve"> mutation.</w:t>
            </w:r>
          </w:p>
        </w:tc>
        <w:tc>
          <w:tcPr>
            <w:tcW w:w="2126" w:type="dxa"/>
          </w:tcPr>
          <w:p w14:paraId="58AB375D" w14:textId="77777777"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i/>
                <w:iCs/>
                <w:color w:val="0D0D0D" w:themeColor="text1" w:themeTint="F2"/>
                <w:sz w:val="20"/>
                <w:szCs w:val="20"/>
                <w:lang w:val="en-AU"/>
              </w:rPr>
              <w:t>Journal of clinical oncology</w:t>
            </w:r>
            <w:r w:rsidRPr="003E7195">
              <w:rPr>
                <w:rFonts w:ascii="Arial Narrow" w:hAnsi="Arial Narrow"/>
                <w:color w:val="0D0D0D" w:themeColor="text1" w:themeTint="F2"/>
                <w:sz w:val="20"/>
                <w:szCs w:val="20"/>
                <w:lang w:val="en-AU"/>
              </w:rPr>
              <w:t>. 2017;35(15).</w:t>
            </w:r>
          </w:p>
        </w:tc>
      </w:tr>
      <w:tr w:rsidR="003E7195" w:rsidRPr="003E7195" w14:paraId="79F10CB8" w14:textId="77777777" w:rsidTr="001D640F">
        <w:tc>
          <w:tcPr>
            <w:tcW w:w="1283" w:type="dxa"/>
            <w:vMerge/>
          </w:tcPr>
          <w:p w14:paraId="7BC20B2D"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p>
        </w:tc>
        <w:tc>
          <w:tcPr>
            <w:tcW w:w="5658" w:type="dxa"/>
          </w:tcPr>
          <w:p w14:paraId="5E33A81E" w14:textId="51B23193"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color w:val="0D0D0D" w:themeColor="text1" w:themeTint="F2"/>
                <w:sz w:val="20"/>
                <w:szCs w:val="20"/>
                <w:lang w:val="en-AU"/>
              </w:rPr>
              <w:t xml:space="preserve">Valle J, Abou-Alfa G, </w:t>
            </w:r>
            <w:r w:rsidRPr="003E7195">
              <w:rPr>
                <w:rFonts w:ascii="Arial Narrow" w:hAnsi="Arial Narrow"/>
                <w:i/>
                <w:iCs/>
                <w:color w:val="0D0D0D" w:themeColor="text1" w:themeTint="F2"/>
                <w:sz w:val="20"/>
                <w:szCs w:val="20"/>
                <w:lang w:val="en-AU"/>
              </w:rPr>
              <w:t>et al</w:t>
            </w:r>
            <w:r w:rsidRPr="003E7195">
              <w:rPr>
                <w:rFonts w:ascii="Arial Narrow" w:hAnsi="Arial Narrow"/>
                <w:color w:val="0D0D0D" w:themeColor="text1" w:themeTint="F2"/>
                <w:sz w:val="20"/>
                <w:szCs w:val="20"/>
                <w:lang w:val="en-AU"/>
              </w:rPr>
              <w:t xml:space="preserve">. SO-2 Quantitative risk-benefit assessment of ivosidenib compared to placebo in patients with </w:t>
            </w:r>
            <w:r w:rsidRPr="003E7195">
              <w:rPr>
                <w:rFonts w:ascii="Arial Narrow" w:hAnsi="Arial Narrow"/>
                <w:i/>
                <w:iCs/>
                <w:color w:val="0D0D0D" w:themeColor="text1" w:themeTint="F2"/>
                <w:sz w:val="20"/>
                <w:szCs w:val="20"/>
                <w:lang w:val="en-AU"/>
              </w:rPr>
              <w:t>IDH1</w:t>
            </w:r>
            <w:r w:rsidRPr="003E7195">
              <w:rPr>
                <w:rFonts w:ascii="Arial Narrow" w:hAnsi="Arial Narrow"/>
                <w:color w:val="0D0D0D" w:themeColor="text1" w:themeTint="F2"/>
                <w:sz w:val="20"/>
                <w:szCs w:val="20"/>
                <w:lang w:val="en-AU"/>
              </w:rPr>
              <w:t>-mutated intrahepatic cholangiocarcinoma: Phase 3 ClarIDHy trial.</w:t>
            </w:r>
          </w:p>
        </w:tc>
        <w:tc>
          <w:tcPr>
            <w:tcW w:w="2126" w:type="dxa"/>
          </w:tcPr>
          <w:p w14:paraId="7EC580F4" w14:textId="77777777"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i/>
                <w:iCs/>
                <w:color w:val="0D0D0D" w:themeColor="text1" w:themeTint="F2"/>
                <w:sz w:val="20"/>
                <w:szCs w:val="20"/>
                <w:lang w:val="en-AU"/>
              </w:rPr>
              <w:t>Annals of Oncology</w:t>
            </w:r>
            <w:r w:rsidRPr="003E7195">
              <w:rPr>
                <w:rFonts w:ascii="Arial Narrow" w:hAnsi="Arial Narrow"/>
                <w:color w:val="0D0D0D" w:themeColor="text1" w:themeTint="F2"/>
                <w:sz w:val="20"/>
                <w:szCs w:val="20"/>
                <w:lang w:val="en-AU"/>
              </w:rPr>
              <w:t>. 2023;34: S162.</w:t>
            </w:r>
          </w:p>
        </w:tc>
      </w:tr>
      <w:tr w:rsidR="003E7195" w:rsidRPr="003E7195" w14:paraId="74A21BA2" w14:textId="77777777" w:rsidTr="001D640F">
        <w:tc>
          <w:tcPr>
            <w:tcW w:w="1283" w:type="dxa"/>
            <w:vMerge/>
          </w:tcPr>
          <w:p w14:paraId="2F81E741"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p>
        </w:tc>
        <w:tc>
          <w:tcPr>
            <w:tcW w:w="5658" w:type="dxa"/>
          </w:tcPr>
          <w:p w14:paraId="25917E8F" w14:textId="0E875084"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680E8C">
              <w:rPr>
                <w:rFonts w:ascii="Arial Narrow" w:hAnsi="Arial Narrow"/>
                <w:color w:val="0D0D0D" w:themeColor="text1" w:themeTint="F2"/>
                <w:sz w:val="20"/>
                <w:szCs w:val="20"/>
                <w:lang w:val="de-DE"/>
              </w:rPr>
              <w:t xml:space="preserve">Zhu AX, Macarulla T, </w:t>
            </w:r>
            <w:r w:rsidRPr="00680E8C">
              <w:rPr>
                <w:rFonts w:ascii="Arial Narrow" w:hAnsi="Arial Narrow"/>
                <w:i/>
                <w:iCs/>
                <w:color w:val="0D0D0D" w:themeColor="text1" w:themeTint="F2"/>
                <w:sz w:val="20"/>
                <w:szCs w:val="20"/>
                <w:lang w:val="de-DE"/>
              </w:rPr>
              <w:t>et al</w:t>
            </w:r>
            <w:r w:rsidRPr="00680E8C">
              <w:rPr>
                <w:rFonts w:ascii="Arial Narrow" w:hAnsi="Arial Narrow"/>
                <w:color w:val="0D0D0D" w:themeColor="text1" w:themeTint="F2"/>
                <w:sz w:val="20"/>
                <w:szCs w:val="20"/>
                <w:lang w:val="de-DE"/>
              </w:rPr>
              <w:t xml:space="preserve">. </w:t>
            </w:r>
            <w:r w:rsidRPr="003E7195">
              <w:rPr>
                <w:rFonts w:ascii="Arial Narrow" w:hAnsi="Arial Narrow"/>
                <w:color w:val="0D0D0D" w:themeColor="text1" w:themeTint="F2"/>
                <w:sz w:val="20"/>
                <w:szCs w:val="20"/>
                <w:lang w:val="en-AU"/>
              </w:rPr>
              <w:t xml:space="preserve">Final </w:t>
            </w:r>
            <w:r w:rsidR="00E03877" w:rsidRPr="003E7195">
              <w:rPr>
                <w:rFonts w:ascii="Arial Narrow" w:hAnsi="Arial Narrow"/>
                <w:color w:val="0D0D0D" w:themeColor="text1" w:themeTint="F2"/>
                <w:sz w:val="20"/>
                <w:szCs w:val="20"/>
                <w:lang w:val="en-AU"/>
              </w:rPr>
              <w:t>o</w:t>
            </w:r>
            <w:r w:rsidRPr="003E7195">
              <w:rPr>
                <w:rFonts w:ascii="Arial Narrow" w:hAnsi="Arial Narrow"/>
                <w:color w:val="0D0D0D" w:themeColor="text1" w:themeTint="F2"/>
                <w:sz w:val="20"/>
                <w:szCs w:val="20"/>
                <w:lang w:val="en-AU"/>
              </w:rPr>
              <w:t xml:space="preserve">verall </w:t>
            </w:r>
            <w:r w:rsidR="00E03877" w:rsidRPr="003E7195">
              <w:rPr>
                <w:rFonts w:ascii="Arial Narrow" w:hAnsi="Arial Narrow"/>
                <w:color w:val="0D0D0D" w:themeColor="text1" w:themeTint="F2"/>
                <w:sz w:val="20"/>
                <w:szCs w:val="20"/>
                <w:lang w:val="en-AU"/>
              </w:rPr>
              <w:t>s</w:t>
            </w:r>
            <w:r w:rsidRPr="003E7195">
              <w:rPr>
                <w:rFonts w:ascii="Arial Narrow" w:hAnsi="Arial Narrow"/>
                <w:color w:val="0D0D0D" w:themeColor="text1" w:themeTint="F2"/>
                <w:sz w:val="20"/>
                <w:szCs w:val="20"/>
                <w:lang w:val="en-AU"/>
              </w:rPr>
              <w:t xml:space="preserve">urvival </w:t>
            </w:r>
            <w:r w:rsidR="00E03877" w:rsidRPr="003E7195">
              <w:rPr>
                <w:rFonts w:ascii="Arial Narrow" w:hAnsi="Arial Narrow"/>
                <w:color w:val="0D0D0D" w:themeColor="text1" w:themeTint="F2"/>
                <w:sz w:val="20"/>
                <w:szCs w:val="20"/>
                <w:lang w:val="en-AU"/>
              </w:rPr>
              <w:t>e</w:t>
            </w:r>
            <w:r w:rsidRPr="003E7195">
              <w:rPr>
                <w:rFonts w:ascii="Arial Narrow" w:hAnsi="Arial Narrow"/>
                <w:color w:val="0D0D0D" w:themeColor="text1" w:themeTint="F2"/>
                <w:sz w:val="20"/>
                <w:szCs w:val="20"/>
                <w:lang w:val="en-AU"/>
              </w:rPr>
              <w:t xml:space="preserve">fficacy </w:t>
            </w:r>
            <w:r w:rsidR="00E03877" w:rsidRPr="003E7195">
              <w:rPr>
                <w:rFonts w:ascii="Arial Narrow" w:hAnsi="Arial Narrow"/>
                <w:color w:val="0D0D0D" w:themeColor="text1" w:themeTint="F2"/>
                <w:sz w:val="20"/>
                <w:szCs w:val="20"/>
                <w:lang w:val="en-AU"/>
              </w:rPr>
              <w:t>r</w:t>
            </w:r>
            <w:r w:rsidRPr="003E7195">
              <w:rPr>
                <w:rFonts w:ascii="Arial Narrow" w:hAnsi="Arial Narrow"/>
                <w:color w:val="0D0D0D" w:themeColor="text1" w:themeTint="F2"/>
                <w:sz w:val="20"/>
                <w:szCs w:val="20"/>
                <w:lang w:val="en-AU"/>
              </w:rPr>
              <w:t xml:space="preserve">esults of </w:t>
            </w:r>
            <w:r w:rsidR="00C7026F" w:rsidRPr="003E7195">
              <w:rPr>
                <w:rFonts w:ascii="Arial Narrow" w:hAnsi="Arial Narrow"/>
                <w:color w:val="0D0D0D" w:themeColor="text1" w:themeTint="F2"/>
                <w:sz w:val="20"/>
                <w:szCs w:val="20"/>
                <w:lang w:val="en-AU"/>
              </w:rPr>
              <w:t>i</w:t>
            </w:r>
            <w:r w:rsidRPr="003E7195">
              <w:rPr>
                <w:rFonts w:ascii="Arial Narrow" w:hAnsi="Arial Narrow"/>
                <w:color w:val="0D0D0D" w:themeColor="text1" w:themeTint="F2"/>
                <w:sz w:val="20"/>
                <w:szCs w:val="20"/>
                <w:lang w:val="en-AU"/>
              </w:rPr>
              <w:t xml:space="preserve">vosidenib for </w:t>
            </w:r>
            <w:r w:rsidR="00C7026F" w:rsidRPr="003E7195">
              <w:rPr>
                <w:rFonts w:ascii="Arial Narrow" w:hAnsi="Arial Narrow"/>
                <w:color w:val="0D0D0D" w:themeColor="text1" w:themeTint="F2"/>
                <w:sz w:val="20"/>
                <w:szCs w:val="20"/>
                <w:lang w:val="en-AU"/>
              </w:rPr>
              <w:t>p</w:t>
            </w:r>
            <w:r w:rsidRPr="003E7195">
              <w:rPr>
                <w:rFonts w:ascii="Arial Narrow" w:hAnsi="Arial Narrow"/>
                <w:color w:val="0D0D0D" w:themeColor="text1" w:themeTint="F2"/>
                <w:sz w:val="20"/>
                <w:szCs w:val="20"/>
                <w:lang w:val="en-AU"/>
              </w:rPr>
              <w:t xml:space="preserve">atients </w:t>
            </w:r>
            <w:r w:rsidR="00C7026F" w:rsidRPr="003E7195">
              <w:rPr>
                <w:rFonts w:ascii="Arial Narrow" w:hAnsi="Arial Narrow"/>
                <w:color w:val="0D0D0D" w:themeColor="text1" w:themeTint="F2"/>
                <w:sz w:val="20"/>
                <w:szCs w:val="20"/>
                <w:lang w:val="en-AU"/>
              </w:rPr>
              <w:t>w</w:t>
            </w:r>
            <w:r w:rsidRPr="003E7195">
              <w:rPr>
                <w:rFonts w:ascii="Arial Narrow" w:hAnsi="Arial Narrow"/>
                <w:color w:val="0D0D0D" w:themeColor="text1" w:themeTint="F2"/>
                <w:sz w:val="20"/>
                <w:szCs w:val="20"/>
                <w:lang w:val="en-AU"/>
              </w:rPr>
              <w:t xml:space="preserve">ith </w:t>
            </w:r>
            <w:r w:rsidR="00C7026F" w:rsidRPr="003E7195">
              <w:rPr>
                <w:rFonts w:ascii="Arial Narrow" w:hAnsi="Arial Narrow"/>
                <w:color w:val="0D0D0D" w:themeColor="text1" w:themeTint="F2"/>
                <w:sz w:val="20"/>
                <w:szCs w:val="20"/>
                <w:lang w:val="en-AU"/>
              </w:rPr>
              <w:t>a</w:t>
            </w:r>
            <w:r w:rsidRPr="003E7195">
              <w:rPr>
                <w:rFonts w:ascii="Arial Narrow" w:hAnsi="Arial Narrow"/>
                <w:color w:val="0D0D0D" w:themeColor="text1" w:themeTint="F2"/>
                <w:sz w:val="20"/>
                <w:szCs w:val="20"/>
                <w:lang w:val="en-AU"/>
              </w:rPr>
              <w:t xml:space="preserve">dvanced </w:t>
            </w:r>
            <w:r w:rsidR="00C7026F" w:rsidRPr="003E7195">
              <w:rPr>
                <w:rFonts w:ascii="Arial Narrow" w:hAnsi="Arial Narrow"/>
                <w:color w:val="0D0D0D" w:themeColor="text1" w:themeTint="F2"/>
                <w:sz w:val="20"/>
                <w:szCs w:val="20"/>
                <w:lang w:val="en-AU"/>
              </w:rPr>
              <w:t>c</w:t>
            </w:r>
            <w:r w:rsidRPr="003E7195">
              <w:rPr>
                <w:rFonts w:ascii="Arial Narrow" w:hAnsi="Arial Narrow"/>
                <w:color w:val="0D0D0D" w:themeColor="text1" w:themeTint="F2"/>
                <w:sz w:val="20"/>
                <w:szCs w:val="20"/>
                <w:lang w:val="en-AU"/>
              </w:rPr>
              <w:t xml:space="preserve">holangiocarcinoma </w:t>
            </w:r>
            <w:r w:rsidR="00C7026F" w:rsidRPr="003E7195">
              <w:rPr>
                <w:rFonts w:ascii="Arial Narrow" w:hAnsi="Arial Narrow"/>
                <w:color w:val="0D0D0D" w:themeColor="text1" w:themeTint="F2"/>
                <w:sz w:val="20"/>
                <w:szCs w:val="20"/>
                <w:lang w:val="en-AU"/>
              </w:rPr>
              <w:t>w</w:t>
            </w:r>
            <w:r w:rsidRPr="003E7195">
              <w:rPr>
                <w:rFonts w:ascii="Arial Narrow" w:hAnsi="Arial Narrow"/>
                <w:color w:val="0D0D0D" w:themeColor="text1" w:themeTint="F2"/>
                <w:sz w:val="20"/>
                <w:szCs w:val="20"/>
                <w:lang w:val="en-AU"/>
              </w:rPr>
              <w:t xml:space="preserve">ith </w:t>
            </w:r>
            <w:r w:rsidRPr="003E7195">
              <w:rPr>
                <w:rFonts w:ascii="Arial Narrow" w:hAnsi="Arial Narrow"/>
                <w:i/>
                <w:iCs/>
                <w:color w:val="0D0D0D" w:themeColor="text1" w:themeTint="F2"/>
                <w:sz w:val="20"/>
                <w:szCs w:val="20"/>
                <w:lang w:val="en-AU"/>
              </w:rPr>
              <w:t>IDH1</w:t>
            </w:r>
            <w:r w:rsidRPr="003E7195">
              <w:rPr>
                <w:rFonts w:ascii="Arial Narrow" w:hAnsi="Arial Narrow"/>
                <w:color w:val="0D0D0D" w:themeColor="text1" w:themeTint="F2"/>
                <w:sz w:val="20"/>
                <w:szCs w:val="20"/>
                <w:lang w:val="en-AU"/>
              </w:rPr>
              <w:t xml:space="preserve"> </w:t>
            </w:r>
            <w:r w:rsidR="00E03877" w:rsidRPr="003E7195">
              <w:rPr>
                <w:rFonts w:ascii="Arial Narrow" w:hAnsi="Arial Narrow"/>
                <w:color w:val="0D0D0D" w:themeColor="text1" w:themeTint="F2"/>
                <w:sz w:val="20"/>
                <w:szCs w:val="20"/>
                <w:lang w:val="en-AU"/>
              </w:rPr>
              <w:t>m</w:t>
            </w:r>
            <w:r w:rsidRPr="003E7195">
              <w:rPr>
                <w:rFonts w:ascii="Arial Narrow" w:hAnsi="Arial Narrow"/>
                <w:color w:val="0D0D0D" w:themeColor="text1" w:themeTint="F2"/>
                <w:sz w:val="20"/>
                <w:szCs w:val="20"/>
                <w:lang w:val="en-AU"/>
              </w:rPr>
              <w:t xml:space="preserve">utation: </w:t>
            </w:r>
            <w:r w:rsidR="00E03877" w:rsidRPr="003E7195">
              <w:rPr>
                <w:rFonts w:ascii="Arial Narrow" w:hAnsi="Arial Narrow"/>
                <w:color w:val="0D0D0D" w:themeColor="text1" w:themeTint="F2"/>
                <w:sz w:val="20"/>
                <w:szCs w:val="20"/>
                <w:lang w:val="en-AU"/>
              </w:rPr>
              <w:t>t</w:t>
            </w:r>
            <w:r w:rsidRPr="003E7195">
              <w:rPr>
                <w:rFonts w:ascii="Arial Narrow" w:hAnsi="Arial Narrow"/>
                <w:color w:val="0D0D0D" w:themeColor="text1" w:themeTint="F2"/>
                <w:sz w:val="20"/>
                <w:szCs w:val="20"/>
                <w:lang w:val="en-AU"/>
              </w:rPr>
              <w:t xml:space="preserve">he Phase 3 </w:t>
            </w:r>
            <w:r w:rsidR="00E03877" w:rsidRPr="003E7195">
              <w:rPr>
                <w:rFonts w:ascii="Arial Narrow" w:hAnsi="Arial Narrow"/>
                <w:color w:val="0D0D0D" w:themeColor="text1" w:themeTint="F2"/>
                <w:sz w:val="20"/>
                <w:szCs w:val="20"/>
                <w:lang w:val="en-AU"/>
              </w:rPr>
              <w:t>r</w:t>
            </w:r>
            <w:r w:rsidRPr="003E7195">
              <w:rPr>
                <w:rFonts w:ascii="Arial Narrow" w:hAnsi="Arial Narrow"/>
                <w:color w:val="0D0D0D" w:themeColor="text1" w:themeTint="F2"/>
                <w:sz w:val="20"/>
                <w:szCs w:val="20"/>
                <w:lang w:val="en-AU"/>
              </w:rPr>
              <w:t xml:space="preserve">andomized </w:t>
            </w:r>
            <w:r w:rsidR="00E03877" w:rsidRPr="003E7195">
              <w:rPr>
                <w:rFonts w:ascii="Arial Narrow" w:hAnsi="Arial Narrow"/>
                <w:color w:val="0D0D0D" w:themeColor="text1" w:themeTint="F2"/>
                <w:sz w:val="20"/>
                <w:szCs w:val="20"/>
                <w:lang w:val="en-AU"/>
              </w:rPr>
              <w:t>c</w:t>
            </w:r>
            <w:r w:rsidRPr="003E7195">
              <w:rPr>
                <w:rFonts w:ascii="Arial Narrow" w:hAnsi="Arial Narrow"/>
                <w:color w:val="0D0D0D" w:themeColor="text1" w:themeTint="F2"/>
                <w:sz w:val="20"/>
                <w:szCs w:val="20"/>
                <w:lang w:val="en-AU"/>
              </w:rPr>
              <w:t xml:space="preserve">linical ClarIDHy </w:t>
            </w:r>
            <w:r w:rsidR="00E03877" w:rsidRPr="003E7195">
              <w:rPr>
                <w:rFonts w:ascii="Arial Narrow" w:hAnsi="Arial Narrow"/>
                <w:color w:val="0D0D0D" w:themeColor="text1" w:themeTint="F2"/>
                <w:sz w:val="20"/>
                <w:szCs w:val="20"/>
                <w:lang w:val="en-AU"/>
              </w:rPr>
              <w:t>t</w:t>
            </w:r>
            <w:r w:rsidRPr="003E7195">
              <w:rPr>
                <w:rFonts w:ascii="Arial Narrow" w:hAnsi="Arial Narrow"/>
                <w:color w:val="0D0D0D" w:themeColor="text1" w:themeTint="F2"/>
                <w:sz w:val="20"/>
                <w:szCs w:val="20"/>
                <w:lang w:val="en-AU"/>
              </w:rPr>
              <w:t>rial.</w:t>
            </w:r>
          </w:p>
        </w:tc>
        <w:tc>
          <w:tcPr>
            <w:tcW w:w="2126" w:type="dxa"/>
          </w:tcPr>
          <w:p w14:paraId="59B0F489" w14:textId="77777777"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i/>
                <w:iCs/>
                <w:color w:val="0D0D0D" w:themeColor="text1" w:themeTint="F2"/>
                <w:sz w:val="20"/>
                <w:szCs w:val="20"/>
                <w:lang w:val="en-AU"/>
              </w:rPr>
              <w:t>JAMA Oncology</w:t>
            </w:r>
            <w:r w:rsidRPr="003E7195">
              <w:rPr>
                <w:rFonts w:ascii="Arial Narrow" w:hAnsi="Arial Narrow"/>
                <w:color w:val="0D0D0D" w:themeColor="text1" w:themeTint="F2"/>
                <w:sz w:val="20"/>
                <w:szCs w:val="20"/>
                <w:lang w:val="en-AU"/>
              </w:rPr>
              <w:t>. 2021;7(11):1669-77.</w:t>
            </w:r>
          </w:p>
        </w:tc>
      </w:tr>
      <w:tr w:rsidR="003E7195" w:rsidRPr="003E7195" w14:paraId="4713FD8B" w14:textId="77777777" w:rsidTr="001D640F">
        <w:tc>
          <w:tcPr>
            <w:tcW w:w="1283" w:type="dxa"/>
            <w:vMerge/>
          </w:tcPr>
          <w:p w14:paraId="0A0B1D53" w14:textId="77777777" w:rsidR="00AF7AD4" w:rsidRPr="003E7195" w:rsidRDefault="00AF7AD4" w:rsidP="00502D6C">
            <w:pPr>
              <w:keepNext/>
              <w:widowControl w:val="0"/>
              <w:spacing w:before="0"/>
              <w:rPr>
                <w:rFonts w:ascii="Arial Narrow" w:hAnsi="Arial Narrow"/>
                <w:color w:val="0D0D0D" w:themeColor="text1" w:themeTint="F2"/>
                <w:sz w:val="20"/>
                <w:szCs w:val="20"/>
                <w:lang w:val="en-AU"/>
              </w:rPr>
            </w:pPr>
          </w:p>
        </w:tc>
        <w:tc>
          <w:tcPr>
            <w:tcW w:w="5658" w:type="dxa"/>
          </w:tcPr>
          <w:p w14:paraId="6770BC36" w14:textId="369A50EE"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680E8C">
              <w:rPr>
                <w:rFonts w:ascii="Arial Narrow" w:hAnsi="Arial Narrow"/>
                <w:color w:val="0D0D0D" w:themeColor="text1" w:themeTint="F2"/>
                <w:sz w:val="20"/>
                <w:szCs w:val="20"/>
                <w:lang w:val="de-DE"/>
              </w:rPr>
              <w:t xml:space="preserve">Zhu AX, Macarulla T, </w:t>
            </w:r>
            <w:r w:rsidRPr="00680E8C">
              <w:rPr>
                <w:rFonts w:ascii="Arial Narrow" w:hAnsi="Arial Narrow"/>
                <w:i/>
                <w:iCs/>
                <w:color w:val="0D0D0D" w:themeColor="text1" w:themeTint="F2"/>
                <w:sz w:val="20"/>
                <w:szCs w:val="20"/>
                <w:lang w:val="de-DE"/>
              </w:rPr>
              <w:t>et al</w:t>
            </w:r>
            <w:r w:rsidRPr="00680E8C">
              <w:rPr>
                <w:rFonts w:ascii="Arial Narrow" w:hAnsi="Arial Narrow"/>
                <w:color w:val="0D0D0D" w:themeColor="text1" w:themeTint="F2"/>
                <w:sz w:val="20"/>
                <w:szCs w:val="20"/>
                <w:lang w:val="de-DE"/>
              </w:rPr>
              <w:t xml:space="preserve">. </w:t>
            </w:r>
            <w:proofErr w:type="gramStart"/>
            <w:r w:rsidRPr="003E7195">
              <w:rPr>
                <w:rFonts w:ascii="Arial Narrow" w:hAnsi="Arial Narrow"/>
                <w:color w:val="0D0D0D" w:themeColor="text1" w:themeTint="F2"/>
                <w:sz w:val="20"/>
                <w:szCs w:val="20"/>
                <w:lang w:val="en-AU"/>
              </w:rPr>
              <w:t>Final results</w:t>
            </w:r>
            <w:proofErr w:type="gramEnd"/>
            <w:r w:rsidRPr="003E7195">
              <w:rPr>
                <w:rFonts w:ascii="Arial Narrow" w:hAnsi="Arial Narrow"/>
                <w:color w:val="0D0D0D" w:themeColor="text1" w:themeTint="F2"/>
                <w:sz w:val="20"/>
                <w:szCs w:val="20"/>
                <w:lang w:val="en-AU"/>
              </w:rPr>
              <w:t xml:space="preserve"> from ClarIDHy, a global, phase III, randomized, double-blind study of ivosidenib (IVO) versus placebo (PBO) in patients (pts) with previously treated cholangiocarcinoma (CCA) and an isocitrate dehydrogenase 1 (</w:t>
            </w:r>
            <w:r w:rsidRPr="003E7195">
              <w:rPr>
                <w:rFonts w:ascii="Arial Narrow" w:hAnsi="Arial Narrow"/>
                <w:i/>
                <w:iCs/>
                <w:color w:val="0D0D0D" w:themeColor="text1" w:themeTint="F2"/>
                <w:sz w:val="20"/>
                <w:szCs w:val="20"/>
                <w:lang w:val="en-AU"/>
              </w:rPr>
              <w:t>IDH1</w:t>
            </w:r>
            <w:r w:rsidRPr="003E7195">
              <w:rPr>
                <w:rFonts w:ascii="Arial Narrow" w:hAnsi="Arial Narrow"/>
                <w:color w:val="0D0D0D" w:themeColor="text1" w:themeTint="F2"/>
                <w:sz w:val="20"/>
                <w:szCs w:val="20"/>
                <w:lang w:val="en-AU"/>
              </w:rPr>
              <w:t>) mutation.</w:t>
            </w:r>
          </w:p>
        </w:tc>
        <w:tc>
          <w:tcPr>
            <w:tcW w:w="2126" w:type="dxa"/>
          </w:tcPr>
          <w:p w14:paraId="6AF15342" w14:textId="5092B8B2" w:rsidR="00AF7AD4" w:rsidRPr="003E7195" w:rsidRDefault="00AF7AD4" w:rsidP="00502D6C">
            <w:pPr>
              <w:keepNext/>
              <w:widowControl w:val="0"/>
              <w:spacing w:before="0"/>
              <w:jc w:val="left"/>
              <w:rPr>
                <w:rFonts w:ascii="Arial Narrow" w:hAnsi="Arial Narrow"/>
                <w:color w:val="0D0D0D" w:themeColor="text1" w:themeTint="F2"/>
                <w:sz w:val="20"/>
                <w:szCs w:val="20"/>
                <w:lang w:val="en-AU"/>
              </w:rPr>
            </w:pPr>
            <w:r w:rsidRPr="003E7195">
              <w:rPr>
                <w:rFonts w:ascii="Arial Narrow" w:hAnsi="Arial Narrow"/>
                <w:i/>
                <w:iCs/>
                <w:color w:val="0D0D0D" w:themeColor="text1" w:themeTint="F2"/>
                <w:sz w:val="20"/>
                <w:szCs w:val="20"/>
                <w:lang w:val="en-AU"/>
              </w:rPr>
              <w:t>Journal of Clinical Oncology</w:t>
            </w:r>
            <w:r w:rsidRPr="003E7195">
              <w:rPr>
                <w:rFonts w:ascii="Arial Narrow" w:hAnsi="Arial Narrow"/>
                <w:color w:val="0D0D0D" w:themeColor="text1" w:themeTint="F2"/>
                <w:sz w:val="20"/>
                <w:szCs w:val="20"/>
                <w:lang w:val="en-AU"/>
              </w:rPr>
              <w:t>. 2021;39(3_suppl):266</w:t>
            </w:r>
          </w:p>
        </w:tc>
      </w:tr>
    </w:tbl>
    <w:p w14:paraId="1DD88D90" w14:textId="0FC5803A" w:rsidR="00AF7AD4" w:rsidRPr="003E7195" w:rsidRDefault="00AF7AD4" w:rsidP="00AF7AD4">
      <w:pPr>
        <w:pStyle w:val="TableFooter"/>
        <w:rPr>
          <w:color w:val="0D0D0D" w:themeColor="text1" w:themeTint="F2"/>
        </w:rPr>
      </w:pPr>
      <w:r w:rsidRPr="003E7195">
        <w:rPr>
          <w:color w:val="0D0D0D" w:themeColor="text1" w:themeTint="F2"/>
        </w:rPr>
        <w:t>Source: Table 2-19, of the submission</w:t>
      </w:r>
    </w:p>
    <w:p w14:paraId="17BB86DC" w14:textId="44C6FD5A" w:rsidR="00AF7AD4" w:rsidRPr="003E7195" w:rsidRDefault="00AF7AD4" w:rsidP="00AF7AD4">
      <w:pPr>
        <w:pStyle w:val="TableFooter"/>
        <w:rPr>
          <w:color w:val="0D0D0D" w:themeColor="text1" w:themeTint="F2"/>
        </w:rPr>
      </w:pPr>
      <w:r w:rsidRPr="003E7195">
        <w:rPr>
          <w:color w:val="0D0D0D" w:themeColor="text1" w:themeTint="F2"/>
        </w:rPr>
        <w:t>CSR = clinical study report; DCO = data cutoff</w:t>
      </w:r>
    </w:p>
    <w:p w14:paraId="05CCC704" w14:textId="2A134FAE" w:rsidR="00F72BF2" w:rsidRPr="003E7195" w:rsidRDefault="00AF7AD4" w:rsidP="007E0187">
      <w:pPr>
        <w:pStyle w:val="ListParagraph"/>
      </w:pPr>
      <w:r w:rsidRPr="003E7195">
        <w:t>The key features of the included evidence are summarised in</w:t>
      </w:r>
      <w:r w:rsidR="00B24658" w:rsidRPr="003E7195">
        <w:t xml:space="preserve"> </w:t>
      </w:r>
      <w:r w:rsidR="00B24658" w:rsidRPr="003E7195">
        <w:fldChar w:fldCharType="begin" w:fldLock="1"/>
      </w:r>
      <w:r w:rsidR="00B24658" w:rsidRPr="003E7195">
        <w:instrText xml:space="preserve"> REF _Ref164094142 \h </w:instrText>
      </w:r>
      <w:r w:rsidR="00B24658" w:rsidRPr="003E7195">
        <w:fldChar w:fldCharType="separate"/>
      </w:r>
      <w:r w:rsidR="00CB6594" w:rsidRPr="003E7195">
        <w:t xml:space="preserve">Table </w:t>
      </w:r>
      <w:r w:rsidR="00CB6594">
        <w:rPr>
          <w:noProof/>
        </w:rPr>
        <w:t>5</w:t>
      </w:r>
      <w:r w:rsidR="00B24658" w:rsidRPr="003E7195">
        <w:fldChar w:fldCharType="end"/>
      </w:r>
      <w:r w:rsidRPr="003E7195">
        <w:t>.</w:t>
      </w:r>
    </w:p>
    <w:p w14:paraId="6ACDA93E" w14:textId="0603EB6C" w:rsidR="00AF7AD4" w:rsidRPr="003E7195" w:rsidRDefault="00B24658" w:rsidP="00013016">
      <w:pPr>
        <w:pStyle w:val="Caption"/>
      </w:pPr>
      <w:bookmarkStart w:id="25" w:name="_Ref164094142"/>
      <w:r w:rsidRPr="003E7195">
        <w:lastRenderedPageBreak/>
        <w:t xml:space="preserve">Table </w:t>
      </w:r>
      <w:r w:rsidR="00841FC2">
        <w:fldChar w:fldCharType="begin" w:fldLock="1"/>
      </w:r>
      <w:r w:rsidR="00841FC2">
        <w:instrText xml:space="preserve"> SEQ Table_PBAC. \* ARABIC </w:instrText>
      </w:r>
      <w:r w:rsidR="00841FC2">
        <w:fldChar w:fldCharType="separate"/>
      </w:r>
      <w:r w:rsidR="00CB6594">
        <w:rPr>
          <w:noProof/>
        </w:rPr>
        <w:t>5</w:t>
      </w:r>
      <w:r w:rsidR="00841FC2">
        <w:rPr>
          <w:noProof/>
        </w:rPr>
        <w:fldChar w:fldCharType="end"/>
      </w:r>
      <w:bookmarkEnd w:id="25"/>
      <w:r w:rsidR="00CB55A7">
        <w:rPr>
          <w:noProof/>
        </w:rPr>
        <w:t xml:space="preserve">: </w:t>
      </w:r>
      <w:r w:rsidR="00AF7AD4" w:rsidRPr="003E7195">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1205"/>
        <w:gridCol w:w="748"/>
        <w:gridCol w:w="1911"/>
        <w:gridCol w:w="2622"/>
        <w:gridCol w:w="1205"/>
        <w:gridCol w:w="1325"/>
      </w:tblGrid>
      <w:tr w:rsidR="003E7195" w:rsidRPr="003E7195" w14:paraId="3439685F" w14:textId="77777777" w:rsidTr="00CB55A7">
        <w:tc>
          <w:tcPr>
            <w:tcW w:w="668" w:type="pct"/>
            <w:tcBorders>
              <w:top w:val="single" w:sz="4" w:space="0" w:color="auto"/>
              <w:left w:val="single" w:sz="4" w:space="0" w:color="auto"/>
              <w:bottom w:val="single" w:sz="4" w:space="0" w:color="auto"/>
              <w:right w:val="single" w:sz="4" w:space="0" w:color="auto"/>
            </w:tcBorders>
            <w:vAlign w:val="center"/>
            <w:hideMark/>
          </w:tcPr>
          <w:p w14:paraId="722B549B" w14:textId="77777777" w:rsidR="00AF7AD4" w:rsidRPr="003E7195" w:rsidRDefault="00AF7AD4" w:rsidP="00CB55A7">
            <w:pPr>
              <w:pStyle w:val="TableText"/>
              <w:keepNext/>
              <w:keepLines/>
              <w:rPr>
                <w:b/>
                <w:color w:val="0D0D0D" w:themeColor="text1" w:themeTint="F2"/>
              </w:rPr>
            </w:pPr>
            <w:r w:rsidRPr="003E7195">
              <w:rPr>
                <w:b/>
                <w:color w:val="0D0D0D" w:themeColor="text1" w:themeTint="F2"/>
              </w:rPr>
              <w:t>Trial</w:t>
            </w:r>
          </w:p>
        </w:tc>
        <w:tc>
          <w:tcPr>
            <w:tcW w:w="415" w:type="pct"/>
            <w:tcBorders>
              <w:top w:val="single" w:sz="4" w:space="0" w:color="auto"/>
              <w:left w:val="single" w:sz="4" w:space="0" w:color="auto"/>
              <w:bottom w:val="single" w:sz="4" w:space="0" w:color="auto"/>
              <w:right w:val="single" w:sz="4" w:space="0" w:color="auto"/>
            </w:tcBorders>
            <w:vAlign w:val="center"/>
            <w:hideMark/>
          </w:tcPr>
          <w:p w14:paraId="0359C170" w14:textId="77777777" w:rsidR="00AF7AD4" w:rsidRPr="003E7195" w:rsidRDefault="00AF7AD4" w:rsidP="00CB55A7">
            <w:pPr>
              <w:pStyle w:val="TableText"/>
              <w:keepNext/>
              <w:keepLines/>
              <w:rPr>
                <w:b/>
                <w:color w:val="0D0D0D" w:themeColor="text1" w:themeTint="F2"/>
              </w:rPr>
            </w:pPr>
            <w:r w:rsidRPr="003E7195">
              <w:rPr>
                <w:b/>
                <w:color w:val="0D0D0D" w:themeColor="text1" w:themeTint="F2"/>
              </w:rPr>
              <w:t>N</w:t>
            </w:r>
          </w:p>
        </w:tc>
        <w:tc>
          <w:tcPr>
            <w:tcW w:w="1060" w:type="pct"/>
            <w:tcBorders>
              <w:top w:val="single" w:sz="4" w:space="0" w:color="auto"/>
              <w:left w:val="single" w:sz="4" w:space="0" w:color="auto"/>
              <w:bottom w:val="single" w:sz="4" w:space="0" w:color="auto"/>
              <w:right w:val="single" w:sz="4" w:space="0" w:color="auto"/>
            </w:tcBorders>
            <w:vAlign w:val="center"/>
            <w:hideMark/>
          </w:tcPr>
          <w:p w14:paraId="255E945F" w14:textId="77777777" w:rsidR="00AF7AD4" w:rsidRPr="003E7195" w:rsidRDefault="00AF7AD4" w:rsidP="00CB55A7">
            <w:pPr>
              <w:pStyle w:val="TableText"/>
              <w:keepNext/>
              <w:keepLines/>
              <w:rPr>
                <w:b/>
                <w:color w:val="0D0D0D" w:themeColor="text1" w:themeTint="F2"/>
              </w:rPr>
            </w:pPr>
            <w:r w:rsidRPr="003E7195">
              <w:rPr>
                <w:b/>
                <w:color w:val="0D0D0D" w:themeColor="text1" w:themeTint="F2"/>
              </w:rPr>
              <w:t>Design/ duration</w:t>
            </w:r>
          </w:p>
        </w:tc>
        <w:tc>
          <w:tcPr>
            <w:tcW w:w="1454" w:type="pct"/>
            <w:tcBorders>
              <w:top w:val="single" w:sz="4" w:space="0" w:color="auto"/>
              <w:left w:val="single" w:sz="4" w:space="0" w:color="auto"/>
              <w:bottom w:val="single" w:sz="4" w:space="0" w:color="auto"/>
              <w:right w:val="single" w:sz="4" w:space="0" w:color="auto"/>
            </w:tcBorders>
            <w:vAlign w:val="center"/>
            <w:hideMark/>
          </w:tcPr>
          <w:p w14:paraId="386EBA35" w14:textId="77777777" w:rsidR="00AF7AD4" w:rsidRPr="003E7195" w:rsidRDefault="00AF7AD4" w:rsidP="00CB55A7">
            <w:pPr>
              <w:pStyle w:val="TableText"/>
              <w:keepNext/>
              <w:keepLines/>
              <w:rPr>
                <w:b/>
                <w:color w:val="0D0D0D" w:themeColor="text1" w:themeTint="F2"/>
              </w:rPr>
            </w:pPr>
            <w:r w:rsidRPr="003E7195">
              <w:rPr>
                <w:b/>
                <w:color w:val="0D0D0D" w:themeColor="text1" w:themeTint="F2"/>
              </w:rPr>
              <w:t>Patient population</w:t>
            </w:r>
          </w:p>
        </w:tc>
        <w:tc>
          <w:tcPr>
            <w:tcW w:w="668" w:type="pct"/>
            <w:tcBorders>
              <w:top w:val="single" w:sz="4" w:space="0" w:color="auto"/>
              <w:left w:val="single" w:sz="4" w:space="0" w:color="auto"/>
              <w:bottom w:val="single" w:sz="4" w:space="0" w:color="auto"/>
              <w:right w:val="single" w:sz="4" w:space="0" w:color="auto"/>
            </w:tcBorders>
            <w:vAlign w:val="center"/>
            <w:hideMark/>
          </w:tcPr>
          <w:p w14:paraId="0AEA57DA" w14:textId="77777777" w:rsidR="00AF7AD4" w:rsidRPr="003E7195" w:rsidRDefault="00AF7AD4" w:rsidP="00CB55A7">
            <w:pPr>
              <w:pStyle w:val="TableText"/>
              <w:keepNext/>
              <w:keepLines/>
              <w:rPr>
                <w:b/>
                <w:color w:val="0D0D0D" w:themeColor="text1" w:themeTint="F2"/>
              </w:rPr>
            </w:pPr>
            <w:r w:rsidRPr="003E7195">
              <w:rPr>
                <w:b/>
                <w:color w:val="0D0D0D" w:themeColor="text1" w:themeTint="F2"/>
              </w:rPr>
              <w:t>Outcome(s)</w:t>
            </w:r>
          </w:p>
        </w:tc>
        <w:tc>
          <w:tcPr>
            <w:tcW w:w="735" w:type="pct"/>
            <w:tcBorders>
              <w:top w:val="single" w:sz="4" w:space="0" w:color="auto"/>
              <w:left w:val="single" w:sz="4" w:space="0" w:color="auto"/>
              <w:bottom w:val="single" w:sz="4" w:space="0" w:color="auto"/>
              <w:right w:val="single" w:sz="4" w:space="0" w:color="auto"/>
            </w:tcBorders>
            <w:vAlign w:val="center"/>
            <w:hideMark/>
          </w:tcPr>
          <w:p w14:paraId="5B38FC71" w14:textId="643707D2" w:rsidR="00AF7AD4" w:rsidRPr="003E7195" w:rsidRDefault="00AF7AD4" w:rsidP="00CB55A7">
            <w:pPr>
              <w:pStyle w:val="TableText"/>
              <w:keepNext/>
              <w:keepLines/>
              <w:rPr>
                <w:b/>
                <w:color w:val="0D0D0D" w:themeColor="text1" w:themeTint="F2"/>
              </w:rPr>
            </w:pPr>
            <w:r w:rsidRPr="003E7195">
              <w:rPr>
                <w:b/>
                <w:color w:val="0D0D0D" w:themeColor="text1" w:themeTint="F2"/>
              </w:rPr>
              <w:t xml:space="preserve">Use in modelled </w:t>
            </w:r>
            <w:r w:rsidR="00DC5CF3">
              <w:rPr>
                <w:b/>
                <w:color w:val="0D0D0D" w:themeColor="text1" w:themeTint="F2"/>
              </w:rPr>
              <w:t>commentary</w:t>
            </w:r>
          </w:p>
        </w:tc>
      </w:tr>
      <w:tr w:rsidR="003E7195" w:rsidRPr="003E7195" w14:paraId="74241376" w14:textId="77777777" w:rsidTr="00D14A3E">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965DEE1" w14:textId="77777777" w:rsidR="00AF7AD4" w:rsidRPr="003E7195" w:rsidRDefault="00AF7AD4" w:rsidP="00E94E74">
            <w:pPr>
              <w:pStyle w:val="TableText"/>
              <w:keepNext/>
              <w:keepLines/>
              <w:rPr>
                <w:b/>
                <w:bCs/>
                <w:color w:val="0D0D0D" w:themeColor="text1" w:themeTint="F2"/>
              </w:rPr>
            </w:pPr>
            <w:r w:rsidRPr="003E7195">
              <w:rPr>
                <w:b/>
                <w:bCs/>
                <w:color w:val="0D0D0D" w:themeColor="text1" w:themeTint="F2"/>
              </w:rPr>
              <w:t>Ivosidenib vs. placebo/BSC</w:t>
            </w:r>
          </w:p>
        </w:tc>
      </w:tr>
      <w:tr w:rsidR="003E7195" w:rsidRPr="003E7195" w14:paraId="77CFECE3" w14:textId="77777777" w:rsidTr="00D14A3E">
        <w:tc>
          <w:tcPr>
            <w:tcW w:w="668" w:type="pct"/>
            <w:tcBorders>
              <w:top w:val="single" w:sz="4" w:space="0" w:color="auto"/>
              <w:left w:val="single" w:sz="4" w:space="0" w:color="auto"/>
              <w:bottom w:val="single" w:sz="4" w:space="0" w:color="auto"/>
              <w:right w:val="single" w:sz="4" w:space="0" w:color="auto"/>
            </w:tcBorders>
            <w:vAlign w:val="center"/>
            <w:hideMark/>
          </w:tcPr>
          <w:p w14:paraId="270B78C6" w14:textId="77777777" w:rsidR="00AF7AD4" w:rsidRPr="003E7195" w:rsidRDefault="00AF7AD4" w:rsidP="00E94E74">
            <w:pPr>
              <w:pStyle w:val="TableText"/>
              <w:keepNext/>
              <w:keepLines/>
              <w:rPr>
                <w:color w:val="0D0D0D" w:themeColor="text1" w:themeTint="F2"/>
              </w:rPr>
            </w:pPr>
            <w:r w:rsidRPr="003E7195">
              <w:rPr>
                <w:color w:val="0D0D0D" w:themeColor="text1" w:themeTint="F2"/>
              </w:rPr>
              <w:t xml:space="preserve">ClarIDHy </w:t>
            </w:r>
          </w:p>
        </w:tc>
        <w:tc>
          <w:tcPr>
            <w:tcW w:w="415" w:type="pct"/>
            <w:tcBorders>
              <w:top w:val="single" w:sz="4" w:space="0" w:color="auto"/>
              <w:left w:val="single" w:sz="4" w:space="0" w:color="auto"/>
              <w:bottom w:val="single" w:sz="4" w:space="0" w:color="auto"/>
              <w:right w:val="single" w:sz="4" w:space="0" w:color="auto"/>
            </w:tcBorders>
            <w:vAlign w:val="center"/>
            <w:hideMark/>
          </w:tcPr>
          <w:p w14:paraId="7E2514C6" w14:textId="77777777" w:rsidR="00AF7AD4" w:rsidRPr="003E7195" w:rsidRDefault="00AF7AD4" w:rsidP="00E94E74">
            <w:pPr>
              <w:pStyle w:val="TableText"/>
              <w:keepNext/>
              <w:keepLines/>
              <w:rPr>
                <w:color w:val="0D0D0D" w:themeColor="text1" w:themeTint="F2"/>
              </w:rPr>
            </w:pPr>
            <w:r w:rsidRPr="003E7195">
              <w:rPr>
                <w:color w:val="0D0D0D" w:themeColor="text1" w:themeTint="F2"/>
              </w:rPr>
              <w:t>187 (ITT)</w:t>
            </w:r>
          </w:p>
        </w:tc>
        <w:tc>
          <w:tcPr>
            <w:tcW w:w="1060" w:type="pct"/>
            <w:tcBorders>
              <w:top w:val="single" w:sz="4" w:space="0" w:color="auto"/>
              <w:left w:val="single" w:sz="4" w:space="0" w:color="auto"/>
              <w:bottom w:val="single" w:sz="4" w:space="0" w:color="auto"/>
              <w:right w:val="single" w:sz="4" w:space="0" w:color="auto"/>
            </w:tcBorders>
            <w:vAlign w:val="center"/>
            <w:hideMark/>
          </w:tcPr>
          <w:p w14:paraId="6F9AEFC1" w14:textId="77777777" w:rsidR="00AF7AD4" w:rsidRPr="003E7195" w:rsidRDefault="00AF7AD4" w:rsidP="00E94E74">
            <w:pPr>
              <w:pStyle w:val="TableText"/>
              <w:keepNext/>
              <w:keepLines/>
              <w:rPr>
                <w:color w:val="0D0D0D" w:themeColor="text1" w:themeTint="F2"/>
              </w:rPr>
            </w:pPr>
            <w:r w:rsidRPr="003E7195">
              <w:rPr>
                <w:color w:val="0D0D0D" w:themeColor="text1" w:themeTint="F2"/>
              </w:rPr>
              <w:t>R, MC, DB</w:t>
            </w:r>
          </w:p>
          <w:p w14:paraId="25ECBAD2" w14:textId="01487755" w:rsidR="00AF7AD4" w:rsidRPr="003E7195" w:rsidRDefault="001D640F" w:rsidP="00E94E74">
            <w:pPr>
              <w:pStyle w:val="TableText"/>
              <w:keepNext/>
              <w:keepLines/>
              <w:rPr>
                <w:color w:val="0D0D0D" w:themeColor="text1" w:themeTint="F2"/>
              </w:rPr>
            </w:pPr>
            <w:r w:rsidRPr="003E7195">
              <w:rPr>
                <w:color w:val="0D0D0D" w:themeColor="text1" w:themeTint="F2"/>
              </w:rPr>
              <w:t>20.5-</w:t>
            </w:r>
            <w:r w:rsidR="00AF7AD4" w:rsidRPr="003E7195">
              <w:rPr>
                <w:color w:val="0D0D0D" w:themeColor="text1" w:themeTint="F2"/>
              </w:rPr>
              <w:t>24.4mths</w:t>
            </w:r>
            <w:r w:rsidR="00AF7AD4" w:rsidRPr="003E7195">
              <w:rPr>
                <w:color w:val="0D0D0D" w:themeColor="text1" w:themeTint="F2"/>
                <w:vertAlign w:val="superscript"/>
              </w:rPr>
              <w:t>a</w:t>
            </w:r>
          </w:p>
        </w:tc>
        <w:tc>
          <w:tcPr>
            <w:tcW w:w="1454" w:type="pct"/>
            <w:tcBorders>
              <w:top w:val="single" w:sz="4" w:space="0" w:color="auto"/>
              <w:left w:val="single" w:sz="4" w:space="0" w:color="auto"/>
              <w:bottom w:val="single" w:sz="4" w:space="0" w:color="auto"/>
              <w:right w:val="single" w:sz="4" w:space="0" w:color="auto"/>
            </w:tcBorders>
            <w:vAlign w:val="center"/>
            <w:hideMark/>
          </w:tcPr>
          <w:p w14:paraId="05C7DFF0" w14:textId="5FC70E68" w:rsidR="00AF7AD4" w:rsidRPr="003E7195" w:rsidRDefault="00AF7AD4" w:rsidP="00E94E74">
            <w:pPr>
              <w:pStyle w:val="TableText"/>
              <w:keepNext/>
              <w:keepLines/>
              <w:rPr>
                <w:color w:val="0D0D0D" w:themeColor="text1" w:themeTint="F2"/>
              </w:rPr>
            </w:pPr>
            <w:r w:rsidRPr="003E7195">
              <w:rPr>
                <w:color w:val="0D0D0D" w:themeColor="text1" w:themeTint="F2"/>
              </w:rPr>
              <w:t xml:space="preserve">Locally advanced or metastatic CCA with confirmed </w:t>
            </w:r>
            <w:r w:rsidRPr="003E7195">
              <w:rPr>
                <w:i/>
                <w:iCs/>
                <w:color w:val="0D0D0D" w:themeColor="text1" w:themeTint="F2"/>
              </w:rPr>
              <w:t>IDH1</w:t>
            </w:r>
            <w:r w:rsidRPr="003E7195">
              <w:rPr>
                <w:color w:val="0D0D0D" w:themeColor="text1" w:themeTint="F2"/>
              </w:rPr>
              <w:t xml:space="preserve"> variants and disease progression following ≥ 1 prior line chemoth</w:t>
            </w:r>
            <w:r w:rsidR="001D640F" w:rsidRPr="003E7195">
              <w:rPr>
                <w:color w:val="0D0D0D" w:themeColor="text1" w:themeTint="F2"/>
              </w:rPr>
              <w:t>e</w:t>
            </w:r>
            <w:r w:rsidRPr="003E7195">
              <w:rPr>
                <w:color w:val="0D0D0D" w:themeColor="text1" w:themeTint="F2"/>
              </w:rPr>
              <w:t>rapy</w:t>
            </w:r>
          </w:p>
        </w:tc>
        <w:tc>
          <w:tcPr>
            <w:tcW w:w="668" w:type="pct"/>
            <w:tcBorders>
              <w:top w:val="single" w:sz="4" w:space="0" w:color="auto"/>
              <w:left w:val="single" w:sz="4" w:space="0" w:color="auto"/>
              <w:bottom w:val="single" w:sz="4" w:space="0" w:color="auto"/>
              <w:right w:val="single" w:sz="4" w:space="0" w:color="auto"/>
            </w:tcBorders>
            <w:vAlign w:val="center"/>
            <w:hideMark/>
          </w:tcPr>
          <w:p w14:paraId="5FE69EE7" w14:textId="77777777" w:rsidR="00AF7AD4" w:rsidRPr="003B0EA5" w:rsidRDefault="00AF7AD4" w:rsidP="00E94E74">
            <w:pPr>
              <w:pStyle w:val="TableText"/>
              <w:keepNext/>
              <w:keepLines/>
              <w:rPr>
                <w:color w:val="0D0D0D" w:themeColor="text1" w:themeTint="F2"/>
                <w:lang w:val="pt-PT"/>
              </w:rPr>
            </w:pPr>
            <w:r w:rsidRPr="003B0EA5">
              <w:rPr>
                <w:color w:val="0D0D0D" w:themeColor="text1" w:themeTint="F2"/>
                <w:lang w:val="pt-PT"/>
              </w:rPr>
              <w:t>PFS, OS, ORR, HRQoL, TEAEs</w:t>
            </w:r>
          </w:p>
        </w:tc>
        <w:tc>
          <w:tcPr>
            <w:tcW w:w="735" w:type="pct"/>
            <w:tcBorders>
              <w:top w:val="single" w:sz="4" w:space="0" w:color="auto"/>
              <w:left w:val="single" w:sz="4" w:space="0" w:color="auto"/>
              <w:bottom w:val="single" w:sz="4" w:space="0" w:color="auto"/>
              <w:right w:val="single" w:sz="4" w:space="0" w:color="auto"/>
            </w:tcBorders>
            <w:vAlign w:val="center"/>
            <w:hideMark/>
          </w:tcPr>
          <w:p w14:paraId="2D6ADDE9" w14:textId="263D170F" w:rsidR="00AF7AD4" w:rsidRPr="003E7195" w:rsidRDefault="00A65ECE" w:rsidP="00E94E74">
            <w:pPr>
              <w:pStyle w:val="TableText"/>
              <w:keepNext/>
              <w:keepLines/>
              <w:rPr>
                <w:color w:val="0D0D0D" w:themeColor="text1" w:themeTint="F2"/>
              </w:rPr>
            </w:pPr>
            <w:r w:rsidRPr="003E7195">
              <w:rPr>
                <w:color w:val="0D0D0D" w:themeColor="text1" w:themeTint="F2"/>
              </w:rPr>
              <w:t>PFS and OS (RPSFT-adjusted)</w:t>
            </w:r>
          </w:p>
        </w:tc>
      </w:tr>
    </w:tbl>
    <w:p w14:paraId="1E0587BB" w14:textId="77777777" w:rsidR="00AF7AD4" w:rsidRPr="003E7195" w:rsidRDefault="00AF7AD4" w:rsidP="00E94E74">
      <w:pPr>
        <w:pStyle w:val="TableFooter"/>
        <w:keepNext/>
        <w:keepLines/>
        <w:rPr>
          <w:color w:val="0D0D0D" w:themeColor="text1" w:themeTint="F2"/>
        </w:rPr>
      </w:pPr>
      <w:r w:rsidRPr="003E7195">
        <w:rPr>
          <w:color w:val="0D0D0D" w:themeColor="text1" w:themeTint="F2"/>
        </w:rPr>
        <w:t>Source: Section 2C in the submission</w:t>
      </w:r>
    </w:p>
    <w:p w14:paraId="5534D903" w14:textId="3330ACBF" w:rsidR="00AF7AD4" w:rsidRPr="003E7195" w:rsidRDefault="00DA0587" w:rsidP="00E94E74">
      <w:pPr>
        <w:pStyle w:val="TableFooter"/>
        <w:keepNext/>
        <w:keepLines/>
        <w:rPr>
          <w:i/>
          <w:color w:val="0D0D0D" w:themeColor="text1" w:themeTint="F2"/>
        </w:rPr>
      </w:pPr>
      <w:r w:rsidRPr="003E7195">
        <w:rPr>
          <w:color w:val="0D0D0D" w:themeColor="text1" w:themeTint="F2"/>
        </w:rPr>
        <w:t xml:space="preserve">CCA = </w:t>
      </w:r>
      <w:r w:rsidR="00B0338F" w:rsidRPr="003E7195">
        <w:rPr>
          <w:color w:val="0D0D0D" w:themeColor="text1" w:themeTint="F2"/>
        </w:rPr>
        <w:t>cholangiocarcinoma</w:t>
      </w:r>
      <w:r w:rsidRPr="003E7195">
        <w:rPr>
          <w:color w:val="0D0D0D" w:themeColor="text1" w:themeTint="F2"/>
        </w:rPr>
        <w:t xml:space="preserve">, </w:t>
      </w:r>
      <w:r w:rsidR="00AF7AD4" w:rsidRPr="003E7195">
        <w:rPr>
          <w:color w:val="0D0D0D" w:themeColor="text1" w:themeTint="F2"/>
        </w:rPr>
        <w:t>DB</w:t>
      </w:r>
      <w:r w:rsidR="0070775A" w:rsidRPr="003E7195">
        <w:rPr>
          <w:color w:val="0D0D0D" w:themeColor="text1" w:themeTint="F2"/>
        </w:rPr>
        <w:t xml:space="preserve"> </w:t>
      </w:r>
      <w:r w:rsidR="00AF7AD4" w:rsidRPr="003E7195">
        <w:rPr>
          <w:color w:val="0D0D0D" w:themeColor="text1" w:themeTint="F2"/>
        </w:rPr>
        <w:t>=</w:t>
      </w:r>
      <w:r w:rsidR="0070775A" w:rsidRPr="003E7195">
        <w:rPr>
          <w:color w:val="0D0D0D" w:themeColor="text1" w:themeTint="F2"/>
        </w:rPr>
        <w:t xml:space="preserve"> </w:t>
      </w:r>
      <w:r w:rsidR="00AF7AD4" w:rsidRPr="003E7195">
        <w:rPr>
          <w:color w:val="0D0D0D" w:themeColor="text1" w:themeTint="F2"/>
        </w:rPr>
        <w:t>double</w:t>
      </w:r>
      <w:r w:rsidR="0070775A" w:rsidRPr="003E7195">
        <w:rPr>
          <w:color w:val="0D0D0D" w:themeColor="text1" w:themeTint="F2"/>
        </w:rPr>
        <w:t>-</w:t>
      </w:r>
      <w:r w:rsidR="00AF7AD4" w:rsidRPr="003E7195">
        <w:rPr>
          <w:color w:val="0D0D0D" w:themeColor="text1" w:themeTint="F2"/>
        </w:rPr>
        <w:t>blind; ITT = Intention-to-Treat; HRQoL = health-related quality of life; MC</w:t>
      </w:r>
      <w:r w:rsidR="001D640F" w:rsidRPr="003E7195">
        <w:rPr>
          <w:color w:val="0D0D0D" w:themeColor="text1" w:themeTint="F2"/>
        </w:rPr>
        <w:t xml:space="preserve"> </w:t>
      </w:r>
      <w:r w:rsidR="00AF7AD4" w:rsidRPr="003E7195">
        <w:rPr>
          <w:color w:val="0D0D0D" w:themeColor="text1" w:themeTint="F2"/>
        </w:rPr>
        <w:t>=</w:t>
      </w:r>
      <w:r w:rsidR="001D640F" w:rsidRPr="003E7195">
        <w:rPr>
          <w:color w:val="0D0D0D" w:themeColor="text1" w:themeTint="F2"/>
        </w:rPr>
        <w:t xml:space="preserve"> </w:t>
      </w:r>
      <w:r w:rsidR="00AF7AD4" w:rsidRPr="003E7195">
        <w:rPr>
          <w:color w:val="0D0D0D" w:themeColor="text1" w:themeTint="F2"/>
        </w:rPr>
        <w:t>multi-centre; ORR = objective response rate; OS</w:t>
      </w:r>
      <w:r w:rsidR="001D640F" w:rsidRPr="003E7195">
        <w:rPr>
          <w:color w:val="0D0D0D" w:themeColor="text1" w:themeTint="F2"/>
        </w:rPr>
        <w:t xml:space="preserve"> </w:t>
      </w:r>
      <w:r w:rsidR="00AF7AD4" w:rsidRPr="003E7195">
        <w:rPr>
          <w:color w:val="0D0D0D" w:themeColor="text1" w:themeTint="F2"/>
        </w:rPr>
        <w:t>=</w:t>
      </w:r>
      <w:r w:rsidR="001D640F" w:rsidRPr="003E7195">
        <w:rPr>
          <w:color w:val="0D0D0D" w:themeColor="text1" w:themeTint="F2"/>
        </w:rPr>
        <w:t xml:space="preserve"> </w:t>
      </w:r>
      <w:r w:rsidR="00AF7AD4" w:rsidRPr="003E7195">
        <w:rPr>
          <w:color w:val="0D0D0D" w:themeColor="text1" w:themeTint="F2"/>
        </w:rPr>
        <w:t>overall survival; PFS</w:t>
      </w:r>
      <w:r w:rsidR="001D640F" w:rsidRPr="003E7195">
        <w:rPr>
          <w:color w:val="0D0D0D" w:themeColor="text1" w:themeTint="F2"/>
        </w:rPr>
        <w:t xml:space="preserve"> </w:t>
      </w:r>
      <w:r w:rsidR="00AF7AD4" w:rsidRPr="003E7195">
        <w:rPr>
          <w:color w:val="0D0D0D" w:themeColor="text1" w:themeTint="F2"/>
        </w:rPr>
        <w:t>=</w:t>
      </w:r>
      <w:r w:rsidR="001D640F" w:rsidRPr="003E7195">
        <w:rPr>
          <w:color w:val="0D0D0D" w:themeColor="text1" w:themeTint="F2"/>
        </w:rPr>
        <w:t xml:space="preserve"> </w:t>
      </w:r>
      <w:r w:rsidR="00AF7AD4" w:rsidRPr="003E7195">
        <w:rPr>
          <w:color w:val="0D0D0D" w:themeColor="text1" w:themeTint="F2"/>
        </w:rPr>
        <w:t>progression-free survival; R</w:t>
      </w:r>
      <w:r w:rsidR="001D640F" w:rsidRPr="003E7195">
        <w:rPr>
          <w:color w:val="0D0D0D" w:themeColor="text1" w:themeTint="F2"/>
        </w:rPr>
        <w:t xml:space="preserve"> </w:t>
      </w:r>
      <w:r w:rsidR="00AF7AD4" w:rsidRPr="003E7195">
        <w:rPr>
          <w:color w:val="0D0D0D" w:themeColor="text1" w:themeTint="F2"/>
        </w:rPr>
        <w:t>=</w:t>
      </w:r>
      <w:r w:rsidR="001D640F" w:rsidRPr="003E7195">
        <w:rPr>
          <w:color w:val="0D0D0D" w:themeColor="text1" w:themeTint="F2"/>
        </w:rPr>
        <w:t xml:space="preserve"> </w:t>
      </w:r>
      <w:r w:rsidR="00AF7AD4" w:rsidRPr="003E7195">
        <w:rPr>
          <w:color w:val="0D0D0D" w:themeColor="text1" w:themeTint="F2"/>
        </w:rPr>
        <w:t xml:space="preserve">randomised; </w:t>
      </w:r>
      <w:r w:rsidR="00A65ECE" w:rsidRPr="003E7195">
        <w:rPr>
          <w:color w:val="0D0D0D" w:themeColor="text1" w:themeTint="F2"/>
        </w:rPr>
        <w:t xml:space="preserve">RPSFT = rank-preserving structural failure time; </w:t>
      </w:r>
      <w:r w:rsidR="00AF7AD4" w:rsidRPr="003E7195">
        <w:rPr>
          <w:color w:val="0D0D0D" w:themeColor="text1" w:themeTint="F2"/>
        </w:rPr>
        <w:t>TEAE = treatment-emergent adverse event</w:t>
      </w:r>
    </w:p>
    <w:p w14:paraId="3E3F083F" w14:textId="5D712E7E" w:rsidR="00AF7AD4" w:rsidRPr="003E7195" w:rsidRDefault="00AF7AD4" w:rsidP="00CB55A7">
      <w:pPr>
        <w:pStyle w:val="TableFooter"/>
        <w:keepLines/>
        <w:rPr>
          <w:iCs/>
          <w:color w:val="0D0D0D" w:themeColor="text1" w:themeTint="F2"/>
        </w:rPr>
      </w:pPr>
      <w:proofErr w:type="spellStart"/>
      <w:r w:rsidRPr="003E7195">
        <w:rPr>
          <w:iCs/>
          <w:color w:val="0D0D0D" w:themeColor="text1" w:themeTint="F2"/>
          <w:vertAlign w:val="superscript"/>
        </w:rPr>
        <w:t>a</w:t>
      </w:r>
      <w:proofErr w:type="spellEnd"/>
      <w:r w:rsidRPr="003E7195">
        <w:rPr>
          <w:iCs/>
          <w:color w:val="0D0D0D" w:themeColor="text1" w:themeTint="F2"/>
        </w:rPr>
        <w:t xml:space="preserve"> </w:t>
      </w:r>
      <w:r w:rsidR="001D640F" w:rsidRPr="003E7195">
        <w:rPr>
          <w:iCs/>
          <w:color w:val="0D0D0D" w:themeColor="text1" w:themeTint="F2"/>
        </w:rPr>
        <w:t>At the May 202</w:t>
      </w:r>
      <w:r w:rsidR="00EB4778" w:rsidRPr="003E7195">
        <w:rPr>
          <w:iCs/>
          <w:color w:val="0D0D0D" w:themeColor="text1" w:themeTint="F2"/>
        </w:rPr>
        <w:t>0</w:t>
      </w:r>
      <w:r w:rsidR="001D640F" w:rsidRPr="003E7195">
        <w:rPr>
          <w:iCs/>
          <w:color w:val="0D0D0D" w:themeColor="text1" w:themeTint="F2"/>
        </w:rPr>
        <w:t xml:space="preserve"> data cutoff, the m</w:t>
      </w:r>
      <w:r w:rsidRPr="003E7195">
        <w:rPr>
          <w:iCs/>
          <w:color w:val="0D0D0D" w:themeColor="text1" w:themeTint="F2"/>
        </w:rPr>
        <w:t xml:space="preserve">edian follow-up duration </w:t>
      </w:r>
      <w:r w:rsidR="001D640F" w:rsidRPr="003E7195">
        <w:rPr>
          <w:iCs/>
          <w:color w:val="0D0D0D" w:themeColor="text1" w:themeTint="F2"/>
        </w:rPr>
        <w:t xml:space="preserve">was 24.4 </w:t>
      </w:r>
      <w:r w:rsidR="00EB4778" w:rsidRPr="003E7195">
        <w:rPr>
          <w:iCs/>
          <w:color w:val="0D0D0D" w:themeColor="text1" w:themeTint="F2"/>
        </w:rPr>
        <w:t xml:space="preserve">months </w:t>
      </w:r>
      <w:r w:rsidRPr="003E7195">
        <w:rPr>
          <w:iCs/>
          <w:color w:val="0D0D0D" w:themeColor="text1" w:themeTint="F2"/>
        </w:rPr>
        <w:t>for the ivosidenib arm</w:t>
      </w:r>
      <w:r w:rsidR="001D640F" w:rsidRPr="003E7195">
        <w:rPr>
          <w:iCs/>
          <w:color w:val="0D0D0D" w:themeColor="text1" w:themeTint="F2"/>
        </w:rPr>
        <w:t xml:space="preserve"> and 20.5 months</w:t>
      </w:r>
      <w:r w:rsidRPr="003E7195">
        <w:rPr>
          <w:iCs/>
          <w:color w:val="0D0D0D" w:themeColor="text1" w:themeTint="F2"/>
        </w:rPr>
        <w:t xml:space="preserve"> for the placebo arm</w:t>
      </w:r>
    </w:p>
    <w:p w14:paraId="0970B5C7" w14:textId="506E0132" w:rsidR="00AF7AD4" w:rsidRPr="00181B1F" w:rsidRDefault="00AF7AD4" w:rsidP="007E0187">
      <w:pPr>
        <w:pStyle w:val="ListParagraph"/>
      </w:pPr>
      <w:r w:rsidRPr="003E7195">
        <w:t xml:space="preserve">Prior line of chemotherapy (one </w:t>
      </w:r>
      <w:r w:rsidRPr="003E7195">
        <w:rPr>
          <w:i/>
          <w:iCs/>
        </w:rPr>
        <w:t>vs.</w:t>
      </w:r>
      <w:r w:rsidRPr="003E7195">
        <w:t xml:space="preserve"> two) was the stratification factor for randomisation. In the trial, 93% of the </w:t>
      </w:r>
      <w:r w:rsidR="006972FB" w:rsidRPr="003E7195">
        <w:t>intention-to-treat (</w:t>
      </w:r>
      <w:r w:rsidRPr="003E7195">
        <w:t>ITT</w:t>
      </w:r>
      <w:r w:rsidR="006972FB" w:rsidRPr="003E7195">
        <w:t>)</w:t>
      </w:r>
      <w:r w:rsidRPr="003E7195">
        <w:t xml:space="preserve"> population had metastatic disease and 47% had received </w:t>
      </w:r>
      <w:r w:rsidR="004E10AA" w:rsidRPr="003E7195">
        <w:t xml:space="preserve">two </w:t>
      </w:r>
      <w:r w:rsidRPr="003E7195">
        <w:t>prior lines of treatment.</w:t>
      </w:r>
      <w:r w:rsidR="004E10AA" w:rsidRPr="003E7195">
        <w:t xml:space="preserve"> </w:t>
      </w:r>
      <w:r w:rsidR="004E10AA" w:rsidRPr="00181B1F">
        <w:t>Durvalumab, in combination with cisplatin and gemcitabine</w:t>
      </w:r>
      <w:r w:rsidR="0069404C" w:rsidRPr="00181B1F">
        <w:t xml:space="preserve">, </w:t>
      </w:r>
      <w:r w:rsidR="004E10AA" w:rsidRPr="00181B1F">
        <w:t>is the recommended first-line treatment for patients with locally advanced or metastatic CCA</w:t>
      </w:r>
      <w:r w:rsidR="006E567F" w:rsidRPr="00181B1F">
        <w:t xml:space="preserve"> in current clinical practice.</w:t>
      </w:r>
      <w:r w:rsidR="0069404C" w:rsidRPr="00181B1F">
        <w:t xml:space="preserve"> This wa</w:t>
      </w:r>
      <w:r w:rsidR="004E10AA" w:rsidRPr="00181B1F">
        <w:t xml:space="preserve">s </w:t>
      </w:r>
      <w:r w:rsidR="006972FB" w:rsidRPr="00181B1F">
        <w:t xml:space="preserve">not </w:t>
      </w:r>
      <w:r w:rsidR="004E10AA" w:rsidRPr="00181B1F">
        <w:t xml:space="preserve">reflected </w:t>
      </w:r>
      <w:r w:rsidR="0069404C" w:rsidRPr="00181B1F">
        <w:t xml:space="preserve">in the trial population </w:t>
      </w:r>
      <w:r w:rsidR="006E567F" w:rsidRPr="00181B1F">
        <w:t xml:space="preserve">as the previous line of therapy. </w:t>
      </w:r>
      <w:r w:rsidR="00AC75BF" w:rsidRPr="00C30625">
        <w:t>There was no clinical evidence presented in the submission regarding the efficacy and safety of ivosidenib in patients who have previously received durvalumab, however the ESCs considered that, given the different mechanism of action of ivosidenib, efficacy and safety outcomes are unlikely to be affected by prior durvalumab.</w:t>
      </w:r>
      <w:r w:rsidR="00AC75BF" w:rsidRPr="00AC75BF">
        <w:rPr>
          <w:rStyle w:val="InstructionalTextChar"/>
          <w:b/>
          <w:i/>
          <w:iCs/>
          <w:color w:val="0D0D0D" w:themeColor="text1" w:themeTint="F2"/>
        </w:rPr>
        <w:t xml:space="preserve"> </w:t>
      </w:r>
    </w:p>
    <w:p w14:paraId="45FC788A" w14:textId="313C904A" w:rsidR="006F7ED1" w:rsidRPr="003E7195" w:rsidRDefault="00AF7AD4" w:rsidP="007E0187">
      <w:pPr>
        <w:pStyle w:val="ListParagraph"/>
      </w:pPr>
      <w:r w:rsidRPr="003E7195">
        <w:t>In the ClarIDHy trial, progression-free survival (PFS)</w:t>
      </w:r>
      <w:r w:rsidR="0069404C" w:rsidRPr="003E7195">
        <w:t>, assessed by the central independent review committee (IR</w:t>
      </w:r>
      <w:r w:rsidR="00DA0587" w:rsidRPr="003E7195">
        <w:t>C</w:t>
      </w:r>
      <w:r w:rsidR="0069404C" w:rsidRPr="003E7195">
        <w:t>),</w:t>
      </w:r>
      <w:r w:rsidRPr="003E7195">
        <w:t xml:space="preserve"> was the primary endpoint. Overall survival (OS) was the key secondary endpoint. </w:t>
      </w:r>
      <w:r w:rsidR="006F7ED1" w:rsidRPr="003E7195">
        <w:t>Results from the ClarIDHy trial were based on two data cutoff</w:t>
      </w:r>
      <w:r w:rsidR="00DA0587" w:rsidRPr="003E7195">
        <w:t>s</w:t>
      </w:r>
      <w:r w:rsidR="006F7ED1" w:rsidRPr="003E7195">
        <w:t xml:space="preserve"> (DCO). DCO1 </w:t>
      </w:r>
      <w:r w:rsidR="006972FB" w:rsidRPr="003E7195">
        <w:t>o</w:t>
      </w:r>
      <w:r w:rsidR="00DA0587" w:rsidRPr="003E7195">
        <w:t>n</w:t>
      </w:r>
      <w:r w:rsidR="006F7ED1" w:rsidRPr="003E7195">
        <w:t xml:space="preserve"> 31</w:t>
      </w:r>
      <w:r w:rsidR="006F7ED1" w:rsidRPr="003E7195">
        <w:rPr>
          <w:vertAlign w:val="superscript"/>
        </w:rPr>
        <w:t>st</w:t>
      </w:r>
      <w:r w:rsidR="006F7ED1" w:rsidRPr="003E7195">
        <w:t xml:space="preserve"> January 2019</w:t>
      </w:r>
      <w:r w:rsidR="005B3495" w:rsidRPr="003E7195">
        <w:t xml:space="preserve"> was for PFS and objective response rate (ORR);</w:t>
      </w:r>
      <w:r w:rsidR="006F7ED1" w:rsidRPr="003E7195">
        <w:t xml:space="preserve"> whereas </w:t>
      </w:r>
      <w:r w:rsidR="005B3495" w:rsidRPr="003E7195">
        <w:t>DCO2 o</w:t>
      </w:r>
      <w:r w:rsidR="00DA0587" w:rsidRPr="003E7195">
        <w:t>n</w:t>
      </w:r>
      <w:r w:rsidR="005B3495" w:rsidRPr="003E7195">
        <w:t xml:space="preserve"> 31</w:t>
      </w:r>
      <w:r w:rsidR="005B3495" w:rsidRPr="003E7195">
        <w:rPr>
          <w:vertAlign w:val="superscript"/>
        </w:rPr>
        <w:t>st</w:t>
      </w:r>
      <w:r w:rsidR="005B3495" w:rsidRPr="003E7195">
        <w:t xml:space="preserve"> May 2020 was for </w:t>
      </w:r>
      <w:r w:rsidR="006F7ED1" w:rsidRPr="003E7195">
        <w:t>OS, safety and HRQoL</w:t>
      </w:r>
      <w:r w:rsidR="005B3495" w:rsidRPr="003E7195">
        <w:t xml:space="preserve"> outcomes</w:t>
      </w:r>
      <w:r w:rsidR="006F7ED1" w:rsidRPr="003E7195">
        <w:t>.</w:t>
      </w:r>
    </w:p>
    <w:p w14:paraId="506AAD03" w14:textId="04EB8FAB" w:rsidR="00AF7AD4" w:rsidRPr="003E7195" w:rsidRDefault="00AF7AD4" w:rsidP="007E0187">
      <w:pPr>
        <w:pStyle w:val="ListParagraph"/>
      </w:pPr>
      <w:r w:rsidRPr="79C6582A">
        <w:t xml:space="preserve">In the trial, patients </w:t>
      </w:r>
      <w:r w:rsidR="00EA467D" w:rsidRPr="79C6582A">
        <w:t>randomi</w:t>
      </w:r>
      <w:r w:rsidR="00A956D0" w:rsidRPr="79C6582A">
        <w:t>s</w:t>
      </w:r>
      <w:r w:rsidR="00EA467D" w:rsidRPr="79C6582A">
        <w:t xml:space="preserve">ed </w:t>
      </w:r>
      <w:r w:rsidRPr="79C6582A">
        <w:t xml:space="preserve">to the placebo arm </w:t>
      </w:r>
      <w:r w:rsidRPr="79C6582A">
        <w:rPr>
          <w:lang w:eastAsia="zh-CN"/>
        </w:rPr>
        <w:t>were permitted to crossover to receive open-label ivosidenib treatment</w:t>
      </w:r>
      <w:r w:rsidR="00F63A00" w:rsidRPr="00F63A00">
        <w:t xml:space="preserve"> </w:t>
      </w:r>
      <w:r w:rsidR="00F63A00">
        <w:t>following</w:t>
      </w:r>
      <w:r w:rsidR="00F63A00" w:rsidRPr="79C6582A">
        <w:t xml:space="preserve"> </w:t>
      </w:r>
      <w:r w:rsidR="00F63A00" w:rsidRPr="79C6582A">
        <w:rPr>
          <w:lang w:eastAsia="zh-CN"/>
        </w:rPr>
        <w:t>confirmed radiographic disease progression</w:t>
      </w:r>
      <w:r w:rsidRPr="79C6582A">
        <w:rPr>
          <w:lang w:eastAsia="zh-CN"/>
        </w:rPr>
        <w:t xml:space="preserve">. </w:t>
      </w:r>
      <w:r w:rsidR="0069404C" w:rsidRPr="79C6582A">
        <w:rPr>
          <w:lang w:eastAsia="zh-CN"/>
        </w:rPr>
        <w:t xml:space="preserve">At DCO2 </w:t>
      </w:r>
      <w:r w:rsidR="00391513" w:rsidRPr="79C6582A">
        <w:rPr>
          <w:lang w:eastAsia="zh-CN"/>
        </w:rPr>
        <w:t>(31</w:t>
      </w:r>
      <w:r w:rsidR="00391513" w:rsidRPr="79C6582A">
        <w:rPr>
          <w:vertAlign w:val="superscript"/>
          <w:lang w:eastAsia="zh-CN"/>
        </w:rPr>
        <w:t>st</w:t>
      </w:r>
      <w:r w:rsidR="00391513" w:rsidRPr="79C6582A">
        <w:rPr>
          <w:lang w:eastAsia="zh-CN"/>
        </w:rPr>
        <w:t xml:space="preserve"> May 2020)</w:t>
      </w:r>
      <w:r w:rsidRPr="79C6582A">
        <w:rPr>
          <w:lang w:eastAsia="zh-CN"/>
        </w:rPr>
        <w:t>, 43 patients (70</w:t>
      </w:r>
      <w:r w:rsidR="00391513" w:rsidRPr="79C6582A">
        <w:rPr>
          <w:lang w:eastAsia="zh-CN"/>
        </w:rPr>
        <w:t>.5</w:t>
      </w:r>
      <w:r w:rsidRPr="79C6582A">
        <w:rPr>
          <w:lang w:eastAsia="zh-CN"/>
        </w:rPr>
        <w:t xml:space="preserve">%) in the placebo arm crossed over </w:t>
      </w:r>
      <w:r w:rsidR="00F63A00">
        <w:rPr>
          <w:lang w:eastAsia="zh-CN"/>
        </w:rPr>
        <w:t>to ivosidenib treatment</w:t>
      </w:r>
      <w:r w:rsidRPr="79C6582A">
        <w:rPr>
          <w:lang w:eastAsia="zh-CN"/>
        </w:rPr>
        <w:t xml:space="preserve">. </w:t>
      </w:r>
      <w:r w:rsidR="00F345E6" w:rsidRPr="79C6582A">
        <w:t>The rank-preserving structural failure time (RPSFT) model</w:t>
      </w:r>
      <w:r w:rsidR="00F345E6" w:rsidRPr="79C6582A">
        <w:rPr>
          <w:lang w:eastAsia="zh-CN"/>
        </w:rPr>
        <w:t xml:space="preserve">, </w:t>
      </w:r>
      <w:r w:rsidR="00F345E6" w:rsidRPr="79C6582A">
        <w:t>as prespecified in the study protocol</w:t>
      </w:r>
      <w:r w:rsidR="00F345E6" w:rsidRPr="79C6582A">
        <w:rPr>
          <w:lang w:eastAsia="zh-CN"/>
        </w:rPr>
        <w:t>, was applied for a</w:t>
      </w:r>
      <w:r w:rsidRPr="79C6582A">
        <w:t>djustment for treatment switching.</w:t>
      </w:r>
    </w:p>
    <w:p w14:paraId="4DF4C144" w14:textId="096452F5" w:rsidR="00391513" w:rsidRPr="003E7195" w:rsidRDefault="00391513" w:rsidP="007E0187">
      <w:pPr>
        <w:pStyle w:val="ListParagraph"/>
      </w:pPr>
      <w:r w:rsidRPr="003E7195">
        <w:t xml:space="preserve">No head-to-head trial comparing ivosidenib to the secondary comparator, FOLFOX, in the proposed target population was identified. Indirect treatment comparisons (ITCs) of ivosidenib </w:t>
      </w:r>
      <w:r w:rsidRPr="003E7195">
        <w:rPr>
          <w:i/>
          <w:iCs/>
        </w:rPr>
        <w:t>versus</w:t>
      </w:r>
      <w:r w:rsidRPr="003E7195">
        <w:t xml:space="preserve"> FOLFOX, based on the ClarIDHy trial and the FOLFOX trial (ABC-06), were presented in the submission.</w:t>
      </w:r>
    </w:p>
    <w:p w14:paraId="52A0473B" w14:textId="77777777" w:rsidR="00AF7AD4" w:rsidRPr="00AB222B" w:rsidRDefault="00AF7AD4" w:rsidP="00AB222B">
      <w:pPr>
        <w:pStyle w:val="PBACESHeading2"/>
        <w:numPr>
          <w:ilvl w:val="2"/>
          <w:numId w:val="0"/>
        </w:numPr>
        <w:rPr>
          <w:rFonts w:asciiTheme="minorHAnsi" w:hAnsiTheme="minorHAnsi" w:cstheme="minorHAnsi"/>
          <w:color w:val="0D0D0D" w:themeColor="text1" w:themeTint="F2"/>
        </w:rPr>
      </w:pPr>
      <w:bookmarkStart w:id="26" w:name="_Toc166763146"/>
      <w:r w:rsidRPr="00AB222B">
        <w:rPr>
          <w:rFonts w:asciiTheme="minorHAnsi" w:hAnsiTheme="minorHAnsi" w:cstheme="minorHAnsi"/>
          <w:color w:val="0D0D0D" w:themeColor="text1" w:themeTint="F2"/>
        </w:rPr>
        <w:t>Comparative effectiveness</w:t>
      </w:r>
      <w:bookmarkEnd w:id="26"/>
    </w:p>
    <w:p w14:paraId="3709B62F" w14:textId="719BA918" w:rsidR="00EF3237" w:rsidRPr="003E7195" w:rsidRDefault="00EF3237" w:rsidP="00EF3237">
      <w:pPr>
        <w:pStyle w:val="COMH3"/>
        <w:spacing w:after="120"/>
        <w:outlineLvl w:val="2"/>
        <w:rPr>
          <w:color w:val="0D0D0D" w:themeColor="text1" w:themeTint="F2"/>
          <w:sz w:val="24"/>
          <w:szCs w:val="22"/>
        </w:rPr>
      </w:pPr>
      <w:r w:rsidRPr="003E7195">
        <w:rPr>
          <w:color w:val="0D0D0D" w:themeColor="text1" w:themeTint="F2"/>
          <w:sz w:val="24"/>
          <w:szCs w:val="22"/>
        </w:rPr>
        <w:t>Head-to-head comparison of ivosidenib versus palliative care/BSC</w:t>
      </w:r>
    </w:p>
    <w:p w14:paraId="3B35830C" w14:textId="4DFC3735" w:rsidR="00AF7AD4" w:rsidRPr="003E7195" w:rsidRDefault="00AF7AD4" w:rsidP="007E0187">
      <w:pPr>
        <w:pStyle w:val="ListParagraph"/>
      </w:pPr>
      <w:r w:rsidRPr="003E7195">
        <w:t>The PFS and OS observed from the ClarIDHy trial are presented in</w:t>
      </w:r>
      <w:r w:rsidR="00B24658" w:rsidRPr="003E7195">
        <w:t xml:space="preserve"> </w:t>
      </w:r>
      <w:r w:rsidR="00B24658" w:rsidRPr="003E7195">
        <w:fldChar w:fldCharType="begin" w:fldLock="1"/>
      </w:r>
      <w:r w:rsidR="00B24658" w:rsidRPr="003E7195">
        <w:instrText xml:space="preserve"> REF _Ref164094170 \h </w:instrText>
      </w:r>
      <w:r w:rsidR="00B24658" w:rsidRPr="003E7195">
        <w:fldChar w:fldCharType="separate"/>
      </w:r>
      <w:r w:rsidR="00CB6594" w:rsidRPr="003E7195">
        <w:t xml:space="preserve">Table </w:t>
      </w:r>
      <w:r w:rsidR="00CB6594">
        <w:rPr>
          <w:noProof/>
        </w:rPr>
        <w:t>6</w:t>
      </w:r>
      <w:r w:rsidR="00B24658" w:rsidRPr="003E7195">
        <w:fldChar w:fldCharType="end"/>
      </w:r>
      <w:r w:rsidRPr="003E7195">
        <w:t xml:space="preserve">. </w:t>
      </w:r>
    </w:p>
    <w:p w14:paraId="62E598F3" w14:textId="4FDC8954" w:rsidR="00B73987" w:rsidRPr="003E7195" w:rsidRDefault="00B24658" w:rsidP="00013016">
      <w:pPr>
        <w:pStyle w:val="Caption"/>
      </w:pPr>
      <w:bookmarkStart w:id="27" w:name="_Ref164094170"/>
      <w:r w:rsidRPr="003E7195">
        <w:lastRenderedPageBreak/>
        <w:t xml:space="preserve">Table </w:t>
      </w:r>
      <w:r w:rsidR="00841FC2">
        <w:fldChar w:fldCharType="begin" w:fldLock="1"/>
      </w:r>
      <w:r w:rsidR="00841FC2">
        <w:instrText xml:space="preserve"> SEQ Table_PBAC. \* ARABIC </w:instrText>
      </w:r>
      <w:r w:rsidR="00841FC2">
        <w:fldChar w:fldCharType="separate"/>
      </w:r>
      <w:r w:rsidR="00CB6594">
        <w:rPr>
          <w:noProof/>
        </w:rPr>
        <w:t>6</w:t>
      </w:r>
      <w:r w:rsidR="00841FC2">
        <w:rPr>
          <w:noProof/>
        </w:rPr>
        <w:fldChar w:fldCharType="end"/>
      </w:r>
      <w:bookmarkEnd w:id="27"/>
      <w:r w:rsidR="00CB55A7">
        <w:rPr>
          <w:noProof/>
        </w:rPr>
        <w:t xml:space="preserve">: </w:t>
      </w:r>
      <w:r w:rsidR="00B73987" w:rsidRPr="003E7195">
        <w:t>Summary of survival outcomes from the ClarIDHy trial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Caption w:val="Table 6: Summary of survival outcomes from the ClarIDHy trial (ITT population)"/>
      </w:tblPr>
      <w:tblGrid>
        <w:gridCol w:w="3114"/>
        <w:gridCol w:w="1984"/>
        <w:gridCol w:w="1843"/>
        <w:gridCol w:w="2075"/>
      </w:tblGrid>
      <w:tr w:rsidR="003E7195" w:rsidRPr="003E7195" w14:paraId="54DDC09E" w14:textId="77777777" w:rsidTr="79C6582A">
        <w:trPr>
          <w:cantSplit/>
          <w:tblHeader/>
        </w:trPr>
        <w:tc>
          <w:tcPr>
            <w:tcW w:w="1727" w:type="pct"/>
            <w:shd w:val="clear" w:color="auto" w:fill="FFFFFF" w:themeFill="background1"/>
            <w:vAlign w:val="center"/>
          </w:tcPr>
          <w:p w14:paraId="18F238EB" w14:textId="77777777" w:rsidR="00B73987" w:rsidRPr="003E7195" w:rsidRDefault="00B73987" w:rsidP="00D14A3E">
            <w:pPr>
              <w:keepNext/>
              <w:spacing w:before="0" w:after="0"/>
              <w:jc w:val="center"/>
              <w:rPr>
                <w:rFonts w:ascii="Arial Narrow" w:eastAsia="MS Gothic" w:hAnsi="Arial Narrow" w:cs="Times New Roman"/>
                <w:b/>
                <w:color w:val="0D0D0D" w:themeColor="text1" w:themeTint="F2"/>
                <w:sz w:val="20"/>
                <w:szCs w:val="24"/>
                <w:lang w:eastAsia="en-AU"/>
              </w:rPr>
            </w:pPr>
          </w:p>
        </w:tc>
        <w:tc>
          <w:tcPr>
            <w:tcW w:w="1100" w:type="pct"/>
            <w:shd w:val="clear" w:color="auto" w:fill="FFFFFF" w:themeFill="background1"/>
            <w:vAlign w:val="center"/>
          </w:tcPr>
          <w:p w14:paraId="1F7E4373" w14:textId="77777777" w:rsidR="00B73987" w:rsidRPr="003E7195" w:rsidRDefault="00B73987" w:rsidP="00D14A3E">
            <w:pPr>
              <w:keepNext/>
              <w:spacing w:before="0" w:after="0"/>
              <w:jc w:val="center"/>
              <w:rPr>
                <w:rFonts w:ascii="Arial Narrow" w:eastAsia="MS Gothic" w:hAnsi="Arial Narrow" w:cs="Times New Roman"/>
                <w:b/>
                <w:color w:val="0D0D0D" w:themeColor="text1" w:themeTint="F2"/>
                <w:sz w:val="20"/>
                <w:szCs w:val="24"/>
                <w:lang w:eastAsia="en-AU"/>
              </w:rPr>
            </w:pPr>
            <w:r w:rsidRPr="003E7195">
              <w:rPr>
                <w:rFonts w:ascii="Arial Narrow" w:eastAsia="MS Gothic" w:hAnsi="Arial Narrow" w:cs="Times New Roman"/>
                <w:b/>
                <w:color w:val="0D0D0D" w:themeColor="text1" w:themeTint="F2"/>
                <w:sz w:val="20"/>
                <w:szCs w:val="24"/>
                <w:lang w:eastAsia="en-AU"/>
              </w:rPr>
              <w:t xml:space="preserve">Ivosidenib </w:t>
            </w:r>
          </w:p>
          <w:p w14:paraId="49EE4F78" w14:textId="77777777" w:rsidR="00B73987" w:rsidRPr="003E7195" w:rsidRDefault="00B73987" w:rsidP="00D14A3E">
            <w:pPr>
              <w:keepNext/>
              <w:spacing w:before="0" w:after="0"/>
              <w:jc w:val="center"/>
              <w:rPr>
                <w:rFonts w:ascii="Arial Narrow" w:eastAsia="MS Gothic" w:hAnsi="Arial Narrow" w:cs="Times New Roman"/>
                <w:b/>
                <w:color w:val="0D0D0D" w:themeColor="text1" w:themeTint="F2"/>
                <w:sz w:val="20"/>
                <w:szCs w:val="24"/>
                <w:lang w:eastAsia="en-AU"/>
              </w:rPr>
            </w:pPr>
            <w:r w:rsidRPr="003E7195">
              <w:rPr>
                <w:rFonts w:ascii="Arial Narrow" w:eastAsia="MS Gothic" w:hAnsi="Arial Narrow" w:cs="Times New Roman"/>
                <w:b/>
                <w:color w:val="0D0D0D" w:themeColor="text1" w:themeTint="F2"/>
                <w:sz w:val="20"/>
                <w:szCs w:val="24"/>
                <w:lang w:eastAsia="en-AU"/>
              </w:rPr>
              <w:t>n/N (%)</w:t>
            </w:r>
          </w:p>
        </w:tc>
        <w:tc>
          <w:tcPr>
            <w:tcW w:w="1022" w:type="pct"/>
            <w:shd w:val="clear" w:color="auto" w:fill="FFFFFF" w:themeFill="background1"/>
            <w:vAlign w:val="center"/>
          </w:tcPr>
          <w:p w14:paraId="566B8D61" w14:textId="77777777" w:rsidR="00B73987" w:rsidRPr="003E7195" w:rsidRDefault="00B73987" w:rsidP="00D14A3E">
            <w:pPr>
              <w:keepNext/>
              <w:spacing w:before="0" w:after="0"/>
              <w:jc w:val="center"/>
              <w:rPr>
                <w:rFonts w:ascii="Arial Narrow" w:eastAsia="MS Gothic" w:hAnsi="Arial Narrow" w:cs="Times New Roman"/>
                <w:b/>
                <w:color w:val="0D0D0D" w:themeColor="text1" w:themeTint="F2"/>
                <w:sz w:val="20"/>
                <w:szCs w:val="24"/>
                <w:lang w:eastAsia="en-AU"/>
              </w:rPr>
            </w:pPr>
            <w:r w:rsidRPr="003E7195">
              <w:rPr>
                <w:rFonts w:ascii="Arial Narrow" w:eastAsia="MS Gothic" w:hAnsi="Arial Narrow" w:cs="Times New Roman"/>
                <w:b/>
                <w:color w:val="0D0D0D" w:themeColor="text1" w:themeTint="F2"/>
                <w:sz w:val="20"/>
                <w:szCs w:val="24"/>
                <w:lang w:eastAsia="en-AU"/>
              </w:rPr>
              <w:t>Placebo</w:t>
            </w:r>
          </w:p>
          <w:p w14:paraId="771B9375" w14:textId="77777777" w:rsidR="00B73987" w:rsidRPr="003E7195" w:rsidRDefault="00B73987" w:rsidP="00D14A3E">
            <w:pPr>
              <w:keepNext/>
              <w:spacing w:before="0" w:after="0"/>
              <w:jc w:val="center"/>
              <w:rPr>
                <w:rFonts w:ascii="Arial Narrow" w:eastAsia="MS Gothic" w:hAnsi="Arial Narrow" w:cs="Times New Roman"/>
                <w:b/>
                <w:color w:val="0D0D0D" w:themeColor="text1" w:themeTint="F2"/>
                <w:sz w:val="20"/>
                <w:szCs w:val="24"/>
                <w:lang w:eastAsia="en-AU"/>
              </w:rPr>
            </w:pPr>
            <w:r w:rsidRPr="003E7195">
              <w:rPr>
                <w:rFonts w:ascii="Arial Narrow" w:eastAsia="MS Gothic" w:hAnsi="Arial Narrow" w:cs="Times New Roman"/>
                <w:b/>
                <w:color w:val="0D0D0D" w:themeColor="text1" w:themeTint="F2"/>
                <w:sz w:val="20"/>
                <w:szCs w:val="24"/>
                <w:lang w:eastAsia="en-AU"/>
              </w:rPr>
              <w:t>n/N (%)</w:t>
            </w:r>
          </w:p>
        </w:tc>
        <w:tc>
          <w:tcPr>
            <w:tcW w:w="1151" w:type="pct"/>
            <w:shd w:val="clear" w:color="auto" w:fill="FFFFFF" w:themeFill="background1"/>
            <w:vAlign w:val="center"/>
          </w:tcPr>
          <w:p w14:paraId="77F4EBCF" w14:textId="77777777" w:rsidR="00B73987" w:rsidRPr="003E7195" w:rsidRDefault="00B73987" w:rsidP="00D14A3E">
            <w:pPr>
              <w:keepNext/>
              <w:spacing w:before="0" w:after="0"/>
              <w:jc w:val="center"/>
              <w:rPr>
                <w:rFonts w:ascii="Arial Narrow" w:eastAsia="MS Gothic" w:hAnsi="Arial Narrow" w:cs="Times New Roman"/>
                <w:b/>
                <w:color w:val="0D0D0D" w:themeColor="text1" w:themeTint="F2"/>
                <w:sz w:val="20"/>
                <w:szCs w:val="24"/>
                <w:lang w:eastAsia="en-AU"/>
              </w:rPr>
            </w:pPr>
            <w:r w:rsidRPr="003E7195">
              <w:rPr>
                <w:rFonts w:ascii="Arial Narrow" w:eastAsia="MS Gothic" w:hAnsi="Arial Narrow" w:cs="Times New Roman"/>
                <w:b/>
                <w:color w:val="0D0D0D" w:themeColor="text1" w:themeTint="F2"/>
                <w:sz w:val="20"/>
                <w:szCs w:val="24"/>
                <w:lang w:eastAsia="en-AU"/>
              </w:rPr>
              <w:t xml:space="preserve">HR </w:t>
            </w:r>
          </w:p>
          <w:p w14:paraId="0A074B3B" w14:textId="77777777" w:rsidR="00B73987" w:rsidRPr="003E7195" w:rsidRDefault="00B73987" w:rsidP="00D14A3E">
            <w:pPr>
              <w:keepNext/>
              <w:spacing w:before="0" w:after="0"/>
              <w:jc w:val="center"/>
              <w:rPr>
                <w:rFonts w:ascii="Arial Narrow" w:eastAsia="MS Gothic" w:hAnsi="Arial Narrow" w:cs="Times New Roman"/>
                <w:b/>
                <w:color w:val="0D0D0D" w:themeColor="text1" w:themeTint="F2"/>
                <w:sz w:val="20"/>
                <w:szCs w:val="24"/>
                <w:lang w:eastAsia="en-AU"/>
              </w:rPr>
            </w:pPr>
            <w:r w:rsidRPr="003E7195">
              <w:rPr>
                <w:rFonts w:ascii="Arial Narrow" w:eastAsia="MS Gothic" w:hAnsi="Arial Narrow" w:cs="Times New Roman"/>
                <w:b/>
                <w:color w:val="0D0D0D" w:themeColor="text1" w:themeTint="F2"/>
                <w:sz w:val="20"/>
                <w:szCs w:val="24"/>
                <w:lang w:eastAsia="en-AU"/>
              </w:rPr>
              <w:t>(95% CI)</w:t>
            </w:r>
          </w:p>
        </w:tc>
      </w:tr>
      <w:tr w:rsidR="003E7195" w:rsidRPr="003E7195" w14:paraId="7DC4CF5F" w14:textId="77777777" w:rsidTr="79C6582A">
        <w:trPr>
          <w:cantSplit/>
        </w:trPr>
        <w:tc>
          <w:tcPr>
            <w:tcW w:w="5000" w:type="pct"/>
            <w:gridSpan w:val="4"/>
            <w:shd w:val="clear" w:color="auto" w:fill="FFFFFF" w:themeFill="background1"/>
            <w:vAlign w:val="center"/>
          </w:tcPr>
          <w:p w14:paraId="5A33515A" w14:textId="77777777" w:rsidR="00B73987" w:rsidRPr="003E7195" w:rsidRDefault="00B73987" w:rsidP="00D14A3E">
            <w:pPr>
              <w:keepNext/>
              <w:spacing w:before="0" w:after="0"/>
              <w:rPr>
                <w:rFonts w:ascii="Arial Narrow" w:eastAsia="MS Gothic" w:hAnsi="Arial Narrow" w:cs="Times New Roman"/>
                <w:b/>
                <w:color w:val="0D0D0D" w:themeColor="text1" w:themeTint="F2"/>
                <w:sz w:val="20"/>
                <w:szCs w:val="24"/>
                <w:lang w:eastAsia="en-AU"/>
              </w:rPr>
            </w:pPr>
            <w:proofErr w:type="spellStart"/>
            <w:r w:rsidRPr="003E7195">
              <w:rPr>
                <w:rFonts w:ascii="Arial Narrow" w:eastAsia="MS Gothic" w:hAnsi="Arial Narrow" w:cs="Times New Roman"/>
                <w:b/>
                <w:color w:val="0D0D0D" w:themeColor="text1" w:themeTint="F2"/>
                <w:sz w:val="20"/>
                <w:szCs w:val="24"/>
                <w:lang w:eastAsia="en-AU"/>
              </w:rPr>
              <w:t>PFS</w:t>
            </w:r>
            <w:r w:rsidRPr="003E7195">
              <w:rPr>
                <w:rFonts w:ascii="Arial Narrow" w:eastAsia="MS Gothic" w:hAnsi="Arial Narrow" w:cs="Times New Roman"/>
                <w:b/>
                <w:color w:val="0D0D0D" w:themeColor="text1" w:themeTint="F2"/>
                <w:sz w:val="20"/>
                <w:szCs w:val="24"/>
                <w:vertAlign w:val="superscript"/>
                <w:lang w:eastAsia="en-AU"/>
              </w:rPr>
              <w:t>a</w:t>
            </w:r>
            <w:proofErr w:type="spellEnd"/>
          </w:p>
        </w:tc>
      </w:tr>
      <w:tr w:rsidR="003E7195" w:rsidRPr="003E7195" w14:paraId="2ECE3A39" w14:textId="77777777" w:rsidTr="79C6582A">
        <w:trPr>
          <w:cantSplit/>
        </w:trPr>
        <w:tc>
          <w:tcPr>
            <w:tcW w:w="1727" w:type="pct"/>
            <w:shd w:val="clear" w:color="auto" w:fill="FFFFFF" w:themeFill="background1"/>
            <w:vAlign w:val="center"/>
          </w:tcPr>
          <w:p w14:paraId="02545C03" w14:textId="77777777" w:rsidR="00B73987" w:rsidRPr="003E7195" w:rsidRDefault="00B73987" w:rsidP="00D14A3E">
            <w:pPr>
              <w:keepNext/>
              <w:spacing w:before="0" w:after="0"/>
              <w:jc w:val="left"/>
              <w:rPr>
                <w:rFonts w:ascii="Arial Narrow" w:eastAsia="MS Gothic" w:hAnsi="Arial Narrow" w:cs="Times New Roman"/>
                <w:bCs/>
                <w:color w:val="0D0D0D" w:themeColor="text1" w:themeTint="F2"/>
                <w:sz w:val="20"/>
                <w:szCs w:val="20"/>
                <w:lang w:eastAsia="en-AU"/>
              </w:rPr>
            </w:pPr>
            <w:r w:rsidRPr="003E7195">
              <w:rPr>
                <w:rFonts w:ascii="Arial Narrow" w:eastAsia="MS Gothic" w:hAnsi="Arial Narrow" w:cs="Times New Roman"/>
                <w:bCs/>
                <w:color w:val="0D0D0D" w:themeColor="text1" w:themeTint="F2"/>
                <w:sz w:val="20"/>
                <w:szCs w:val="20"/>
                <w:lang w:eastAsia="en-AU"/>
              </w:rPr>
              <w:t>Progressed, n/N (%)</w:t>
            </w:r>
          </w:p>
        </w:tc>
        <w:tc>
          <w:tcPr>
            <w:tcW w:w="1100" w:type="pct"/>
            <w:shd w:val="clear" w:color="auto" w:fill="FFFFFF" w:themeFill="background1"/>
            <w:vAlign w:val="center"/>
          </w:tcPr>
          <w:p w14:paraId="795A9329" w14:textId="77777777"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eastAsia="MS Gothic" w:hAnsi="Arial Narrow" w:cs="Times New Roman"/>
                <w:bCs/>
                <w:color w:val="0D0D0D" w:themeColor="text1" w:themeTint="F2"/>
                <w:sz w:val="20"/>
                <w:szCs w:val="20"/>
                <w:lang w:eastAsia="en-AU"/>
              </w:rPr>
              <w:t>76/124 (61.3%)</w:t>
            </w:r>
          </w:p>
        </w:tc>
        <w:tc>
          <w:tcPr>
            <w:tcW w:w="1022" w:type="pct"/>
            <w:shd w:val="clear" w:color="auto" w:fill="FFFFFF" w:themeFill="background1"/>
            <w:vAlign w:val="center"/>
          </w:tcPr>
          <w:p w14:paraId="22CC9551" w14:textId="77777777"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eastAsia="MS Gothic" w:hAnsi="Arial Narrow" w:cs="Times New Roman"/>
                <w:bCs/>
                <w:color w:val="0D0D0D" w:themeColor="text1" w:themeTint="F2"/>
                <w:sz w:val="20"/>
                <w:szCs w:val="20"/>
                <w:lang w:eastAsia="en-AU"/>
              </w:rPr>
              <w:t>50/61 (82.0%)</w:t>
            </w:r>
          </w:p>
        </w:tc>
        <w:tc>
          <w:tcPr>
            <w:tcW w:w="1151" w:type="pct"/>
            <w:shd w:val="clear" w:color="auto" w:fill="FFFFFF" w:themeFill="background1"/>
            <w:vAlign w:val="center"/>
          </w:tcPr>
          <w:p w14:paraId="1D8913ED" w14:textId="77777777"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eastAsia="MS Gothic" w:hAnsi="Arial Narrow" w:cs="Times New Roman"/>
                <w:bCs/>
                <w:color w:val="0D0D0D" w:themeColor="text1" w:themeTint="F2"/>
                <w:sz w:val="20"/>
                <w:szCs w:val="20"/>
                <w:lang w:eastAsia="en-AU"/>
              </w:rPr>
              <w:t>-</w:t>
            </w:r>
          </w:p>
        </w:tc>
      </w:tr>
      <w:tr w:rsidR="003E7195" w:rsidRPr="003E7195" w14:paraId="06F2A793" w14:textId="77777777" w:rsidTr="79C6582A">
        <w:trPr>
          <w:cantSplit/>
        </w:trPr>
        <w:tc>
          <w:tcPr>
            <w:tcW w:w="1727" w:type="pct"/>
            <w:shd w:val="clear" w:color="auto" w:fill="FFFFFF" w:themeFill="background1"/>
            <w:vAlign w:val="center"/>
          </w:tcPr>
          <w:p w14:paraId="389C6F5B" w14:textId="77777777" w:rsidR="00B73987" w:rsidRPr="003E7195" w:rsidRDefault="00B73987" w:rsidP="00D14A3E">
            <w:pPr>
              <w:keepNext/>
              <w:spacing w:before="0" w:after="0"/>
              <w:jc w:val="left"/>
              <w:rPr>
                <w:rFonts w:ascii="Arial Narrow" w:eastAsia="MS Gothic" w:hAnsi="Arial Narrow" w:cs="Times New Roman"/>
                <w:bCs/>
                <w:color w:val="0D0D0D" w:themeColor="text1" w:themeTint="F2"/>
                <w:sz w:val="20"/>
                <w:szCs w:val="20"/>
                <w:lang w:eastAsia="en-AU"/>
              </w:rPr>
            </w:pPr>
            <w:r w:rsidRPr="003E7195">
              <w:rPr>
                <w:rFonts w:ascii="Arial Narrow" w:eastAsia="MS Gothic" w:hAnsi="Arial Narrow" w:cs="Times New Roman"/>
                <w:bCs/>
                <w:color w:val="0D0D0D" w:themeColor="text1" w:themeTint="F2"/>
                <w:sz w:val="20"/>
                <w:szCs w:val="20"/>
                <w:lang w:eastAsia="en-AU"/>
              </w:rPr>
              <w:t>Median PFS, months (95% CI)</w:t>
            </w:r>
          </w:p>
        </w:tc>
        <w:tc>
          <w:tcPr>
            <w:tcW w:w="1100" w:type="pct"/>
            <w:shd w:val="clear" w:color="auto" w:fill="FFFFFF" w:themeFill="background1"/>
            <w:vAlign w:val="center"/>
          </w:tcPr>
          <w:p w14:paraId="6468B6F2" w14:textId="514383A8"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hAnsi="Arial Narrow"/>
                <w:color w:val="0D0D0D" w:themeColor="text1" w:themeTint="F2"/>
                <w:sz w:val="20"/>
                <w:szCs w:val="20"/>
              </w:rPr>
              <w:t>2.7 (1.6</w:t>
            </w:r>
            <w:r w:rsidR="006F7ED1" w:rsidRPr="003E7195">
              <w:rPr>
                <w:rFonts w:ascii="Arial Narrow" w:hAnsi="Arial Narrow"/>
                <w:color w:val="0D0D0D" w:themeColor="text1" w:themeTint="F2"/>
                <w:sz w:val="20"/>
                <w:szCs w:val="20"/>
              </w:rPr>
              <w:t>,</w:t>
            </w:r>
            <w:r w:rsidRPr="003E7195">
              <w:rPr>
                <w:rFonts w:ascii="Arial Narrow" w:hAnsi="Arial Narrow"/>
                <w:color w:val="0D0D0D" w:themeColor="text1" w:themeTint="F2"/>
                <w:sz w:val="20"/>
                <w:szCs w:val="20"/>
              </w:rPr>
              <w:t xml:space="preserve"> 4.2)</w:t>
            </w:r>
          </w:p>
        </w:tc>
        <w:tc>
          <w:tcPr>
            <w:tcW w:w="1022" w:type="pct"/>
            <w:shd w:val="clear" w:color="auto" w:fill="FFFFFF" w:themeFill="background1"/>
            <w:vAlign w:val="center"/>
          </w:tcPr>
          <w:p w14:paraId="203F474B" w14:textId="18177135"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hAnsi="Arial Narrow"/>
                <w:color w:val="0D0D0D" w:themeColor="text1" w:themeTint="F2"/>
                <w:sz w:val="20"/>
                <w:szCs w:val="20"/>
              </w:rPr>
              <w:t>1.4 (1.4</w:t>
            </w:r>
            <w:r w:rsidR="006F7ED1" w:rsidRPr="003E7195">
              <w:rPr>
                <w:rFonts w:ascii="Arial Narrow" w:hAnsi="Arial Narrow"/>
                <w:color w:val="0D0D0D" w:themeColor="text1" w:themeTint="F2"/>
                <w:sz w:val="20"/>
                <w:szCs w:val="20"/>
              </w:rPr>
              <w:t>,</w:t>
            </w:r>
            <w:r w:rsidRPr="003E7195">
              <w:rPr>
                <w:rFonts w:ascii="Arial Narrow" w:hAnsi="Arial Narrow"/>
                <w:color w:val="0D0D0D" w:themeColor="text1" w:themeTint="F2"/>
                <w:sz w:val="20"/>
                <w:szCs w:val="20"/>
              </w:rPr>
              <w:t xml:space="preserve"> 1.6)</w:t>
            </w:r>
          </w:p>
        </w:tc>
        <w:tc>
          <w:tcPr>
            <w:tcW w:w="1151" w:type="pct"/>
            <w:shd w:val="clear" w:color="auto" w:fill="FFFFFF" w:themeFill="background1"/>
            <w:vAlign w:val="center"/>
          </w:tcPr>
          <w:p w14:paraId="369ED8DF" w14:textId="585F1A6B"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hAnsi="Arial Narrow"/>
                <w:color w:val="0D0D0D" w:themeColor="text1" w:themeTint="F2"/>
                <w:sz w:val="20"/>
                <w:szCs w:val="20"/>
              </w:rPr>
              <w:t>0.37 (0.25</w:t>
            </w:r>
            <w:r w:rsidR="006F7ED1" w:rsidRPr="003E7195">
              <w:rPr>
                <w:rFonts w:ascii="Arial Narrow" w:hAnsi="Arial Narrow"/>
                <w:color w:val="0D0D0D" w:themeColor="text1" w:themeTint="F2"/>
                <w:sz w:val="20"/>
                <w:szCs w:val="20"/>
              </w:rPr>
              <w:t>,</w:t>
            </w:r>
            <w:r w:rsidRPr="003E7195">
              <w:rPr>
                <w:rFonts w:ascii="Arial Narrow" w:hAnsi="Arial Narrow"/>
                <w:color w:val="0D0D0D" w:themeColor="text1" w:themeTint="F2"/>
                <w:sz w:val="20"/>
                <w:szCs w:val="20"/>
              </w:rPr>
              <w:t xml:space="preserve"> 0.54)</w:t>
            </w:r>
            <w:r w:rsidRPr="003E7195">
              <w:rPr>
                <w:rFonts w:ascii="Arial Narrow" w:hAnsi="Arial Narrow"/>
                <w:color w:val="0D0D0D" w:themeColor="text1" w:themeTint="F2"/>
                <w:sz w:val="20"/>
                <w:szCs w:val="20"/>
                <w:vertAlign w:val="superscript"/>
              </w:rPr>
              <w:t>c</w:t>
            </w:r>
          </w:p>
        </w:tc>
      </w:tr>
      <w:tr w:rsidR="003E7195" w:rsidRPr="003E7195" w14:paraId="737EA965" w14:textId="77777777" w:rsidTr="79C6582A">
        <w:trPr>
          <w:cantSplit/>
        </w:trPr>
        <w:tc>
          <w:tcPr>
            <w:tcW w:w="1727" w:type="pct"/>
            <w:shd w:val="clear" w:color="auto" w:fill="FFFFFF" w:themeFill="background1"/>
            <w:vAlign w:val="center"/>
          </w:tcPr>
          <w:p w14:paraId="26136D99" w14:textId="77777777" w:rsidR="00B73987" w:rsidRPr="003E7195" w:rsidRDefault="00B73987" w:rsidP="00D14A3E">
            <w:pPr>
              <w:keepNext/>
              <w:spacing w:before="0" w:after="0"/>
              <w:jc w:val="left"/>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 not progressed at 3 months</w:t>
            </w:r>
          </w:p>
        </w:tc>
        <w:tc>
          <w:tcPr>
            <w:tcW w:w="1100" w:type="pct"/>
            <w:shd w:val="clear" w:color="auto" w:fill="FFFFFF" w:themeFill="background1"/>
            <w:vAlign w:val="center"/>
          </w:tcPr>
          <w:p w14:paraId="52604D17"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44.8</w:t>
            </w:r>
          </w:p>
        </w:tc>
        <w:tc>
          <w:tcPr>
            <w:tcW w:w="1022" w:type="pct"/>
            <w:shd w:val="clear" w:color="auto" w:fill="FFFFFF" w:themeFill="background1"/>
            <w:vAlign w:val="center"/>
          </w:tcPr>
          <w:p w14:paraId="537A4245"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12.5</w:t>
            </w:r>
          </w:p>
        </w:tc>
        <w:tc>
          <w:tcPr>
            <w:tcW w:w="1151" w:type="pct"/>
            <w:shd w:val="clear" w:color="auto" w:fill="FFFFFF" w:themeFill="background1"/>
            <w:vAlign w:val="center"/>
          </w:tcPr>
          <w:p w14:paraId="144D45E2"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eastAsia="MS Gothic" w:hAnsi="Arial Narrow" w:cs="Arial"/>
                <w:bCs/>
                <w:color w:val="0D0D0D" w:themeColor="text1" w:themeTint="F2"/>
                <w:sz w:val="20"/>
                <w:szCs w:val="20"/>
                <w:lang w:eastAsia="en-AU"/>
              </w:rPr>
              <w:t>-</w:t>
            </w:r>
          </w:p>
        </w:tc>
      </w:tr>
      <w:tr w:rsidR="003E7195" w:rsidRPr="003E7195" w14:paraId="1D3B40B6" w14:textId="77777777" w:rsidTr="79C6582A">
        <w:trPr>
          <w:cantSplit/>
        </w:trPr>
        <w:tc>
          <w:tcPr>
            <w:tcW w:w="1727" w:type="pct"/>
            <w:shd w:val="clear" w:color="auto" w:fill="FFFFFF" w:themeFill="background1"/>
            <w:vAlign w:val="center"/>
          </w:tcPr>
          <w:p w14:paraId="5D356DAB" w14:textId="77777777" w:rsidR="00B73987" w:rsidRPr="003E7195" w:rsidRDefault="00B73987" w:rsidP="00D14A3E">
            <w:pPr>
              <w:keepNext/>
              <w:spacing w:before="0" w:after="0"/>
              <w:jc w:val="left"/>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 not progressed at 6 months</w:t>
            </w:r>
          </w:p>
        </w:tc>
        <w:tc>
          <w:tcPr>
            <w:tcW w:w="1100" w:type="pct"/>
            <w:shd w:val="clear" w:color="auto" w:fill="FFFFFF" w:themeFill="background1"/>
            <w:vAlign w:val="center"/>
          </w:tcPr>
          <w:p w14:paraId="65BD1B33"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32.0</w:t>
            </w:r>
          </w:p>
        </w:tc>
        <w:tc>
          <w:tcPr>
            <w:tcW w:w="1022" w:type="pct"/>
            <w:shd w:val="clear" w:color="auto" w:fill="FFFFFF" w:themeFill="background1"/>
            <w:vAlign w:val="center"/>
          </w:tcPr>
          <w:p w14:paraId="22C96AD1"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NE</w:t>
            </w:r>
          </w:p>
        </w:tc>
        <w:tc>
          <w:tcPr>
            <w:tcW w:w="1151" w:type="pct"/>
            <w:shd w:val="clear" w:color="auto" w:fill="FFFFFF" w:themeFill="background1"/>
            <w:vAlign w:val="center"/>
          </w:tcPr>
          <w:p w14:paraId="24138DFF"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eastAsia="MS Gothic" w:hAnsi="Arial Narrow" w:cs="Arial"/>
                <w:bCs/>
                <w:color w:val="0D0D0D" w:themeColor="text1" w:themeTint="F2"/>
                <w:sz w:val="20"/>
                <w:szCs w:val="20"/>
                <w:lang w:eastAsia="en-AU"/>
              </w:rPr>
              <w:t>-</w:t>
            </w:r>
          </w:p>
        </w:tc>
      </w:tr>
      <w:tr w:rsidR="003E7195" w:rsidRPr="003E7195" w14:paraId="4B63FF0C" w14:textId="77777777" w:rsidTr="79C6582A">
        <w:trPr>
          <w:cantSplit/>
        </w:trPr>
        <w:tc>
          <w:tcPr>
            <w:tcW w:w="1727" w:type="pct"/>
            <w:shd w:val="clear" w:color="auto" w:fill="FFFFFF" w:themeFill="background1"/>
            <w:vAlign w:val="center"/>
          </w:tcPr>
          <w:p w14:paraId="052E4E21" w14:textId="77777777" w:rsidR="00B73987" w:rsidRPr="003E7195" w:rsidRDefault="00B73987" w:rsidP="00D14A3E">
            <w:pPr>
              <w:keepNext/>
              <w:spacing w:before="0" w:after="0"/>
              <w:jc w:val="left"/>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 not progressed at 12 months</w:t>
            </w:r>
          </w:p>
        </w:tc>
        <w:tc>
          <w:tcPr>
            <w:tcW w:w="1100" w:type="pct"/>
            <w:shd w:val="clear" w:color="auto" w:fill="FFFFFF" w:themeFill="background1"/>
            <w:vAlign w:val="center"/>
          </w:tcPr>
          <w:p w14:paraId="5C77EA74"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21.9</w:t>
            </w:r>
          </w:p>
        </w:tc>
        <w:tc>
          <w:tcPr>
            <w:tcW w:w="1022" w:type="pct"/>
            <w:shd w:val="clear" w:color="auto" w:fill="FFFFFF" w:themeFill="background1"/>
            <w:vAlign w:val="center"/>
          </w:tcPr>
          <w:p w14:paraId="7F6A5341"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NE</w:t>
            </w:r>
          </w:p>
        </w:tc>
        <w:tc>
          <w:tcPr>
            <w:tcW w:w="1151" w:type="pct"/>
            <w:shd w:val="clear" w:color="auto" w:fill="FFFFFF" w:themeFill="background1"/>
            <w:vAlign w:val="center"/>
          </w:tcPr>
          <w:p w14:paraId="2D08F321"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eastAsia="MS Gothic" w:hAnsi="Arial Narrow" w:cs="Arial"/>
                <w:bCs/>
                <w:color w:val="0D0D0D" w:themeColor="text1" w:themeTint="F2"/>
                <w:sz w:val="20"/>
                <w:szCs w:val="20"/>
                <w:lang w:eastAsia="en-AU"/>
              </w:rPr>
              <w:t>-</w:t>
            </w:r>
          </w:p>
        </w:tc>
      </w:tr>
      <w:tr w:rsidR="003E7195" w:rsidRPr="003E7195" w14:paraId="60DCA631" w14:textId="77777777" w:rsidTr="79C6582A">
        <w:trPr>
          <w:cantSplit/>
        </w:trPr>
        <w:tc>
          <w:tcPr>
            <w:tcW w:w="5000" w:type="pct"/>
            <w:gridSpan w:val="4"/>
            <w:shd w:val="clear" w:color="auto" w:fill="FFFFFF" w:themeFill="background1"/>
            <w:vAlign w:val="center"/>
          </w:tcPr>
          <w:p w14:paraId="563C42D4" w14:textId="77777777" w:rsidR="00B73987" w:rsidRPr="003E7195" w:rsidRDefault="00B73987" w:rsidP="00D14A3E">
            <w:pPr>
              <w:keepNext/>
              <w:spacing w:before="0" w:after="0"/>
              <w:rPr>
                <w:rFonts w:ascii="Arial Narrow" w:eastAsia="MS Gothic" w:hAnsi="Arial Narrow" w:cs="Arial"/>
                <w:bCs/>
                <w:color w:val="0D0D0D" w:themeColor="text1" w:themeTint="F2"/>
                <w:sz w:val="20"/>
                <w:szCs w:val="20"/>
                <w:lang w:eastAsia="en-AU"/>
              </w:rPr>
            </w:pPr>
            <w:proofErr w:type="spellStart"/>
            <w:r w:rsidRPr="003E7195">
              <w:rPr>
                <w:rFonts w:ascii="Arial Narrow" w:hAnsi="Arial Narrow"/>
                <w:b/>
                <w:bCs/>
                <w:color w:val="0D0D0D" w:themeColor="text1" w:themeTint="F2"/>
                <w:sz w:val="20"/>
                <w:szCs w:val="20"/>
              </w:rPr>
              <w:t>OS</w:t>
            </w:r>
            <w:r w:rsidRPr="003E7195">
              <w:rPr>
                <w:rFonts w:ascii="Arial Narrow" w:hAnsi="Arial Narrow"/>
                <w:b/>
                <w:bCs/>
                <w:color w:val="0D0D0D" w:themeColor="text1" w:themeTint="F2"/>
                <w:sz w:val="20"/>
                <w:szCs w:val="20"/>
                <w:vertAlign w:val="superscript"/>
              </w:rPr>
              <w:t>b</w:t>
            </w:r>
            <w:proofErr w:type="spellEnd"/>
          </w:p>
        </w:tc>
      </w:tr>
      <w:tr w:rsidR="003E7195" w:rsidRPr="003E7195" w14:paraId="60CAD118" w14:textId="77777777" w:rsidTr="79C6582A">
        <w:trPr>
          <w:cantSplit/>
        </w:trPr>
        <w:tc>
          <w:tcPr>
            <w:tcW w:w="1727" w:type="pct"/>
            <w:shd w:val="clear" w:color="auto" w:fill="FFFFFF" w:themeFill="background1"/>
            <w:vAlign w:val="center"/>
          </w:tcPr>
          <w:p w14:paraId="0BE08437" w14:textId="77777777" w:rsidR="00B73987" w:rsidRPr="003E7195" w:rsidRDefault="00B73987" w:rsidP="00D14A3E">
            <w:pPr>
              <w:keepNext/>
              <w:spacing w:before="0" w:after="0"/>
              <w:jc w:val="left"/>
              <w:rPr>
                <w:rFonts w:ascii="Arial Narrow" w:hAnsi="Arial Narrow"/>
                <w:b/>
                <w:bCs/>
                <w:color w:val="0D0D0D" w:themeColor="text1" w:themeTint="F2"/>
                <w:sz w:val="20"/>
                <w:szCs w:val="20"/>
              </w:rPr>
            </w:pPr>
            <w:r w:rsidRPr="003E7195">
              <w:rPr>
                <w:rFonts w:ascii="Arial Narrow" w:eastAsia="MS Gothic" w:hAnsi="Arial Narrow" w:cs="Times New Roman"/>
                <w:bCs/>
                <w:color w:val="0D0D0D" w:themeColor="text1" w:themeTint="F2"/>
                <w:sz w:val="20"/>
                <w:szCs w:val="24"/>
                <w:lang w:eastAsia="en-AU"/>
              </w:rPr>
              <w:t>Deaths, n/N (%)</w:t>
            </w:r>
          </w:p>
        </w:tc>
        <w:tc>
          <w:tcPr>
            <w:tcW w:w="1100" w:type="pct"/>
            <w:shd w:val="clear" w:color="auto" w:fill="FFFFFF" w:themeFill="background1"/>
            <w:vAlign w:val="center"/>
          </w:tcPr>
          <w:p w14:paraId="3F3CE05D"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100/126 (79.4%)</w:t>
            </w:r>
          </w:p>
        </w:tc>
        <w:tc>
          <w:tcPr>
            <w:tcW w:w="1022" w:type="pct"/>
            <w:shd w:val="clear" w:color="auto" w:fill="FFFFFF" w:themeFill="background1"/>
            <w:vAlign w:val="center"/>
          </w:tcPr>
          <w:p w14:paraId="1D7813F9"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50/61 (82.0%)</w:t>
            </w:r>
          </w:p>
        </w:tc>
        <w:tc>
          <w:tcPr>
            <w:tcW w:w="1151" w:type="pct"/>
            <w:shd w:val="clear" w:color="auto" w:fill="FFFFFF" w:themeFill="background1"/>
            <w:vAlign w:val="center"/>
          </w:tcPr>
          <w:p w14:paraId="22A2F62D" w14:textId="77777777" w:rsidR="00B73987" w:rsidRPr="003E7195" w:rsidRDefault="00B73987" w:rsidP="00D14A3E">
            <w:pPr>
              <w:keepNext/>
              <w:spacing w:before="0" w:after="0"/>
              <w:jc w:val="center"/>
              <w:rPr>
                <w:rFonts w:ascii="Arial Narrow" w:eastAsia="MS Gothic" w:hAnsi="Arial Narrow" w:cs="Arial"/>
                <w:bCs/>
                <w:color w:val="0D0D0D" w:themeColor="text1" w:themeTint="F2"/>
                <w:sz w:val="20"/>
                <w:szCs w:val="20"/>
                <w:lang w:eastAsia="en-AU"/>
              </w:rPr>
            </w:pPr>
            <w:r w:rsidRPr="003E7195">
              <w:rPr>
                <w:rFonts w:ascii="Arial Narrow" w:eastAsia="MS Gothic" w:hAnsi="Arial Narrow" w:cs="Arial"/>
                <w:bCs/>
                <w:color w:val="0D0D0D" w:themeColor="text1" w:themeTint="F2"/>
                <w:sz w:val="20"/>
                <w:szCs w:val="20"/>
                <w:lang w:eastAsia="en-AU"/>
              </w:rPr>
              <w:t>-</w:t>
            </w:r>
          </w:p>
        </w:tc>
      </w:tr>
      <w:tr w:rsidR="003E7195" w:rsidRPr="003E7195" w14:paraId="317C867A" w14:textId="77777777" w:rsidTr="79C6582A">
        <w:trPr>
          <w:cantSplit/>
        </w:trPr>
        <w:tc>
          <w:tcPr>
            <w:tcW w:w="1727" w:type="pct"/>
            <w:shd w:val="clear" w:color="auto" w:fill="FFFFFF" w:themeFill="background1"/>
            <w:vAlign w:val="center"/>
          </w:tcPr>
          <w:p w14:paraId="5FC48120" w14:textId="77777777" w:rsidR="00B73987" w:rsidRPr="003E7195" w:rsidRDefault="00B73987" w:rsidP="00D14A3E">
            <w:pPr>
              <w:keepNext/>
              <w:spacing w:before="0" w:after="0"/>
              <w:jc w:val="left"/>
              <w:rPr>
                <w:rFonts w:ascii="Arial Narrow" w:eastAsia="MS Gothic" w:hAnsi="Arial Narrow" w:cs="Times New Roman"/>
                <w:bCs/>
                <w:color w:val="0D0D0D" w:themeColor="text1" w:themeTint="F2"/>
                <w:sz w:val="20"/>
                <w:szCs w:val="20"/>
                <w:lang w:eastAsia="en-AU"/>
              </w:rPr>
            </w:pPr>
            <w:r w:rsidRPr="003E7195">
              <w:rPr>
                <w:rFonts w:ascii="Arial Narrow" w:eastAsia="MS Gothic" w:hAnsi="Arial Narrow" w:cs="Times New Roman"/>
                <w:bCs/>
                <w:color w:val="0D0D0D" w:themeColor="text1" w:themeTint="F2"/>
                <w:sz w:val="20"/>
                <w:szCs w:val="20"/>
                <w:lang w:eastAsia="en-AU"/>
              </w:rPr>
              <w:t>Median months OS (unadjusted)</w:t>
            </w:r>
          </w:p>
          <w:p w14:paraId="109A88B0" w14:textId="77777777" w:rsidR="00B73987" w:rsidRPr="003E7195" w:rsidRDefault="00B73987" w:rsidP="00D14A3E">
            <w:pPr>
              <w:keepNext/>
              <w:spacing w:before="0" w:after="0"/>
              <w:jc w:val="left"/>
              <w:rPr>
                <w:rFonts w:ascii="Arial Narrow" w:eastAsia="MS Gothic" w:hAnsi="Arial Narrow" w:cs="Times New Roman"/>
                <w:bCs/>
                <w:color w:val="0D0D0D" w:themeColor="text1" w:themeTint="F2"/>
                <w:sz w:val="20"/>
                <w:szCs w:val="20"/>
                <w:lang w:eastAsia="en-AU"/>
              </w:rPr>
            </w:pPr>
            <w:r w:rsidRPr="003E7195">
              <w:rPr>
                <w:rFonts w:ascii="Arial Narrow" w:eastAsia="MS Gothic" w:hAnsi="Arial Narrow" w:cs="Times New Roman"/>
                <w:bCs/>
                <w:color w:val="0D0D0D" w:themeColor="text1" w:themeTint="F2"/>
                <w:sz w:val="20"/>
                <w:szCs w:val="20"/>
                <w:lang w:eastAsia="en-AU"/>
              </w:rPr>
              <w:t>(95% CI)</w:t>
            </w:r>
          </w:p>
        </w:tc>
        <w:tc>
          <w:tcPr>
            <w:tcW w:w="1100" w:type="pct"/>
            <w:shd w:val="clear" w:color="auto" w:fill="FFFFFF" w:themeFill="background1"/>
            <w:vAlign w:val="center"/>
          </w:tcPr>
          <w:p w14:paraId="137A762C" w14:textId="0AD8E309"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hAnsi="Arial Narrow"/>
                <w:color w:val="0D0D0D" w:themeColor="text1" w:themeTint="F2"/>
                <w:sz w:val="20"/>
                <w:szCs w:val="20"/>
              </w:rPr>
              <w:t>10.3 (7.8</w:t>
            </w:r>
            <w:r w:rsidR="001D33AB" w:rsidRPr="003E7195">
              <w:rPr>
                <w:rFonts w:ascii="Arial Narrow" w:hAnsi="Arial Narrow"/>
                <w:color w:val="0D0D0D" w:themeColor="text1" w:themeTint="F2"/>
                <w:sz w:val="20"/>
                <w:szCs w:val="20"/>
              </w:rPr>
              <w:t>,</w:t>
            </w:r>
            <w:r w:rsidRPr="003E7195">
              <w:rPr>
                <w:rFonts w:ascii="Arial Narrow" w:hAnsi="Arial Narrow"/>
                <w:color w:val="0D0D0D" w:themeColor="text1" w:themeTint="F2"/>
                <w:sz w:val="20"/>
                <w:szCs w:val="20"/>
              </w:rPr>
              <w:t xml:space="preserve"> 12.4)</w:t>
            </w:r>
          </w:p>
        </w:tc>
        <w:tc>
          <w:tcPr>
            <w:tcW w:w="1022" w:type="pct"/>
            <w:shd w:val="clear" w:color="auto" w:fill="FFFFFF" w:themeFill="background1"/>
            <w:vAlign w:val="center"/>
          </w:tcPr>
          <w:p w14:paraId="5C142C3B" w14:textId="17F794AC"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hAnsi="Arial Narrow"/>
                <w:color w:val="0D0D0D" w:themeColor="text1" w:themeTint="F2"/>
                <w:sz w:val="20"/>
                <w:szCs w:val="20"/>
              </w:rPr>
              <w:t>7.5 (4.8</w:t>
            </w:r>
            <w:r w:rsidR="001D33AB" w:rsidRPr="003E7195">
              <w:rPr>
                <w:rFonts w:ascii="Arial Narrow" w:hAnsi="Arial Narrow"/>
                <w:color w:val="0D0D0D" w:themeColor="text1" w:themeTint="F2"/>
                <w:sz w:val="20"/>
                <w:szCs w:val="20"/>
              </w:rPr>
              <w:t>,</w:t>
            </w:r>
            <w:r w:rsidRPr="003E7195">
              <w:rPr>
                <w:rFonts w:ascii="Arial Narrow" w:hAnsi="Arial Narrow"/>
                <w:color w:val="0D0D0D" w:themeColor="text1" w:themeTint="F2"/>
                <w:sz w:val="20"/>
                <w:szCs w:val="20"/>
              </w:rPr>
              <w:t xml:space="preserve"> 11.1)</w:t>
            </w:r>
          </w:p>
        </w:tc>
        <w:tc>
          <w:tcPr>
            <w:tcW w:w="1151" w:type="pct"/>
            <w:shd w:val="clear" w:color="auto" w:fill="FFFFFF" w:themeFill="background1"/>
            <w:vAlign w:val="center"/>
          </w:tcPr>
          <w:p w14:paraId="0CF1C0C2" w14:textId="16A402E9" w:rsidR="00B73987" w:rsidRPr="003E7195" w:rsidRDefault="00B73987" w:rsidP="00D14A3E">
            <w:pPr>
              <w:keepNext/>
              <w:spacing w:before="0" w:after="0"/>
              <w:jc w:val="center"/>
              <w:rPr>
                <w:rFonts w:ascii="Arial Narrow" w:eastAsia="MS Gothic" w:hAnsi="Arial Narrow" w:cs="Times New Roman"/>
                <w:bCs/>
                <w:color w:val="0D0D0D" w:themeColor="text1" w:themeTint="F2"/>
                <w:sz w:val="20"/>
                <w:szCs w:val="20"/>
                <w:lang w:eastAsia="en-AU"/>
              </w:rPr>
            </w:pPr>
            <w:r w:rsidRPr="003E7195">
              <w:rPr>
                <w:rFonts w:ascii="Arial Narrow" w:hAnsi="Arial Narrow"/>
                <w:color w:val="0D0D0D" w:themeColor="text1" w:themeTint="F2"/>
                <w:sz w:val="20"/>
                <w:szCs w:val="20"/>
              </w:rPr>
              <w:t>0.79 (0.56</w:t>
            </w:r>
            <w:r w:rsidR="001D33AB" w:rsidRPr="003E7195">
              <w:rPr>
                <w:rFonts w:ascii="Arial Narrow" w:hAnsi="Arial Narrow"/>
                <w:color w:val="0D0D0D" w:themeColor="text1" w:themeTint="F2"/>
                <w:sz w:val="20"/>
                <w:szCs w:val="20"/>
              </w:rPr>
              <w:t>,</w:t>
            </w:r>
            <w:r w:rsidRPr="003E7195">
              <w:rPr>
                <w:rFonts w:ascii="Arial Narrow" w:hAnsi="Arial Narrow"/>
                <w:color w:val="0D0D0D" w:themeColor="text1" w:themeTint="F2"/>
                <w:sz w:val="20"/>
                <w:szCs w:val="20"/>
              </w:rPr>
              <w:t xml:space="preserve"> 1.12)</w:t>
            </w:r>
            <w:r w:rsidRPr="003E7195">
              <w:rPr>
                <w:rFonts w:ascii="Arial Narrow" w:hAnsi="Arial Narrow"/>
                <w:color w:val="0D0D0D" w:themeColor="text1" w:themeTint="F2"/>
                <w:sz w:val="20"/>
                <w:szCs w:val="20"/>
                <w:vertAlign w:val="superscript"/>
              </w:rPr>
              <w:t>d</w:t>
            </w:r>
          </w:p>
        </w:tc>
      </w:tr>
      <w:tr w:rsidR="003E7195" w:rsidRPr="003E7195" w14:paraId="1AA6FC3E" w14:textId="77777777" w:rsidTr="79C6582A">
        <w:trPr>
          <w:cantSplit/>
        </w:trPr>
        <w:tc>
          <w:tcPr>
            <w:tcW w:w="1727" w:type="pct"/>
            <w:shd w:val="clear" w:color="auto" w:fill="FFFFFF" w:themeFill="background1"/>
          </w:tcPr>
          <w:p w14:paraId="113FD269" w14:textId="786A5E18" w:rsidR="00B73987" w:rsidRPr="003E7195" w:rsidRDefault="00B73987" w:rsidP="79C6582A">
            <w:pPr>
              <w:keepNext/>
              <w:spacing w:before="0" w:after="0"/>
              <w:jc w:val="left"/>
              <w:rPr>
                <w:rFonts w:ascii="Arial Narrow" w:eastAsia="MS Gothic" w:hAnsi="Arial Narrow" w:cs="Times New Roman"/>
                <w:color w:val="0D0D0D" w:themeColor="text1" w:themeTint="F2"/>
                <w:sz w:val="20"/>
                <w:szCs w:val="20"/>
                <w:lang w:eastAsia="en-AU"/>
              </w:rPr>
            </w:pPr>
            <w:r w:rsidRPr="79C6582A">
              <w:rPr>
                <w:rFonts w:ascii="Arial Narrow" w:eastAsia="MS Gothic" w:hAnsi="Arial Narrow" w:cs="Times New Roman"/>
                <w:color w:val="0D0D0D" w:themeColor="text1" w:themeTint="F2"/>
                <w:sz w:val="20"/>
                <w:szCs w:val="20"/>
                <w:lang w:eastAsia="en-AU"/>
              </w:rPr>
              <w:t xml:space="preserve">% alive at 12 months </w:t>
            </w:r>
          </w:p>
        </w:tc>
        <w:tc>
          <w:tcPr>
            <w:tcW w:w="1100" w:type="pct"/>
            <w:shd w:val="clear" w:color="auto" w:fill="FFFFFF" w:themeFill="background1"/>
            <w:vAlign w:val="center"/>
          </w:tcPr>
          <w:p w14:paraId="5877C2AF"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42.9</w:t>
            </w:r>
          </w:p>
        </w:tc>
        <w:tc>
          <w:tcPr>
            <w:tcW w:w="1022" w:type="pct"/>
            <w:shd w:val="clear" w:color="auto" w:fill="FFFFFF" w:themeFill="background1"/>
            <w:vAlign w:val="center"/>
          </w:tcPr>
          <w:p w14:paraId="0574AACA"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35.8</w:t>
            </w:r>
          </w:p>
        </w:tc>
        <w:tc>
          <w:tcPr>
            <w:tcW w:w="1151" w:type="pct"/>
            <w:shd w:val="clear" w:color="auto" w:fill="FFFFFF" w:themeFill="background1"/>
            <w:vAlign w:val="center"/>
          </w:tcPr>
          <w:p w14:paraId="67C8BA7B"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w:t>
            </w:r>
          </w:p>
        </w:tc>
      </w:tr>
      <w:tr w:rsidR="003E7195" w:rsidRPr="003E7195" w14:paraId="632A06B2" w14:textId="77777777" w:rsidTr="79C6582A">
        <w:trPr>
          <w:cantSplit/>
        </w:trPr>
        <w:tc>
          <w:tcPr>
            <w:tcW w:w="1727" w:type="pct"/>
            <w:shd w:val="clear" w:color="auto" w:fill="FFFFFF" w:themeFill="background1"/>
          </w:tcPr>
          <w:p w14:paraId="13279E28" w14:textId="23A8BC27" w:rsidR="00B73987" w:rsidRPr="003E7195" w:rsidRDefault="00B73987" w:rsidP="00D14A3E">
            <w:pPr>
              <w:keepNext/>
              <w:spacing w:before="0" w:after="0"/>
              <w:jc w:val="left"/>
              <w:rPr>
                <w:rFonts w:ascii="Arial Narrow" w:eastAsia="MS Gothic" w:hAnsi="Arial Narrow" w:cs="Times New Roman"/>
                <w:bCs/>
                <w:color w:val="0D0D0D" w:themeColor="text1" w:themeTint="F2"/>
                <w:sz w:val="20"/>
                <w:szCs w:val="20"/>
                <w:lang w:eastAsia="en-AU"/>
              </w:rPr>
            </w:pPr>
            <w:r w:rsidRPr="003E7195">
              <w:rPr>
                <w:rFonts w:ascii="Arial Narrow" w:eastAsia="MS Gothic" w:hAnsi="Arial Narrow" w:cs="Times New Roman"/>
                <w:bCs/>
                <w:color w:val="0D0D0D" w:themeColor="text1" w:themeTint="F2"/>
                <w:sz w:val="20"/>
                <w:szCs w:val="24"/>
                <w:lang w:eastAsia="en-AU"/>
              </w:rPr>
              <w:t xml:space="preserve">% alive at 24 months </w:t>
            </w:r>
          </w:p>
        </w:tc>
        <w:tc>
          <w:tcPr>
            <w:tcW w:w="1100" w:type="pct"/>
            <w:shd w:val="clear" w:color="auto" w:fill="FFFFFF" w:themeFill="background1"/>
            <w:vAlign w:val="center"/>
          </w:tcPr>
          <w:p w14:paraId="71EB30E1"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20.7</w:t>
            </w:r>
          </w:p>
        </w:tc>
        <w:tc>
          <w:tcPr>
            <w:tcW w:w="1022" w:type="pct"/>
            <w:shd w:val="clear" w:color="auto" w:fill="FFFFFF" w:themeFill="background1"/>
            <w:vAlign w:val="center"/>
          </w:tcPr>
          <w:p w14:paraId="66BF2B76"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15.0</w:t>
            </w:r>
          </w:p>
        </w:tc>
        <w:tc>
          <w:tcPr>
            <w:tcW w:w="1151" w:type="pct"/>
            <w:shd w:val="clear" w:color="auto" w:fill="FFFFFF" w:themeFill="background1"/>
            <w:vAlign w:val="center"/>
          </w:tcPr>
          <w:p w14:paraId="4EF3344B" w14:textId="77777777" w:rsidR="00B73987" w:rsidRPr="003E7195" w:rsidRDefault="00B73987" w:rsidP="00D14A3E">
            <w:pPr>
              <w:keepNext/>
              <w:spacing w:before="0" w:after="0"/>
              <w:jc w:val="center"/>
              <w:rPr>
                <w:rFonts w:ascii="Arial Narrow" w:hAnsi="Arial Narrow"/>
                <w:color w:val="0D0D0D" w:themeColor="text1" w:themeTint="F2"/>
                <w:sz w:val="20"/>
                <w:szCs w:val="20"/>
              </w:rPr>
            </w:pPr>
            <w:r w:rsidRPr="003E7195">
              <w:rPr>
                <w:rFonts w:ascii="Arial Narrow" w:hAnsi="Arial Narrow"/>
                <w:color w:val="0D0D0D" w:themeColor="text1" w:themeTint="F2"/>
                <w:sz w:val="20"/>
                <w:szCs w:val="20"/>
              </w:rPr>
              <w:t>-</w:t>
            </w:r>
          </w:p>
        </w:tc>
      </w:tr>
    </w:tbl>
    <w:p w14:paraId="19F7C5C6" w14:textId="535B9D7C" w:rsidR="00B73987" w:rsidRPr="003E7195" w:rsidRDefault="00B73987" w:rsidP="00B73987">
      <w:pPr>
        <w:pStyle w:val="TableFooter"/>
        <w:rPr>
          <w:color w:val="0D0D0D" w:themeColor="text1" w:themeTint="F2"/>
        </w:rPr>
      </w:pPr>
      <w:r w:rsidRPr="003E7195">
        <w:rPr>
          <w:color w:val="0D0D0D" w:themeColor="text1" w:themeTint="F2"/>
        </w:rPr>
        <w:t xml:space="preserve">Source: Table 2-31,; Table 2-34 and Table 2-35 of the submission </w:t>
      </w:r>
    </w:p>
    <w:p w14:paraId="516AE996" w14:textId="4BA28149" w:rsidR="00B73987" w:rsidRPr="003E7195" w:rsidRDefault="00B73987" w:rsidP="00B73987">
      <w:pPr>
        <w:pStyle w:val="TableFooter"/>
        <w:rPr>
          <w:color w:val="0D0D0D" w:themeColor="text1" w:themeTint="F2"/>
        </w:rPr>
      </w:pPr>
      <w:r w:rsidRPr="003E7195">
        <w:rPr>
          <w:color w:val="0D0D0D" w:themeColor="text1" w:themeTint="F2"/>
        </w:rPr>
        <w:t xml:space="preserve">CI = confidence interval; HR = hazard ratio; ITT = </w:t>
      </w:r>
      <w:r w:rsidR="001D33AB" w:rsidRPr="003E7195">
        <w:rPr>
          <w:color w:val="0D0D0D" w:themeColor="text1" w:themeTint="F2"/>
        </w:rPr>
        <w:t>i</w:t>
      </w:r>
      <w:r w:rsidRPr="003E7195">
        <w:rPr>
          <w:color w:val="0D0D0D" w:themeColor="text1" w:themeTint="F2"/>
        </w:rPr>
        <w:t>ntention-to-</w:t>
      </w:r>
      <w:r w:rsidR="001D33AB" w:rsidRPr="003E7195">
        <w:rPr>
          <w:color w:val="0D0D0D" w:themeColor="text1" w:themeTint="F2"/>
        </w:rPr>
        <w:t>t</w:t>
      </w:r>
      <w:r w:rsidRPr="003E7195">
        <w:rPr>
          <w:color w:val="0D0D0D" w:themeColor="text1" w:themeTint="F2"/>
        </w:rPr>
        <w:t>reat; NE = not estimable; OS = overall survival; PFS = progression-free survival</w:t>
      </w:r>
    </w:p>
    <w:p w14:paraId="0D90033A" w14:textId="77777777" w:rsidR="00B73987" w:rsidRPr="003E7195" w:rsidRDefault="00B73987" w:rsidP="00B73987">
      <w:pPr>
        <w:pStyle w:val="TableFooter"/>
        <w:rPr>
          <w:color w:val="0D0D0D" w:themeColor="text1" w:themeTint="F2"/>
        </w:rPr>
      </w:pPr>
      <w:r w:rsidRPr="003E7195">
        <w:rPr>
          <w:color w:val="0D0D0D" w:themeColor="text1" w:themeTint="F2"/>
          <w:vertAlign w:val="superscript"/>
        </w:rPr>
        <w:t>a</w:t>
      </w:r>
      <w:r w:rsidRPr="003E7195">
        <w:rPr>
          <w:color w:val="0D0D0D" w:themeColor="text1" w:themeTint="F2"/>
        </w:rPr>
        <w:t xml:space="preserve"> Data cutoff date: </w:t>
      </w:r>
      <w:r w:rsidRPr="003E7195">
        <w:rPr>
          <w:rFonts w:eastAsia="Calibri"/>
          <w:color w:val="0D0D0D" w:themeColor="text1" w:themeTint="F2"/>
        </w:rPr>
        <w:t>31</w:t>
      </w:r>
      <w:r w:rsidRPr="003E7195">
        <w:rPr>
          <w:rFonts w:eastAsia="Calibri"/>
          <w:color w:val="0D0D0D" w:themeColor="text1" w:themeTint="F2"/>
          <w:vertAlign w:val="superscript"/>
        </w:rPr>
        <w:t>st</w:t>
      </w:r>
      <w:r w:rsidRPr="003E7195">
        <w:rPr>
          <w:rFonts w:eastAsia="Calibri"/>
          <w:color w:val="0D0D0D" w:themeColor="text1" w:themeTint="F2"/>
        </w:rPr>
        <w:t xml:space="preserve"> January 2019</w:t>
      </w:r>
    </w:p>
    <w:p w14:paraId="68D8727A" w14:textId="77777777" w:rsidR="00B73987" w:rsidRPr="003E7195" w:rsidRDefault="00B73987" w:rsidP="00B73987">
      <w:pPr>
        <w:pStyle w:val="TableFooter"/>
        <w:rPr>
          <w:color w:val="0D0D0D" w:themeColor="text1" w:themeTint="F2"/>
        </w:rPr>
      </w:pPr>
      <w:r w:rsidRPr="003E7195">
        <w:rPr>
          <w:color w:val="0D0D0D" w:themeColor="text1" w:themeTint="F2"/>
          <w:vertAlign w:val="superscript"/>
        </w:rPr>
        <w:t>b</w:t>
      </w:r>
      <w:r w:rsidRPr="003E7195">
        <w:rPr>
          <w:color w:val="0D0D0D" w:themeColor="text1" w:themeTint="F2"/>
        </w:rPr>
        <w:t xml:space="preserve"> Data cutoff date: </w:t>
      </w:r>
      <w:r w:rsidRPr="003E7195">
        <w:rPr>
          <w:rFonts w:eastAsia="Calibri"/>
          <w:color w:val="0D0D0D" w:themeColor="text1" w:themeTint="F2"/>
        </w:rPr>
        <w:t>31</w:t>
      </w:r>
      <w:r w:rsidRPr="003E7195">
        <w:rPr>
          <w:rFonts w:eastAsia="Calibri"/>
          <w:color w:val="0D0D0D" w:themeColor="text1" w:themeTint="F2"/>
          <w:vertAlign w:val="superscript"/>
        </w:rPr>
        <w:t>st</w:t>
      </w:r>
      <w:r w:rsidRPr="003E7195">
        <w:rPr>
          <w:rFonts w:eastAsia="Calibri"/>
          <w:color w:val="0D0D0D" w:themeColor="text1" w:themeTint="F2"/>
        </w:rPr>
        <w:t xml:space="preserve"> May 2020</w:t>
      </w:r>
    </w:p>
    <w:p w14:paraId="52ACAB2E" w14:textId="77777777" w:rsidR="00B73987" w:rsidRPr="003E7195" w:rsidRDefault="00B73987" w:rsidP="00B73987">
      <w:pPr>
        <w:pStyle w:val="TableFooter"/>
        <w:rPr>
          <w:color w:val="0D0D0D" w:themeColor="text1" w:themeTint="F2"/>
          <w:vertAlign w:val="superscript"/>
        </w:rPr>
      </w:pPr>
      <w:r w:rsidRPr="003E7195">
        <w:rPr>
          <w:color w:val="0D0D0D" w:themeColor="text1" w:themeTint="F2"/>
          <w:vertAlign w:val="superscript"/>
        </w:rPr>
        <w:t xml:space="preserve">c </w:t>
      </w:r>
      <w:r w:rsidRPr="003E7195">
        <w:rPr>
          <w:color w:val="0D0D0D" w:themeColor="text1" w:themeTint="F2"/>
        </w:rPr>
        <w:t>one-sided p-value &lt; 0.001</w:t>
      </w:r>
    </w:p>
    <w:p w14:paraId="452FDD07" w14:textId="77777777" w:rsidR="00B73987" w:rsidRPr="003E7195" w:rsidRDefault="00B73987" w:rsidP="00B73987">
      <w:pPr>
        <w:pStyle w:val="TableFooter"/>
        <w:rPr>
          <w:color w:val="0D0D0D" w:themeColor="text1" w:themeTint="F2"/>
          <w:vertAlign w:val="superscript"/>
        </w:rPr>
      </w:pPr>
      <w:r w:rsidRPr="003E7195">
        <w:rPr>
          <w:color w:val="0D0D0D" w:themeColor="text1" w:themeTint="F2"/>
          <w:vertAlign w:val="superscript"/>
        </w:rPr>
        <w:t>d</w:t>
      </w:r>
      <w:r w:rsidRPr="003E7195">
        <w:rPr>
          <w:color w:val="0D0D0D" w:themeColor="text1" w:themeTint="F2"/>
        </w:rPr>
        <w:t xml:space="preserve"> one-sided p-value = 0.093</w:t>
      </w:r>
    </w:p>
    <w:p w14:paraId="451E2446" w14:textId="3D234692" w:rsidR="0083737C" w:rsidRPr="003E7195" w:rsidRDefault="001D33AB" w:rsidP="007E0187">
      <w:pPr>
        <w:pStyle w:val="ListParagraph"/>
      </w:pPr>
      <w:r w:rsidRPr="003E7195">
        <w:t>At DCO1, the median duration of follow-up for PFS in the ITT population was 6.9</w:t>
      </w:r>
      <w:r w:rsidR="00CB55A7">
        <w:t> </w:t>
      </w:r>
      <w:r w:rsidRPr="003E7195">
        <w:t>months. By DCO1, 61.3% (76 patients) in the ivosidenib arm and 82.0% (50</w:t>
      </w:r>
      <w:r w:rsidR="00B416F4">
        <w:t> </w:t>
      </w:r>
      <w:r w:rsidRPr="003E7195">
        <w:t xml:space="preserve">patients) in the placebo arm had disease progression, assessed by IRC, or </w:t>
      </w:r>
      <w:r w:rsidR="5F319C2C" w:rsidRPr="003E7195">
        <w:t xml:space="preserve">had </w:t>
      </w:r>
      <w:r w:rsidRPr="003E7195">
        <w:t>died. The median PFS was 1.3 months longer in the ivosidenib arm than in the placebo arm (2.7 months</w:t>
      </w:r>
      <w:r w:rsidRPr="79C6582A">
        <w:rPr>
          <w:i/>
          <w:iCs/>
        </w:rPr>
        <w:t xml:space="preserve"> vs. </w:t>
      </w:r>
      <w:r w:rsidRPr="003E7195">
        <w:t xml:space="preserve">1.4 months). Ivosidenib was associated with a statistically significant 63% reduction in the hazard of a PFS event (hazard ratio [HR]: 0.37; 95% </w:t>
      </w:r>
      <w:r w:rsidR="0083737C" w:rsidRPr="003E7195">
        <w:t>[</w:t>
      </w:r>
      <w:r w:rsidRPr="003E7195">
        <w:t>CI</w:t>
      </w:r>
      <w:r w:rsidR="0083737C" w:rsidRPr="003E7195">
        <w:t>]</w:t>
      </w:r>
      <w:r w:rsidRPr="003E7195">
        <w:t xml:space="preserve">: 0.25, 0.54; one-side p&lt;0.001). </w:t>
      </w:r>
      <w:r w:rsidR="003B0341" w:rsidRPr="003E7195">
        <w:t xml:space="preserve">The Kaplan-Meier (KM) plots of PFS are presented </w:t>
      </w:r>
      <w:r w:rsidR="611D1A0F" w:rsidRPr="003E7195">
        <w:t>in</w:t>
      </w:r>
      <w:r w:rsidR="00EA5C7C">
        <w:t xml:space="preserve"> </w:t>
      </w:r>
      <w:r w:rsidR="00EA5C7C">
        <w:fldChar w:fldCharType="begin" w:fldLock="1"/>
      </w:r>
      <w:r w:rsidR="00EA5C7C">
        <w:instrText xml:space="preserve"> REF _Ref173489328 \h </w:instrText>
      </w:r>
      <w:r w:rsidR="00EA5C7C">
        <w:fldChar w:fldCharType="separate"/>
      </w:r>
      <w:r w:rsidR="00EA5C7C">
        <w:t xml:space="preserve">Figure </w:t>
      </w:r>
      <w:r w:rsidR="00EA5C7C">
        <w:rPr>
          <w:noProof/>
        </w:rPr>
        <w:t>1</w:t>
      </w:r>
      <w:r w:rsidR="00EA5C7C">
        <w:fldChar w:fldCharType="end"/>
      </w:r>
      <w:r w:rsidR="003B0341" w:rsidRPr="003E7195">
        <w:t xml:space="preserve">. </w:t>
      </w:r>
      <w:r w:rsidR="00230841" w:rsidRPr="003E7195">
        <w:t>R</w:t>
      </w:r>
      <w:r w:rsidRPr="003E7195">
        <w:t xml:space="preserve">esults of the primary analysis of PFS by IRC assessment were supported by results of PFS by </w:t>
      </w:r>
      <w:r w:rsidR="00230841" w:rsidRPr="003E7195">
        <w:t xml:space="preserve">investigator assessment and the exploratory analysis of PFS per IRC excluding </w:t>
      </w:r>
      <w:r w:rsidR="006C748A" w:rsidRPr="003E7195">
        <w:t>early</w:t>
      </w:r>
      <w:r w:rsidR="00230841" w:rsidRPr="003E7195">
        <w:t xml:space="preserve"> progressors</w:t>
      </w:r>
      <w:r w:rsidR="006C748A" w:rsidRPr="003E7195">
        <w:t>, defined as patients who have had a PFS event within the first 47</w:t>
      </w:r>
      <w:r w:rsidR="00CB55A7">
        <w:t> </w:t>
      </w:r>
      <w:r w:rsidR="006C748A" w:rsidRPr="003E7195">
        <w:t>days from randomisation which corresponded to the first-post-baseline imaging timepoint at 6 weeks.</w:t>
      </w:r>
    </w:p>
    <w:p w14:paraId="3183004C" w14:textId="7194D899" w:rsidR="00B453B0" w:rsidRPr="003E7195" w:rsidRDefault="00B453B0" w:rsidP="00013016">
      <w:pPr>
        <w:pStyle w:val="Caption"/>
      </w:pPr>
      <w:bookmarkStart w:id="28" w:name="_Ref173489328"/>
      <w:r>
        <w:lastRenderedPageBreak/>
        <w:t xml:space="preserve">Figure </w:t>
      </w:r>
      <w:r w:rsidR="00841FC2">
        <w:fldChar w:fldCharType="begin" w:fldLock="1"/>
      </w:r>
      <w:r w:rsidR="00841FC2">
        <w:instrText xml:space="preserve"> SEQ Figure \* ARABIC </w:instrText>
      </w:r>
      <w:r w:rsidR="00841FC2">
        <w:fldChar w:fldCharType="separate"/>
      </w:r>
      <w:r w:rsidR="00CB6594">
        <w:rPr>
          <w:noProof/>
        </w:rPr>
        <w:t>1</w:t>
      </w:r>
      <w:r w:rsidR="00841FC2">
        <w:rPr>
          <w:noProof/>
        </w:rPr>
        <w:fldChar w:fldCharType="end"/>
      </w:r>
      <w:bookmarkEnd w:id="28"/>
      <w:r w:rsidR="00B416F4">
        <w:rPr>
          <w:noProof/>
        </w:rPr>
        <w:t xml:space="preserve">: </w:t>
      </w:r>
      <w:r w:rsidRPr="003E7195">
        <w:t>Kaplan-Meier plot of PFS per IRC in the ClarIDHy trial (ITT population)</w:t>
      </w:r>
    </w:p>
    <w:p w14:paraId="0D7932C5" w14:textId="2600E2BD" w:rsidR="0070437D" w:rsidRPr="003E7195" w:rsidRDefault="0070437D" w:rsidP="00B416F4">
      <w:pPr>
        <w:spacing w:before="0" w:after="0"/>
        <w:ind w:left="-142"/>
      </w:pPr>
      <w:r w:rsidRPr="003E7195">
        <w:rPr>
          <w:noProof/>
        </w:rPr>
        <w:drawing>
          <wp:inline distT="0" distB="0" distL="0" distR="0" wp14:anchorId="3B71E816" wp14:editId="360E8CBA">
            <wp:extent cx="5602700" cy="3055620"/>
            <wp:effectExtent l="0" t="0" r="0" b="0"/>
            <wp:docPr id="176904537" name="Picture 176904537" descr="Figure 1: Kaplan-Meier plot of PFS per IRC in the ClarIDHy tri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537" name="Picture 176904537" descr="Figure 1: Kaplan-Meier plot of PFS per IRC in the ClarIDHy trial (ITT popul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1665" cy="3071417"/>
                    </a:xfrm>
                    <a:prstGeom prst="rect">
                      <a:avLst/>
                    </a:prstGeom>
                    <a:noFill/>
                  </pic:spPr>
                </pic:pic>
              </a:graphicData>
            </a:graphic>
          </wp:inline>
        </w:drawing>
      </w:r>
    </w:p>
    <w:p w14:paraId="7D9D64FD" w14:textId="7CB57329" w:rsidR="0070437D" w:rsidRPr="003E7195" w:rsidRDefault="0070437D" w:rsidP="00E94E74">
      <w:pPr>
        <w:pStyle w:val="TableFooter"/>
        <w:keepNext/>
        <w:keepLines/>
        <w:rPr>
          <w:color w:val="0D0D0D" w:themeColor="text1" w:themeTint="F2"/>
        </w:rPr>
      </w:pPr>
      <w:r w:rsidRPr="003E7195">
        <w:rPr>
          <w:color w:val="0D0D0D" w:themeColor="text1" w:themeTint="F2"/>
        </w:rPr>
        <w:t>Source: Figure 2-11, of the submission</w:t>
      </w:r>
    </w:p>
    <w:p w14:paraId="1A382B4F" w14:textId="77777777" w:rsidR="0070437D" w:rsidRPr="003E7195" w:rsidRDefault="0070437D" w:rsidP="00E94E74">
      <w:pPr>
        <w:pStyle w:val="TableFooter"/>
        <w:keepNext/>
        <w:keepLines/>
        <w:rPr>
          <w:color w:val="0D0D0D" w:themeColor="text1" w:themeTint="F2"/>
        </w:rPr>
      </w:pPr>
      <w:r w:rsidRPr="003E7195">
        <w:rPr>
          <w:color w:val="0D0D0D" w:themeColor="text1" w:themeTint="F2"/>
        </w:rPr>
        <w:t>HR = hazard ratio; ITT = Intention-to-Treat; IRC = independent review committee; PFS = progression-free survival</w:t>
      </w:r>
    </w:p>
    <w:p w14:paraId="77E230AA" w14:textId="77777777" w:rsidR="0070437D" w:rsidRPr="003E7195" w:rsidRDefault="0070437D" w:rsidP="00B416F4">
      <w:pPr>
        <w:pStyle w:val="TableFooter"/>
        <w:keepLines/>
        <w:rPr>
          <w:rFonts w:eastAsia="Calibri"/>
          <w:color w:val="0D0D0D" w:themeColor="text1" w:themeTint="F2"/>
        </w:rPr>
      </w:pPr>
      <w:r w:rsidRPr="003E7195">
        <w:rPr>
          <w:color w:val="0D0D0D" w:themeColor="text1" w:themeTint="F2"/>
        </w:rPr>
        <w:t xml:space="preserve">Note: </w:t>
      </w:r>
      <w:r w:rsidRPr="003E7195">
        <w:rPr>
          <w:rFonts w:eastAsia="Calibri"/>
          <w:color w:val="0D0D0D" w:themeColor="text1" w:themeTint="F2"/>
        </w:rPr>
        <w:t>Data cutoff date: 31</w:t>
      </w:r>
      <w:r w:rsidRPr="003E7195">
        <w:rPr>
          <w:rFonts w:eastAsia="Calibri"/>
          <w:color w:val="0D0D0D" w:themeColor="text1" w:themeTint="F2"/>
          <w:vertAlign w:val="superscript"/>
        </w:rPr>
        <w:t>st</w:t>
      </w:r>
      <w:r w:rsidRPr="003E7195">
        <w:rPr>
          <w:rFonts w:eastAsia="Calibri"/>
          <w:color w:val="0D0D0D" w:themeColor="text1" w:themeTint="F2"/>
        </w:rPr>
        <w:t xml:space="preserve"> January 2019.</w:t>
      </w:r>
    </w:p>
    <w:p w14:paraId="7A317290" w14:textId="427E2430" w:rsidR="003B0341" w:rsidRPr="003E7195" w:rsidRDefault="003B0341" w:rsidP="007E0187">
      <w:pPr>
        <w:pStyle w:val="ListParagraph"/>
      </w:pPr>
      <w:r w:rsidRPr="003E7195">
        <w:t>A</w:t>
      </w:r>
      <w:r w:rsidR="000264CB" w:rsidRPr="003E7195">
        <w:t>t</w:t>
      </w:r>
      <w:r w:rsidRPr="003E7195">
        <w:t xml:space="preserve"> DCO2 for </w:t>
      </w:r>
      <w:r w:rsidR="000264CB" w:rsidRPr="003E7195">
        <w:t xml:space="preserve">the </w:t>
      </w:r>
      <w:r w:rsidRPr="003E7195">
        <w:t>final OS analysis (31</w:t>
      </w:r>
      <w:r w:rsidRPr="003E7195">
        <w:rPr>
          <w:vertAlign w:val="superscript"/>
        </w:rPr>
        <w:t>st</w:t>
      </w:r>
      <w:r w:rsidRPr="003E7195">
        <w:t xml:space="preserve"> May 2020), the median follow-up duration for OS was 24.4 months for ivosidenib and 20.5 months for placebo. At this DCO, death was observed in 100 (79.4%) patients in the ivosidenib arm and 50 (82.0%) patients in the placebo arm. The median OS in the ivosidenib arm was 10.3 months, compared with 7.5 months in the placebo arm,</w:t>
      </w:r>
      <w:r w:rsidR="000264CB" w:rsidRPr="003E7195">
        <w:t xml:space="preserve"> with overlapping confidence intervals, and a</w:t>
      </w:r>
      <w:r w:rsidRPr="003E7195">
        <w:t xml:space="preserve"> corresponding non-significant HR of 0.79 (95% CI: 0.56, 1.12; one-side</w:t>
      </w:r>
      <w:r w:rsidR="000264CB" w:rsidRPr="003E7195">
        <w:t>d</w:t>
      </w:r>
      <w:r w:rsidRPr="003E7195">
        <w:t xml:space="preserve"> p</w:t>
      </w:r>
      <w:r w:rsidR="004D35B9" w:rsidRPr="003E7195">
        <w:t xml:space="preserve"> = </w:t>
      </w:r>
      <w:r w:rsidRPr="003E7195">
        <w:t>0.09</w:t>
      </w:r>
      <w:r w:rsidR="004D35B9" w:rsidRPr="003E7195">
        <w:t>3</w:t>
      </w:r>
      <w:r w:rsidRPr="003E7195">
        <w:t xml:space="preserve">). </w:t>
      </w:r>
    </w:p>
    <w:p w14:paraId="5604FE97" w14:textId="0D5729EE" w:rsidR="003B0341" w:rsidRPr="003E7195" w:rsidRDefault="003B0341" w:rsidP="007E0187">
      <w:pPr>
        <w:pStyle w:val="ListParagraph"/>
      </w:pPr>
      <w:r w:rsidRPr="003E7195">
        <w:t>At DCO2, 43 (70.5%) patients crossed over from placebo to ivosidenib. To adjust for treatment switching, the submission presented OS estimates from the RPSFT-adjusted analysis</w:t>
      </w:r>
      <w:r w:rsidR="00F67F38" w:rsidRPr="003E7195">
        <w:t>, using different approaches</w:t>
      </w:r>
      <w:r w:rsidR="00B55EB2" w:rsidRPr="003E7195">
        <w:t xml:space="preserve">. </w:t>
      </w:r>
      <w:r w:rsidR="7F18D2A5" w:rsidRPr="003E7195">
        <w:t xml:space="preserve">The </w:t>
      </w:r>
      <w:r w:rsidR="00281079" w:rsidRPr="003E7195">
        <w:t>HR</w:t>
      </w:r>
      <w:r w:rsidR="00001682">
        <w:t>s</w:t>
      </w:r>
      <w:r w:rsidR="00281079" w:rsidRPr="003E7195">
        <w:t xml:space="preserve"> for ivosidenib over placebo and the 95% CI</w:t>
      </w:r>
      <w:r w:rsidR="00001682">
        <w:t>s</w:t>
      </w:r>
      <w:r w:rsidR="00281079" w:rsidRPr="003E7195">
        <w:t xml:space="preserve"> </w:t>
      </w:r>
      <w:r w:rsidR="00001682">
        <w:t>were calculated based on</w:t>
      </w:r>
      <w:r w:rsidR="00281079" w:rsidRPr="003E7195">
        <w:t xml:space="preserve"> the Cox proportional hazards model (stratified by prior lines of treatment) and bootstrapped to </w:t>
      </w:r>
      <w:proofErr w:type="gramStart"/>
      <w:r w:rsidR="00281079" w:rsidRPr="003E7195">
        <w:t>take into account</w:t>
      </w:r>
      <w:proofErr w:type="gramEnd"/>
      <w:r w:rsidR="00281079" w:rsidRPr="003E7195">
        <w:t xml:space="preserve"> the uncertainty in the estimation of the acceleration factor. The results </w:t>
      </w:r>
      <w:r w:rsidR="00B55EB2" w:rsidRPr="003E7195">
        <w:t xml:space="preserve">summarised in </w:t>
      </w:r>
      <w:r w:rsidR="00B55EB2" w:rsidRPr="003E7195">
        <w:fldChar w:fldCharType="begin" w:fldLock="1"/>
      </w:r>
      <w:r w:rsidR="00B55EB2" w:rsidRPr="003E7195">
        <w:instrText xml:space="preserve"> REF _Ref164100430 \h </w:instrText>
      </w:r>
      <w:r w:rsidR="00B55EB2" w:rsidRPr="003E7195">
        <w:fldChar w:fldCharType="separate"/>
      </w:r>
      <w:r w:rsidR="00CB6594" w:rsidRPr="003E7195">
        <w:t xml:space="preserve">Table </w:t>
      </w:r>
      <w:r w:rsidR="00CB6594">
        <w:rPr>
          <w:noProof/>
        </w:rPr>
        <w:t>7</w:t>
      </w:r>
      <w:r w:rsidR="00B55EB2" w:rsidRPr="003E7195">
        <w:fldChar w:fldCharType="end"/>
      </w:r>
      <w:r w:rsidR="00D97A0F" w:rsidRPr="003E7195">
        <w:t xml:space="preserve"> and</w:t>
      </w:r>
      <w:r w:rsidR="00B453B0">
        <w:t xml:space="preserve"> </w:t>
      </w:r>
      <w:r w:rsidR="00B453B0">
        <w:fldChar w:fldCharType="begin" w:fldLock="1"/>
      </w:r>
      <w:r w:rsidR="00B453B0">
        <w:instrText xml:space="preserve"> REF _Ref173489404 \h </w:instrText>
      </w:r>
      <w:r w:rsidR="00B453B0">
        <w:fldChar w:fldCharType="separate"/>
      </w:r>
      <w:r w:rsidR="00CB6594">
        <w:t xml:space="preserve">Figure </w:t>
      </w:r>
      <w:r w:rsidR="00CB6594">
        <w:rPr>
          <w:noProof/>
        </w:rPr>
        <w:t>2</w:t>
      </w:r>
      <w:r w:rsidR="00B453B0">
        <w:fldChar w:fldCharType="end"/>
      </w:r>
      <w:r w:rsidR="00B453B0">
        <w:t xml:space="preserve"> </w:t>
      </w:r>
      <w:r w:rsidR="00281079" w:rsidRPr="003E7195">
        <w:t xml:space="preserve">compare the unadjusted OS KM curves with the prespecified RPSFT-adjusted OS curves as used in the </w:t>
      </w:r>
      <w:r w:rsidR="00DB474A">
        <w:t>economic evaluation</w:t>
      </w:r>
      <w:r w:rsidR="00281079" w:rsidRPr="003E7195">
        <w:t>.</w:t>
      </w:r>
    </w:p>
    <w:p w14:paraId="62BD0CDE" w14:textId="6A01E5A6" w:rsidR="00B55EB2" w:rsidRPr="003E7195" w:rsidRDefault="00B55EB2" w:rsidP="00013016">
      <w:pPr>
        <w:pStyle w:val="Caption"/>
      </w:pPr>
      <w:bookmarkStart w:id="29" w:name="_Ref164100430"/>
      <w:r w:rsidRPr="003E7195">
        <w:lastRenderedPageBreak/>
        <w:t xml:space="preserve">Table </w:t>
      </w:r>
      <w:r w:rsidR="00841FC2">
        <w:fldChar w:fldCharType="begin" w:fldLock="1"/>
      </w:r>
      <w:r w:rsidR="00841FC2">
        <w:instrText xml:space="preserve"> SEQ Table_PBAC. \* ARABIC </w:instrText>
      </w:r>
      <w:r w:rsidR="00841FC2">
        <w:fldChar w:fldCharType="separate"/>
      </w:r>
      <w:r w:rsidR="00CB6594">
        <w:rPr>
          <w:noProof/>
        </w:rPr>
        <w:t>7</w:t>
      </w:r>
      <w:r w:rsidR="00841FC2">
        <w:rPr>
          <w:noProof/>
        </w:rPr>
        <w:fldChar w:fldCharType="end"/>
      </w:r>
      <w:bookmarkEnd w:id="29"/>
      <w:r w:rsidR="00B416F4">
        <w:rPr>
          <w:noProof/>
        </w:rPr>
        <w:t xml:space="preserve">: </w:t>
      </w:r>
      <w:r w:rsidRPr="003E7195">
        <w:t xml:space="preserve">Summary of crossover adjustment results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7: Summary of crossover adjustment results "/>
      </w:tblPr>
      <w:tblGrid>
        <w:gridCol w:w="3963"/>
        <w:gridCol w:w="2410"/>
        <w:gridCol w:w="2693"/>
      </w:tblGrid>
      <w:tr w:rsidR="003E7195" w:rsidRPr="003E7195" w14:paraId="6A041163" w14:textId="77777777" w:rsidTr="00F67F38">
        <w:tc>
          <w:tcPr>
            <w:tcW w:w="2186" w:type="pct"/>
            <w:vAlign w:val="center"/>
          </w:tcPr>
          <w:p w14:paraId="16447EC9" w14:textId="77777777" w:rsidR="00F67F38" w:rsidRPr="003E7195" w:rsidRDefault="00F67F38" w:rsidP="00063478">
            <w:pPr>
              <w:pStyle w:val="TableText"/>
              <w:keepNext/>
              <w:keepLines/>
              <w:rPr>
                <w:b/>
                <w:bCs/>
                <w:color w:val="0D0D0D" w:themeColor="text1" w:themeTint="F2"/>
              </w:rPr>
            </w:pPr>
            <w:r w:rsidRPr="003E7195">
              <w:rPr>
                <w:b/>
                <w:bCs/>
                <w:color w:val="0D0D0D" w:themeColor="text1" w:themeTint="F2"/>
              </w:rPr>
              <w:t>Adjustment method</w:t>
            </w:r>
          </w:p>
        </w:tc>
        <w:tc>
          <w:tcPr>
            <w:tcW w:w="1329" w:type="pct"/>
            <w:vAlign w:val="center"/>
          </w:tcPr>
          <w:p w14:paraId="5CC09E1D" w14:textId="77777777" w:rsidR="00F67F38" w:rsidRPr="003E7195" w:rsidRDefault="00F67F38" w:rsidP="00063478">
            <w:pPr>
              <w:pStyle w:val="TableText"/>
              <w:keepNext/>
              <w:keepLines/>
              <w:jc w:val="center"/>
              <w:rPr>
                <w:b/>
                <w:bCs/>
                <w:color w:val="0D0D0D" w:themeColor="text1" w:themeTint="F2"/>
              </w:rPr>
            </w:pPr>
            <w:r w:rsidRPr="003E7195">
              <w:rPr>
                <w:b/>
                <w:bCs/>
                <w:color w:val="0D0D0D" w:themeColor="text1" w:themeTint="F2"/>
              </w:rPr>
              <w:t>Median OS in placebo arm (months)</w:t>
            </w:r>
          </w:p>
        </w:tc>
        <w:tc>
          <w:tcPr>
            <w:tcW w:w="1485" w:type="pct"/>
            <w:vAlign w:val="center"/>
          </w:tcPr>
          <w:p w14:paraId="647EA81B" w14:textId="5345421D" w:rsidR="00F67F38" w:rsidRPr="003E7195" w:rsidRDefault="00F67F38" w:rsidP="00063478">
            <w:pPr>
              <w:pStyle w:val="TableText"/>
              <w:keepNext/>
              <w:keepLines/>
              <w:jc w:val="center"/>
              <w:rPr>
                <w:b/>
                <w:bCs/>
                <w:color w:val="0D0D0D" w:themeColor="text1" w:themeTint="F2"/>
              </w:rPr>
            </w:pPr>
            <w:r w:rsidRPr="003E7195">
              <w:rPr>
                <w:b/>
                <w:bCs/>
                <w:color w:val="0D0D0D" w:themeColor="text1" w:themeTint="F2"/>
              </w:rPr>
              <w:t xml:space="preserve">HR (95% CI) for ivosidenib </w:t>
            </w:r>
            <w:r w:rsidRPr="003E7195">
              <w:rPr>
                <w:b/>
                <w:bCs/>
                <w:i/>
                <w:iCs/>
                <w:color w:val="0D0D0D" w:themeColor="text1" w:themeTint="F2"/>
              </w:rPr>
              <w:t>vs</w:t>
            </w:r>
            <w:r w:rsidRPr="003E7195">
              <w:rPr>
                <w:b/>
                <w:bCs/>
                <w:color w:val="0D0D0D" w:themeColor="text1" w:themeTint="F2"/>
              </w:rPr>
              <w:t xml:space="preserve"> placebo</w:t>
            </w:r>
          </w:p>
        </w:tc>
      </w:tr>
      <w:tr w:rsidR="003E7195" w:rsidRPr="003E7195" w14:paraId="3398684F" w14:textId="77777777" w:rsidTr="00F67F38">
        <w:tc>
          <w:tcPr>
            <w:tcW w:w="2186" w:type="pct"/>
            <w:vAlign w:val="center"/>
          </w:tcPr>
          <w:p w14:paraId="391BED4A" w14:textId="48A0BFA4" w:rsidR="00F67F38" w:rsidRPr="003E7195" w:rsidRDefault="00F67F38" w:rsidP="00063478">
            <w:pPr>
              <w:pStyle w:val="TableText"/>
              <w:keepNext/>
              <w:keepLines/>
              <w:rPr>
                <w:color w:val="0D0D0D" w:themeColor="text1" w:themeTint="F2"/>
              </w:rPr>
            </w:pPr>
            <w:r w:rsidRPr="003E7195">
              <w:rPr>
                <w:color w:val="0D0D0D" w:themeColor="text1" w:themeTint="F2"/>
              </w:rPr>
              <w:t>ITT (unadjusted)</w:t>
            </w:r>
          </w:p>
        </w:tc>
        <w:tc>
          <w:tcPr>
            <w:tcW w:w="1329" w:type="pct"/>
            <w:vAlign w:val="center"/>
          </w:tcPr>
          <w:p w14:paraId="7F6B000D"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7.5</w:t>
            </w:r>
          </w:p>
        </w:tc>
        <w:tc>
          <w:tcPr>
            <w:tcW w:w="1485" w:type="pct"/>
            <w:vAlign w:val="center"/>
          </w:tcPr>
          <w:p w14:paraId="46EE0090" w14:textId="587EF42C" w:rsidR="00F67F38" w:rsidRPr="003E7195" w:rsidRDefault="00F67F38" w:rsidP="00063478">
            <w:pPr>
              <w:pStyle w:val="TableText"/>
              <w:keepNext/>
              <w:keepLines/>
              <w:jc w:val="center"/>
              <w:rPr>
                <w:color w:val="0D0D0D" w:themeColor="text1" w:themeTint="F2"/>
              </w:rPr>
            </w:pPr>
            <w:r w:rsidRPr="003E7195">
              <w:rPr>
                <w:color w:val="0D0D0D" w:themeColor="text1" w:themeTint="F2"/>
              </w:rPr>
              <w:t>0.79 (0.56</w:t>
            </w:r>
            <w:r w:rsidR="00281079" w:rsidRPr="003E7195">
              <w:rPr>
                <w:color w:val="0D0D0D" w:themeColor="text1" w:themeTint="F2"/>
              </w:rPr>
              <w:t>,</w:t>
            </w:r>
            <w:r w:rsidRPr="003E7195">
              <w:rPr>
                <w:color w:val="0D0D0D" w:themeColor="text1" w:themeTint="F2"/>
              </w:rPr>
              <w:t xml:space="preserve"> 1.12)</w:t>
            </w:r>
          </w:p>
        </w:tc>
      </w:tr>
      <w:tr w:rsidR="003E7195" w:rsidRPr="003E7195" w14:paraId="0F792EA1" w14:textId="77777777" w:rsidTr="00F67F38">
        <w:tc>
          <w:tcPr>
            <w:tcW w:w="2186" w:type="pct"/>
            <w:vAlign w:val="center"/>
          </w:tcPr>
          <w:p w14:paraId="78E669ED" w14:textId="75360E5E" w:rsidR="00F67F38" w:rsidRPr="003E7195" w:rsidRDefault="00F67F38" w:rsidP="00063478">
            <w:pPr>
              <w:pStyle w:val="TableText"/>
              <w:keepNext/>
              <w:keepLines/>
              <w:rPr>
                <w:color w:val="0D0D0D" w:themeColor="text1" w:themeTint="F2"/>
              </w:rPr>
            </w:pPr>
            <w:r w:rsidRPr="003E7195">
              <w:rPr>
                <w:color w:val="0D0D0D" w:themeColor="text1" w:themeTint="F2"/>
              </w:rPr>
              <w:t>Prespecified RPSFT</w:t>
            </w:r>
          </w:p>
        </w:tc>
        <w:tc>
          <w:tcPr>
            <w:tcW w:w="1329" w:type="pct"/>
            <w:vAlign w:val="center"/>
          </w:tcPr>
          <w:p w14:paraId="3A7A9106"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5.1</w:t>
            </w:r>
          </w:p>
        </w:tc>
        <w:tc>
          <w:tcPr>
            <w:tcW w:w="1485" w:type="pct"/>
            <w:vAlign w:val="center"/>
          </w:tcPr>
          <w:p w14:paraId="0B1A6AA0" w14:textId="60935496" w:rsidR="00F67F38" w:rsidRPr="003E7195" w:rsidRDefault="00F67F38" w:rsidP="00063478">
            <w:pPr>
              <w:pStyle w:val="TableText"/>
              <w:keepNext/>
              <w:keepLines/>
              <w:jc w:val="center"/>
              <w:rPr>
                <w:color w:val="0D0D0D" w:themeColor="text1" w:themeTint="F2"/>
                <w:highlight w:val="yellow"/>
              </w:rPr>
            </w:pPr>
            <w:r w:rsidRPr="003E7195">
              <w:rPr>
                <w:color w:val="0D0D0D" w:themeColor="text1" w:themeTint="F2"/>
              </w:rPr>
              <w:t>0.49 (0.34</w:t>
            </w:r>
            <w:r w:rsidR="00281079" w:rsidRPr="003E7195">
              <w:rPr>
                <w:color w:val="0D0D0D" w:themeColor="text1" w:themeTint="F2"/>
              </w:rPr>
              <w:t>,</w:t>
            </w:r>
            <w:r w:rsidRPr="003E7195">
              <w:rPr>
                <w:color w:val="0D0D0D" w:themeColor="text1" w:themeTint="F2"/>
              </w:rPr>
              <w:t xml:space="preserve"> 0.70)</w:t>
            </w:r>
          </w:p>
        </w:tc>
      </w:tr>
      <w:tr w:rsidR="003E7195" w:rsidRPr="003E7195" w14:paraId="5E8031A0" w14:textId="77777777" w:rsidTr="00F67F38">
        <w:tc>
          <w:tcPr>
            <w:tcW w:w="2186" w:type="pct"/>
            <w:vAlign w:val="center"/>
          </w:tcPr>
          <w:p w14:paraId="36FE9A4D" w14:textId="16E34CA2" w:rsidR="00F67F38" w:rsidRPr="003E7195" w:rsidRDefault="00F67F38" w:rsidP="00063478">
            <w:pPr>
              <w:pStyle w:val="TableText"/>
              <w:keepNext/>
              <w:keepLines/>
              <w:rPr>
                <w:color w:val="0D0D0D" w:themeColor="text1" w:themeTint="F2"/>
              </w:rPr>
            </w:pPr>
            <w:r w:rsidRPr="003E7195">
              <w:rPr>
                <w:color w:val="0D0D0D" w:themeColor="text1" w:themeTint="F2"/>
              </w:rPr>
              <w:t xml:space="preserve">RPSFT, “treatment </w:t>
            </w:r>
            <w:proofErr w:type="spellStart"/>
            <w:r w:rsidRPr="003E7195">
              <w:rPr>
                <w:color w:val="0D0D0D" w:themeColor="text1" w:themeTint="F2"/>
              </w:rPr>
              <w:t>group”</w:t>
            </w:r>
            <w:r w:rsidRPr="003E7195">
              <w:rPr>
                <w:color w:val="0D0D0D" w:themeColor="text1" w:themeTint="F2"/>
                <w:vertAlign w:val="superscript"/>
              </w:rPr>
              <w:t>a</w:t>
            </w:r>
            <w:proofErr w:type="spellEnd"/>
            <w:r w:rsidRPr="003E7195">
              <w:rPr>
                <w:color w:val="0D0D0D" w:themeColor="text1" w:themeTint="F2"/>
              </w:rPr>
              <w:t xml:space="preserve"> (with re-censoring)</w:t>
            </w:r>
          </w:p>
        </w:tc>
        <w:tc>
          <w:tcPr>
            <w:tcW w:w="1329" w:type="pct"/>
            <w:vAlign w:val="center"/>
          </w:tcPr>
          <w:p w14:paraId="60723E35"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4.9</w:t>
            </w:r>
          </w:p>
        </w:tc>
        <w:tc>
          <w:tcPr>
            <w:tcW w:w="1485" w:type="pct"/>
            <w:vAlign w:val="center"/>
          </w:tcPr>
          <w:p w14:paraId="19C966FA" w14:textId="2D992CD0" w:rsidR="00F67F38" w:rsidRPr="003E7195" w:rsidRDefault="00F67F38" w:rsidP="00063478">
            <w:pPr>
              <w:pStyle w:val="TableText"/>
              <w:keepNext/>
              <w:keepLines/>
              <w:jc w:val="center"/>
              <w:rPr>
                <w:color w:val="0D0D0D" w:themeColor="text1" w:themeTint="F2"/>
              </w:rPr>
            </w:pPr>
            <w:r w:rsidRPr="003E7195">
              <w:rPr>
                <w:color w:val="0D0D0D" w:themeColor="text1" w:themeTint="F2"/>
              </w:rPr>
              <w:t>0.46 (0.32</w:t>
            </w:r>
            <w:r w:rsidR="00281079" w:rsidRPr="003E7195">
              <w:rPr>
                <w:color w:val="0D0D0D" w:themeColor="text1" w:themeTint="F2"/>
              </w:rPr>
              <w:t>,</w:t>
            </w:r>
            <w:r w:rsidRPr="003E7195">
              <w:rPr>
                <w:color w:val="0D0D0D" w:themeColor="text1" w:themeTint="F2"/>
              </w:rPr>
              <w:t xml:space="preserve"> 0.67)</w:t>
            </w:r>
          </w:p>
        </w:tc>
      </w:tr>
      <w:tr w:rsidR="003E7195" w:rsidRPr="003E7195" w14:paraId="5F3DF8E7" w14:textId="77777777" w:rsidTr="00F67F38">
        <w:tc>
          <w:tcPr>
            <w:tcW w:w="2186" w:type="pct"/>
            <w:vAlign w:val="center"/>
          </w:tcPr>
          <w:p w14:paraId="76FCB8CA" w14:textId="5BC9F624" w:rsidR="00F67F38" w:rsidRPr="003E7195" w:rsidRDefault="00F67F38" w:rsidP="00063478">
            <w:pPr>
              <w:pStyle w:val="TableText"/>
              <w:keepNext/>
              <w:keepLines/>
              <w:rPr>
                <w:color w:val="0D0D0D" w:themeColor="text1" w:themeTint="F2"/>
              </w:rPr>
            </w:pPr>
            <w:r w:rsidRPr="003E7195">
              <w:rPr>
                <w:color w:val="0D0D0D" w:themeColor="text1" w:themeTint="F2"/>
              </w:rPr>
              <w:t xml:space="preserve">RPSFT, “treatment </w:t>
            </w:r>
            <w:proofErr w:type="spellStart"/>
            <w:r w:rsidRPr="003E7195">
              <w:rPr>
                <w:color w:val="0D0D0D" w:themeColor="text1" w:themeTint="F2"/>
              </w:rPr>
              <w:t>group”</w:t>
            </w:r>
            <w:r w:rsidRPr="003E7195">
              <w:rPr>
                <w:color w:val="0D0D0D" w:themeColor="text1" w:themeTint="F2"/>
                <w:vertAlign w:val="superscript"/>
              </w:rPr>
              <w:t>a</w:t>
            </w:r>
            <w:proofErr w:type="spellEnd"/>
            <w:r w:rsidRPr="003E7195">
              <w:rPr>
                <w:color w:val="0D0D0D" w:themeColor="text1" w:themeTint="F2"/>
              </w:rPr>
              <w:t xml:space="preserve"> (without re-censoring)</w:t>
            </w:r>
          </w:p>
        </w:tc>
        <w:tc>
          <w:tcPr>
            <w:tcW w:w="1329" w:type="pct"/>
            <w:vAlign w:val="center"/>
          </w:tcPr>
          <w:p w14:paraId="584A0C47"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5.2</w:t>
            </w:r>
          </w:p>
        </w:tc>
        <w:tc>
          <w:tcPr>
            <w:tcW w:w="1485" w:type="pct"/>
            <w:vAlign w:val="center"/>
          </w:tcPr>
          <w:p w14:paraId="2BC5D30A" w14:textId="462F6C8D" w:rsidR="00F67F38" w:rsidRPr="003E7195" w:rsidRDefault="00F67F38" w:rsidP="00063478">
            <w:pPr>
              <w:pStyle w:val="TableText"/>
              <w:keepNext/>
              <w:keepLines/>
              <w:jc w:val="center"/>
              <w:rPr>
                <w:color w:val="0D0D0D" w:themeColor="text1" w:themeTint="F2"/>
              </w:rPr>
            </w:pPr>
            <w:r w:rsidRPr="003E7195">
              <w:rPr>
                <w:color w:val="0D0D0D" w:themeColor="text1" w:themeTint="F2"/>
              </w:rPr>
              <w:t>0.52 (0.37</w:t>
            </w:r>
            <w:r w:rsidR="00281079" w:rsidRPr="003E7195">
              <w:rPr>
                <w:color w:val="0D0D0D" w:themeColor="text1" w:themeTint="F2"/>
              </w:rPr>
              <w:t>,</w:t>
            </w:r>
            <w:r w:rsidRPr="003E7195">
              <w:rPr>
                <w:color w:val="0D0D0D" w:themeColor="text1" w:themeTint="F2"/>
              </w:rPr>
              <w:t>0.75)</w:t>
            </w:r>
          </w:p>
        </w:tc>
      </w:tr>
      <w:tr w:rsidR="003E7195" w:rsidRPr="003E7195" w14:paraId="5A4E6837" w14:textId="77777777" w:rsidTr="00F67F38">
        <w:tc>
          <w:tcPr>
            <w:tcW w:w="2186" w:type="pct"/>
            <w:vAlign w:val="center"/>
          </w:tcPr>
          <w:p w14:paraId="6782A0B0" w14:textId="3E8B1CEE" w:rsidR="00F67F38" w:rsidRPr="003E7195" w:rsidRDefault="00F67F38" w:rsidP="00063478">
            <w:pPr>
              <w:pStyle w:val="TableText"/>
              <w:keepNext/>
              <w:keepLines/>
              <w:rPr>
                <w:color w:val="0D0D0D" w:themeColor="text1" w:themeTint="F2"/>
              </w:rPr>
            </w:pPr>
            <w:r w:rsidRPr="003E7195">
              <w:rPr>
                <w:color w:val="0D0D0D" w:themeColor="text1" w:themeTint="F2"/>
              </w:rPr>
              <w:t xml:space="preserve">RPSFT, “on </w:t>
            </w:r>
            <w:proofErr w:type="spellStart"/>
            <w:r w:rsidRPr="003E7195">
              <w:rPr>
                <w:color w:val="0D0D0D" w:themeColor="text1" w:themeTint="F2"/>
              </w:rPr>
              <w:t>treatment”</w:t>
            </w:r>
            <w:r w:rsidRPr="003E7195">
              <w:rPr>
                <w:color w:val="0D0D0D" w:themeColor="text1" w:themeTint="F2"/>
                <w:vertAlign w:val="superscript"/>
              </w:rPr>
              <w:t>b</w:t>
            </w:r>
            <w:proofErr w:type="spellEnd"/>
            <w:r w:rsidRPr="003E7195">
              <w:rPr>
                <w:color w:val="0D0D0D" w:themeColor="text1" w:themeTint="F2"/>
              </w:rPr>
              <w:t xml:space="preserve"> (with re-censoring)</w:t>
            </w:r>
          </w:p>
        </w:tc>
        <w:tc>
          <w:tcPr>
            <w:tcW w:w="1329" w:type="pct"/>
            <w:vAlign w:val="center"/>
          </w:tcPr>
          <w:p w14:paraId="195B79EC"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NR</w:t>
            </w:r>
          </w:p>
        </w:tc>
        <w:tc>
          <w:tcPr>
            <w:tcW w:w="1485" w:type="pct"/>
            <w:vAlign w:val="center"/>
          </w:tcPr>
          <w:p w14:paraId="6561217B" w14:textId="21D7579E" w:rsidR="00F67F38" w:rsidRPr="003E7195" w:rsidRDefault="00F67F38" w:rsidP="00063478">
            <w:pPr>
              <w:pStyle w:val="TableText"/>
              <w:keepNext/>
              <w:keepLines/>
              <w:jc w:val="center"/>
              <w:rPr>
                <w:color w:val="0D0D0D" w:themeColor="text1" w:themeTint="F2"/>
              </w:rPr>
            </w:pPr>
            <w:r w:rsidRPr="003E7195">
              <w:rPr>
                <w:color w:val="0D0D0D" w:themeColor="text1" w:themeTint="F2"/>
              </w:rPr>
              <w:t>0.49 (0.28</w:t>
            </w:r>
            <w:r w:rsidR="00281079" w:rsidRPr="003E7195">
              <w:rPr>
                <w:color w:val="0D0D0D" w:themeColor="text1" w:themeTint="F2"/>
              </w:rPr>
              <w:t>,</w:t>
            </w:r>
            <w:r w:rsidRPr="003E7195">
              <w:rPr>
                <w:color w:val="0D0D0D" w:themeColor="text1" w:themeTint="F2"/>
              </w:rPr>
              <w:t xml:space="preserve"> 0.87)</w:t>
            </w:r>
          </w:p>
        </w:tc>
      </w:tr>
      <w:tr w:rsidR="003E7195" w:rsidRPr="003E7195" w14:paraId="58D97F04" w14:textId="77777777" w:rsidTr="00F67F38">
        <w:tc>
          <w:tcPr>
            <w:tcW w:w="2186" w:type="pct"/>
            <w:vAlign w:val="center"/>
          </w:tcPr>
          <w:p w14:paraId="0D00DB7A" w14:textId="1660F818" w:rsidR="00F67F38" w:rsidRPr="003E7195" w:rsidRDefault="00F67F38" w:rsidP="00063478">
            <w:pPr>
              <w:pStyle w:val="TableText"/>
              <w:keepNext/>
              <w:keepLines/>
              <w:rPr>
                <w:color w:val="0D0D0D" w:themeColor="text1" w:themeTint="F2"/>
              </w:rPr>
            </w:pPr>
            <w:r w:rsidRPr="003E7195">
              <w:rPr>
                <w:color w:val="0D0D0D" w:themeColor="text1" w:themeTint="F2"/>
              </w:rPr>
              <w:t xml:space="preserve">RPSFT, “on </w:t>
            </w:r>
            <w:proofErr w:type="spellStart"/>
            <w:r w:rsidRPr="003E7195">
              <w:rPr>
                <w:color w:val="0D0D0D" w:themeColor="text1" w:themeTint="F2"/>
              </w:rPr>
              <w:t>treatment”</w:t>
            </w:r>
            <w:r w:rsidRPr="003E7195">
              <w:rPr>
                <w:color w:val="0D0D0D" w:themeColor="text1" w:themeTint="F2"/>
                <w:vertAlign w:val="superscript"/>
              </w:rPr>
              <w:t>b</w:t>
            </w:r>
            <w:proofErr w:type="spellEnd"/>
            <w:r w:rsidRPr="003E7195">
              <w:rPr>
                <w:color w:val="0D0D0D" w:themeColor="text1" w:themeTint="F2"/>
              </w:rPr>
              <w:t xml:space="preserve"> (without re-censoring)</w:t>
            </w:r>
          </w:p>
        </w:tc>
        <w:tc>
          <w:tcPr>
            <w:tcW w:w="1329" w:type="pct"/>
            <w:vAlign w:val="center"/>
          </w:tcPr>
          <w:p w14:paraId="74F09475"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5.5</w:t>
            </w:r>
          </w:p>
        </w:tc>
        <w:tc>
          <w:tcPr>
            <w:tcW w:w="1485" w:type="pct"/>
            <w:vAlign w:val="center"/>
          </w:tcPr>
          <w:p w14:paraId="4C7C5519" w14:textId="1CE4564E" w:rsidR="00F67F38" w:rsidRPr="003E7195" w:rsidRDefault="00F67F38" w:rsidP="00063478">
            <w:pPr>
              <w:pStyle w:val="TableText"/>
              <w:keepNext/>
              <w:keepLines/>
              <w:jc w:val="center"/>
              <w:rPr>
                <w:color w:val="0D0D0D" w:themeColor="text1" w:themeTint="F2"/>
              </w:rPr>
            </w:pPr>
            <w:r w:rsidRPr="003E7195">
              <w:rPr>
                <w:color w:val="0D0D0D" w:themeColor="text1" w:themeTint="F2"/>
              </w:rPr>
              <w:t>0.52 (0.36</w:t>
            </w:r>
            <w:r w:rsidR="00281079" w:rsidRPr="003E7195">
              <w:rPr>
                <w:color w:val="0D0D0D" w:themeColor="text1" w:themeTint="F2"/>
              </w:rPr>
              <w:t>,</w:t>
            </w:r>
            <w:r w:rsidRPr="003E7195">
              <w:rPr>
                <w:color w:val="0D0D0D" w:themeColor="text1" w:themeTint="F2"/>
              </w:rPr>
              <w:t xml:space="preserve"> 0.74)</w:t>
            </w:r>
          </w:p>
        </w:tc>
      </w:tr>
      <w:tr w:rsidR="003E7195" w:rsidRPr="003E7195" w14:paraId="40280176" w14:textId="77777777" w:rsidTr="00F67F38">
        <w:tc>
          <w:tcPr>
            <w:tcW w:w="2186" w:type="pct"/>
            <w:vAlign w:val="center"/>
          </w:tcPr>
          <w:p w14:paraId="2AEA9B9D" w14:textId="77777777" w:rsidR="00F67F38" w:rsidRPr="003E7195" w:rsidRDefault="00F67F38" w:rsidP="00063478">
            <w:pPr>
              <w:pStyle w:val="TableText"/>
              <w:keepNext/>
              <w:keepLines/>
              <w:rPr>
                <w:color w:val="0D0D0D" w:themeColor="text1" w:themeTint="F2"/>
              </w:rPr>
            </w:pPr>
            <w:r w:rsidRPr="003E7195">
              <w:rPr>
                <w:color w:val="0D0D0D" w:themeColor="text1" w:themeTint="F2"/>
              </w:rPr>
              <w:t>IPCW</w:t>
            </w:r>
          </w:p>
        </w:tc>
        <w:tc>
          <w:tcPr>
            <w:tcW w:w="1329" w:type="pct"/>
            <w:vAlign w:val="center"/>
          </w:tcPr>
          <w:p w14:paraId="0560A3BD"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NA</w:t>
            </w:r>
          </w:p>
        </w:tc>
        <w:tc>
          <w:tcPr>
            <w:tcW w:w="1485" w:type="pct"/>
            <w:vAlign w:val="center"/>
          </w:tcPr>
          <w:p w14:paraId="67764AFF" w14:textId="5D3C335A" w:rsidR="00F67F38" w:rsidRPr="003E7195" w:rsidRDefault="00F67F38" w:rsidP="00063478">
            <w:pPr>
              <w:pStyle w:val="TableText"/>
              <w:keepNext/>
              <w:keepLines/>
              <w:jc w:val="center"/>
              <w:rPr>
                <w:color w:val="0D0D0D" w:themeColor="text1" w:themeTint="F2"/>
              </w:rPr>
            </w:pPr>
            <w:r w:rsidRPr="003E7195">
              <w:rPr>
                <w:color w:val="0D0D0D" w:themeColor="text1" w:themeTint="F2"/>
              </w:rPr>
              <w:t>0.74 (0.31</w:t>
            </w:r>
            <w:r w:rsidR="00281079" w:rsidRPr="003E7195">
              <w:rPr>
                <w:color w:val="0D0D0D" w:themeColor="text1" w:themeTint="F2"/>
              </w:rPr>
              <w:t xml:space="preserve">, </w:t>
            </w:r>
            <w:r w:rsidRPr="003E7195">
              <w:rPr>
                <w:color w:val="0D0D0D" w:themeColor="text1" w:themeTint="F2"/>
              </w:rPr>
              <w:t>1.56)</w:t>
            </w:r>
          </w:p>
        </w:tc>
      </w:tr>
      <w:tr w:rsidR="003E7195" w:rsidRPr="003E7195" w14:paraId="3D689C19" w14:textId="77777777" w:rsidTr="00F67F38">
        <w:tc>
          <w:tcPr>
            <w:tcW w:w="2186" w:type="pct"/>
            <w:vAlign w:val="center"/>
          </w:tcPr>
          <w:p w14:paraId="59CCEA20" w14:textId="0F7B9764" w:rsidR="00F67F38" w:rsidRPr="003E7195" w:rsidRDefault="00F67F38" w:rsidP="00063478">
            <w:pPr>
              <w:pStyle w:val="TableText"/>
              <w:keepNext/>
              <w:keepLines/>
              <w:rPr>
                <w:color w:val="0D0D0D" w:themeColor="text1" w:themeTint="F2"/>
                <w:vertAlign w:val="superscript"/>
              </w:rPr>
            </w:pPr>
            <w:proofErr w:type="spellStart"/>
            <w:r w:rsidRPr="003E7195">
              <w:rPr>
                <w:color w:val="0D0D0D" w:themeColor="text1" w:themeTint="F2"/>
              </w:rPr>
              <w:t>TSE</w:t>
            </w:r>
            <w:r w:rsidR="001E59BC" w:rsidRPr="003E7195">
              <w:rPr>
                <w:color w:val="0D0D0D" w:themeColor="text1" w:themeTint="F2"/>
                <w:vertAlign w:val="superscript"/>
              </w:rPr>
              <w:t>c</w:t>
            </w:r>
            <w:proofErr w:type="spellEnd"/>
          </w:p>
        </w:tc>
        <w:tc>
          <w:tcPr>
            <w:tcW w:w="1329" w:type="pct"/>
            <w:vAlign w:val="center"/>
          </w:tcPr>
          <w:p w14:paraId="253EBACC"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NA</w:t>
            </w:r>
          </w:p>
        </w:tc>
        <w:tc>
          <w:tcPr>
            <w:tcW w:w="1485" w:type="pct"/>
            <w:vAlign w:val="center"/>
          </w:tcPr>
          <w:p w14:paraId="7290F089" w14:textId="77777777" w:rsidR="00F67F38" w:rsidRPr="003E7195" w:rsidRDefault="00F67F38" w:rsidP="00063478">
            <w:pPr>
              <w:pStyle w:val="TableText"/>
              <w:keepNext/>
              <w:keepLines/>
              <w:jc w:val="center"/>
              <w:rPr>
                <w:color w:val="0D0D0D" w:themeColor="text1" w:themeTint="F2"/>
              </w:rPr>
            </w:pPr>
            <w:r w:rsidRPr="003E7195">
              <w:rPr>
                <w:color w:val="0D0D0D" w:themeColor="text1" w:themeTint="F2"/>
              </w:rPr>
              <w:t>NA</w:t>
            </w:r>
          </w:p>
        </w:tc>
      </w:tr>
    </w:tbl>
    <w:p w14:paraId="2BC3541C" w14:textId="580FF948" w:rsidR="00F67F38" w:rsidRPr="003E7195" w:rsidRDefault="00F67F38" w:rsidP="00063478">
      <w:pPr>
        <w:pStyle w:val="TableFigureFooter"/>
        <w:keepNext/>
        <w:keepLines/>
        <w:rPr>
          <w:color w:val="0D0D0D" w:themeColor="text1" w:themeTint="F2"/>
        </w:rPr>
      </w:pPr>
      <w:r w:rsidRPr="003E7195">
        <w:rPr>
          <w:color w:val="0D0D0D" w:themeColor="text1" w:themeTint="F2"/>
        </w:rPr>
        <w:t xml:space="preserve">Source: Table 2-47, of the submission </w:t>
      </w:r>
    </w:p>
    <w:p w14:paraId="71394D4F" w14:textId="5B7A744B" w:rsidR="00F67F38" w:rsidRPr="003E7195" w:rsidRDefault="00F67F38" w:rsidP="00063478">
      <w:pPr>
        <w:pStyle w:val="TableFigureFooter"/>
        <w:keepNext/>
        <w:keepLines/>
        <w:rPr>
          <w:color w:val="0D0D0D" w:themeColor="text1" w:themeTint="F2"/>
        </w:rPr>
      </w:pPr>
      <w:r w:rsidRPr="003E7195">
        <w:rPr>
          <w:color w:val="0D0D0D" w:themeColor="text1" w:themeTint="F2"/>
        </w:rPr>
        <w:t>IPCW = inverse probability of censoring weights; NA = not applicable; NR = not reached; RPSFT = rank-preserving structure failure time; TSE = two-stage estimation</w:t>
      </w:r>
    </w:p>
    <w:p w14:paraId="1498795C" w14:textId="1DAC2985" w:rsidR="00F67F38" w:rsidRPr="003E7195" w:rsidRDefault="00F67F38" w:rsidP="00063478">
      <w:pPr>
        <w:pStyle w:val="TableFigureFooter"/>
        <w:keepNext/>
        <w:keepLines/>
        <w:rPr>
          <w:color w:val="0D0D0D" w:themeColor="text1" w:themeTint="F2"/>
        </w:rPr>
      </w:pPr>
      <w:r w:rsidRPr="003E7195">
        <w:rPr>
          <w:color w:val="0D0D0D" w:themeColor="text1" w:themeTint="F2"/>
          <w:vertAlign w:val="superscript"/>
        </w:rPr>
        <w:t>a</w:t>
      </w:r>
      <w:r w:rsidRPr="003E7195">
        <w:rPr>
          <w:color w:val="0D0D0D" w:themeColor="text1" w:themeTint="F2"/>
        </w:rPr>
        <w:t xml:space="preserve"> RPSFT “treatment group” approach</w:t>
      </w:r>
      <w:r w:rsidR="00B55EB2" w:rsidRPr="003E7195">
        <w:rPr>
          <w:color w:val="0D0D0D" w:themeColor="text1" w:themeTint="F2"/>
        </w:rPr>
        <w:t>, where</w:t>
      </w:r>
      <w:r w:rsidRPr="003E7195">
        <w:rPr>
          <w:color w:val="0D0D0D" w:themeColor="text1" w:themeTint="F2"/>
        </w:rPr>
        <w:t xml:space="preserve"> the switch treatment effect duration is assumed to last from the first dose of the intervention until death/censoring. An analysis under this assumption ignores treatment discontinuation times.</w:t>
      </w:r>
    </w:p>
    <w:p w14:paraId="7D0730B2" w14:textId="6E2FE834" w:rsidR="00F67F38" w:rsidRPr="003E7195" w:rsidRDefault="00F67F38" w:rsidP="00063478">
      <w:pPr>
        <w:pStyle w:val="TableFigureFooter"/>
        <w:keepNext/>
        <w:keepLines/>
        <w:rPr>
          <w:color w:val="0D0D0D" w:themeColor="text1" w:themeTint="F2"/>
        </w:rPr>
      </w:pPr>
      <w:r w:rsidRPr="003E7195">
        <w:rPr>
          <w:color w:val="0D0D0D" w:themeColor="text1" w:themeTint="F2"/>
          <w:vertAlign w:val="superscript"/>
        </w:rPr>
        <w:t>b</w:t>
      </w:r>
      <w:r w:rsidRPr="003E7195">
        <w:rPr>
          <w:color w:val="0D0D0D" w:themeColor="text1" w:themeTint="F2"/>
        </w:rPr>
        <w:t xml:space="preserve"> RPSFT “on-treatment” approach</w:t>
      </w:r>
      <w:r w:rsidR="00B55EB2" w:rsidRPr="003E7195">
        <w:rPr>
          <w:color w:val="0D0D0D" w:themeColor="text1" w:themeTint="F2"/>
        </w:rPr>
        <w:t>, where</w:t>
      </w:r>
      <w:r w:rsidRPr="003E7195">
        <w:rPr>
          <w:color w:val="0D0D0D" w:themeColor="text1" w:themeTint="F2"/>
        </w:rPr>
        <w:t xml:space="preserve"> the switch treatment effect duration is assumed to last from the first dose of intervention until treatment discontinuation.</w:t>
      </w:r>
    </w:p>
    <w:p w14:paraId="2C5F2E13" w14:textId="6D1243EF" w:rsidR="00B02479" w:rsidRPr="003E7195" w:rsidRDefault="00B55EB2" w:rsidP="006B5D5A">
      <w:pPr>
        <w:pStyle w:val="TableFigureFooter"/>
        <w:rPr>
          <w:color w:val="0D0D0D" w:themeColor="text1" w:themeTint="F2"/>
        </w:rPr>
      </w:pPr>
      <w:r w:rsidRPr="003E7195">
        <w:rPr>
          <w:color w:val="0D0D0D" w:themeColor="text1" w:themeTint="F2"/>
          <w:vertAlign w:val="superscript"/>
        </w:rPr>
        <w:t xml:space="preserve">c </w:t>
      </w:r>
      <w:r w:rsidR="00F67F38" w:rsidRPr="003E7195">
        <w:rPr>
          <w:color w:val="0D0D0D" w:themeColor="text1" w:themeTint="F2"/>
        </w:rPr>
        <w:t>Two-stage estimation was deemed not available for the ClarIDHy data given the small number of patients who did not switch</w:t>
      </w:r>
    </w:p>
    <w:p w14:paraId="56DA8C3D" w14:textId="6DF8B063" w:rsidR="00B453B0" w:rsidRPr="00B453B0" w:rsidRDefault="00B453B0" w:rsidP="00013016">
      <w:pPr>
        <w:pStyle w:val="Caption"/>
      </w:pPr>
      <w:bookmarkStart w:id="30" w:name="_Ref173489404"/>
      <w:r>
        <w:t xml:space="preserve">Figure </w:t>
      </w:r>
      <w:r w:rsidR="00841FC2">
        <w:fldChar w:fldCharType="begin" w:fldLock="1"/>
      </w:r>
      <w:r w:rsidR="00841FC2">
        <w:instrText xml:space="preserve"> SEQ Figure \* ARABIC </w:instrText>
      </w:r>
      <w:r w:rsidR="00841FC2">
        <w:fldChar w:fldCharType="separate"/>
      </w:r>
      <w:r w:rsidR="00CB6594">
        <w:rPr>
          <w:noProof/>
        </w:rPr>
        <w:t>2</w:t>
      </w:r>
      <w:r w:rsidR="00841FC2">
        <w:rPr>
          <w:noProof/>
        </w:rPr>
        <w:fldChar w:fldCharType="end"/>
      </w:r>
      <w:bookmarkEnd w:id="30"/>
      <w:r w:rsidR="00B416F4">
        <w:rPr>
          <w:noProof/>
        </w:rPr>
        <w:t>:</w:t>
      </w:r>
      <w:r w:rsidRPr="00B453B0">
        <w:t xml:space="preserve"> </w:t>
      </w:r>
      <w:r w:rsidRPr="003E7195">
        <w:t>Kaplan-Meier plot of OS in the ClarIDHy trial (ITT population)</w:t>
      </w:r>
    </w:p>
    <w:p w14:paraId="1B28A1E8" w14:textId="75AEA1C9" w:rsidR="0070437D" w:rsidRPr="003E7195" w:rsidRDefault="0070437D" w:rsidP="00B416F4">
      <w:pPr>
        <w:spacing w:before="0" w:after="0"/>
      </w:pPr>
      <w:r w:rsidRPr="003E7195">
        <w:rPr>
          <w:noProof/>
        </w:rPr>
        <w:drawing>
          <wp:inline distT="0" distB="0" distL="0" distR="0" wp14:anchorId="47085C9B" wp14:editId="3CF386BF">
            <wp:extent cx="5237684" cy="3295236"/>
            <wp:effectExtent l="0" t="0" r="1270" b="635"/>
            <wp:docPr id="1808973540" name="Picture 1808973540" descr="Figure 2: Kaplan-Meier plot of OS in the ClarIDHy tri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3540" name="Picture 1808973540" descr="Figure 2: Kaplan-Meier plot of OS in the ClarIDHy trial (ITT popul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9943" cy="3302949"/>
                    </a:xfrm>
                    <a:prstGeom prst="rect">
                      <a:avLst/>
                    </a:prstGeom>
                    <a:noFill/>
                  </pic:spPr>
                </pic:pic>
              </a:graphicData>
            </a:graphic>
          </wp:inline>
        </w:drawing>
      </w:r>
    </w:p>
    <w:p w14:paraId="00D7FFB3" w14:textId="77DB3610" w:rsidR="0070437D" w:rsidRPr="003E7195" w:rsidRDefault="0070437D" w:rsidP="0070437D">
      <w:pPr>
        <w:pStyle w:val="TableFooter"/>
        <w:jc w:val="left"/>
        <w:rPr>
          <w:color w:val="0D0D0D" w:themeColor="text1" w:themeTint="F2"/>
        </w:rPr>
      </w:pPr>
      <w:r w:rsidRPr="003E7195">
        <w:rPr>
          <w:color w:val="0D0D0D" w:themeColor="text1" w:themeTint="F2"/>
        </w:rPr>
        <w:t>Source: Figure 2-14, of the submission</w:t>
      </w:r>
    </w:p>
    <w:p w14:paraId="79793543" w14:textId="77777777" w:rsidR="0070437D" w:rsidRPr="003E7195" w:rsidRDefault="0070437D" w:rsidP="0070437D">
      <w:pPr>
        <w:pStyle w:val="TableFooter"/>
        <w:jc w:val="left"/>
        <w:rPr>
          <w:color w:val="0D0D0D" w:themeColor="text1" w:themeTint="F2"/>
        </w:rPr>
      </w:pPr>
      <w:r w:rsidRPr="003E7195">
        <w:rPr>
          <w:color w:val="0D0D0D" w:themeColor="text1" w:themeTint="F2"/>
        </w:rPr>
        <w:t>CI = confidence intervals; HR = hazard ratio; ITT = Intention-to-Treat; mo = month; OS = overall survival; RPSFT = rank-preserving structural failure time</w:t>
      </w:r>
    </w:p>
    <w:p w14:paraId="39FD573C" w14:textId="77777777" w:rsidR="0070437D" w:rsidRPr="003E7195" w:rsidRDefault="0070437D" w:rsidP="0070437D">
      <w:pPr>
        <w:pStyle w:val="TableFooter"/>
        <w:jc w:val="left"/>
        <w:rPr>
          <w:color w:val="0D0D0D" w:themeColor="text1" w:themeTint="F2"/>
        </w:rPr>
      </w:pPr>
      <w:r w:rsidRPr="003E7195">
        <w:rPr>
          <w:color w:val="0D0D0D" w:themeColor="text1" w:themeTint="F2"/>
        </w:rPr>
        <w:t>Note: Data cutoff date: 31</w:t>
      </w:r>
      <w:r w:rsidRPr="003E7195">
        <w:rPr>
          <w:color w:val="0D0D0D" w:themeColor="text1" w:themeTint="F2"/>
          <w:vertAlign w:val="superscript"/>
        </w:rPr>
        <w:t>st</w:t>
      </w:r>
      <w:r w:rsidRPr="003E7195">
        <w:rPr>
          <w:color w:val="0D0D0D" w:themeColor="text1" w:themeTint="F2"/>
        </w:rPr>
        <w:t xml:space="preserve"> May 2020.</w:t>
      </w:r>
    </w:p>
    <w:p w14:paraId="4A6AE00F" w14:textId="5A23AF41" w:rsidR="00281079" w:rsidRPr="003E7195" w:rsidRDefault="00281079" w:rsidP="007E0187">
      <w:pPr>
        <w:pStyle w:val="ListParagraph"/>
      </w:pPr>
      <w:r w:rsidRPr="003E7195">
        <w:t xml:space="preserve">The RPSFT method produced consistent HRs for ivosidenib </w:t>
      </w:r>
      <w:r w:rsidRPr="79C6582A">
        <w:rPr>
          <w:i/>
          <w:iCs/>
        </w:rPr>
        <w:t>versus</w:t>
      </w:r>
      <w:r w:rsidRPr="003E7195">
        <w:t xml:space="preserve"> placebo under a range of assumptions and model structures. When using the RPSFT model, the HR for OS ranged between 0.46  and 0.52. In the prespecified RPSFT analysis, the HR for OS </w:t>
      </w:r>
      <w:r w:rsidRPr="003E7195">
        <w:lastRenderedPageBreak/>
        <w:t xml:space="preserve">was 0.49 (95% CI: 0.34, 0.70), which was the primary analysis that has previously been reported by Zhu </w:t>
      </w:r>
      <w:r w:rsidRPr="79C6582A">
        <w:rPr>
          <w:i/>
          <w:iCs/>
        </w:rPr>
        <w:t xml:space="preserve">et al </w:t>
      </w:r>
      <w:r w:rsidRPr="003E7195">
        <w:t>2021</w:t>
      </w:r>
      <w:r w:rsidR="00B02479" w:rsidRPr="003E7195">
        <w:rPr>
          <w:rStyle w:val="FootnoteReference"/>
        </w:rPr>
        <w:footnoteReference w:id="16"/>
      </w:r>
      <w:r w:rsidRPr="003E7195">
        <w:t xml:space="preserve">. </w:t>
      </w:r>
    </w:p>
    <w:p w14:paraId="577A6373" w14:textId="4782ED47" w:rsidR="00281079" w:rsidRPr="00181B1F" w:rsidRDefault="00281079" w:rsidP="007E0187">
      <w:pPr>
        <w:pStyle w:val="ListParagraph"/>
      </w:pPr>
      <w:bookmarkStart w:id="31" w:name="_Ref169260576"/>
      <w:r w:rsidRPr="00181B1F">
        <w:t xml:space="preserve">Overall, the adjustment for treatment switching in the placebo arm of the ClarIDHy using the RPSFT method, </w:t>
      </w:r>
      <w:r w:rsidR="005953C2" w:rsidRPr="00181B1F">
        <w:t>no matter</w:t>
      </w:r>
      <w:r w:rsidRPr="00181B1F">
        <w:t xml:space="preserve"> which approach was taken, has an effect of increasing the difference in OS between the two treatment arms and </w:t>
      </w:r>
      <w:r w:rsidR="005953C2" w:rsidRPr="00181B1F">
        <w:t>the adjusted result favours ivosidenib</w:t>
      </w:r>
      <w:r w:rsidRPr="00181B1F">
        <w:t xml:space="preserve"> i</w:t>
      </w:r>
      <w:r w:rsidR="000D05BB" w:rsidRPr="00181B1F">
        <w:t>n</w:t>
      </w:r>
      <w:r w:rsidRPr="00181B1F">
        <w:t xml:space="preserve"> terms of</w:t>
      </w:r>
      <w:r w:rsidR="005953C2" w:rsidRPr="00181B1F">
        <w:t xml:space="preserve"> </w:t>
      </w:r>
      <w:r w:rsidRPr="00181B1F">
        <w:t>OS</w:t>
      </w:r>
      <w:r w:rsidR="005953C2" w:rsidRPr="00181B1F">
        <w:t xml:space="preserve"> outcome</w:t>
      </w:r>
      <w:r w:rsidRPr="00181B1F">
        <w:t xml:space="preserve">. However, the RPSFT approach was associated with high uncertainty as the </w:t>
      </w:r>
      <w:r w:rsidR="002102F1">
        <w:t>approach</w:t>
      </w:r>
      <w:r w:rsidR="002102F1" w:rsidRPr="00181B1F">
        <w:t xml:space="preserve"> </w:t>
      </w:r>
      <w:r w:rsidRPr="00181B1F">
        <w:t>assume</w:t>
      </w:r>
      <w:r w:rsidR="002102F1">
        <w:t>s</w:t>
      </w:r>
      <w:r w:rsidRPr="00181B1F">
        <w:t xml:space="preserve"> that the effect of ivosidenib was the same, regardless of the time point and stage of disease when the drug was received</w:t>
      </w:r>
      <w:r w:rsidR="00440142">
        <w:t xml:space="preserve"> (common treatment effect)</w:t>
      </w:r>
      <w:r w:rsidRPr="00181B1F">
        <w:t xml:space="preserve">. In the ClarIDHy trial, placebo patients were only allowed to receive ivosidenib treatment after their cancer </w:t>
      </w:r>
      <w:r w:rsidR="001E59BC" w:rsidRPr="00181B1F">
        <w:t xml:space="preserve">was </w:t>
      </w:r>
      <w:r w:rsidRPr="00181B1F">
        <w:t>determined as progressive by investigator. The capacity for a patient to benefit from ivosidenib at this timepoint may be different compared to</w:t>
      </w:r>
      <w:r w:rsidR="005953C2" w:rsidRPr="00181B1F">
        <w:t xml:space="preserve"> their</w:t>
      </w:r>
      <w:r w:rsidRPr="00181B1F">
        <w:t xml:space="preserve"> pre-progression</w:t>
      </w:r>
      <w:r w:rsidR="005953C2" w:rsidRPr="00181B1F">
        <w:t xml:space="preserve"> stage.</w:t>
      </w:r>
      <w:r w:rsidRPr="00C30625">
        <w:t xml:space="preserve"> </w:t>
      </w:r>
      <w:r w:rsidR="003E5905" w:rsidRPr="00C30625">
        <w:t xml:space="preserve">Although </w:t>
      </w:r>
      <w:r w:rsidR="00912E67" w:rsidRPr="00C30625">
        <w:t xml:space="preserve">acknowledging </w:t>
      </w:r>
      <w:r w:rsidR="003E5905" w:rsidRPr="00C30625">
        <w:t xml:space="preserve">the </w:t>
      </w:r>
      <w:r w:rsidR="00DB2F4B" w:rsidRPr="00C30625">
        <w:t>uncertainty associated</w:t>
      </w:r>
      <w:r w:rsidR="003E5905" w:rsidRPr="00C30625">
        <w:t xml:space="preserve"> with any method for adjusting for treatment switching, the ESCs considered that RPSFT (on treatment, with re-censoring), was </w:t>
      </w:r>
      <w:r w:rsidR="00E47DD6" w:rsidRPr="00C30625">
        <w:t>a</w:t>
      </w:r>
      <w:r w:rsidR="003E5905" w:rsidRPr="00C30625">
        <w:t xml:space="preserve"> reasonable</w:t>
      </w:r>
      <w:r w:rsidR="00E47DD6" w:rsidRPr="00C30625">
        <w:t xml:space="preserve"> approach </w:t>
      </w:r>
      <w:r w:rsidR="003E5905" w:rsidRPr="00C30625">
        <w:t>for adjusting for treatment switching</w:t>
      </w:r>
      <w:r w:rsidR="00703401" w:rsidRPr="00C30625">
        <w:t xml:space="preserve"> as it accounts for </w:t>
      </w:r>
      <w:r w:rsidR="002C14D7" w:rsidRPr="00C30625">
        <w:t xml:space="preserve">the duration of </w:t>
      </w:r>
      <w:r w:rsidR="00703401" w:rsidRPr="00C30625">
        <w:t>treatment</w:t>
      </w:r>
      <w:r w:rsidR="002C14D7" w:rsidRPr="00C30625">
        <w:t xml:space="preserve"> received</w:t>
      </w:r>
      <w:r w:rsidR="003E5905" w:rsidRPr="00C30625">
        <w:t xml:space="preserve">. </w:t>
      </w:r>
      <w:r w:rsidR="00CD2376" w:rsidRPr="00C30625">
        <w:t xml:space="preserve">The ESCs considered this was </w:t>
      </w:r>
      <w:r w:rsidR="00D316F9" w:rsidRPr="00C30625">
        <w:t>the most</w:t>
      </w:r>
      <w:r w:rsidR="00CD2376" w:rsidRPr="00C30625">
        <w:t xml:space="preserve"> conservative statistical choice</w:t>
      </w:r>
      <w:r w:rsidR="000D7581" w:rsidRPr="00C30625">
        <w:t xml:space="preserve"> and</w:t>
      </w:r>
      <w:r w:rsidR="00D316F9" w:rsidRPr="00C30625">
        <w:t xml:space="preserve"> not</w:t>
      </w:r>
      <w:r w:rsidR="000D7581" w:rsidRPr="00C30625">
        <w:t>ed</w:t>
      </w:r>
      <w:r w:rsidR="00D316F9" w:rsidRPr="00C30625">
        <w:t xml:space="preserve"> the</w:t>
      </w:r>
      <w:r w:rsidR="003E5905" w:rsidRPr="00C30625">
        <w:t xml:space="preserve"> point estimate was </w:t>
      </w:r>
      <w:proofErr w:type="gramStart"/>
      <w:r w:rsidR="00203DEA" w:rsidRPr="00C30625">
        <w:t>similar</w:t>
      </w:r>
      <w:r w:rsidR="003E5905" w:rsidRPr="00C30625">
        <w:t xml:space="preserve"> </w:t>
      </w:r>
      <w:r w:rsidR="00611A67" w:rsidRPr="00C30625">
        <w:t>to</w:t>
      </w:r>
      <w:proofErr w:type="gramEnd"/>
      <w:r w:rsidR="00611A67" w:rsidRPr="00C30625">
        <w:t xml:space="preserve"> the pre-specified analysis</w:t>
      </w:r>
      <w:r w:rsidR="000D7581" w:rsidRPr="00C30625">
        <w:t>. A</w:t>
      </w:r>
      <w:r w:rsidR="0000196F" w:rsidRPr="00C30625">
        <w:t xml:space="preserve">lthough this approach </w:t>
      </w:r>
      <w:r w:rsidR="00611A67" w:rsidRPr="00C30625">
        <w:t>resulted in</w:t>
      </w:r>
      <w:r w:rsidR="0000196F" w:rsidRPr="00C30625">
        <w:t xml:space="preserve"> wider confidence intervals,</w:t>
      </w:r>
      <w:r w:rsidR="00611A67" w:rsidRPr="00C30625">
        <w:t xml:space="preserve"> </w:t>
      </w:r>
      <w:r w:rsidR="003E5905" w:rsidRPr="00C30625">
        <w:t xml:space="preserve">the confidence intervals did not cross 1, suggesting that </w:t>
      </w:r>
      <w:r w:rsidR="000919C2" w:rsidRPr="00C30625">
        <w:t>the conclusion of a</w:t>
      </w:r>
      <w:r w:rsidR="003E5905" w:rsidRPr="00C30625">
        <w:t xml:space="preserve"> survival advantage for ivosidenib</w:t>
      </w:r>
      <w:r w:rsidR="000919C2" w:rsidRPr="00C30625">
        <w:t xml:space="preserve"> was reasonable</w:t>
      </w:r>
      <w:r w:rsidR="003E5905" w:rsidRPr="00C30625">
        <w:t>.</w:t>
      </w:r>
      <w:bookmarkEnd w:id="31"/>
    </w:p>
    <w:p w14:paraId="0D4611DE" w14:textId="0F24B96B" w:rsidR="00281079" w:rsidRPr="003E7195" w:rsidRDefault="00281079" w:rsidP="007E0187">
      <w:pPr>
        <w:pStyle w:val="ListParagraph"/>
        <w:rPr>
          <w:i/>
          <w:iCs/>
        </w:rPr>
      </w:pPr>
      <w:r w:rsidRPr="00181B1F">
        <w:t xml:space="preserve">Adjusted analyses using other methods </w:t>
      </w:r>
      <w:r w:rsidR="00B51D02">
        <w:t>were presented</w:t>
      </w:r>
      <w:r w:rsidRPr="00181B1F">
        <w:t xml:space="preserve"> </w:t>
      </w:r>
      <w:r w:rsidR="00B51D02">
        <w:t xml:space="preserve">in </w:t>
      </w:r>
      <w:r w:rsidR="00B51D02">
        <w:fldChar w:fldCharType="begin" w:fldLock="1"/>
      </w:r>
      <w:r w:rsidR="00B51D02">
        <w:instrText xml:space="preserve"> REF _Ref164100430 \h </w:instrText>
      </w:r>
      <w:r w:rsidR="00B51D02">
        <w:fldChar w:fldCharType="separate"/>
      </w:r>
      <w:r w:rsidR="00CB6594" w:rsidRPr="003E7195">
        <w:t xml:space="preserve">Table </w:t>
      </w:r>
      <w:r w:rsidR="00CB6594">
        <w:rPr>
          <w:noProof/>
        </w:rPr>
        <w:t>7</w:t>
      </w:r>
      <w:r w:rsidR="00B51D02">
        <w:fldChar w:fldCharType="end"/>
      </w:r>
      <w:r w:rsidR="00B51D02">
        <w:t xml:space="preserve"> </w:t>
      </w:r>
      <w:r w:rsidRPr="00181B1F">
        <w:t>for comparison with the RPSFT-adjusted results, given the uncertainty surrounding the key assumptions of the RPSFT method.</w:t>
      </w:r>
      <w:r w:rsidRPr="003E7195">
        <w:rPr>
          <w:i/>
          <w:iCs/>
        </w:rPr>
        <w:t xml:space="preserve"> </w:t>
      </w:r>
      <w:r w:rsidRPr="003E7195">
        <w:t xml:space="preserve">The </w:t>
      </w:r>
      <w:r w:rsidR="000D05BB" w:rsidRPr="003E7195">
        <w:t>inverse probability of censoring weights (</w:t>
      </w:r>
      <w:r w:rsidRPr="003E7195">
        <w:t>IPCW</w:t>
      </w:r>
      <w:r w:rsidR="000D05BB" w:rsidRPr="003E7195">
        <w:t>)</w:t>
      </w:r>
      <w:r w:rsidRPr="003E7195">
        <w:t>-adjusted HR for OS</w:t>
      </w:r>
      <w:r w:rsidR="000D05BB" w:rsidRPr="003E7195">
        <w:t xml:space="preserve"> </w:t>
      </w:r>
      <w:r w:rsidRPr="003E7195">
        <w:t xml:space="preserve">was 0.74 (95% CI: 0.35, 1.56), </w:t>
      </w:r>
      <w:r w:rsidR="000D05BB" w:rsidRPr="003E7195">
        <w:t xml:space="preserve">lying between the </w:t>
      </w:r>
      <w:r w:rsidRPr="003E7195">
        <w:t>RPSFT-adjusted HRs of 0.46-0.52</w:t>
      </w:r>
      <w:r w:rsidR="000D05BB" w:rsidRPr="003E7195">
        <w:t xml:space="preserve"> </w:t>
      </w:r>
      <w:r w:rsidRPr="003E7195">
        <w:t xml:space="preserve">and the unadjusted HR of 0.79. </w:t>
      </w:r>
      <w:r w:rsidR="000D05BB" w:rsidRPr="003E7195">
        <w:t xml:space="preserve">Of note, </w:t>
      </w:r>
      <w:r w:rsidR="001E59BC" w:rsidRPr="003E7195">
        <w:t>i</w:t>
      </w:r>
      <w:r w:rsidRPr="003E7195">
        <w:t xml:space="preserve">n the ClarIDHy trial, the IPCW method may be less suitable for crossover adjustment due to </w:t>
      </w:r>
      <w:r w:rsidR="001E59BC" w:rsidRPr="003E7195">
        <w:t xml:space="preserve">the </w:t>
      </w:r>
      <w:r w:rsidRPr="003E7195">
        <w:t xml:space="preserve">extensive </w:t>
      </w:r>
      <w:r w:rsidR="001E59BC" w:rsidRPr="003E7195">
        <w:t xml:space="preserve">nature of the </w:t>
      </w:r>
      <w:r w:rsidRPr="003E7195">
        <w:t xml:space="preserve">crossover. Only a small number of patients </w:t>
      </w:r>
      <w:r w:rsidR="001E59BC" w:rsidRPr="003E7195">
        <w:t xml:space="preserve">chose not to switch when they </w:t>
      </w:r>
      <w:r w:rsidRPr="003E7195">
        <w:t xml:space="preserve">were eligible to </w:t>
      </w:r>
      <w:r w:rsidR="001E59BC" w:rsidRPr="003E7195">
        <w:t xml:space="preserve">do so, and this </w:t>
      </w:r>
      <w:r w:rsidR="000258DD" w:rsidRPr="003E7195">
        <w:t xml:space="preserve">greatly affected the validity of </w:t>
      </w:r>
      <w:r w:rsidRPr="003E7195">
        <w:t xml:space="preserve">the IPCW approach. The </w:t>
      </w:r>
      <w:r w:rsidR="000D05BB" w:rsidRPr="003E7195">
        <w:t xml:space="preserve">two-stage estimation </w:t>
      </w:r>
      <w:r w:rsidRPr="003E7195">
        <w:t xml:space="preserve">method was considered </w:t>
      </w:r>
      <w:r w:rsidR="000D05BB" w:rsidRPr="003E7195">
        <w:t xml:space="preserve">by the sponsor </w:t>
      </w:r>
      <w:r w:rsidRPr="003E7195">
        <w:t xml:space="preserve">but was deemed </w:t>
      </w:r>
      <w:r w:rsidR="006F2998" w:rsidRPr="003E7195">
        <w:t>un</w:t>
      </w:r>
      <w:r w:rsidRPr="003E7195">
        <w:t>viable to implement and unfeasible to produce robust and reliable estimates.</w:t>
      </w:r>
    </w:p>
    <w:p w14:paraId="0323046D" w14:textId="0A2AF797" w:rsidR="009D4D1C" w:rsidRPr="008B5689" w:rsidRDefault="009D4D1C" w:rsidP="007E0187">
      <w:pPr>
        <w:pStyle w:val="ListParagraph"/>
      </w:pPr>
      <w:r w:rsidRPr="003E7195">
        <w:t>A</w:t>
      </w:r>
      <w:r w:rsidR="006F2998" w:rsidRPr="003E7195">
        <w:t>t</w:t>
      </w:r>
      <w:r w:rsidRPr="003E7195">
        <w:t xml:space="preserve"> DCO1, the ORR assessed by the IRC was 2.4% in the ivosidenib arm (all partial responses), compared to an ORR of 0% in the placebo arm. </w:t>
      </w:r>
      <w:r w:rsidR="008B5689" w:rsidRPr="003E7195">
        <w:t>Before crossover, 63 of the 124 patients (50.8%) in the ivosidenib arm had stable disease compared to 17 of the 61 patients (27.9%) in the placebo arm.</w:t>
      </w:r>
      <w:r w:rsidR="008B5689">
        <w:t xml:space="preserve"> </w:t>
      </w:r>
      <w:r w:rsidR="008B5689" w:rsidRPr="003E7195">
        <w:t>Before crossover, confirmed progressive disease occurred in one-third (33.1%) of the patients in the ivosidenib arm, compared to more than half (57.4%) of the patients in the placebo arm.</w:t>
      </w:r>
    </w:p>
    <w:p w14:paraId="5E3AE827" w14:textId="3D8FACA7" w:rsidR="00E1728F" w:rsidRPr="003E7195" w:rsidRDefault="00E1728F" w:rsidP="007E0187">
      <w:pPr>
        <w:pStyle w:val="ListParagraph"/>
      </w:pPr>
      <w:r w:rsidRPr="3B93DFE9">
        <w:t xml:space="preserve">In the ClarIDHy trial, HRQoL was assessed using the European Organisation for Research and Treatment of Cancer Quality of Life Questionnaire Core 30 (EORTC QLQ-C30), the cholangiocarcinoma and gallbladder cancer module (EORTC QLQ-BIL21), </w:t>
      </w:r>
      <w:r w:rsidRPr="3B93DFE9">
        <w:lastRenderedPageBreak/>
        <w:t>Patient Global Impression (PGI) questions adapted from the National Institute of Mental Health PGI of Change (PGI-C) and Severity (PGI-S), and the 5-level EuroQoL 5-Dimension (EQ-5D-5L) (used in the economic model</w:t>
      </w:r>
      <w:r w:rsidRPr="00181B1F">
        <w:t>). The analyses were based on the period before placebo patients crossed over to open-label ivosidenib.</w:t>
      </w:r>
      <w:r w:rsidRPr="3B93DFE9">
        <w:t xml:space="preserve"> The HRQoL results focus on Cycle 2 Day 1 (C2D1) and Cycle 3 Day 1 (C3D1)</w:t>
      </w:r>
      <w:r w:rsidR="00A02171">
        <w:rPr>
          <w:rStyle w:val="FootnoteReference"/>
        </w:rPr>
        <w:footnoteReference w:id="17"/>
      </w:r>
      <w:r w:rsidRPr="3B93DFE9">
        <w:t xml:space="preserve"> </w:t>
      </w:r>
      <w:r w:rsidR="00C4397F">
        <w:t>due t</w:t>
      </w:r>
      <w:r w:rsidR="001E1378">
        <w:t>o</w:t>
      </w:r>
      <w:r w:rsidRPr="3B93DFE9">
        <w:t xml:space="preserve"> availability of data.</w:t>
      </w:r>
    </w:p>
    <w:p w14:paraId="31575DC5" w14:textId="197A782B" w:rsidR="004B1F2A" w:rsidRPr="003E7195" w:rsidRDefault="00C80AA2" w:rsidP="007E0187">
      <w:pPr>
        <w:pStyle w:val="ListParagraph"/>
      </w:pPr>
      <w:r w:rsidRPr="003E7195">
        <w:t xml:space="preserve">Based on the data from DCO2, at C2D1, patients in the ivosidenib arm had preserved scores on the QLQ-C30 physical functioning subscales which persisted to C3D1, compared with patients in the placebo arm who experienced </w:t>
      </w:r>
      <w:r w:rsidR="00FE30AE" w:rsidRPr="003E7195">
        <w:t>clinically meaningful</w:t>
      </w:r>
      <w:r w:rsidR="004A497E" w:rsidRPr="003E7195">
        <w:rPr>
          <w:rStyle w:val="FootnoteReference"/>
        </w:rPr>
        <w:footnoteReference w:id="18"/>
      </w:r>
      <w:r w:rsidR="00FE30AE" w:rsidRPr="003E7195">
        <w:t xml:space="preserve"> </w:t>
      </w:r>
      <w:r w:rsidR="00F55068" w:rsidRPr="003E7195">
        <w:t xml:space="preserve">declines (indicating worsening) </w:t>
      </w:r>
      <w:r w:rsidRPr="003E7195">
        <w:t xml:space="preserve">on the physical functioning subscale at C2D1. At C2D1, patient reported outcomes favoured ivosidenib for other QLQ-C30 subscales including emotional functioning, cognitive functioning, pain, and </w:t>
      </w:r>
      <w:r w:rsidR="00685D09" w:rsidRPr="003E7195">
        <w:t>dyspnoea</w:t>
      </w:r>
      <w:r w:rsidRPr="003E7195">
        <w:t xml:space="preserve">, as well as QLQ-BIL21 subscales including anxiety and tiredness. </w:t>
      </w:r>
      <w:r w:rsidR="004E677C" w:rsidRPr="003E7195">
        <w:t xml:space="preserve">No differences in any </w:t>
      </w:r>
      <w:r w:rsidR="00BE5772" w:rsidRPr="003E7195">
        <w:t>QLQ-C30 symptom subscale</w:t>
      </w:r>
      <w:r w:rsidR="004E677C" w:rsidRPr="003E7195">
        <w:t xml:space="preserve"> or </w:t>
      </w:r>
      <w:r w:rsidR="00BE5772" w:rsidRPr="003E7195">
        <w:t>QLQ-</w:t>
      </w:r>
      <w:r w:rsidR="004E677C" w:rsidRPr="003E7195">
        <w:t>BIL21 subscale were shown</w:t>
      </w:r>
      <w:r w:rsidR="00BE5772" w:rsidRPr="003E7195">
        <w:t xml:space="preserve"> between the two treatment arms at C3D1.</w:t>
      </w:r>
    </w:p>
    <w:p w14:paraId="282CAE6C" w14:textId="5537D687" w:rsidR="00CB126F" w:rsidRPr="003E7195" w:rsidRDefault="00057A8C" w:rsidP="007E0187">
      <w:pPr>
        <w:pStyle w:val="ListParagraph"/>
      </w:pPr>
      <w:r w:rsidRPr="3B93DFE9">
        <w:t xml:space="preserve">At C3D1, ivosidenib patients had </w:t>
      </w:r>
      <w:r w:rsidR="0096213A" w:rsidRPr="3B93DFE9">
        <w:t>better self-perceived health status. M</w:t>
      </w:r>
      <w:r w:rsidRPr="3B93DFE9">
        <w:t>ean (</w:t>
      </w:r>
      <w:r w:rsidR="00824E76" w:rsidRPr="3B93DFE9">
        <w:t>standard deviation [</w:t>
      </w:r>
      <w:r w:rsidRPr="3B93DFE9">
        <w:t>SD</w:t>
      </w:r>
      <w:r w:rsidR="00824E76" w:rsidRPr="3B93DFE9">
        <w:t>]</w:t>
      </w:r>
      <w:r w:rsidRPr="3B93DFE9">
        <w:t>) score change</w:t>
      </w:r>
      <w:r w:rsidR="0096213A" w:rsidRPr="3B93DFE9">
        <w:t xml:space="preserve"> from baseline</w:t>
      </w:r>
      <w:r w:rsidRPr="3B93DFE9">
        <w:t xml:space="preserve"> in EQ-5D-5L Visual Analogue Scale (VAS) </w:t>
      </w:r>
      <w:r w:rsidR="0096213A" w:rsidRPr="3B93DFE9">
        <w:t>for ivosidenib patients was 4.6 (14.4) compared to -2.8 (8.3) for placebo patients</w:t>
      </w:r>
      <w:r w:rsidR="00824E76" w:rsidRPr="3B93DFE9">
        <w:t>, with a higher score indicating a better health status</w:t>
      </w:r>
      <w:r w:rsidR="0096213A" w:rsidRPr="3B93DFE9">
        <w:t xml:space="preserve">. Results of descriptive responses in EQ-5D-5L aligned with the results from the EORTC questionnaires in terms of physical and emotional functioning. </w:t>
      </w:r>
      <w:r w:rsidR="00001EEA" w:rsidRPr="3B93DFE9">
        <w:t>In</w:t>
      </w:r>
      <w:r w:rsidR="0096213A" w:rsidRPr="3B93DFE9">
        <w:t xml:space="preserve"> the mobility </w:t>
      </w:r>
      <w:r w:rsidR="00001EEA" w:rsidRPr="3B93DFE9">
        <w:t xml:space="preserve">dimension, </w:t>
      </w:r>
      <w:r w:rsidR="00824E76" w:rsidRPr="3B93DFE9">
        <w:t xml:space="preserve">the proportion of patients with no problems or slight problems at baseline was similar between arms (ivosidenib </w:t>
      </w:r>
      <w:r w:rsidR="00824E76" w:rsidRPr="3B93DFE9">
        <w:rPr>
          <w:i/>
          <w:iCs/>
        </w:rPr>
        <w:t xml:space="preserve">vs </w:t>
      </w:r>
      <w:r w:rsidR="00824E76" w:rsidRPr="3B93DFE9">
        <w:t xml:space="preserve">placebo: </w:t>
      </w:r>
      <w:r w:rsidR="009D4D1C" w:rsidRPr="3B93DFE9">
        <w:t xml:space="preserve">79.4% </w:t>
      </w:r>
      <w:r w:rsidR="009D4D1C" w:rsidRPr="3B93DFE9">
        <w:rPr>
          <w:i/>
          <w:iCs/>
        </w:rPr>
        <w:t xml:space="preserve">vs. </w:t>
      </w:r>
      <w:r w:rsidR="009D4D1C" w:rsidRPr="3B93DFE9">
        <w:t>84.3%)</w:t>
      </w:r>
      <w:r w:rsidR="00824E76" w:rsidRPr="3B93DFE9">
        <w:t xml:space="preserve">, but by C3D1, a higher proportion of </w:t>
      </w:r>
      <w:r w:rsidR="009D4D1C" w:rsidRPr="3B93DFE9">
        <w:t>patients</w:t>
      </w:r>
      <w:r w:rsidR="00824E76" w:rsidRPr="3B93DFE9">
        <w:t xml:space="preserve"> in the ivosidenib </w:t>
      </w:r>
      <w:r w:rsidR="53A85286" w:rsidRPr="3B93DFE9">
        <w:t xml:space="preserve">arm </w:t>
      </w:r>
      <w:r w:rsidR="00824E76" w:rsidRPr="3B93DFE9">
        <w:t xml:space="preserve">had no/slight problems </w:t>
      </w:r>
      <w:r w:rsidR="009D4D1C" w:rsidRPr="3B93DFE9">
        <w:t xml:space="preserve">than in the </w:t>
      </w:r>
      <w:r w:rsidR="00824E76" w:rsidRPr="3B93DFE9">
        <w:t xml:space="preserve">placebo </w:t>
      </w:r>
      <w:r w:rsidR="752CFA39" w:rsidRPr="3B93DFE9">
        <w:t xml:space="preserve">arm </w:t>
      </w:r>
      <w:r w:rsidR="009D4D1C" w:rsidRPr="3B93DFE9">
        <w:t xml:space="preserve">(81.0% </w:t>
      </w:r>
      <w:r w:rsidR="009D4D1C" w:rsidRPr="3B93DFE9">
        <w:rPr>
          <w:i/>
          <w:iCs/>
        </w:rPr>
        <w:t xml:space="preserve">vs. </w:t>
      </w:r>
      <w:r w:rsidR="009D4D1C" w:rsidRPr="3B93DFE9">
        <w:t>60.0</w:t>
      </w:r>
      <w:r w:rsidR="00191A15" w:rsidRPr="3B93DFE9">
        <w:t>%</w:t>
      </w:r>
      <w:r w:rsidR="009D4D1C" w:rsidRPr="3B93DFE9">
        <w:t>)</w:t>
      </w:r>
      <w:r w:rsidR="00001EEA" w:rsidRPr="3B93DFE9">
        <w:t xml:space="preserve">. </w:t>
      </w:r>
      <w:r w:rsidR="009D4D1C" w:rsidRPr="3B93DFE9">
        <w:t xml:space="preserve">Similarly, for </w:t>
      </w:r>
      <w:r w:rsidR="00191A15" w:rsidRPr="3B93DFE9">
        <w:t xml:space="preserve">the </w:t>
      </w:r>
      <w:r w:rsidR="00D17565" w:rsidRPr="3B93DFE9">
        <w:t xml:space="preserve">anxiety/depression dimension, </w:t>
      </w:r>
      <w:r w:rsidR="009D4D1C" w:rsidRPr="3B93DFE9">
        <w:t xml:space="preserve">the proportion of patients </w:t>
      </w:r>
      <w:r w:rsidR="00AD2C83" w:rsidRPr="3B93DFE9">
        <w:t xml:space="preserve">reporting </w:t>
      </w:r>
      <w:r w:rsidR="009D4D1C" w:rsidRPr="3B93DFE9">
        <w:t>not anxious</w:t>
      </w:r>
      <w:r w:rsidR="00AD2C83" w:rsidRPr="3B93DFE9">
        <w:t>/</w:t>
      </w:r>
      <w:r w:rsidR="009D4D1C" w:rsidRPr="3B93DFE9">
        <w:t>depressed or slightly anxious</w:t>
      </w:r>
      <w:r w:rsidR="00AD2C83" w:rsidRPr="3B93DFE9">
        <w:t>/</w:t>
      </w:r>
      <w:r w:rsidR="009D4D1C" w:rsidRPr="3B93DFE9">
        <w:t xml:space="preserve">depressed at baseline was comparable between arms (83.2% </w:t>
      </w:r>
      <w:r w:rsidR="009D4D1C" w:rsidRPr="3B93DFE9">
        <w:rPr>
          <w:i/>
          <w:iCs/>
        </w:rPr>
        <w:t xml:space="preserve">vs. </w:t>
      </w:r>
      <w:r w:rsidR="009D4D1C" w:rsidRPr="3B93DFE9">
        <w:t>78.5%)</w:t>
      </w:r>
      <w:r w:rsidR="00AD2C83" w:rsidRPr="3B93DFE9">
        <w:t>. However,</w:t>
      </w:r>
      <w:r w:rsidR="009D4D1C" w:rsidRPr="3B93DFE9">
        <w:t xml:space="preserve"> by C3D1, more ivosidenib patients </w:t>
      </w:r>
      <w:r w:rsidR="00AD2C83" w:rsidRPr="3B93DFE9">
        <w:t>reported</w:t>
      </w:r>
      <w:r w:rsidR="009D4D1C" w:rsidRPr="3B93DFE9">
        <w:t xml:space="preserve"> not</w:t>
      </w:r>
      <w:r w:rsidR="00AD2C83" w:rsidRPr="3B93DFE9">
        <w:t xml:space="preserve"> or </w:t>
      </w:r>
      <w:r w:rsidR="009D4D1C" w:rsidRPr="3B93DFE9">
        <w:t>slightly anxious</w:t>
      </w:r>
      <w:r w:rsidR="00AD2C83" w:rsidRPr="3B93DFE9">
        <w:t>/</w:t>
      </w:r>
      <w:r w:rsidR="009D4D1C" w:rsidRPr="3B93DFE9">
        <w:t xml:space="preserve">depressed, compared to placebo patients (93.9% </w:t>
      </w:r>
      <w:r w:rsidR="009D4D1C" w:rsidRPr="3B93DFE9">
        <w:rPr>
          <w:i/>
          <w:iCs/>
        </w:rPr>
        <w:t xml:space="preserve">vs. </w:t>
      </w:r>
      <w:r w:rsidR="009D4D1C" w:rsidRPr="3B93DFE9">
        <w:t>60.0%).</w:t>
      </w:r>
    </w:p>
    <w:p w14:paraId="236D1647" w14:textId="6F75D213" w:rsidR="00140F5C" w:rsidRPr="00F23925" w:rsidRDefault="00140F5C" w:rsidP="007E0187">
      <w:pPr>
        <w:pStyle w:val="ListParagraph"/>
      </w:pPr>
      <w:r w:rsidRPr="00F23925">
        <w:t xml:space="preserve">The HRQoL findings appear inconsistent with the adverse event </w:t>
      </w:r>
      <w:r w:rsidR="004E677C" w:rsidRPr="00F23925">
        <w:t xml:space="preserve">(AE) </w:t>
      </w:r>
      <w:r w:rsidRPr="00F23925">
        <w:t xml:space="preserve">profile of ivosidenib relative to placebo. </w:t>
      </w:r>
      <w:r w:rsidR="3AE7EB72" w:rsidRPr="00F23925">
        <w:t xml:space="preserve">One </w:t>
      </w:r>
      <w:r w:rsidR="407EEDFF" w:rsidRPr="00F23925">
        <w:t>p</w:t>
      </w:r>
      <w:r w:rsidR="00112D9C" w:rsidRPr="00F23925">
        <w:t>ossible reason is that</w:t>
      </w:r>
      <w:r w:rsidRPr="00F23925">
        <w:t xml:space="preserve"> </w:t>
      </w:r>
      <w:r w:rsidR="004E677C" w:rsidRPr="00F23925">
        <w:t>AE</w:t>
      </w:r>
      <w:r w:rsidRPr="00F23925">
        <w:t xml:space="preserve">s were well managed by treating clinicians </w:t>
      </w:r>
      <w:r w:rsidR="00E115A7" w:rsidRPr="00F23925">
        <w:t>and therefore</w:t>
      </w:r>
      <w:r w:rsidRPr="00F23925">
        <w:t xml:space="preserve"> did not</w:t>
      </w:r>
      <w:r w:rsidR="00112D9C" w:rsidRPr="00F23925">
        <w:t xml:space="preserve"> affect</w:t>
      </w:r>
      <w:r w:rsidRPr="00F23925">
        <w:t xml:space="preserve"> quality of life. Alternatively, the HRQoL </w:t>
      </w:r>
      <w:r w:rsidR="000D5FF6" w:rsidRPr="00F23925">
        <w:t xml:space="preserve">measures </w:t>
      </w:r>
      <w:r w:rsidR="004E677C" w:rsidRPr="00F23925">
        <w:t>may not be sensitive</w:t>
      </w:r>
      <w:r w:rsidR="00112D9C" w:rsidRPr="00F23925">
        <w:t xml:space="preserve"> enough</w:t>
      </w:r>
      <w:r w:rsidR="004E677C" w:rsidRPr="00F23925">
        <w:t xml:space="preserve"> to capture AEs</w:t>
      </w:r>
      <w:r w:rsidR="00112D9C" w:rsidRPr="00F23925">
        <w:t xml:space="preserve"> that are</w:t>
      </w:r>
      <w:r w:rsidR="004E677C" w:rsidRPr="00F23925">
        <w:t xml:space="preserve"> associated with ivosidenib</w:t>
      </w:r>
      <w:r w:rsidR="00112D9C" w:rsidRPr="00F23925">
        <w:t xml:space="preserve"> treatment</w:t>
      </w:r>
      <w:r w:rsidR="004E677C" w:rsidRPr="00F23925">
        <w:t>.</w:t>
      </w:r>
      <w:r w:rsidR="00D51D1D" w:rsidRPr="00F23925">
        <w:t xml:space="preserve"> </w:t>
      </w:r>
      <w:bookmarkStart w:id="32" w:name="_Ref173826102"/>
      <w:r w:rsidR="00F23925">
        <w:t>In addition, l</w:t>
      </w:r>
      <w:r w:rsidR="003013D7" w:rsidRPr="00F23925">
        <w:t xml:space="preserve">imited </w:t>
      </w:r>
      <w:r w:rsidR="003013D7" w:rsidRPr="00F23925">
        <w:rPr>
          <w:szCs w:val="24"/>
        </w:rPr>
        <w:t>data were available for HRQoL outcome analyses</w:t>
      </w:r>
      <w:r w:rsidR="003E0D10" w:rsidRPr="00F23925">
        <w:rPr>
          <w:szCs w:val="24"/>
        </w:rPr>
        <w:t xml:space="preserve">. </w:t>
      </w:r>
      <w:r w:rsidR="0070714C" w:rsidRPr="00F23925">
        <w:rPr>
          <w:szCs w:val="24"/>
        </w:rPr>
        <w:t>T</w:t>
      </w:r>
      <w:r w:rsidR="003E0D10" w:rsidRPr="00F23925">
        <w:rPr>
          <w:szCs w:val="24"/>
        </w:rPr>
        <w:t xml:space="preserve">he assessment of change in </w:t>
      </w:r>
      <w:r w:rsidR="00C62A56" w:rsidRPr="00F23925">
        <w:rPr>
          <w:szCs w:val="24"/>
        </w:rPr>
        <w:t>EQ-5D-5L VAS from baseline to C3D1 to end of treatment</w:t>
      </w:r>
      <w:r w:rsidR="003E0D10" w:rsidRPr="00F23925">
        <w:rPr>
          <w:szCs w:val="24"/>
        </w:rPr>
        <w:t xml:space="preserve"> was based on </w:t>
      </w:r>
      <w:r w:rsidR="001C42F7" w:rsidRPr="00F23925">
        <w:rPr>
          <w:szCs w:val="24"/>
        </w:rPr>
        <w:t xml:space="preserve">38 (35.5%) and 8 (15.7%) patients in the ivosidenib and placebo arms, respectively. </w:t>
      </w:r>
      <w:r w:rsidR="0070714C" w:rsidRPr="00F23925">
        <w:rPr>
          <w:szCs w:val="24"/>
        </w:rPr>
        <w:t xml:space="preserve">At C3D1, data from 9 placebo patients and 50 ivosidenib patients was available for QLQ-C30; data from 9 placebo patients and 48 ivosidenib </w:t>
      </w:r>
      <w:r w:rsidR="0070714C" w:rsidRPr="00F23925">
        <w:rPr>
          <w:szCs w:val="24"/>
        </w:rPr>
        <w:lastRenderedPageBreak/>
        <w:t>patients was available for QLQ</w:t>
      </w:r>
      <w:r w:rsidR="00E33731" w:rsidRPr="00F23925">
        <w:rPr>
          <w:szCs w:val="24"/>
        </w:rPr>
        <w:noBreakHyphen/>
      </w:r>
      <w:r w:rsidR="0070714C" w:rsidRPr="00F23925">
        <w:rPr>
          <w:szCs w:val="24"/>
        </w:rPr>
        <w:t>BIL21.</w:t>
      </w:r>
      <w:r w:rsidR="00E33731" w:rsidRPr="00F23925">
        <w:rPr>
          <w:szCs w:val="24"/>
        </w:rPr>
        <w:t xml:space="preserve"> </w:t>
      </w:r>
      <w:r w:rsidR="001C42F7" w:rsidRPr="00F23925">
        <w:rPr>
          <w:szCs w:val="24"/>
        </w:rPr>
        <w:t>Therefore,</w:t>
      </w:r>
      <w:r w:rsidR="00C12F94" w:rsidRPr="00F23925">
        <w:rPr>
          <w:szCs w:val="24"/>
        </w:rPr>
        <w:t xml:space="preserve"> t</w:t>
      </w:r>
      <w:r w:rsidR="00E115A7" w:rsidRPr="00F23925">
        <w:rPr>
          <w:szCs w:val="24"/>
        </w:rPr>
        <w:t>he</w:t>
      </w:r>
      <w:r w:rsidR="004E677C" w:rsidRPr="00F23925">
        <w:t xml:space="preserve"> results of HRQoL </w:t>
      </w:r>
      <w:r w:rsidR="00112D9C" w:rsidRPr="00F23925">
        <w:t>measurement</w:t>
      </w:r>
      <w:r w:rsidR="004E677C" w:rsidRPr="00F23925">
        <w:t xml:space="preserve"> </w:t>
      </w:r>
      <w:r w:rsidR="00112D9C" w:rsidRPr="00F23925">
        <w:t xml:space="preserve">in </w:t>
      </w:r>
      <w:r w:rsidR="004E677C" w:rsidRPr="00F23925">
        <w:t>the trial should be interpreted with caution.</w:t>
      </w:r>
      <w:bookmarkEnd w:id="32"/>
      <w:r w:rsidR="004E677C" w:rsidRPr="00F23925">
        <w:t xml:space="preserve"> </w:t>
      </w:r>
    </w:p>
    <w:p w14:paraId="26F2807E" w14:textId="3F9F17A3" w:rsidR="00295796" w:rsidRPr="003E7195" w:rsidRDefault="00295796" w:rsidP="00295796">
      <w:pPr>
        <w:pStyle w:val="COMH3"/>
        <w:spacing w:after="120"/>
        <w:outlineLvl w:val="2"/>
        <w:rPr>
          <w:color w:val="0D0D0D" w:themeColor="text1" w:themeTint="F2"/>
          <w:sz w:val="24"/>
          <w:szCs w:val="22"/>
        </w:rPr>
      </w:pPr>
      <w:r w:rsidRPr="003E7195">
        <w:rPr>
          <w:color w:val="0D0D0D" w:themeColor="text1" w:themeTint="F2"/>
          <w:sz w:val="24"/>
          <w:szCs w:val="22"/>
        </w:rPr>
        <w:t>Indirect comparison of ivosidenib versus FOLFOX</w:t>
      </w:r>
    </w:p>
    <w:p w14:paraId="13540A33" w14:textId="36116B8B" w:rsidR="00150D1B" w:rsidRPr="00181B1F" w:rsidRDefault="00FF6B2B" w:rsidP="007E0187">
      <w:pPr>
        <w:pStyle w:val="ListParagraph"/>
      </w:pPr>
      <w:r w:rsidRPr="003E7195">
        <w:t xml:space="preserve">ITCs of ivosidenib </w:t>
      </w:r>
      <w:r w:rsidRPr="003E7195">
        <w:rPr>
          <w:i/>
          <w:iCs/>
        </w:rPr>
        <w:t>versus</w:t>
      </w:r>
      <w:r w:rsidRPr="003E7195">
        <w:t xml:space="preserve"> FOLFOX were performed based on the ClarIDHy trial (ivosidenib + BSC </w:t>
      </w:r>
      <w:r w:rsidRPr="003E7195">
        <w:rPr>
          <w:i/>
          <w:iCs/>
        </w:rPr>
        <w:t>vs</w:t>
      </w:r>
      <w:r w:rsidRPr="003E7195">
        <w:t xml:space="preserve">. placebo + BSC) and the ABC-06 trial (FOLFOX + active symptom control (ASC) vs. ASC alone). </w:t>
      </w:r>
      <w:r w:rsidRPr="00181B1F">
        <w:t>T</w:t>
      </w:r>
      <w:r w:rsidR="00150D1B" w:rsidRPr="00181B1F">
        <w:t xml:space="preserve">here are key differences in patient characteristics between the two trial populations </w:t>
      </w:r>
      <w:r w:rsidR="004F6A75" w:rsidRPr="00181B1F">
        <w:t>in terms of</w:t>
      </w:r>
      <w:r w:rsidR="00150D1B" w:rsidRPr="00181B1F">
        <w:t>:</w:t>
      </w:r>
    </w:p>
    <w:p w14:paraId="3CB53CCF" w14:textId="5B4986BD" w:rsidR="00150D1B" w:rsidRPr="00181B1F" w:rsidRDefault="00150D1B" w:rsidP="00B416F4">
      <w:pPr>
        <w:pStyle w:val="ListParagraph"/>
        <w:numPr>
          <w:ilvl w:val="0"/>
          <w:numId w:val="17"/>
        </w:numPr>
        <w:ind w:left="1134"/>
      </w:pPr>
      <w:r w:rsidRPr="00181B1F">
        <w:rPr>
          <w:i/>
          <w:iCs/>
        </w:rPr>
        <w:t>IDH1</w:t>
      </w:r>
      <w:r w:rsidRPr="00181B1F">
        <w:t xml:space="preserve"> variant status: </w:t>
      </w:r>
      <w:r w:rsidR="00FF6B2B" w:rsidRPr="00181B1F">
        <w:t xml:space="preserve">all </w:t>
      </w:r>
      <w:r w:rsidRPr="00181B1F">
        <w:t>positive in the ClarIDHy trial versus all unknown status in the ABC-06 trial;</w:t>
      </w:r>
    </w:p>
    <w:p w14:paraId="246E9228" w14:textId="77777777" w:rsidR="00150D1B" w:rsidRPr="00181B1F" w:rsidRDefault="00150D1B" w:rsidP="00B416F4">
      <w:pPr>
        <w:pStyle w:val="ListParagraph"/>
        <w:numPr>
          <w:ilvl w:val="0"/>
          <w:numId w:val="17"/>
        </w:numPr>
        <w:ind w:left="1134"/>
      </w:pPr>
      <w:r w:rsidRPr="00181B1F">
        <w:t xml:space="preserve">CCA tumour site: 91% iCCA and 1% eCCA in the ClarIDHy trial versus 44% iCCA and 28% eCCA in the ABC-06 trial; </w:t>
      </w:r>
    </w:p>
    <w:p w14:paraId="12A340CE" w14:textId="1A8CBE55" w:rsidR="00150D1B" w:rsidRPr="00181B1F" w:rsidRDefault="00150D1B" w:rsidP="00B416F4">
      <w:pPr>
        <w:pStyle w:val="ListParagraph"/>
        <w:numPr>
          <w:ilvl w:val="0"/>
          <w:numId w:val="17"/>
        </w:numPr>
        <w:ind w:left="1134"/>
      </w:pPr>
      <w:r w:rsidRPr="00181B1F">
        <w:t xml:space="preserve">Metastatic disease: 93% in the ClarIDHy trial versus 82% in the ABC-06 trial; and </w:t>
      </w:r>
    </w:p>
    <w:p w14:paraId="426FFE3A" w14:textId="4745E7D0" w:rsidR="00AC5F3C" w:rsidRPr="00181B1F" w:rsidRDefault="00150D1B" w:rsidP="00B416F4">
      <w:pPr>
        <w:pStyle w:val="InstructionalText"/>
        <w:numPr>
          <w:ilvl w:val="0"/>
          <w:numId w:val="17"/>
        </w:numPr>
        <w:spacing w:after="120"/>
        <w:ind w:left="1134" w:hanging="357"/>
        <w:rPr>
          <w:color w:val="0D0D0D" w:themeColor="text1" w:themeTint="F2"/>
        </w:rPr>
      </w:pPr>
      <w:r w:rsidRPr="00181B1F">
        <w:rPr>
          <w:color w:val="0D0D0D" w:themeColor="text1" w:themeTint="F2"/>
        </w:rPr>
        <w:t xml:space="preserve">Prior line </w:t>
      </w:r>
      <w:r w:rsidR="00B8152E" w:rsidRPr="00181B1F">
        <w:rPr>
          <w:color w:val="0D0D0D" w:themeColor="text1" w:themeTint="F2"/>
        </w:rPr>
        <w:t xml:space="preserve">of </w:t>
      </w:r>
      <w:r w:rsidRPr="00181B1F">
        <w:rPr>
          <w:color w:val="0D0D0D" w:themeColor="text1" w:themeTint="F2"/>
        </w:rPr>
        <w:t xml:space="preserve">treatment: 54% one prior line and 46% two prior lines in the ClarIDHy trial versus 100% one prior line in the ABC-06 trial. </w:t>
      </w:r>
    </w:p>
    <w:p w14:paraId="3B320412" w14:textId="21685A5F" w:rsidR="00AC5F3C" w:rsidRPr="00181B1F" w:rsidRDefault="00AC5F3C" w:rsidP="00B416F4">
      <w:pPr>
        <w:pStyle w:val="InstructionalText"/>
        <w:spacing w:after="120" w:line="276" w:lineRule="auto"/>
        <w:ind w:left="709"/>
        <w:rPr>
          <w:color w:val="0D0D0D" w:themeColor="text1" w:themeTint="F2"/>
        </w:rPr>
      </w:pPr>
      <w:r w:rsidRPr="00181B1F">
        <w:rPr>
          <w:color w:val="0D0D0D" w:themeColor="text1" w:themeTint="F2"/>
        </w:rPr>
        <w:t>The ClarIDHy and ABC-06 trial were also not comparable in terms of:</w:t>
      </w:r>
    </w:p>
    <w:p w14:paraId="2020ECEF" w14:textId="434BE795" w:rsidR="00AC5F3C" w:rsidRPr="00181B1F" w:rsidRDefault="00AC5F3C" w:rsidP="00B416F4">
      <w:pPr>
        <w:pStyle w:val="ListParagraph"/>
        <w:numPr>
          <w:ilvl w:val="0"/>
          <w:numId w:val="17"/>
        </w:numPr>
        <w:ind w:left="1134"/>
      </w:pPr>
      <w:r w:rsidRPr="00181B1F">
        <w:t>Trial design: double-blinded design for the ClarIDHy trial versus open-label design for the ABC-06 trial;</w:t>
      </w:r>
    </w:p>
    <w:p w14:paraId="1AF643F7" w14:textId="4C2330CD" w:rsidR="00AC5F3C" w:rsidRPr="00181B1F" w:rsidRDefault="00AC5F3C" w:rsidP="00B416F4">
      <w:pPr>
        <w:pStyle w:val="ListParagraph"/>
        <w:numPr>
          <w:ilvl w:val="0"/>
          <w:numId w:val="17"/>
        </w:numPr>
        <w:ind w:left="1134"/>
      </w:pPr>
      <w:r w:rsidRPr="00181B1F">
        <w:t xml:space="preserve">Frequency of radiologic tumour </w:t>
      </w:r>
      <w:r w:rsidR="00DC5CF3">
        <w:t>commentary</w:t>
      </w:r>
      <w:r w:rsidRPr="00181B1F">
        <w:t>: every 6 weeks for the first 48 weeks and every 8 weeks thereafter in the ClarIDHy trial versus 12 weeks after the start of FOLFOX, at the end of the treatment, and every 3 months thereafter until documentation of disease progression in the ABC-06 trial; and</w:t>
      </w:r>
    </w:p>
    <w:p w14:paraId="6AFB936C" w14:textId="73EFF45C" w:rsidR="00AC5F3C" w:rsidRPr="00181B1F" w:rsidRDefault="00AC5F3C" w:rsidP="00B416F4">
      <w:pPr>
        <w:pStyle w:val="ListParagraph"/>
        <w:numPr>
          <w:ilvl w:val="0"/>
          <w:numId w:val="17"/>
        </w:numPr>
        <w:ind w:left="1134"/>
      </w:pPr>
      <w:r w:rsidRPr="00181B1F">
        <w:t>Median follow-up: 6.9 months at DCO 1 (January 2019) for PFS and 20.5-24.4 months at DCO 2 (May 2020) for OS in the ClarIDHy trial versus 21.7 months in the ABC-06 trial.</w:t>
      </w:r>
    </w:p>
    <w:p w14:paraId="03184D4E" w14:textId="58BB6514" w:rsidR="00B8152E" w:rsidRPr="003E7195" w:rsidRDefault="00B8152E" w:rsidP="007E0187">
      <w:pPr>
        <w:pStyle w:val="ListParagraph"/>
      </w:pPr>
      <w:r w:rsidRPr="003E7195">
        <w:t xml:space="preserve">The submission performed a matching-adjusted indirect </w:t>
      </w:r>
      <w:r w:rsidR="00140F5C" w:rsidRPr="003E7195">
        <w:t xml:space="preserve">treatment </w:t>
      </w:r>
      <w:r w:rsidRPr="003E7195">
        <w:t xml:space="preserve">comparison (MAIC) for ivosidenib </w:t>
      </w:r>
      <w:r w:rsidRPr="003E7195">
        <w:rPr>
          <w:i/>
          <w:iCs/>
        </w:rPr>
        <w:t>versus</w:t>
      </w:r>
      <w:r w:rsidRPr="003E7195">
        <w:t xml:space="preserve"> FOLFOX, using statistical weights to balance patient characteristics from ClarIDHy with those from ABC-06. </w:t>
      </w:r>
      <w:r w:rsidR="00BB6423" w:rsidRPr="003E7195">
        <w:t xml:space="preserve">An anchored MAIC was used for OS, via BSC as the common reference. </w:t>
      </w:r>
      <w:r w:rsidRPr="003E7195">
        <w:t xml:space="preserve">Due to the lack of PFS data in the ASC only arm </w:t>
      </w:r>
      <w:r w:rsidR="00396404" w:rsidRPr="003E7195">
        <w:t>in</w:t>
      </w:r>
      <w:r w:rsidRPr="003E7195">
        <w:t xml:space="preserve"> the ABC-06 trial, an unanchored MAIC was used for PFS</w:t>
      </w:r>
      <w:r w:rsidR="00396404" w:rsidRPr="003E7195">
        <w:t xml:space="preserve">. </w:t>
      </w:r>
      <w:r w:rsidRPr="003E7195">
        <w:t xml:space="preserve">The MAIC base case analysis included patient’s age, gender, performance status, previous line of treatment and extent of disease at screening as covariates for the matching. </w:t>
      </w:r>
      <w:r w:rsidR="00140F5C" w:rsidRPr="003E7195">
        <w:t xml:space="preserve">The </w:t>
      </w:r>
      <w:r w:rsidR="00F82848" w:rsidRPr="003E7195">
        <w:t xml:space="preserve">Bucher method (unmatched anchored ITC) and </w:t>
      </w:r>
      <w:r w:rsidR="007D3155" w:rsidRPr="003E7195">
        <w:t>unmatche</w:t>
      </w:r>
      <w:r w:rsidR="00517D5E" w:rsidRPr="003E7195">
        <w:t>d</w:t>
      </w:r>
      <w:r w:rsidR="007D3155" w:rsidRPr="003E7195">
        <w:t xml:space="preserve"> </w:t>
      </w:r>
      <w:r w:rsidR="00F82848" w:rsidRPr="003E7195">
        <w:t xml:space="preserve">unanchored </w:t>
      </w:r>
      <w:r w:rsidR="007D3155" w:rsidRPr="003E7195">
        <w:t xml:space="preserve">ITC were also used for OS and PFS, respectively. The ITC results are summarised in </w:t>
      </w:r>
      <w:r w:rsidR="007D3155" w:rsidRPr="003E7195">
        <w:fldChar w:fldCharType="begin" w:fldLock="1"/>
      </w:r>
      <w:r w:rsidR="007D3155" w:rsidRPr="003E7195">
        <w:instrText xml:space="preserve"> REF _Ref164117035 \h </w:instrText>
      </w:r>
      <w:r w:rsidR="007D3155" w:rsidRPr="003E7195">
        <w:fldChar w:fldCharType="separate"/>
      </w:r>
      <w:r w:rsidR="00CB6594" w:rsidRPr="3B93DFE9">
        <w:t xml:space="preserve">Table </w:t>
      </w:r>
      <w:r w:rsidR="00CB6594">
        <w:rPr>
          <w:noProof/>
        </w:rPr>
        <w:t>8</w:t>
      </w:r>
      <w:r w:rsidR="007D3155" w:rsidRPr="003E7195">
        <w:fldChar w:fldCharType="end"/>
      </w:r>
      <w:r w:rsidR="007D3155" w:rsidRPr="003E7195">
        <w:t>.</w:t>
      </w:r>
    </w:p>
    <w:p w14:paraId="3FE57723" w14:textId="37997583" w:rsidR="00517D5E" w:rsidRPr="003E7195" w:rsidRDefault="00517D5E" w:rsidP="00B15EA6">
      <w:pPr>
        <w:pStyle w:val="Caption"/>
      </w:pPr>
      <w:bookmarkStart w:id="33" w:name="_Ref164117035"/>
      <w:r w:rsidRPr="3B93DFE9">
        <w:lastRenderedPageBreak/>
        <w:t xml:space="preserve">Table </w:t>
      </w:r>
      <w:r w:rsidR="00841FC2">
        <w:fldChar w:fldCharType="begin" w:fldLock="1"/>
      </w:r>
      <w:r w:rsidR="00841FC2">
        <w:instrText xml:space="preserve"> SEQ Table_PBAC. \* ARABIC </w:instrText>
      </w:r>
      <w:r w:rsidR="00841FC2">
        <w:fldChar w:fldCharType="separate"/>
      </w:r>
      <w:r w:rsidR="00CB6594">
        <w:rPr>
          <w:noProof/>
        </w:rPr>
        <w:t>8</w:t>
      </w:r>
      <w:r w:rsidR="00841FC2">
        <w:fldChar w:fldCharType="end"/>
      </w:r>
      <w:bookmarkEnd w:id="33"/>
      <w:r w:rsidR="00B416F4">
        <w:t>:</w:t>
      </w:r>
      <w:r w:rsidR="009A54C0" w:rsidRPr="3B93DFE9">
        <w:t xml:space="preserve"> </w:t>
      </w:r>
      <w:r w:rsidRPr="3B93DFE9">
        <w:t>Key results of ITCs for ivosidenib vs. FOLFOX</w:t>
      </w:r>
    </w:p>
    <w:tbl>
      <w:tblPr>
        <w:tblStyle w:val="TableSimple1"/>
        <w:tblW w:w="5000" w:type="pct"/>
        <w:tblBorders>
          <w:left w:val="single" w:sz="4" w:space="0" w:color="auto"/>
          <w:right w:val="single" w:sz="4" w:space="0" w:color="auto"/>
          <w:insideV w:val="single" w:sz="4" w:space="0" w:color="auto"/>
        </w:tblBorders>
        <w:tblLook w:val="04A0" w:firstRow="1" w:lastRow="0" w:firstColumn="1" w:lastColumn="0" w:noHBand="0" w:noVBand="1"/>
        <w:tblCaption w:val="Table 8: Key results of ITCs for ivosidenib vs. FOLFOX"/>
      </w:tblPr>
      <w:tblGrid>
        <w:gridCol w:w="2547"/>
        <w:gridCol w:w="2327"/>
        <w:gridCol w:w="2353"/>
        <w:gridCol w:w="1789"/>
      </w:tblGrid>
      <w:tr w:rsidR="003E7195" w:rsidRPr="003E7195" w14:paraId="12154497" w14:textId="77777777" w:rsidTr="00B15EA6">
        <w:trPr>
          <w:cnfStyle w:val="100000000000" w:firstRow="1" w:lastRow="0" w:firstColumn="0" w:lastColumn="0" w:oddVBand="0" w:evenVBand="0" w:oddHBand="0" w:evenHBand="0" w:firstRowFirstColumn="0" w:firstRowLastColumn="0" w:lastRowFirstColumn="0" w:lastRowLastColumn="0"/>
        </w:trPr>
        <w:tc>
          <w:tcPr>
            <w:tcW w:w="1412" w:type="pct"/>
            <w:vAlign w:val="center"/>
          </w:tcPr>
          <w:p w14:paraId="6118459E" w14:textId="77777777" w:rsidR="00517D5E" w:rsidRPr="003E7195" w:rsidRDefault="00517D5E" w:rsidP="00B15EA6">
            <w:pPr>
              <w:pStyle w:val="TableText"/>
              <w:keepNext/>
              <w:keepLines/>
              <w:widowControl/>
              <w:rPr>
                <w:b/>
                <w:bCs/>
                <w:color w:val="0D0D0D" w:themeColor="text1" w:themeTint="F2"/>
              </w:rPr>
            </w:pPr>
            <w:r w:rsidRPr="3B93DFE9">
              <w:rPr>
                <w:b/>
                <w:bCs/>
                <w:color w:val="0D0D0D" w:themeColor="text1" w:themeTint="F2"/>
              </w:rPr>
              <w:t>OS</w:t>
            </w:r>
          </w:p>
        </w:tc>
        <w:tc>
          <w:tcPr>
            <w:tcW w:w="1290" w:type="pct"/>
            <w:vAlign w:val="center"/>
          </w:tcPr>
          <w:p w14:paraId="7B33984F"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Intervention</w:t>
            </w:r>
          </w:p>
          <w:p w14:paraId="05670DB5"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Median, months (95% CI)</w:t>
            </w:r>
          </w:p>
        </w:tc>
        <w:tc>
          <w:tcPr>
            <w:tcW w:w="1305" w:type="pct"/>
            <w:vAlign w:val="center"/>
          </w:tcPr>
          <w:p w14:paraId="5D8587BC"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BSC (common reference)</w:t>
            </w:r>
          </w:p>
          <w:p w14:paraId="66B50CDD"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Median, months (95% CI)</w:t>
            </w:r>
          </w:p>
        </w:tc>
        <w:tc>
          <w:tcPr>
            <w:tcW w:w="992" w:type="pct"/>
            <w:vAlign w:val="center"/>
          </w:tcPr>
          <w:p w14:paraId="4ABB64C2"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HR (95%CI)</w:t>
            </w:r>
          </w:p>
        </w:tc>
      </w:tr>
      <w:tr w:rsidR="003E7195" w:rsidRPr="003E7195" w14:paraId="1D16E1AA" w14:textId="77777777" w:rsidTr="00B15EA6">
        <w:tc>
          <w:tcPr>
            <w:tcW w:w="1412" w:type="pct"/>
            <w:vAlign w:val="center"/>
          </w:tcPr>
          <w:p w14:paraId="54F50DBA"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 xml:space="preserve">Ivosidenib </w:t>
            </w:r>
            <w:r w:rsidRPr="3B93DFE9">
              <w:rPr>
                <w:i/>
                <w:iCs/>
                <w:color w:val="0D0D0D" w:themeColor="text1" w:themeTint="F2"/>
              </w:rPr>
              <w:t>vs.</w:t>
            </w:r>
            <w:r w:rsidRPr="3B93DFE9">
              <w:rPr>
                <w:color w:val="0D0D0D" w:themeColor="text1" w:themeTint="F2"/>
              </w:rPr>
              <w:t xml:space="preserve"> BSC (crossover-adjusted) (N=187)</w:t>
            </w:r>
          </w:p>
        </w:tc>
        <w:tc>
          <w:tcPr>
            <w:tcW w:w="1290" w:type="pct"/>
            <w:vAlign w:val="center"/>
          </w:tcPr>
          <w:p w14:paraId="581C6D3D"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10.3 (7.8, 12.4)</w:t>
            </w:r>
          </w:p>
        </w:tc>
        <w:tc>
          <w:tcPr>
            <w:tcW w:w="1305" w:type="pct"/>
            <w:vAlign w:val="center"/>
          </w:tcPr>
          <w:p w14:paraId="5597A0BD"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5.1 (3.8, 7.6)</w:t>
            </w:r>
          </w:p>
        </w:tc>
        <w:tc>
          <w:tcPr>
            <w:tcW w:w="992" w:type="pct"/>
            <w:vAlign w:val="center"/>
          </w:tcPr>
          <w:p w14:paraId="34FE5BDC"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0.49 (0.34, 0.70)</w:t>
            </w:r>
          </w:p>
        </w:tc>
      </w:tr>
      <w:tr w:rsidR="003E7195" w:rsidRPr="003E7195" w14:paraId="44EE6069" w14:textId="77777777" w:rsidTr="00B15EA6">
        <w:tc>
          <w:tcPr>
            <w:tcW w:w="1412" w:type="pct"/>
            <w:vAlign w:val="center"/>
          </w:tcPr>
          <w:p w14:paraId="11DBE8F7"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 xml:space="preserve">FOLFOX </w:t>
            </w:r>
            <w:r w:rsidRPr="3B93DFE9">
              <w:rPr>
                <w:i/>
                <w:iCs/>
                <w:color w:val="0D0D0D" w:themeColor="text1" w:themeTint="F2"/>
              </w:rPr>
              <w:t>vs.</w:t>
            </w:r>
            <w:r w:rsidRPr="3B93DFE9">
              <w:rPr>
                <w:color w:val="0D0D0D" w:themeColor="text1" w:themeTint="F2"/>
              </w:rPr>
              <w:t xml:space="preserve"> BSC (N=162)</w:t>
            </w:r>
          </w:p>
        </w:tc>
        <w:tc>
          <w:tcPr>
            <w:tcW w:w="1290" w:type="pct"/>
            <w:vAlign w:val="center"/>
          </w:tcPr>
          <w:p w14:paraId="3C84F3AB"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6.2 (5.4, 7.6)</w:t>
            </w:r>
          </w:p>
        </w:tc>
        <w:tc>
          <w:tcPr>
            <w:tcW w:w="1305" w:type="pct"/>
            <w:vAlign w:val="center"/>
          </w:tcPr>
          <w:p w14:paraId="5384B9D7"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5.3 (4.1, 5.8)</w:t>
            </w:r>
          </w:p>
        </w:tc>
        <w:tc>
          <w:tcPr>
            <w:tcW w:w="992" w:type="pct"/>
            <w:vAlign w:val="center"/>
          </w:tcPr>
          <w:p w14:paraId="25DA5B54"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0.69 (0.50, 0.97)</w:t>
            </w:r>
          </w:p>
        </w:tc>
      </w:tr>
      <w:tr w:rsidR="003E7195" w:rsidRPr="003E7195" w14:paraId="349675B9" w14:textId="77777777" w:rsidTr="00B15EA6">
        <w:tc>
          <w:tcPr>
            <w:tcW w:w="1412" w:type="pct"/>
            <w:vAlign w:val="center"/>
          </w:tcPr>
          <w:p w14:paraId="07F56D25"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iCCA (n=72)</w:t>
            </w:r>
            <w:r>
              <w:br/>
            </w:r>
            <w:r w:rsidRPr="3B93DFE9">
              <w:rPr>
                <w:color w:val="0D0D0D" w:themeColor="text1" w:themeTint="F2"/>
              </w:rPr>
              <w:t>eCCA (n=45)</w:t>
            </w:r>
          </w:p>
        </w:tc>
        <w:tc>
          <w:tcPr>
            <w:tcW w:w="1290" w:type="pct"/>
            <w:vAlign w:val="center"/>
          </w:tcPr>
          <w:p w14:paraId="6D68E57A"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5.7 (4.1, 7.4)</w:t>
            </w:r>
          </w:p>
          <w:p w14:paraId="6C386CA2"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6.2 (5.4, 7.9)</w:t>
            </w:r>
          </w:p>
        </w:tc>
        <w:tc>
          <w:tcPr>
            <w:tcW w:w="1305" w:type="pct"/>
            <w:vAlign w:val="center"/>
          </w:tcPr>
          <w:p w14:paraId="4BAC71AC"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5.2 (3.7, 5.8)</w:t>
            </w:r>
          </w:p>
          <w:p w14:paraId="31919FD6"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5.4 (3.9, 6.3)</w:t>
            </w:r>
          </w:p>
        </w:tc>
        <w:tc>
          <w:tcPr>
            <w:tcW w:w="992" w:type="pct"/>
            <w:vAlign w:val="center"/>
          </w:tcPr>
          <w:p w14:paraId="3AADB21A"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0.64 (0.38, 1.06)</w:t>
            </w:r>
            <w:r>
              <w:br/>
            </w:r>
            <w:r w:rsidRPr="3B93DFE9">
              <w:rPr>
                <w:color w:val="0D0D0D" w:themeColor="text1" w:themeTint="F2"/>
              </w:rPr>
              <w:t>0.84 (0.45, 1.57)</w:t>
            </w:r>
          </w:p>
        </w:tc>
      </w:tr>
      <w:tr w:rsidR="003E7195" w:rsidRPr="003E7195" w14:paraId="166E78A2" w14:textId="77777777" w:rsidTr="00B15EA6">
        <w:tc>
          <w:tcPr>
            <w:tcW w:w="1412" w:type="pct"/>
            <w:vAlign w:val="center"/>
          </w:tcPr>
          <w:p w14:paraId="0B2F11BA" w14:textId="77777777" w:rsidR="00517D5E" w:rsidRPr="003B0EA5" w:rsidRDefault="00517D5E" w:rsidP="00B15EA6">
            <w:pPr>
              <w:pStyle w:val="TableText"/>
              <w:keepNext/>
              <w:keepLines/>
              <w:widowControl/>
              <w:rPr>
                <w:b/>
                <w:bCs/>
                <w:color w:val="0D0D0D" w:themeColor="text1" w:themeTint="F2"/>
                <w:vertAlign w:val="superscript"/>
                <w:lang w:val="pt-PT"/>
              </w:rPr>
            </w:pPr>
            <w:r w:rsidRPr="003B0EA5">
              <w:rPr>
                <w:b/>
                <w:bCs/>
                <w:color w:val="0D0D0D" w:themeColor="text1" w:themeTint="F2"/>
                <w:lang w:val="pt-PT"/>
              </w:rPr>
              <w:t xml:space="preserve">ITC (ivosidenib </w:t>
            </w:r>
            <w:r w:rsidRPr="003B0EA5">
              <w:rPr>
                <w:b/>
                <w:bCs/>
                <w:i/>
                <w:iCs/>
                <w:color w:val="0D0D0D" w:themeColor="text1" w:themeTint="F2"/>
                <w:lang w:val="pt-PT"/>
              </w:rPr>
              <w:t>vs.</w:t>
            </w:r>
            <w:r w:rsidRPr="003B0EA5">
              <w:rPr>
                <w:b/>
                <w:bCs/>
                <w:color w:val="0D0D0D" w:themeColor="text1" w:themeTint="F2"/>
                <w:lang w:val="pt-PT"/>
              </w:rPr>
              <w:t xml:space="preserve"> FOLFOX)</w:t>
            </w:r>
            <w:r w:rsidRPr="003B0EA5">
              <w:rPr>
                <w:b/>
                <w:bCs/>
                <w:color w:val="0D0D0D" w:themeColor="text1" w:themeTint="F2"/>
                <w:vertAlign w:val="superscript"/>
                <w:lang w:val="pt-PT"/>
              </w:rPr>
              <w:t>a</w:t>
            </w:r>
          </w:p>
        </w:tc>
        <w:tc>
          <w:tcPr>
            <w:tcW w:w="1290" w:type="pct"/>
            <w:vAlign w:val="center"/>
          </w:tcPr>
          <w:p w14:paraId="27C7C60B"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Ivosidenib</w:t>
            </w:r>
          </w:p>
          <w:p w14:paraId="360553B0"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Median, months (95% CI)</w:t>
            </w:r>
          </w:p>
        </w:tc>
        <w:tc>
          <w:tcPr>
            <w:tcW w:w="1305" w:type="pct"/>
            <w:vAlign w:val="center"/>
          </w:tcPr>
          <w:p w14:paraId="0568498D"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FOLFOX</w:t>
            </w:r>
          </w:p>
          <w:p w14:paraId="0CDA6C0F"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Median, months (95% CI)</w:t>
            </w:r>
          </w:p>
        </w:tc>
        <w:tc>
          <w:tcPr>
            <w:tcW w:w="992" w:type="pct"/>
            <w:vAlign w:val="center"/>
          </w:tcPr>
          <w:p w14:paraId="32703A04"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HR (95%CI)</w:t>
            </w:r>
          </w:p>
        </w:tc>
      </w:tr>
      <w:tr w:rsidR="003E7195" w:rsidRPr="003E7195" w14:paraId="24084440" w14:textId="77777777" w:rsidTr="00B15EA6">
        <w:tc>
          <w:tcPr>
            <w:tcW w:w="1412" w:type="pct"/>
            <w:vAlign w:val="center"/>
          </w:tcPr>
          <w:p w14:paraId="271695C7"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Bucher</w:t>
            </w:r>
          </w:p>
        </w:tc>
        <w:tc>
          <w:tcPr>
            <w:tcW w:w="1290" w:type="pct"/>
            <w:vAlign w:val="center"/>
          </w:tcPr>
          <w:p w14:paraId="287CAC3E"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w:t>
            </w:r>
          </w:p>
        </w:tc>
        <w:tc>
          <w:tcPr>
            <w:tcW w:w="1305" w:type="pct"/>
            <w:vAlign w:val="center"/>
          </w:tcPr>
          <w:p w14:paraId="51E87BCC"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w:t>
            </w:r>
          </w:p>
        </w:tc>
        <w:tc>
          <w:tcPr>
            <w:tcW w:w="992" w:type="pct"/>
            <w:vAlign w:val="center"/>
          </w:tcPr>
          <w:p w14:paraId="5EE22091" w14:textId="77777777" w:rsidR="00517D5E" w:rsidRPr="003E7195" w:rsidRDefault="00517D5E" w:rsidP="00B15EA6">
            <w:pPr>
              <w:pStyle w:val="TableText"/>
              <w:keepNext/>
              <w:keepLines/>
              <w:widowControl/>
              <w:jc w:val="center"/>
              <w:rPr>
                <w:color w:val="0D0D0D" w:themeColor="text1" w:themeTint="F2"/>
                <w:vertAlign w:val="superscript"/>
              </w:rPr>
            </w:pPr>
            <w:r w:rsidRPr="3B93DFE9">
              <w:rPr>
                <w:color w:val="0D0D0D" w:themeColor="text1" w:themeTint="F2"/>
              </w:rPr>
              <w:t>0.58 (0.31, 1.09)</w:t>
            </w:r>
          </w:p>
        </w:tc>
      </w:tr>
      <w:tr w:rsidR="003E7195" w:rsidRPr="003E7195" w14:paraId="4766CF73" w14:textId="77777777" w:rsidTr="00B15EA6">
        <w:tc>
          <w:tcPr>
            <w:tcW w:w="1412" w:type="pct"/>
            <w:tcBorders>
              <w:bottom w:val="double" w:sz="4" w:space="0" w:color="auto"/>
            </w:tcBorders>
            <w:vAlign w:val="center"/>
          </w:tcPr>
          <w:p w14:paraId="6C2F2277"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Anchored MAIC (base case)</w:t>
            </w:r>
          </w:p>
        </w:tc>
        <w:tc>
          <w:tcPr>
            <w:tcW w:w="1290" w:type="pct"/>
            <w:tcBorders>
              <w:bottom w:val="double" w:sz="4" w:space="0" w:color="auto"/>
            </w:tcBorders>
            <w:vAlign w:val="center"/>
          </w:tcPr>
          <w:p w14:paraId="674A198D"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11.9 (9.2, 18.2)</w:t>
            </w:r>
          </w:p>
        </w:tc>
        <w:tc>
          <w:tcPr>
            <w:tcW w:w="1305" w:type="pct"/>
            <w:tcBorders>
              <w:bottom w:val="double" w:sz="4" w:space="0" w:color="auto"/>
            </w:tcBorders>
            <w:vAlign w:val="center"/>
          </w:tcPr>
          <w:p w14:paraId="20C32CD6"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6.2 (5.4, 7.9)</w:t>
            </w:r>
          </w:p>
        </w:tc>
        <w:tc>
          <w:tcPr>
            <w:tcW w:w="992" w:type="pct"/>
            <w:tcBorders>
              <w:bottom w:val="double" w:sz="4" w:space="0" w:color="auto"/>
            </w:tcBorders>
            <w:vAlign w:val="center"/>
          </w:tcPr>
          <w:p w14:paraId="7A9BD5D2"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0.62 (0.33, 1.18)</w:t>
            </w:r>
          </w:p>
        </w:tc>
      </w:tr>
      <w:tr w:rsidR="003E7195" w:rsidRPr="003E7195" w14:paraId="6CEAF721" w14:textId="77777777" w:rsidTr="00B15EA6">
        <w:tblPrEx>
          <w:tblBorders>
            <w:left w:val="none" w:sz="0" w:space="0" w:color="auto"/>
            <w:right w:val="none" w:sz="0" w:space="0" w:color="auto"/>
            <w:insideV w:val="none" w:sz="0" w:space="0" w:color="auto"/>
          </w:tblBorders>
        </w:tblPrEx>
        <w:tc>
          <w:tcPr>
            <w:tcW w:w="1412" w:type="pct"/>
            <w:tcBorders>
              <w:top w:val="double" w:sz="4" w:space="0" w:color="auto"/>
              <w:left w:val="single" w:sz="4" w:space="0" w:color="auto"/>
              <w:right w:val="single" w:sz="4" w:space="0" w:color="auto"/>
            </w:tcBorders>
          </w:tcPr>
          <w:p w14:paraId="4E3159D9" w14:textId="77777777" w:rsidR="00517D5E" w:rsidRPr="003E7195" w:rsidRDefault="00517D5E" w:rsidP="00B15EA6">
            <w:pPr>
              <w:pStyle w:val="TableText"/>
              <w:keepNext/>
              <w:keepLines/>
              <w:widowControl/>
              <w:rPr>
                <w:b/>
                <w:bCs/>
                <w:color w:val="0D0D0D" w:themeColor="text1" w:themeTint="F2"/>
              </w:rPr>
            </w:pPr>
            <w:r w:rsidRPr="3B93DFE9">
              <w:rPr>
                <w:b/>
                <w:bCs/>
                <w:color w:val="0D0D0D" w:themeColor="text1" w:themeTint="F2"/>
              </w:rPr>
              <w:t>PFS</w:t>
            </w:r>
          </w:p>
        </w:tc>
        <w:tc>
          <w:tcPr>
            <w:tcW w:w="1290" w:type="pct"/>
            <w:tcBorders>
              <w:top w:val="double" w:sz="4" w:space="0" w:color="auto"/>
              <w:left w:val="single" w:sz="4" w:space="0" w:color="auto"/>
              <w:right w:val="single" w:sz="4" w:space="0" w:color="auto"/>
            </w:tcBorders>
          </w:tcPr>
          <w:p w14:paraId="5650C953"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Intervention</w:t>
            </w:r>
          </w:p>
          <w:p w14:paraId="744859C7"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Median, months (95% CI)</w:t>
            </w:r>
          </w:p>
        </w:tc>
        <w:tc>
          <w:tcPr>
            <w:tcW w:w="1305" w:type="pct"/>
            <w:tcBorders>
              <w:top w:val="double" w:sz="4" w:space="0" w:color="auto"/>
              <w:left w:val="single" w:sz="4" w:space="0" w:color="auto"/>
              <w:right w:val="single" w:sz="4" w:space="0" w:color="auto"/>
            </w:tcBorders>
          </w:tcPr>
          <w:p w14:paraId="16A92553"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BSC (common reference)</w:t>
            </w:r>
          </w:p>
          <w:p w14:paraId="7209A8B5"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Median, months (95% CI)</w:t>
            </w:r>
          </w:p>
        </w:tc>
        <w:tc>
          <w:tcPr>
            <w:tcW w:w="992" w:type="pct"/>
            <w:tcBorders>
              <w:top w:val="double" w:sz="4" w:space="0" w:color="auto"/>
              <w:left w:val="single" w:sz="4" w:space="0" w:color="auto"/>
              <w:right w:val="single" w:sz="4" w:space="0" w:color="auto"/>
            </w:tcBorders>
          </w:tcPr>
          <w:p w14:paraId="779A137F"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HR (95%CI)</w:t>
            </w:r>
          </w:p>
        </w:tc>
      </w:tr>
      <w:tr w:rsidR="003E7195" w:rsidRPr="003E7195" w14:paraId="7239C263" w14:textId="77777777" w:rsidTr="00B15EA6">
        <w:tblPrEx>
          <w:tblBorders>
            <w:left w:val="none" w:sz="0" w:space="0" w:color="auto"/>
            <w:right w:val="none" w:sz="0" w:space="0" w:color="auto"/>
            <w:insideV w:val="none" w:sz="0" w:space="0" w:color="auto"/>
          </w:tblBorders>
        </w:tblPrEx>
        <w:tc>
          <w:tcPr>
            <w:tcW w:w="1412" w:type="pct"/>
            <w:tcBorders>
              <w:left w:val="single" w:sz="4" w:space="0" w:color="auto"/>
              <w:right w:val="single" w:sz="4" w:space="0" w:color="auto"/>
            </w:tcBorders>
          </w:tcPr>
          <w:p w14:paraId="0D17A0E8"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 xml:space="preserve">Ivosidenib </w:t>
            </w:r>
            <w:r w:rsidRPr="3B93DFE9">
              <w:rPr>
                <w:i/>
                <w:iCs/>
                <w:color w:val="0D0D0D" w:themeColor="text1" w:themeTint="F2"/>
              </w:rPr>
              <w:t>vs.</w:t>
            </w:r>
            <w:r w:rsidRPr="3B93DFE9">
              <w:rPr>
                <w:color w:val="0D0D0D" w:themeColor="text1" w:themeTint="F2"/>
              </w:rPr>
              <w:t xml:space="preserve"> BSC (N=187)</w:t>
            </w:r>
          </w:p>
        </w:tc>
        <w:tc>
          <w:tcPr>
            <w:tcW w:w="1290" w:type="pct"/>
            <w:tcBorders>
              <w:left w:val="single" w:sz="4" w:space="0" w:color="auto"/>
              <w:right w:val="single" w:sz="4" w:space="0" w:color="auto"/>
            </w:tcBorders>
          </w:tcPr>
          <w:p w14:paraId="5E8497C1"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2.7 (1.6, 4.2)</w:t>
            </w:r>
          </w:p>
        </w:tc>
        <w:tc>
          <w:tcPr>
            <w:tcW w:w="1305" w:type="pct"/>
            <w:tcBorders>
              <w:left w:val="single" w:sz="4" w:space="0" w:color="auto"/>
              <w:right w:val="single" w:sz="4" w:space="0" w:color="auto"/>
            </w:tcBorders>
          </w:tcPr>
          <w:p w14:paraId="1FBEBF27"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1.4 (1.4, 1.6)</w:t>
            </w:r>
          </w:p>
        </w:tc>
        <w:tc>
          <w:tcPr>
            <w:tcW w:w="992" w:type="pct"/>
            <w:tcBorders>
              <w:left w:val="single" w:sz="4" w:space="0" w:color="auto"/>
              <w:right w:val="single" w:sz="4" w:space="0" w:color="auto"/>
            </w:tcBorders>
          </w:tcPr>
          <w:p w14:paraId="73B7EE31"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0.37 (0.25, 0.54)</w:t>
            </w:r>
          </w:p>
        </w:tc>
      </w:tr>
      <w:tr w:rsidR="003E7195" w:rsidRPr="003E7195" w14:paraId="033835A4" w14:textId="77777777" w:rsidTr="00B15EA6">
        <w:tblPrEx>
          <w:tblBorders>
            <w:left w:val="none" w:sz="0" w:space="0" w:color="auto"/>
            <w:right w:val="none" w:sz="0" w:space="0" w:color="auto"/>
            <w:insideV w:val="none" w:sz="0" w:space="0" w:color="auto"/>
          </w:tblBorders>
        </w:tblPrEx>
        <w:tc>
          <w:tcPr>
            <w:tcW w:w="1412" w:type="pct"/>
            <w:tcBorders>
              <w:left w:val="single" w:sz="4" w:space="0" w:color="auto"/>
              <w:right w:val="single" w:sz="4" w:space="0" w:color="auto"/>
            </w:tcBorders>
          </w:tcPr>
          <w:p w14:paraId="2CE34215"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 xml:space="preserve">FOLFOX </w:t>
            </w:r>
            <w:r w:rsidRPr="3B93DFE9">
              <w:rPr>
                <w:i/>
                <w:iCs/>
                <w:color w:val="0D0D0D" w:themeColor="text1" w:themeTint="F2"/>
              </w:rPr>
              <w:t>vs.</w:t>
            </w:r>
            <w:r w:rsidRPr="3B93DFE9">
              <w:rPr>
                <w:color w:val="0D0D0D" w:themeColor="text1" w:themeTint="F2"/>
              </w:rPr>
              <w:t xml:space="preserve"> BSC (N=162)</w:t>
            </w:r>
          </w:p>
        </w:tc>
        <w:tc>
          <w:tcPr>
            <w:tcW w:w="1290" w:type="pct"/>
            <w:tcBorders>
              <w:left w:val="single" w:sz="4" w:space="0" w:color="auto"/>
              <w:right w:val="single" w:sz="4" w:space="0" w:color="auto"/>
            </w:tcBorders>
          </w:tcPr>
          <w:p w14:paraId="256AEBAF"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4.0 (3.2, 5.0)</w:t>
            </w:r>
          </w:p>
        </w:tc>
        <w:tc>
          <w:tcPr>
            <w:tcW w:w="1305" w:type="pct"/>
            <w:tcBorders>
              <w:left w:val="single" w:sz="4" w:space="0" w:color="auto"/>
              <w:right w:val="single" w:sz="4" w:space="0" w:color="auto"/>
            </w:tcBorders>
          </w:tcPr>
          <w:p w14:paraId="11E05A11"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NR</w:t>
            </w:r>
          </w:p>
        </w:tc>
        <w:tc>
          <w:tcPr>
            <w:tcW w:w="992" w:type="pct"/>
            <w:tcBorders>
              <w:left w:val="single" w:sz="4" w:space="0" w:color="auto"/>
              <w:right w:val="single" w:sz="4" w:space="0" w:color="auto"/>
            </w:tcBorders>
          </w:tcPr>
          <w:p w14:paraId="66EBE835"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NR</w:t>
            </w:r>
          </w:p>
        </w:tc>
      </w:tr>
      <w:tr w:rsidR="003E7195" w:rsidRPr="003E7195" w14:paraId="71002A5F" w14:textId="77777777" w:rsidTr="00B15EA6">
        <w:tblPrEx>
          <w:tblBorders>
            <w:left w:val="none" w:sz="0" w:space="0" w:color="auto"/>
            <w:right w:val="none" w:sz="0" w:space="0" w:color="auto"/>
            <w:insideV w:val="none" w:sz="0" w:space="0" w:color="auto"/>
          </w:tblBorders>
        </w:tblPrEx>
        <w:tc>
          <w:tcPr>
            <w:tcW w:w="1412" w:type="pct"/>
            <w:tcBorders>
              <w:left w:val="single" w:sz="4" w:space="0" w:color="auto"/>
              <w:right w:val="single" w:sz="4" w:space="0" w:color="auto"/>
            </w:tcBorders>
          </w:tcPr>
          <w:p w14:paraId="1E6E75C6"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iCCA (n=72)</w:t>
            </w:r>
            <w:r>
              <w:br/>
            </w:r>
            <w:r w:rsidRPr="3B93DFE9">
              <w:rPr>
                <w:color w:val="0D0D0D" w:themeColor="text1" w:themeTint="F2"/>
              </w:rPr>
              <w:t>eCCA (n=45)</w:t>
            </w:r>
          </w:p>
        </w:tc>
        <w:tc>
          <w:tcPr>
            <w:tcW w:w="1290" w:type="pct"/>
            <w:tcBorders>
              <w:left w:val="single" w:sz="4" w:space="0" w:color="auto"/>
              <w:right w:val="single" w:sz="4" w:space="0" w:color="auto"/>
            </w:tcBorders>
          </w:tcPr>
          <w:p w14:paraId="0EA8F252"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3.3 (2.5, 5.2)</w:t>
            </w:r>
          </w:p>
          <w:p w14:paraId="0264DF8D"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4.0 (2.9, 5.9)</w:t>
            </w:r>
          </w:p>
        </w:tc>
        <w:tc>
          <w:tcPr>
            <w:tcW w:w="1305" w:type="pct"/>
            <w:tcBorders>
              <w:left w:val="single" w:sz="4" w:space="0" w:color="auto"/>
              <w:right w:val="single" w:sz="4" w:space="0" w:color="auto"/>
            </w:tcBorders>
          </w:tcPr>
          <w:p w14:paraId="72E0DAB1"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NR</w:t>
            </w:r>
            <w:r>
              <w:br/>
            </w:r>
            <w:proofErr w:type="spellStart"/>
            <w:r w:rsidRPr="3B93DFE9">
              <w:rPr>
                <w:color w:val="0D0D0D" w:themeColor="text1" w:themeTint="F2"/>
              </w:rPr>
              <w:t>NR</w:t>
            </w:r>
            <w:proofErr w:type="spellEnd"/>
          </w:p>
        </w:tc>
        <w:tc>
          <w:tcPr>
            <w:tcW w:w="992" w:type="pct"/>
            <w:tcBorders>
              <w:left w:val="single" w:sz="4" w:space="0" w:color="auto"/>
              <w:right w:val="single" w:sz="4" w:space="0" w:color="auto"/>
            </w:tcBorders>
          </w:tcPr>
          <w:p w14:paraId="3732BA88"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NR</w:t>
            </w:r>
          </w:p>
          <w:p w14:paraId="302AB21F"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NR</w:t>
            </w:r>
          </w:p>
        </w:tc>
      </w:tr>
      <w:tr w:rsidR="003E7195" w:rsidRPr="003E7195" w14:paraId="155C9AFA" w14:textId="77777777" w:rsidTr="00B15EA6">
        <w:tblPrEx>
          <w:tblBorders>
            <w:left w:val="none" w:sz="0" w:space="0" w:color="auto"/>
            <w:right w:val="none" w:sz="0" w:space="0" w:color="auto"/>
            <w:insideV w:val="none" w:sz="0" w:space="0" w:color="auto"/>
          </w:tblBorders>
        </w:tblPrEx>
        <w:tc>
          <w:tcPr>
            <w:tcW w:w="1412" w:type="pct"/>
            <w:tcBorders>
              <w:left w:val="single" w:sz="4" w:space="0" w:color="auto"/>
              <w:right w:val="single" w:sz="4" w:space="0" w:color="auto"/>
            </w:tcBorders>
          </w:tcPr>
          <w:p w14:paraId="2E6679EC" w14:textId="77777777" w:rsidR="00517D5E" w:rsidRPr="003B0EA5" w:rsidRDefault="00517D5E" w:rsidP="00B15EA6">
            <w:pPr>
              <w:pStyle w:val="TableText"/>
              <w:keepNext/>
              <w:keepLines/>
              <w:widowControl/>
              <w:rPr>
                <w:b/>
                <w:bCs/>
                <w:color w:val="0D0D0D" w:themeColor="text1" w:themeTint="F2"/>
                <w:vertAlign w:val="superscript"/>
                <w:lang w:val="pt-PT"/>
              </w:rPr>
            </w:pPr>
            <w:r w:rsidRPr="003B0EA5">
              <w:rPr>
                <w:b/>
                <w:bCs/>
                <w:color w:val="0D0D0D" w:themeColor="text1" w:themeTint="F2"/>
                <w:lang w:val="pt-PT"/>
              </w:rPr>
              <w:t xml:space="preserve">ITC (ivosidenib </w:t>
            </w:r>
            <w:r w:rsidRPr="003B0EA5">
              <w:rPr>
                <w:b/>
                <w:bCs/>
                <w:i/>
                <w:iCs/>
                <w:color w:val="0D0D0D" w:themeColor="text1" w:themeTint="F2"/>
                <w:lang w:val="pt-PT"/>
              </w:rPr>
              <w:t>vs.</w:t>
            </w:r>
            <w:r w:rsidRPr="003B0EA5">
              <w:rPr>
                <w:b/>
                <w:bCs/>
                <w:color w:val="0D0D0D" w:themeColor="text1" w:themeTint="F2"/>
                <w:lang w:val="pt-PT"/>
              </w:rPr>
              <w:t xml:space="preserve"> FOLFOX)</w:t>
            </w:r>
            <w:r w:rsidRPr="003B0EA5">
              <w:rPr>
                <w:b/>
                <w:bCs/>
                <w:color w:val="0D0D0D" w:themeColor="text1" w:themeTint="F2"/>
                <w:vertAlign w:val="superscript"/>
                <w:lang w:val="pt-PT"/>
              </w:rPr>
              <w:t>a</w:t>
            </w:r>
          </w:p>
        </w:tc>
        <w:tc>
          <w:tcPr>
            <w:tcW w:w="1290" w:type="pct"/>
            <w:tcBorders>
              <w:left w:val="single" w:sz="4" w:space="0" w:color="auto"/>
              <w:right w:val="single" w:sz="4" w:space="0" w:color="auto"/>
            </w:tcBorders>
          </w:tcPr>
          <w:p w14:paraId="2C600C81"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Ivosidenib</w:t>
            </w:r>
          </w:p>
          <w:p w14:paraId="7BCC8C6C"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Median, months (95% CI)</w:t>
            </w:r>
          </w:p>
        </w:tc>
        <w:tc>
          <w:tcPr>
            <w:tcW w:w="1305" w:type="pct"/>
            <w:tcBorders>
              <w:left w:val="single" w:sz="4" w:space="0" w:color="auto"/>
              <w:right w:val="single" w:sz="4" w:space="0" w:color="auto"/>
            </w:tcBorders>
          </w:tcPr>
          <w:p w14:paraId="71340A16"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FOLFOX</w:t>
            </w:r>
          </w:p>
          <w:p w14:paraId="7473DBC2"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Median, months (95% CI)</w:t>
            </w:r>
          </w:p>
        </w:tc>
        <w:tc>
          <w:tcPr>
            <w:tcW w:w="992" w:type="pct"/>
            <w:tcBorders>
              <w:left w:val="single" w:sz="4" w:space="0" w:color="auto"/>
              <w:right w:val="single" w:sz="4" w:space="0" w:color="auto"/>
            </w:tcBorders>
          </w:tcPr>
          <w:p w14:paraId="1BC2A5BA" w14:textId="77777777" w:rsidR="00517D5E" w:rsidRPr="003E7195" w:rsidRDefault="00517D5E" w:rsidP="00B15EA6">
            <w:pPr>
              <w:pStyle w:val="TableText"/>
              <w:keepNext/>
              <w:keepLines/>
              <w:widowControl/>
              <w:jc w:val="center"/>
              <w:rPr>
                <w:b/>
                <w:bCs/>
                <w:color w:val="0D0D0D" w:themeColor="text1" w:themeTint="F2"/>
              </w:rPr>
            </w:pPr>
            <w:r w:rsidRPr="3B93DFE9">
              <w:rPr>
                <w:b/>
                <w:bCs/>
                <w:color w:val="0D0D0D" w:themeColor="text1" w:themeTint="F2"/>
              </w:rPr>
              <w:t>HR (95%CI)</w:t>
            </w:r>
          </w:p>
        </w:tc>
      </w:tr>
      <w:tr w:rsidR="003E7195" w:rsidRPr="003E7195" w14:paraId="6B64BD39" w14:textId="77777777" w:rsidTr="00B15EA6">
        <w:tblPrEx>
          <w:tblBorders>
            <w:left w:val="none" w:sz="0" w:space="0" w:color="auto"/>
            <w:right w:val="none" w:sz="0" w:space="0" w:color="auto"/>
            <w:insideV w:val="none" w:sz="0" w:space="0" w:color="auto"/>
          </w:tblBorders>
        </w:tblPrEx>
        <w:tc>
          <w:tcPr>
            <w:tcW w:w="1412" w:type="pct"/>
            <w:tcBorders>
              <w:left w:val="single" w:sz="4" w:space="0" w:color="auto"/>
              <w:right w:val="single" w:sz="4" w:space="0" w:color="auto"/>
            </w:tcBorders>
          </w:tcPr>
          <w:p w14:paraId="1CB22A76" w14:textId="21FFBDFF" w:rsidR="00517D5E" w:rsidRPr="003E7195" w:rsidRDefault="00517D5E" w:rsidP="00B15EA6">
            <w:pPr>
              <w:pStyle w:val="TableText"/>
              <w:keepNext/>
              <w:keepLines/>
              <w:widowControl/>
              <w:rPr>
                <w:color w:val="0D0D0D" w:themeColor="text1" w:themeTint="F2"/>
                <w:vertAlign w:val="superscript"/>
              </w:rPr>
            </w:pPr>
            <w:r w:rsidRPr="3B93DFE9">
              <w:rPr>
                <w:color w:val="0D0D0D" w:themeColor="text1" w:themeTint="F2"/>
              </w:rPr>
              <w:t xml:space="preserve">Unanchored unmatched </w:t>
            </w:r>
          </w:p>
        </w:tc>
        <w:tc>
          <w:tcPr>
            <w:tcW w:w="1290" w:type="pct"/>
            <w:tcBorders>
              <w:left w:val="single" w:sz="4" w:space="0" w:color="auto"/>
              <w:right w:val="single" w:sz="4" w:space="0" w:color="auto"/>
            </w:tcBorders>
          </w:tcPr>
          <w:p w14:paraId="7A13A8D6"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3.1 (2.5, 8.4)</w:t>
            </w:r>
          </w:p>
        </w:tc>
        <w:tc>
          <w:tcPr>
            <w:tcW w:w="1305" w:type="pct"/>
            <w:tcBorders>
              <w:left w:val="single" w:sz="4" w:space="0" w:color="auto"/>
              <w:right w:val="single" w:sz="4" w:space="0" w:color="auto"/>
            </w:tcBorders>
          </w:tcPr>
          <w:p w14:paraId="5F410DE1"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4.1 (3.3, 5.4)</w:t>
            </w:r>
          </w:p>
        </w:tc>
        <w:tc>
          <w:tcPr>
            <w:tcW w:w="992" w:type="pct"/>
            <w:tcBorders>
              <w:left w:val="single" w:sz="4" w:space="0" w:color="auto"/>
              <w:right w:val="single" w:sz="4" w:space="0" w:color="auto"/>
            </w:tcBorders>
          </w:tcPr>
          <w:p w14:paraId="5DBE5F8E" w14:textId="77777777" w:rsidR="00517D5E" w:rsidRPr="003E7195" w:rsidRDefault="00517D5E" w:rsidP="00B15EA6">
            <w:pPr>
              <w:pStyle w:val="TableText"/>
              <w:keepNext/>
              <w:keepLines/>
              <w:widowControl/>
              <w:jc w:val="center"/>
              <w:rPr>
                <w:color w:val="0D0D0D" w:themeColor="text1" w:themeTint="F2"/>
                <w:vertAlign w:val="superscript"/>
              </w:rPr>
            </w:pPr>
            <w:r w:rsidRPr="3B93DFE9">
              <w:rPr>
                <w:color w:val="0D0D0D" w:themeColor="text1" w:themeTint="F2"/>
              </w:rPr>
              <w:t>0.92 (0.61, 1.39)</w:t>
            </w:r>
          </w:p>
        </w:tc>
      </w:tr>
      <w:tr w:rsidR="003E7195" w:rsidRPr="003E7195" w14:paraId="40E30C3A" w14:textId="77777777" w:rsidTr="00B15EA6">
        <w:tblPrEx>
          <w:tblBorders>
            <w:left w:val="none" w:sz="0" w:space="0" w:color="auto"/>
            <w:right w:val="none" w:sz="0" w:space="0" w:color="auto"/>
            <w:insideV w:val="none" w:sz="0" w:space="0" w:color="auto"/>
          </w:tblBorders>
        </w:tblPrEx>
        <w:tc>
          <w:tcPr>
            <w:tcW w:w="1412" w:type="pct"/>
            <w:tcBorders>
              <w:left w:val="single" w:sz="4" w:space="0" w:color="auto"/>
              <w:right w:val="single" w:sz="4" w:space="0" w:color="auto"/>
            </w:tcBorders>
          </w:tcPr>
          <w:p w14:paraId="12BC3077" w14:textId="77777777" w:rsidR="00517D5E" w:rsidRPr="003E7195" w:rsidRDefault="00517D5E" w:rsidP="00B15EA6">
            <w:pPr>
              <w:pStyle w:val="TableText"/>
              <w:keepNext/>
              <w:keepLines/>
              <w:widowControl/>
              <w:rPr>
                <w:color w:val="0D0D0D" w:themeColor="text1" w:themeTint="F2"/>
              </w:rPr>
            </w:pPr>
            <w:r w:rsidRPr="3B93DFE9">
              <w:rPr>
                <w:color w:val="0D0D0D" w:themeColor="text1" w:themeTint="F2"/>
              </w:rPr>
              <w:t>Unanchored MAIC (base case)</w:t>
            </w:r>
          </w:p>
        </w:tc>
        <w:tc>
          <w:tcPr>
            <w:tcW w:w="1290" w:type="pct"/>
            <w:tcBorders>
              <w:left w:val="single" w:sz="4" w:space="0" w:color="auto"/>
              <w:right w:val="single" w:sz="4" w:space="0" w:color="auto"/>
            </w:tcBorders>
            <w:vAlign w:val="center"/>
          </w:tcPr>
          <w:p w14:paraId="589C0957"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3.1 (1.61, N/A)</w:t>
            </w:r>
          </w:p>
        </w:tc>
        <w:tc>
          <w:tcPr>
            <w:tcW w:w="1305" w:type="pct"/>
            <w:tcBorders>
              <w:left w:val="single" w:sz="4" w:space="0" w:color="auto"/>
              <w:right w:val="single" w:sz="4" w:space="0" w:color="auto"/>
            </w:tcBorders>
            <w:vAlign w:val="center"/>
          </w:tcPr>
          <w:p w14:paraId="751F2CB6"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4.1 (3.3, 5.4)</w:t>
            </w:r>
          </w:p>
        </w:tc>
        <w:tc>
          <w:tcPr>
            <w:tcW w:w="992" w:type="pct"/>
            <w:tcBorders>
              <w:left w:val="single" w:sz="4" w:space="0" w:color="auto"/>
              <w:right w:val="single" w:sz="4" w:space="0" w:color="auto"/>
            </w:tcBorders>
            <w:vAlign w:val="center"/>
          </w:tcPr>
          <w:p w14:paraId="480347B7" w14:textId="77777777" w:rsidR="00517D5E" w:rsidRPr="003E7195" w:rsidRDefault="00517D5E" w:rsidP="00B15EA6">
            <w:pPr>
              <w:pStyle w:val="TableText"/>
              <w:keepNext/>
              <w:keepLines/>
              <w:widowControl/>
              <w:jc w:val="center"/>
              <w:rPr>
                <w:color w:val="0D0D0D" w:themeColor="text1" w:themeTint="F2"/>
              </w:rPr>
            </w:pPr>
            <w:r w:rsidRPr="3B93DFE9">
              <w:rPr>
                <w:color w:val="0D0D0D" w:themeColor="text1" w:themeTint="F2"/>
              </w:rPr>
              <w:t>NR</w:t>
            </w:r>
          </w:p>
        </w:tc>
      </w:tr>
    </w:tbl>
    <w:p w14:paraId="6158D141" w14:textId="2FB60E22" w:rsidR="00517D5E" w:rsidRPr="003E7195" w:rsidRDefault="00517D5E" w:rsidP="00517D5E">
      <w:pPr>
        <w:pStyle w:val="TableFigureFooter"/>
        <w:rPr>
          <w:color w:val="0D0D0D" w:themeColor="text1" w:themeTint="F2"/>
        </w:rPr>
      </w:pPr>
      <w:r w:rsidRPr="003E7195">
        <w:rPr>
          <w:color w:val="0D0D0D" w:themeColor="text1" w:themeTint="F2"/>
        </w:rPr>
        <w:t xml:space="preserve">Source: Table 1-10, of Appendix A in the submission; Lamarca </w:t>
      </w:r>
      <w:r w:rsidRPr="003E7195">
        <w:rPr>
          <w:i/>
          <w:iCs/>
          <w:color w:val="0D0D0D" w:themeColor="text1" w:themeTint="F2"/>
        </w:rPr>
        <w:t xml:space="preserve">et al </w:t>
      </w:r>
      <w:r w:rsidRPr="003E7195">
        <w:rPr>
          <w:color w:val="0D0D0D" w:themeColor="text1" w:themeTint="F2"/>
        </w:rPr>
        <w:t>2021</w:t>
      </w:r>
    </w:p>
    <w:p w14:paraId="27608FB2" w14:textId="77777777" w:rsidR="00517D5E" w:rsidRPr="003E7195" w:rsidRDefault="00517D5E" w:rsidP="00517D5E">
      <w:pPr>
        <w:pStyle w:val="TableFigureFooter"/>
        <w:rPr>
          <w:color w:val="0D0D0D" w:themeColor="text1" w:themeTint="F2"/>
        </w:rPr>
      </w:pPr>
      <w:r w:rsidRPr="003E7195">
        <w:rPr>
          <w:color w:val="0D0D0D" w:themeColor="text1" w:themeTint="F2"/>
        </w:rPr>
        <w:t>BSC = best supportive care; CI = confidence interval; eCCA = extrahepatic cholangiocarcinoma; HR = hazard ratio; iCCA = intrahepatic cholangiocarcinoma; MAIC = matching-adjusted indirect comparison; OS= overall survival; PFS = progression-free survival</w:t>
      </w:r>
    </w:p>
    <w:p w14:paraId="3E75546A" w14:textId="77777777" w:rsidR="00517D5E" w:rsidRPr="003E7195" w:rsidRDefault="00517D5E" w:rsidP="00517D5E">
      <w:pPr>
        <w:pStyle w:val="TableFigureFooter"/>
        <w:rPr>
          <w:color w:val="0D0D0D" w:themeColor="text1" w:themeTint="F2"/>
        </w:rPr>
      </w:pPr>
      <w:r w:rsidRPr="003E7195">
        <w:rPr>
          <w:color w:val="0D0D0D" w:themeColor="text1" w:themeTint="F2"/>
          <w:vertAlign w:val="superscript"/>
        </w:rPr>
        <w:t>a</w:t>
      </w:r>
      <w:r w:rsidRPr="003E7195">
        <w:rPr>
          <w:color w:val="0D0D0D" w:themeColor="text1" w:themeTint="F2"/>
        </w:rPr>
        <w:t xml:space="preserve"> ITC analysis only included patients with one previous line of therapy for both the ClarIDHy trial and the ABC-06 trial.</w:t>
      </w:r>
    </w:p>
    <w:p w14:paraId="4FFD897C" w14:textId="20CA92BC" w:rsidR="008955EC" w:rsidRPr="00181B1F" w:rsidRDefault="008955EC" w:rsidP="007E0187">
      <w:pPr>
        <w:pStyle w:val="ListParagraph"/>
      </w:pPr>
      <w:r>
        <w:t xml:space="preserve">After adjustment, the effective sample size (ESS) of the ClarIDHy trial was 75 for OS and 46 for PFS. </w:t>
      </w:r>
      <w:r w:rsidRPr="00181B1F">
        <w:t xml:space="preserve">The inclusion of CCA subtype (iCCA vs. eCCA) in the scenario analysis substantially reduced the ESS to 14 for OS and 8 for PFS, which introduced significant uncertainty into the analysis. </w:t>
      </w:r>
    </w:p>
    <w:p w14:paraId="305743FD" w14:textId="4B304FD0" w:rsidR="00D066B9" w:rsidRPr="009178F7" w:rsidRDefault="009E7059" w:rsidP="007E0187">
      <w:pPr>
        <w:pStyle w:val="ListParagraph"/>
      </w:pPr>
      <w:r w:rsidRPr="003E7195">
        <w:t xml:space="preserve">After matching, the median OS for ivosidenib almost doubled the median OS for FOLFOX (11.9 months </w:t>
      </w:r>
      <w:r w:rsidRPr="003E7195">
        <w:rPr>
          <w:i/>
          <w:iCs/>
        </w:rPr>
        <w:t>vs</w:t>
      </w:r>
      <w:r w:rsidRPr="003E7195">
        <w:t xml:space="preserve">. 6.2 months). </w:t>
      </w:r>
      <w:r w:rsidR="007D3155" w:rsidRPr="003E7195">
        <w:t>The OS HR from the anchored MAIC was 0.62 (95% CI: 0.33, 1.19)</w:t>
      </w:r>
      <w:r w:rsidRPr="003E7195">
        <w:t xml:space="preserve">, </w:t>
      </w:r>
      <w:proofErr w:type="gramStart"/>
      <w:r w:rsidRPr="003E7195">
        <w:t>similar to</w:t>
      </w:r>
      <w:proofErr w:type="gramEnd"/>
      <w:r w:rsidRPr="003E7195">
        <w:t xml:space="preserve"> the HR </w:t>
      </w:r>
      <w:r w:rsidR="00392699" w:rsidRPr="003E7195">
        <w:t xml:space="preserve">estimated using the </w:t>
      </w:r>
      <w:r w:rsidRPr="003E7195">
        <w:t>Bucher method (HR: 0.58 [95% CI: 0.31, 1.09])</w:t>
      </w:r>
      <w:r w:rsidR="007D3155" w:rsidRPr="003E7195">
        <w:t xml:space="preserve">. </w:t>
      </w:r>
      <w:r w:rsidR="00D066B9" w:rsidRPr="00181B1F">
        <w:t xml:space="preserve">The 95% CIs of indirect HRs were wide, suggesting the analyses were not sufficiently powered. In addition, the indirect HR for OS should be interpreted with caution as it is unknown whether the proportional hazards assumption held. </w:t>
      </w:r>
      <w:r w:rsidR="00D066B9" w:rsidRPr="009178F7">
        <w:t xml:space="preserve">There are major uncertainties relating to the ITCs for OS between ivosidenib and FOLFOX which include: 1) </w:t>
      </w:r>
      <w:r w:rsidRPr="009178F7">
        <w:t>t</w:t>
      </w:r>
      <w:r w:rsidR="00D066B9" w:rsidRPr="009178F7">
        <w:t xml:space="preserve">ransitivity issues remained after matching adjustment due to residual differences in patient characteristics, such as </w:t>
      </w:r>
      <w:r w:rsidR="00D066B9" w:rsidRPr="00782E3F">
        <w:rPr>
          <w:i/>
          <w:iCs/>
        </w:rPr>
        <w:t>IDH1</w:t>
      </w:r>
      <w:r w:rsidR="00D066B9" w:rsidRPr="009178F7">
        <w:t xml:space="preserve"> status and </w:t>
      </w:r>
      <w:r w:rsidR="00B0338F" w:rsidRPr="009178F7">
        <w:t xml:space="preserve">CCA </w:t>
      </w:r>
      <w:r w:rsidR="00D066B9" w:rsidRPr="009178F7">
        <w:t xml:space="preserve">tumour site; and 2) the ITCs </w:t>
      </w:r>
      <w:r w:rsidRPr="009178F7">
        <w:t xml:space="preserve">used the RPSFT-adjusted OS from the ClarIDHy trial. The use of </w:t>
      </w:r>
      <w:r w:rsidR="00392699" w:rsidRPr="009178F7">
        <w:t xml:space="preserve">the </w:t>
      </w:r>
      <w:r w:rsidRPr="009178F7">
        <w:t xml:space="preserve">RPSFT method for treatment switching adjustment </w:t>
      </w:r>
      <w:r w:rsidR="00D066B9" w:rsidRPr="009178F7">
        <w:t>may have overestimated the survival benefit of ivosidenib over placebo and, thus, biased the ITC results in favour of ivosidenib</w:t>
      </w:r>
      <w:r w:rsidR="001D0E72" w:rsidRPr="009178F7">
        <w:t>.</w:t>
      </w:r>
    </w:p>
    <w:p w14:paraId="0E133890" w14:textId="05F6CE3A" w:rsidR="00D066B9" w:rsidRDefault="000513FE" w:rsidP="007E0187">
      <w:pPr>
        <w:pStyle w:val="ListParagraph"/>
      </w:pPr>
      <w:r w:rsidRPr="003E7195">
        <w:t xml:space="preserve">Before matching and after matching, the median PFS was 3.1 months for ivosidenib, compared with a median PFS of 4.1 months for FOLFOX. The indirect PFS HR was not interpretable, given the crossover of the PFS curves for ivosidenib and FOLFOX, which suggests that the proportional hazard assumption </w:t>
      </w:r>
      <w:r w:rsidR="00392699" w:rsidRPr="003E7195">
        <w:t>was not met</w:t>
      </w:r>
      <w:r w:rsidRPr="003E7195">
        <w:t xml:space="preserve">. </w:t>
      </w:r>
      <w:r w:rsidR="00985C81" w:rsidRPr="00181B1F">
        <w:t xml:space="preserve">Key uncertainties </w:t>
      </w:r>
      <w:r w:rsidR="00985C81" w:rsidRPr="00181B1F">
        <w:lastRenderedPageBreak/>
        <w:t xml:space="preserve">relating to the ITCs for PFS between ivosidenib and FOLFOX include: 1) </w:t>
      </w:r>
      <w:r w:rsidR="00712055" w:rsidRPr="00181B1F">
        <w:t xml:space="preserve">radiologic tumour </w:t>
      </w:r>
      <w:r w:rsidR="00DC5CF3">
        <w:t>commentary</w:t>
      </w:r>
      <w:r w:rsidR="00712055" w:rsidRPr="00181B1F">
        <w:t xml:space="preserve"> occurred more frequent in the ClarIDHy trial than in the ABC-06 trial;</w:t>
      </w:r>
      <w:r w:rsidR="00985C81" w:rsidRPr="00181B1F">
        <w:t xml:space="preserve"> and 2) differences in disease characteristics (e.g. IDH1 status and C</w:t>
      </w:r>
      <w:r w:rsidR="00712055" w:rsidRPr="00181B1F">
        <w:t>C</w:t>
      </w:r>
      <w:r w:rsidR="00985C81" w:rsidRPr="00181B1F">
        <w:t>A tumour site), trial design and duration of follow-up between the ivosidenib and FOLFOX trials, which cannot be adjusted for.</w:t>
      </w:r>
    </w:p>
    <w:p w14:paraId="3D88E98C" w14:textId="0CB5162C" w:rsidR="00CB1831" w:rsidRPr="00C30625" w:rsidRDefault="00AC0929" w:rsidP="007E0187">
      <w:pPr>
        <w:pStyle w:val="ListParagraph"/>
      </w:pPr>
      <w:r w:rsidRPr="00C30625">
        <w:t xml:space="preserve">The </w:t>
      </w:r>
      <w:r w:rsidR="00BD221D" w:rsidRPr="00BD221D">
        <w:t xml:space="preserve">Pre-Sub-Committee Response </w:t>
      </w:r>
      <w:r w:rsidR="00BD221D">
        <w:t>(</w:t>
      </w:r>
      <w:r w:rsidRPr="00C30625">
        <w:t>PSCR</w:t>
      </w:r>
      <w:r w:rsidR="00BD221D">
        <w:t>)</w:t>
      </w:r>
      <w:r w:rsidR="002C5A14" w:rsidRPr="00C30625">
        <w:t xml:space="preserve"> </w:t>
      </w:r>
      <w:r w:rsidRPr="00C30625">
        <w:t xml:space="preserve">noted that </w:t>
      </w:r>
      <w:r w:rsidR="00F3473B" w:rsidRPr="00C30625">
        <w:t xml:space="preserve">subgroup </w:t>
      </w:r>
      <w:r w:rsidR="00CB1831" w:rsidRPr="00C30625">
        <w:t xml:space="preserve">results from the ABC-06 trial found that in patients with iCCA (comprising </w:t>
      </w:r>
      <w:bookmarkStart w:id="34" w:name="_Int_Qz6KKZCJ"/>
      <w:proofErr w:type="gramStart"/>
      <w:r w:rsidR="00CB1831" w:rsidRPr="00C30625">
        <w:t>the vast majority of</w:t>
      </w:r>
      <w:bookmarkEnd w:id="34"/>
      <w:proofErr w:type="gramEnd"/>
      <w:r w:rsidR="00CB1831" w:rsidRPr="00C30625">
        <w:t xml:space="preserve"> patients expected to be treated with ivosidenib), FOLFOX was associated with an improvement in median OS of only 0.5 months </w:t>
      </w:r>
      <w:r w:rsidR="00643A6F" w:rsidRPr="00C30625">
        <w:t xml:space="preserve">compared to BSC </w:t>
      </w:r>
      <w:r w:rsidR="00CB1831" w:rsidRPr="00C30625">
        <w:t>(5.</w:t>
      </w:r>
      <w:r w:rsidR="00B10E1D" w:rsidRPr="00C30625">
        <w:t>7</w:t>
      </w:r>
      <w:r w:rsidR="00CB1831" w:rsidRPr="00C30625">
        <w:t xml:space="preserve"> vs 5.</w:t>
      </w:r>
      <w:r w:rsidR="00B10E1D" w:rsidRPr="00C30625">
        <w:t>2</w:t>
      </w:r>
      <w:r w:rsidR="00CB1831" w:rsidRPr="00C30625">
        <w:t xml:space="preserve"> months). </w:t>
      </w:r>
      <w:r w:rsidR="00A51560" w:rsidRPr="00C30625">
        <w:t>The PSCR argued that g</w:t>
      </w:r>
      <w:r w:rsidR="00CB1831" w:rsidRPr="00C30625">
        <w:t>iven this small incremental gain for FOLFOX compared to the over 5</w:t>
      </w:r>
      <w:r w:rsidR="00B15EA6">
        <w:t> </w:t>
      </w:r>
      <w:r w:rsidR="00CB1831" w:rsidRPr="00C30625">
        <w:t>months gain in OS observed in ivosidenib treated patients, it is reasonable to consider that ivosidenib would be superior to FOLFOX in IDH1m patients.</w:t>
      </w:r>
      <w:r w:rsidR="002C5A14" w:rsidRPr="00C30625">
        <w:t xml:space="preserve"> </w:t>
      </w:r>
      <w:r w:rsidR="00161C16" w:rsidRPr="00C30625">
        <w:t>The ESC not</w:t>
      </w:r>
      <w:r w:rsidR="00A27A5F" w:rsidRPr="00C30625">
        <w:t>ed, g</w:t>
      </w:r>
      <w:r w:rsidR="00AB6758" w:rsidRPr="00C30625">
        <w:t xml:space="preserve">iven the small number of patients with iCCA in the ABC-06 trial, the comparative result of median OS between the two treatment arms </w:t>
      </w:r>
      <w:r w:rsidR="00F3473B" w:rsidRPr="00C30625">
        <w:t>in</w:t>
      </w:r>
      <w:r w:rsidR="00AB6758" w:rsidRPr="00C30625">
        <w:t xml:space="preserve"> this subgroup should be interpreted with caution.</w:t>
      </w:r>
    </w:p>
    <w:p w14:paraId="195139BE" w14:textId="487468EA" w:rsidR="00757AAD" w:rsidRPr="00C30625" w:rsidRDefault="00757AAD" w:rsidP="007E0187">
      <w:pPr>
        <w:pStyle w:val="ListParagraph"/>
      </w:pPr>
      <w:r w:rsidRPr="00C30625">
        <w:t xml:space="preserve">Overall, the ESCs </w:t>
      </w:r>
      <w:r w:rsidR="001F277C" w:rsidRPr="00C30625">
        <w:t xml:space="preserve">noted that the </w:t>
      </w:r>
      <w:r w:rsidR="007C106E" w:rsidRPr="00C30625">
        <w:t xml:space="preserve">ITC suggested </w:t>
      </w:r>
      <w:r w:rsidR="00D076D9" w:rsidRPr="00C30625">
        <w:t>ivosidenib was likely to be superior to FOLFOX</w:t>
      </w:r>
      <w:r w:rsidR="00BF329F" w:rsidRPr="00C30625">
        <w:t xml:space="preserve"> in terms of OS</w:t>
      </w:r>
      <w:r w:rsidR="00D93BA0" w:rsidRPr="00C30625">
        <w:t>, but was associated with a high level of uncertainty</w:t>
      </w:r>
      <w:r w:rsidR="00080570" w:rsidRPr="00C30625">
        <w:t xml:space="preserve"> and </w:t>
      </w:r>
      <w:r w:rsidR="00BF329F" w:rsidRPr="00C30625">
        <w:t>did not reach statistical significance</w:t>
      </w:r>
      <w:r w:rsidR="002C37E8" w:rsidRPr="00C30625">
        <w:t xml:space="preserve">. </w:t>
      </w:r>
      <w:r w:rsidR="00D93BA0" w:rsidRPr="00C30625">
        <w:t>T</w:t>
      </w:r>
      <w:r w:rsidR="002C37E8" w:rsidRPr="00C30625">
        <w:t xml:space="preserve">he ESCs </w:t>
      </w:r>
      <w:r w:rsidRPr="00C30625">
        <w:t>considered that the</w:t>
      </w:r>
      <w:r w:rsidR="001F277C" w:rsidRPr="00C30625">
        <w:t xml:space="preserve"> trials included were not sufficiently comparable to justify the conduct of ITCs, </w:t>
      </w:r>
      <w:r w:rsidR="0072761F" w:rsidRPr="00C30625">
        <w:t xml:space="preserve">noting that transitivity issues remained after matching adjustment due to important residual differences in patient characteristics (including IDH1 status and CCA tumour site). In addition, the MAIC was confounded by </w:t>
      </w:r>
      <w:r w:rsidR="004526FE" w:rsidRPr="00C30625">
        <w:t xml:space="preserve">the </w:t>
      </w:r>
      <w:r w:rsidR="0072761F" w:rsidRPr="00C30625">
        <w:t>small numbers</w:t>
      </w:r>
      <w:r w:rsidR="00E83417" w:rsidRPr="00C30625">
        <w:t xml:space="preserve"> </w:t>
      </w:r>
      <w:r w:rsidR="004526FE" w:rsidRPr="00C30625">
        <w:t xml:space="preserve">included in the analysis and </w:t>
      </w:r>
      <w:r w:rsidR="001F277C" w:rsidRPr="00C30625">
        <w:t>use of RPSFT-adjusted OS for the placebo arm of the ClarIDHy trial.</w:t>
      </w:r>
    </w:p>
    <w:p w14:paraId="7B5DCD0C" w14:textId="77777777" w:rsidR="00911D4C" w:rsidRPr="00AB222B" w:rsidRDefault="00911D4C" w:rsidP="00AB222B">
      <w:pPr>
        <w:pStyle w:val="PBACESHeading2"/>
        <w:numPr>
          <w:ilvl w:val="2"/>
          <w:numId w:val="0"/>
        </w:numPr>
        <w:rPr>
          <w:rFonts w:asciiTheme="minorHAnsi" w:hAnsiTheme="minorHAnsi" w:cstheme="minorHAnsi"/>
          <w:color w:val="0D0D0D" w:themeColor="text1" w:themeTint="F2"/>
        </w:rPr>
      </w:pPr>
      <w:bookmarkStart w:id="35" w:name="_Toc166763147"/>
      <w:r w:rsidRPr="00AB222B">
        <w:rPr>
          <w:rFonts w:asciiTheme="minorHAnsi" w:hAnsiTheme="minorHAnsi" w:cstheme="minorHAnsi"/>
          <w:color w:val="0D0D0D" w:themeColor="text1" w:themeTint="F2"/>
        </w:rPr>
        <w:t>Comparative harms</w:t>
      </w:r>
      <w:bookmarkEnd w:id="35"/>
    </w:p>
    <w:p w14:paraId="59392FA0" w14:textId="595C7DDA" w:rsidR="00911D4C" w:rsidRPr="003E7195" w:rsidRDefault="00911D4C" w:rsidP="00911D4C">
      <w:pPr>
        <w:pStyle w:val="COMH3"/>
        <w:spacing w:after="120"/>
        <w:outlineLvl w:val="2"/>
        <w:rPr>
          <w:color w:val="0D0D0D" w:themeColor="text1" w:themeTint="F2"/>
          <w:sz w:val="24"/>
          <w:szCs w:val="22"/>
        </w:rPr>
      </w:pPr>
      <w:r w:rsidRPr="003E7195">
        <w:rPr>
          <w:color w:val="0D0D0D" w:themeColor="text1" w:themeTint="F2"/>
          <w:sz w:val="24"/>
          <w:szCs w:val="22"/>
        </w:rPr>
        <w:t>Head-to-head comparison of ivosidenib versus palliative/BSC</w:t>
      </w:r>
    </w:p>
    <w:p w14:paraId="43CFA956" w14:textId="3A455635" w:rsidR="005B01E8" w:rsidRPr="003E7195" w:rsidRDefault="005B01E8" w:rsidP="007E0187">
      <w:pPr>
        <w:pStyle w:val="ListParagraph"/>
      </w:pPr>
      <w:r w:rsidRPr="003E7195">
        <w:t>The submission provided safety data on: 1) patients in the ivosidenib arm (N=1</w:t>
      </w:r>
      <w:r w:rsidR="0051304B" w:rsidRPr="003E7195">
        <w:t>2</w:t>
      </w:r>
      <w:r w:rsidR="00381E78" w:rsidRPr="003E7195">
        <w:t>3</w:t>
      </w:r>
      <w:r w:rsidRPr="003E7195">
        <w:t>); 2) patients in the placebo arm, before crossover to open-label ivosidenib (N=</w:t>
      </w:r>
      <w:r w:rsidR="00381E78" w:rsidRPr="003E7195">
        <w:t>59</w:t>
      </w:r>
      <w:r w:rsidRPr="003E7195">
        <w:t xml:space="preserve">); 3) patients switching from placebo to open-label ivosidenib, after crossover (N=43); and 4) all patients receiving ivosidenib, including those from the ivosidenib arm and those switching from placebo to open-label ivosidenib (N=166). </w:t>
      </w:r>
      <w:r w:rsidRPr="003E7195">
        <w:fldChar w:fldCharType="begin" w:fldLock="1"/>
      </w:r>
      <w:r w:rsidRPr="003E7195">
        <w:instrText xml:space="preserve"> REF _Ref164121588 \h </w:instrText>
      </w:r>
      <w:r w:rsidRPr="003E7195">
        <w:fldChar w:fldCharType="separate"/>
      </w:r>
      <w:r w:rsidR="00CB6594" w:rsidRPr="003E7195">
        <w:t xml:space="preserve">Table </w:t>
      </w:r>
      <w:r w:rsidR="00CB6594">
        <w:rPr>
          <w:noProof/>
        </w:rPr>
        <w:t>9</w:t>
      </w:r>
      <w:r w:rsidRPr="003E7195">
        <w:fldChar w:fldCharType="end"/>
      </w:r>
      <w:r w:rsidRPr="003E7195">
        <w:t xml:space="preserve"> summarises the overall treatment-emergent adverse events (TEAEs) in the ClarIDHy trial.</w:t>
      </w:r>
    </w:p>
    <w:p w14:paraId="50F68F43" w14:textId="6466FD43" w:rsidR="00E91EBE" w:rsidRPr="003E7195" w:rsidRDefault="009A4C56" w:rsidP="007E0187">
      <w:pPr>
        <w:pStyle w:val="ListParagraph"/>
      </w:pPr>
      <w:r w:rsidRPr="5E50F0AE">
        <w:t xml:space="preserve">At DCO2 of the ClarIDHy trial, </w:t>
      </w:r>
      <w:r w:rsidR="006D6238" w:rsidRPr="003E7195">
        <w:t>t</w:t>
      </w:r>
      <w:r w:rsidR="006C7824" w:rsidRPr="003E7195">
        <w:t>he treatment duration for patient</w:t>
      </w:r>
      <w:r w:rsidR="00D110DF" w:rsidRPr="003E7195">
        <w:t>s</w:t>
      </w:r>
      <w:r w:rsidR="006C7824" w:rsidRPr="003E7195">
        <w:t xml:space="preserve"> randomised to the ivosidenib arm (n=123) </w:t>
      </w:r>
      <w:r w:rsidR="00D110DF" w:rsidRPr="003E7195">
        <w:t xml:space="preserve">was much longer than the treatment duration for placebo patients before crossover (n=59): mean: 6.3 months </w:t>
      </w:r>
      <w:r w:rsidR="00D110DF" w:rsidRPr="003E7195">
        <w:rPr>
          <w:i/>
          <w:iCs/>
        </w:rPr>
        <w:t xml:space="preserve">versus </w:t>
      </w:r>
      <w:r w:rsidR="00D110DF" w:rsidRPr="003E7195">
        <w:t>2.2 month; median: 2.8</w:t>
      </w:r>
      <w:r w:rsidR="00B15EA6">
        <w:t> </w:t>
      </w:r>
      <w:r w:rsidR="00D110DF" w:rsidRPr="003E7195">
        <w:t xml:space="preserve">months </w:t>
      </w:r>
      <w:r w:rsidR="00D110DF" w:rsidRPr="003E7195">
        <w:rPr>
          <w:i/>
          <w:iCs/>
        </w:rPr>
        <w:t xml:space="preserve">versus </w:t>
      </w:r>
      <w:r w:rsidR="006C7824" w:rsidRPr="003E7195">
        <w:t>1.6 months.</w:t>
      </w:r>
      <w:r w:rsidR="006D6238" w:rsidRPr="003E7195">
        <w:t xml:space="preserve"> </w:t>
      </w:r>
      <w:r w:rsidR="00D110DF" w:rsidRPr="003E7195">
        <w:t>Acknowledging this, t</w:t>
      </w:r>
      <w:r w:rsidR="006D6238" w:rsidRPr="003E7195">
        <w:t xml:space="preserve">he incidence of </w:t>
      </w:r>
      <w:r w:rsidR="00D110DF" w:rsidRPr="003E7195">
        <w:t xml:space="preserve">Grade </w:t>
      </w:r>
      <w:r w:rsidR="00D110DF" w:rsidRPr="5E50F0AE">
        <w:t>≥</w:t>
      </w:r>
      <w:r w:rsidR="00D110DF" w:rsidRPr="003E7195">
        <w:t xml:space="preserve"> 3 TEAEs, serious TEAEs and fatal TEAEs was notably higher in the ivosidenib arm than in the placebo arm. </w:t>
      </w:r>
    </w:p>
    <w:p w14:paraId="02D12A7C" w14:textId="041F51B9" w:rsidR="009A4C56" w:rsidRPr="003E7195" w:rsidRDefault="00E91EBE" w:rsidP="007E0187">
      <w:pPr>
        <w:pStyle w:val="ListParagraph"/>
      </w:pPr>
      <w:r w:rsidRPr="003E7195">
        <w:t>The overall ivosidenib patient population included</w:t>
      </w:r>
      <w:r w:rsidR="00381E78" w:rsidRPr="003E7195">
        <w:t xml:space="preserve"> the</w:t>
      </w:r>
      <w:r w:rsidRPr="003E7195">
        <w:t xml:space="preserve"> additional 43 patients who crossed over from placebo to open-label ivosidenib. The mean duration of ivosidenib therapy in this population was </w:t>
      </w:r>
      <w:r w:rsidR="009A4C56" w:rsidRPr="003E7195">
        <w:t xml:space="preserve">slightly </w:t>
      </w:r>
      <w:r w:rsidRPr="003E7195">
        <w:t xml:space="preserve">shorter than that in the ivosidenib arm only </w:t>
      </w:r>
      <w:r w:rsidRPr="003E7195">
        <w:lastRenderedPageBreak/>
        <w:t xml:space="preserve">population (6.0 months </w:t>
      </w:r>
      <w:r w:rsidRPr="003E7195">
        <w:rPr>
          <w:i/>
          <w:iCs/>
        </w:rPr>
        <w:t xml:space="preserve">vs. </w:t>
      </w:r>
      <w:r w:rsidRPr="003E7195">
        <w:t>6.3 months)</w:t>
      </w:r>
      <w:r w:rsidR="00D110DF" w:rsidRPr="003E7195">
        <w:t>. T</w:t>
      </w:r>
      <w:r w:rsidRPr="003E7195">
        <w:t>he incidence of TEAEs</w:t>
      </w:r>
      <w:r w:rsidR="00D110DF" w:rsidRPr="003E7195">
        <w:t xml:space="preserve"> of any category</w:t>
      </w:r>
      <w:r w:rsidRPr="003E7195">
        <w:t xml:space="preserve">, especially </w:t>
      </w:r>
      <w:r w:rsidR="00B71F04" w:rsidRPr="003E7195">
        <w:t>treatment related</w:t>
      </w:r>
      <w:r w:rsidRPr="003E7195">
        <w:t xml:space="preserve"> TEAEs, in the overall ivosidenib population was either lower than or </w:t>
      </w:r>
      <w:proofErr w:type="gramStart"/>
      <w:r w:rsidRPr="003E7195">
        <w:t>similar to</w:t>
      </w:r>
      <w:proofErr w:type="gramEnd"/>
      <w:r w:rsidRPr="003E7195">
        <w:t xml:space="preserve"> the ivosidenib arm only population. </w:t>
      </w:r>
    </w:p>
    <w:p w14:paraId="5EFCFF4E" w14:textId="26AA6B0D" w:rsidR="00716000" w:rsidRPr="003E7195" w:rsidRDefault="005B01E8" w:rsidP="00013016">
      <w:pPr>
        <w:pStyle w:val="Caption"/>
      </w:pPr>
      <w:bookmarkStart w:id="36" w:name="_Ref164121588"/>
      <w:bookmarkStart w:id="37" w:name="_Hlk163916938"/>
      <w:r w:rsidRPr="003E7195">
        <w:t xml:space="preserve">Table </w:t>
      </w:r>
      <w:r w:rsidR="00841FC2">
        <w:fldChar w:fldCharType="begin" w:fldLock="1"/>
      </w:r>
      <w:r w:rsidR="00841FC2">
        <w:instrText xml:space="preserve"> SEQ Table_PBAC. \* ARABIC </w:instrText>
      </w:r>
      <w:r w:rsidR="00841FC2">
        <w:fldChar w:fldCharType="separate"/>
      </w:r>
      <w:r w:rsidR="00CB6594">
        <w:rPr>
          <w:noProof/>
        </w:rPr>
        <w:t>9</w:t>
      </w:r>
      <w:r w:rsidR="00841FC2">
        <w:rPr>
          <w:noProof/>
        </w:rPr>
        <w:fldChar w:fldCharType="end"/>
      </w:r>
      <w:bookmarkEnd w:id="36"/>
      <w:r w:rsidR="00B15EA6">
        <w:t xml:space="preserve">: </w:t>
      </w:r>
      <w:r w:rsidR="00716000" w:rsidRPr="003E7195">
        <w:t>Overall summary of the treatment-emergent adverse events in the ClarIDHy trial (SAS)</w:t>
      </w:r>
      <w:bookmarkEnd w:id="37"/>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Caption w:val="Table 9: Overall summary of the treatment-emergent adverse events in the ClarIDHy trial (SAS)"/>
      </w:tblPr>
      <w:tblGrid>
        <w:gridCol w:w="3539"/>
        <w:gridCol w:w="1248"/>
        <w:gridCol w:w="1268"/>
        <w:gridCol w:w="1551"/>
        <w:gridCol w:w="1410"/>
      </w:tblGrid>
      <w:tr w:rsidR="003E7195" w:rsidRPr="003E7195" w14:paraId="613AEC3F" w14:textId="77777777" w:rsidTr="00B15EA6">
        <w:trPr>
          <w:cnfStyle w:val="100000000000" w:firstRow="1" w:lastRow="0" w:firstColumn="0" w:lastColumn="0" w:oddVBand="0" w:evenVBand="0" w:oddHBand="0" w:evenHBand="0" w:firstRowFirstColumn="0" w:firstRowLastColumn="0" w:lastRowFirstColumn="0" w:lastRowLastColumn="0"/>
          <w:trHeight w:val="181"/>
        </w:trPr>
        <w:tc>
          <w:tcPr>
            <w:tcW w:w="1963" w:type="pct"/>
            <w:shd w:val="clear" w:color="auto" w:fill="auto"/>
            <w:vAlign w:val="center"/>
          </w:tcPr>
          <w:p w14:paraId="3CA88554" w14:textId="77777777" w:rsidR="006C7824" w:rsidRPr="003E7195" w:rsidRDefault="006C7824" w:rsidP="00B15EA6">
            <w:pPr>
              <w:pStyle w:val="TableText"/>
              <w:keepNext/>
              <w:rPr>
                <w:color w:val="0D0D0D" w:themeColor="text1" w:themeTint="F2"/>
                <w:szCs w:val="20"/>
                <w:lang w:val="en-AU"/>
              </w:rPr>
            </w:pPr>
            <w:r w:rsidRPr="003E7195">
              <w:rPr>
                <w:color w:val="0D0D0D" w:themeColor="text1" w:themeTint="F2"/>
                <w:szCs w:val="20"/>
                <w:lang w:val="en-AU"/>
              </w:rPr>
              <w:t>AE category</w:t>
            </w:r>
          </w:p>
        </w:tc>
        <w:tc>
          <w:tcPr>
            <w:tcW w:w="692" w:type="pct"/>
            <w:shd w:val="clear" w:color="auto" w:fill="FFFFFF" w:themeFill="background1"/>
            <w:vAlign w:val="center"/>
          </w:tcPr>
          <w:p w14:paraId="280FB777"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Ivosidenib</w:t>
            </w:r>
          </w:p>
          <w:p w14:paraId="7DFE22CC"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N=123 (%)</w:t>
            </w:r>
          </w:p>
        </w:tc>
        <w:tc>
          <w:tcPr>
            <w:tcW w:w="703" w:type="pct"/>
            <w:shd w:val="clear" w:color="auto" w:fill="FFFFFF" w:themeFill="background1"/>
            <w:vAlign w:val="center"/>
          </w:tcPr>
          <w:p w14:paraId="1989F2C2"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Placebo</w:t>
            </w:r>
          </w:p>
          <w:p w14:paraId="5C32BFB0"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N=59 (%)</w:t>
            </w:r>
          </w:p>
        </w:tc>
        <w:tc>
          <w:tcPr>
            <w:tcW w:w="860" w:type="pct"/>
            <w:shd w:val="clear" w:color="auto" w:fill="FFFFFF" w:themeFill="background1"/>
            <w:vAlign w:val="center"/>
          </w:tcPr>
          <w:p w14:paraId="21F09A28"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After crossover</w:t>
            </w:r>
          </w:p>
          <w:p w14:paraId="2656B47E"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N=43 (%)</w:t>
            </w:r>
          </w:p>
        </w:tc>
        <w:tc>
          <w:tcPr>
            <w:tcW w:w="782" w:type="pct"/>
            <w:shd w:val="clear" w:color="auto" w:fill="FFFFFF" w:themeFill="background1"/>
            <w:vAlign w:val="center"/>
          </w:tcPr>
          <w:p w14:paraId="675715F2"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Total ivosidenib</w:t>
            </w:r>
          </w:p>
          <w:p w14:paraId="12F1CC65"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N=166 (%)</w:t>
            </w:r>
          </w:p>
        </w:tc>
      </w:tr>
      <w:tr w:rsidR="003E7195" w:rsidRPr="003E7195" w14:paraId="2847523F" w14:textId="77777777" w:rsidTr="00B15EA6">
        <w:trPr>
          <w:trHeight w:val="64"/>
        </w:trPr>
        <w:tc>
          <w:tcPr>
            <w:tcW w:w="1963" w:type="pct"/>
            <w:shd w:val="clear" w:color="auto" w:fill="auto"/>
          </w:tcPr>
          <w:p w14:paraId="2C861783"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Number of TEAE</w:t>
            </w:r>
          </w:p>
        </w:tc>
        <w:tc>
          <w:tcPr>
            <w:tcW w:w="692" w:type="pct"/>
            <w:shd w:val="clear" w:color="auto" w:fill="FFFFFF" w:themeFill="background1"/>
            <w:vAlign w:val="center"/>
          </w:tcPr>
          <w:p w14:paraId="2F40C246"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1,542</w:t>
            </w:r>
          </w:p>
        </w:tc>
        <w:tc>
          <w:tcPr>
            <w:tcW w:w="703" w:type="pct"/>
            <w:shd w:val="clear" w:color="auto" w:fill="FFFFFF" w:themeFill="background1"/>
            <w:vAlign w:val="center"/>
          </w:tcPr>
          <w:p w14:paraId="6269CE6B"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446</w:t>
            </w:r>
          </w:p>
        </w:tc>
        <w:tc>
          <w:tcPr>
            <w:tcW w:w="860" w:type="pct"/>
            <w:shd w:val="clear" w:color="auto" w:fill="FFFFFF" w:themeFill="background1"/>
            <w:vAlign w:val="center"/>
          </w:tcPr>
          <w:p w14:paraId="1020DAA8"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386</w:t>
            </w:r>
          </w:p>
        </w:tc>
        <w:tc>
          <w:tcPr>
            <w:tcW w:w="782" w:type="pct"/>
            <w:shd w:val="clear" w:color="auto" w:fill="FFFFFF" w:themeFill="background1"/>
            <w:vAlign w:val="center"/>
          </w:tcPr>
          <w:p w14:paraId="57711534"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1,928</w:t>
            </w:r>
          </w:p>
        </w:tc>
      </w:tr>
      <w:tr w:rsidR="003E7195" w:rsidRPr="003E7195" w14:paraId="0C21214E" w14:textId="77777777" w:rsidTr="00B15EA6">
        <w:tc>
          <w:tcPr>
            <w:tcW w:w="1963" w:type="pct"/>
            <w:shd w:val="clear" w:color="auto" w:fill="auto"/>
          </w:tcPr>
          <w:p w14:paraId="532AF302"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Number of Grade ≥3 TEAE</w:t>
            </w:r>
          </w:p>
        </w:tc>
        <w:tc>
          <w:tcPr>
            <w:tcW w:w="692" w:type="pct"/>
            <w:shd w:val="clear" w:color="auto" w:fill="FFFFFF" w:themeFill="background1"/>
            <w:vAlign w:val="center"/>
          </w:tcPr>
          <w:p w14:paraId="31B96F71"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226</w:t>
            </w:r>
          </w:p>
        </w:tc>
        <w:tc>
          <w:tcPr>
            <w:tcW w:w="703" w:type="pct"/>
            <w:shd w:val="clear" w:color="auto" w:fill="FFFFFF" w:themeFill="background1"/>
            <w:vAlign w:val="center"/>
          </w:tcPr>
          <w:p w14:paraId="31F5021E"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57</w:t>
            </w:r>
          </w:p>
        </w:tc>
        <w:tc>
          <w:tcPr>
            <w:tcW w:w="860" w:type="pct"/>
            <w:shd w:val="clear" w:color="auto" w:fill="FFFFFF" w:themeFill="background1"/>
            <w:vAlign w:val="center"/>
          </w:tcPr>
          <w:p w14:paraId="1F5EF7FE"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73</w:t>
            </w:r>
          </w:p>
        </w:tc>
        <w:tc>
          <w:tcPr>
            <w:tcW w:w="782" w:type="pct"/>
            <w:shd w:val="clear" w:color="auto" w:fill="FFFFFF" w:themeFill="background1"/>
            <w:vAlign w:val="center"/>
          </w:tcPr>
          <w:p w14:paraId="195C7C81"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299</w:t>
            </w:r>
          </w:p>
        </w:tc>
      </w:tr>
      <w:tr w:rsidR="003E7195" w:rsidRPr="003E7195" w14:paraId="546BEF9C" w14:textId="77777777" w:rsidTr="00B15EA6">
        <w:tc>
          <w:tcPr>
            <w:tcW w:w="1963" w:type="pct"/>
            <w:shd w:val="clear" w:color="auto" w:fill="auto"/>
          </w:tcPr>
          <w:p w14:paraId="6E0768E7"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any TEAE</w:t>
            </w:r>
          </w:p>
        </w:tc>
        <w:tc>
          <w:tcPr>
            <w:tcW w:w="692" w:type="pct"/>
            <w:shd w:val="clear" w:color="auto" w:fill="FFFFFF" w:themeFill="background1"/>
            <w:vAlign w:val="center"/>
          </w:tcPr>
          <w:p w14:paraId="2D504F45"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120 (97.6)</w:t>
            </w:r>
          </w:p>
        </w:tc>
        <w:tc>
          <w:tcPr>
            <w:tcW w:w="703" w:type="pct"/>
            <w:shd w:val="clear" w:color="auto" w:fill="FFFFFF" w:themeFill="background1"/>
            <w:vAlign w:val="center"/>
          </w:tcPr>
          <w:p w14:paraId="7CFDCC86"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57 (96.6)</w:t>
            </w:r>
          </w:p>
        </w:tc>
        <w:tc>
          <w:tcPr>
            <w:tcW w:w="860" w:type="pct"/>
            <w:shd w:val="clear" w:color="auto" w:fill="FFFFFF" w:themeFill="background1"/>
            <w:vAlign w:val="center"/>
          </w:tcPr>
          <w:p w14:paraId="2F9C354E"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41 (95.3)</w:t>
            </w:r>
          </w:p>
        </w:tc>
        <w:tc>
          <w:tcPr>
            <w:tcW w:w="782" w:type="pct"/>
            <w:shd w:val="clear" w:color="auto" w:fill="FFFFFF" w:themeFill="background1"/>
            <w:vAlign w:val="center"/>
          </w:tcPr>
          <w:p w14:paraId="16B5B84C"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161 (97.0)</w:t>
            </w:r>
          </w:p>
        </w:tc>
      </w:tr>
      <w:tr w:rsidR="003E7195" w:rsidRPr="003E7195" w14:paraId="38A44238" w14:textId="77777777" w:rsidTr="00B15EA6">
        <w:tc>
          <w:tcPr>
            <w:tcW w:w="1963" w:type="pct"/>
            <w:shd w:val="clear" w:color="auto" w:fill="auto"/>
          </w:tcPr>
          <w:p w14:paraId="4BD40FC2"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any Grade ≥3 TEAE</w:t>
            </w:r>
          </w:p>
        </w:tc>
        <w:tc>
          <w:tcPr>
            <w:tcW w:w="692" w:type="pct"/>
            <w:shd w:val="clear" w:color="auto" w:fill="FFFFFF" w:themeFill="background1"/>
            <w:vAlign w:val="center"/>
          </w:tcPr>
          <w:p w14:paraId="216D6862"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62 (50.4)</w:t>
            </w:r>
          </w:p>
        </w:tc>
        <w:tc>
          <w:tcPr>
            <w:tcW w:w="703" w:type="pct"/>
            <w:shd w:val="clear" w:color="auto" w:fill="FFFFFF" w:themeFill="background1"/>
            <w:vAlign w:val="center"/>
          </w:tcPr>
          <w:p w14:paraId="7D4A4872"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22 (37.3)</w:t>
            </w:r>
          </w:p>
        </w:tc>
        <w:tc>
          <w:tcPr>
            <w:tcW w:w="860" w:type="pct"/>
            <w:shd w:val="clear" w:color="auto" w:fill="FFFFFF" w:themeFill="background1"/>
            <w:vAlign w:val="center"/>
          </w:tcPr>
          <w:p w14:paraId="25CA3D3E"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26 (60.5)</w:t>
            </w:r>
          </w:p>
        </w:tc>
        <w:tc>
          <w:tcPr>
            <w:tcW w:w="782" w:type="pct"/>
            <w:shd w:val="clear" w:color="auto" w:fill="FFFFFF" w:themeFill="background1"/>
            <w:vAlign w:val="center"/>
          </w:tcPr>
          <w:p w14:paraId="5A9C48DE"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88 (53.0)</w:t>
            </w:r>
          </w:p>
        </w:tc>
      </w:tr>
      <w:tr w:rsidR="003E7195" w:rsidRPr="003E7195" w14:paraId="0075BD1E" w14:textId="77777777" w:rsidTr="00B15EA6">
        <w:tc>
          <w:tcPr>
            <w:tcW w:w="1963" w:type="pct"/>
            <w:shd w:val="clear" w:color="auto" w:fill="auto"/>
          </w:tcPr>
          <w:p w14:paraId="108D2275"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related TEAE</w:t>
            </w:r>
          </w:p>
        </w:tc>
        <w:tc>
          <w:tcPr>
            <w:tcW w:w="692" w:type="pct"/>
            <w:shd w:val="clear" w:color="auto" w:fill="FFFFFF" w:themeFill="background1"/>
            <w:vAlign w:val="center"/>
          </w:tcPr>
          <w:p w14:paraId="116F9A41"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81 (65.9)</w:t>
            </w:r>
          </w:p>
        </w:tc>
        <w:tc>
          <w:tcPr>
            <w:tcW w:w="703" w:type="pct"/>
            <w:shd w:val="clear" w:color="auto" w:fill="FFFFFF" w:themeFill="background1"/>
            <w:vAlign w:val="center"/>
          </w:tcPr>
          <w:p w14:paraId="017D687D"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23 (39.0)</w:t>
            </w:r>
          </w:p>
        </w:tc>
        <w:tc>
          <w:tcPr>
            <w:tcW w:w="860" w:type="pct"/>
            <w:shd w:val="clear" w:color="auto" w:fill="FFFFFF" w:themeFill="background1"/>
            <w:vAlign w:val="center"/>
          </w:tcPr>
          <w:p w14:paraId="431E31B7"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23 (53.5)</w:t>
            </w:r>
          </w:p>
        </w:tc>
        <w:tc>
          <w:tcPr>
            <w:tcW w:w="782" w:type="pct"/>
            <w:shd w:val="clear" w:color="auto" w:fill="FFFFFF" w:themeFill="background1"/>
            <w:vAlign w:val="center"/>
          </w:tcPr>
          <w:p w14:paraId="78661D0F"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104 (62.7)</w:t>
            </w:r>
          </w:p>
        </w:tc>
      </w:tr>
      <w:tr w:rsidR="003E7195" w:rsidRPr="003E7195" w14:paraId="73A4EAD8" w14:textId="77777777" w:rsidTr="00B15EA6">
        <w:tc>
          <w:tcPr>
            <w:tcW w:w="1963" w:type="pct"/>
            <w:shd w:val="clear" w:color="auto" w:fill="auto"/>
          </w:tcPr>
          <w:p w14:paraId="3FE4D455"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Grade ≥3 related TEAE</w:t>
            </w:r>
          </w:p>
        </w:tc>
        <w:tc>
          <w:tcPr>
            <w:tcW w:w="692" w:type="pct"/>
            <w:shd w:val="clear" w:color="auto" w:fill="FFFFFF" w:themeFill="background1"/>
            <w:vAlign w:val="center"/>
          </w:tcPr>
          <w:p w14:paraId="48B28FB4"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8 (6.5)</w:t>
            </w:r>
          </w:p>
        </w:tc>
        <w:tc>
          <w:tcPr>
            <w:tcW w:w="703" w:type="pct"/>
            <w:shd w:val="clear" w:color="auto" w:fill="FFFFFF" w:themeFill="background1"/>
            <w:vAlign w:val="center"/>
          </w:tcPr>
          <w:p w14:paraId="053FD4FF"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860" w:type="pct"/>
            <w:shd w:val="clear" w:color="auto" w:fill="FFFFFF" w:themeFill="background1"/>
            <w:vAlign w:val="center"/>
          </w:tcPr>
          <w:p w14:paraId="7CDADDA0"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3 (7.0)</w:t>
            </w:r>
          </w:p>
        </w:tc>
        <w:tc>
          <w:tcPr>
            <w:tcW w:w="782" w:type="pct"/>
            <w:shd w:val="clear" w:color="auto" w:fill="FFFFFF" w:themeFill="background1"/>
            <w:vAlign w:val="center"/>
          </w:tcPr>
          <w:p w14:paraId="73753CA8"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11 (6.6)</w:t>
            </w:r>
          </w:p>
        </w:tc>
      </w:tr>
      <w:tr w:rsidR="003E7195" w:rsidRPr="003E7195" w14:paraId="4D131BB9" w14:textId="77777777" w:rsidTr="00B15EA6">
        <w:tc>
          <w:tcPr>
            <w:tcW w:w="1963" w:type="pct"/>
            <w:shd w:val="clear" w:color="auto" w:fill="auto"/>
          </w:tcPr>
          <w:p w14:paraId="18D25D60"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serious TEAE</w:t>
            </w:r>
          </w:p>
        </w:tc>
        <w:tc>
          <w:tcPr>
            <w:tcW w:w="692" w:type="pct"/>
            <w:shd w:val="clear" w:color="auto" w:fill="FFFFFF" w:themeFill="background1"/>
            <w:vAlign w:val="center"/>
          </w:tcPr>
          <w:p w14:paraId="5954FDEC"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42 (34.1)</w:t>
            </w:r>
          </w:p>
        </w:tc>
        <w:tc>
          <w:tcPr>
            <w:tcW w:w="703" w:type="pct"/>
            <w:shd w:val="clear" w:color="auto" w:fill="FFFFFF" w:themeFill="background1"/>
            <w:vAlign w:val="center"/>
          </w:tcPr>
          <w:p w14:paraId="2C9E1C9B"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14 (23.7)</w:t>
            </w:r>
          </w:p>
        </w:tc>
        <w:tc>
          <w:tcPr>
            <w:tcW w:w="860" w:type="pct"/>
            <w:shd w:val="clear" w:color="auto" w:fill="FFFFFF" w:themeFill="background1"/>
            <w:vAlign w:val="center"/>
          </w:tcPr>
          <w:p w14:paraId="48BC1FEE"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12 (27.9)</w:t>
            </w:r>
          </w:p>
        </w:tc>
        <w:tc>
          <w:tcPr>
            <w:tcW w:w="782" w:type="pct"/>
            <w:shd w:val="clear" w:color="auto" w:fill="FFFFFF" w:themeFill="background1"/>
            <w:vAlign w:val="center"/>
          </w:tcPr>
          <w:p w14:paraId="7421BB15"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54 (32.5)</w:t>
            </w:r>
          </w:p>
        </w:tc>
      </w:tr>
      <w:tr w:rsidR="003E7195" w:rsidRPr="003E7195" w14:paraId="4CBA1291" w14:textId="77777777" w:rsidTr="00B15EA6">
        <w:tc>
          <w:tcPr>
            <w:tcW w:w="1963" w:type="pct"/>
            <w:shd w:val="clear" w:color="auto" w:fill="auto"/>
          </w:tcPr>
          <w:p w14:paraId="711B753A"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related serious TEAE</w:t>
            </w:r>
          </w:p>
        </w:tc>
        <w:tc>
          <w:tcPr>
            <w:tcW w:w="692" w:type="pct"/>
            <w:shd w:val="clear" w:color="auto" w:fill="FFFFFF" w:themeFill="background1"/>
            <w:vAlign w:val="center"/>
          </w:tcPr>
          <w:p w14:paraId="456D16EC"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3 (2.4)</w:t>
            </w:r>
          </w:p>
        </w:tc>
        <w:tc>
          <w:tcPr>
            <w:tcW w:w="703" w:type="pct"/>
            <w:shd w:val="clear" w:color="auto" w:fill="FFFFFF" w:themeFill="background1"/>
            <w:vAlign w:val="center"/>
          </w:tcPr>
          <w:p w14:paraId="05154876"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860" w:type="pct"/>
            <w:shd w:val="clear" w:color="auto" w:fill="FFFFFF" w:themeFill="background1"/>
            <w:vAlign w:val="center"/>
          </w:tcPr>
          <w:p w14:paraId="1C89797D"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782" w:type="pct"/>
            <w:shd w:val="clear" w:color="auto" w:fill="FFFFFF" w:themeFill="background1"/>
            <w:vAlign w:val="center"/>
          </w:tcPr>
          <w:p w14:paraId="610660BD"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3 (1.8)</w:t>
            </w:r>
          </w:p>
        </w:tc>
      </w:tr>
      <w:tr w:rsidR="003E7195" w:rsidRPr="003E7195" w14:paraId="44370D42" w14:textId="77777777" w:rsidTr="00B15EA6">
        <w:tc>
          <w:tcPr>
            <w:tcW w:w="1963" w:type="pct"/>
            <w:shd w:val="clear" w:color="auto" w:fill="auto"/>
          </w:tcPr>
          <w:p w14:paraId="196731B3"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TEAE leading to study drug discontinuation</w:t>
            </w:r>
          </w:p>
        </w:tc>
        <w:tc>
          <w:tcPr>
            <w:tcW w:w="692" w:type="pct"/>
            <w:shd w:val="clear" w:color="auto" w:fill="FFFFFF" w:themeFill="background1"/>
            <w:vAlign w:val="center"/>
          </w:tcPr>
          <w:p w14:paraId="26EA5E85"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9 (7.3)</w:t>
            </w:r>
          </w:p>
        </w:tc>
        <w:tc>
          <w:tcPr>
            <w:tcW w:w="703" w:type="pct"/>
            <w:shd w:val="clear" w:color="auto" w:fill="FFFFFF" w:themeFill="background1"/>
            <w:vAlign w:val="center"/>
          </w:tcPr>
          <w:p w14:paraId="0838DA87"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5 (8.5)</w:t>
            </w:r>
          </w:p>
        </w:tc>
        <w:tc>
          <w:tcPr>
            <w:tcW w:w="860" w:type="pct"/>
            <w:shd w:val="clear" w:color="auto" w:fill="FFFFFF" w:themeFill="background1"/>
            <w:vAlign w:val="center"/>
          </w:tcPr>
          <w:p w14:paraId="08242817"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 (4.7)</w:t>
            </w:r>
          </w:p>
        </w:tc>
        <w:tc>
          <w:tcPr>
            <w:tcW w:w="782" w:type="pct"/>
            <w:shd w:val="clear" w:color="auto" w:fill="FFFFFF" w:themeFill="background1"/>
            <w:vAlign w:val="center"/>
          </w:tcPr>
          <w:p w14:paraId="6E22B2ED"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11 (6.6)</w:t>
            </w:r>
          </w:p>
        </w:tc>
      </w:tr>
      <w:tr w:rsidR="003E7195" w:rsidRPr="003E7195" w14:paraId="1EE39F77" w14:textId="77777777" w:rsidTr="00B15EA6">
        <w:tc>
          <w:tcPr>
            <w:tcW w:w="1963" w:type="pct"/>
            <w:shd w:val="clear" w:color="auto" w:fill="auto"/>
          </w:tcPr>
          <w:p w14:paraId="0F046AD5" w14:textId="77777777" w:rsidR="006C7824" w:rsidRPr="003E7195" w:rsidRDefault="006C7824" w:rsidP="00D14A3E">
            <w:pPr>
              <w:pStyle w:val="Tabletext0"/>
              <w:rPr>
                <w:color w:val="0D0D0D" w:themeColor="text1" w:themeTint="F2"/>
                <w:szCs w:val="20"/>
                <w:lang w:val="en-AU"/>
              </w:rPr>
            </w:pPr>
            <w:r w:rsidRPr="003E7195">
              <w:rPr>
                <w:color w:val="0D0D0D" w:themeColor="text1" w:themeTint="F2"/>
                <w:szCs w:val="20"/>
                <w:lang w:val="en-AU"/>
              </w:rPr>
              <w:t>Subjects with related TEAE leading to study drug discontinuation</w:t>
            </w:r>
          </w:p>
        </w:tc>
        <w:tc>
          <w:tcPr>
            <w:tcW w:w="692" w:type="pct"/>
            <w:shd w:val="clear" w:color="auto" w:fill="FFFFFF" w:themeFill="background1"/>
            <w:vAlign w:val="center"/>
          </w:tcPr>
          <w:p w14:paraId="3783164A"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 (1.6)</w:t>
            </w:r>
          </w:p>
        </w:tc>
        <w:tc>
          <w:tcPr>
            <w:tcW w:w="703" w:type="pct"/>
            <w:shd w:val="clear" w:color="auto" w:fill="FFFFFF" w:themeFill="background1"/>
            <w:vAlign w:val="center"/>
          </w:tcPr>
          <w:p w14:paraId="3AFAF577"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860" w:type="pct"/>
            <w:shd w:val="clear" w:color="auto" w:fill="FFFFFF" w:themeFill="background1"/>
            <w:vAlign w:val="center"/>
          </w:tcPr>
          <w:p w14:paraId="48A7B53D"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782" w:type="pct"/>
            <w:shd w:val="clear" w:color="auto" w:fill="FFFFFF" w:themeFill="background1"/>
            <w:vAlign w:val="center"/>
          </w:tcPr>
          <w:p w14:paraId="64E0CB49"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 (1.2)</w:t>
            </w:r>
          </w:p>
        </w:tc>
      </w:tr>
      <w:tr w:rsidR="003E7195" w:rsidRPr="003E7195" w14:paraId="7FA209AF" w14:textId="77777777" w:rsidTr="00B15EA6">
        <w:tc>
          <w:tcPr>
            <w:tcW w:w="1963" w:type="pct"/>
            <w:shd w:val="clear" w:color="auto" w:fill="auto"/>
          </w:tcPr>
          <w:p w14:paraId="1D6959F2"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TEAE leading to death</w:t>
            </w:r>
          </w:p>
        </w:tc>
        <w:tc>
          <w:tcPr>
            <w:tcW w:w="692" w:type="pct"/>
            <w:shd w:val="clear" w:color="auto" w:fill="FFFFFF" w:themeFill="background1"/>
            <w:vAlign w:val="center"/>
          </w:tcPr>
          <w:p w14:paraId="6DAC57DA"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6 (4.9)</w:t>
            </w:r>
          </w:p>
        </w:tc>
        <w:tc>
          <w:tcPr>
            <w:tcW w:w="703" w:type="pct"/>
            <w:shd w:val="clear" w:color="auto" w:fill="FFFFFF" w:themeFill="background1"/>
            <w:vAlign w:val="center"/>
          </w:tcPr>
          <w:p w14:paraId="07B33638"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860" w:type="pct"/>
            <w:shd w:val="clear" w:color="auto" w:fill="FFFFFF" w:themeFill="background1"/>
            <w:vAlign w:val="center"/>
          </w:tcPr>
          <w:p w14:paraId="0133A4BD"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2 (4.7)</w:t>
            </w:r>
          </w:p>
        </w:tc>
        <w:tc>
          <w:tcPr>
            <w:tcW w:w="782" w:type="pct"/>
            <w:shd w:val="clear" w:color="auto" w:fill="FFFFFF" w:themeFill="background1"/>
            <w:vAlign w:val="center"/>
          </w:tcPr>
          <w:p w14:paraId="3543A873"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8 (4.8)</w:t>
            </w:r>
          </w:p>
        </w:tc>
      </w:tr>
      <w:tr w:rsidR="003E7195" w:rsidRPr="003E7195" w14:paraId="2EE30D5C" w14:textId="77777777" w:rsidTr="00B15EA6">
        <w:tc>
          <w:tcPr>
            <w:tcW w:w="1963" w:type="pct"/>
            <w:shd w:val="clear" w:color="auto" w:fill="auto"/>
          </w:tcPr>
          <w:p w14:paraId="065A75FA" w14:textId="77777777" w:rsidR="006C7824" w:rsidRPr="003E7195" w:rsidRDefault="006C7824" w:rsidP="00D14A3E">
            <w:pPr>
              <w:pStyle w:val="TableText"/>
              <w:keepNext/>
              <w:rPr>
                <w:color w:val="0D0D0D" w:themeColor="text1" w:themeTint="F2"/>
                <w:szCs w:val="20"/>
                <w:lang w:val="en-AU"/>
              </w:rPr>
            </w:pPr>
            <w:r w:rsidRPr="003E7195">
              <w:rPr>
                <w:color w:val="0D0D0D" w:themeColor="text1" w:themeTint="F2"/>
                <w:szCs w:val="20"/>
                <w:lang w:val="en-AU"/>
              </w:rPr>
              <w:t>Subjects with related TEAE leading to death</w:t>
            </w:r>
          </w:p>
        </w:tc>
        <w:tc>
          <w:tcPr>
            <w:tcW w:w="692" w:type="pct"/>
            <w:shd w:val="clear" w:color="auto" w:fill="FFFFFF" w:themeFill="background1"/>
            <w:vAlign w:val="center"/>
          </w:tcPr>
          <w:p w14:paraId="576CA932"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703" w:type="pct"/>
            <w:shd w:val="clear" w:color="auto" w:fill="FFFFFF" w:themeFill="background1"/>
            <w:vAlign w:val="center"/>
          </w:tcPr>
          <w:p w14:paraId="7EA3D7E6"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860" w:type="pct"/>
            <w:shd w:val="clear" w:color="auto" w:fill="FFFFFF" w:themeFill="background1"/>
            <w:vAlign w:val="center"/>
          </w:tcPr>
          <w:p w14:paraId="6E9E929B"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c>
          <w:tcPr>
            <w:tcW w:w="782" w:type="pct"/>
            <w:shd w:val="clear" w:color="auto" w:fill="FFFFFF" w:themeFill="background1"/>
            <w:vAlign w:val="center"/>
          </w:tcPr>
          <w:p w14:paraId="546B2E7B" w14:textId="77777777" w:rsidR="006C7824" w:rsidRPr="003E7195" w:rsidRDefault="006C7824" w:rsidP="00B15EA6">
            <w:pPr>
              <w:pStyle w:val="TableText"/>
              <w:keepNext/>
              <w:jc w:val="center"/>
              <w:rPr>
                <w:color w:val="0D0D0D" w:themeColor="text1" w:themeTint="F2"/>
                <w:szCs w:val="20"/>
                <w:lang w:val="en-AU"/>
              </w:rPr>
            </w:pPr>
            <w:r w:rsidRPr="003E7195">
              <w:rPr>
                <w:color w:val="0D0D0D" w:themeColor="text1" w:themeTint="F2"/>
                <w:szCs w:val="20"/>
                <w:lang w:val="en-AU"/>
              </w:rPr>
              <w:t>0</w:t>
            </w:r>
          </w:p>
        </w:tc>
      </w:tr>
    </w:tbl>
    <w:p w14:paraId="578452BE" w14:textId="377B24ED" w:rsidR="006C7824" w:rsidRPr="003E7195" w:rsidRDefault="006C7824" w:rsidP="006C7824">
      <w:pPr>
        <w:pStyle w:val="TableFooter"/>
        <w:rPr>
          <w:rFonts w:eastAsia="Calibri" w:cstheme="minorHAnsi"/>
          <w:color w:val="0D0D0D" w:themeColor="text1" w:themeTint="F2"/>
          <w:szCs w:val="18"/>
        </w:rPr>
      </w:pPr>
      <w:r w:rsidRPr="003E7195">
        <w:rPr>
          <w:rFonts w:eastAsia="Calibri" w:cstheme="minorHAnsi"/>
          <w:color w:val="0D0D0D" w:themeColor="text1" w:themeTint="F2"/>
          <w:szCs w:val="18"/>
        </w:rPr>
        <w:t>Source: Table 2-38, of the submission</w:t>
      </w:r>
    </w:p>
    <w:p w14:paraId="0A673871" w14:textId="77777777" w:rsidR="006C7824" w:rsidRPr="003E7195" w:rsidRDefault="006C7824" w:rsidP="006C7824">
      <w:pPr>
        <w:pStyle w:val="TableFooter"/>
        <w:rPr>
          <w:rFonts w:eastAsia="Calibri" w:cstheme="minorHAnsi"/>
          <w:bCs/>
          <w:color w:val="0D0D0D" w:themeColor="text1" w:themeTint="F2"/>
          <w:szCs w:val="18"/>
        </w:rPr>
      </w:pPr>
      <w:r w:rsidRPr="003E7195">
        <w:rPr>
          <w:rFonts w:eastAsia="Calibri" w:cstheme="minorHAnsi"/>
          <w:bCs/>
          <w:color w:val="0D0D0D" w:themeColor="text1" w:themeTint="F2"/>
          <w:szCs w:val="18"/>
        </w:rPr>
        <w:t>AE = adverse event; SAS = safety analysis set; TE = treatment-emergent; TEAE = treatment-emergent adverse event</w:t>
      </w:r>
    </w:p>
    <w:p w14:paraId="34ECEC5E" w14:textId="77777777" w:rsidR="006C7824" w:rsidRPr="003E7195" w:rsidRDefault="006C7824" w:rsidP="006C7824">
      <w:pPr>
        <w:pStyle w:val="TableFooter"/>
        <w:jc w:val="left"/>
        <w:rPr>
          <w:color w:val="0D0D0D" w:themeColor="text1" w:themeTint="F2"/>
        </w:rPr>
      </w:pPr>
      <w:r w:rsidRPr="003E7195">
        <w:rPr>
          <w:color w:val="0D0D0D" w:themeColor="text1" w:themeTint="F2"/>
        </w:rPr>
        <w:t>Note: Data cutoff date: 31</w:t>
      </w:r>
      <w:r w:rsidRPr="003E7195">
        <w:rPr>
          <w:color w:val="0D0D0D" w:themeColor="text1" w:themeTint="F2"/>
          <w:vertAlign w:val="superscript"/>
        </w:rPr>
        <w:t>st</w:t>
      </w:r>
      <w:r w:rsidRPr="003E7195">
        <w:rPr>
          <w:color w:val="0D0D0D" w:themeColor="text1" w:themeTint="F2"/>
        </w:rPr>
        <w:t xml:space="preserve"> May 2020</w:t>
      </w:r>
    </w:p>
    <w:p w14:paraId="6BDF2C74" w14:textId="3B6F9DAA" w:rsidR="00EA6BA8" w:rsidRPr="00D7489E" w:rsidRDefault="00E91EBE" w:rsidP="007E0187">
      <w:pPr>
        <w:pStyle w:val="ListParagraph"/>
      </w:pPr>
      <w:r w:rsidRPr="00D7489E">
        <w:t xml:space="preserve">Approximately half (50.4%) of the patients in the ivosidenib arm (not including crossover patients) experienced ≥ Grade 3 TEAEs. </w:t>
      </w:r>
      <w:r w:rsidR="00932332" w:rsidRPr="00D7489E">
        <w:t xml:space="preserve">Grade 3 or higher grade TEAEs that were most frequently reported (≥ 5%) in patients receiving ivosidenib included: ascites (7.4%), anaemia (6.5%), increased serum bilirubin (5.7%) and hyponatraemia (5.7%). Serious adverse events (SAEs) occurred in 34.1% of patients in the ivosidenib arm. The most common SAEs included pneumonia (3.3%), sepsis (3.3%), ascites (2.4%) and cholangitis (2.4%). </w:t>
      </w:r>
      <w:r w:rsidR="00076825" w:rsidRPr="00D7489E">
        <w:t xml:space="preserve">Other SAEs that occurred in 2 or more ivosidenib patients but not in </w:t>
      </w:r>
      <w:r w:rsidR="007748FF" w:rsidRPr="00D7489E">
        <w:t>placebo</w:t>
      </w:r>
      <w:r w:rsidR="00076825" w:rsidRPr="00D7489E">
        <w:t xml:space="preserve"> patients included hip fracture, vomiting,</w:t>
      </w:r>
      <w:r w:rsidR="00D62B94" w:rsidRPr="00D7489E">
        <w:t xml:space="preserve"> hyperbilirubinemia, jaundice cholestasis, </w:t>
      </w:r>
      <w:r w:rsidR="00076825" w:rsidRPr="00D7489E">
        <w:t>intestinal obstruction and pleural effusion.</w:t>
      </w:r>
      <w:r w:rsidR="00D7489E">
        <w:t xml:space="preserve"> </w:t>
      </w:r>
      <w:r w:rsidR="00EA6BA8" w:rsidRPr="00D7489E">
        <w:t xml:space="preserve">Drug-related </w:t>
      </w:r>
      <w:r w:rsidR="002B3BB7" w:rsidRPr="00D7489E">
        <w:t>TE</w:t>
      </w:r>
      <w:r w:rsidR="00EA6BA8" w:rsidRPr="00D7489E">
        <w:t>AEs led to study drug discontinuation in 1.6% (2 patients) of patients in the ivosidenib arm. Generalised oedema and hyperbilirubinaemia were the causes of study drug discontinuation in these two patients, respectively.</w:t>
      </w:r>
    </w:p>
    <w:p w14:paraId="6D28644D" w14:textId="611B78EE" w:rsidR="006C7824" w:rsidRPr="00C33F95" w:rsidRDefault="00763F19" w:rsidP="007E0187">
      <w:pPr>
        <w:pStyle w:val="ListParagraph"/>
        <w:rPr>
          <w:i/>
          <w:iCs/>
        </w:rPr>
      </w:pPr>
      <w:r w:rsidRPr="003E7195">
        <w:t xml:space="preserve">Six </w:t>
      </w:r>
      <w:r w:rsidR="00387BA4" w:rsidRPr="003E7195">
        <w:t xml:space="preserve">(4.9%) </w:t>
      </w:r>
      <w:r w:rsidR="00BB4C24" w:rsidRPr="003E7195">
        <w:t xml:space="preserve">patients </w:t>
      </w:r>
      <w:r w:rsidR="007E004A" w:rsidRPr="003E7195">
        <w:t>randomised</w:t>
      </w:r>
      <w:r w:rsidR="00BB4C24" w:rsidRPr="003E7195">
        <w:t xml:space="preserve"> to </w:t>
      </w:r>
      <w:r w:rsidRPr="003E7195">
        <w:t xml:space="preserve">the </w:t>
      </w:r>
      <w:r w:rsidR="00BB4C24" w:rsidRPr="003E7195">
        <w:t>ivosidenib arm</w:t>
      </w:r>
      <w:r w:rsidR="007E004A" w:rsidRPr="003E7195">
        <w:t xml:space="preserve"> </w:t>
      </w:r>
      <w:r w:rsidRPr="003E7195">
        <w:t xml:space="preserve">experienced </w:t>
      </w:r>
      <w:r w:rsidR="00437984" w:rsidRPr="003E7195">
        <w:t>TEAE</w:t>
      </w:r>
      <w:r w:rsidR="00BB4C24" w:rsidRPr="003E7195">
        <w:t>s</w:t>
      </w:r>
      <w:r w:rsidR="00437984" w:rsidRPr="003E7195">
        <w:t xml:space="preserve"> leading to death</w:t>
      </w:r>
      <w:r w:rsidR="00450DFB" w:rsidRPr="003E7195">
        <w:t>, including</w:t>
      </w:r>
      <w:r w:rsidR="00376304" w:rsidRPr="003E7195">
        <w:t xml:space="preserve"> </w:t>
      </w:r>
      <w:r w:rsidR="00450DFB" w:rsidRPr="003E7195">
        <w:t>s</w:t>
      </w:r>
      <w:r w:rsidR="00387BA4" w:rsidRPr="003E7195">
        <w:t xml:space="preserve">epsis (2 patients), pneumonia, </w:t>
      </w:r>
      <w:r w:rsidR="00682964" w:rsidRPr="003E7195">
        <w:t xml:space="preserve">intestinal obstruction, hepatic encephalopathy, and pulmonary embolism </w:t>
      </w:r>
      <w:r w:rsidR="00387BA4" w:rsidRPr="003E7195">
        <w:t>(1 patient each)</w:t>
      </w:r>
      <w:r w:rsidR="00376304" w:rsidRPr="003E7195">
        <w:t xml:space="preserve">. </w:t>
      </w:r>
      <w:r w:rsidR="00387BA4" w:rsidRPr="003E7195">
        <w:t xml:space="preserve">Two additional fatal TEAEs occurred in </w:t>
      </w:r>
      <w:r w:rsidR="00682964" w:rsidRPr="003E7195">
        <w:t xml:space="preserve">crossover patients, </w:t>
      </w:r>
      <w:r w:rsidR="00906103" w:rsidRPr="003E7195">
        <w:t>including i</w:t>
      </w:r>
      <w:r w:rsidR="00682964" w:rsidRPr="003E7195">
        <w:t>ntestinal pseudo-obstruction and hepatic cirrhosis</w:t>
      </w:r>
      <w:r w:rsidR="00906103" w:rsidRPr="003E7195">
        <w:t xml:space="preserve"> (1 patient each)</w:t>
      </w:r>
      <w:r w:rsidR="00682964" w:rsidRPr="003E7195">
        <w:t>.</w:t>
      </w:r>
      <w:r w:rsidR="00376304" w:rsidRPr="003E7195">
        <w:t xml:space="preserve"> </w:t>
      </w:r>
      <w:r w:rsidR="00450DFB" w:rsidRPr="003E7195">
        <w:t>N</w:t>
      </w:r>
      <w:r w:rsidR="00682964" w:rsidRPr="003E7195">
        <w:t>one of the fatal TEAEs were considered associated with ivosidenib treatment</w:t>
      </w:r>
      <w:r w:rsidR="00450DFB" w:rsidRPr="003E7195">
        <w:t xml:space="preserve"> by the investigator</w:t>
      </w:r>
      <w:r w:rsidR="00682964" w:rsidRPr="003E7195">
        <w:t>.</w:t>
      </w:r>
      <w:r w:rsidR="00376304" w:rsidRPr="003E7195">
        <w:t xml:space="preserve"> </w:t>
      </w:r>
      <w:r w:rsidR="003672B0" w:rsidRPr="00C30625">
        <w:t xml:space="preserve">The ESCs noted that the </w:t>
      </w:r>
      <w:r w:rsidR="00BF6BD1" w:rsidRPr="00C30625">
        <w:t xml:space="preserve">TEAEs leading to death </w:t>
      </w:r>
      <w:r w:rsidR="00E16E89" w:rsidRPr="00C30625">
        <w:t>were most</w:t>
      </w:r>
      <w:r w:rsidR="00BF6BD1" w:rsidRPr="00C30625">
        <w:t xml:space="preserve"> likely to be related to disease progression</w:t>
      </w:r>
      <w:r w:rsidR="00E16E89" w:rsidRPr="00C30625">
        <w:t xml:space="preserve"> and </w:t>
      </w:r>
      <w:r w:rsidR="00653FDE" w:rsidRPr="00C30625">
        <w:t xml:space="preserve">the number of events reported </w:t>
      </w:r>
      <w:r w:rsidR="00D27A3C" w:rsidRPr="00C30625">
        <w:t xml:space="preserve">would be impacted by the </w:t>
      </w:r>
      <w:r w:rsidR="00C33F95" w:rsidRPr="00C30625">
        <w:t>substantially longer duration or treatment for patients treated with ivosidenib.</w:t>
      </w:r>
    </w:p>
    <w:p w14:paraId="4114AA99" w14:textId="407BE4FC" w:rsidR="00EA6BA8" w:rsidRPr="00181B1F" w:rsidRDefault="0002650A" w:rsidP="007E0187">
      <w:pPr>
        <w:pStyle w:val="ListParagraph"/>
      </w:pPr>
      <w:r w:rsidRPr="003E7195">
        <w:lastRenderedPageBreak/>
        <w:t xml:space="preserve">Adverse </w:t>
      </w:r>
      <w:r w:rsidR="00A9603A" w:rsidRPr="003E7195">
        <w:t>events</w:t>
      </w:r>
      <w:r w:rsidRPr="003E7195">
        <w:t xml:space="preserve"> of special interest (AESI) in the </w:t>
      </w:r>
      <w:r w:rsidR="00450DFB" w:rsidRPr="003E7195">
        <w:t>s</w:t>
      </w:r>
      <w:r w:rsidR="001A7699" w:rsidRPr="003E7195">
        <w:t>ubmission</w:t>
      </w:r>
      <w:r w:rsidRPr="003E7195">
        <w:t xml:space="preserve"> </w:t>
      </w:r>
      <w:r w:rsidR="0056772B" w:rsidRPr="003E7195">
        <w:t xml:space="preserve">were </w:t>
      </w:r>
      <w:r w:rsidRPr="003E7195">
        <w:t xml:space="preserve">defined as </w:t>
      </w:r>
      <w:r w:rsidR="00ED36EC" w:rsidRPr="003E7195">
        <w:t xml:space="preserve">prolongation of corrected </w:t>
      </w:r>
      <w:r w:rsidRPr="003E7195">
        <w:t>QT</w:t>
      </w:r>
      <w:r w:rsidR="00ED36EC" w:rsidRPr="003E7195">
        <w:t xml:space="preserve"> (QTc) interval</w:t>
      </w:r>
      <w:r w:rsidRPr="003E7195">
        <w:t xml:space="preserve"> </w:t>
      </w:r>
      <w:r w:rsidR="00450DFB" w:rsidRPr="003E7195">
        <w:t>of any grade</w:t>
      </w:r>
      <w:r w:rsidRPr="003E7195">
        <w:t xml:space="preserve">. </w:t>
      </w:r>
      <w:r w:rsidR="000A26DE" w:rsidRPr="003E7195">
        <w:t xml:space="preserve">In the ivosidenib arm (n=123), </w:t>
      </w:r>
      <w:r w:rsidR="00AD57D2" w:rsidRPr="003E7195">
        <w:t>12 patients (</w:t>
      </w:r>
      <w:r w:rsidR="000A26DE" w:rsidRPr="003E7195">
        <w:t>9.8%</w:t>
      </w:r>
      <w:r w:rsidR="00AD57D2" w:rsidRPr="003E7195">
        <w:t>)</w:t>
      </w:r>
      <w:r w:rsidR="000A26DE" w:rsidRPr="003E7195">
        <w:t xml:space="preserve"> experienced QTc prolongation events</w:t>
      </w:r>
      <w:r w:rsidR="007F04BA" w:rsidRPr="003E7195">
        <w:t xml:space="preserve"> of any grade</w:t>
      </w:r>
      <w:r w:rsidR="00AD57D2" w:rsidRPr="003E7195">
        <w:t xml:space="preserve">, </w:t>
      </w:r>
      <w:r w:rsidR="00457F14" w:rsidRPr="003E7195">
        <w:t>two</w:t>
      </w:r>
      <w:r w:rsidR="00AD57D2" w:rsidRPr="003E7195">
        <w:t xml:space="preserve"> patients (1.6%) had Grade 3 event</w:t>
      </w:r>
      <w:r w:rsidR="00E018B1" w:rsidRPr="003E7195">
        <w:t>s</w:t>
      </w:r>
      <w:r w:rsidR="00AD57D2" w:rsidRPr="003E7195">
        <w:t xml:space="preserve">, and 8 patients (6.5%) had </w:t>
      </w:r>
      <w:r w:rsidR="009467C0" w:rsidRPr="003E7195">
        <w:t>treatment related</w:t>
      </w:r>
      <w:r w:rsidR="00AD57D2" w:rsidRPr="003E7195">
        <w:t xml:space="preserve"> QT</w:t>
      </w:r>
      <w:r w:rsidR="00ED36EC" w:rsidRPr="003E7195">
        <w:t>c</w:t>
      </w:r>
      <w:r w:rsidR="00AD57D2" w:rsidRPr="003E7195">
        <w:t xml:space="preserve"> prolongation of any </w:t>
      </w:r>
      <w:r w:rsidR="007F04BA" w:rsidRPr="003E7195">
        <w:t>g</w:t>
      </w:r>
      <w:r w:rsidR="00AD57D2" w:rsidRPr="003E7195">
        <w:t xml:space="preserve">rade. One crossover patient (2.3%) reported a Grade 3 AE of syncope. </w:t>
      </w:r>
      <w:r w:rsidR="00E018B1" w:rsidRPr="00181B1F">
        <w:t xml:space="preserve">Durvalumab, in combination with cisplatin and gemcitabine, has been PBS-listed as first-line treatment </w:t>
      </w:r>
      <w:r w:rsidR="007F04BA" w:rsidRPr="00181B1F">
        <w:t>for</w:t>
      </w:r>
      <w:r w:rsidR="00E018B1" w:rsidRPr="00181B1F">
        <w:t xml:space="preserve"> locally advanced or metastatic</w:t>
      </w:r>
      <w:r w:rsidR="00FC0F4A" w:rsidRPr="00181B1F">
        <w:t xml:space="preserve"> biliary tract cancer which includes</w:t>
      </w:r>
      <w:r w:rsidR="00E018B1" w:rsidRPr="00181B1F">
        <w:t xml:space="preserve"> CCA. According to the </w:t>
      </w:r>
      <w:r w:rsidR="00797D22" w:rsidRPr="00181B1F">
        <w:t>product information</w:t>
      </w:r>
      <w:r w:rsidR="00FC6238" w:rsidRPr="00181B1F">
        <w:t xml:space="preserve"> (PI)</w:t>
      </w:r>
      <w:r w:rsidR="00E018B1" w:rsidRPr="00181B1F">
        <w:t xml:space="preserve">, durvalumab can cause myocarditis of different severity. Although myocarditis is a relatively rare AE compared with other </w:t>
      </w:r>
      <w:r w:rsidR="00797D22" w:rsidRPr="00181B1F">
        <w:t>immune-checkpoint inhibitor (</w:t>
      </w:r>
      <w:r w:rsidR="00E018B1" w:rsidRPr="00181B1F">
        <w:t>ICI</w:t>
      </w:r>
      <w:r w:rsidR="00797D22" w:rsidRPr="00181B1F">
        <w:t xml:space="preserve">) </w:t>
      </w:r>
      <w:r w:rsidR="00E018B1" w:rsidRPr="00181B1F">
        <w:t>related AEs, it is associated with the highest mortality rate among all ICI-related AEs</w:t>
      </w:r>
      <w:r w:rsidR="007F04BA" w:rsidRPr="00181B1F">
        <w:rPr>
          <w:rStyle w:val="FootnoteReference"/>
        </w:rPr>
        <w:footnoteReference w:id="19"/>
      </w:r>
      <w:r w:rsidR="00E018B1" w:rsidRPr="00181B1F">
        <w:t xml:space="preserve">. </w:t>
      </w:r>
      <w:r w:rsidR="00FC6238" w:rsidRPr="00181B1F">
        <w:t>V</w:t>
      </w:r>
      <w:r w:rsidR="00E018B1" w:rsidRPr="00181B1F">
        <w:t>entricular arrhythmias, as well as heart failure, can be in the spectrum of clinical presentation of ICI-related myocarditis</w:t>
      </w:r>
      <w:r w:rsidR="0078462C" w:rsidRPr="00181B1F">
        <w:rPr>
          <w:rStyle w:val="FootnoteReference"/>
        </w:rPr>
        <w:footnoteReference w:id="20"/>
      </w:r>
      <w:r w:rsidR="00E018B1" w:rsidRPr="00181B1F">
        <w:t xml:space="preserve">. </w:t>
      </w:r>
      <w:r w:rsidR="00FC6238" w:rsidRPr="00181B1F">
        <w:t>T</w:t>
      </w:r>
      <w:r w:rsidR="00E018B1" w:rsidRPr="00181B1F">
        <w:t>he safety of ivosidenib in patients previously treated with durvalumab-containing first-line therapy is unknown</w:t>
      </w:r>
      <w:r w:rsidR="00F23925">
        <w:t>, however a</w:t>
      </w:r>
      <w:r w:rsidR="003E4DC9" w:rsidRPr="00C30625">
        <w:t>s noted above, the ESC</w:t>
      </w:r>
      <w:r w:rsidR="00B15EA6">
        <w:t>s</w:t>
      </w:r>
      <w:r w:rsidR="003E4DC9" w:rsidRPr="00C30625">
        <w:t xml:space="preserve"> considered that safety outcomes are unlikely to be affected by prior durvalumab.</w:t>
      </w:r>
    </w:p>
    <w:p w14:paraId="5404C2F3" w14:textId="29B59F08" w:rsidR="00911D4C" w:rsidRPr="003E7195" w:rsidRDefault="002D5D0A" w:rsidP="00911D4C">
      <w:pPr>
        <w:pStyle w:val="COMH3"/>
        <w:spacing w:after="120"/>
        <w:outlineLvl w:val="2"/>
        <w:rPr>
          <w:color w:val="0D0D0D" w:themeColor="text1" w:themeTint="F2"/>
          <w:sz w:val="24"/>
          <w:szCs w:val="22"/>
        </w:rPr>
      </w:pPr>
      <w:r w:rsidRPr="003E7195">
        <w:rPr>
          <w:color w:val="0D0D0D" w:themeColor="text1" w:themeTint="F2"/>
          <w:sz w:val="24"/>
          <w:szCs w:val="22"/>
        </w:rPr>
        <w:t xml:space="preserve">Indirect </w:t>
      </w:r>
      <w:r w:rsidR="00911D4C" w:rsidRPr="003E7195">
        <w:rPr>
          <w:color w:val="0D0D0D" w:themeColor="text1" w:themeTint="F2"/>
          <w:sz w:val="24"/>
          <w:szCs w:val="22"/>
        </w:rPr>
        <w:t>comparison of ivosidenib versus FOLFOX</w:t>
      </w:r>
    </w:p>
    <w:p w14:paraId="47BFDA5B" w14:textId="793C268C" w:rsidR="00911D4C" w:rsidRPr="00D07C64" w:rsidRDefault="001F229E" w:rsidP="007E0187">
      <w:pPr>
        <w:pStyle w:val="ListParagraph"/>
      </w:pPr>
      <w:r w:rsidRPr="00D07C64">
        <w:t xml:space="preserve">The submission did not present </w:t>
      </w:r>
      <w:r w:rsidR="00981F72" w:rsidRPr="00D07C64">
        <w:t xml:space="preserve">a </w:t>
      </w:r>
      <w:r w:rsidRPr="00D07C64">
        <w:t xml:space="preserve">formal ITC for safety between </w:t>
      </w:r>
      <w:r w:rsidR="00981F72" w:rsidRPr="00D07C64">
        <w:t xml:space="preserve">ivosidenib and FOLFOX. </w:t>
      </w:r>
      <w:r w:rsidR="008C73F2" w:rsidRPr="00181B1F">
        <w:t xml:space="preserve">The limited safety data from the FOLFOX trial, especially for the ASC alone arm, hindered the comparison of safety between ivosidenib and FOLFOX. In addition, the </w:t>
      </w:r>
      <w:r w:rsidR="00981F72" w:rsidRPr="00181B1F">
        <w:t>dissimilar</w:t>
      </w:r>
      <w:r w:rsidR="008C73F2" w:rsidRPr="00181B1F">
        <w:t xml:space="preserve"> incidence of Grade ≥ 3 TEAEs in the placebo + BSC arm of the ClarIDHy trial and </w:t>
      </w:r>
      <w:r w:rsidR="00981F72" w:rsidRPr="00181B1F">
        <w:t xml:space="preserve">in </w:t>
      </w:r>
      <w:r w:rsidR="008C73F2" w:rsidRPr="00181B1F">
        <w:t xml:space="preserve">the ASC alone arm of the ABC-006 trial (37.3% vs. 51.9%) </w:t>
      </w:r>
      <w:r w:rsidR="00D36294" w:rsidRPr="00181B1F">
        <w:t xml:space="preserve">suggests the lack of transitivity </w:t>
      </w:r>
      <w:r w:rsidR="0056772B" w:rsidRPr="00181B1F">
        <w:t xml:space="preserve">between </w:t>
      </w:r>
      <w:r w:rsidR="008C73F2" w:rsidRPr="00181B1F">
        <w:t xml:space="preserve">the two trials. </w:t>
      </w:r>
      <w:r w:rsidR="00D36294" w:rsidRPr="00181B1F">
        <w:t>Essentially</w:t>
      </w:r>
      <w:r w:rsidR="008C73F2" w:rsidRPr="00181B1F">
        <w:t>, ivosidenib and FOLFOX have different mechanism</w:t>
      </w:r>
      <w:r w:rsidR="0056772B" w:rsidRPr="00181B1F">
        <w:t>s</w:t>
      </w:r>
      <w:r w:rsidR="008C73F2" w:rsidRPr="00181B1F">
        <w:t xml:space="preserve"> of action and dissimilar safety profiles.</w:t>
      </w:r>
      <w:r w:rsidR="00D07C64">
        <w:t xml:space="preserve"> </w:t>
      </w:r>
    </w:p>
    <w:p w14:paraId="485B95EE" w14:textId="6C0C792D" w:rsidR="00624315" w:rsidRPr="00AB222B" w:rsidRDefault="00624315" w:rsidP="00AB222B">
      <w:pPr>
        <w:pStyle w:val="PBACESHeading2"/>
        <w:numPr>
          <w:ilvl w:val="2"/>
          <w:numId w:val="0"/>
        </w:numPr>
        <w:rPr>
          <w:rFonts w:asciiTheme="minorHAnsi" w:hAnsiTheme="minorHAnsi" w:cstheme="minorHAnsi"/>
          <w:color w:val="0D0D0D" w:themeColor="text1" w:themeTint="F2"/>
        </w:rPr>
      </w:pPr>
      <w:bookmarkStart w:id="38" w:name="_Toc166763148"/>
      <w:bookmarkStart w:id="39" w:name="_Toc413139281"/>
      <w:r w:rsidRPr="00AB222B">
        <w:rPr>
          <w:rFonts w:asciiTheme="minorHAnsi" w:hAnsiTheme="minorHAnsi" w:cstheme="minorHAnsi"/>
          <w:color w:val="0D0D0D" w:themeColor="text1" w:themeTint="F2"/>
        </w:rPr>
        <w:t>Benefits</w:t>
      </w:r>
      <w:r w:rsidR="00233714" w:rsidRPr="00AB222B">
        <w:rPr>
          <w:rFonts w:asciiTheme="minorHAnsi" w:hAnsiTheme="minorHAnsi" w:cstheme="minorHAnsi"/>
          <w:color w:val="0D0D0D" w:themeColor="text1" w:themeTint="F2"/>
        </w:rPr>
        <w:t>/</w:t>
      </w:r>
      <w:r w:rsidRPr="00AB222B">
        <w:rPr>
          <w:rFonts w:asciiTheme="minorHAnsi" w:hAnsiTheme="minorHAnsi" w:cstheme="minorHAnsi"/>
          <w:color w:val="0D0D0D" w:themeColor="text1" w:themeTint="F2"/>
        </w:rPr>
        <w:t>harms</w:t>
      </w:r>
      <w:bookmarkEnd w:id="38"/>
    </w:p>
    <w:p w14:paraId="473C2C84" w14:textId="2A6BFD45" w:rsidR="006A239A" w:rsidRPr="003E7195" w:rsidRDefault="00BA3B68" w:rsidP="007E0187">
      <w:pPr>
        <w:pStyle w:val="ListParagraph"/>
      </w:pPr>
      <w:r w:rsidRPr="003E7195">
        <w:t xml:space="preserve">A summary of the comparative benefits and harms for ivosidenib </w:t>
      </w:r>
      <w:r w:rsidRPr="003E7195">
        <w:rPr>
          <w:i/>
          <w:iCs/>
        </w:rPr>
        <w:t>versus</w:t>
      </w:r>
      <w:r w:rsidRPr="003E7195">
        <w:t xml:space="preserve"> palliative/BSC is presented in the table below</w:t>
      </w:r>
      <w:r w:rsidR="008C3D0F" w:rsidRPr="003E7195">
        <w:t xml:space="preserve">. </w:t>
      </w:r>
    </w:p>
    <w:p w14:paraId="594D6CAA" w14:textId="4B74F49E" w:rsidR="00B700E3" w:rsidRPr="003E7195" w:rsidRDefault="00924262" w:rsidP="00013016">
      <w:pPr>
        <w:pStyle w:val="Caption"/>
      </w:pPr>
      <w:r w:rsidRPr="003E7195">
        <w:lastRenderedPageBreak/>
        <w:t xml:space="preserve">Table </w:t>
      </w:r>
      <w:r w:rsidR="00841FC2">
        <w:fldChar w:fldCharType="begin" w:fldLock="1"/>
      </w:r>
      <w:r w:rsidR="00841FC2">
        <w:instrText xml:space="preserve"> SEQ Table_PBAC. \* ARABIC </w:instrText>
      </w:r>
      <w:r w:rsidR="00841FC2">
        <w:fldChar w:fldCharType="separate"/>
      </w:r>
      <w:r w:rsidR="00CB6594">
        <w:rPr>
          <w:noProof/>
        </w:rPr>
        <w:t>10</w:t>
      </w:r>
      <w:r w:rsidR="00841FC2">
        <w:rPr>
          <w:noProof/>
        </w:rPr>
        <w:fldChar w:fldCharType="end"/>
      </w:r>
      <w:r w:rsidR="00B15EA6">
        <w:rPr>
          <w:noProof/>
        </w:rPr>
        <w:t>:</w:t>
      </w:r>
      <w:r w:rsidR="009A54C0" w:rsidRPr="003E7195">
        <w:t xml:space="preserve"> </w:t>
      </w:r>
      <w:r w:rsidR="00B700E3" w:rsidRPr="003E7195">
        <w:t xml:space="preserve">Summary of comparative benefits and harms for ivosidenib </w:t>
      </w:r>
      <w:r w:rsidR="007A072E" w:rsidRPr="003E7195">
        <w:t>and</w:t>
      </w:r>
      <w:r w:rsidR="00B700E3" w:rsidRPr="003E7195">
        <w:t xml:space="preserve"> palliative care/BSC in the ClarIDHy trial</w:t>
      </w:r>
    </w:p>
    <w:tbl>
      <w:tblPr>
        <w:tblStyle w:val="ASDTable1"/>
        <w:tblW w:w="5003" w:type="pct"/>
        <w:tblInd w:w="-5" w:type="dxa"/>
        <w:shd w:val="clear" w:color="auto" w:fill="FFFFFF" w:themeFill="background1"/>
        <w:tblLayout w:type="fixed"/>
        <w:tblCellMar>
          <w:left w:w="28" w:type="dxa"/>
          <w:right w:w="28" w:type="dxa"/>
        </w:tblCellMar>
        <w:tblLook w:val="04A0" w:firstRow="1" w:lastRow="0" w:firstColumn="1" w:lastColumn="0" w:noHBand="0" w:noVBand="1"/>
        <w:tblCaption w:val="Table 10: Summary of comparative benefits and harms for ivosidenib and palliative care/BSC in the ClarIDHy trial"/>
      </w:tblPr>
      <w:tblGrid>
        <w:gridCol w:w="2693"/>
        <w:gridCol w:w="1560"/>
        <w:gridCol w:w="1700"/>
        <w:gridCol w:w="1478"/>
        <w:gridCol w:w="1590"/>
      </w:tblGrid>
      <w:tr w:rsidR="003E7195" w:rsidRPr="003E7195" w14:paraId="0A7A95B4" w14:textId="77777777" w:rsidTr="00B15EA6">
        <w:trPr>
          <w:trHeight w:val="20"/>
        </w:trPr>
        <w:tc>
          <w:tcPr>
            <w:tcW w:w="1493" w:type="pct"/>
            <w:tcBorders>
              <w:bottom w:val="single" w:sz="4" w:space="0" w:color="auto"/>
            </w:tcBorders>
            <w:shd w:val="clear" w:color="auto" w:fill="FFFFFF" w:themeFill="background1"/>
            <w:vAlign w:val="center"/>
          </w:tcPr>
          <w:p w14:paraId="3346C4EF" w14:textId="77777777" w:rsidR="00BA3B68" w:rsidRPr="003E7195" w:rsidRDefault="00BA3B68" w:rsidP="00B15EA6">
            <w:pPr>
              <w:keepNext/>
              <w:keepLines/>
              <w:spacing w:before="0"/>
              <w:jc w:val="left"/>
              <w:rPr>
                <w:rFonts w:ascii="Arial Narrow" w:eastAsia="MS Gothic" w:hAnsi="Arial Narrow"/>
                <w:b/>
                <w:color w:val="0D0D0D" w:themeColor="text1" w:themeTint="F2"/>
                <w:sz w:val="20"/>
                <w:szCs w:val="24"/>
              </w:rPr>
            </w:pPr>
            <w:r w:rsidRPr="003E7195">
              <w:rPr>
                <w:rFonts w:ascii="Arial Narrow" w:eastAsia="MS Gothic" w:hAnsi="Arial Narrow"/>
                <w:b/>
                <w:color w:val="0D0D0D" w:themeColor="text1" w:themeTint="F2"/>
                <w:sz w:val="20"/>
                <w:szCs w:val="24"/>
              </w:rPr>
              <w:t>Event</w:t>
            </w:r>
          </w:p>
        </w:tc>
        <w:tc>
          <w:tcPr>
            <w:tcW w:w="865" w:type="pct"/>
            <w:tcBorders>
              <w:bottom w:val="single" w:sz="4" w:space="0" w:color="auto"/>
            </w:tcBorders>
            <w:shd w:val="clear" w:color="auto" w:fill="FFFFFF" w:themeFill="background1"/>
            <w:vAlign w:val="center"/>
          </w:tcPr>
          <w:p w14:paraId="3CFDD42C" w14:textId="45327C51" w:rsidR="00BA3B68" w:rsidRPr="003E7195" w:rsidRDefault="00BA3B68" w:rsidP="00B15EA6">
            <w:pPr>
              <w:keepNext/>
              <w:keepLines/>
              <w:spacing w:before="0"/>
              <w:jc w:val="center"/>
              <w:rPr>
                <w:rFonts w:ascii="Arial Narrow" w:eastAsia="MS Gothic" w:hAnsi="Arial Narrow"/>
                <w:b/>
                <w:color w:val="0D0D0D" w:themeColor="text1" w:themeTint="F2"/>
                <w:sz w:val="20"/>
                <w:szCs w:val="24"/>
              </w:rPr>
            </w:pPr>
            <w:r w:rsidRPr="003E7195">
              <w:rPr>
                <w:rFonts w:ascii="Arial Narrow" w:eastAsia="MS Gothic" w:hAnsi="Arial Narrow"/>
                <w:b/>
                <w:color w:val="0D0D0D" w:themeColor="text1" w:themeTint="F2"/>
                <w:sz w:val="20"/>
                <w:szCs w:val="24"/>
              </w:rPr>
              <w:t>Ivosidenib</w:t>
            </w:r>
          </w:p>
        </w:tc>
        <w:tc>
          <w:tcPr>
            <w:tcW w:w="942" w:type="pct"/>
            <w:tcBorders>
              <w:bottom w:val="single" w:sz="4" w:space="0" w:color="auto"/>
            </w:tcBorders>
            <w:shd w:val="clear" w:color="auto" w:fill="FFFFFF" w:themeFill="background1"/>
            <w:vAlign w:val="center"/>
          </w:tcPr>
          <w:p w14:paraId="70C18388" w14:textId="7E34D8AC" w:rsidR="00BA3B68" w:rsidRPr="003E7195" w:rsidRDefault="00BA3B68" w:rsidP="00B15EA6">
            <w:pPr>
              <w:keepNext/>
              <w:keepLines/>
              <w:spacing w:before="0"/>
              <w:jc w:val="center"/>
              <w:rPr>
                <w:rFonts w:ascii="Arial Narrow" w:eastAsia="MS Gothic" w:hAnsi="Arial Narrow"/>
                <w:b/>
                <w:color w:val="0D0D0D" w:themeColor="text1" w:themeTint="F2"/>
                <w:sz w:val="20"/>
                <w:szCs w:val="24"/>
              </w:rPr>
            </w:pPr>
            <w:r w:rsidRPr="003E7195">
              <w:rPr>
                <w:rFonts w:ascii="Arial Narrow" w:eastAsia="MS Gothic" w:hAnsi="Arial Narrow"/>
                <w:b/>
                <w:color w:val="0D0D0D" w:themeColor="text1" w:themeTint="F2"/>
                <w:sz w:val="20"/>
                <w:szCs w:val="24"/>
              </w:rPr>
              <w:t>Palliative care/BSC</w:t>
            </w:r>
          </w:p>
        </w:tc>
        <w:tc>
          <w:tcPr>
            <w:tcW w:w="819" w:type="pct"/>
            <w:tcBorders>
              <w:bottom w:val="single" w:sz="4" w:space="0" w:color="auto"/>
            </w:tcBorders>
            <w:shd w:val="clear" w:color="auto" w:fill="FFFFFF" w:themeFill="background1"/>
            <w:vAlign w:val="center"/>
          </w:tcPr>
          <w:p w14:paraId="4ADFF9A8" w14:textId="77777777" w:rsidR="00BA3B68" w:rsidRPr="003E7195" w:rsidRDefault="00BA3B68" w:rsidP="00B15EA6">
            <w:pPr>
              <w:keepNext/>
              <w:keepLines/>
              <w:spacing w:before="0"/>
              <w:jc w:val="center"/>
              <w:rPr>
                <w:rFonts w:ascii="Calibri" w:eastAsia="MS Gothic" w:hAnsi="Calibri"/>
                <w:b/>
                <w:color w:val="0D0D0D" w:themeColor="text1" w:themeTint="F2"/>
                <w:sz w:val="20"/>
                <w:szCs w:val="24"/>
              </w:rPr>
            </w:pPr>
            <w:r w:rsidRPr="003E7195">
              <w:rPr>
                <w:rFonts w:ascii="Arial Narrow" w:eastAsia="MS Gothic" w:hAnsi="Arial Narrow"/>
                <w:b/>
                <w:color w:val="0D0D0D" w:themeColor="text1" w:themeTint="F2"/>
                <w:sz w:val="20"/>
                <w:szCs w:val="24"/>
              </w:rPr>
              <w:t>Absolute Difference</w:t>
            </w:r>
          </w:p>
        </w:tc>
        <w:tc>
          <w:tcPr>
            <w:tcW w:w="881" w:type="pct"/>
            <w:tcBorders>
              <w:bottom w:val="single" w:sz="4" w:space="0" w:color="auto"/>
            </w:tcBorders>
            <w:shd w:val="clear" w:color="auto" w:fill="FFFFFF" w:themeFill="background1"/>
            <w:vAlign w:val="center"/>
          </w:tcPr>
          <w:p w14:paraId="0D79889D" w14:textId="123FA211" w:rsidR="00BA3B68" w:rsidRPr="003E7195" w:rsidRDefault="00BA3B68" w:rsidP="00B15EA6">
            <w:pPr>
              <w:keepNext/>
              <w:keepLines/>
              <w:spacing w:before="0"/>
              <w:jc w:val="center"/>
              <w:rPr>
                <w:rFonts w:ascii="Arial Narrow" w:eastAsia="MS Gothic" w:hAnsi="Arial Narrow"/>
                <w:b/>
                <w:color w:val="0D0D0D" w:themeColor="text1" w:themeTint="F2"/>
                <w:sz w:val="20"/>
                <w:szCs w:val="24"/>
                <w:vertAlign w:val="superscript"/>
              </w:rPr>
            </w:pPr>
            <w:r w:rsidRPr="003E7195">
              <w:rPr>
                <w:rFonts w:ascii="Arial Narrow" w:eastAsia="MS Gothic" w:hAnsi="Arial Narrow"/>
                <w:b/>
                <w:color w:val="0D0D0D" w:themeColor="text1" w:themeTint="F2"/>
                <w:sz w:val="20"/>
                <w:szCs w:val="24"/>
              </w:rPr>
              <w:t>HR (95% CI)</w:t>
            </w:r>
          </w:p>
        </w:tc>
      </w:tr>
      <w:tr w:rsidR="003E7195" w:rsidRPr="003E7195" w14:paraId="76E7380A" w14:textId="77777777" w:rsidTr="00D7489E">
        <w:trPr>
          <w:trHeight w:val="20"/>
        </w:trPr>
        <w:tc>
          <w:tcPr>
            <w:tcW w:w="5000" w:type="pct"/>
            <w:gridSpan w:val="5"/>
            <w:tcBorders>
              <w:bottom w:val="single" w:sz="4" w:space="0" w:color="auto"/>
            </w:tcBorders>
            <w:shd w:val="clear" w:color="auto" w:fill="FFFFFF" w:themeFill="background1"/>
            <w:vAlign w:val="center"/>
          </w:tcPr>
          <w:p w14:paraId="2260CEB8" w14:textId="0EC7D60E" w:rsidR="00924262" w:rsidRPr="003E7195" w:rsidRDefault="00924262" w:rsidP="00063478">
            <w:pPr>
              <w:keepNext/>
              <w:keepLines/>
              <w:spacing w:before="0"/>
              <w:jc w:val="left"/>
              <w:rPr>
                <w:rFonts w:ascii="Arial Narrow" w:eastAsia="MS Gothic" w:hAnsi="Arial Narrow"/>
                <w:b/>
                <w:color w:val="0D0D0D" w:themeColor="text1" w:themeTint="F2"/>
                <w:sz w:val="20"/>
                <w:szCs w:val="24"/>
              </w:rPr>
            </w:pPr>
            <w:r w:rsidRPr="003E7195">
              <w:rPr>
                <w:rFonts w:ascii="Arial Narrow" w:eastAsia="MS Gothic" w:hAnsi="Arial Narrow"/>
                <w:b/>
                <w:color w:val="0D0D0D" w:themeColor="text1" w:themeTint="F2"/>
                <w:sz w:val="20"/>
                <w:szCs w:val="24"/>
              </w:rPr>
              <w:t>Benefits</w:t>
            </w:r>
          </w:p>
        </w:tc>
      </w:tr>
      <w:tr w:rsidR="003E7195" w:rsidRPr="003E7195" w14:paraId="3FCD216D" w14:textId="77777777" w:rsidTr="00D7489E">
        <w:trPr>
          <w:trHeight w:val="20"/>
        </w:trPr>
        <w:tc>
          <w:tcPr>
            <w:tcW w:w="5000" w:type="pct"/>
            <w:gridSpan w:val="5"/>
            <w:tcBorders>
              <w:bottom w:val="single" w:sz="4" w:space="0" w:color="auto"/>
            </w:tcBorders>
            <w:shd w:val="clear" w:color="auto" w:fill="FFFFFF" w:themeFill="background1"/>
            <w:vAlign w:val="center"/>
          </w:tcPr>
          <w:p w14:paraId="1BCDC361" w14:textId="368FB128" w:rsidR="00BA3B68" w:rsidRPr="003E7195" w:rsidRDefault="00BA3B68" w:rsidP="00063478">
            <w:pPr>
              <w:keepNext/>
              <w:keepLines/>
              <w:spacing w:before="0"/>
              <w:jc w:val="left"/>
              <w:rPr>
                <w:rFonts w:ascii="Arial Narrow" w:eastAsia="MS Gothic" w:hAnsi="Arial Narrow"/>
                <w:b/>
                <w:color w:val="0D0D0D" w:themeColor="text1" w:themeTint="F2"/>
                <w:sz w:val="20"/>
                <w:szCs w:val="24"/>
              </w:rPr>
            </w:pPr>
            <w:r w:rsidRPr="003E7195">
              <w:rPr>
                <w:rFonts w:ascii="Arial Narrow" w:eastAsia="MS Gothic" w:hAnsi="Arial Narrow"/>
                <w:b/>
                <w:color w:val="0D0D0D" w:themeColor="text1" w:themeTint="F2"/>
                <w:sz w:val="20"/>
                <w:szCs w:val="24"/>
              </w:rPr>
              <w:t>PFS</w:t>
            </w:r>
            <w:r w:rsidR="00924262" w:rsidRPr="003E7195">
              <w:rPr>
                <w:rFonts w:ascii="Arial Narrow" w:eastAsia="MS Gothic" w:hAnsi="Arial Narrow"/>
                <w:b/>
                <w:color w:val="0D0D0D" w:themeColor="text1" w:themeTint="F2"/>
                <w:sz w:val="20"/>
                <w:szCs w:val="24"/>
              </w:rPr>
              <w:t xml:space="preserve"> (median follow-up of </w:t>
            </w:r>
            <w:r w:rsidR="00EB4778" w:rsidRPr="003E7195">
              <w:rPr>
                <w:rFonts w:ascii="Arial Narrow" w:eastAsia="MS Gothic" w:hAnsi="Arial Narrow"/>
                <w:b/>
                <w:color w:val="0D0D0D" w:themeColor="text1" w:themeTint="F2"/>
                <w:sz w:val="20"/>
                <w:szCs w:val="24"/>
              </w:rPr>
              <w:t>6.9 months)</w:t>
            </w:r>
          </w:p>
        </w:tc>
      </w:tr>
      <w:tr w:rsidR="003E7195" w:rsidRPr="003E7195" w14:paraId="6E854983" w14:textId="4399E92E" w:rsidTr="00D7489E">
        <w:trPr>
          <w:trHeight w:val="20"/>
        </w:trPr>
        <w:tc>
          <w:tcPr>
            <w:tcW w:w="1493" w:type="pct"/>
            <w:tcBorders>
              <w:bottom w:val="single" w:sz="4" w:space="0" w:color="auto"/>
              <w:right w:val="single" w:sz="4" w:space="0" w:color="auto"/>
            </w:tcBorders>
            <w:shd w:val="clear" w:color="auto" w:fill="FFFFFF" w:themeFill="background1"/>
          </w:tcPr>
          <w:p w14:paraId="7BF7EB47" w14:textId="60DD7AD6" w:rsidR="0049657F" w:rsidRPr="003E7195" w:rsidRDefault="0049657F"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Progressed, n</w:t>
            </w:r>
            <w:r w:rsidR="00EB4778" w:rsidRPr="003E7195">
              <w:rPr>
                <w:rFonts w:ascii="Arial Narrow" w:eastAsia="MS Gothic" w:hAnsi="Arial Narrow"/>
                <w:bCs/>
                <w:color w:val="0D0D0D" w:themeColor="text1" w:themeTint="F2"/>
                <w:sz w:val="20"/>
                <w:szCs w:val="24"/>
              </w:rPr>
              <w:t>/N</w:t>
            </w:r>
            <w:r w:rsidRPr="003E7195">
              <w:rPr>
                <w:rFonts w:ascii="Arial Narrow" w:eastAsia="MS Gothic" w:hAnsi="Arial Narrow"/>
                <w:bCs/>
                <w:color w:val="0D0D0D" w:themeColor="text1" w:themeTint="F2"/>
                <w:sz w:val="20"/>
                <w:szCs w:val="24"/>
              </w:rPr>
              <w:t xml:space="preserve"> (%)</w:t>
            </w:r>
          </w:p>
        </w:tc>
        <w:tc>
          <w:tcPr>
            <w:tcW w:w="865" w:type="pct"/>
            <w:tcBorders>
              <w:left w:val="single" w:sz="4" w:space="0" w:color="auto"/>
              <w:bottom w:val="single" w:sz="4" w:space="0" w:color="auto"/>
              <w:right w:val="single" w:sz="4" w:space="0" w:color="auto"/>
            </w:tcBorders>
            <w:shd w:val="clear" w:color="auto" w:fill="FFFFFF" w:themeFill="background1"/>
            <w:vAlign w:val="center"/>
          </w:tcPr>
          <w:p w14:paraId="7109FCB3" w14:textId="02586E34"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rPr>
              <w:t>76/124 (61.3%)</w:t>
            </w:r>
          </w:p>
        </w:tc>
        <w:tc>
          <w:tcPr>
            <w:tcW w:w="942" w:type="pct"/>
            <w:tcBorders>
              <w:left w:val="single" w:sz="4" w:space="0" w:color="auto"/>
              <w:bottom w:val="single" w:sz="4" w:space="0" w:color="auto"/>
              <w:right w:val="single" w:sz="4" w:space="0" w:color="auto"/>
            </w:tcBorders>
            <w:shd w:val="clear" w:color="auto" w:fill="FFFFFF" w:themeFill="background1"/>
            <w:vAlign w:val="center"/>
          </w:tcPr>
          <w:p w14:paraId="27304D40" w14:textId="2ED6AC78"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rPr>
              <w:t>50/61 (82.0%)</w:t>
            </w:r>
          </w:p>
        </w:tc>
        <w:tc>
          <w:tcPr>
            <w:tcW w:w="819" w:type="pct"/>
            <w:tcBorders>
              <w:left w:val="single" w:sz="4" w:space="0" w:color="auto"/>
              <w:bottom w:val="single" w:sz="4" w:space="0" w:color="auto"/>
              <w:right w:val="single" w:sz="4" w:space="0" w:color="auto"/>
            </w:tcBorders>
            <w:shd w:val="clear" w:color="auto" w:fill="FFFFFF" w:themeFill="background1"/>
          </w:tcPr>
          <w:p w14:paraId="03104B39" w14:textId="45FA4287" w:rsidR="0049657F" w:rsidRPr="003E7195" w:rsidRDefault="00EB4778"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w:t>
            </w:r>
          </w:p>
        </w:tc>
        <w:tc>
          <w:tcPr>
            <w:tcW w:w="881" w:type="pct"/>
            <w:tcBorders>
              <w:left w:val="single" w:sz="4" w:space="0" w:color="auto"/>
              <w:bottom w:val="nil"/>
            </w:tcBorders>
            <w:shd w:val="clear" w:color="auto" w:fill="FFFFFF" w:themeFill="background1"/>
          </w:tcPr>
          <w:p w14:paraId="7CE168FA" w14:textId="77F92CFF"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0.37 (0.25</w:t>
            </w:r>
            <w:r w:rsidR="00363067" w:rsidRPr="003E7195">
              <w:rPr>
                <w:rFonts w:ascii="Arial Narrow" w:hAnsi="Arial Narrow"/>
                <w:color w:val="0D0D0D" w:themeColor="text1" w:themeTint="F2"/>
                <w:sz w:val="20"/>
              </w:rPr>
              <w:t>,</w:t>
            </w:r>
            <w:r w:rsidRPr="003E7195">
              <w:rPr>
                <w:rFonts w:ascii="Arial Narrow" w:hAnsi="Arial Narrow"/>
                <w:color w:val="0D0D0D" w:themeColor="text1" w:themeTint="F2"/>
                <w:sz w:val="20"/>
              </w:rPr>
              <w:t xml:space="preserve"> 0.54)</w:t>
            </w:r>
          </w:p>
        </w:tc>
      </w:tr>
      <w:tr w:rsidR="003E7195" w:rsidRPr="003E7195" w14:paraId="3B1613AA" w14:textId="77777777" w:rsidTr="00D7489E">
        <w:trPr>
          <w:trHeight w:val="20"/>
        </w:trPr>
        <w:tc>
          <w:tcPr>
            <w:tcW w:w="1493" w:type="pct"/>
            <w:tcBorders>
              <w:bottom w:val="single" w:sz="4" w:space="0" w:color="auto"/>
              <w:right w:val="single" w:sz="4" w:space="0" w:color="auto"/>
            </w:tcBorders>
            <w:shd w:val="clear" w:color="auto" w:fill="FFFFFF" w:themeFill="background1"/>
          </w:tcPr>
          <w:p w14:paraId="0A6208D3" w14:textId="77777777" w:rsidR="0049657F" w:rsidRPr="003E7195" w:rsidRDefault="0049657F"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Median PFS, months (95% CI)</w:t>
            </w:r>
          </w:p>
        </w:tc>
        <w:tc>
          <w:tcPr>
            <w:tcW w:w="865" w:type="pct"/>
            <w:tcBorders>
              <w:left w:val="single" w:sz="4" w:space="0" w:color="auto"/>
              <w:bottom w:val="single" w:sz="4" w:space="0" w:color="auto"/>
              <w:right w:val="single" w:sz="4" w:space="0" w:color="auto"/>
            </w:tcBorders>
            <w:shd w:val="clear" w:color="auto" w:fill="FFFFFF" w:themeFill="background1"/>
            <w:vAlign w:val="center"/>
          </w:tcPr>
          <w:p w14:paraId="6DF93F39" w14:textId="2B281C0F"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2.7 (1.6</w:t>
            </w:r>
            <w:r w:rsidR="00EB4778" w:rsidRPr="003E7195">
              <w:rPr>
                <w:rFonts w:ascii="Arial Narrow" w:hAnsi="Arial Narrow"/>
                <w:color w:val="0D0D0D" w:themeColor="text1" w:themeTint="F2"/>
                <w:sz w:val="20"/>
              </w:rPr>
              <w:t>,</w:t>
            </w:r>
            <w:r w:rsidRPr="003E7195">
              <w:rPr>
                <w:rFonts w:ascii="Arial Narrow" w:hAnsi="Arial Narrow"/>
                <w:color w:val="0D0D0D" w:themeColor="text1" w:themeTint="F2"/>
                <w:sz w:val="20"/>
              </w:rPr>
              <w:t xml:space="preserve"> 4.2)</w:t>
            </w:r>
          </w:p>
        </w:tc>
        <w:tc>
          <w:tcPr>
            <w:tcW w:w="942" w:type="pct"/>
            <w:tcBorders>
              <w:left w:val="single" w:sz="4" w:space="0" w:color="auto"/>
              <w:bottom w:val="single" w:sz="4" w:space="0" w:color="auto"/>
              <w:right w:val="single" w:sz="4" w:space="0" w:color="auto"/>
            </w:tcBorders>
            <w:shd w:val="clear" w:color="auto" w:fill="FFFFFF" w:themeFill="background1"/>
            <w:vAlign w:val="center"/>
          </w:tcPr>
          <w:p w14:paraId="0DFB4CDF" w14:textId="07E727E5"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1.4 (1.4</w:t>
            </w:r>
            <w:r w:rsidR="00EB4778" w:rsidRPr="003E7195">
              <w:rPr>
                <w:rFonts w:ascii="Arial Narrow" w:hAnsi="Arial Narrow"/>
                <w:color w:val="0D0D0D" w:themeColor="text1" w:themeTint="F2"/>
                <w:sz w:val="20"/>
              </w:rPr>
              <w:t>,</w:t>
            </w:r>
            <w:r w:rsidRPr="003E7195">
              <w:rPr>
                <w:rFonts w:ascii="Arial Narrow" w:hAnsi="Arial Narrow"/>
                <w:color w:val="0D0D0D" w:themeColor="text1" w:themeTint="F2"/>
                <w:sz w:val="20"/>
              </w:rPr>
              <w:t xml:space="preserve"> 1.6)</w:t>
            </w:r>
          </w:p>
        </w:tc>
        <w:tc>
          <w:tcPr>
            <w:tcW w:w="819" w:type="pct"/>
            <w:tcBorders>
              <w:left w:val="single" w:sz="4" w:space="0" w:color="auto"/>
              <w:bottom w:val="single" w:sz="4" w:space="0" w:color="auto"/>
              <w:right w:val="single" w:sz="4" w:space="0" w:color="auto"/>
            </w:tcBorders>
            <w:shd w:val="clear" w:color="auto" w:fill="FFFFFF" w:themeFill="background1"/>
          </w:tcPr>
          <w:p w14:paraId="7CC0AE7F" w14:textId="7FC9B041"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1.3</w:t>
            </w:r>
          </w:p>
        </w:tc>
        <w:tc>
          <w:tcPr>
            <w:tcW w:w="881" w:type="pct"/>
            <w:tcBorders>
              <w:top w:val="nil"/>
              <w:left w:val="single" w:sz="4" w:space="0" w:color="auto"/>
              <w:bottom w:val="nil"/>
            </w:tcBorders>
            <w:shd w:val="clear" w:color="auto" w:fill="FFFFFF" w:themeFill="background1"/>
          </w:tcPr>
          <w:p w14:paraId="06F333C7" w14:textId="0F0269B8"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p>
        </w:tc>
      </w:tr>
      <w:tr w:rsidR="003E7195" w:rsidRPr="003E7195" w14:paraId="3312C7F8" w14:textId="77777777" w:rsidTr="00D7489E">
        <w:trPr>
          <w:trHeight w:val="151"/>
        </w:trPr>
        <w:tc>
          <w:tcPr>
            <w:tcW w:w="1493" w:type="pct"/>
            <w:tcBorders>
              <w:top w:val="single" w:sz="4" w:space="0" w:color="auto"/>
              <w:right w:val="single" w:sz="4" w:space="0" w:color="auto"/>
            </w:tcBorders>
            <w:shd w:val="clear" w:color="auto" w:fill="FFFFFF" w:themeFill="background1"/>
            <w:vAlign w:val="center"/>
          </w:tcPr>
          <w:p w14:paraId="58FD2757" w14:textId="3FA2B3F0" w:rsidR="000D5FF6" w:rsidRPr="003E7195" w:rsidRDefault="000D5FF6"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 not progressed at 3 months</w:t>
            </w:r>
          </w:p>
        </w:tc>
        <w:tc>
          <w:tcPr>
            <w:tcW w:w="865" w:type="pct"/>
            <w:tcBorders>
              <w:top w:val="single" w:sz="4" w:space="0" w:color="auto"/>
              <w:left w:val="single" w:sz="4" w:space="0" w:color="auto"/>
              <w:right w:val="single" w:sz="4" w:space="0" w:color="auto"/>
            </w:tcBorders>
            <w:shd w:val="clear" w:color="auto" w:fill="FFFFFF" w:themeFill="background1"/>
            <w:vAlign w:val="center"/>
          </w:tcPr>
          <w:p w14:paraId="2961361B" w14:textId="1001AE10" w:rsidR="000D5FF6" w:rsidRPr="003E7195" w:rsidRDefault="000D5FF6"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44.8</w:t>
            </w:r>
          </w:p>
        </w:tc>
        <w:tc>
          <w:tcPr>
            <w:tcW w:w="942" w:type="pct"/>
            <w:tcBorders>
              <w:top w:val="single" w:sz="4" w:space="0" w:color="auto"/>
              <w:left w:val="single" w:sz="4" w:space="0" w:color="auto"/>
              <w:right w:val="single" w:sz="4" w:space="0" w:color="auto"/>
            </w:tcBorders>
            <w:shd w:val="clear" w:color="auto" w:fill="FFFFFF" w:themeFill="background1"/>
            <w:vAlign w:val="center"/>
          </w:tcPr>
          <w:p w14:paraId="79CC95C7" w14:textId="2B7F5236" w:rsidR="000D5FF6" w:rsidRPr="003E7195" w:rsidRDefault="000D5FF6"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12.5</w:t>
            </w:r>
          </w:p>
        </w:tc>
        <w:tc>
          <w:tcPr>
            <w:tcW w:w="819" w:type="pct"/>
            <w:tcBorders>
              <w:top w:val="single" w:sz="4" w:space="0" w:color="auto"/>
              <w:left w:val="single" w:sz="4" w:space="0" w:color="auto"/>
              <w:right w:val="single" w:sz="4" w:space="0" w:color="auto"/>
            </w:tcBorders>
            <w:shd w:val="clear" w:color="auto" w:fill="FFFFFF" w:themeFill="background1"/>
          </w:tcPr>
          <w:p w14:paraId="389ADDFE" w14:textId="63F9A724" w:rsidR="000D5FF6" w:rsidRPr="003E7195" w:rsidRDefault="000D5FF6"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32.3</w:t>
            </w:r>
          </w:p>
        </w:tc>
        <w:tc>
          <w:tcPr>
            <w:tcW w:w="881" w:type="pct"/>
            <w:tcBorders>
              <w:top w:val="nil"/>
              <w:left w:val="single" w:sz="4" w:space="0" w:color="auto"/>
            </w:tcBorders>
            <w:shd w:val="clear" w:color="auto" w:fill="FFFFFF" w:themeFill="background1"/>
          </w:tcPr>
          <w:p w14:paraId="284325ED" w14:textId="77777777" w:rsidR="000D5FF6" w:rsidRPr="003E7195" w:rsidRDefault="000D5FF6" w:rsidP="00063478">
            <w:pPr>
              <w:keepNext/>
              <w:keepLines/>
              <w:widowControl w:val="0"/>
              <w:spacing w:before="0"/>
              <w:jc w:val="center"/>
              <w:rPr>
                <w:rFonts w:ascii="Arial Narrow" w:eastAsia="MS Gothic" w:hAnsi="Arial Narrow"/>
                <w:bCs/>
                <w:color w:val="0D0D0D" w:themeColor="text1" w:themeTint="F2"/>
                <w:sz w:val="20"/>
                <w:szCs w:val="24"/>
              </w:rPr>
            </w:pPr>
          </w:p>
        </w:tc>
      </w:tr>
      <w:tr w:rsidR="00BD670B" w:rsidRPr="003E7195" w14:paraId="3BA60165" w14:textId="77777777" w:rsidTr="00D7489E">
        <w:trPr>
          <w:trHeight w:val="151"/>
        </w:trPr>
        <w:tc>
          <w:tcPr>
            <w:tcW w:w="1493" w:type="pct"/>
            <w:tcBorders>
              <w:top w:val="single" w:sz="4" w:space="0" w:color="auto"/>
              <w:right w:val="single" w:sz="4" w:space="0" w:color="auto"/>
            </w:tcBorders>
            <w:shd w:val="clear" w:color="auto" w:fill="FFFFFF" w:themeFill="background1"/>
            <w:vAlign w:val="center"/>
          </w:tcPr>
          <w:p w14:paraId="15BA8E09" w14:textId="2702A65F" w:rsidR="00BD670B" w:rsidRPr="003E7195" w:rsidRDefault="00BD670B" w:rsidP="00063478">
            <w:pPr>
              <w:keepNext/>
              <w:keepLines/>
              <w:widowControl w:val="0"/>
              <w:spacing w:before="0"/>
              <w:jc w:val="left"/>
              <w:rPr>
                <w:rFonts w:ascii="Arial Narrow" w:hAnsi="Arial Narrow"/>
                <w:color w:val="0D0D0D" w:themeColor="text1" w:themeTint="F2"/>
                <w:sz w:val="20"/>
              </w:rPr>
            </w:pPr>
            <w:r>
              <w:rPr>
                <w:rFonts w:ascii="Arial Narrow" w:hAnsi="Arial Narrow"/>
                <w:color w:val="0D0D0D" w:themeColor="text1" w:themeTint="F2"/>
                <w:sz w:val="20"/>
              </w:rPr>
              <w:t>% not progressed at 12 months</w:t>
            </w:r>
          </w:p>
        </w:tc>
        <w:tc>
          <w:tcPr>
            <w:tcW w:w="865" w:type="pct"/>
            <w:tcBorders>
              <w:top w:val="single" w:sz="4" w:space="0" w:color="auto"/>
              <w:left w:val="single" w:sz="4" w:space="0" w:color="auto"/>
              <w:right w:val="single" w:sz="4" w:space="0" w:color="auto"/>
            </w:tcBorders>
            <w:shd w:val="clear" w:color="auto" w:fill="FFFFFF" w:themeFill="background1"/>
            <w:vAlign w:val="center"/>
          </w:tcPr>
          <w:p w14:paraId="30E79F73" w14:textId="295C30B9" w:rsidR="00BD670B" w:rsidRPr="003E7195" w:rsidRDefault="00BD670B" w:rsidP="00063478">
            <w:pPr>
              <w:keepNext/>
              <w:keepLines/>
              <w:widowControl w:val="0"/>
              <w:spacing w:before="0"/>
              <w:jc w:val="center"/>
              <w:rPr>
                <w:rFonts w:ascii="Arial Narrow" w:hAnsi="Arial Narrow"/>
                <w:color w:val="0D0D0D" w:themeColor="text1" w:themeTint="F2"/>
                <w:sz w:val="20"/>
              </w:rPr>
            </w:pPr>
            <w:r w:rsidRPr="003E7195">
              <w:rPr>
                <w:rFonts w:ascii="Arial Narrow" w:hAnsi="Arial Narrow"/>
                <w:color w:val="0D0D0D" w:themeColor="text1" w:themeTint="F2"/>
                <w:sz w:val="20"/>
              </w:rPr>
              <w:t>21.9</w:t>
            </w:r>
          </w:p>
        </w:tc>
        <w:tc>
          <w:tcPr>
            <w:tcW w:w="942" w:type="pct"/>
            <w:tcBorders>
              <w:top w:val="single" w:sz="4" w:space="0" w:color="auto"/>
              <w:left w:val="single" w:sz="4" w:space="0" w:color="auto"/>
              <w:right w:val="single" w:sz="4" w:space="0" w:color="auto"/>
            </w:tcBorders>
            <w:shd w:val="clear" w:color="auto" w:fill="FFFFFF" w:themeFill="background1"/>
            <w:vAlign w:val="center"/>
          </w:tcPr>
          <w:p w14:paraId="40DCD0C0" w14:textId="7F59372C" w:rsidR="00BD670B" w:rsidRPr="003E7195" w:rsidRDefault="00BD670B" w:rsidP="00063478">
            <w:pPr>
              <w:keepNext/>
              <w:keepLines/>
              <w:widowControl w:val="0"/>
              <w:spacing w:before="0"/>
              <w:jc w:val="center"/>
              <w:rPr>
                <w:rFonts w:ascii="Arial Narrow" w:hAnsi="Arial Narrow"/>
                <w:color w:val="0D0D0D" w:themeColor="text1" w:themeTint="F2"/>
                <w:sz w:val="20"/>
              </w:rPr>
            </w:pPr>
            <w:r>
              <w:rPr>
                <w:rFonts w:ascii="Arial Narrow" w:hAnsi="Arial Narrow"/>
                <w:color w:val="0D0D0D" w:themeColor="text1" w:themeTint="F2"/>
                <w:sz w:val="20"/>
              </w:rPr>
              <w:t>NE</w:t>
            </w:r>
          </w:p>
        </w:tc>
        <w:tc>
          <w:tcPr>
            <w:tcW w:w="819" w:type="pct"/>
            <w:tcBorders>
              <w:top w:val="single" w:sz="4" w:space="0" w:color="auto"/>
              <w:left w:val="single" w:sz="4" w:space="0" w:color="auto"/>
              <w:right w:val="single" w:sz="4" w:space="0" w:color="auto"/>
            </w:tcBorders>
            <w:shd w:val="clear" w:color="auto" w:fill="FFFFFF" w:themeFill="background1"/>
          </w:tcPr>
          <w:p w14:paraId="724124A6" w14:textId="3C63A524" w:rsidR="00BD670B" w:rsidRPr="003E7195" w:rsidRDefault="00BD670B" w:rsidP="00063478">
            <w:pPr>
              <w:keepNext/>
              <w:keepLines/>
              <w:widowControl w:val="0"/>
              <w:spacing w:before="0"/>
              <w:jc w:val="center"/>
              <w:rPr>
                <w:rFonts w:ascii="Arial Narrow" w:eastAsia="MS Gothic" w:hAnsi="Arial Narrow"/>
                <w:bCs/>
                <w:color w:val="0D0D0D" w:themeColor="text1" w:themeTint="F2"/>
                <w:sz w:val="20"/>
                <w:szCs w:val="24"/>
              </w:rPr>
            </w:pPr>
          </w:p>
        </w:tc>
        <w:tc>
          <w:tcPr>
            <w:tcW w:w="881" w:type="pct"/>
            <w:tcBorders>
              <w:top w:val="nil"/>
              <w:left w:val="single" w:sz="4" w:space="0" w:color="auto"/>
            </w:tcBorders>
            <w:shd w:val="clear" w:color="auto" w:fill="FFFFFF" w:themeFill="background1"/>
          </w:tcPr>
          <w:p w14:paraId="4827D869" w14:textId="77777777" w:rsidR="00BD670B" w:rsidRPr="003E7195" w:rsidRDefault="00BD670B" w:rsidP="00063478">
            <w:pPr>
              <w:keepNext/>
              <w:keepLines/>
              <w:widowControl w:val="0"/>
              <w:spacing w:before="0"/>
              <w:jc w:val="center"/>
              <w:rPr>
                <w:rFonts w:ascii="Arial Narrow" w:eastAsia="MS Gothic" w:hAnsi="Arial Narrow"/>
                <w:bCs/>
                <w:color w:val="0D0D0D" w:themeColor="text1" w:themeTint="F2"/>
                <w:sz w:val="20"/>
                <w:szCs w:val="24"/>
              </w:rPr>
            </w:pPr>
          </w:p>
        </w:tc>
      </w:tr>
      <w:tr w:rsidR="003E7195" w:rsidRPr="003E7195" w14:paraId="1B12DE60" w14:textId="77777777" w:rsidTr="00D7489E">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EA27FEF" w14:textId="2D1ACA60" w:rsidR="00BA3B68" w:rsidRPr="003E7195" w:rsidRDefault="00363067" w:rsidP="00063478">
            <w:pPr>
              <w:keepNext/>
              <w:keepLines/>
              <w:spacing w:before="0"/>
              <w:jc w:val="left"/>
              <w:rPr>
                <w:rFonts w:ascii="Arial Narrow" w:eastAsia="MS Gothic" w:hAnsi="Arial Narrow"/>
                <w:b/>
                <w:bCs/>
                <w:color w:val="0D0D0D" w:themeColor="text1" w:themeTint="F2"/>
                <w:sz w:val="20"/>
                <w:szCs w:val="24"/>
              </w:rPr>
            </w:pPr>
            <w:r w:rsidRPr="003E7195">
              <w:rPr>
                <w:rFonts w:ascii="Arial Narrow" w:eastAsia="MS Gothic" w:hAnsi="Arial Narrow"/>
                <w:b/>
                <w:bCs/>
                <w:color w:val="0D0D0D" w:themeColor="text1" w:themeTint="F2"/>
                <w:sz w:val="20"/>
                <w:szCs w:val="24"/>
              </w:rPr>
              <w:t>O</w:t>
            </w:r>
            <w:r w:rsidR="00BA3B68" w:rsidRPr="003E7195">
              <w:rPr>
                <w:rFonts w:ascii="Arial Narrow" w:eastAsia="MS Gothic" w:hAnsi="Arial Narrow"/>
                <w:b/>
                <w:bCs/>
                <w:color w:val="0D0D0D" w:themeColor="text1" w:themeTint="F2"/>
                <w:sz w:val="20"/>
                <w:szCs w:val="24"/>
              </w:rPr>
              <w:t>verall survival</w:t>
            </w:r>
            <w:r w:rsidR="00EB4778" w:rsidRPr="003E7195">
              <w:rPr>
                <w:rFonts w:ascii="Arial Narrow" w:eastAsia="MS Gothic" w:hAnsi="Arial Narrow"/>
                <w:b/>
                <w:bCs/>
                <w:color w:val="0D0D0D" w:themeColor="text1" w:themeTint="F2"/>
                <w:sz w:val="20"/>
                <w:szCs w:val="24"/>
              </w:rPr>
              <w:t xml:space="preserve"> (median follow-up of 24.4 months for ivosidenib and 20.5 for palliative care)</w:t>
            </w:r>
          </w:p>
        </w:tc>
      </w:tr>
      <w:tr w:rsidR="003E7195" w:rsidRPr="003E7195" w14:paraId="3CAECEB3" w14:textId="77777777" w:rsidTr="00D7489E">
        <w:trPr>
          <w:trHeight w:val="20"/>
        </w:trPr>
        <w:tc>
          <w:tcPr>
            <w:tcW w:w="1493" w:type="pct"/>
            <w:tcBorders>
              <w:bottom w:val="single" w:sz="4" w:space="0" w:color="auto"/>
              <w:right w:val="single" w:sz="4" w:space="0" w:color="auto"/>
            </w:tcBorders>
            <w:shd w:val="clear" w:color="auto" w:fill="FFFFFF" w:themeFill="background1"/>
            <w:vAlign w:val="center"/>
          </w:tcPr>
          <w:p w14:paraId="68CFED23" w14:textId="2A0EBAB7" w:rsidR="0049657F" w:rsidRPr="003E7195" w:rsidRDefault="0049657F"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Deaths, n/N (%)</w:t>
            </w:r>
          </w:p>
        </w:tc>
        <w:tc>
          <w:tcPr>
            <w:tcW w:w="865" w:type="pct"/>
            <w:tcBorders>
              <w:left w:val="single" w:sz="4" w:space="0" w:color="auto"/>
              <w:bottom w:val="single" w:sz="4" w:space="0" w:color="auto"/>
              <w:right w:val="single" w:sz="4" w:space="0" w:color="auto"/>
            </w:tcBorders>
            <w:shd w:val="clear" w:color="auto" w:fill="FFFFFF" w:themeFill="background1"/>
            <w:vAlign w:val="center"/>
          </w:tcPr>
          <w:p w14:paraId="0BC937C7" w14:textId="591F5950"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100/126 (79.4%)</w:t>
            </w:r>
          </w:p>
        </w:tc>
        <w:tc>
          <w:tcPr>
            <w:tcW w:w="942" w:type="pct"/>
            <w:tcBorders>
              <w:left w:val="single" w:sz="4" w:space="0" w:color="auto"/>
              <w:bottom w:val="single" w:sz="4" w:space="0" w:color="auto"/>
              <w:right w:val="single" w:sz="4" w:space="0" w:color="auto"/>
            </w:tcBorders>
            <w:shd w:val="clear" w:color="auto" w:fill="FFFFFF" w:themeFill="background1"/>
            <w:vAlign w:val="center"/>
          </w:tcPr>
          <w:p w14:paraId="416D7B86" w14:textId="22B23DF6"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50/61 (82.0%)</w:t>
            </w:r>
          </w:p>
        </w:tc>
        <w:tc>
          <w:tcPr>
            <w:tcW w:w="819" w:type="pct"/>
            <w:tcBorders>
              <w:left w:val="single" w:sz="4" w:space="0" w:color="auto"/>
              <w:bottom w:val="single" w:sz="4" w:space="0" w:color="auto"/>
              <w:right w:val="single" w:sz="4" w:space="0" w:color="auto"/>
            </w:tcBorders>
            <w:shd w:val="clear" w:color="auto" w:fill="FFFFFF" w:themeFill="background1"/>
          </w:tcPr>
          <w:p w14:paraId="2028A04B" w14:textId="3C61F242" w:rsidR="0049657F" w:rsidRPr="003E7195" w:rsidRDefault="00363067"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w:t>
            </w:r>
          </w:p>
        </w:tc>
        <w:tc>
          <w:tcPr>
            <w:tcW w:w="881" w:type="pct"/>
            <w:tcBorders>
              <w:left w:val="single" w:sz="4" w:space="0" w:color="auto"/>
              <w:bottom w:val="nil"/>
            </w:tcBorders>
            <w:shd w:val="clear" w:color="auto" w:fill="FFFFFF" w:themeFill="background1"/>
          </w:tcPr>
          <w:p w14:paraId="216BB942" w14:textId="09ED1C7E" w:rsidR="0049657F" w:rsidRPr="003E7195" w:rsidRDefault="00363067"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0.79 (0.56, 1.12)</w:t>
            </w:r>
          </w:p>
        </w:tc>
      </w:tr>
      <w:tr w:rsidR="003E7195" w:rsidRPr="003E7195" w14:paraId="33B8A427" w14:textId="77777777" w:rsidTr="00D7489E">
        <w:trPr>
          <w:trHeight w:val="20"/>
        </w:trPr>
        <w:tc>
          <w:tcPr>
            <w:tcW w:w="1493" w:type="pct"/>
            <w:tcBorders>
              <w:bottom w:val="single" w:sz="4" w:space="0" w:color="auto"/>
              <w:right w:val="single" w:sz="4" w:space="0" w:color="auto"/>
            </w:tcBorders>
            <w:shd w:val="clear" w:color="auto" w:fill="FFFFFF" w:themeFill="background1"/>
            <w:vAlign w:val="center"/>
          </w:tcPr>
          <w:p w14:paraId="121DB8A1" w14:textId="77777777" w:rsidR="0049657F" w:rsidRPr="003E7195" w:rsidRDefault="0049657F" w:rsidP="00063478">
            <w:pPr>
              <w:keepNext/>
              <w:keepLines/>
              <w:spacing w:before="0"/>
              <w:jc w:val="left"/>
              <w:rPr>
                <w:rFonts w:ascii="Arial Narrow" w:eastAsia="MS Gothic" w:hAnsi="Arial Narrow"/>
                <w:bCs/>
                <w:color w:val="0D0D0D" w:themeColor="text1" w:themeTint="F2"/>
                <w:sz w:val="20"/>
              </w:rPr>
            </w:pPr>
            <w:r w:rsidRPr="003E7195">
              <w:rPr>
                <w:rFonts w:ascii="Arial Narrow" w:eastAsia="MS Gothic" w:hAnsi="Arial Narrow"/>
                <w:bCs/>
                <w:color w:val="0D0D0D" w:themeColor="text1" w:themeTint="F2"/>
                <w:sz w:val="20"/>
              </w:rPr>
              <w:t>Median months OS (unadjusted)</w:t>
            </w:r>
          </w:p>
          <w:p w14:paraId="193C8BEF" w14:textId="1940AA2B" w:rsidR="0049657F" w:rsidRPr="003E7195" w:rsidRDefault="0049657F"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rPr>
              <w:t>(95% CI)</w:t>
            </w:r>
          </w:p>
        </w:tc>
        <w:tc>
          <w:tcPr>
            <w:tcW w:w="865" w:type="pct"/>
            <w:tcBorders>
              <w:left w:val="single" w:sz="4" w:space="0" w:color="auto"/>
              <w:bottom w:val="single" w:sz="4" w:space="0" w:color="auto"/>
              <w:right w:val="single" w:sz="4" w:space="0" w:color="auto"/>
            </w:tcBorders>
            <w:shd w:val="clear" w:color="auto" w:fill="FFFFFF" w:themeFill="background1"/>
            <w:vAlign w:val="center"/>
          </w:tcPr>
          <w:p w14:paraId="42D120AC" w14:textId="7EF24D5F"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10.3 (7.8</w:t>
            </w:r>
            <w:r w:rsidR="00363067" w:rsidRPr="003E7195">
              <w:rPr>
                <w:rFonts w:ascii="Arial Narrow" w:hAnsi="Arial Narrow"/>
                <w:color w:val="0D0D0D" w:themeColor="text1" w:themeTint="F2"/>
                <w:sz w:val="20"/>
              </w:rPr>
              <w:t>,</w:t>
            </w:r>
            <w:r w:rsidRPr="003E7195">
              <w:rPr>
                <w:rFonts w:ascii="Arial Narrow" w:hAnsi="Arial Narrow"/>
                <w:color w:val="0D0D0D" w:themeColor="text1" w:themeTint="F2"/>
                <w:sz w:val="20"/>
              </w:rPr>
              <w:t xml:space="preserve"> 12.4)</w:t>
            </w:r>
          </w:p>
        </w:tc>
        <w:tc>
          <w:tcPr>
            <w:tcW w:w="942" w:type="pct"/>
            <w:tcBorders>
              <w:left w:val="single" w:sz="4" w:space="0" w:color="auto"/>
              <w:bottom w:val="single" w:sz="4" w:space="0" w:color="auto"/>
              <w:right w:val="single" w:sz="4" w:space="0" w:color="auto"/>
            </w:tcBorders>
            <w:shd w:val="clear" w:color="auto" w:fill="FFFFFF" w:themeFill="background1"/>
            <w:vAlign w:val="center"/>
          </w:tcPr>
          <w:p w14:paraId="6BDF3FF2" w14:textId="54A04101"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7.5 (4.8</w:t>
            </w:r>
            <w:r w:rsidR="00363067" w:rsidRPr="003E7195">
              <w:rPr>
                <w:rFonts w:ascii="Arial Narrow" w:hAnsi="Arial Narrow"/>
                <w:color w:val="0D0D0D" w:themeColor="text1" w:themeTint="F2"/>
                <w:sz w:val="20"/>
              </w:rPr>
              <w:t>,</w:t>
            </w:r>
            <w:r w:rsidRPr="003E7195">
              <w:rPr>
                <w:rFonts w:ascii="Arial Narrow" w:hAnsi="Arial Narrow"/>
                <w:color w:val="0D0D0D" w:themeColor="text1" w:themeTint="F2"/>
                <w:sz w:val="20"/>
              </w:rPr>
              <w:t xml:space="preserve"> 11.1)</w:t>
            </w:r>
          </w:p>
        </w:tc>
        <w:tc>
          <w:tcPr>
            <w:tcW w:w="819" w:type="pct"/>
            <w:tcBorders>
              <w:left w:val="single" w:sz="4" w:space="0" w:color="auto"/>
              <w:bottom w:val="single" w:sz="4" w:space="0" w:color="auto"/>
              <w:right w:val="single" w:sz="4" w:space="0" w:color="auto"/>
            </w:tcBorders>
            <w:shd w:val="clear" w:color="auto" w:fill="FFFFFF" w:themeFill="background1"/>
          </w:tcPr>
          <w:p w14:paraId="6EA52278" w14:textId="0D77EFDC"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2.8</w:t>
            </w:r>
          </w:p>
        </w:tc>
        <w:tc>
          <w:tcPr>
            <w:tcW w:w="881" w:type="pct"/>
            <w:tcBorders>
              <w:top w:val="nil"/>
              <w:left w:val="single" w:sz="4" w:space="0" w:color="auto"/>
              <w:bottom w:val="nil"/>
            </w:tcBorders>
            <w:shd w:val="clear" w:color="auto" w:fill="FFFFFF" w:themeFill="background1"/>
          </w:tcPr>
          <w:p w14:paraId="502843AA" w14:textId="47B88761"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p>
        </w:tc>
      </w:tr>
      <w:tr w:rsidR="003E7195" w:rsidRPr="003E7195" w14:paraId="79B4401D" w14:textId="77777777" w:rsidTr="00D7489E">
        <w:trPr>
          <w:trHeight w:val="20"/>
        </w:trPr>
        <w:tc>
          <w:tcPr>
            <w:tcW w:w="1493" w:type="pct"/>
            <w:tcBorders>
              <w:top w:val="single" w:sz="4" w:space="0" w:color="auto"/>
              <w:bottom w:val="single" w:sz="4" w:space="0" w:color="auto"/>
              <w:right w:val="single" w:sz="4" w:space="0" w:color="auto"/>
            </w:tcBorders>
            <w:shd w:val="clear" w:color="auto" w:fill="FFFFFF" w:themeFill="background1"/>
          </w:tcPr>
          <w:p w14:paraId="4D7E4C60" w14:textId="3C0E02D8" w:rsidR="0049657F" w:rsidRPr="003E7195" w:rsidRDefault="0049657F"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 xml:space="preserve">   % alive at 12 months (95% CI)</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44E169" w14:textId="54310FFA"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42.9</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82726" w14:textId="793ED736"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35.8</w:t>
            </w:r>
          </w:p>
        </w:tc>
        <w:tc>
          <w:tcPr>
            <w:tcW w:w="819" w:type="pct"/>
            <w:tcBorders>
              <w:top w:val="single" w:sz="4" w:space="0" w:color="auto"/>
              <w:left w:val="single" w:sz="4" w:space="0" w:color="auto"/>
              <w:bottom w:val="single" w:sz="4" w:space="0" w:color="auto"/>
              <w:right w:val="single" w:sz="4" w:space="0" w:color="auto"/>
            </w:tcBorders>
            <w:shd w:val="clear" w:color="auto" w:fill="FFFFFF" w:themeFill="background1"/>
          </w:tcPr>
          <w:p w14:paraId="6452CAE0" w14:textId="7B8E0C9B"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7.1</w:t>
            </w:r>
          </w:p>
        </w:tc>
        <w:tc>
          <w:tcPr>
            <w:tcW w:w="881" w:type="pct"/>
            <w:tcBorders>
              <w:top w:val="nil"/>
              <w:left w:val="single" w:sz="4" w:space="0" w:color="auto"/>
              <w:bottom w:val="nil"/>
            </w:tcBorders>
            <w:shd w:val="clear" w:color="auto" w:fill="FFFFFF" w:themeFill="background1"/>
          </w:tcPr>
          <w:p w14:paraId="573DD228" w14:textId="77777777"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p>
        </w:tc>
      </w:tr>
      <w:tr w:rsidR="003E7195" w:rsidRPr="003E7195" w14:paraId="5F816836" w14:textId="77777777" w:rsidTr="00D7489E">
        <w:trPr>
          <w:trHeight w:val="20"/>
        </w:trPr>
        <w:tc>
          <w:tcPr>
            <w:tcW w:w="1493" w:type="pct"/>
            <w:tcBorders>
              <w:top w:val="single" w:sz="4" w:space="0" w:color="auto"/>
              <w:bottom w:val="single" w:sz="4" w:space="0" w:color="auto"/>
              <w:right w:val="single" w:sz="4" w:space="0" w:color="auto"/>
            </w:tcBorders>
            <w:shd w:val="clear" w:color="auto" w:fill="FFFFFF" w:themeFill="background1"/>
          </w:tcPr>
          <w:p w14:paraId="130C94D8" w14:textId="6C94ECB6" w:rsidR="0049657F" w:rsidRPr="003E7195" w:rsidRDefault="0049657F"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 xml:space="preserve">   % alive at 24 months (95% CI)</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6E321" w14:textId="7AD33A4F"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20.7</w:t>
            </w:r>
          </w:p>
        </w:tc>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45FD3" w14:textId="1470E71B"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15.0</w:t>
            </w:r>
          </w:p>
        </w:tc>
        <w:tc>
          <w:tcPr>
            <w:tcW w:w="819" w:type="pct"/>
            <w:tcBorders>
              <w:top w:val="single" w:sz="4" w:space="0" w:color="auto"/>
              <w:left w:val="single" w:sz="4" w:space="0" w:color="auto"/>
              <w:bottom w:val="single" w:sz="4" w:space="0" w:color="auto"/>
              <w:right w:val="single" w:sz="4" w:space="0" w:color="auto"/>
            </w:tcBorders>
            <w:shd w:val="clear" w:color="auto" w:fill="FFFFFF" w:themeFill="background1"/>
          </w:tcPr>
          <w:p w14:paraId="0F4CFEA4" w14:textId="1386922B"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5.7</w:t>
            </w:r>
          </w:p>
        </w:tc>
        <w:tc>
          <w:tcPr>
            <w:tcW w:w="881" w:type="pct"/>
            <w:tcBorders>
              <w:top w:val="nil"/>
              <w:left w:val="single" w:sz="4" w:space="0" w:color="auto"/>
              <w:bottom w:val="single" w:sz="4" w:space="0" w:color="auto"/>
            </w:tcBorders>
            <w:shd w:val="clear" w:color="auto" w:fill="FFFFFF" w:themeFill="background1"/>
          </w:tcPr>
          <w:p w14:paraId="17D19D04" w14:textId="77777777"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p>
        </w:tc>
      </w:tr>
      <w:tr w:rsidR="003E7195" w:rsidRPr="003E7195" w14:paraId="40720A5E" w14:textId="77777777" w:rsidTr="00D7489E">
        <w:trPr>
          <w:trHeight w:val="317"/>
        </w:trPr>
        <w:tc>
          <w:tcPr>
            <w:tcW w:w="1493" w:type="pct"/>
            <w:tcBorders>
              <w:bottom w:val="single" w:sz="4" w:space="0" w:color="auto"/>
              <w:right w:val="single" w:sz="4" w:space="0" w:color="auto"/>
            </w:tcBorders>
            <w:shd w:val="clear" w:color="auto" w:fill="FFFFFF" w:themeFill="background1"/>
            <w:vAlign w:val="center"/>
          </w:tcPr>
          <w:p w14:paraId="5EBC4AB9" w14:textId="4D04B891" w:rsidR="0049657F" w:rsidRPr="003E7195" w:rsidRDefault="0049657F"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rPr>
              <w:t xml:space="preserve">Median months OS (RPSFT-adjusted) (95% CI) </w:t>
            </w:r>
          </w:p>
        </w:tc>
        <w:tc>
          <w:tcPr>
            <w:tcW w:w="865" w:type="pct"/>
            <w:tcBorders>
              <w:left w:val="single" w:sz="4" w:space="0" w:color="auto"/>
              <w:bottom w:val="single" w:sz="4" w:space="0" w:color="auto"/>
              <w:right w:val="single" w:sz="4" w:space="0" w:color="auto"/>
            </w:tcBorders>
            <w:shd w:val="clear" w:color="auto" w:fill="FFFFFF" w:themeFill="background1"/>
            <w:vAlign w:val="center"/>
          </w:tcPr>
          <w:p w14:paraId="788B950A" w14:textId="049121E1"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10.3 (7.8</w:t>
            </w:r>
            <w:r w:rsidR="00363067" w:rsidRPr="003E7195">
              <w:rPr>
                <w:rFonts w:ascii="Arial Narrow" w:hAnsi="Arial Narrow"/>
                <w:color w:val="0D0D0D" w:themeColor="text1" w:themeTint="F2"/>
                <w:sz w:val="20"/>
              </w:rPr>
              <w:t>,</w:t>
            </w:r>
            <w:r w:rsidRPr="003E7195">
              <w:rPr>
                <w:rFonts w:ascii="Arial Narrow" w:hAnsi="Arial Narrow"/>
                <w:color w:val="0D0D0D" w:themeColor="text1" w:themeTint="F2"/>
                <w:sz w:val="20"/>
              </w:rPr>
              <w:t xml:space="preserve"> 12.4)</w:t>
            </w:r>
          </w:p>
        </w:tc>
        <w:tc>
          <w:tcPr>
            <w:tcW w:w="942" w:type="pct"/>
            <w:tcBorders>
              <w:left w:val="single" w:sz="4" w:space="0" w:color="auto"/>
              <w:bottom w:val="single" w:sz="4" w:space="0" w:color="auto"/>
              <w:right w:val="single" w:sz="4" w:space="0" w:color="auto"/>
            </w:tcBorders>
            <w:shd w:val="clear" w:color="auto" w:fill="FFFFFF" w:themeFill="background1"/>
            <w:vAlign w:val="center"/>
          </w:tcPr>
          <w:p w14:paraId="1DE187D0" w14:textId="48508AF9"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hAnsi="Arial Narrow"/>
                <w:color w:val="0D0D0D" w:themeColor="text1" w:themeTint="F2"/>
                <w:sz w:val="20"/>
              </w:rPr>
              <w:t>5.1 (3.8</w:t>
            </w:r>
            <w:r w:rsidR="00363067" w:rsidRPr="003E7195">
              <w:rPr>
                <w:rFonts w:ascii="Arial Narrow" w:hAnsi="Arial Narrow"/>
                <w:color w:val="0D0D0D" w:themeColor="text1" w:themeTint="F2"/>
                <w:sz w:val="20"/>
              </w:rPr>
              <w:t>,</w:t>
            </w:r>
            <w:r w:rsidRPr="003E7195">
              <w:rPr>
                <w:rFonts w:ascii="Arial Narrow" w:hAnsi="Arial Narrow"/>
                <w:color w:val="0D0D0D" w:themeColor="text1" w:themeTint="F2"/>
                <w:sz w:val="20"/>
              </w:rPr>
              <w:t xml:space="preserve"> 7.6)</w:t>
            </w:r>
          </w:p>
        </w:tc>
        <w:tc>
          <w:tcPr>
            <w:tcW w:w="819" w:type="pct"/>
            <w:tcBorders>
              <w:left w:val="single" w:sz="4" w:space="0" w:color="auto"/>
              <w:bottom w:val="single" w:sz="4" w:space="0" w:color="auto"/>
              <w:right w:val="single" w:sz="4" w:space="0" w:color="auto"/>
            </w:tcBorders>
            <w:shd w:val="clear" w:color="auto" w:fill="FFFFFF" w:themeFill="background1"/>
            <w:vAlign w:val="center"/>
          </w:tcPr>
          <w:p w14:paraId="7023EEAE" w14:textId="6CDE717E"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5.2</w:t>
            </w:r>
          </w:p>
        </w:tc>
        <w:tc>
          <w:tcPr>
            <w:tcW w:w="881" w:type="pct"/>
            <w:tcBorders>
              <w:left w:val="single" w:sz="4" w:space="0" w:color="auto"/>
              <w:bottom w:val="nil"/>
            </w:tcBorders>
            <w:shd w:val="clear" w:color="auto" w:fill="FFFFFF" w:themeFill="background1"/>
          </w:tcPr>
          <w:p w14:paraId="6A5455F2" w14:textId="78D13508" w:rsidR="0049657F" w:rsidRPr="003E7195" w:rsidRDefault="0049657F" w:rsidP="00063478">
            <w:pPr>
              <w:keepNext/>
              <w:keepLines/>
              <w:widowControl w:val="0"/>
              <w:spacing w:before="0"/>
              <w:jc w:val="center"/>
              <w:rPr>
                <w:rFonts w:ascii="Arial Narrow" w:eastAsia="MS Gothic" w:hAnsi="Arial Narrow"/>
                <w:bCs/>
                <w:color w:val="0D0D0D" w:themeColor="text1" w:themeTint="F2"/>
                <w:sz w:val="20"/>
                <w:szCs w:val="24"/>
                <w:vertAlign w:val="superscript"/>
              </w:rPr>
            </w:pPr>
            <w:r w:rsidRPr="003E7195">
              <w:rPr>
                <w:rFonts w:ascii="Arial Narrow" w:hAnsi="Arial Narrow"/>
                <w:color w:val="0D0D0D" w:themeColor="text1" w:themeTint="F2"/>
                <w:sz w:val="20"/>
              </w:rPr>
              <w:t>0.49 (0.34</w:t>
            </w:r>
            <w:r w:rsidR="007F04BA" w:rsidRPr="003E7195">
              <w:rPr>
                <w:rFonts w:ascii="Arial Narrow" w:hAnsi="Arial Narrow"/>
                <w:color w:val="0D0D0D" w:themeColor="text1" w:themeTint="F2"/>
                <w:sz w:val="20"/>
              </w:rPr>
              <w:t>,</w:t>
            </w:r>
            <w:r w:rsidRPr="003E7195">
              <w:rPr>
                <w:rFonts w:ascii="Arial Narrow" w:hAnsi="Arial Narrow"/>
                <w:color w:val="0D0D0D" w:themeColor="text1" w:themeTint="F2"/>
                <w:sz w:val="20"/>
              </w:rPr>
              <w:t xml:space="preserve"> 0.70)</w:t>
            </w:r>
          </w:p>
        </w:tc>
      </w:tr>
      <w:tr w:rsidR="003E7195" w:rsidRPr="003E7195" w14:paraId="434D605C" w14:textId="77777777" w:rsidTr="00D7489E">
        <w:trPr>
          <w:trHeight w:val="281"/>
        </w:trPr>
        <w:tc>
          <w:tcPr>
            <w:tcW w:w="1493" w:type="pct"/>
            <w:tcBorders>
              <w:right w:val="single" w:sz="4" w:space="0" w:color="auto"/>
            </w:tcBorders>
            <w:shd w:val="clear" w:color="auto" w:fill="FFFFFF" w:themeFill="background1"/>
          </w:tcPr>
          <w:p w14:paraId="72048FBD" w14:textId="06E9BA6A" w:rsidR="000D5FF6" w:rsidRPr="003E7195" w:rsidRDefault="000D5FF6" w:rsidP="00063478">
            <w:pPr>
              <w:keepNext/>
              <w:keepLines/>
              <w:widowControl w:val="0"/>
              <w:spacing w:before="0"/>
              <w:jc w:val="left"/>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 xml:space="preserve">   % alive at 12 months (95% CI)</w:t>
            </w:r>
          </w:p>
        </w:tc>
        <w:tc>
          <w:tcPr>
            <w:tcW w:w="865" w:type="pct"/>
            <w:tcBorders>
              <w:left w:val="single" w:sz="4" w:space="0" w:color="auto"/>
              <w:right w:val="single" w:sz="4" w:space="0" w:color="auto"/>
            </w:tcBorders>
            <w:shd w:val="clear" w:color="auto" w:fill="FFFFFF" w:themeFill="background1"/>
          </w:tcPr>
          <w:p w14:paraId="2BB58CCD" w14:textId="5BDA2522" w:rsidR="000D5FF6" w:rsidRPr="003E7195" w:rsidRDefault="000D5FF6"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rPr>
              <w:t>42.9</w:t>
            </w:r>
          </w:p>
        </w:tc>
        <w:tc>
          <w:tcPr>
            <w:tcW w:w="942" w:type="pct"/>
            <w:tcBorders>
              <w:left w:val="single" w:sz="4" w:space="0" w:color="auto"/>
              <w:right w:val="single" w:sz="4" w:space="0" w:color="auto"/>
            </w:tcBorders>
            <w:shd w:val="clear" w:color="auto" w:fill="FFFFFF" w:themeFill="background1"/>
          </w:tcPr>
          <w:p w14:paraId="3C130C2E" w14:textId="5ACF83A2" w:rsidR="000D5FF6" w:rsidRPr="003E7195" w:rsidRDefault="000D5FF6"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rPr>
              <w:t>17.1</w:t>
            </w:r>
          </w:p>
        </w:tc>
        <w:tc>
          <w:tcPr>
            <w:tcW w:w="819" w:type="pct"/>
            <w:tcBorders>
              <w:left w:val="single" w:sz="4" w:space="0" w:color="auto"/>
              <w:right w:val="single" w:sz="4" w:space="0" w:color="auto"/>
            </w:tcBorders>
            <w:shd w:val="clear" w:color="auto" w:fill="FFFFFF" w:themeFill="background1"/>
          </w:tcPr>
          <w:p w14:paraId="41C7111C" w14:textId="2CA238D7" w:rsidR="000D5FF6" w:rsidRPr="003E7195" w:rsidRDefault="000D5FF6" w:rsidP="00063478">
            <w:pPr>
              <w:keepNext/>
              <w:keepLines/>
              <w:widowControl w:val="0"/>
              <w:spacing w:before="0"/>
              <w:jc w:val="center"/>
              <w:rPr>
                <w:rFonts w:ascii="Arial Narrow" w:eastAsia="MS Gothic" w:hAnsi="Arial Narrow"/>
                <w:bCs/>
                <w:color w:val="0D0D0D" w:themeColor="text1" w:themeTint="F2"/>
                <w:sz w:val="20"/>
                <w:szCs w:val="24"/>
              </w:rPr>
            </w:pPr>
            <w:r w:rsidRPr="003E7195">
              <w:rPr>
                <w:rFonts w:ascii="Arial Narrow" w:eastAsia="MS Gothic" w:hAnsi="Arial Narrow"/>
                <w:bCs/>
                <w:color w:val="0D0D0D" w:themeColor="text1" w:themeTint="F2"/>
                <w:sz w:val="20"/>
                <w:szCs w:val="24"/>
              </w:rPr>
              <w:t>25.8</w:t>
            </w:r>
          </w:p>
        </w:tc>
        <w:tc>
          <w:tcPr>
            <w:tcW w:w="881" w:type="pct"/>
            <w:tcBorders>
              <w:top w:val="nil"/>
              <w:left w:val="single" w:sz="4" w:space="0" w:color="auto"/>
            </w:tcBorders>
            <w:shd w:val="clear" w:color="auto" w:fill="FFFFFF" w:themeFill="background1"/>
          </w:tcPr>
          <w:p w14:paraId="0CE83531" w14:textId="77777777" w:rsidR="000D5FF6" w:rsidRPr="003E7195" w:rsidRDefault="000D5FF6" w:rsidP="00063478">
            <w:pPr>
              <w:keepNext/>
              <w:keepLines/>
              <w:widowControl w:val="0"/>
              <w:spacing w:before="0"/>
              <w:jc w:val="center"/>
              <w:rPr>
                <w:rFonts w:ascii="Arial Narrow" w:eastAsia="MS Gothic" w:hAnsi="Arial Narrow"/>
                <w:bCs/>
                <w:color w:val="0D0D0D" w:themeColor="text1" w:themeTint="F2"/>
                <w:sz w:val="20"/>
                <w:szCs w:val="24"/>
              </w:rPr>
            </w:pPr>
          </w:p>
        </w:tc>
      </w:tr>
    </w:tbl>
    <w:tbl>
      <w:tblPr>
        <w:tblW w:w="5000" w:type="pct"/>
        <w:tblInd w:w="-5" w:type="dxa"/>
        <w:tblLayout w:type="fixed"/>
        <w:tblCellMar>
          <w:left w:w="28" w:type="dxa"/>
          <w:right w:w="28" w:type="dxa"/>
        </w:tblCellMar>
        <w:tblLook w:val="04A0" w:firstRow="1" w:lastRow="0" w:firstColumn="1" w:lastColumn="0" w:noHBand="0" w:noVBand="1"/>
        <w:tblCaption w:val="Table 10: Summary of comparative benefits and harms for ivosidenib and palliative care/BSC in the ClarIDHy trial"/>
      </w:tblPr>
      <w:tblGrid>
        <w:gridCol w:w="1907"/>
        <w:gridCol w:w="1095"/>
        <w:gridCol w:w="1367"/>
        <w:gridCol w:w="957"/>
        <w:gridCol w:w="1230"/>
        <w:gridCol w:w="1230"/>
        <w:gridCol w:w="1230"/>
      </w:tblGrid>
      <w:tr w:rsidR="003E7195" w:rsidRPr="003E7195" w14:paraId="196DB5E1" w14:textId="491E0F47" w:rsidTr="00D7489E">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13D047D" w14:textId="5EE3B823" w:rsidR="005C6C45" w:rsidRPr="003E7195" w:rsidRDefault="005C6C45" w:rsidP="00063478">
            <w:pPr>
              <w:pStyle w:val="In-tableHeading"/>
              <w:keepLines/>
              <w:rPr>
                <w:color w:val="0D0D0D" w:themeColor="text1" w:themeTint="F2"/>
                <w:lang w:val="en-AU"/>
              </w:rPr>
            </w:pPr>
            <w:r w:rsidRPr="003E7195">
              <w:rPr>
                <w:color w:val="0D0D0D" w:themeColor="text1" w:themeTint="F2"/>
                <w:lang w:val="en-AU"/>
              </w:rPr>
              <w:t>Harms</w:t>
            </w:r>
          </w:p>
        </w:tc>
      </w:tr>
      <w:tr w:rsidR="003E7195" w:rsidRPr="003E7195" w14:paraId="726118F0" w14:textId="3CE20641" w:rsidTr="00B15EA6">
        <w:tc>
          <w:tcPr>
            <w:tcW w:w="10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A5574" w14:textId="77777777" w:rsidR="005C6C45" w:rsidRPr="003E7195" w:rsidRDefault="005C6C45" w:rsidP="00063478">
            <w:pPr>
              <w:pStyle w:val="In-tableHeading"/>
              <w:keepLines/>
              <w:rPr>
                <w:color w:val="0D0D0D" w:themeColor="text1" w:themeTint="F2"/>
                <w:lang w:val="en-AU"/>
              </w:rPr>
            </w:pPr>
          </w:p>
        </w:tc>
        <w:tc>
          <w:tcPr>
            <w:tcW w:w="60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0A23B" w14:textId="2C937055" w:rsidR="005C6C45" w:rsidRPr="003E7195" w:rsidRDefault="005C6C45" w:rsidP="00B15EA6">
            <w:pPr>
              <w:pStyle w:val="In-tableHeading"/>
              <w:keepLines/>
              <w:jc w:val="center"/>
              <w:rPr>
                <w:bCs/>
                <w:color w:val="0D0D0D" w:themeColor="text1" w:themeTint="F2"/>
                <w:lang w:val="en-AU"/>
              </w:rPr>
            </w:pPr>
            <w:r w:rsidRPr="003E7195">
              <w:rPr>
                <w:rFonts w:eastAsia="MS Gothic"/>
                <w:bCs/>
                <w:color w:val="0D0D0D" w:themeColor="text1" w:themeTint="F2"/>
                <w:lang w:val="en-AU"/>
              </w:rPr>
              <w:t>Ivosidenib</w:t>
            </w:r>
            <w:r w:rsidRPr="003E7195">
              <w:rPr>
                <w:rFonts w:eastAsia="MS Gothic"/>
                <w:bCs/>
                <w:color w:val="0D0D0D" w:themeColor="text1" w:themeTint="F2"/>
                <w:vertAlign w:val="superscript"/>
                <w:lang w:val="en-AU"/>
              </w:rPr>
              <w:t>a</w:t>
            </w:r>
          </w:p>
          <w:p w14:paraId="0890194F" w14:textId="45451197" w:rsidR="005C6C45" w:rsidRPr="003E7195" w:rsidRDefault="005C6C45" w:rsidP="00B15EA6">
            <w:pPr>
              <w:pStyle w:val="In-tableHeading"/>
              <w:keepLines/>
              <w:jc w:val="center"/>
              <w:rPr>
                <w:color w:val="0D0D0D" w:themeColor="text1" w:themeTint="F2"/>
                <w:lang w:val="en-AU"/>
              </w:rPr>
            </w:pPr>
            <w:r w:rsidRPr="003E7195">
              <w:rPr>
                <w:color w:val="0D0D0D" w:themeColor="text1" w:themeTint="F2"/>
                <w:lang w:val="en-AU"/>
              </w:rPr>
              <w:t>n/N</w:t>
            </w:r>
          </w:p>
        </w:tc>
        <w:tc>
          <w:tcPr>
            <w:tcW w:w="7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33D6E" w14:textId="2F4949B7" w:rsidR="005C6C45" w:rsidRPr="003E7195" w:rsidRDefault="005C6C45" w:rsidP="00B15EA6">
            <w:pPr>
              <w:pStyle w:val="In-tableHeading"/>
              <w:keepLines/>
              <w:jc w:val="center"/>
              <w:rPr>
                <w:bCs/>
                <w:color w:val="0D0D0D" w:themeColor="text1" w:themeTint="F2"/>
                <w:lang w:val="en-AU"/>
              </w:rPr>
            </w:pPr>
            <w:r w:rsidRPr="003E7195">
              <w:rPr>
                <w:rFonts w:eastAsia="MS Gothic"/>
                <w:bCs/>
                <w:color w:val="0D0D0D" w:themeColor="text1" w:themeTint="F2"/>
                <w:lang w:val="en-AU"/>
              </w:rPr>
              <w:t>Palliative care/ BSC</w:t>
            </w:r>
            <w:r w:rsidRPr="003E7195">
              <w:rPr>
                <w:rFonts w:eastAsia="MS Gothic"/>
                <w:bCs/>
                <w:color w:val="0D0D0D" w:themeColor="text1" w:themeTint="F2"/>
                <w:vertAlign w:val="superscript"/>
                <w:lang w:val="en-AU"/>
              </w:rPr>
              <w:t>b</w:t>
            </w:r>
          </w:p>
          <w:p w14:paraId="5857A6EF" w14:textId="33B0D8A0" w:rsidR="005C6C45" w:rsidRPr="003E7195" w:rsidRDefault="005C6C45" w:rsidP="00B15EA6">
            <w:pPr>
              <w:pStyle w:val="In-tableHeading"/>
              <w:keepLines/>
              <w:jc w:val="center"/>
              <w:rPr>
                <w:color w:val="0D0D0D" w:themeColor="text1" w:themeTint="F2"/>
                <w:lang w:val="en-AU"/>
              </w:rPr>
            </w:pPr>
            <w:r w:rsidRPr="003E7195">
              <w:rPr>
                <w:bCs/>
                <w:color w:val="0D0D0D" w:themeColor="text1" w:themeTint="F2"/>
                <w:lang w:val="en-AU"/>
              </w:rPr>
              <w:t>n/N</w:t>
            </w:r>
          </w:p>
        </w:tc>
        <w:tc>
          <w:tcPr>
            <w:tcW w:w="531" w:type="pct"/>
            <w:vMerge w:val="restart"/>
            <w:tcBorders>
              <w:top w:val="single" w:sz="4" w:space="0" w:color="auto"/>
              <w:left w:val="single" w:sz="4" w:space="0" w:color="auto"/>
              <w:right w:val="single" w:sz="4" w:space="0" w:color="auto"/>
            </w:tcBorders>
            <w:shd w:val="clear" w:color="auto" w:fill="FFFFFF" w:themeFill="background1"/>
            <w:vAlign w:val="center"/>
          </w:tcPr>
          <w:p w14:paraId="2F0EF31B" w14:textId="2D1CB35F" w:rsidR="005C6C45" w:rsidRPr="003E7195" w:rsidRDefault="005C6C45" w:rsidP="00B15EA6">
            <w:pPr>
              <w:pStyle w:val="In-tableHeading"/>
              <w:keepLines/>
              <w:jc w:val="center"/>
              <w:rPr>
                <w:color w:val="0D0D0D" w:themeColor="text1" w:themeTint="F2"/>
                <w:lang w:val="en-AU"/>
              </w:rPr>
            </w:pPr>
            <w:r w:rsidRPr="003E7195">
              <w:rPr>
                <w:color w:val="0D0D0D" w:themeColor="text1" w:themeTint="F2"/>
                <w:lang w:val="en-AU"/>
              </w:rPr>
              <w:t>RR</w:t>
            </w:r>
          </w:p>
        </w:tc>
        <w:tc>
          <w:tcPr>
            <w:tcW w:w="13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6CE9C" w14:textId="126E5DBE" w:rsidR="005C6C45" w:rsidRPr="003E7195" w:rsidRDefault="005C6C45" w:rsidP="00B15EA6">
            <w:pPr>
              <w:pStyle w:val="In-tableHeading"/>
              <w:keepLines/>
              <w:jc w:val="center"/>
              <w:rPr>
                <w:color w:val="0D0D0D" w:themeColor="text1" w:themeTint="F2"/>
                <w:lang w:val="en-AU"/>
              </w:rPr>
            </w:pPr>
            <w:r w:rsidRPr="003E7195">
              <w:rPr>
                <w:color w:val="0D0D0D" w:themeColor="text1" w:themeTint="F2"/>
                <w:lang w:val="en-AU"/>
              </w:rPr>
              <w:t>Event rate/100 patients</w:t>
            </w:r>
          </w:p>
        </w:tc>
        <w:tc>
          <w:tcPr>
            <w:tcW w:w="682" w:type="pct"/>
            <w:vMerge w:val="restart"/>
            <w:tcBorders>
              <w:top w:val="single" w:sz="4" w:space="0" w:color="auto"/>
              <w:left w:val="single" w:sz="4" w:space="0" w:color="auto"/>
              <w:right w:val="single" w:sz="4" w:space="0" w:color="auto"/>
            </w:tcBorders>
            <w:shd w:val="clear" w:color="auto" w:fill="FFFFFF" w:themeFill="background1"/>
            <w:vAlign w:val="center"/>
          </w:tcPr>
          <w:p w14:paraId="4616B318" w14:textId="3585DB19" w:rsidR="005C6C45" w:rsidRPr="003E7195" w:rsidRDefault="005C6C45" w:rsidP="00B15EA6">
            <w:pPr>
              <w:pStyle w:val="In-tableHeading"/>
              <w:keepLines/>
              <w:jc w:val="center"/>
              <w:rPr>
                <w:color w:val="0D0D0D" w:themeColor="text1" w:themeTint="F2"/>
                <w:lang w:val="en-AU"/>
              </w:rPr>
            </w:pPr>
            <w:r w:rsidRPr="003E7195">
              <w:rPr>
                <w:color w:val="0D0D0D" w:themeColor="text1" w:themeTint="F2"/>
                <w:lang w:val="en-AU"/>
              </w:rPr>
              <w:t>RD</w:t>
            </w:r>
          </w:p>
        </w:tc>
      </w:tr>
      <w:tr w:rsidR="003E7195" w:rsidRPr="003E7195" w14:paraId="3EECF7B4" w14:textId="6FE1847F" w:rsidTr="00D7489E">
        <w:tc>
          <w:tcPr>
            <w:tcW w:w="10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69ADD" w14:textId="77777777" w:rsidR="005C6C45" w:rsidRPr="003E7195" w:rsidRDefault="005C6C45" w:rsidP="00063478">
            <w:pPr>
              <w:pStyle w:val="In-tableHeading"/>
              <w:keepLines/>
              <w:rPr>
                <w:color w:val="0D0D0D" w:themeColor="text1" w:themeTint="F2"/>
                <w:lang w:val="en-AU"/>
              </w:rPr>
            </w:pPr>
          </w:p>
        </w:tc>
        <w:tc>
          <w:tcPr>
            <w:tcW w:w="6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FC483" w14:textId="77777777" w:rsidR="005C6C45" w:rsidRPr="003E7195" w:rsidRDefault="005C6C45" w:rsidP="00063478">
            <w:pPr>
              <w:pStyle w:val="In-tableHeading"/>
              <w:keepLines/>
              <w:rPr>
                <w:color w:val="0D0D0D" w:themeColor="text1" w:themeTint="F2"/>
                <w:lang w:val="en-AU"/>
              </w:rPr>
            </w:pPr>
          </w:p>
        </w:tc>
        <w:tc>
          <w:tcPr>
            <w:tcW w:w="7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2A038" w14:textId="77777777" w:rsidR="005C6C45" w:rsidRPr="003E7195" w:rsidRDefault="005C6C45" w:rsidP="00063478">
            <w:pPr>
              <w:pStyle w:val="In-tableHeading"/>
              <w:keepLines/>
              <w:rPr>
                <w:color w:val="0D0D0D" w:themeColor="text1" w:themeTint="F2"/>
                <w:lang w:val="en-AU"/>
              </w:rPr>
            </w:pPr>
          </w:p>
        </w:tc>
        <w:tc>
          <w:tcPr>
            <w:tcW w:w="531" w:type="pct"/>
            <w:vMerge/>
            <w:tcBorders>
              <w:left w:val="single" w:sz="4" w:space="0" w:color="auto"/>
              <w:bottom w:val="single" w:sz="4" w:space="0" w:color="auto"/>
              <w:right w:val="single" w:sz="4" w:space="0" w:color="auto"/>
            </w:tcBorders>
            <w:shd w:val="clear" w:color="auto" w:fill="FFFFFF" w:themeFill="background1"/>
          </w:tcPr>
          <w:p w14:paraId="38F80A2C" w14:textId="31087928" w:rsidR="005C6C45" w:rsidRPr="003E7195" w:rsidRDefault="005C6C45" w:rsidP="00063478">
            <w:pPr>
              <w:pStyle w:val="In-tableHeading"/>
              <w:keepLines/>
              <w:jc w:val="center"/>
              <w:rPr>
                <w:color w:val="0D0D0D" w:themeColor="text1" w:themeTint="F2"/>
                <w:lang w:val="en-AU"/>
              </w:rPr>
            </w:pPr>
          </w:p>
        </w:tc>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0886F" w14:textId="6B911C50" w:rsidR="005C6C45" w:rsidRPr="003E7195" w:rsidRDefault="005C6C45" w:rsidP="00063478">
            <w:pPr>
              <w:pStyle w:val="In-tableHeading"/>
              <w:keepLines/>
              <w:jc w:val="center"/>
              <w:rPr>
                <w:color w:val="0D0D0D" w:themeColor="text1" w:themeTint="F2"/>
                <w:lang w:val="en-AU"/>
              </w:rPr>
            </w:pPr>
            <w:r w:rsidRPr="003E7195">
              <w:rPr>
                <w:color w:val="0D0D0D" w:themeColor="text1" w:themeTint="F2"/>
                <w:lang w:val="en-AU"/>
              </w:rPr>
              <w:t>Ivosidenib</w:t>
            </w:r>
          </w:p>
        </w:tc>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EFF97" w14:textId="36E3862B" w:rsidR="005C6C45" w:rsidRPr="003E7195" w:rsidRDefault="005C6C45" w:rsidP="00063478">
            <w:pPr>
              <w:pStyle w:val="In-tableHeading"/>
              <w:keepLines/>
              <w:jc w:val="center"/>
              <w:rPr>
                <w:color w:val="0D0D0D" w:themeColor="text1" w:themeTint="F2"/>
                <w:lang w:val="en-AU"/>
              </w:rPr>
            </w:pPr>
            <w:r w:rsidRPr="003E7195">
              <w:rPr>
                <w:color w:val="0D0D0D" w:themeColor="text1" w:themeTint="F2"/>
                <w:lang w:val="en-AU"/>
              </w:rPr>
              <w:t>Palliative care/BSC</w:t>
            </w:r>
          </w:p>
        </w:tc>
        <w:tc>
          <w:tcPr>
            <w:tcW w:w="682" w:type="pct"/>
            <w:vMerge/>
            <w:tcBorders>
              <w:left w:val="single" w:sz="4" w:space="0" w:color="auto"/>
              <w:bottom w:val="single" w:sz="4" w:space="0" w:color="auto"/>
              <w:right w:val="single" w:sz="4" w:space="0" w:color="auto"/>
            </w:tcBorders>
            <w:shd w:val="clear" w:color="auto" w:fill="FFFFFF" w:themeFill="background1"/>
          </w:tcPr>
          <w:p w14:paraId="39A4E1BD" w14:textId="7B8B9952" w:rsidR="005C6C45" w:rsidRPr="003E7195" w:rsidRDefault="005C6C45" w:rsidP="00063478">
            <w:pPr>
              <w:pStyle w:val="In-tableHeading"/>
              <w:keepLines/>
              <w:jc w:val="center"/>
              <w:rPr>
                <w:color w:val="0D0D0D" w:themeColor="text1" w:themeTint="F2"/>
                <w:lang w:val="en-AU"/>
              </w:rPr>
            </w:pPr>
          </w:p>
        </w:tc>
      </w:tr>
      <w:tr w:rsidR="003E7195" w:rsidRPr="003E7195" w14:paraId="7277CAC9" w14:textId="0574F531" w:rsidTr="00D7489E">
        <w:trPr>
          <w:trHeight w:val="199"/>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23E79487" w14:textId="13B58E6B" w:rsidR="005C6C45" w:rsidRPr="003E7195" w:rsidRDefault="005C6C45" w:rsidP="00063478">
            <w:pPr>
              <w:pStyle w:val="TableText"/>
              <w:keepNext/>
              <w:keepLines/>
              <w:rPr>
                <w:color w:val="0D0D0D" w:themeColor="text1" w:themeTint="F2"/>
              </w:rPr>
            </w:pPr>
            <w:r w:rsidRPr="003E7195">
              <w:rPr>
                <w:color w:val="0D0D0D" w:themeColor="text1" w:themeTint="F2"/>
              </w:rPr>
              <w:t>All Grade 3 TEAEs</w:t>
            </w:r>
          </w:p>
        </w:tc>
        <w:tc>
          <w:tcPr>
            <w:tcW w:w="607" w:type="pct"/>
            <w:tcBorders>
              <w:top w:val="single" w:sz="4" w:space="0" w:color="auto"/>
              <w:left w:val="single" w:sz="4" w:space="0" w:color="auto"/>
              <w:bottom w:val="single" w:sz="4" w:space="0" w:color="auto"/>
              <w:right w:val="single" w:sz="4" w:space="0" w:color="auto"/>
            </w:tcBorders>
            <w:vAlign w:val="center"/>
          </w:tcPr>
          <w:p w14:paraId="0639B43F" w14:textId="1C3D1041" w:rsidR="005C6C45" w:rsidRPr="003E7195" w:rsidRDefault="005C6C45" w:rsidP="00063478">
            <w:pPr>
              <w:pStyle w:val="TableText"/>
              <w:keepNext/>
              <w:keepLines/>
              <w:jc w:val="center"/>
              <w:rPr>
                <w:color w:val="0D0D0D" w:themeColor="text1" w:themeTint="F2"/>
              </w:rPr>
            </w:pPr>
            <w:r w:rsidRPr="003E7195">
              <w:rPr>
                <w:color w:val="0D0D0D" w:themeColor="text1" w:themeTint="F2"/>
              </w:rPr>
              <w:t>62/123</w:t>
            </w:r>
          </w:p>
        </w:tc>
        <w:tc>
          <w:tcPr>
            <w:tcW w:w="758" w:type="pct"/>
            <w:tcBorders>
              <w:top w:val="single" w:sz="4" w:space="0" w:color="auto"/>
              <w:left w:val="single" w:sz="4" w:space="0" w:color="auto"/>
              <w:bottom w:val="single" w:sz="4" w:space="0" w:color="auto"/>
              <w:right w:val="single" w:sz="4" w:space="0" w:color="auto"/>
            </w:tcBorders>
            <w:vAlign w:val="center"/>
          </w:tcPr>
          <w:p w14:paraId="6EC48703" w14:textId="18013A7A" w:rsidR="005C6C45" w:rsidRPr="003E7195" w:rsidRDefault="005C6C45" w:rsidP="00063478">
            <w:pPr>
              <w:pStyle w:val="TableText"/>
              <w:keepNext/>
              <w:keepLines/>
              <w:jc w:val="center"/>
              <w:rPr>
                <w:color w:val="0D0D0D" w:themeColor="text1" w:themeTint="F2"/>
              </w:rPr>
            </w:pPr>
            <w:r w:rsidRPr="003E7195">
              <w:rPr>
                <w:color w:val="0D0D0D" w:themeColor="text1" w:themeTint="F2"/>
              </w:rPr>
              <w:t>22/59</w:t>
            </w:r>
          </w:p>
        </w:tc>
        <w:tc>
          <w:tcPr>
            <w:tcW w:w="531" w:type="pct"/>
            <w:tcBorders>
              <w:top w:val="single" w:sz="4" w:space="0" w:color="auto"/>
              <w:left w:val="single" w:sz="4" w:space="0" w:color="auto"/>
              <w:bottom w:val="single" w:sz="4" w:space="0" w:color="auto"/>
              <w:right w:val="single" w:sz="4" w:space="0" w:color="auto"/>
            </w:tcBorders>
          </w:tcPr>
          <w:p w14:paraId="20BA7EA4" w14:textId="17F5591D" w:rsidR="005C6C45" w:rsidRPr="003E7195" w:rsidRDefault="00193BD7" w:rsidP="00063478">
            <w:pPr>
              <w:pStyle w:val="TableText"/>
              <w:keepNext/>
              <w:keepLines/>
              <w:jc w:val="center"/>
              <w:rPr>
                <w:color w:val="0D0D0D" w:themeColor="text1" w:themeTint="F2"/>
              </w:rPr>
            </w:pPr>
            <w:r w:rsidRPr="003E7195">
              <w:rPr>
                <w:color w:val="0D0D0D" w:themeColor="text1" w:themeTint="F2"/>
              </w:rPr>
              <w:t>1.35</w:t>
            </w:r>
          </w:p>
        </w:tc>
        <w:tc>
          <w:tcPr>
            <w:tcW w:w="682" w:type="pct"/>
            <w:tcBorders>
              <w:top w:val="single" w:sz="4" w:space="0" w:color="auto"/>
              <w:left w:val="single" w:sz="4" w:space="0" w:color="auto"/>
              <w:bottom w:val="single" w:sz="4" w:space="0" w:color="auto"/>
              <w:right w:val="single" w:sz="4" w:space="0" w:color="auto"/>
            </w:tcBorders>
            <w:vAlign w:val="center"/>
          </w:tcPr>
          <w:p w14:paraId="343FD4DD" w14:textId="36F9133D" w:rsidR="005C6C45" w:rsidRPr="003E7195" w:rsidRDefault="00193BD7" w:rsidP="00063478">
            <w:pPr>
              <w:pStyle w:val="TableText"/>
              <w:keepNext/>
              <w:keepLines/>
              <w:jc w:val="center"/>
              <w:rPr>
                <w:color w:val="0D0D0D" w:themeColor="text1" w:themeTint="F2"/>
              </w:rPr>
            </w:pPr>
            <w:r w:rsidRPr="003E7195">
              <w:rPr>
                <w:color w:val="0D0D0D" w:themeColor="text1" w:themeTint="F2"/>
              </w:rPr>
              <w:t>50.4</w:t>
            </w:r>
          </w:p>
        </w:tc>
        <w:tc>
          <w:tcPr>
            <w:tcW w:w="682" w:type="pct"/>
            <w:tcBorders>
              <w:top w:val="single" w:sz="4" w:space="0" w:color="auto"/>
              <w:left w:val="single" w:sz="4" w:space="0" w:color="auto"/>
              <w:bottom w:val="single" w:sz="4" w:space="0" w:color="auto"/>
              <w:right w:val="single" w:sz="4" w:space="0" w:color="auto"/>
            </w:tcBorders>
            <w:vAlign w:val="center"/>
          </w:tcPr>
          <w:p w14:paraId="0FD5E9C5" w14:textId="7F2F0F5D" w:rsidR="005C6C45" w:rsidRPr="003E7195" w:rsidRDefault="00193BD7" w:rsidP="00063478">
            <w:pPr>
              <w:pStyle w:val="TableText"/>
              <w:keepNext/>
              <w:keepLines/>
              <w:jc w:val="center"/>
              <w:rPr>
                <w:color w:val="0D0D0D" w:themeColor="text1" w:themeTint="F2"/>
              </w:rPr>
            </w:pPr>
            <w:r w:rsidRPr="003E7195">
              <w:rPr>
                <w:color w:val="0D0D0D" w:themeColor="text1" w:themeTint="F2"/>
              </w:rPr>
              <w:t>37.3</w:t>
            </w:r>
          </w:p>
        </w:tc>
        <w:tc>
          <w:tcPr>
            <w:tcW w:w="682" w:type="pct"/>
            <w:tcBorders>
              <w:top w:val="single" w:sz="4" w:space="0" w:color="auto"/>
              <w:left w:val="single" w:sz="4" w:space="0" w:color="auto"/>
              <w:bottom w:val="single" w:sz="4" w:space="0" w:color="auto"/>
              <w:right w:val="single" w:sz="4" w:space="0" w:color="auto"/>
            </w:tcBorders>
          </w:tcPr>
          <w:p w14:paraId="72EF10FF" w14:textId="5074980B" w:rsidR="005C6C45" w:rsidRPr="003E7195" w:rsidRDefault="00193BD7" w:rsidP="00063478">
            <w:pPr>
              <w:pStyle w:val="TableText"/>
              <w:keepNext/>
              <w:keepLines/>
              <w:jc w:val="center"/>
              <w:rPr>
                <w:color w:val="0D0D0D" w:themeColor="text1" w:themeTint="F2"/>
              </w:rPr>
            </w:pPr>
            <w:r w:rsidRPr="003E7195">
              <w:rPr>
                <w:color w:val="0D0D0D" w:themeColor="text1" w:themeTint="F2"/>
              </w:rPr>
              <w:t>13</w:t>
            </w:r>
            <w:r w:rsidR="003D01AB" w:rsidRPr="003E7195">
              <w:rPr>
                <w:color w:val="0D0D0D" w:themeColor="text1" w:themeTint="F2"/>
              </w:rPr>
              <w:t>.1</w:t>
            </w:r>
          </w:p>
        </w:tc>
      </w:tr>
      <w:tr w:rsidR="003E7195" w:rsidRPr="003E7195" w14:paraId="4C10E884" w14:textId="586BE951" w:rsidTr="00D7489E">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78AB668B" w14:textId="3D33A169" w:rsidR="005C6C45" w:rsidRPr="003E7195" w:rsidRDefault="005C6C45" w:rsidP="00063478">
            <w:pPr>
              <w:pStyle w:val="TableText"/>
              <w:keepNext/>
              <w:keepLines/>
              <w:rPr>
                <w:color w:val="0D0D0D" w:themeColor="text1" w:themeTint="F2"/>
              </w:rPr>
            </w:pPr>
            <w:r w:rsidRPr="003E7195">
              <w:rPr>
                <w:color w:val="0D0D0D" w:themeColor="text1" w:themeTint="F2"/>
              </w:rPr>
              <w:t>All serious TEAEs</w:t>
            </w:r>
          </w:p>
        </w:tc>
        <w:tc>
          <w:tcPr>
            <w:tcW w:w="607" w:type="pct"/>
            <w:tcBorders>
              <w:top w:val="single" w:sz="4" w:space="0" w:color="auto"/>
              <w:left w:val="single" w:sz="4" w:space="0" w:color="auto"/>
              <w:bottom w:val="single" w:sz="4" w:space="0" w:color="auto"/>
              <w:right w:val="single" w:sz="4" w:space="0" w:color="auto"/>
            </w:tcBorders>
            <w:vAlign w:val="center"/>
          </w:tcPr>
          <w:p w14:paraId="6289E77E" w14:textId="144F613D" w:rsidR="005C6C45" w:rsidRPr="003E7195" w:rsidRDefault="005C6C45" w:rsidP="00063478">
            <w:pPr>
              <w:pStyle w:val="TableText"/>
              <w:keepNext/>
              <w:keepLines/>
              <w:jc w:val="center"/>
              <w:rPr>
                <w:color w:val="0D0D0D" w:themeColor="text1" w:themeTint="F2"/>
              </w:rPr>
            </w:pPr>
            <w:r w:rsidRPr="003E7195">
              <w:rPr>
                <w:color w:val="0D0D0D" w:themeColor="text1" w:themeTint="F2"/>
              </w:rPr>
              <w:t>42/123</w:t>
            </w:r>
          </w:p>
        </w:tc>
        <w:tc>
          <w:tcPr>
            <w:tcW w:w="758" w:type="pct"/>
            <w:tcBorders>
              <w:top w:val="single" w:sz="4" w:space="0" w:color="auto"/>
              <w:left w:val="single" w:sz="4" w:space="0" w:color="auto"/>
              <w:bottom w:val="single" w:sz="4" w:space="0" w:color="auto"/>
              <w:right w:val="single" w:sz="4" w:space="0" w:color="auto"/>
            </w:tcBorders>
            <w:vAlign w:val="center"/>
          </w:tcPr>
          <w:p w14:paraId="5F82B67F" w14:textId="537D1284" w:rsidR="005C6C45" w:rsidRPr="003E7195" w:rsidRDefault="005C6C45" w:rsidP="00063478">
            <w:pPr>
              <w:pStyle w:val="TableText"/>
              <w:keepNext/>
              <w:keepLines/>
              <w:jc w:val="center"/>
              <w:rPr>
                <w:color w:val="0D0D0D" w:themeColor="text1" w:themeTint="F2"/>
              </w:rPr>
            </w:pPr>
            <w:r w:rsidRPr="003E7195">
              <w:rPr>
                <w:color w:val="0D0D0D" w:themeColor="text1" w:themeTint="F2"/>
              </w:rPr>
              <w:t>14/59</w:t>
            </w:r>
          </w:p>
        </w:tc>
        <w:tc>
          <w:tcPr>
            <w:tcW w:w="531" w:type="pct"/>
            <w:tcBorders>
              <w:top w:val="single" w:sz="4" w:space="0" w:color="auto"/>
              <w:left w:val="single" w:sz="4" w:space="0" w:color="auto"/>
              <w:bottom w:val="single" w:sz="4" w:space="0" w:color="auto"/>
              <w:right w:val="single" w:sz="4" w:space="0" w:color="auto"/>
            </w:tcBorders>
          </w:tcPr>
          <w:p w14:paraId="674B3914" w14:textId="17EB2F05" w:rsidR="005C6C45" w:rsidRPr="003E7195" w:rsidRDefault="00193BD7" w:rsidP="00063478">
            <w:pPr>
              <w:pStyle w:val="TableText"/>
              <w:keepNext/>
              <w:keepLines/>
              <w:jc w:val="center"/>
              <w:rPr>
                <w:color w:val="0D0D0D" w:themeColor="text1" w:themeTint="F2"/>
              </w:rPr>
            </w:pPr>
            <w:r w:rsidRPr="003E7195">
              <w:rPr>
                <w:color w:val="0D0D0D" w:themeColor="text1" w:themeTint="F2"/>
              </w:rPr>
              <w:t>1.44</w:t>
            </w:r>
          </w:p>
        </w:tc>
        <w:tc>
          <w:tcPr>
            <w:tcW w:w="682" w:type="pct"/>
            <w:tcBorders>
              <w:top w:val="single" w:sz="4" w:space="0" w:color="auto"/>
              <w:left w:val="single" w:sz="4" w:space="0" w:color="auto"/>
              <w:bottom w:val="single" w:sz="4" w:space="0" w:color="auto"/>
              <w:right w:val="single" w:sz="4" w:space="0" w:color="auto"/>
            </w:tcBorders>
            <w:vAlign w:val="center"/>
          </w:tcPr>
          <w:p w14:paraId="7ADDF7F6" w14:textId="452983EC" w:rsidR="005C6C45" w:rsidRPr="003E7195" w:rsidRDefault="00193BD7" w:rsidP="00063478">
            <w:pPr>
              <w:pStyle w:val="TableText"/>
              <w:keepNext/>
              <w:keepLines/>
              <w:jc w:val="center"/>
              <w:rPr>
                <w:color w:val="0D0D0D" w:themeColor="text1" w:themeTint="F2"/>
              </w:rPr>
            </w:pPr>
            <w:r w:rsidRPr="003E7195">
              <w:rPr>
                <w:color w:val="0D0D0D" w:themeColor="text1" w:themeTint="F2"/>
              </w:rPr>
              <w:t>34.1</w:t>
            </w:r>
          </w:p>
        </w:tc>
        <w:tc>
          <w:tcPr>
            <w:tcW w:w="682" w:type="pct"/>
            <w:tcBorders>
              <w:top w:val="single" w:sz="4" w:space="0" w:color="auto"/>
              <w:left w:val="single" w:sz="4" w:space="0" w:color="auto"/>
              <w:bottom w:val="single" w:sz="4" w:space="0" w:color="auto"/>
              <w:right w:val="single" w:sz="4" w:space="0" w:color="auto"/>
            </w:tcBorders>
            <w:vAlign w:val="center"/>
          </w:tcPr>
          <w:p w14:paraId="307E8FA8" w14:textId="08B65FC6" w:rsidR="005C6C45" w:rsidRPr="003E7195" w:rsidRDefault="00193BD7" w:rsidP="00063478">
            <w:pPr>
              <w:pStyle w:val="TableText"/>
              <w:keepNext/>
              <w:keepLines/>
              <w:jc w:val="center"/>
              <w:rPr>
                <w:color w:val="0D0D0D" w:themeColor="text1" w:themeTint="F2"/>
              </w:rPr>
            </w:pPr>
            <w:r w:rsidRPr="003E7195">
              <w:rPr>
                <w:color w:val="0D0D0D" w:themeColor="text1" w:themeTint="F2"/>
              </w:rPr>
              <w:t>23.7</w:t>
            </w:r>
          </w:p>
        </w:tc>
        <w:tc>
          <w:tcPr>
            <w:tcW w:w="682" w:type="pct"/>
            <w:tcBorders>
              <w:top w:val="single" w:sz="4" w:space="0" w:color="auto"/>
              <w:left w:val="single" w:sz="4" w:space="0" w:color="auto"/>
              <w:bottom w:val="single" w:sz="4" w:space="0" w:color="auto"/>
              <w:right w:val="single" w:sz="4" w:space="0" w:color="auto"/>
            </w:tcBorders>
          </w:tcPr>
          <w:p w14:paraId="3EE2AACF" w14:textId="36511193" w:rsidR="005C6C45" w:rsidRPr="003E7195" w:rsidRDefault="00193BD7" w:rsidP="00063478">
            <w:pPr>
              <w:pStyle w:val="TableText"/>
              <w:keepNext/>
              <w:keepLines/>
              <w:jc w:val="center"/>
              <w:rPr>
                <w:color w:val="0D0D0D" w:themeColor="text1" w:themeTint="F2"/>
              </w:rPr>
            </w:pPr>
            <w:r w:rsidRPr="003E7195">
              <w:rPr>
                <w:color w:val="0D0D0D" w:themeColor="text1" w:themeTint="F2"/>
              </w:rPr>
              <w:t>10</w:t>
            </w:r>
            <w:r w:rsidR="003D01AB" w:rsidRPr="003E7195">
              <w:rPr>
                <w:color w:val="0D0D0D" w:themeColor="text1" w:themeTint="F2"/>
              </w:rPr>
              <w:t>.4</w:t>
            </w:r>
          </w:p>
        </w:tc>
      </w:tr>
      <w:tr w:rsidR="003E7195" w:rsidRPr="003E7195" w14:paraId="0402768E" w14:textId="77777777" w:rsidTr="00D7489E">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452BCC22" w14:textId="4AD2B5CE" w:rsidR="00E30C2E" w:rsidRPr="003E7195" w:rsidRDefault="00E30C2E" w:rsidP="00063478">
            <w:pPr>
              <w:pStyle w:val="TableText"/>
              <w:keepNext/>
              <w:keepLines/>
              <w:rPr>
                <w:color w:val="0D0D0D" w:themeColor="text1" w:themeTint="F2"/>
              </w:rPr>
            </w:pPr>
            <w:r w:rsidRPr="003E7195">
              <w:rPr>
                <w:color w:val="0D0D0D" w:themeColor="text1" w:themeTint="F2"/>
              </w:rPr>
              <w:t>Prolongation of QT</w:t>
            </w:r>
          </w:p>
        </w:tc>
        <w:tc>
          <w:tcPr>
            <w:tcW w:w="607" w:type="pct"/>
            <w:tcBorders>
              <w:top w:val="single" w:sz="4" w:space="0" w:color="auto"/>
              <w:left w:val="single" w:sz="4" w:space="0" w:color="auto"/>
              <w:bottom w:val="single" w:sz="4" w:space="0" w:color="auto"/>
              <w:right w:val="single" w:sz="4" w:space="0" w:color="auto"/>
            </w:tcBorders>
            <w:vAlign w:val="center"/>
          </w:tcPr>
          <w:p w14:paraId="3C430C05" w14:textId="1748B483" w:rsidR="00E30C2E" w:rsidRPr="003E7195" w:rsidRDefault="00446421" w:rsidP="00063478">
            <w:pPr>
              <w:pStyle w:val="TableText"/>
              <w:keepNext/>
              <w:keepLines/>
              <w:jc w:val="center"/>
              <w:rPr>
                <w:color w:val="0D0D0D" w:themeColor="text1" w:themeTint="F2"/>
              </w:rPr>
            </w:pPr>
            <w:r w:rsidRPr="003E7195">
              <w:rPr>
                <w:color w:val="0D0D0D" w:themeColor="text1" w:themeTint="F2"/>
              </w:rPr>
              <w:t>12/123</w:t>
            </w:r>
          </w:p>
        </w:tc>
        <w:tc>
          <w:tcPr>
            <w:tcW w:w="758" w:type="pct"/>
            <w:tcBorders>
              <w:top w:val="single" w:sz="4" w:space="0" w:color="auto"/>
              <w:left w:val="single" w:sz="4" w:space="0" w:color="auto"/>
              <w:bottom w:val="single" w:sz="4" w:space="0" w:color="auto"/>
              <w:right w:val="single" w:sz="4" w:space="0" w:color="auto"/>
            </w:tcBorders>
            <w:vAlign w:val="center"/>
          </w:tcPr>
          <w:p w14:paraId="7330E338" w14:textId="3DE636E3" w:rsidR="00E30C2E" w:rsidRPr="003E7195" w:rsidRDefault="00446421" w:rsidP="00063478">
            <w:pPr>
              <w:pStyle w:val="TableText"/>
              <w:keepNext/>
              <w:keepLines/>
              <w:jc w:val="center"/>
              <w:rPr>
                <w:color w:val="0D0D0D" w:themeColor="text1" w:themeTint="F2"/>
              </w:rPr>
            </w:pPr>
            <w:r w:rsidRPr="003E7195">
              <w:rPr>
                <w:color w:val="0D0D0D" w:themeColor="text1" w:themeTint="F2"/>
              </w:rPr>
              <w:t>2/59</w:t>
            </w:r>
          </w:p>
        </w:tc>
        <w:tc>
          <w:tcPr>
            <w:tcW w:w="531" w:type="pct"/>
            <w:tcBorders>
              <w:top w:val="single" w:sz="4" w:space="0" w:color="auto"/>
              <w:left w:val="single" w:sz="4" w:space="0" w:color="auto"/>
              <w:bottom w:val="single" w:sz="4" w:space="0" w:color="auto"/>
              <w:right w:val="single" w:sz="4" w:space="0" w:color="auto"/>
            </w:tcBorders>
          </w:tcPr>
          <w:p w14:paraId="3589DF85" w14:textId="0810A546" w:rsidR="00E30C2E" w:rsidRPr="003E7195" w:rsidRDefault="00446421" w:rsidP="00063478">
            <w:pPr>
              <w:pStyle w:val="TableText"/>
              <w:keepNext/>
              <w:keepLines/>
              <w:jc w:val="center"/>
              <w:rPr>
                <w:color w:val="0D0D0D" w:themeColor="text1" w:themeTint="F2"/>
              </w:rPr>
            </w:pPr>
            <w:r w:rsidRPr="003E7195">
              <w:rPr>
                <w:color w:val="0D0D0D" w:themeColor="text1" w:themeTint="F2"/>
              </w:rPr>
              <w:t>2.88</w:t>
            </w:r>
          </w:p>
        </w:tc>
        <w:tc>
          <w:tcPr>
            <w:tcW w:w="682" w:type="pct"/>
            <w:tcBorders>
              <w:top w:val="single" w:sz="4" w:space="0" w:color="auto"/>
              <w:left w:val="single" w:sz="4" w:space="0" w:color="auto"/>
              <w:bottom w:val="single" w:sz="4" w:space="0" w:color="auto"/>
              <w:right w:val="single" w:sz="4" w:space="0" w:color="auto"/>
            </w:tcBorders>
            <w:vAlign w:val="center"/>
          </w:tcPr>
          <w:p w14:paraId="0550B4AE" w14:textId="0A8E48EF" w:rsidR="00E30C2E" w:rsidRPr="003E7195" w:rsidRDefault="00446421" w:rsidP="00063478">
            <w:pPr>
              <w:pStyle w:val="TableText"/>
              <w:keepNext/>
              <w:keepLines/>
              <w:jc w:val="center"/>
              <w:rPr>
                <w:color w:val="0D0D0D" w:themeColor="text1" w:themeTint="F2"/>
              </w:rPr>
            </w:pPr>
            <w:r w:rsidRPr="003E7195">
              <w:rPr>
                <w:color w:val="0D0D0D" w:themeColor="text1" w:themeTint="F2"/>
              </w:rPr>
              <w:t>9.8</w:t>
            </w:r>
          </w:p>
        </w:tc>
        <w:tc>
          <w:tcPr>
            <w:tcW w:w="682" w:type="pct"/>
            <w:tcBorders>
              <w:top w:val="single" w:sz="4" w:space="0" w:color="auto"/>
              <w:left w:val="single" w:sz="4" w:space="0" w:color="auto"/>
              <w:bottom w:val="single" w:sz="4" w:space="0" w:color="auto"/>
              <w:right w:val="single" w:sz="4" w:space="0" w:color="auto"/>
            </w:tcBorders>
            <w:vAlign w:val="center"/>
          </w:tcPr>
          <w:p w14:paraId="04303601" w14:textId="5C6FA7F2" w:rsidR="00E30C2E" w:rsidRPr="003E7195" w:rsidRDefault="00446421" w:rsidP="00063478">
            <w:pPr>
              <w:pStyle w:val="TableText"/>
              <w:keepNext/>
              <w:keepLines/>
              <w:jc w:val="center"/>
              <w:rPr>
                <w:color w:val="0D0D0D" w:themeColor="text1" w:themeTint="F2"/>
              </w:rPr>
            </w:pPr>
            <w:r w:rsidRPr="003E7195">
              <w:rPr>
                <w:color w:val="0D0D0D" w:themeColor="text1" w:themeTint="F2"/>
              </w:rPr>
              <w:t>3.4</w:t>
            </w:r>
          </w:p>
        </w:tc>
        <w:tc>
          <w:tcPr>
            <w:tcW w:w="682" w:type="pct"/>
            <w:tcBorders>
              <w:top w:val="single" w:sz="4" w:space="0" w:color="auto"/>
              <w:left w:val="single" w:sz="4" w:space="0" w:color="auto"/>
              <w:bottom w:val="single" w:sz="4" w:space="0" w:color="auto"/>
              <w:right w:val="single" w:sz="4" w:space="0" w:color="auto"/>
            </w:tcBorders>
          </w:tcPr>
          <w:p w14:paraId="48948015" w14:textId="64395251" w:rsidR="00E30C2E" w:rsidRPr="003E7195" w:rsidRDefault="00446421" w:rsidP="00063478">
            <w:pPr>
              <w:pStyle w:val="TableText"/>
              <w:keepNext/>
              <w:keepLines/>
              <w:jc w:val="center"/>
              <w:rPr>
                <w:color w:val="0D0D0D" w:themeColor="text1" w:themeTint="F2"/>
              </w:rPr>
            </w:pPr>
            <w:r w:rsidRPr="003E7195">
              <w:rPr>
                <w:color w:val="0D0D0D" w:themeColor="text1" w:themeTint="F2"/>
              </w:rPr>
              <w:t>6</w:t>
            </w:r>
            <w:r w:rsidR="007338BA" w:rsidRPr="003E7195">
              <w:rPr>
                <w:color w:val="0D0D0D" w:themeColor="text1" w:themeTint="F2"/>
              </w:rPr>
              <w:t>.4</w:t>
            </w:r>
          </w:p>
        </w:tc>
      </w:tr>
      <w:tr w:rsidR="003E7195" w:rsidRPr="003E7195" w14:paraId="6C64EDC8" w14:textId="18BF8DA2" w:rsidTr="00D7489E">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44610250" w14:textId="68A7B07D" w:rsidR="005C6C45" w:rsidRPr="003E7195" w:rsidRDefault="005C6C45" w:rsidP="00063478">
            <w:pPr>
              <w:pStyle w:val="TableText"/>
              <w:keepNext/>
              <w:keepLines/>
              <w:rPr>
                <w:color w:val="0D0D0D" w:themeColor="text1" w:themeTint="F2"/>
              </w:rPr>
            </w:pPr>
            <w:r w:rsidRPr="003E7195">
              <w:rPr>
                <w:color w:val="0D0D0D" w:themeColor="text1" w:themeTint="F2"/>
              </w:rPr>
              <w:t>TEAEs leading to death</w:t>
            </w:r>
          </w:p>
        </w:tc>
        <w:tc>
          <w:tcPr>
            <w:tcW w:w="607" w:type="pct"/>
            <w:tcBorders>
              <w:top w:val="single" w:sz="4" w:space="0" w:color="auto"/>
              <w:left w:val="single" w:sz="4" w:space="0" w:color="auto"/>
              <w:bottom w:val="single" w:sz="4" w:space="0" w:color="auto"/>
              <w:right w:val="single" w:sz="4" w:space="0" w:color="auto"/>
            </w:tcBorders>
            <w:vAlign w:val="center"/>
          </w:tcPr>
          <w:p w14:paraId="58A2891C" w14:textId="5D02E7AF" w:rsidR="005C6C45" w:rsidRPr="003E7195" w:rsidRDefault="005C6C45" w:rsidP="00063478">
            <w:pPr>
              <w:pStyle w:val="TableText"/>
              <w:keepNext/>
              <w:keepLines/>
              <w:jc w:val="center"/>
              <w:rPr>
                <w:color w:val="0D0D0D" w:themeColor="text1" w:themeTint="F2"/>
              </w:rPr>
            </w:pPr>
            <w:r w:rsidRPr="003E7195">
              <w:rPr>
                <w:color w:val="0D0D0D" w:themeColor="text1" w:themeTint="F2"/>
              </w:rPr>
              <w:t>6/123</w:t>
            </w:r>
          </w:p>
        </w:tc>
        <w:tc>
          <w:tcPr>
            <w:tcW w:w="758" w:type="pct"/>
            <w:tcBorders>
              <w:top w:val="single" w:sz="4" w:space="0" w:color="auto"/>
              <w:left w:val="single" w:sz="4" w:space="0" w:color="auto"/>
              <w:bottom w:val="single" w:sz="4" w:space="0" w:color="auto"/>
              <w:right w:val="single" w:sz="4" w:space="0" w:color="auto"/>
            </w:tcBorders>
            <w:vAlign w:val="center"/>
          </w:tcPr>
          <w:p w14:paraId="6E72CD0A" w14:textId="537F1EB5" w:rsidR="005C6C45" w:rsidRPr="003E7195" w:rsidRDefault="005C6C45" w:rsidP="00063478">
            <w:pPr>
              <w:pStyle w:val="TableText"/>
              <w:keepNext/>
              <w:keepLines/>
              <w:jc w:val="center"/>
              <w:rPr>
                <w:color w:val="0D0D0D" w:themeColor="text1" w:themeTint="F2"/>
              </w:rPr>
            </w:pPr>
            <w:r w:rsidRPr="003E7195">
              <w:rPr>
                <w:color w:val="0D0D0D" w:themeColor="text1" w:themeTint="F2"/>
              </w:rPr>
              <w:t>0</w:t>
            </w:r>
          </w:p>
        </w:tc>
        <w:tc>
          <w:tcPr>
            <w:tcW w:w="531" w:type="pct"/>
            <w:tcBorders>
              <w:top w:val="single" w:sz="4" w:space="0" w:color="auto"/>
              <w:left w:val="single" w:sz="4" w:space="0" w:color="auto"/>
              <w:bottom w:val="single" w:sz="4" w:space="0" w:color="auto"/>
              <w:right w:val="single" w:sz="4" w:space="0" w:color="auto"/>
            </w:tcBorders>
          </w:tcPr>
          <w:p w14:paraId="7746CFC9" w14:textId="584420FC" w:rsidR="005C6C45" w:rsidRPr="003E7195" w:rsidRDefault="00FD46EA" w:rsidP="00063478">
            <w:pPr>
              <w:pStyle w:val="TableText"/>
              <w:keepNext/>
              <w:keepLines/>
              <w:jc w:val="center"/>
              <w:rPr>
                <w:color w:val="0D0D0D" w:themeColor="text1" w:themeTint="F2"/>
              </w:rPr>
            </w:pPr>
            <w:r w:rsidRPr="003E7195">
              <w:rPr>
                <w:rFonts w:eastAsia="MS Gothic"/>
                <w:bCs/>
                <w:color w:val="0D0D0D" w:themeColor="text1" w:themeTint="F2"/>
                <w:szCs w:val="24"/>
              </w:rPr>
              <w:t>–</w:t>
            </w:r>
          </w:p>
        </w:tc>
        <w:tc>
          <w:tcPr>
            <w:tcW w:w="682" w:type="pct"/>
            <w:tcBorders>
              <w:top w:val="single" w:sz="4" w:space="0" w:color="auto"/>
              <w:left w:val="single" w:sz="4" w:space="0" w:color="auto"/>
              <w:bottom w:val="single" w:sz="4" w:space="0" w:color="auto"/>
              <w:right w:val="single" w:sz="4" w:space="0" w:color="auto"/>
            </w:tcBorders>
            <w:vAlign w:val="center"/>
          </w:tcPr>
          <w:p w14:paraId="4530D89E" w14:textId="4BD9A2C9" w:rsidR="005C6C45" w:rsidRPr="003E7195" w:rsidRDefault="005C6C45" w:rsidP="00063478">
            <w:pPr>
              <w:pStyle w:val="TableText"/>
              <w:keepNext/>
              <w:keepLines/>
              <w:jc w:val="center"/>
              <w:rPr>
                <w:color w:val="0D0D0D" w:themeColor="text1" w:themeTint="F2"/>
              </w:rPr>
            </w:pPr>
            <w:r w:rsidRPr="003E7195">
              <w:rPr>
                <w:color w:val="0D0D0D" w:themeColor="text1" w:themeTint="F2"/>
              </w:rPr>
              <w:t>4.9</w:t>
            </w:r>
          </w:p>
        </w:tc>
        <w:tc>
          <w:tcPr>
            <w:tcW w:w="682" w:type="pct"/>
            <w:tcBorders>
              <w:top w:val="single" w:sz="4" w:space="0" w:color="auto"/>
              <w:left w:val="single" w:sz="4" w:space="0" w:color="auto"/>
              <w:bottom w:val="single" w:sz="4" w:space="0" w:color="auto"/>
              <w:right w:val="single" w:sz="4" w:space="0" w:color="auto"/>
            </w:tcBorders>
            <w:vAlign w:val="center"/>
          </w:tcPr>
          <w:p w14:paraId="7DF2F318" w14:textId="06278EEA" w:rsidR="005C6C45" w:rsidRPr="003E7195" w:rsidRDefault="005C6C45" w:rsidP="00063478">
            <w:pPr>
              <w:pStyle w:val="TableText"/>
              <w:keepNext/>
              <w:keepLines/>
              <w:jc w:val="center"/>
              <w:rPr>
                <w:color w:val="0D0D0D" w:themeColor="text1" w:themeTint="F2"/>
              </w:rPr>
            </w:pPr>
            <w:r w:rsidRPr="003E7195">
              <w:rPr>
                <w:color w:val="0D0D0D" w:themeColor="text1" w:themeTint="F2"/>
              </w:rPr>
              <w:t>0</w:t>
            </w:r>
          </w:p>
        </w:tc>
        <w:tc>
          <w:tcPr>
            <w:tcW w:w="682" w:type="pct"/>
            <w:tcBorders>
              <w:top w:val="single" w:sz="4" w:space="0" w:color="auto"/>
              <w:left w:val="single" w:sz="4" w:space="0" w:color="auto"/>
              <w:bottom w:val="single" w:sz="4" w:space="0" w:color="auto"/>
              <w:right w:val="single" w:sz="4" w:space="0" w:color="auto"/>
            </w:tcBorders>
          </w:tcPr>
          <w:p w14:paraId="07A94FCE" w14:textId="73F19772" w:rsidR="005C6C45" w:rsidRPr="003E7195" w:rsidRDefault="007338BA" w:rsidP="00063478">
            <w:pPr>
              <w:pStyle w:val="TableText"/>
              <w:keepNext/>
              <w:keepLines/>
              <w:jc w:val="center"/>
              <w:rPr>
                <w:color w:val="0D0D0D" w:themeColor="text1" w:themeTint="F2"/>
              </w:rPr>
            </w:pPr>
            <w:r w:rsidRPr="003E7195">
              <w:rPr>
                <w:color w:val="0D0D0D" w:themeColor="text1" w:themeTint="F2"/>
              </w:rPr>
              <w:t>4.9</w:t>
            </w:r>
          </w:p>
        </w:tc>
      </w:tr>
    </w:tbl>
    <w:p w14:paraId="789B8870" w14:textId="14638189" w:rsidR="00341046" w:rsidRPr="003E7195" w:rsidRDefault="00341046" w:rsidP="00063478">
      <w:pPr>
        <w:pStyle w:val="TableFooter"/>
        <w:keepNext/>
        <w:keepLines/>
        <w:rPr>
          <w:color w:val="0D0D0D" w:themeColor="text1" w:themeTint="F2"/>
        </w:rPr>
      </w:pPr>
      <w:r w:rsidRPr="003E7195">
        <w:rPr>
          <w:color w:val="0D0D0D" w:themeColor="text1" w:themeTint="F2"/>
        </w:rPr>
        <w:t xml:space="preserve">Source: Table 2-31; </w:t>
      </w:r>
      <w:r w:rsidR="0006421B" w:rsidRPr="003E7195">
        <w:rPr>
          <w:color w:val="0D0D0D" w:themeColor="text1" w:themeTint="F2"/>
        </w:rPr>
        <w:t>Table 2-34 and Table 2-35</w:t>
      </w:r>
      <w:r w:rsidRPr="003E7195">
        <w:rPr>
          <w:color w:val="0D0D0D" w:themeColor="text1" w:themeTint="F2"/>
        </w:rPr>
        <w:t xml:space="preserve"> of the submission </w:t>
      </w:r>
    </w:p>
    <w:p w14:paraId="01CE28F4" w14:textId="669D4896" w:rsidR="00341046" w:rsidRPr="003E7195" w:rsidRDefault="00341046" w:rsidP="00063478">
      <w:pPr>
        <w:pStyle w:val="TableFooter"/>
        <w:keepNext/>
        <w:keepLines/>
        <w:rPr>
          <w:color w:val="0D0D0D" w:themeColor="text1" w:themeTint="F2"/>
        </w:rPr>
      </w:pPr>
      <w:r w:rsidRPr="003E7195">
        <w:rPr>
          <w:color w:val="0D0D0D" w:themeColor="text1" w:themeTint="F2"/>
        </w:rPr>
        <w:t xml:space="preserve">CI = confidence interval; HR = hazard ratio; </w:t>
      </w:r>
      <w:r w:rsidR="00BD670B">
        <w:rPr>
          <w:color w:val="0D0D0D" w:themeColor="text1" w:themeTint="F2"/>
        </w:rPr>
        <w:t xml:space="preserve">NE = not estimable; </w:t>
      </w:r>
      <w:r w:rsidRPr="003E7195">
        <w:rPr>
          <w:color w:val="0D0D0D" w:themeColor="text1" w:themeTint="F2"/>
        </w:rPr>
        <w:t>OS = overall survival; PFS = progression-free survival;</w:t>
      </w:r>
      <w:r w:rsidR="00A86C2F" w:rsidRPr="003E7195">
        <w:rPr>
          <w:color w:val="0D0D0D" w:themeColor="text1" w:themeTint="F2"/>
        </w:rPr>
        <w:t xml:space="preserve"> RD = risk difference;</w:t>
      </w:r>
      <w:r w:rsidRPr="003E7195">
        <w:rPr>
          <w:color w:val="0D0D0D" w:themeColor="text1" w:themeTint="F2"/>
        </w:rPr>
        <w:t xml:space="preserve"> RPSFT = rank-preserving structural failure time</w:t>
      </w:r>
      <w:r w:rsidR="006D14E5" w:rsidRPr="003E7195">
        <w:rPr>
          <w:color w:val="0D0D0D" w:themeColor="text1" w:themeTint="F2"/>
        </w:rPr>
        <w:t xml:space="preserve">; </w:t>
      </w:r>
      <w:r w:rsidR="00A86C2F" w:rsidRPr="003E7195">
        <w:rPr>
          <w:color w:val="0D0D0D" w:themeColor="text1" w:themeTint="F2"/>
        </w:rPr>
        <w:t xml:space="preserve">RR = risk ratio; </w:t>
      </w:r>
      <w:r w:rsidR="006D14E5" w:rsidRPr="003E7195">
        <w:rPr>
          <w:color w:val="0D0D0D" w:themeColor="text1" w:themeTint="F2"/>
        </w:rPr>
        <w:t xml:space="preserve">TEAE = treatment-emergent adverse event </w:t>
      </w:r>
    </w:p>
    <w:p w14:paraId="4C12773A" w14:textId="6A522A59" w:rsidR="00341046" w:rsidRPr="003E7195" w:rsidRDefault="00363067" w:rsidP="00063478">
      <w:pPr>
        <w:pStyle w:val="TableFooter"/>
        <w:keepNext/>
        <w:keepLines/>
        <w:rPr>
          <w:color w:val="0D0D0D" w:themeColor="text1" w:themeTint="F2"/>
        </w:rPr>
      </w:pPr>
      <w:r w:rsidRPr="003E7195">
        <w:rPr>
          <w:color w:val="0D0D0D" w:themeColor="text1" w:themeTint="F2"/>
          <w:vertAlign w:val="superscript"/>
        </w:rPr>
        <w:t>a</w:t>
      </w:r>
      <w:r w:rsidR="00341046" w:rsidRPr="003E7195">
        <w:rPr>
          <w:color w:val="0D0D0D" w:themeColor="text1" w:themeTint="F2"/>
        </w:rPr>
        <w:t xml:space="preserve"> </w:t>
      </w:r>
      <w:r w:rsidR="00CB196A" w:rsidRPr="003E7195">
        <w:rPr>
          <w:color w:val="0D0D0D" w:themeColor="text1" w:themeTint="F2"/>
        </w:rPr>
        <w:t xml:space="preserve">Including patients randomised to the ivosidenib arm (no crossover patients included). </w:t>
      </w:r>
      <w:r w:rsidR="00341046" w:rsidRPr="003E7195">
        <w:rPr>
          <w:color w:val="0D0D0D" w:themeColor="text1" w:themeTint="F2"/>
        </w:rPr>
        <w:t>Duration of exposure to ivosidenib: mean 6.3</w:t>
      </w:r>
      <w:r w:rsidR="006D14E5" w:rsidRPr="003E7195">
        <w:rPr>
          <w:color w:val="0D0D0D" w:themeColor="text1" w:themeTint="F2"/>
        </w:rPr>
        <w:t xml:space="preserve"> months;</w:t>
      </w:r>
      <w:r w:rsidR="00341046" w:rsidRPr="003E7195">
        <w:rPr>
          <w:color w:val="0D0D0D" w:themeColor="text1" w:themeTint="F2"/>
        </w:rPr>
        <w:t xml:space="preserve"> median 2.8 months </w:t>
      </w:r>
    </w:p>
    <w:p w14:paraId="22764EF1" w14:textId="299DCD58" w:rsidR="00341046" w:rsidRPr="00B15EA6" w:rsidRDefault="00363067" w:rsidP="00B15EA6">
      <w:pPr>
        <w:pStyle w:val="TableFooter"/>
        <w:keepLines/>
        <w:rPr>
          <w:color w:val="0D0D0D" w:themeColor="text1" w:themeTint="F2"/>
        </w:rPr>
      </w:pPr>
      <w:r w:rsidRPr="003E7195">
        <w:rPr>
          <w:color w:val="0D0D0D" w:themeColor="text1" w:themeTint="F2"/>
          <w:vertAlign w:val="superscript"/>
        </w:rPr>
        <w:t>b</w:t>
      </w:r>
      <w:r w:rsidR="006D14E5" w:rsidRPr="003E7195">
        <w:rPr>
          <w:color w:val="0D0D0D" w:themeColor="text1" w:themeTint="F2"/>
          <w:vertAlign w:val="superscript"/>
        </w:rPr>
        <w:t xml:space="preserve"> </w:t>
      </w:r>
      <w:r w:rsidR="00CB196A" w:rsidRPr="003E7195">
        <w:rPr>
          <w:color w:val="0D0D0D" w:themeColor="text1" w:themeTint="F2"/>
        </w:rPr>
        <w:t xml:space="preserve">Including patients in the placebo arm before crossover. </w:t>
      </w:r>
      <w:r w:rsidR="006D14E5" w:rsidRPr="003E7195">
        <w:rPr>
          <w:color w:val="0D0D0D" w:themeColor="text1" w:themeTint="F2"/>
        </w:rPr>
        <w:t xml:space="preserve">Duration of exposure to placebo: mean 2.2 months; median 1.6 months </w:t>
      </w:r>
    </w:p>
    <w:p w14:paraId="2D416C3B" w14:textId="31E5EDC1" w:rsidR="00554077" w:rsidRPr="003E7195" w:rsidRDefault="0060008A" w:rsidP="007E0187">
      <w:pPr>
        <w:pStyle w:val="ListParagraph"/>
      </w:pPr>
      <w:r w:rsidRPr="003E7195">
        <w:t>Based on</w:t>
      </w:r>
      <w:r w:rsidR="00554077" w:rsidRPr="003E7195">
        <w:t xml:space="preserve"> the head-to-head ClarIDHy trial presented in the submission, for every 100 patients treated with ivosidenib in comparison to palliative care</w:t>
      </w:r>
      <w:r w:rsidR="00D902F2">
        <w:t>/ BSC</w:t>
      </w:r>
      <w:r w:rsidR="00554077" w:rsidRPr="003E7195">
        <w:t>:</w:t>
      </w:r>
    </w:p>
    <w:p w14:paraId="6A9D1DE8" w14:textId="7830968B" w:rsidR="00AD7E09" w:rsidRPr="003E7195" w:rsidRDefault="00B2240A" w:rsidP="00B15EA6">
      <w:pPr>
        <w:pStyle w:val="ListParagraph"/>
        <w:numPr>
          <w:ilvl w:val="0"/>
          <w:numId w:val="18"/>
        </w:numPr>
        <w:ind w:left="1134"/>
      </w:pPr>
      <w:r>
        <w:t>A</w:t>
      </w:r>
      <w:r w:rsidR="003229D8" w:rsidRPr="003E7195">
        <w:t xml:space="preserve">pproximately </w:t>
      </w:r>
      <w:r w:rsidR="005D5E6E" w:rsidRPr="003E7195">
        <w:t xml:space="preserve">32 </w:t>
      </w:r>
      <w:r w:rsidR="00CB196A" w:rsidRPr="003E7195">
        <w:t xml:space="preserve">additional </w:t>
      </w:r>
      <w:r w:rsidR="005D5E6E" w:rsidRPr="003E7195">
        <w:t xml:space="preserve">patients would remain progression-free at </w:t>
      </w:r>
      <w:r w:rsidR="000D5FF6" w:rsidRPr="003E7195">
        <w:t>3</w:t>
      </w:r>
      <w:r w:rsidR="005D5E6E" w:rsidRPr="003E7195">
        <w:t xml:space="preserve"> months</w:t>
      </w:r>
      <w:r w:rsidR="00BD670B">
        <w:t xml:space="preserve"> and up to 22 additional patients would remain progression-free at 12 months.</w:t>
      </w:r>
    </w:p>
    <w:p w14:paraId="4A404464" w14:textId="0DC07D22" w:rsidR="00554077" w:rsidRPr="003E7195" w:rsidRDefault="0029000F" w:rsidP="00B15EA6">
      <w:pPr>
        <w:pStyle w:val="ListParagraph"/>
        <w:numPr>
          <w:ilvl w:val="0"/>
          <w:numId w:val="18"/>
        </w:numPr>
        <w:ind w:left="1134"/>
      </w:pPr>
      <w:r>
        <w:t>A</w:t>
      </w:r>
      <w:r w:rsidR="00AD7E09" w:rsidRPr="003E7195">
        <w:t xml:space="preserve">pproximately </w:t>
      </w:r>
      <w:r w:rsidR="0041703B" w:rsidRPr="003E7195">
        <w:t xml:space="preserve">7 and </w:t>
      </w:r>
      <w:r w:rsidR="005D5E6E" w:rsidRPr="003E7195">
        <w:t xml:space="preserve">26 </w:t>
      </w:r>
      <w:r w:rsidR="00F335E5" w:rsidRPr="003E7195">
        <w:t xml:space="preserve">additional </w:t>
      </w:r>
      <w:r w:rsidR="005D5E6E" w:rsidRPr="003E7195">
        <w:t xml:space="preserve">patients would </w:t>
      </w:r>
      <w:r w:rsidR="00F335E5" w:rsidRPr="003E7195">
        <w:t>remain</w:t>
      </w:r>
      <w:r w:rsidR="005D5E6E" w:rsidRPr="003E7195">
        <w:t xml:space="preserve"> alive at 12 months</w:t>
      </w:r>
      <w:r w:rsidR="00F335E5" w:rsidRPr="003E7195">
        <w:t xml:space="preserve">, </w:t>
      </w:r>
      <w:r w:rsidR="0041703B" w:rsidRPr="003E7195">
        <w:t xml:space="preserve">when </w:t>
      </w:r>
      <w:r w:rsidR="00F335E5" w:rsidRPr="003E7195">
        <w:t xml:space="preserve">the survival in palliative care patients </w:t>
      </w:r>
      <w:r w:rsidR="0041703B" w:rsidRPr="003E7195">
        <w:t>was unadjusted and</w:t>
      </w:r>
      <w:r w:rsidR="00F335E5" w:rsidRPr="003E7195">
        <w:t xml:space="preserve"> adjusted</w:t>
      </w:r>
      <w:r w:rsidR="0041703B" w:rsidRPr="003E7195">
        <w:t>,</w:t>
      </w:r>
      <w:r w:rsidR="00854C12" w:rsidRPr="003E7195">
        <w:t xml:space="preserve"> </w:t>
      </w:r>
      <w:r w:rsidR="0041703B" w:rsidRPr="003E7195">
        <w:t>respectively,</w:t>
      </w:r>
      <w:r w:rsidR="00854C12" w:rsidRPr="003E7195">
        <w:t xml:space="preserve"> </w:t>
      </w:r>
      <w:r w:rsidR="00F335E5" w:rsidRPr="003E7195">
        <w:t>for treatment switching using the RPSFT model</w:t>
      </w:r>
      <w:r w:rsidR="005D5E6E" w:rsidRPr="003E7195">
        <w:t xml:space="preserve">. </w:t>
      </w:r>
    </w:p>
    <w:p w14:paraId="6D4CB7AF" w14:textId="77FD1092" w:rsidR="00A371D8" w:rsidRPr="003E7195" w:rsidRDefault="00F335E5" w:rsidP="00B15EA6">
      <w:pPr>
        <w:pStyle w:val="ListParagraph"/>
        <w:numPr>
          <w:ilvl w:val="0"/>
          <w:numId w:val="18"/>
        </w:numPr>
        <w:ind w:left="1134"/>
      </w:pPr>
      <w:r w:rsidRPr="003E7195">
        <w:t>For a</w:t>
      </w:r>
      <w:r w:rsidR="00A371D8" w:rsidRPr="003E7195">
        <w:t xml:space="preserve"> me</w:t>
      </w:r>
      <w:r w:rsidR="00D7489E">
        <w:t>an</w:t>
      </w:r>
      <w:r w:rsidR="00A371D8" w:rsidRPr="003E7195">
        <w:t xml:space="preserve"> </w:t>
      </w:r>
      <w:r w:rsidRPr="003E7195">
        <w:t xml:space="preserve">treatment </w:t>
      </w:r>
      <w:r w:rsidR="00A371D8" w:rsidRPr="003E7195">
        <w:t xml:space="preserve">duration of </w:t>
      </w:r>
      <w:r w:rsidR="00D7489E">
        <w:t>6.3</w:t>
      </w:r>
      <w:r w:rsidR="00A371D8" w:rsidRPr="003E7195">
        <w:t xml:space="preserve"> months</w:t>
      </w:r>
      <w:r w:rsidRPr="003E7195">
        <w:t xml:space="preserve"> for ivosidenib</w:t>
      </w:r>
      <w:r w:rsidR="00A371D8" w:rsidRPr="003E7195">
        <w:t xml:space="preserve">: </w:t>
      </w:r>
    </w:p>
    <w:p w14:paraId="3724074B" w14:textId="4764FDDF" w:rsidR="00A371D8" w:rsidRPr="003E7195" w:rsidRDefault="00A371D8" w:rsidP="00B15EA6">
      <w:pPr>
        <w:pStyle w:val="ListParagraph"/>
        <w:numPr>
          <w:ilvl w:val="1"/>
          <w:numId w:val="18"/>
        </w:numPr>
        <w:ind w:left="1560"/>
      </w:pPr>
      <w:r w:rsidRPr="003E7195">
        <w:t xml:space="preserve">Approximately </w:t>
      </w:r>
      <w:r w:rsidR="00F335E5" w:rsidRPr="003E7195">
        <w:t xml:space="preserve">13 additional </w:t>
      </w:r>
      <w:r w:rsidRPr="003E7195">
        <w:t>patients w</w:t>
      </w:r>
      <w:r w:rsidR="00F335E5" w:rsidRPr="003E7195">
        <w:t>ould</w:t>
      </w:r>
      <w:r w:rsidRPr="003E7195">
        <w:t xml:space="preserve"> experience </w:t>
      </w:r>
      <w:r w:rsidRPr="003E7195">
        <w:rPr>
          <w:rFonts w:cstheme="minorHAnsi"/>
        </w:rPr>
        <w:t>≥</w:t>
      </w:r>
      <w:r w:rsidRPr="003E7195">
        <w:t xml:space="preserve"> Grade 3 AEs</w:t>
      </w:r>
      <w:r w:rsidR="00F335E5" w:rsidRPr="003E7195">
        <w:t>.</w:t>
      </w:r>
    </w:p>
    <w:p w14:paraId="1C615F33" w14:textId="606F5242" w:rsidR="00A371D8" w:rsidRDefault="00A371D8" w:rsidP="00B15EA6">
      <w:pPr>
        <w:pStyle w:val="ListParagraph"/>
        <w:numPr>
          <w:ilvl w:val="1"/>
          <w:numId w:val="18"/>
        </w:numPr>
        <w:ind w:left="1560"/>
      </w:pPr>
      <w:r w:rsidRPr="003E7195">
        <w:t xml:space="preserve">Approximately </w:t>
      </w:r>
      <w:r w:rsidR="00F335E5" w:rsidRPr="003E7195">
        <w:t xml:space="preserve">10 additional </w:t>
      </w:r>
      <w:r w:rsidRPr="003E7195">
        <w:t xml:space="preserve">patients </w:t>
      </w:r>
      <w:r w:rsidR="00F335E5" w:rsidRPr="003E7195">
        <w:t xml:space="preserve">would </w:t>
      </w:r>
      <w:r w:rsidRPr="003E7195">
        <w:t>experience serious AEs</w:t>
      </w:r>
      <w:r w:rsidR="00F335E5" w:rsidRPr="003E7195">
        <w:t>.</w:t>
      </w:r>
      <w:r w:rsidR="00D62B94">
        <w:t xml:space="preserve"> </w:t>
      </w:r>
    </w:p>
    <w:p w14:paraId="32CB9396" w14:textId="03859D70" w:rsidR="00BD1E97" w:rsidRPr="003E7195" w:rsidRDefault="00BD1E97" w:rsidP="00B15EA6">
      <w:pPr>
        <w:pStyle w:val="ListParagraph"/>
        <w:numPr>
          <w:ilvl w:val="1"/>
          <w:numId w:val="18"/>
        </w:numPr>
        <w:ind w:left="1560"/>
      </w:pPr>
      <w:r>
        <w:t>Approximately 6 additional patients would experience QT prolongation</w:t>
      </w:r>
      <w:r w:rsidR="00E86123">
        <w:t>.</w:t>
      </w:r>
      <w:r>
        <w:t xml:space="preserve">  </w:t>
      </w:r>
    </w:p>
    <w:p w14:paraId="4E464D45" w14:textId="0C425F4E" w:rsidR="00A371D8" w:rsidRPr="003E7195" w:rsidRDefault="00A371D8" w:rsidP="00B15EA6">
      <w:pPr>
        <w:pStyle w:val="ListParagraph"/>
        <w:numPr>
          <w:ilvl w:val="1"/>
          <w:numId w:val="18"/>
        </w:numPr>
        <w:ind w:left="1560"/>
      </w:pPr>
      <w:r w:rsidRPr="003E7195">
        <w:t xml:space="preserve">Approximately 5 </w:t>
      </w:r>
      <w:r w:rsidR="00B407F3" w:rsidRPr="003E7195">
        <w:t xml:space="preserve">additional </w:t>
      </w:r>
      <w:r w:rsidRPr="003E7195">
        <w:t>patients w</w:t>
      </w:r>
      <w:r w:rsidR="00B407F3" w:rsidRPr="003E7195">
        <w:t>ould</w:t>
      </w:r>
      <w:r w:rsidRPr="003E7195">
        <w:t xml:space="preserve"> </w:t>
      </w:r>
      <w:r w:rsidR="00B407F3" w:rsidRPr="003E7195">
        <w:t>experience</w:t>
      </w:r>
      <w:r w:rsidRPr="003E7195">
        <w:t xml:space="preserve"> </w:t>
      </w:r>
      <w:r w:rsidR="00B407F3" w:rsidRPr="003E7195">
        <w:t>AEs leading to death</w:t>
      </w:r>
      <w:r w:rsidRPr="003E7195">
        <w:t xml:space="preserve">. </w:t>
      </w:r>
    </w:p>
    <w:p w14:paraId="32F073DC" w14:textId="35C28CE9" w:rsidR="00DB7B28" w:rsidRPr="00181B1F" w:rsidRDefault="00DB7B28" w:rsidP="007E0187">
      <w:pPr>
        <w:pStyle w:val="ListParagraph"/>
      </w:pPr>
      <w:r w:rsidRPr="00181B1F">
        <w:t xml:space="preserve">The benefits/harms table for ivosidenib compared with FOLFOX is not presented due to the major issues associated with ITCs, and </w:t>
      </w:r>
      <w:r w:rsidR="00E14CD3">
        <w:t xml:space="preserve">because </w:t>
      </w:r>
      <w:r w:rsidRPr="00181B1F">
        <w:t xml:space="preserve">the magnitude of the </w:t>
      </w:r>
      <w:r w:rsidRPr="00181B1F">
        <w:lastRenderedPageBreak/>
        <w:t xml:space="preserve">incremental benefit and harm of ivosidenib versus FOLFOX could not be reliably quantified. </w:t>
      </w:r>
    </w:p>
    <w:p w14:paraId="7BA13137" w14:textId="77777777" w:rsidR="008C3D0F" w:rsidRPr="00AB222B" w:rsidRDefault="005C4817" w:rsidP="00AB222B">
      <w:pPr>
        <w:pStyle w:val="PBACESHeading2"/>
        <w:numPr>
          <w:ilvl w:val="2"/>
          <w:numId w:val="0"/>
        </w:numPr>
        <w:rPr>
          <w:rFonts w:asciiTheme="minorHAnsi" w:hAnsiTheme="minorHAnsi" w:cstheme="minorHAnsi"/>
          <w:color w:val="0D0D0D" w:themeColor="text1" w:themeTint="F2"/>
        </w:rPr>
      </w:pPr>
      <w:bookmarkStart w:id="40" w:name="_Toc166763149"/>
      <w:bookmarkStart w:id="41" w:name="_Toc413139282"/>
      <w:bookmarkEnd w:id="39"/>
      <w:r w:rsidRPr="00AB222B">
        <w:rPr>
          <w:rFonts w:asciiTheme="minorHAnsi" w:hAnsiTheme="minorHAnsi" w:cstheme="minorHAnsi"/>
          <w:color w:val="0D0D0D" w:themeColor="text1" w:themeTint="F2"/>
        </w:rPr>
        <w:t>Clinical claim</w:t>
      </w:r>
      <w:bookmarkEnd w:id="40"/>
    </w:p>
    <w:p w14:paraId="267149BA" w14:textId="356EE09A" w:rsidR="00630552" w:rsidRPr="007A6435" w:rsidRDefault="0062129E" w:rsidP="007E0187">
      <w:pPr>
        <w:pStyle w:val="ListParagraph"/>
        <w:rPr>
          <w:i/>
          <w:iCs/>
        </w:rPr>
      </w:pPr>
      <w:r w:rsidRPr="007A6435">
        <w:t xml:space="preserve">The submission described ivosidenib as being superior in terms of efficacy compared to palliative care/BSC in patients with locally advanced or metastatic CCA </w:t>
      </w:r>
      <w:r w:rsidR="00D3417B" w:rsidRPr="007A6435">
        <w:t>who have received previous chemotherapy</w:t>
      </w:r>
      <w:r w:rsidR="00D3417B" w:rsidRPr="007A6435" w:rsidDel="00D07A59">
        <w:t xml:space="preserve"> </w:t>
      </w:r>
      <w:r w:rsidR="00D3417B" w:rsidRPr="007A6435">
        <w:t>and have a</w:t>
      </w:r>
      <w:r w:rsidRPr="007A6435">
        <w:t xml:space="preserve"> confirmed </w:t>
      </w:r>
      <w:r w:rsidR="00D3417B" w:rsidRPr="007A6435">
        <w:t xml:space="preserve">a </w:t>
      </w:r>
      <w:r w:rsidRPr="007A6435">
        <w:rPr>
          <w:i/>
          <w:iCs/>
        </w:rPr>
        <w:t>IDH1</w:t>
      </w:r>
      <w:r w:rsidRPr="007A6435">
        <w:t xml:space="preserve"> variant. </w:t>
      </w:r>
      <w:r w:rsidR="00DB7B28" w:rsidRPr="007A6435">
        <w:t>Th</w:t>
      </w:r>
      <w:r w:rsidR="005131B3">
        <w:t xml:space="preserve">e </w:t>
      </w:r>
      <w:r w:rsidR="00DC5CF3">
        <w:t>commentary</w:t>
      </w:r>
      <w:r w:rsidR="005131B3" w:rsidRPr="00DC6150">
        <w:t xml:space="preserve"> considered</w:t>
      </w:r>
      <w:r w:rsidR="005131B3">
        <w:t xml:space="preserve"> th</w:t>
      </w:r>
      <w:r w:rsidR="00DB7B28" w:rsidRPr="007A6435">
        <w:t>is was supported by the</w:t>
      </w:r>
      <w:r w:rsidR="0060008A" w:rsidRPr="007A6435">
        <w:t xml:space="preserve"> trial data </w:t>
      </w:r>
      <w:r w:rsidR="001477F1" w:rsidRPr="007A6435">
        <w:t>in terms of</w:t>
      </w:r>
      <w:r w:rsidR="00C51799" w:rsidRPr="007A6435">
        <w:t xml:space="preserve"> </w:t>
      </w:r>
      <w:r w:rsidR="001477F1" w:rsidRPr="007A6435">
        <w:t xml:space="preserve">delaying progression for </w:t>
      </w:r>
      <w:r w:rsidR="00406870" w:rsidRPr="007A6435">
        <w:t xml:space="preserve">a median </w:t>
      </w:r>
      <w:r w:rsidR="001477F1" w:rsidRPr="007A6435">
        <w:t>1.3 months in ivosidenib-treated patients</w:t>
      </w:r>
      <w:r w:rsidR="00391872" w:rsidRPr="007A6435">
        <w:t>,</w:t>
      </w:r>
      <w:r w:rsidR="001477F1" w:rsidRPr="007A6435">
        <w:t xml:space="preserve"> but not in terms of </w:t>
      </w:r>
      <w:r w:rsidR="00C51799" w:rsidRPr="007A6435">
        <w:t>OS</w:t>
      </w:r>
      <w:r w:rsidR="001477F1" w:rsidRPr="007A6435">
        <w:t xml:space="preserve">, where there was a survival gain of </w:t>
      </w:r>
      <w:r w:rsidR="00391872" w:rsidRPr="007A6435">
        <w:t xml:space="preserve">a median of </w:t>
      </w:r>
      <w:r w:rsidR="001477F1" w:rsidRPr="007A6435">
        <w:t>2.8 months</w:t>
      </w:r>
      <w:r w:rsidR="009467C0" w:rsidRPr="007A6435">
        <w:t>,</w:t>
      </w:r>
      <w:r w:rsidR="00391872" w:rsidRPr="007A6435">
        <w:t xml:space="preserve"> but the result was </w:t>
      </w:r>
      <w:r w:rsidR="001477F1" w:rsidRPr="007A6435">
        <w:t>no</w:t>
      </w:r>
      <w:r w:rsidR="00391872" w:rsidRPr="007A6435">
        <w:t>t</w:t>
      </w:r>
      <w:r w:rsidR="001477F1" w:rsidRPr="007A6435">
        <w:t xml:space="preserve"> statistically significant. </w:t>
      </w:r>
      <w:r w:rsidR="00C51799" w:rsidRPr="007A6435">
        <w:t xml:space="preserve"> </w:t>
      </w:r>
      <w:r w:rsidR="001477F1" w:rsidRPr="007A6435">
        <w:t xml:space="preserve">Adjustment for cross-over from the placebo arm, using </w:t>
      </w:r>
      <w:r w:rsidR="00542CCC" w:rsidRPr="007A6435">
        <w:t xml:space="preserve">an </w:t>
      </w:r>
      <w:r w:rsidR="00C51799" w:rsidRPr="007A6435">
        <w:t>RPSFT model</w:t>
      </w:r>
      <w:r w:rsidR="00391872" w:rsidRPr="007A6435">
        <w:t xml:space="preserve"> improved the survival gain </w:t>
      </w:r>
      <w:r w:rsidR="00542CCC" w:rsidRPr="007A6435">
        <w:t xml:space="preserve">with ivosidenib </w:t>
      </w:r>
      <w:r w:rsidR="00391872" w:rsidRPr="007A6435">
        <w:t>to a median of 5.2 months but</w:t>
      </w:r>
      <w:r w:rsidR="00C51799" w:rsidRPr="007A6435">
        <w:t xml:space="preserve"> </w:t>
      </w:r>
      <w:r w:rsidR="00391872" w:rsidRPr="007A6435">
        <w:t xml:space="preserve">this </w:t>
      </w:r>
      <w:r w:rsidR="00C51799" w:rsidRPr="007A6435">
        <w:t xml:space="preserve">may have </w:t>
      </w:r>
      <w:r w:rsidR="00391872" w:rsidRPr="007A6435">
        <w:t xml:space="preserve">been an </w:t>
      </w:r>
      <w:r w:rsidR="00C51799" w:rsidRPr="007A6435">
        <w:t>overestimate</w:t>
      </w:r>
      <w:r w:rsidR="00391872" w:rsidRPr="007A6435">
        <w:t xml:space="preserve"> due to the violation of assumptions supporting use of the RPSFT</w:t>
      </w:r>
      <w:r w:rsidR="00C51799" w:rsidRPr="007A6435">
        <w:t xml:space="preserve">. </w:t>
      </w:r>
      <w:r w:rsidR="00630552" w:rsidRPr="00C30625">
        <w:t xml:space="preserve">The ESCs considered that the clinical claim of superior efficacy </w:t>
      </w:r>
      <w:r w:rsidR="00A56F3E" w:rsidRPr="00C30625">
        <w:t xml:space="preserve">for ivosidenib compared with BSC was reasonable for </w:t>
      </w:r>
      <w:r w:rsidR="00BE371F" w:rsidRPr="00C30625">
        <w:t xml:space="preserve">outcomes of </w:t>
      </w:r>
      <w:r w:rsidR="00A56F3E" w:rsidRPr="00C30625">
        <w:t>PFS and OS, however the gains were very modest</w:t>
      </w:r>
      <w:r w:rsidR="007A6435" w:rsidRPr="00C30625">
        <w:t xml:space="preserve"> and outcomes remained poor.</w:t>
      </w:r>
      <w:r w:rsidR="007A6435" w:rsidRPr="007A6435">
        <w:rPr>
          <w:i/>
          <w:iCs/>
        </w:rPr>
        <w:t xml:space="preserve"> </w:t>
      </w:r>
    </w:p>
    <w:p w14:paraId="14C41C85" w14:textId="4B228B2A" w:rsidR="008C3D0F" w:rsidRPr="00E013C0" w:rsidRDefault="005C4817" w:rsidP="007E0187">
      <w:pPr>
        <w:pStyle w:val="ListParagraph"/>
        <w:rPr>
          <w:i/>
          <w:iCs/>
        </w:rPr>
      </w:pPr>
      <w:r w:rsidRPr="003E7195">
        <w:t xml:space="preserve">The submission described </w:t>
      </w:r>
      <w:r w:rsidR="0062129E" w:rsidRPr="003E7195">
        <w:t>ivosidenib as inferior in terms of safety compared to palliative care/BSC</w:t>
      </w:r>
      <w:r w:rsidR="00C51799" w:rsidRPr="003E7195">
        <w:t>, but with manageable AEs</w:t>
      </w:r>
      <w:r w:rsidR="002A10D5" w:rsidRPr="003E7195">
        <w:t xml:space="preserve">. </w:t>
      </w:r>
      <w:r w:rsidR="00B919CC" w:rsidRPr="00181B1F">
        <w:t>T</w:t>
      </w:r>
      <w:r w:rsidR="00391872" w:rsidRPr="00181B1F">
        <w:t xml:space="preserve">he conclusion of an inferior safety profile of ivosidenib </w:t>
      </w:r>
      <w:r w:rsidRPr="00181B1F">
        <w:t>was</w:t>
      </w:r>
      <w:r w:rsidR="002A10D5" w:rsidRPr="00181B1F">
        <w:t xml:space="preserve"> supported by the safety data from the trial, showing that ivosidenib-treated patients experienced more </w:t>
      </w:r>
      <w:r w:rsidR="002A10D5" w:rsidRPr="5E50F0AE">
        <w:t>AEs</w:t>
      </w:r>
      <w:r w:rsidR="002A10D5" w:rsidRPr="00181B1F">
        <w:t xml:space="preserve"> across all AE categories</w:t>
      </w:r>
      <w:r w:rsidR="002A10D5" w:rsidRPr="00C30625">
        <w:t xml:space="preserve">. </w:t>
      </w:r>
      <w:r w:rsidR="007A6435" w:rsidRPr="00C30625">
        <w:t>The ESCs considered tha</w:t>
      </w:r>
      <w:r w:rsidR="00E013C0" w:rsidRPr="00C30625">
        <w:t>t the clinical claim of inferior safety for ivosidenib was reasonable.</w:t>
      </w:r>
      <w:r w:rsidR="00E013C0" w:rsidRPr="00E013C0">
        <w:rPr>
          <w:i/>
          <w:iCs/>
        </w:rPr>
        <w:t xml:space="preserve"> </w:t>
      </w:r>
    </w:p>
    <w:p w14:paraId="36AD4342" w14:textId="3A24BD17" w:rsidR="007C018F" w:rsidRPr="00D622FF" w:rsidRDefault="004F3CAC" w:rsidP="007E0187">
      <w:pPr>
        <w:pStyle w:val="ListParagraph"/>
      </w:pPr>
      <w:proofErr w:type="gramStart"/>
      <w:r w:rsidRPr="00181B1F">
        <w:t>With regard to</w:t>
      </w:r>
      <w:proofErr w:type="gramEnd"/>
      <w:r w:rsidRPr="00181B1F">
        <w:t xml:space="preserve"> ivosidenib versus FOLFOX, the submission argued that ivosidenib was associated with an improvement in OS. The clinical evidence presented did not </w:t>
      </w:r>
      <w:r w:rsidR="00390C7D">
        <w:t xml:space="preserve">strongly </w:t>
      </w:r>
      <w:r w:rsidRPr="00181B1F">
        <w:t xml:space="preserve">support this conclusion as there were </w:t>
      </w:r>
      <w:r w:rsidR="00390C7D" w:rsidRPr="00C30625">
        <w:t xml:space="preserve">important residual differences in patient characteristics resulting in </w:t>
      </w:r>
      <w:r w:rsidRPr="00C30625">
        <w:t>transitivity issues remain</w:t>
      </w:r>
      <w:r w:rsidR="00114E33" w:rsidRPr="00C30625">
        <w:t>ing</w:t>
      </w:r>
      <w:r w:rsidRPr="00C30625">
        <w:t xml:space="preserve"> after matching adjustment and</w:t>
      </w:r>
      <w:r w:rsidR="00CF3095" w:rsidRPr="00C30625">
        <w:t xml:space="preserve"> the comparison was potentially confounded by the small number of patients included in the comparison and use of </w:t>
      </w:r>
      <w:r w:rsidRPr="00C30625">
        <w:t>the RPSFT-adjusted OS results from the ClarIDHy trial</w:t>
      </w:r>
      <w:r w:rsidR="00CF3095" w:rsidRPr="00C30625">
        <w:t xml:space="preserve">. </w:t>
      </w:r>
      <w:r w:rsidRPr="00C30625">
        <w:t xml:space="preserve">The submission </w:t>
      </w:r>
      <w:r w:rsidR="00D07C64">
        <w:t xml:space="preserve">and pre-PBAC response </w:t>
      </w:r>
      <w:r w:rsidRPr="00C30625">
        <w:t xml:space="preserve">also argued that ivosidenib was likely associated with a favourable safety profile compared to FOLFOX. </w:t>
      </w:r>
      <w:r w:rsidR="00D07C64">
        <w:rPr>
          <w:iCs/>
        </w:rPr>
        <w:t xml:space="preserve">The pre-PBAC response stated that </w:t>
      </w:r>
      <w:r w:rsidR="00D07C64" w:rsidRPr="00D07C64">
        <w:rPr>
          <w:iCs/>
        </w:rPr>
        <w:t>Australian clinicians have found that ivosidenib is well tolerated with a manageable safety profile.</w:t>
      </w:r>
      <w:r w:rsidR="00D07C64">
        <w:rPr>
          <w:iCs/>
        </w:rPr>
        <w:t xml:space="preserve"> </w:t>
      </w:r>
      <w:r w:rsidRPr="00C30625">
        <w:t>Th</w:t>
      </w:r>
      <w:r w:rsidR="00D07C64">
        <w:t xml:space="preserve">e </w:t>
      </w:r>
      <w:r w:rsidR="00DC5CF3">
        <w:t>commentary</w:t>
      </w:r>
      <w:r w:rsidR="00990787">
        <w:t xml:space="preserve"> considered the </w:t>
      </w:r>
      <w:r w:rsidR="00D07C64">
        <w:t>claim of superior safety</w:t>
      </w:r>
      <w:r w:rsidRPr="00C30625">
        <w:t xml:space="preserve"> was not well supported by the </w:t>
      </w:r>
      <w:r w:rsidRPr="00D622FF">
        <w:t xml:space="preserve">clinical evidence </w:t>
      </w:r>
      <w:r w:rsidR="004A2819" w:rsidRPr="00D622FF">
        <w:t xml:space="preserve">as </w:t>
      </w:r>
      <w:r w:rsidR="00E84563" w:rsidRPr="00D622FF">
        <w:t xml:space="preserve">there were limited safety data available and </w:t>
      </w:r>
      <w:r w:rsidR="004A2819" w:rsidRPr="00D622FF">
        <w:t>a comparison with FOLFOX</w:t>
      </w:r>
      <w:r w:rsidR="003374D6" w:rsidRPr="00D622FF">
        <w:t xml:space="preserve"> was not possible</w:t>
      </w:r>
      <w:r w:rsidRPr="00D622FF">
        <w:t>.</w:t>
      </w:r>
      <w:r w:rsidR="00FC5FAF" w:rsidRPr="00D622FF">
        <w:t xml:space="preserve"> </w:t>
      </w:r>
      <w:r w:rsidR="00083F6A" w:rsidRPr="00D622FF">
        <w:t xml:space="preserve"> </w:t>
      </w:r>
    </w:p>
    <w:p w14:paraId="63DAE501" w14:textId="33D4EF7B" w:rsidR="00BD670B" w:rsidRPr="00D622FF" w:rsidRDefault="00BD670B" w:rsidP="007E0187">
      <w:pPr>
        <w:pStyle w:val="ListParagraph"/>
      </w:pPr>
      <w:bookmarkStart w:id="42" w:name="_Hlk76376200"/>
      <w:r w:rsidRPr="00D622FF">
        <w:t>The PBAC considered that the clinical claim of superior comparative effectiveness for ivosidenib compared with BSC was reasonable, with a small PFS benefit and moderate OS benefit shown after adjustment for cross-over.</w:t>
      </w:r>
      <w:r w:rsidR="00BB50A5">
        <w:t xml:space="preserve"> However, the PBAC considered that the OS benefit was associated with uncertainty given the adjustment for cross-over and because the patient population in the ClarIDHy trial is likely to be fitter than the Australian population</w:t>
      </w:r>
      <w:r w:rsidR="00990787">
        <w:t xml:space="preserve"> that is likely to be treated with ivosidenib.</w:t>
      </w:r>
    </w:p>
    <w:p w14:paraId="3DBDC3DA" w14:textId="671B5CDA" w:rsidR="002F327D" w:rsidRPr="00D622FF" w:rsidRDefault="00BD670B" w:rsidP="007E0187">
      <w:pPr>
        <w:pStyle w:val="ListParagraph"/>
      </w:pPr>
      <w:r w:rsidRPr="00D622FF">
        <w:t xml:space="preserve">The PBAC considered the clinical claim of inferior comparative safety for ivosidenib compared with BSC was reasonable. </w:t>
      </w:r>
    </w:p>
    <w:bookmarkEnd w:id="42"/>
    <w:p w14:paraId="376FCC81" w14:textId="77777777" w:rsidR="00D622FF" w:rsidRDefault="00BD670B" w:rsidP="007E0187">
      <w:pPr>
        <w:pStyle w:val="ListParagraph"/>
      </w:pPr>
      <w:r w:rsidRPr="00D622FF">
        <w:lastRenderedPageBreak/>
        <w:t>The PBAC considered that the clinical claim of superior comparative effectiveness for</w:t>
      </w:r>
      <w:r>
        <w:t xml:space="preserve"> ivosidenib compared with FOLFOX is likely to be reasonable, however there is a high level of uncertainty due to the limitations of the ITC. </w:t>
      </w:r>
    </w:p>
    <w:p w14:paraId="677CE72E" w14:textId="3954F29E" w:rsidR="002F327D" w:rsidRPr="00D622FF" w:rsidRDefault="00BD670B" w:rsidP="007E0187">
      <w:pPr>
        <w:pStyle w:val="ListParagraph"/>
      </w:pPr>
      <w:r w:rsidRPr="003E7195">
        <w:t xml:space="preserve">The </w:t>
      </w:r>
      <w:r w:rsidR="00D622FF">
        <w:t>PBAC considered the clinical claim of superior comparative safety for ivosidenib compared with FOLFOX was uncertain as no formal</w:t>
      </w:r>
      <w:r w:rsidRPr="003E7195">
        <w:t xml:space="preserve"> safety </w:t>
      </w:r>
      <w:r w:rsidR="00D622FF">
        <w:t>comparison was possible, but noted that FOLFOX is associated with substantial toxicity</w:t>
      </w:r>
      <w:r>
        <w:rPr>
          <w:iCs/>
        </w:rPr>
        <w:t>.</w:t>
      </w:r>
    </w:p>
    <w:p w14:paraId="3756F9D7" w14:textId="77777777" w:rsidR="00C317F3" w:rsidRPr="00AB222B" w:rsidRDefault="00C317F3" w:rsidP="00AB222B">
      <w:pPr>
        <w:pStyle w:val="PBACESHeading2"/>
        <w:numPr>
          <w:ilvl w:val="2"/>
          <w:numId w:val="0"/>
        </w:numPr>
        <w:rPr>
          <w:rFonts w:asciiTheme="minorHAnsi" w:hAnsiTheme="minorHAnsi" w:cstheme="minorHAnsi"/>
          <w:color w:val="0D0D0D" w:themeColor="text1" w:themeTint="F2"/>
        </w:rPr>
      </w:pPr>
      <w:bookmarkStart w:id="43" w:name="_Toc166763151"/>
      <w:r w:rsidRPr="00AB222B">
        <w:rPr>
          <w:rFonts w:asciiTheme="minorHAnsi" w:hAnsiTheme="minorHAnsi" w:cstheme="minorHAnsi"/>
          <w:color w:val="0D0D0D" w:themeColor="text1" w:themeTint="F2"/>
        </w:rPr>
        <w:t>Economic analysis</w:t>
      </w:r>
      <w:bookmarkEnd w:id="41"/>
      <w:bookmarkEnd w:id="43"/>
    </w:p>
    <w:p w14:paraId="41A13075" w14:textId="4D741877" w:rsidR="004D1A12" w:rsidRPr="003E7195" w:rsidRDefault="004D1A12" w:rsidP="007E0187">
      <w:pPr>
        <w:pStyle w:val="ListParagraph"/>
      </w:pPr>
      <w:bookmarkStart w:id="44" w:name="_Hlk164163783"/>
      <w:bookmarkStart w:id="45" w:name="_Toc413139283"/>
      <w:bookmarkStart w:id="46" w:name="_Hlk166596847"/>
      <w:bookmarkStart w:id="47" w:name="_Toc413139284"/>
      <w:bookmarkStart w:id="48" w:name="_Toc413139286"/>
      <w:r w:rsidRPr="003E7195">
        <w:t xml:space="preserve">The submission presented a stepped </w:t>
      </w:r>
      <w:r w:rsidR="00DB474A">
        <w:t>economic evaluation</w:t>
      </w:r>
      <w:r w:rsidR="00E6397D">
        <w:t xml:space="preserve"> (cost-utility analysis)</w:t>
      </w:r>
      <w:r w:rsidRPr="003E7195">
        <w:t xml:space="preserve">, based on the ClarIDHy trial which compared ivosidenib with placebo in locally advanced or metastatic CCA with </w:t>
      </w:r>
      <w:r w:rsidRPr="003E7195">
        <w:rPr>
          <w:i/>
          <w:iCs/>
        </w:rPr>
        <w:t>IDH1</w:t>
      </w:r>
      <w:r w:rsidRPr="003E7195">
        <w:t xml:space="preserve"> variants who had disease progression following at least one line of chemotherapy. The economic analysis compared testing plus ivosidenib with no testing plus palliative care/BSC in the proposed target population.</w:t>
      </w:r>
      <w:r w:rsidRPr="003E7195">
        <w:rPr>
          <w:i/>
          <w:iCs/>
        </w:rPr>
        <w:t xml:space="preserve"> </w:t>
      </w:r>
      <w:r w:rsidRPr="003E7195">
        <w:t>The submission also allowed for the inclusion of FOLFOX as an additional comparator in the economic model</w:t>
      </w:r>
      <w:r w:rsidR="00DF3B53">
        <w:t>.</w:t>
      </w:r>
    </w:p>
    <w:bookmarkEnd w:id="44"/>
    <w:p w14:paraId="5FCCBDBC" w14:textId="764606DE" w:rsidR="004D1A12" w:rsidRPr="003E7195" w:rsidRDefault="004D1A12" w:rsidP="00013016">
      <w:pPr>
        <w:pStyle w:val="Caption"/>
      </w:pPr>
      <w:r w:rsidRPr="003E7195">
        <w:lastRenderedPageBreak/>
        <w:t xml:space="preserve">Table </w:t>
      </w:r>
      <w:r w:rsidR="00841FC2">
        <w:fldChar w:fldCharType="begin" w:fldLock="1"/>
      </w:r>
      <w:r w:rsidR="00841FC2">
        <w:instrText xml:space="preserve"> SEQ Table_PBAC. \* ARABIC </w:instrText>
      </w:r>
      <w:r w:rsidR="00841FC2">
        <w:fldChar w:fldCharType="separate"/>
      </w:r>
      <w:r w:rsidR="00CB6594">
        <w:rPr>
          <w:noProof/>
        </w:rPr>
        <w:t>11</w:t>
      </w:r>
      <w:r w:rsidR="00841FC2">
        <w:rPr>
          <w:noProof/>
        </w:rPr>
        <w:fldChar w:fldCharType="end"/>
      </w:r>
      <w:r w:rsidR="00B15EA6">
        <w:rPr>
          <w:noProof/>
        </w:rPr>
        <w:t>:</w:t>
      </w:r>
      <w:r w:rsidRPr="003E7195">
        <w:t xml:space="preserve"> Summary of model structure, key inputs, and rationale</w:t>
      </w:r>
    </w:p>
    <w:tbl>
      <w:tblPr>
        <w:tblW w:w="4964"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Summary of model structure, key inputs, and rationale"/>
      </w:tblPr>
      <w:tblGrid>
        <w:gridCol w:w="2231"/>
        <w:gridCol w:w="6720"/>
      </w:tblGrid>
      <w:tr w:rsidR="004D1A12" w:rsidRPr="003E7195" w14:paraId="2D0FEF8F" w14:textId="77777777" w:rsidTr="001C5869">
        <w:tc>
          <w:tcPr>
            <w:tcW w:w="1246" w:type="pct"/>
            <w:shd w:val="clear" w:color="auto" w:fill="auto"/>
            <w:vAlign w:val="center"/>
          </w:tcPr>
          <w:p w14:paraId="4C97CF34" w14:textId="77777777" w:rsidR="004D1A12" w:rsidRPr="003E7195" w:rsidRDefault="004D1A12">
            <w:pPr>
              <w:pStyle w:val="In-tableHeading"/>
              <w:widowControl w:val="0"/>
              <w:rPr>
                <w:color w:val="0D0D0D" w:themeColor="text1" w:themeTint="F2"/>
                <w:lang w:val="en-AU"/>
              </w:rPr>
            </w:pPr>
            <w:r w:rsidRPr="003E7195">
              <w:rPr>
                <w:color w:val="0D0D0D" w:themeColor="text1" w:themeTint="F2"/>
                <w:lang w:val="en-AU"/>
              </w:rPr>
              <w:t>Component</w:t>
            </w:r>
          </w:p>
        </w:tc>
        <w:tc>
          <w:tcPr>
            <w:tcW w:w="3754" w:type="pct"/>
            <w:shd w:val="clear" w:color="auto" w:fill="auto"/>
            <w:vAlign w:val="center"/>
          </w:tcPr>
          <w:p w14:paraId="76F4EC08" w14:textId="77777777" w:rsidR="004D1A12" w:rsidRPr="003E7195" w:rsidRDefault="004D1A12">
            <w:pPr>
              <w:pStyle w:val="In-tableHeading"/>
              <w:widowControl w:val="0"/>
              <w:rPr>
                <w:color w:val="0D0D0D" w:themeColor="text1" w:themeTint="F2"/>
                <w:lang w:val="en-AU"/>
              </w:rPr>
            </w:pPr>
            <w:r w:rsidRPr="003E7195">
              <w:rPr>
                <w:color w:val="0D0D0D" w:themeColor="text1" w:themeTint="F2"/>
                <w:lang w:val="en-AU"/>
              </w:rPr>
              <w:t>Summary</w:t>
            </w:r>
          </w:p>
        </w:tc>
      </w:tr>
      <w:tr w:rsidR="004D1A12" w:rsidRPr="003E7195" w14:paraId="106F1242" w14:textId="77777777" w:rsidTr="001C5869">
        <w:tc>
          <w:tcPr>
            <w:tcW w:w="1246" w:type="pct"/>
            <w:shd w:val="clear" w:color="auto" w:fill="auto"/>
            <w:vAlign w:val="center"/>
          </w:tcPr>
          <w:p w14:paraId="57661624" w14:textId="77777777" w:rsidR="004D1A12" w:rsidRPr="003E7195" w:rsidRDefault="004D1A12">
            <w:pPr>
              <w:pStyle w:val="TableText"/>
              <w:keepNext/>
              <w:rPr>
                <w:color w:val="0D0D0D" w:themeColor="text1" w:themeTint="F2"/>
              </w:rPr>
            </w:pPr>
            <w:r w:rsidRPr="003E7195">
              <w:rPr>
                <w:color w:val="0D0D0D" w:themeColor="text1" w:themeTint="F2"/>
              </w:rPr>
              <w:t>Comparison modelled</w:t>
            </w:r>
          </w:p>
        </w:tc>
        <w:tc>
          <w:tcPr>
            <w:tcW w:w="3754" w:type="pct"/>
            <w:shd w:val="clear" w:color="auto" w:fill="auto"/>
            <w:vAlign w:val="center"/>
          </w:tcPr>
          <w:p w14:paraId="026C5114" w14:textId="3FDEE617" w:rsidR="004D1A12" w:rsidRPr="003E7195" w:rsidRDefault="004D1A12">
            <w:pPr>
              <w:pStyle w:val="TableText"/>
              <w:keepNext/>
              <w:rPr>
                <w:color w:val="0D0D0D" w:themeColor="text1" w:themeTint="F2"/>
              </w:rPr>
            </w:pPr>
            <w:r w:rsidRPr="003E7195">
              <w:rPr>
                <w:i/>
                <w:iCs/>
                <w:color w:val="0D0D0D" w:themeColor="text1" w:themeTint="F2"/>
              </w:rPr>
              <w:t xml:space="preserve">IDH1 </w:t>
            </w:r>
            <w:r w:rsidRPr="003E7195">
              <w:rPr>
                <w:color w:val="0D0D0D" w:themeColor="text1" w:themeTint="F2"/>
              </w:rPr>
              <w:t xml:space="preserve">variant testing + ivosidenib </w:t>
            </w:r>
            <w:r w:rsidRPr="003E7195">
              <w:rPr>
                <w:i/>
                <w:iCs/>
                <w:color w:val="0D0D0D" w:themeColor="text1" w:themeTint="F2"/>
              </w:rPr>
              <w:t xml:space="preserve">versus </w:t>
            </w:r>
            <w:r w:rsidRPr="003E7195">
              <w:rPr>
                <w:color w:val="0D0D0D" w:themeColor="text1" w:themeTint="F2"/>
              </w:rPr>
              <w:t>no testing + palliative care/</w:t>
            </w:r>
            <w:r w:rsidR="0072682D">
              <w:rPr>
                <w:color w:val="0D0D0D" w:themeColor="text1" w:themeTint="F2"/>
              </w:rPr>
              <w:t>BSC</w:t>
            </w:r>
          </w:p>
        </w:tc>
      </w:tr>
      <w:tr w:rsidR="004D1A12" w:rsidRPr="003E7195" w14:paraId="7CEC38D3" w14:textId="77777777" w:rsidTr="001C5869">
        <w:tc>
          <w:tcPr>
            <w:tcW w:w="1246" w:type="pct"/>
            <w:shd w:val="clear" w:color="auto" w:fill="auto"/>
            <w:vAlign w:val="center"/>
          </w:tcPr>
          <w:p w14:paraId="101C24FB" w14:textId="77777777" w:rsidR="004D1A12" w:rsidRPr="003E7195" w:rsidRDefault="004D1A12">
            <w:pPr>
              <w:pStyle w:val="TableText"/>
              <w:keepNext/>
              <w:rPr>
                <w:color w:val="0D0D0D" w:themeColor="text1" w:themeTint="F2"/>
              </w:rPr>
            </w:pPr>
            <w:r w:rsidRPr="003E7195">
              <w:rPr>
                <w:color w:val="0D0D0D" w:themeColor="text1" w:themeTint="F2"/>
              </w:rPr>
              <w:t>Time horizon</w:t>
            </w:r>
          </w:p>
        </w:tc>
        <w:tc>
          <w:tcPr>
            <w:tcW w:w="3754" w:type="pct"/>
            <w:shd w:val="clear" w:color="auto" w:fill="auto"/>
            <w:vAlign w:val="center"/>
          </w:tcPr>
          <w:p w14:paraId="3C895E1C" w14:textId="7509CB6A" w:rsidR="004D1A12" w:rsidRPr="003E7195" w:rsidRDefault="004D1A12">
            <w:pPr>
              <w:pStyle w:val="TableText"/>
              <w:keepNext/>
              <w:rPr>
                <w:color w:val="0D0D0D" w:themeColor="text1" w:themeTint="F2"/>
              </w:rPr>
            </w:pPr>
            <w:r w:rsidRPr="003E7195">
              <w:rPr>
                <w:color w:val="0D0D0D" w:themeColor="text1" w:themeTint="F2"/>
              </w:rPr>
              <w:t>10 years in the model base case (</w:t>
            </w:r>
            <w:r w:rsidRPr="003E7195">
              <w:rPr>
                <w:i/>
                <w:iCs/>
                <w:color w:val="0D0D0D" w:themeColor="text1" w:themeTint="F2"/>
              </w:rPr>
              <w:t>vs.</w:t>
            </w:r>
            <w:r w:rsidRPr="003E7195">
              <w:rPr>
                <w:color w:val="0D0D0D" w:themeColor="text1" w:themeTint="F2"/>
              </w:rPr>
              <w:t xml:space="preserve"> a median follow-up for OS of 20.5-24.4 months from the ClarIDHy trial). </w:t>
            </w:r>
          </w:p>
        </w:tc>
      </w:tr>
      <w:tr w:rsidR="004D1A12" w:rsidRPr="003E7195" w14:paraId="5678EFFB" w14:textId="77777777" w:rsidTr="001C5869">
        <w:tc>
          <w:tcPr>
            <w:tcW w:w="1246" w:type="pct"/>
            <w:shd w:val="clear" w:color="auto" w:fill="auto"/>
            <w:vAlign w:val="center"/>
          </w:tcPr>
          <w:p w14:paraId="0D4D02FF" w14:textId="77777777" w:rsidR="004D1A12" w:rsidRPr="003E7195" w:rsidRDefault="004D1A12">
            <w:pPr>
              <w:pStyle w:val="TableText"/>
              <w:keepNext/>
              <w:rPr>
                <w:color w:val="0D0D0D" w:themeColor="text1" w:themeTint="F2"/>
              </w:rPr>
            </w:pPr>
            <w:r w:rsidRPr="003E7195">
              <w:rPr>
                <w:color w:val="0D0D0D" w:themeColor="text1" w:themeTint="F2"/>
              </w:rPr>
              <w:t>Outcomes</w:t>
            </w:r>
          </w:p>
        </w:tc>
        <w:tc>
          <w:tcPr>
            <w:tcW w:w="3754" w:type="pct"/>
            <w:shd w:val="clear" w:color="auto" w:fill="auto"/>
            <w:vAlign w:val="center"/>
          </w:tcPr>
          <w:p w14:paraId="5E78AC5A" w14:textId="5FA49C36" w:rsidR="004D1A12" w:rsidRPr="003E7195" w:rsidRDefault="004D1A12">
            <w:pPr>
              <w:pStyle w:val="TableText"/>
              <w:keepNext/>
              <w:rPr>
                <w:color w:val="0D0D0D" w:themeColor="text1" w:themeTint="F2"/>
              </w:rPr>
            </w:pPr>
            <w:r w:rsidRPr="003E7195">
              <w:rPr>
                <w:color w:val="0D0D0D" w:themeColor="text1" w:themeTint="F2"/>
              </w:rPr>
              <w:t xml:space="preserve">LYs; QALYs. </w:t>
            </w:r>
          </w:p>
        </w:tc>
      </w:tr>
      <w:tr w:rsidR="004D1A12" w:rsidRPr="003E7195" w14:paraId="6E16801C" w14:textId="77777777" w:rsidTr="001C5869">
        <w:tc>
          <w:tcPr>
            <w:tcW w:w="1246" w:type="pct"/>
            <w:shd w:val="clear" w:color="auto" w:fill="auto"/>
            <w:vAlign w:val="center"/>
          </w:tcPr>
          <w:p w14:paraId="789B509D" w14:textId="77777777" w:rsidR="004D1A12" w:rsidRPr="003E7195" w:rsidRDefault="004D1A12">
            <w:pPr>
              <w:pStyle w:val="TableText"/>
              <w:keepNext/>
              <w:rPr>
                <w:color w:val="0D0D0D" w:themeColor="text1" w:themeTint="F2"/>
              </w:rPr>
            </w:pPr>
            <w:r w:rsidRPr="003E7195">
              <w:rPr>
                <w:color w:val="0D0D0D" w:themeColor="text1" w:themeTint="F2"/>
              </w:rPr>
              <w:t>Methods used to generate results</w:t>
            </w:r>
          </w:p>
        </w:tc>
        <w:tc>
          <w:tcPr>
            <w:tcW w:w="3754" w:type="pct"/>
            <w:shd w:val="clear" w:color="auto" w:fill="auto"/>
            <w:vAlign w:val="center"/>
          </w:tcPr>
          <w:p w14:paraId="79708E78" w14:textId="77777777" w:rsidR="004D1A12" w:rsidRPr="003E7195" w:rsidRDefault="004D1A12">
            <w:pPr>
              <w:pStyle w:val="TableText"/>
              <w:keepNext/>
              <w:rPr>
                <w:color w:val="0D0D0D" w:themeColor="text1" w:themeTint="F2"/>
              </w:rPr>
            </w:pPr>
            <w:r w:rsidRPr="003E7195">
              <w:rPr>
                <w:color w:val="0D0D0D" w:themeColor="text1" w:themeTint="F2"/>
              </w:rPr>
              <w:t xml:space="preserve">Partitioned survival model. </w:t>
            </w:r>
          </w:p>
        </w:tc>
      </w:tr>
      <w:tr w:rsidR="004D1A12" w:rsidRPr="003E7195" w14:paraId="3D98CE92" w14:textId="77777777" w:rsidTr="001C5869">
        <w:tc>
          <w:tcPr>
            <w:tcW w:w="1246" w:type="pct"/>
            <w:shd w:val="clear" w:color="auto" w:fill="auto"/>
            <w:vAlign w:val="center"/>
          </w:tcPr>
          <w:p w14:paraId="703DAF60" w14:textId="77777777" w:rsidR="004D1A12" w:rsidRPr="003E7195" w:rsidRDefault="004D1A12">
            <w:pPr>
              <w:pStyle w:val="TableText"/>
              <w:keepNext/>
              <w:rPr>
                <w:color w:val="0D0D0D" w:themeColor="text1" w:themeTint="F2"/>
              </w:rPr>
            </w:pPr>
            <w:r w:rsidRPr="003E7195">
              <w:rPr>
                <w:color w:val="0D0D0D" w:themeColor="text1" w:themeTint="F2"/>
              </w:rPr>
              <w:t>Health states</w:t>
            </w:r>
          </w:p>
        </w:tc>
        <w:tc>
          <w:tcPr>
            <w:tcW w:w="3754" w:type="pct"/>
            <w:shd w:val="clear" w:color="auto" w:fill="auto"/>
            <w:vAlign w:val="center"/>
          </w:tcPr>
          <w:p w14:paraId="097DE3CC" w14:textId="55147AEB" w:rsidR="004D1A12" w:rsidRPr="003E7195" w:rsidRDefault="004D1A12">
            <w:pPr>
              <w:pStyle w:val="TableText"/>
              <w:keepNext/>
              <w:rPr>
                <w:color w:val="0D0D0D" w:themeColor="text1" w:themeTint="F2"/>
              </w:rPr>
            </w:pPr>
            <w:r w:rsidRPr="003E7195">
              <w:rPr>
                <w:color w:val="0D0D0D" w:themeColor="text1" w:themeTint="F2"/>
              </w:rPr>
              <w:t>PF, PD and death.</w:t>
            </w:r>
          </w:p>
        </w:tc>
      </w:tr>
      <w:tr w:rsidR="004D1A12" w:rsidRPr="003E7195" w14:paraId="6CAB4B31" w14:textId="77777777" w:rsidTr="001C5869">
        <w:tc>
          <w:tcPr>
            <w:tcW w:w="1246" w:type="pct"/>
            <w:shd w:val="clear" w:color="auto" w:fill="auto"/>
            <w:vAlign w:val="center"/>
          </w:tcPr>
          <w:p w14:paraId="2A397921" w14:textId="77777777" w:rsidR="004D1A12" w:rsidRPr="003E7195" w:rsidRDefault="004D1A12">
            <w:pPr>
              <w:pStyle w:val="TableText"/>
              <w:keepNext/>
              <w:rPr>
                <w:color w:val="0D0D0D" w:themeColor="text1" w:themeTint="F2"/>
              </w:rPr>
            </w:pPr>
            <w:r w:rsidRPr="003E7195">
              <w:rPr>
                <w:color w:val="0D0D0D" w:themeColor="text1" w:themeTint="F2"/>
              </w:rPr>
              <w:t>Cycle length</w:t>
            </w:r>
          </w:p>
        </w:tc>
        <w:tc>
          <w:tcPr>
            <w:tcW w:w="3754" w:type="pct"/>
            <w:shd w:val="clear" w:color="auto" w:fill="auto"/>
            <w:vAlign w:val="center"/>
          </w:tcPr>
          <w:p w14:paraId="79E8A267" w14:textId="77777777" w:rsidR="004D1A12" w:rsidRPr="003E7195" w:rsidRDefault="004D1A12">
            <w:pPr>
              <w:pStyle w:val="TableText"/>
              <w:keepNext/>
              <w:rPr>
                <w:color w:val="0D0D0D" w:themeColor="text1" w:themeTint="F2"/>
              </w:rPr>
            </w:pPr>
            <w:r w:rsidRPr="003E7195">
              <w:rPr>
                <w:color w:val="0D0D0D" w:themeColor="text1" w:themeTint="F2"/>
              </w:rPr>
              <w:t xml:space="preserve">1 week. </w:t>
            </w:r>
          </w:p>
        </w:tc>
      </w:tr>
      <w:tr w:rsidR="004D1A12" w:rsidRPr="003E7195" w14:paraId="27A28E27" w14:textId="77777777" w:rsidTr="001C5869">
        <w:tc>
          <w:tcPr>
            <w:tcW w:w="1246" w:type="pct"/>
            <w:shd w:val="clear" w:color="auto" w:fill="auto"/>
            <w:vAlign w:val="center"/>
          </w:tcPr>
          <w:p w14:paraId="027087B9" w14:textId="77777777" w:rsidR="004D1A12" w:rsidRPr="003E7195" w:rsidRDefault="004D1A12">
            <w:pPr>
              <w:pStyle w:val="TableText"/>
              <w:keepNext/>
              <w:rPr>
                <w:color w:val="0D0D0D" w:themeColor="text1" w:themeTint="F2"/>
              </w:rPr>
            </w:pPr>
            <w:r w:rsidRPr="003E7195">
              <w:rPr>
                <w:color w:val="0D0D0D" w:themeColor="text1" w:themeTint="F2"/>
              </w:rPr>
              <w:t>Test parameters</w:t>
            </w:r>
          </w:p>
        </w:tc>
        <w:tc>
          <w:tcPr>
            <w:tcW w:w="3754" w:type="pct"/>
            <w:shd w:val="clear" w:color="auto" w:fill="auto"/>
            <w:vAlign w:val="center"/>
          </w:tcPr>
          <w:p w14:paraId="32136D7E" w14:textId="77777777" w:rsidR="004D1A12" w:rsidRPr="003E7195" w:rsidRDefault="004D1A12">
            <w:pPr>
              <w:pStyle w:val="TableText"/>
              <w:keepNext/>
              <w:rPr>
                <w:color w:val="0D0D0D" w:themeColor="text1" w:themeTint="F2"/>
              </w:rPr>
            </w:pPr>
            <w:r w:rsidRPr="003E7195">
              <w:rPr>
                <w:color w:val="0D0D0D" w:themeColor="text1" w:themeTint="F2"/>
              </w:rPr>
              <w:t xml:space="preserve">100% test sensitivity and specificity with a </w:t>
            </w:r>
            <w:r w:rsidRPr="003E7195">
              <w:rPr>
                <w:i/>
                <w:iCs/>
                <w:color w:val="0D0D0D" w:themeColor="text1" w:themeTint="F2"/>
              </w:rPr>
              <w:t xml:space="preserve">IDH1 </w:t>
            </w:r>
            <w:r w:rsidRPr="003E7195">
              <w:rPr>
                <w:color w:val="0D0D0D" w:themeColor="text1" w:themeTint="F2"/>
              </w:rPr>
              <w:t xml:space="preserve">variants prevalence of 9.15%. </w:t>
            </w:r>
          </w:p>
          <w:p w14:paraId="2E5C57D7" w14:textId="74B7971A" w:rsidR="004D1A12" w:rsidRPr="003E7195" w:rsidRDefault="004D1A12">
            <w:pPr>
              <w:pStyle w:val="TableText"/>
              <w:keepNext/>
              <w:rPr>
                <w:color w:val="0D0D0D" w:themeColor="text1" w:themeTint="F2"/>
              </w:rPr>
            </w:pPr>
            <w:r w:rsidRPr="00181B1F">
              <w:rPr>
                <w:color w:val="0D0D0D" w:themeColor="text1" w:themeTint="F2"/>
              </w:rPr>
              <w:t xml:space="preserve">The prevalence of </w:t>
            </w:r>
            <w:r w:rsidRPr="00181B1F">
              <w:rPr>
                <w:i/>
                <w:iCs/>
                <w:color w:val="0D0D0D" w:themeColor="text1" w:themeTint="F2"/>
              </w:rPr>
              <w:t>IDH1</w:t>
            </w:r>
            <w:r w:rsidRPr="00181B1F">
              <w:rPr>
                <w:color w:val="0D0D0D" w:themeColor="text1" w:themeTint="F2"/>
              </w:rPr>
              <w:t xml:space="preserve"> variants was weighted based on prevalence of </w:t>
            </w:r>
            <w:r w:rsidRPr="00181B1F">
              <w:rPr>
                <w:i/>
                <w:iCs/>
                <w:color w:val="0D0D0D" w:themeColor="text1" w:themeTint="F2"/>
              </w:rPr>
              <w:t>IDH1</w:t>
            </w:r>
            <w:r w:rsidRPr="00181B1F">
              <w:rPr>
                <w:color w:val="0D0D0D" w:themeColor="text1" w:themeTint="F2"/>
              </w:rPr>
              <w:t xml:space="preserve"> variants in intrahepatic CCA and extrahepatic CCA. The accuracy of the test was not of concern in line with previous MSAC advice (Section 14, PSD, MSAC application 1585). Thus, the testing parameters used in the economic model were reasonable</w:t>
            </w:r>
            <w:r w:rsidRPr="003E7195">
              <w:rPr>
                <w:i/>
                <w:iCs/>
                <w:color w:val="0D0D0D" w:themeColor="text1" w:themeTint="F2"/>
              </w:rPr>
              <w:t>.</w:t>
            </w:r>
          </w:p>
        </w:tc>
      </w:tr>
      <w:tr w:rsidR="004D1A12" w:rsidRPr="003E7195" w14:paraId="4B68E8FD" w14:textId="77777777" w:rsidTr="001C5869">
        <w:tc>
          <w:tcPr>
            <w:tcW w:w="1246" w:type="pct"/>
            <w:shd w:val="clear" w:color="auto" w:fill="auto"/>
            <w:vAlign w:val="center"/>
          </w:tcPr>
          <w:p w14:paraId="223426BE" w14:textId="77777777" w:rsidR="004D1A12" w:rsidRPr="003E7195" w:rsidRDefault="004D1A12">
            <w:pPr>
              <w:pStyle w:val="TableText"/>
              <w:keepNext/>
              <w:rPr>
                <w:color w:val="0D0D0D" w:themeColor="text1" w:themeTint="F2"/>
              </w:rPr>
            </w:pPr>
            <w:r w:rsidRPr="003E7195">
              <w:rPr>
                <w:color w:val="0D0D0D" w:themeColor="text1" w:themeTint="F2"/>
              </w:rPr>
              <w:t>Implications of false positive and false negative results</w:t>
            </w:r>
          </w:p>
        </w:tc>
        <w:tc>
          <w:tcPr>
            <w:tcW w:w="3754" w:type="pct"/>
            <w:shd w:val="clear" w:color="auto" w:fill="auto"/>
            <w:vAlign w:val="center"/>
          </w:tcPr>
          <w:p w14:paraId="45BEFFD2" w14:textId="0885B4A3" w:rsidR="004D1A12" w:rsidRPr="003E7195" w:rsidRDefault="004D1A12">
            <w:pPr>
              <w:pStyle w:val="TableText"/>
              <w:keepNext/>
              <w:rPr>
                <w:color w:val="0D0D0D" w:themeColor="text1" w:themeTint="F2"/>
              </w:rPr>
            </w:pPr>
            <w:r w:rsidRPr="003E7195">
              <w:rPr>
                <w:color w:val="0D0D0D" w:themeColor="text1" w:themeTint="F2"/>
              </w:rPr>
              <w:t>None</w:t>
            </w:r>
            <w:r w:rsidR="00CF1902">
              <w:rPr>
                <w:color w:val="0D0D0D" w:themeColor="text1" w:themeTint="F2"/>
              </w:rPr>
              <w:t>, as 100% test sensitivity and specificity assumed.</w:t>
            </w:r>
            <w:r w:rsidRPr="003E7195">
              <w:rPr>
                <w:i/>
                <w:iCs/>
                <w:color w:val="0D0D0D" w:themeColor="text1" w:themeTint="F2"/>
              </w:rPr>
              <w:t xml:space="preserve">  </w:t>
            </w:r>
          </w:p>
        </w:tc>
      </w:tr>
      <w:tr w:rsidR="004D1A12" w:rsidRPr="003E7195" w14:paraId="4EA40C65" w14:textId="77777777" w:rsidTr="001C5869">
        <w:tc>
          <w:tcPr>
            <w:tcW w:w="1246" w:type="pct"/>
            <w:shd w:val="clear" w:color="auto" w:fill="auto"/>
            <w:vAlign w:val="center"/>
          </w:tcPr>
          <w:p w14:paraId="12BF199D" w14:textId="77777777" w:rsidR="004D1A12" w:rsidRPr="003E7195" w:rsidRDefault="004D1A12">
            <w:pPr>
              <w:pStyle w:val="TableText"/>
              <w:keepNext/>
              <w:rPr>
                <w:color w:val="0D0D0D" w:themeColor="text1" w:themeTint="F2"/>
              </w:rPr>
            </w:pPr>
            <w:r w:rsidRPr="003E7195">
              <w:rPr>
                <w:color w:val="0D0D0D" w:themeColor="text1" w:themeTint="F2"/>
              </w:rPr>
              <w:t xml:space="preserve">Allocation to health states </w:t>
            </w:r>
          </w:p>
        </w:tc>
        <w:tc>
          <w:tcPr>
            <w:tcW w:w="3754" w:type="pct"/>
            <w:shd w:val="clear" w:color="auto" w:fill="auto"/>
            <w:vAlign w:val="center"/>
          </w:tcPr>
          <w:p w14:paraId="6B3B633F" w14:textId="35B33EE9" w:rsidR="004D1A12" w:rsidRDefault="00CF1902">
            <w:pPr>
              <w:pStyle w:val="TableText"/>
              <w:keepNext/>
              <w:rPr>
                <w:color w:val="0D0D0D" w:themeColor="text1" w:themeTint="F2"/>
              </w:rPr>
            </w:pPr>
            <w:r>
              <w:rPr>
                <w:color w:val="0D0D0D" w:themeColor="text1" w:themeTint="F2"/>
              </w:rPr>
              <w:t>Base case: d</w:t>
            </w:r>
            <w:r w:rsidR="004D1A12" w:rsidRPr="003E7195">
              <w:rPr>
                <w:color w:val="0D0D0D" w:themeColor="text1" w:themeTint="F2"/>
              </w:rPr>
              <w:t xml:space="preserve">erived from the PFS and OS KM curves from the ClarIDHy trial. Due to the high crossover rate (70.5%) from placebo to open-label ivosidenib in the trial, RPSFT-adjusted OS for placebo was used in the model. </w:t>
            </w:r>
          </w:p>
          <w:p w14:paraId="48465E7F" w14:textId="24DFA57F" w:rsidR="00CF1902" w:rsidRPr="003E7195" w:rsidRDefault="001C5869">
            <w:pPr>
              <w:pStyle w:val="TableText"/>
              <w:keepNext/>
              <w:rPr>
                <w:color w:val="0D0D0D" w:themeColor="text1" w:themeTint="F2"/>
              </w:rPr>
            </w:pPr>
            <w:r>
              <w:rPr>
                <w:color w:val="0D0D0D" w:themeColor="text1" w:themeTint="F2"/>
              </w:rPr>
              <w:t>Sensitivity analyses: for alternative scenarios (e.g. different approaches to treatment switching, inclusion of FOLFOX as comparator</w:t>
            </w:r>
            <w:r w:rsidR="00DF3B53">
              <w:rPr>
                <w:color w:val="0D0D0D" w:themeColor="text1" w:themeTint="F2"/>
              </w:rPr>
              <w:t>)</w:t>
            </w:r>
            <w:r>
              <w:rPr>
                <w:color w:val="0D0D0D" w:themeColor="text1" w:themeTint="F2"/>
              </w:rPr>
              <w:t xml:space="preserve">, </w:t>
            </w:r>
            <w:r w:rsidRPr="001C5869">
              <w:rPr>
                <w:color w:val="0D0D0D" w:themeColor="text1" w:themeTint="F2"/>
              </w:rPr>
              <w:t>survival is estimated for the comparator arm by applying a HR to the survival curve for ivosidenib (assuming proportional hazards).</w:t>
            </w:r>
            <w:r w:rsidRPr="00C30625">
              <w:rPr>
                <w:rFonts w:eastAsia="Calibri" w:cs="Arial"/>
                <w:snapToGrid w:val="0"/>
                <w:color w:val="0D0D0D" w:themeColor="text1" w:themeTint="F2"/>
                <w:sz w:val="18"/>
                <w:szCs w:val="20"/>
                <w:lang w:eastAsia="en-AU"/>
              </w:rPr>
              <w:t xml:space="preserve">  </w:t>
            </w:r>
          </w:p>
        </w:tc>
      </w:tr>
      <w:tr w:rsidR="004D1A12" w:rsidRPr="003E7195" w14:paraId="36933ACD" w14:textId="77777777" w:rsidTr="001C5869">
        <w:tc>
          <w:tcPr>
            <w:tcW w:w="1246" w:type="pct"/>
            <w:shd w:val="clear" w:color="auto" w:fill="auto"/>
            <w:vAlign w:val="center"/>
          </w:tcPr>
          <w:p w14:paraId="067C6BDE" w14:textId="77777777" w:rsidR="004D1A12" w:rsidRPr="003E7195" w:rsidRDefault="004D1A12">
            <w:pPr>
              <w:pStyle w:val="TableText"/>
              <w:keepNext/>
              <w:rPr>
                <w:color w:val="0D0D0D" w:themeColor="text1" w:themeTint="F2"/>
              </w:rPr>
            </w:pPr>
            <w:r w:rsidRPr="003E7195">
              <w:rPr>
                <w:color w:val="0D0D0D" w:themeColor="text1" w:themeTint="F2"/>
              </w:rPr>
              <w:t>Extrapolation method</w:t>
            </w:r>
          </w:p>
        </w:tc>
        <w:tc>
          <w:tcPr>
            <w:tcW w:w="3754" w:type="pct"/>
            <w:shd w:val="clear" w:color="auto" w:fill="auto"/>
            <w:vAlign w:val="center"/>
          </w:tcPr>
          <w:p w14:paraId="46C60AA5" w14:textId="4920EB88" w:rsidR="004D1A12" w:rsidRPr="003E7195" w:rsidRDefault="004D1A12">
            <w:pPr>
              <w:pStyle w:val="TableText"/>
              <w:keepNext/>
              <w:rPr>
                <w:i/>
                <w:iCs/>
                <w:color w:val="0D0D0D" w:themeColor="text1" w:themeTint="F2"/>
              </w:rPr>
            </w:pPr>
            <w:r w:rsidRPr="003E7195">
              <w:rPr>
                <w:color w:val="0D0D0D" w:themeColor="text1" w:themeTint="F2"/>
              </w:rPr>
              <w:t xml:space="preserve">KM data was used until median PFS and median OS. For ivosidenib, KM data for OS was used until 10.3 months and KM data for PFS was used until 2.7 months. For BSC, KM OS data was used until 5.1 months and KM PFS data was used until 1.4 months. Parametric models were fitted to each treatment arm based on goodness of fit (visual and AIC/BIC) (log-normal models for ivosidenib and BSC OS; generalised gamma and log-logistic models for ivosidenib and BSC PFS, respectively). </w:t>
            </w:r>
          </w:p>
        </w:tc>
      </w:tr>
      <w:tr w:rsidR="004D1A12" w:rsidRPr="003E7195" w14:paraId="023F0CB5" w14:textId="77777777" w:rsidTr="001C5869">
        <w:tc>
          <w:tcPr>
            <w:tcW w:w="1246" w:type="pct"/>
            <w:shd w:val="clear" w:color="auto" w:fill="auto"/>
            <w:vAlign w:val="center"/>
          </w:tcPr>
          <w:p w14:paraId="4943A2AA" w14:textId="77777777" w:rsidR="004D1A12" w:rsidRPr="003E7195" w:rsidRDefault="004D1A12">
            <w:pPr>
              <w:pStyle w:val="TableText"/>
              <w:keepNext/>
              <w:rPr>
                <w:color w:val="0D0D0D" w:themeColor="text1" w:themeTint="F2"/>
              </w:rPr>
            </w:pPr>
            <w:r w:rsidRPr="003E7195">
              <w:rPr>
                <w:color w:val="0D0D0D" w:themeColor="text1" w:themeTint="F2"/>
              </w:rPr>
              <w:t>Health related quality of life</w:t>
            </w:r>
          </w:p>
        </w:tc>
        <w:tc>
          <w:tcPr>
            <w:tcW w:w="3754" w:type="pct"/>
            <w:shd w:val="clear" w:color="auto" w:fill="auto"/>
            <w:vAlign w:val="center"/>
          </w:tcPr>
          <w:p w14:paraId="79E28617" w14:textId="4C6A1C0E" w:rsidR="004D1A12" w:rsidRPr="003E7195" w:rsidRDefault="004D1A12">
            <w:pPr>
              <w:pStyle w:val="TableText"/>
              <w:keepNext/>
              <w:rPr>
                <w:color w:val="0D0D0D" w:themeColor="text1" w:themeTint="F2"/>
              </w:rPr>
            </w:pPr>
            <w:r w:rsidRPr="003E7195">
              <w:rPr>
                <w:color w:val="0D0D0D" w:themeColor="text1" w:themeTint="F2"/>
              </w:rPr>
              <w:t>Utility values were derived from the ClarIDHy trial (PF= 0.8524; PD = 0</w:t>
            </w:r>
            <w:r w:rsidR="0013420E">
              <w:rPr>
                <w:color w:val="0D0D0D" w:themeColor="text1" w:themeTint="F2"/>
              </w:rPr>
              <w:t>.</w:t>
            </w:r>
            <w:r w:rsidRPr="003E7195">
              <w:rPr>
                <w:color w:val="0D0D0D" w:themeColor="text1" w:themeTint="F2"/>
              </w:rPr>
              <w:t xml:space="preserve">8043). </w:t>
            </w:r>
          </w:p>
        </w:tc>
      </w:tr>
      <w:tr w:rsidR="004D1A12" w:rsidRPr="003E7195" w14:paraId="4AE3945D" w14:textId="77777777" w:rsidTr="001C5869">
        <w:tc>
          <w:tcPr>
            <w:tcW w:w="1246" w:type="pct"/>
            <w:shd w:val="clear" w:color="auto" w:fill="auto"/>
            <w:vAlign w:val="center"/>
          </w:tcPr>
          <w:p w14:paraId="47D7220B" w14:textId="77777777" w:rsidR="004D1A12" w:rsidRPr="003E7195" w:rsidRDefault="004D1A12">
            <w:pPr>
              <w:pStyle w:val="TableText"/>
              <w:keepNext/>
              <w:rPr>
                <w:color w:val="0D0D0D" w:themeColor="text1" w:themeTint="F2"/>
              </w:rPr>
            </w:pPr>
            <w:r w:rsidRPr="003E7195">
              <w:rPr>
                <w:color w:val="0D0D0D" w:themeColor="text1" w:themeTint="F2"/>
              </w:rPr>
              <w:t xml:space="preserve">Costs </w:t>
            </w:r>
          </w:p>
        </w:tc>
        <w:tc>
          <w:tcPr>
            <w:tcW w:w="3754" w:type="pct"/>
            <w:shd w:val="clear" w:color="auto" w:fill="auto"/>
            <w:vAlign w:val="center"/>
          </w:tcPr>
          <w:p w14:paraId="2341D2DF" w14:textId="057475A3" w:rsidR="004D1A12" w:rsidRPr="003E7195" w:rsidRDefault="004D1A12">
            <w:pPr>
              <w:pStyle w:val="TableText"/>
              <w:keepNext/>
              <w:rPr>
                <w:color w:val="0D0D0D" w:themeColor="text1" w:themeTint="F2"/>
              </w:rPr>
            </w:pPr>
            <w:r w:rsidRPr="003E7195">
              <w:rPr>
                <w:color w:val="0D0D0D" w:themeColor="text1" w:themeTint="F2"/>
              </w:rPr>
              <w:t>Direct treatment costs, costs for disease management (PF and PD), costs for</w:t>
            </w:r>
            <w:r w:rsidR="003A56B5">
              <w:rPr>
                <w:color w:val="0D0D0D" w:themeColor="text1" w:themeTint="F2"/>
              </w:rPr>
              <w:t xml:space="preserve"> AEs</w:t>
            </w:r>
            <w:r w:rsidRPr="003E7195">
              <w:rPr>
                <w:color w:val="0D0D0D" w:themeColor="text1" w:themeTint="F2"/>
              </w:rPr>
              <w:t xml:space="preserve"> management and terminal care costs were applied.</w:t>
            </w:r>
          </w:p>
          <w:p w14:paraId="2F437B72" w14:textId="14BD6F43" w:rsidR="004D1A12" w:rsidRPr="00181B1F" w:rsidRDefault="004D1A12">
            <w:pPr>
              <w:pStyle w:val="TableText"/>
              <w:keepNext/>
              <w:rPr>
                <w:color w:val="0D0D0D" w:themeColor="text1" w:themeTint="F2"/>
              </w:rPr>
            </w:pPr>
            <w:r w:rsidRPr="00181B1F">
              <w:rPr>
                <w:color w:val="0D0D0D" w:themeColor="text1" w:themeTint="F2"/>
              </w:rPr>
              <w:t>The inclusion of the terminal care costs has not been well justified. The modelled patients had advanced disease and almost all patients have died within the modelled time horizon. However, exclusion of terminal care costs had a minimal impact on the result</w:t>
            </w:r>
            <w:r w:rsidR="00D26E87" w:rsidRPr="00181B1F">
              <w:rPr>
                <w:color w:val="0D0D0D" w:themeColor="text1" w:themeTint="F2"/>
              </w:rPr>
              <w:t xml:space="preserve"> </w:t>
            </w:r>
            <w:r w:rsidR="007929B0" w:rsidRPr="00181B1F">
              <w:rPr>
                <w:color w:val="0D0D0D" w:themeColor="text1" w:themeTint="F2"/>
              </w:rPr>
              <w:t xml:space="preserve">based on a time horizon of 10 years in the economic model, but </w:t>
            </w:r>
            <w:r w:rsidR="00990787">
              <w:rPr>
                <w:color w:val="0D0D0D" w:themeColor="text1" w:themeTint="F2"/>
              </w:rPr>
              <w:t xml:space="preserve">may </w:t>
            </w:r>
            <w:r w:rsidR="007929B0" w:rsidRPr="00181B1F">
              <w:rPr>
                <w:color w:val="0D0D0D" w:themeColor="text1" w:themeTint="F2"/>
              </w:rPr>
              <w:t>have a larger impact if a shorter time horizon is assumed.</w:t>
            </w:r>
          </w:p>
        </w:tc>
      </w:tr>
    </w:tbl>
    <w:p w14:paraId="17BF865C" w14:textId="4A8D4019" w:rsidR="004D1A12" w:rsidRPr="003E7195" w:rsidRDefault="004D1A12" w:rsidP="004D1A12">
      <w:pPr>
        <w:pStyle w:val="TableFooter"/>
        <w:rPr>
          <w:color w:val="0D0D0D" w:themeColor="text1" w:themeTint="F2"/>
        </w:rPr>
      </w:pPr>
      <w:r w:rsidRPr="003E7195">
        <w:rPr>
          <w:color w:val="0D0D0D" w:themeColor="text1" w:themeTint="F2"/>
        </w:rPr>
        <w:t>Source: Table 3-1, of the submission and the “3.1_Ivosidenib cost-effectiveness model” workbook provided in the submission.</w:t>
      </w:r>
    </w:p>
    <w:p w14:paraId="29923158" w14:textId="77777777" w:rsidR="004D1A12" w:rsidRPr="003E7195" w:rsidRDefault="004D1A12" w:rsidP="004D1A12">
      <w:pPr>
        <w:pStyle w:val="TableFooter"/>
        <w:rPr>
          <w:color w:val="0D0D0D" w:themeColor="text1" w:themeTint="F2"/>
        </w:rPr>
      </w:pPr>
      <w:r w:rsidRPr="003E7195">
        <w:rPr>
          <w:color w:val="0D0D0D" w:themeColor="text1" w:themeTint="F2"/>
        </w:rPr>
        <w:t xml:space="preserve">AEs = adverse events; AIC = Akaike information criteria; BIC = Bayesian information criteria; BSC = best supportive care; CCA = cholangiocarcinoma; </w:t>
      </w:r>
      <w:r w:rsidRPr="003E7195">
        <w:rPr>
          <w:i/>
          <w:iCs/>
          <w:color w:val="0D0D0D" w:themeColor="text1" w:themeTint="F2"/>
        </w:rPr>
        <w:t>IDH1</w:t>
      </w:r>
      <w:r w:rsidRPr="003E7195">
        <w:rPr>
          <w:color w:val="0D0D0D" w:themeColor="text1" w:themeTint="F2"/>
        </w:rPr>
        <w:t xml:space="preserve"> = isocitrate dehydrogenase 1; KM = Kaplan-Meier; LYs = life-years; OS = overall survival; PD = progressed disease; PFS = progression-free</w:t>
      </w:r>
    </w:p>
    <w:p w14:paraId="687BC01A" w14:textId="24568472" w:rsidR="004D1A12" w:rsidRPr="00181B1F" w:rsidRDefault="004D1A12" w:rsidP="007E0187">
      <w:pPr>
        <w:pStyle w:val="ListParagraph"/>
      </w:pPr>
      <w:r w:rsidRPr="003E7195">
        <w:t>The submission employed a partitioned survival model and modelled three health states: progression-free (PF), progressed disease (P</w:t>
      </w:r>
      <w:r w:rsidR="00FC0C40">
        <w:t>D</w:t>
      </w:r>
      <w:r w:rsidRPr="003E7195">
        <w:t xml:space="preserve">) and death. Allocation to the three health states was based on the OS and PFS curves for the ivosidenib and placebo arms of the ClarIDHy trial. Patients entered the model at the point of testing in the PF health state. </w:t>
      </w:r>
      <w:r w:rsidRPr="00181B1F">
        <w:t xml:space="preserve">The submission presented results of the </w:t>
      </w:r>
      <w:r w:rsidR="00DB474A">
        <w:t>economic evaluation</w:t>
      </w:r>
      <w:r w:rsidRPr="00181B1F">
        <w:t xml:space="preserve"> for the testing population. As a result, the costs and benefits associated with ivosidenib treatment were diluted due to the presence of </w:t>
      </w:r>
      <w:proofErr w:type="gramStart"/>
      <w:r w:rsidRPr="00181B1F">
        <w:t>a large number of</w:t>
      </w:r>
      <w:proofErr w:type="gramEnd"/>
      <w:r w:rsidRPr="00181B1F">
        <w:t xml:space="preserve"> biomarker negative patients in the model. For ease of interpretation, the submission’s co-dependent economic model has been simplified to a trial (treated) population</w:t>
      </w:r>
      <w:r w:rsidR="00695C80">
        <w:t>,</w:t>
      </w:r>
      <w:r w:rsidRPr="00181B1F">
        <w:t xml:space="preserve"> (as false positives and false positives were assumed to be zero in the model with no downstream </w:t>
      </w:r>
      <w:r w:rsidRPr="00181B1F">
        <w:lastRenderedPageBreak/>
        <w:t xml:space="preserve">effects), which does not include </w:t>
      </w:r>
      <w:r w:rsidRPr="00934A69">
        <w:rPr>
          <w:i/>
          <w:iCs/>
        </w:rPr>
        <w:t>IDH1</w:t>
      </w:r>
      <w:r w:rsidRPr="00181B1F">
        <w:t xml:space="preserve"> negative patients, but considers the incremental testing costs between the current and proposed scenarios per trial/treated patient. Of note, the incremental cost-effectiveness ratio (ICER) from this simplified model was the same as that from the submission’s co-dependent model. </w:t>
      </w:r>
    </w:p>
    <w:p w14:paraId="6E859C0E" w14:textId="5451D060" w:rsidR="004D1A12" w:rsidRPr="003E7195" w:rsidRDefault="004D1A12" w:rsidP="007E0187">
      <w:pPr>
        <w:pStyle w:val="ListParagraph"/>
      </w:pPr>
      <w:bookmarkStart w:id="49" w:name="_Ref169513087"/>
      <w:r w:rsidRPr="003E7195">
        <w:t xml:space="preserve">The submission nominated a time horizon of 10 years based on the median follow-up duration for OS of 20.5-24.4 months in the clinical trial. </w:t>
      </w:r>
      <w:r w:rsidRPr="00181B1F">
        <w:t>The ESC has previously advised that a time horizon of 7.5 years was appropriate for first-line treatment of advanced biliary tract cancer (Durvalumab public summary document [PSD], July 2023 PBAC meeting) and hepatocellular carcinoma (Atezolizumab and bevacizumab PSD, July</w:t>
      </w:r>
      <w:r w:rsidR="00B15EA6">
        <w:t> </w:t>
      </w:r>
      <w:r w:rsidRPr="00181B1F">
        <w:t xml:space="preserve">2020 PBAC meeting). Given the patients in the proposed targeted population </w:t>
      </w:r>
      <w:r w:rsidR="00FF74DE" w:rsidRPr="00181B1F">
        <w:t>hav</w:t>
      </w:r>
      <w:r w:rsidR="00FF74DE">
        <w:t>e</w:t>
      </w:r>
      <w:r w:rsidR="00FF74DE" w:rsidRPr="00181B1F">
        <w:t xml:space="preserve"> </w:t>
      </w:r>
      <w:r w:rsidRPr="00181B1F">
        <w:t xml:space="preserve">more advanced disease and </w:t>
      </w:r>
      <w:r w:rsidR="003C15DB">
        <w:t>that there are</w:t>
      </w:r>
      <w:r w:rsidRPr="00181B1F">
        <w:t xml:space="preserve"> uncertainties regarding OS extrapolation, a shorter time horizon may be more appropriate</w:t>
      </w:r>
      <w:r w:rsidRPr="00C30625">
        <w:t xml:space="preserve">. </w:t>
      </w:r>
      <w:r w:rsidR="00CB28DB" w:rsidRPr="00C30625">
        <w:t xml:space="preserve">The ESCs considered a 5-year time horizon was appropriate as </w:t>
      </w:r>
      <w:r w:rsidR="00D333FF">
        <w:t>CCA</w:t>
      </w:r>
      <w:r w:rsidR="00D333FF" w:rsidRPr="00C30625">
        <w:t xml:space="preserve"> </w:t>
      </w:r>
      <w:r w:rsidR="00CB28DB" w:rsidRPr="00C30625">
        <w:t>has a poor prognosis, with very few second-line patients expected to survive to 5 years, with or without ivosidenib treatment.</w:t>
      </w:r>
      <w:bookmarkEnd w:id="49"/>
      <w:r w:rsidR="001C5869">
        <w:t xml:space="preserve"> </w:t>
      </w:r>
      <w:r w:rsidR="002E34A8">
        <w:t>The pre-PBAC argued that a time horizon of 10 years</w:t>
      </w:r>
      <w:r w:rsidR="00D333FF">
        <w:t xml:space="preserve"> is reasonable</w:t>
      </w:r>
      <w:r w:rsidR="002E34A8">
        <w:t xml:space="preserve"> </w:t>
      </w:r>
      <w:r w:rsidR="00D333FF">
        <w:t>for ivosidenib because</w:t>
      </w:r>
      <w:r w:rsidR="002E34A8">
        <w:t xml:space="preserve">, as a targeted treatment, </w:t>
      </w:r>
      <w:r w:rsidR="00D333FF">
        <w:t xml:space="preserve">the </w:t>
      </w:r>
      <w:r w:rsidR="00D7489E">
        <w:t>OS</w:t>
      </w:r>
      <w:r w:rsidR="002E34A8">
        <w:t xml:space="preserve"> benefit </w:t>
      </w:r>
      <w:r w:rsidR="00D333FF">
        <w:t xml:space="preserve">for ivosidenib </w:t>
      </w:r>
      <w:r w:rsidR="002E34A8">
        <w:t xml:space="preserve">would be greater than </w:t>
      </w:r>
      <w:r w:rsidR="00D333FF">
        <w:t xml:space="preserve">the previously considered non-targeted therapies. However, the pre-PBAC accepted use of a 7.5 year time horizon in the pre-PBAC response respecified base case. </w:t>
      </w:r>
      <w:r w:rsidR="001C5869">
        <w:t xml:space="preserve">The PBAC </w:t>
      </w:r>
      <w:r w:rsidR="00D23B6A">
        <w:t>noted that</w:t>
      </w:r>
      <w:r w:rsidR="00D333FF">
        <w:t>,</w:t>
      </w:r>
      <w:r w:rsidR="00D23B6A">
        <w:t xml:space="preserve"> </w:t>
      </w:r>
      <w:r w:rsidR="00D333FF">
        <w:t xml:space="preserve">in ClarIDHy, </w:t>
      </w:r>
      <w:r w:rsidR="00D23B6A">
        <w:t>78% of patients in the ivosidenib arm had progressed at 12</w:t>
      </w:r>
      <w:r w:rsidR="00B15EA6">
        <w:t> </w:t>
      </w:r>
      <w:r w:rsidR="00D23B6A">
        <w:t xml:space="preserve">months and </w:t>
      </w:r>
      <w:r w:rsidR="001C5869">
        <w:t xml:space="preserve">considered </w:t>
      </w:r>
      <w:r w:rsidR="00D333FF">
        <w:t xml:space="preserve">that </w:t>
      </w:r>
      <w:r w:rsidR="001C5869">
        <w:t xml:space="preserve">a 5 year time horizon </w:t>
      </w:r>
      <w:r w:rsidR="00934A69">
        <w:t>is likely to</w:t>
      </w:r>
      <w:r w:rsidR="001C5869">
        <w:t xml:space="preserve"> capture the benefit of ivosidenib treatment. </w:t>
      </w:r>
    </w:p>
    <w:p w14:paraId="16C0B388" w14:textId="754C0AAA" w:rsidR="004D1A12" w:rsidRPr="00181B1F" w:rsidRDefault="004D1A12" w:rsidP="007E0187">
      <w:pPr>
        <w:pStyle w:val="ListParagraph"/>
      </w:pPr>
      <w:r w:rsidRPr="003E7195">
        <w:t>Health state membership was determined based on the PFS and OS curves from the ClarIDHy trial data.</w:t>
      </w:r>
      <w:r w:rsidRPr="003E7195">
        <w:rPr>
          <w:i/>
          <w:iCs/>
        </w:rPr>
        <w:t xml:space="preserve"> </w:t>
      </w:r>
      <w:r w:rsidRPr="003E7195">
        <w:t xml:space="preserve">Due to </w:t>
      </w:r>
      <w:r w:rsidR="00404A63">
        <w:t xml:space="preserve">the </w:t>
      </w:r>
      <w:r w:rsidRPr="003E7195">
        <w:t xml:space="preserve">high crossover rate (70.5%) from placebo to open-label ivosidenib treatment in the trial, OS data for BSC as used in the economic model were adjusted for treatment switching using the RPSFT method. </w:t>
      </w:r>
      <w:r w:rsidRPr="00181B1F">
        <w:t xml:space="preserve">As </w:t>
      </w:r>
      <w:r w:rsidR="00C4753F">
        <w:t xml:space="preserve">per paragraph </w:t>
      </w:r>
      <w:r w:rsidR="005702A9">
        <w:fldChar w:fldCharType="begin" w:fldLock="1"/>
      </w:r>
      <w:r w:rsidR="005702A9">
        <w:instrText xml:space="preserve"> REF _Ref169260576 \r \h </w:instrText>
      </w:r>
      <w:r w:rsidR="005702A9">
        <w:fldChar w:fldCharType="separate"/>
      </w:r>
      <w:r w:rsidR="00CB6594">
        <w:t>6.21</w:t>
      </w:r>
      <w:r w:rsidR="005702A9">
        <w:fldChar w:fldCharType="end"/>
      </w:r>
      <w:r w:rsidRPr="00181B1F">
        <w:t xml:space="preserve">, the common treatment effect assumption underlying the RPSFT model </w:t>
      </w:r>
      <w:r w:rsidR="00404A63">
        <w:t>is uncertain</w:t>
      </w:r>
      <w:r w:rsidRPr="00181B1F">
        <w:t xml:space="preserve">. Given </w:t>
      </w:r>
      <w:r w:rsidR="00404A63">
        <w:t xml:space="preserve">the </w:t>
      </w:r>
      <w:r w:rsidRPr="00181B1F">
        <w:t xml:space="preserve">limitations regarding the RPSFT method and other methods of adjustment for treatment switching, the health outcomes relating to the comparator BSC arm and, thus, the incremental survival from ivosidenib versus BSC cannot be reliably modelled. The modelled OS curves for the BSC arm, using different treatment adjustment methods are presented in </w:t>
      </w:r>
      <w:r w:rsidR="00D13583">
        <w:fldChar w:fldCharType="begin" w:fldLock="1"/>
      </w:r>
      <w:r w:rsidR="00D13583">
        <w:instrText xml:space="preserve"> REF _Ref173489525 \h </w:instrText>
      </w:r>
      <w:r w:rsidR="00D13583">
        <w:fldChar w:fldCharType="separate"/>
      </w:r>
      <w:r w:rsidR="00CB6594">
        <w:t xml:space="preserve">Figure </w:t>
      </w:r>
      <w:r w:rsidR="00CB6594">
        <w:rPr>
          <w:noProof/>
        </w:rPr>
        <w:t>3</w:t>
      </w:r>
      <w:r w:rsidR="00D13583">
        <w:fldChar w:fldCharType="end"/>
      </w:r>
      <w:r w:rsidRPr="00181B1F">
        <w:t xml:space="preserve">. </w:t>
      </w:r>
      <w:r w:rsidR="00C858D2" w:rsidRPr="00C30625">
        <w:t xml:space="preserve">The PSCR argued that the use of </w:t>
      </w:r>
      <w:r w:rsidR="007D41A2" w:rsidRPr="00C30625">
        <w:t xml:space="preserve">adjusted OS analysis in the economic model was reasonable as use of the unadjusted results would </w:t>
      </w:r>
      <w:r w:rsidR="002C4524" w:rsidRPr="00C30625">
        <w:t>have significantly biased the cost-effectiveness analyses against ivosidenib.</w:t>
      </w:r>
      <w:r w:rsidR="00C858D2" w:rsidRPr="00C30625">
        <w:t xml:space="preserve"> </w:t>
      </w:r>
      <w:r w:rsidR="00D70EC0" w:rsidRPr="00C30625">
        <w:t xml:space="preserve">The </w:t>
      </w:r>
      <w:r w:rsidR="004738A4" w:rsidRPr="00C30625">
        <w:t>ESCs</w:t>
      </w:r>
      <w:r w:rsidR="00D70EC0" w:rsidRPr="00C30625">
        <w:t xml:space="preserve"> considered that the RPSFT method was reasonable in this context</w:t>
      </w:r>
      <w:r w:rsidR="002F7BB3" w:rsidRPr="00C30625">
        <w:t xml:space="preserve"> and</w:t>
      </w:r>
      <w:r w:rsidR="00D70EC0" w:rsidRPr="00C30625">
        <w:t xml:space="preserve"> noted that modelled OS curves using variations on the RPSFT method were reasonably consistent</w:t>
      </w:r>
      <w:r w:rsidR="002F7BB3" w:rsidRPr="00C30625">
        <w:t>.</w:t>
      </w:r>
    </w:p>
    <w:p w14:paraId="64DB8B82" w14:textId="7E8BCF15" w:rsidR="00B453B0" w:rsidRPr="00B453B0" w:rsidRDefault="00B453B0" w:rsidP="00013016">
      <w:pPr>
        <w:pStyle w:val="Caption"/>
      </w:pPr>
      <w:bookmarkStart w:id="50" w:name="_Ref173489525"/>
      <w:r>
        <w:lastRenderedPageBreak/>
        <w:t xml:space="preserve">Figure </w:t>
      </w:r>
      <w:r w:rsidR="00841FC2">
        <w:fldChar w:fldCharType="begin" w:fldLock="1"/>
      </w:r>
      <w:r w:rsidR="00841FC2">
        <w:instrText xml:space="preserve"> SEQ Figure \* ARABIC </w:instrText>
      </w:r>
      <w:r w:rsidR="00841FC2">
        <w:fldChar w:fldCharType="separate"/>
      </w:r>
      <w:r w:rsidR="00CB6594">
        <w:rPr>
          <w:noProof/>
        </w:rPr>
        <w:t>3</w:t>
      </w:r>
      <w:r w:rsidR="00841FC2">
        <w:rPr>
          <w:noProof/>
        </w:rPr>
        <w:fldChar w:fldCharType="end"/>
      </w:r>
      <w:bookmarkEnd w:id="50"/>
      <w:r w:rsidR="00B15EA6">
        <w:rPr>
          <w:noProof/>
        </w:rPr>
        <w:t xml:space="preserve">: </w:t>
      </w:r>
      <w:r w:rsidRPr="003E7195">
        <w:t>Modelled OS curves using different adjusting methods for treatment switching (BSC)</w:t>
      </w:r>
    </w:p>
    <w:p w14:paraId="11E2CDA2" w14:textId="77777777" w:rsidR="004D1A12" w:rsidRPr="003E7195" w:rsidRDefault="004D1A12" w:rsidP="00B15EA6">
      <w:pPr>
        <w:spacing w:before="0" w:after="0"/>
      </w:pPr>
      <w:r w:rsidRPr="003E7195">
        <w:rPr>
          <w:noProof/>
        </w:rPr>
        <w:drawing>
          <wp:inline distT="0" distB="0" distL="0" distR="0" wp14:anchorId="1786D405" wp14:editId="45CAC346">
            <wp:extent cx="4971059" cy="3230911"/>
            <wp:effectExtent l="0" t="0" r="1270" b="7620"/>
            <wp:docPr id="2125719328" name="Picture 2125719328" descr="Figure 3: Modelled OS curves using different adjusting methods for treatment switching (B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19328" name="Picture 2125719328" descr="Figure 3: Modelled OS curves using different adjusting methods for treatment switching (BSC)"/>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1059" cy="3230911"/>
                    </a:xfrm>
                    <a:prstGeom prst="rect">
                      <a:avLst/>
                    </a:prstGeom>
                  </pic:spPr>
                </pic:pic>
              </a:graphicData>
            </a:graphic>
          </wp:inline>
        </w:drawing>
      </w:r>
    </w:p>
    <w:p w14:paraId="44F779EC" w14:textId="4C4F436E" w:rsidR="004D1A12" w:rsidRPr="003E7195" w:rsidRDefault="004D1A12" w:rsidP="004D1A12">
      <w:pPr>
        <w:pStyle w:val="TableFigureFooter"/>
        <w:rPr>
          <w:color w:val="0D0D0D" w:themeColor="text1" w:themeTint="F2"/>
        </w:rPr>
      </w:pPr>
      <w:r w:rsidRPr="003E7195">
        <w:rPr>
          <w:color w:val="0D0D0D" w:themeColor="text1" w:themeTint="F2"/>
        </w:rPr>
        <w:t xml:space="preserve">Source: constructed during the </w:t>
      </w:r>
      <w:r w:rsidR="00DC5CF3">
        <w:rPr>
          <w:color w:val="0D0D0D" w:themeColor="text1" w:themeTint="F2"/>
        </w:rPr>
        <w:t>commentary</w:t>
      </w:r>
      <w:r w:rsidRPr="003E7195">
        <w:rPr>
          <w:color w:val="0D0D0D" w:themeColor="text1" w:themeTint="F2"/>
        </w:rPr>
        <w:t xml:space="preserve"> from the “3.1_Ivosidenib cost-effectiveness model” Workbook provided in the submission.</w:t>
      </w:r>
      <w:r w:rsidR="002B2E4E">
        <w:rPr>
          <w:color w:val="0D0D0D" w:themeColor="text1" w:themeTint="F2"/>
        </w:rPr>
        <w:t xml:space="preserve"> </w:t>
      </w:r>
    </w:p>
    <w:p w14:paraId="650D23CE" w14:textId="77777777" w:rsidR="004D1A12" w:rsidRDefault="004D1A12" w:rsidP="004D1A12">
      <w:pPr>
        <w:pStyle w:val="TableFigureFooter"/>
        <w:rPr>
          <w:color w:val="0D0D0D" w:themeColor="text1" w:themeTint="F2"/>
        </w:rPr>
      </w:pPr>
      <w:r w:rsidRPr="003E7195">
        <w:rPr>
          <w:color w:val="0D0D0D" w:themeColor="text1" w:themeTint="F2"/>
        </w:rPr>
        <w:t>BSC = best supportive care; OS = overall survival</w:t>
      </w:r>
    </w:p>
    <w:p w14:paraId="173F7F04" w14:textId="4F121D88" w:rsidR="00705B4D" w:rsidRPr="00C30625" w:rsidRDefault="00705B4D" w:rsidP="004D1A12">
      <w:pPr>
        <w:pStyle w:val="TableFigureFooter"/>
        <w:rPr>
          <w:color w:val="0D0D0D" w:themeColor="text1" w:themeTint="F2"/>
        </w:rPr>
      </w:pPr>
      <w:r w:rsidRPr="00C30625">
        <w:rPr>
          <w:color w:val="0D0D0D" w:themeColor="text1" w:themeTint="F2"/>
        </w:rPr>
        <w:t xml:space="preserve">Note: </w:t>
      </w:r>
      <w:r w:rsidR="00135D65" w:rsidRPr="00C30625">
        <w:rPr>
          <w:color w:val="0D0D0D" w:themeColor="text1" w:themeTint="F2"/>
        </w:rPr>
        <w:t>T</w:t>
      </w:r>
      <w:r w:rsidRPr="00C30625">
        <w:rPr>
          <w:rFonts w:eastAsia="Calibri"/>
          <w:color w:val="0D0D0D" w:themeColor="text1" w:themeTint="F2"/>
          <w:szCs w:val="20"/>
        </w:rPr>
        <w:t>he base case (R</w:t>
      </w:r>
      <w:r w:rsidR="005C741A" w:rsidRPr="00C30625">
        <w:rPr>
          <w:rFonts w:eastAsia="Calibri"/>
          <w:color w:val="0D0D0D" w:themeColor="text1" w:themeTint="F2"/>
          <w:szCs w:val="20"/>
        </w:rPr>
        <w:t>PSFT</w:t>
      </w:r>
      <w:r w:rsidR="006F6150" w:rsidRPr="00C30625">
        <w:rPr>
          <w:rFonts w:eastAsia="Calibri"/>
          <w:color w:val="0D0D0D" w:themeColor="text1" w:themeTint="F2"/>
          <w:szCs w:val="20"/>
        </w:rPr>
        <w:t xml:space="preserve"> – adjusted OS</w:t>
      </w:r>
      <w:r w:rsidR="00FF75D2" w:rsidRPr="00C30625">
        <w:rPr>
          <w:rFonts w:eastAsia="Calibri"/>
          <w:color w:val="0D0D0D" w:themeColor="text1" w:themeTint="F2"/>
          <w:szCs w:val="20"/>
        </w:rPr>
        <w:t xml:space="preserve">) </w:t>
      </w:r>
      <w:r w:rsidRPr="00C30625">
        <w:rPr>
          <w:rFonts w:eastAsia="Calibri"/>
          <w:color w:val="0D0D0D" w:themeColor="text1" w:themeTint="F2"/>
          <w:szCs w:val="20"/>
        </w:rPr>
        <w:t>uses the trial-based survival curves for both treatment arms (with extrapolations)</w:t>
      </w:r>
      <w:r w:rsidR="00FF75D2" w:rsidRPr="00C30625">
        <w:rPr>
          <w:rFonts w:eastAsia="Calibri"/>
          <w:color w:val="0D0D0D" w:themeColor="text1" w:themeTint="F2"/>
          <w:szCs w:val="20"/>
        </w:rPr>
        <w:t xml:space="preserve">. However </w:t>
      </w:r>
      <w:r w:rsidRPr="00C30625">
        <w:rPr>
          <w:rFonts w:eastAsia="Calibri"/>
          <w:color w:val="0D0D0D" w:themeColor="text1" w:themeTint="F2"/>
          <w:szCs w:val="20"/>
        </w:rPr>
        <w:t xml:space="preserve"> </w:t>
      </w:r>
      <w:r w:rsidR="00E62185" w:rsidRPr="00C30625">
        <w:rPr>
          <w:rFonts w:eastAsia="Calibri"/>
          <w:color w:val="0D0D0D" w:themeColor="text1" w:themeTint="F2"/>
          <w:szCs w:val="20"/>
        </w:rPr>
        <w:t>a</w:t>
      </w:r>
      <w:r w:rsidR="008E19DE" w:rsidRPr="00C30625">
        <w:rPr>
          <w:rFonts w:eastAsia="Calibri"/>
          <w:color w:val="0D0D0D" w:themeColor="text1" w:themeTint="F2"/>
          <w:szCs w:val="20"/>
        </w:rPr>
        <w:t>lternative analyses for treatment switching</w:t>
      </w:r>
      <w:r w:rsidRPr="00C30625">
        <w:rPr>
          <w:rFonts w:eastAsia="Calibri"/>
          <w:color w:val="0D0D0D" w:themeColor="text1" w:themeTint="F2"/>
          <w:szCs w:val="20"/>
        </w:rPr>
        <w:t xml:space="preserve"> </w:t>
      </w:r>
      <w:r w:rsidR="008E19DE" w:rsidRPr="00C30625">
        <w:rPr>
          <w:rFonts w:eastAsia="Calibri"/>
          <w:color w:val="0D0D0D" w:themeColor="text1" w:themeTint="F2"/>
          <w:szCs w:val="20"/>
        </w:rPr>
        <w:t>approach</w:t>
      </w:r>
      <w:r w:rsidR="00E62185" w:rsidRPr="00C30625">
        <w:rPr>
          <w:rFonts w:eastAsia="Calibri"/>
          <w:color w:val="0D0D0D" w:themeColor="text1" w:themeTint="F2"/>
          <w:szCs w:val="20"/>
        </w:rPr>
        <w:t>es</w:t>
      </w:r>
      <w:r w:rsidR="008E19DE" w:rsidRPr="00C30625">
        <w:rPr>
          <w:rFonts w:eastAsia="Calibri"/>
          <w:color w:val="0D0D0D" w:themeColor="text1" w:themeTint="F2"/>
          <w:szCs w:val="20"/>
        </w:rPr>
        <w:t xml:space="preserve"> </w:t>
      </w:r>
      <w:r w:rsidRPr="00C30625">
        <w:rPr>
          <w:rFonts w:eastAsia="Calibri"/>
          <w:snapToGrid/>
          <w:color w:val="0D0D0D" w:themeColor="text1" w:themeTint="F2"/>
          <w:szCs w:val="20"/>
        </w:rPr>
        <w:t xml:space="preserve">estimate the survival for the comparator by applying </w:t>
      </w:r>
      <w:r w:rsidRPr="00C30625">
        <w:rPr>
          <w:rFonts w:eastAsia="Calibri"/>
          <w:color w:val="0D0D0D" w:themeColor="text1" w:themeTint="F2"/>
          <w:szCs w:val="20"/>
        </w:rPr>
        <w:t xml:space="preserve">a </w:t>
      </w:r>
      <w:r w:rsidRPr="00C30625">
        <w:rPr>
          <w:rFonts w:eastAsia="Calibri"/>
          <w:snapToGrid/>
          <w:color w:val="0D0D0D" w:themeColor="text1" w:themeTint="F2"/>
          <w:szCs w:val="20"/>
        </w:rPr>
        <w:t>HR</w:t>
      </w:r>
      <w:r w:rsidRPr="00C30625">
        <w:rPr>
          <w:rFonts w:eastAsia="Calibri"/>
          <w:color w:val="0D0D0D" w:themeColor="text1" w:themeTint="F2"/>
          <w:szCs w:val="20"/>
        </w:rPr>
        <w:t xml:space="preserve"> to the survival curve for ivosidenib (assuming proportional hazards).</w:t>
      </w:r>
      <w:r w:rsidR="000C4D49" w:rsidRPr="00C30625">
        <w:rPr>
          <w:rFonts w:eastAsia="Calibri"/>
          <w:color w:val="0D0D0D" w:themeColor="text1" w:themeTint="F2"/>
          <w:szCs w:val="20"/>
        </w:rPr>
        <w:t xml:space="preserve"> This results in a less favourable </w:t>
      </w:r>
      <w:r w:rsidR="000B229E" w:rsidRPr="00C30625">
        <w:rPr>
          <w:rFonts w:eastAsia="Calibri"/>
          <w:color w:val="0D0D0D" w:themeColor="text1" w:themeTint="F2"/>
          <w:szCs w:val="20"/>
        </w:rPr>
        <w:t>OS curve for BSC</w:t>
      </w:r>
      <w:r w:rsidR="00E62185" w:rsidRPr="00C30625">
        <w:rPr>
          <w:rFonts w:eastAsia="Calibri"/>
          <w:color w:val="0D0D0D" w:themeColor="text1" w:themeTint="F2"/>
          <w:szCs w:val="20"/>
        </w:rPr>
        <w:t>, even where the HR is the same as for the base case</w:t>
      </w:r>
      <w:r w:rsidR="00A53686" w:rsidRPr="00C30625">
        <w:rPr>
          <w:rFonts w:eastAsia="Calibri"/>
          <w:color w:val="0D0D0D" w:themeColor="text1" w:themeTint="F2"/>
          <w:szCs w:val="20"/>
        </w:rPr>
        <w:t xml:space="preserve"> </w:t>
      </w:r>
      <w:r w:rsidR="00D662B5" w:rsidRPr="00C30625">
        <w:rPr>
          <w:rFonts w:eastAsia="Calibri"/>
          <w:color w:val="0D0D0D" w:themeColor="text1" w:themeTint="F2"/>
          <w:szCs w:val="20"/>
        </w:rPr>
        <w:t>(</w:t>
      </w:r>
      <w:r w:rsidR="001640D9" w:rsidRPr="00C30625">
        <w:rPr>
          <w:rFonts w:eastAsia="Calibri"/>
          <w:color w:val="0D0D0D" w:themeColor="text1" w:themeTint="F2"/>
          <w:szCs w:val="20"/>
        </w:rPr>
        <w:t xml:space="preserve">RPSFT on treatment + re-censoring) and </w:t>
      </w:r>
      <w:r w:rsidR="007D6F71" w:rsidRPr="00C30625">
        <w:rPr>
          <w:rFonts w:eastAsia="Calibri"/>
          <w:color w:val="0D0D0D" w:themeColor="text1" w:themeTint="F2"/>
          <w:szCs w:val="20"/>
        </w:rPr>
        <w:t xml:space="preserve">where the HR </w:t>
      </w:r>
      <w:r w:rsidR="00C70EC5" w:rsidRPr="00C30625">
        <w:rPr>
          <w:rFonts w:eastAsia="Calibri"/>
          <w:color w:val="0D0D0D" w:themeColor="text1" w:themeTint="F2"/>
          <w:szCs w:val="20"/>
        </w:rPr>
        <w:t>for IVO vs BSC is higher (</w:t>
      </w:r>
      <w:r w:rsidR="00C56E1F" w:rsidRPr="00C30625">
        <w:rPr>
          <w:rFonts w:eastAsia="Calibri"/>
          <w:color w:val="0D0D0D" w:themeColor="text1" w:themeTint="F2"/>
          <w:szCs w:val="20"/>
        </w:rPr>
        <w:t xml:space="preserve">treatment group + no re-censoring). </w:t>
      </w:r>
    </w:p>
    <w:p w14:paraId="37277700" w14:textId="5B074B01" w:rsidR="00B1731B" w:rsidRDefault="004D1A12" w:rsidP="007E0187">
      <w:pPr>
        <w:pStyle w:val="ListParagraph"/>
      </w:pPr>
      <w:r w:rsidRPr="003E7195">
        <w:t xml:space="preserve">As the clinical evidence was incomplete, extrapolation of the PFS and OS curves over the modelled time horizon was necessary. </w:t>
      </w:r>
      <w:r w:rsidR="007929B0" w:rsidRPr="0057143B">
        <w:t xml:space="preserve">The </w:t>
      </w:r>
      <w:r w:rsidR="007929B0">
        <w:t xml:space="preserve">extrapolation </w:t>
      </w:r>
      <w:r w:rsidR="007929B0" w:rsidRPr="0057143B">
        <w:t xml:space="preserve">time point </w:t>
      </w:r>
      <w:r w:rsidR="007929B0">
        <w:t>was selected based on the median OS (10.3 months for ivosidenib and 5.1 months for BSC) and median PFS (2.7 months for ivosidenib and 1.4 months for BSC)</w:t>
      </w:r>
      <w:r w:rsidR="007929B0" w:rsidRPr="0057143B">
        <w:t>.</w:t>
      </w:r>
      <w:r w:rsidR="007929B0">
        <w:rPr>
          <w:i/>
          <w:iCs/>
        </w:rPr>
        <w:t xml:space="preserve"> </w:t>
      </w:r>
      <w:r w:rsidR="007929B0" w:rsidRPr="00181B1F">
        <w:t>The PBAC guidelines recommend that trial-based data should be utilised until the data becomes unreliable due to a small number of patients remaining event free. In line with this, more observed data could have been used as there was still a reasonable number of patients remaining at risk in later time points. The impact of using different time points for truncation of KM data has been explored in sensitiv</w:t>
      </w:r>
      <w:r w:rsidR="007929B0" w:rsidRPr="00C30625">
        <w:t xml:space="preserve">ity analyses. </w:t>
      </w:r>
      <w:r w:rsidR="00AE0F01" w:rsidRPr="00C30625">
        <w:t xml:space="preserve">The ESCs agreed with the commentary that more </w:t>
      </w:r>
      <w:r w:rsidR="00165C9C" w:rsidRPr="00C30625">
        <w:t xml:space="preserve">observed </w:t>
      </w:r>
      <w:r w:rsidR="00AE0F01" w:rsidRPr="00C30625">
        <w:t xml:space="preserve">data </w:t>
      </w:r>
      <w:r w:rsidR="00165C9C" w:rsidRPr="00C30625">
        <w:t>could have been used</w:t>
      </w:r>
      <w:r w:rsidR="004F67F3" w:rsidRPr="00C30625">
        <w:t xml:space="preserve">, but considered that the impact on the ICER was </w:t>
      </w:r>
      <w:r w:rsidR="007F050D" w:rsidRPr="00C30625">
        <w:t>small.</w:t>
      </w:r>
    </w:p>
    <w:p w14:paraId="44238435" w14:textId="3E039F20" w:rsidR="004D1A12" w:rsidRPr="00C30625" w:rsidRDefault="004D1A12" w:rsidP="00EA008F">
      <w:pPr>
        <w:pStyle w:val="ListParagraph"/>
      </w:pPr>
      <w:bookmarkStart w:id="51" w:name="_Ref169513179"/>
      <w:r w:rsidRPr="00181B1F">
        <w:t>Parametric functions were selected based on goodness of fit to the trial data (log-normal for OS in both treatment arms; generalised gamma and log-logistic for ivosidenib PFS and BSC PFS, respectively).</w:t>
      </w:r>
      <w:r w:rsidRPr="00181B1F" w:rsidDel="0080193B">
        <w:t xml:space="preserve"> </w:t>
      </w:r>
      <w:r w:rsidRPr="00181B1F">
        <w:t xml:space="preserve">For the ivosidenib arm, additional parametric models (such as log-logistic and exponential) also provided a good visual fit to the trial data, with goodness of fit statistics, Akaike information criteria (AIC) and the Bayesian information criteria (BIC), </w:t>
      </w:r>
      <w:proofErr w:type="gramStart"/>
      <w:r w:rsidRPr="00181B1F">
        <w:t>similar to</w:t>
      </w:r>
      <w:proofErr w:type="gramEnd"/>
      <w:r w:rsidRPr="00181B1F">
        <w:t xml:space="preserve"> the log-normal distribution. While the log-logistic model had a minimal impact on the ICER, the use of the exponential distribution increased the ICER by 51%. </w:t>
      </w:r>
      <w:r w:rsidR="00D3319B" w:rsidRPr="00C30625">
        <w:t>T</w:t>
      </w:r>
      <w:r w:rsidR="00AB38E3" w:rsidRPr="00C30625">
        <w:t>h</w:t>
      </w:r>
      <w:r w:rsidR="00D3319B" w:rsidRPr="00C30625">
        <w:t xml:space="preserve">e </w:t>
      </w:r>
      <w:r w:rsidR="00E9628F" w:rsidRPr="00C30625">
        <w:t xml:space="preserve">PSCR </w:t>
      </w:r>
      <w:r w:rsidR="00D3319B" w:rsidRPr="00C30625">
        <w:t xml:space="preserve">noted that </w:t>
      </w:r>
      <w:r w:rsidR="00B6302D" w:rsidRPr="00C30625">
        <w:t xml:space="preserve">in the NICE </w:t>
      </w:r>
      <w:r w:rsidR="00DC5CF3">
        <w:t>commentary</w:t>
      </w:r>
      <w:r w:rsidR="00B6302D" w:rsidRPr="00C30625">
        <w:t xml:space="preserve"> o</w:t>
      </w:r>
      <w:r w:rsidR="00E62BEB" w:rsidRPr="00C30625">
        <w:t>f ivosidenib</w:t>
      </w:r>
      <w:r w:rsidR="00327F75" w:rsidRPr="00C30625">
        <w:t>, the committee consid</w:t>
      </w:r>
      <w:r w:rsidR="0034384C" w:rsidRPr="00C30625">
        <w:t xml:space="preserve">ered both the log-normal and generalised-gamma </w:t>
      </w:r>
      <w:r w:rsidR="0034384C" w:rsidRPr="00C30625">
        <w:lastRenderedPageBreak/>
        <w:t>curves were plausible</w:t>
      </w:r>
      <w:r w:rsidR="00AB38E3" w:rsidRPr="00C30625">
        <w:t>.</w:t>
      </w:r>
      <w:r w:rsidR="00303F40">
        <w:t xml:space="preserve"> </w:t>
      </w:r>
      <w:r w:rsidR="00E9628F" w:rsidRPr="00C30625">
        <w:t xml:space="preserve"> </w:t>
      </w:r>
      <w:r w:rsidR="00744F67" w:rsidRPr="00C30625">
        <w:t xml:space="preserve">The ESCs noted that </w:t>
      </w:r>
      <w:r w:rsidR="009C0202" w:rsidRPr="00C30625">
        <w:t xml:space="preserve">most of the </w:t>
      </w:r>
      <w:r w:rsidR="007048E8" w:rsidRPr="00C30625">
        <w:t xml:space="preserve">functions resulted in extrapolated curves that </w:t>
      </w:r>
      <w:r w:rsidR="001F2779" w:rsidRPr="00C30625">
        <w:t>appeared similarly reasonable</w:t>
      </w:r>
      <w:r w:rsidR="001D268B" w:rsidRPr="00C30625">
        <w:t xml:space="preserve"> based on </w:t>
      </w:r>
      <w:r w:rsidR="008B639A" w:rsidRPr="00C30625">
        <w:t>visual fi</w:t>
      </w:r>
      <w:r w:rsidR="00644D2A" w:rsidRPr="00C30625">
        <w:t>t</w:t>
      </w:r>
      <w:r w:rsidR="00EF0F6E" w:rsidRPr="00C30625">
        <w:t xml:space="preserve"> and </w:t>
      </w:r>
      <w:r w:rsidR="00DA3792" w:rsidRPr="00C30625">
        <w:t>differences in statistical measures of goodness of fit were small</w:t>
      </w:r>
      <w:r w:rsidR="002D0C9F" w:rsidRPr="00C30625">
        <w:t xml:space="preserve">. </w:t>
      </w:r>
      <w:r w:rsidR="00F61E14" w:rsidRPr="00C30625">
        <w:t xml:space="preserve">The ESCs </w:t>
      </w:r>
      <w:r w:rsidR="009618DE" w:rsidRPr="00C30625">
        <w:t xml:space="preserve">noted that the </w:t>
      </w:r>
      <w:r w:rsidR="00303F40">
        <w:t xml:space="preserve">base case </w:t>
      </w:r>
      <w:r w:rsidR="00F61E14" w:rsidRPr="00C30625">
        <w:t xml:space="preserve">functional form </w:t>
      </w:r>
      <w:r w:rsidR="009618DE" w:rsidRPr="00C30625">
        <w:t xml:space="preserve">resulted in </w:t>
      </w:r>
      <w:r w:rsidR="006D5FFE" w:rsidRPr="00C30625">
        <w:t xml:space="preserve">~5% of patients in the BSC arm and ~6% of patients in the </w:t>
      </w:r>
      <w:r w:rsidR="00017883" w:rsidRPr="00C30625">
        <w:t xml:space="preserve">ivosidenib arm alive at 5 years and considered this </w:t>
      </w:r>
      <w:r w:rsidR="00F61E14" w:rsidRPr="00C30625">
        <w:t>was overly optimistic in terms of survival</w:t>
      </w:r>
      <w:r w:rsidR="00017883" w:rsidRPr="00C30625">
        <w:t xml:space="preserve"> and not clinically plausible. The ESCs considered</w:t>
      </w:r>
      <w:r w:rsidR="00F61E14" w:rsidRPr="00C30625">
        <w:t xml:space="preserve"> </w:t>
      </w:r>
      <w:r w:rsidR="003C15DB" w:rsidRPr="00C30625">
        <w:t>that</w:t>
      </w:r>
      <w:r w:rsidR="00F61E14" w:rsidRPr="00C30625">
        <w:t xml:space="preserve"> a common functional form, with a less optimistic survival trajectory, should form part of a respecified base case.</w:t>
      </w:r>
      <w:r w:rsidR="0049141C" w:rsidRPr="00C30625">
        <w:t xml:space="preserve"> The ESC</w:t>
      </w:r>
      <w:r w:rsidR="00312491" w:rsidRPr="00C30625">
        <w:t>s</w:t>
      </w:r>
      <w:r w:rsidR="0049141C" w:rsidRPr="00C30625">
        <w:t xml:space="preserve"> considered the extrapolations based on the exponential function were reasonable for both treatment arms.</w:t>
      </w:r>
      <w:bookmarkEnd w:id="51"/>
      <w:r w:rsidR="00D333FF">
        <w:t xml:space="preserve"> The pre-PBAC response argued that it was not necessary for a common functional form to apply as an active treatment is being compared to palliative care and the curves could plausibly differ. The pre-PBAC response </w:t>
      </w:r>
      <w:r w:rsidR="00D464CD">
        <w:t xml:space="preserve">also </w:t>
      </w:r>
      <w:r w:rsidR="00D333FF">
        <w:t xml:space="preserve">argued the exponential function </w:t>
      </w:r>
      <w:r w:rsidR="00EF3C8B">
        <w:t xml:space="preserve">underestimated the observed data from the ivosidenib arm </w:t>
      </w:r>
      <w:r w:rsidR="00F941F8">
        <w:t xml:space="preserve">and would therefore bias results against ivosidenib </w:t>
      </w:r>
      <w:r w:rsidR="00EF3C8B">
        <w:t xml:space="preserve">(see </w:t>
      </w:r>
      <w:r w:rsidR="00D13583">
        <w:fldChar w:fldCharType="begin" w:fldLock="1"/>
      </w:r>
      <w:r w:rsidR="00D13583">
        <w:instrText xml:space="preserve"> REF _Ref173489596 \h </w:instrText>
      </w:r>
      <w:r w:rsidR="00D13583">
        <w:fldChar w:fldCharType="separate"/>
      </w:r>
      <w:r w:rsidR="00CB6594">
        <w:t xml:space="preserve">Figure </w:t>
      </w:r>
      <w:r w:rsidR="00CB6594">
        <w:rPr>
          <w:noProof/>
        </w:rPr>
        <w:t>6</w:t>
      </w:r>
      <w:r w:rsidR="00D13583">
        <w:fldChar w:fldCharType="end"/>
      </w:r>
      <w:r w:rsidR="00D13583">
        <w:t>)</w:t>
      </w:r>
      <w:r w:rsidR="00EF3C8B">
        <w:t>.</w:t>
      </w:r>
      <w:r w:rsidR="00D333FF">
        <w:t xml:space="preserve"> </w:t>
      </w:r>
      <w:r w:rsidR="00DC5CF3">
        <w:t>The PBAC noted that the extrapolation function had less of an impact when the time horizon was reduced to 5 years.</w:t>
      </w:r>
      <w:r w:rsidR="00303F40">
        <w:t xml:space="preserve"> </w:t>
      </w:r>
    </w:p>
    <w:p w14:paraId="1BA194DE" w14:textId="37F557E1" w:rsidR="00B453B0" w:rsidRDefault="00B453B0" w:rsidP="00EA008F">
      <w:pPr>
        <w:pStyle w:val="Caption"/>
      </w:pPr>
      <w:r>
        <w:t xml:space="preserve">Figure </w:t>
      </w:r>
      <w:r w:rsidR="00841FC2">
        <w:fldChar w:fldCharType="begin" w:fldLock="1"/>
      </w:r>
      <w:r w:rsidR="00841FC2">
        <w:instrText xml:space="preserve"> SEQ Figure \* ARABIC </w:instrText>
      </w:r>
      <w:r w:rsidR="00841FC2">
        <w:fldChar w:fldCharType="separate"/>
      </w:r>
      <w:r w:rsidR="00CB6594">
        <w:rPr>
          <w:noProof/>
        </w:rPr>
        <w:t>4</w:t>
      </w:r>
      <w:r w:rsidR="00841FC2">
        <w:rPr>
          <w:noProof/>
        </w:rPr>
        <w:fldChar w:fldCharType="end"/>
      </w:r>
      <w:r w:rsidR="00B15EA6">
        <w:rPr>
          <w:noProof/>
        </w:rPr>
        <w:t>:</w:t>
      </w:r>
      <w:r w:rsidRPr="00B453B0">
        <w:t xml:space="preserve"> </w:t>
      </w:r>
      <w:r>
        <w:t>Parametric extrapolations for OS (ivosidenib)</w:t>
      </w:r>
    </w:p>
    <w:p w14:paraId="05E45EF4" w14:textId="7DBB713C" w:rsidR="00423FC5" w:rsidRPr="00DC5B82" w:rsidRDefault="004C4A1D" w:rsidP="00EA008F">
      <w:pPr>
        <w:tabs>
          <w:tab w:val="left" w:pos="284"/>
        </w:tabs>
        <w:spacing w:before="0" w:after="0"/>
        <w:rPr>
          <w:rFonts w:ascii="Arial Narrow" w:eastAsia="Times New Roman" w:hAnsi="Arial Narrow" w:cs="Arial"/>
          <w:snapToGrid w:val="0"/>
          <w:color w:val="0D0D0D" w:themeColor="text1" w:themeTint="F2"/>
          <w:sz w:val="18"/>
          <w:lang w:eastAsia="en-AU"/>
        </w:rPr>
      </w:pPr>
      <w:r>
        <w:rPr>
          <w:noProof/>
        </w:rPr>
        <w:drawing>
          <wp:inline distT="0" distB="0" distL="0" distR="0" wp14:anchorId="62D4EE7C" wp14:editId="1DE42451">
            <wp:extent cx="5731510" cy="3270679"/>
            <wp:effectExtent l="0" t="0" r="2540" b="6350"/>
            <wp:docPr id="9" name="Graphic 9" descr="Figure 4: Parametric extrapolations for OS (ivosiden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Figure 4: Parametric extrapolations for OS (ivosidenib)"/>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5731510" cy="3270679"/>
                    </a:xfrm>
                    <a:prstGeom prst="rect">
                      <a:avLst/>
                    </a:prstGeom>
                  </pic:spPr>
                </pic:pic>
              </a:graphicData>
            </a:graphic>
          </wp:inline>
        </w:drawing>
      </w:r>
      <w:r w:rsidR="00423FC5" w:rsidRPr="00DC5B82">
        <w:rPr>
          <w:rFonts w:ascii="Arial Narrow" w:eastAsia="Times New Roman" w:hAnsi="Arial Narrow" w:cs="Arial"/>
          <w:snapToGrid w:val="0"/>
          <w:color w:val="0D0D0D" w:themeColor="text1" w:themeTint="F2"/>
          <w:sz w:val="18"/>
          <w:lang w:eastAsia="en-AU"/>
        </w:rPr>
        <w:t>Source: Figure 3-3 of the submission</w:t>
      </w:r>
    </w:p>
    <w:p w14:paraId="48A8590D" w14:textId="7D6D2A40" w:rsidR="00DC5B82" w:rsidRPr="00DC5B82" w:rsidRDefault="00DC5B82" w:rsidP="00EA008F">
      <w:pPr>
        <w:tabs>
          <w:tab w:val="left" w:pos="284"/>
        </w:tabs>
        <w:spacing w:before="0" w:after="0"/>
        <w:rPr>
          <w:rFonts w:ascii="Arial Narrow" w:eastAsia="Times New Roman" w:hAnsi="Arial Narrow" w:cs="Arial"/>
          <w:snapToGrid w:val="0"/>
          <w:color w:val="0D0D0D" w:themeColor="text1" w:themeTint="F2"/>
          <w:sz w:val="18"/>
          <w:lang w:eastAsia="en-AU"/>
        </w:rPr>
      </w:pPr>
      <w:r w:rsidRPr="006C5D4C">
        <w:rPr>
          <w:rFonts w:ascii="Arial Narrow" w:eastAsia="Times New Roman" w:hAnsi="Arial Narrow" w:cs="Arial"/>
          <w:snapToGrid w:val="0"/>
          <w:color w:val="0D0D0D" w:themeColor="text1" w:themeTint="F2"/>
          <w:sz w:val="18"/>
          <w:lang w:eastAsia="en-AU"/>
        </w:rPr>
        <w:t>BSC = best supportive care; Cx = comparator arm; KM = Kaplan-Meier; OS = overall survival</w:t>
      </w:r>
    </w:p>
    <w:p w14:paraId="69301716" w14:textId="2C37EE54" w:rsidR="00B453B0" w:rsidRDefault="00B453B0" w:rsidP="00013016">
      <w:pPr>
        <w:pStyle w:val="Caption"/>
      </w:pPr>
      <w:r>
        <w:lastRenderedPageBreak/>
        <w:t xml:space="preserve">Figure </w:t>
      </w:r>
      <w:r w:rsidR="00841FC2">
        <w:fldChar w:fldCharType="begin" w:fldLock="1"/>
      </w:r>
      <w:r w:rsidR="00841FC2">
        <w:instrText xml:space="preserve"> SEQ Figure \* ARABIC </w:instrText>
      </w:r>
      <w:r w:rsidR="00841FC2">
        <w:fldChar w:fldCharType="separate"/>
      </w:r>
      <w:r w:rsidR="00CB6594">
        <w:rPr>
          <w:noProof/>
        </w:rPr>
        <w:t>5</w:t>
      </w:r>
      <w:r w:rsidR="00841FC2">
        <w:rPr>
          <w:noProof/>
        </w:rPr>
        <w:fldChar w:fldCharType="end"/>
      </w:r>
      <w:r w:rsidR="00B15EA6">
        <w:rPr>
          <w:noProof/>
        </w:rPr>
        <w:t>:</w:t>
      </w:r>
      <w:r w:rsidRPr="00B453B0">
        <w:t xml:space="preserve"> </w:t>
      </w:r>
      <w:r>
        <w:t>Parametric extrapolations for OS (</w:t>
      </w:r>
      <w:r w:rsidRPr="003E7195">
        <w:t>BS</w:t>
      </w:r>
      <w:r>
        <w:t>C)</w:t>
      </w:r>
    </w:p>
    <w:p w14:paraId="312FA93C" w14:textId="2821758D" w:rsidR="00BF7D77" w:rsidRDefault="00BF7D77" w:rsidP="00D464CD">
      <w:pPr>
        <w:keepNext/>
        <w:keepLines/>
        <w:spacing w:before="0" w:after="0"/>
        <w:ind w:right="-330"/>
        <w:rPr>
          <w:color w:val="0D0D0D" w:themeColor="text1" w:themeTint="F2"/>
        </w:rPr>
      </w:pPr>
      <w:r>
        <w:rPr>
          <w:noProof/>
        </w:rPr>
        <w:drawing>
          <wp:inline distT="0" distB="0" distL="0" distR="0" wp14:anchorId="26A76403" wp14:editId="55790FB1">
            <wp:extent cx="5731510" cy="3104878"/>
            <wp:effectExtent l="0" t="0" r="2540" b="635"/>
            <wp:docPr id="155927680" name="Graphic 155927680" descr="Figure 5: Parametric extrapolations for OS (B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7680" name="Graphic 155927680" descr="Figure 5: Parametric extrapolations for OS (BSC)"/>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731510" cy="3104878"/>
                    </a:xfrm>
                    <a:prstGeom prst="rect">
                      <a:avLst/>
                    </a:prstGeom>
                  </pic:spPr>
                </pic:pic>
              </a:graphicData>
            </a:graphic>
          </wp:inline>
        </w:drawing>
      </w:r>
    </w:p>
    <w:p w14:paraId="51F2AB1A" w14:textId="557EB3A3" w:rsidR="00113419" w:rsidRPr="00B15EA6" w:rsidRDefault="00113419" w:rsidP="00B15EA6">
      <w:pPr>
        <w:pStyle w:val="TableFooter"/>
        <w:rPr>
          <w:lang w:eastAsia="en-AU"/>
        </w:rPr>
      </w:pPr>
      <w:r w:rsidRPr="00B15EA6">
        <w:rPr>
          <w:lang w:eastAsia="en-AU"/>
        </w:rPr>
        <w:t xml:space="preserve">Source: </w:t>
      </w:r>
      <w:r w:rsidR="00DC5B82" w:rsidRPr="00B15EA6">
        <w:rPr>
          <w:lang w:eastAsia="en-AU"/>
        </w:rPr>
        <w:t>Figure 3-4 of the submission</w:t>
      </w:r>
    </w:p>
    <w:p w14:paraId="4896E8FC" w14:textId="205BECC4" w:rsidR="00EF3C8B" w:rsidRPr="00B15EA6" w:rsidRDefault="00113419" w:rsidP="00B15EA6">
      <w:pPr>
        <w:pStyle w:val="TableFooter"/>
        <w:rPr>
          <w:lang w:eastAsia="en-AU"/>
        </w:rPr>
      </w:pPr>
      <w:r w:rsidRPr="00B15EA6">
        <w:rPr>
          <w:lang w:eastAsia="en-AU"/>
        </w:rPr>
        <w:t xml:space="preserve">BSC = best supportive care; Cx = comparator arm; KM = Kaplan-Meier; OS = overall survival </w:t>
      </w:r>
      <w:bookmarkStart w:id="52" w:name="_Ref169513600"/>
    </w:p>
    <w:p w14:paraId="2FC88E6D" w14:textId="19A56047" w:rsidR="00B453B0" w:rsidRDefault="00B453B0" w:rsidP="00013016">
      <w:pPr>
        <w:pStyle w:val="Caption"/>
      </w:pPr>
      <w:bookmarkStart w:id="53" w:name="_Ref173489596"/>
      <w:r>
        <w:t xml:space="preserve">Figure </w:t>
      </w:r>
      <w:r w:rsidR="00841FC2">
        <w:fldChar w:fldCharType="begin" w:fldLock="1"/>
      </w:r>
      <w:r w:rsidR="00841FC2">
        <w:instrText xml:space="preserve"> SEQ Figure \* ARABIC </w:instrText>
      </w:r>
      <w:r w:rsidR="00841FC2">
        <w:fldChar w:fldCharType="separate"/>
      </w:r>
      <w:r w:rsidR="00CB6594">
        <w:rPr>
          <w:noProof/>
        </w:rPr>
        <w:t>6</w:t>
      </w:r>
      <w:r w:rsidR="00841FC2">
        <w:rPr>
          <w:noProof/>
        </w:rPr>
        <w:fldChar w:fldCharType="end"/>
      </w:r>
      <w:bookmarkEnd w:id="53"/>
      <w:r w:rsidR="00B15EA6">
        <w:rPr>
          <w:noProof/>
        </w:rPr>
        <w:t>:</w:t>
      </w:r>
      <w:r w:rsidRPr="00B453B0">
        <w:t xml:space="preserve"> </w:t>
      </w:r>
      <w:r>
        <w:t>Overall survival using exponential extrapolations</w:t>
      </w:r>
    </w:p>
    <w:p w14:paraId="747FE37E" w14:textId="32451844" w:rsidR="00136597" w:rsidRPr="00A9639F" w:rsidRDefault="00EF3C8B" w:rsidP="00D464CD">
      <w:pPr>
        <w:spacing w:before="0" w:after="0"/>
        <w:rPr>
          <w:color w:val="0D0D0D" w:themeColor="text1" w:themeTint="F2"/>
        </w:rPr>
      </w:pPr>
      <w:r>
        <w:rPr>
          <w:noProof/>
          <w:color w:val="0D0D0D" w:themeColor="text1" w:themeTint="F2"/>
        </w:rPr>
        <w:drawing>
          <wp:inline distT="0" distB="0" distL="0" distR="0" wp14:anchorId="79275713" wp14:editId="443C95E5">
            <wp:extent cx="5640705" cy="2981325"/>
            <wp:effectExtent l="19050" t="19050" r="17145" b="28575"/>
            <wp:docPr id="1" name="Picture 1" descr="Figure 6: Overall survival using exponential extrapo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6: Overall survival using exponential extrapolation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655042" cy="2988903"/>
                    </a:xfrm>
                    <a:prstGeom prst="rect">
                      <a:avLst/>
                    </a:prstGeom>
                    <a:noFill/>
                    <a:ln w="6350">
                      <a:solidFill>
                        <a:schemeClr val="bg2"/>
                      </a:solidFill>
                    </a:ln>
                    <a:extLst>
                      <a:ext uri="{53640926-AAD7-44D8-BBD7-CCE9431645EC}">
                        <a14:shadowObscured xmlns:a14="http://schemas.microsoft.com/office/drawing/2010/main"/>
                      </a:ext>
                    </a:extLst>
                  </pic:spPr>
                </pic:pic>
              </a:graphicData>
            </a:graphic>
          </wp:inline>
        </w:drawing>
      </w:r>
    </w:p>
    <w:p w14:paraId="4D88DF32" w14:textId="3FAE6F37" w:rsidR="00D464CD" w:rsidRDefault="00D464CD" w:rsidP="00B15EA6">
      <w:pPr>
        <w:pStyle w:val="TableFooter"/>
        <w:rPr>
          <w:lang w:eastAsia="en-AU"/>
        </w:rPr>
      </w:pPr>
      <w:bookmarkStart w:id="54" w:name="_Ref169513614"/>
      <w:bookmarkEnd w:id="52"/>
      <w:r>
        <w:rPr>
          <w:lang w:eastAsia="en-AU"/>
        </w:rPr>
        <w:t>Source: pre-PBAC response</w:t>
      </w:r>
    </w:p>
    <w:p w14:paraId="576642EC" w14:textId="73434330" w:rsidR="00D464CD" w:rsidRPr="00D464CD" w:rsidRDefault="00D464CD" w:rsidP="00B15EA6">
      <w:pPr>
        <w:pStyle w:val="TableFooter"/>
        <w:rPr>
          <w:lang w:eastAsia="en-AU"/>
        </w:rPr>
      </w:pPr>
      <w:r w:rsidRPr="00D464CD">
        <w:rPr>
          <w:lang w:eastAsia="en-AU"/>
        </w:rPr>
        <w:t xml:space="preserve">Cx = comparator arm; KM = Kaplan-Meier; </w:t>
      </w:r>
      <w:r>
        <w:rPr>
          <w:lang w:eastAsia="en-AU"/>
        </w:rPr>
        <w:t>Tx = treatment arm</w:t>
      </w:r>
      <w:r w:rsidRPr="00D464CD">
        <w:rPr>
          <w:lang w:eastAsia="en-AU"/>
        </w:rPr>
        <w:t xml:space="preserve"> </w:t>
      </w:r>
    </w:p>
    <w:p w14:paraId="030CD70B" w14:textId="480EBA97" w:rsidR="00CB4014" w:rsidRPr="00C30625" w:rsidRDefault="00CB4014" w:rsidP="007E0187">
      <w:pPr>
        <w:pStyle w:val="ListParagraph"/>
      </w:pPr>
      <w:bookmarkStart w:id="55" w:name="_Ref173851514"/>
      <w:r>
        <w:t xml:space="preserve">Patients were allowed to continue treatment with ivosidenib on disease progression in the ClarIDHy trial and the resulting mean duration of treatment was 6.3 months. The trial-based time-on-treatment (ToT) curve has been adjusted in the </w:t>
      </w:r>
      <w:r w:rsidR="00DB474A">
        <w:t>economic evaluation</w:t>
      </w:r>
      <w:r>
        <w:t xml:space="preserve">, </w:t>
      </w:r>
      <w:r>
        <w:rPr>
          <w:i/>
          <w:iCs/>
        </w:rPr>
        <w:t>i.e.</w:t>
      </w:r>
      <w:r w:rsidR="00C771EE">
        <w:rPr>
          <w:i/>
          <w:iCs/>
        </w:rPr>
        <w:t xml:space="preserve">, </w:t>
      </w:r>
      <w:r>
        <w:t xml:space="preserve">capped by the PFS curve. </w:t>
      </w:r>
      <w:r w:rsidRPr="00181B1F">
        <w:t xml:space="preserve">This adjustment was in line with the requested listing which specified that patients would discontinue treatment with </w:t>
      </w:r>
      <w:r w:rsidRPr="00181B1F">
        <w:lastRenderedPageBreak/>
        <w:t>ivosidenib upon disease progression. However, no adjustment for health outcomes associated with ivosidenib treatment was made in the economic model. This assumes that ongoing treatment with ivosidenib beyond disease progression provides no survival benefit. No evidence was presented to support this assumption and the submission’s approach may have favoured ivosidenib, as it reduced the treatment cost but used trial-based health outcomes</w:t>
      </w:r>
      <w:r w:rsidR="004F7E81" w:rsidRPr="00A435F2">
        <w:rPr>
          <w:i/>
          <w:iCs/>
        </w:rPr>
        <w:t xml:space="preserve"> </w:t>
      </w:r>
      <w:r w:rsidR="004F7E81" w:rsidRPr="001C5869">
        <w:t>which included ongoing therapy beyond progression</w:t>
      </w:r>
      <w:r w:rsidRPr="001C5869">
        <w:t>.</w:t>
      </w:r>
      <w:r w:rsidR="007C0F10">
        <w:t xml:space="preserve"> </w:t>
      </w:r>
      <w:r w:rsidR="007C0F10" w:rsidRPr="00C30625">
        <w:t xml:space="preserve">The ESCs considered that it would be appropriate to </w:t>
      </w:r>
      <w:r w:rsidR="005C3D40" w:rsidRPr="00C30625">
        <w:t xml:space="preserve">either </w:t>
      </w:r>
      <w:r w:rsidR="00AD3651" w:rsidRPr="00C30625">
        <w:t>in</w:t>
      </w:r>
      <w:r w:rsidR="003A322A" w:rsidRPr="00C30625">
        <w:t>clud</w:t>
      </w:r>
      <w:r w:rsidR="00AD3651" w:rsidRPr="00C30625">
        <w:t xml:space="preserve">e the </w:t>
      </w:r>
      <w:r w:rsidR="005C6C16" w:rsidRPr="00C30625">
        <w:t>trial-based</w:t>
      </w:r>
      <w:r w:rsidR="00AD3651" w:rsidRPr="00C30625">
        <w:t xml:space="preserve"> time on treatment </w:t>
      </w:r>
      <w:r w:rsidR="00C40282" w:rsidRPr="00C30625">
        <w:t>in the model</w:t>
      </w:r>
      <w:r w:rsidR="00F07F53" w:rsidRPr="00C30625">
        <w:t xml:space="preserve"> (without capping at the PFS curve)</w:t>
      </w:r>
      <w:r w:rsidR="00C40282" w:rsidRPr="00C30625">
        <w:t xml:space="preserve">, or adjust the </w:t>
      </w:r>
      <w:r w:rsidR="00FC5150" w:rsidRPr="00C30625">
        <w:t>model outcomes to account for th</w:t>
      </w:r>
      <w:r w:rsidR="00D06761" w:rsidRPr="00C30625">
        <w:t>e reduced treatment duration</w:t>
      </w:r>
      <w:r w:rsidR="00FC5150" w:rsidRPr="00C30625">
        <w:t xml:space="preserve">. </w:t>
      </w:r>
      <w:r w:rsidR="00AA7EEC" w:rsidRPr="00C30625">
        <w:t>However, t</w:t>
      </w:r>
      <w:r w:rsidR="00B02EC9" w:rsidRPr="00C30625">
        <w:t xml:space="preserve">he ESCs noted that the model was not structured to allow </w:t>
      </w:r>
      <w:r w:rsidR="00A16752" w:rsidRPr="00C30625">
        <w:t xml:space="preserve">forced </w:t>
      </w:r>
      <w:r w:rsidR="00706307" w:rsidRPr="00C30625">
        <w:t>equal ha</w:t>
      </w:r>
      <w:r w:rsidR="00AA7EEC" w:rsidRPr="00C30625">
        <w:t>z</w:t>
      </w:r>
      <w:r w:rsidR="00706307" w:rsidRPr="00C30625">
        <w:t>ards beyond progression</w:t>
      </w:r>
      <w:r w:rsidR="00F84BF2" w:rsidRPr="00C30625">
        <w:t xml:space="preserve"> to account for </w:t>
      </w:r>
      <w:r w:rsidR="00D06761" w:rsidRPr="00C30625">
        <w:t>the reduced treatment benefit</w:t>
      </w:r>
      <w:r w:rsidR="00EA1668" w:rsidRPr="00C30625">
        <w:t>.</w:t>
      </w:r>
      <w:bookmarkEnd w:id="54"/>
      <w:r w:rsidR="00D464CD">
        <w:t xml:space="preserve"> The pre-PBAC response argued that treatment beyond progression would not occur in Australian practice and it is therefore not reasonable to model the cost of ivosidenib treatment using trial-based time on treatment. The pre-PBAC did not address adjustment of the outcomes to account for any benefit from use beyond progression.</w:t>
      </w:r>
      <w:r w:rsidR="009F300D">
        <w:t xml:space="preserve"> In the absence of any adjustment in outcomes, the PBAC considered it was reasonable for the ToT to be based on the trial data without being capped by the PFS curve.</w:t>
      </w:r>
      <w:bookmarkEnd w:id="55"/>
    </w:p>
    <w:p w14:paraId="398A4AC0" w14:textId="6E5AB2A7" w:rsidR="004D1A12" w:rsidRPr="003E7195" w:rsidRDefault="004D1A12" w:rsidP="007E0187">
      <w:pPr>
        <w:pStyle w:val="ListParagraph"/>
      </w:pPr>
      <w:r>
        <w:t>C</w:t>
      </w:r>
      <w:r w:rsidRPr="003E7195">
        <w:t>omparison</w:t>
      </w:r>
      <w:r>
        <w:t>s</w:t>
      </w:r>
      <w:r w:rsidRPr="003E7195">
        <w:t xml:space="preserve"> of the observed Kaplan-Meier PFS and OS data to the modelled curves for both arms are presented in</w:t>
      </w:r>
      <w:r w:rsidR="00D464CD">
        <w:t xml:space="preserve"> </w:t>
      </w:r>
      <w:r w:rsidR="00D464CD">
        <w:fldChar w:fldCharType="begin" w:fldLock="1"/>
      </w:r>
      <w:r w:rsidR="00D464CD">
        <w:instrText xml:space="preserve"> REF _Ref173491562 \h </w:instrText>
      </w:r>
      <w:r w:rsidR="00D464CD">
        <w:fldChar w:fldCharType="separate"/>
      </w:r>
      <w:r w:rsidR="00CB6594">
        <w:t xml:space="preserve">Figure </w:t>
      </w:r>
      <w:r w:rsidR="00CB6594">
        <w:rPr>
          <w:noProof/>
        </w:rPr>
        <w:t>7</w:t>
      </w:r>
      <w:r w:rsidR="00D464CD">
        <w:fldChar w:fldCharType="end"/>
      </w:r>
      <w:r w:rsidR="00673312">
        <w:t xml:space="preserve"> </w:t>
      </w:r>
      <w:r w:rsidRPr="003E7195">
        <w:t xml:space="preserve">for the ivosidenib arm and </w:t>
      </w:r>
      <w:r w:rsidR="00D464CD">
        <w:fldChar w:fldCharType="begin" w:fldLock="1"/>
      </w:r>
      <w:r w:rsidR="00D464CD">
        <w:instrText xml:space="preserve"> REF _Ref173491569 \h </w:instrText>
      </w:r>
      <w:r w:rsidR="00D464CD">
        <w:fldChar w:fldCharType="separate"/>
      </w:r>
      <w:r w:rsidR="00CB6594">
        <w:t xml:space="preserve">Figure </w:t>
      </w:r>
      <w:r w:rsidR="00CB6594">
        <w:rPr>
          <w:noProof/>
        </w:rPr>
        <w:t>8</w:t>
      </w:r>
      <w:r w:rsidR="00D464CD">
        <w:fldChar w:fldCharType="end"/>
      </w:r>
      <w:r w:rsidRPr="003E7195">
        <w:t xml:space="preserve"> for the BSC arm. </w:t>
      </w:r>
    </w:p>
    <w:p w14:paraId="43E84D69" w14:textId="4BBBB9E7" w:rsidR="00B453B0" w:rsidRDefault="00B453B0" w:rsidP="00EA008F">
      <w:pPr>
        <w:pStyle w:val="Caption"/>
      </w:pPr>
      <w:bookmarkStart w:id="56" w:name="_Ref173491562"/>
      <w:r>
        <w:t xml:space="preserve">Figure </w:t>
      </w:r>
      <w:r w:rsidR="00841FC2">
        <w:fldChar w:fldCharType="begin" w:fldLock="1"/>
      </w:r>
      <w:r w:rsidR="00841FC2">
        <w:instrText xml:space="preserve"> SEQ Figure \* ARABIC </w:instrText>
      </w:r>
      <w:r w:rsidR="00841FC2">
        <w:fldChar w:fldCharType="separate"/>
      </w:r>
      <w:r w:rsidR="00CB6594">
        <w:rPr>
          <w:noProof/>
        </w:rPr>
        <w:t>7</w:t>
      </w:r>
      <w:r w:rsidR="00841FC2">
        <w:rPr>
          <w:noProof/>
        </w:rPr>
        <w:fldChar w:fldCharType="end"/>
      </w:r>
      <w:bookmarkEnd w:id="56"/>
      <w:r w:rsidR="00EA008F">
        <w:rPr>
          <w:noProof/>
        </w:rPr>
        <w:t>:</w:t>
      </w:r>
      <w:r w:rsidRPr="00B453B0">
        <w:t xml:space="preserve"> </w:t>
      </w:r>
      <w:r w:rsidRPr="003E7195">
        <w:t>KM and modelled PFS and OS curves (ivosidenib)</w:t>
      </w:r>
    </w:p>
    <w:p w14:paraId="1F77990B" w14:textId="77777777" w:rsidR="004D1A12" w:rsidRPr="003E7195" w:rsidRDefault="004D1A12" w:rsidP="00EA008F">
      <w:pPr>
        <w:spacing w:before="0" w:after="0"/>
      </w:pPr>
      <w:r w:rsidRPr="003E7195">
        <w:rPr>
          <w:noProof/>
        </w:rPr>
        <w:drawing>
          <wp:inline distT="0" distB="0" distL="0" distR="0" wp14:anchorId="1D7BA946" wp14:editId="35E850EA">
            <wp:extent cx="4763562" cy="3264196"/>
            <wp:effectExtent l="0" t="0" r="0" b="0"/>
            <wp:docPr id="1718173669" name="Picture 1718173669" descr="Figure 7: KM and modelled PFS and OS curves (ivosiden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73669" name="Picture 1718173669" descr="Figure 7: KM and modelled PFS and OS curves (ivosidenib)"/>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69536" cy="3268289"/>
                    </a:xfrm>
                    <a:prstGeom prst="rect">
                      <a:avLst/>
                    </a:prstGeom>
                  </pic:spPr>
                </pic:pic>
              </a:graphicData>
            </a:graphic>
          </wp:inline>
        </w:drawing>
      </w:r>
    </w:p>
    <w:p w14:paraId="4A370087" w14:textId="61515E13" w:rsidR="004D1A12" w:rsidRPr="003E7195" w:rsidRDefault="004D1A12" w:rsidP="00EA008F">
      <w:pPr>
        <w:pStyle w:val="TableFigureFooter"/>
        <w:jc w:val="both"/>
        <w:rPr>
          <w:color w:val="0D0D0D" w:themeColor="text1" w:themeTint="F2"/>
        </w:rPr>
      </w:pPr>
      <w:r w:rsidRPr="003E7195">
        <w:rPr>
          <w:color w:val="0D0D0D" w:themeColor="text1" w:themeTint="F2"/>
        </w:rPr>
        <w:t xml:space="preserve">Source: </w:t>
      </w:r>
      <w:r w:rsidRPr="006A19AD">
        <w:rPr>
          <w:color w:val="0D0D0D" w:themeColor="text1" w:themeTint="F2"/>
        </w:rPr>
        <w:t xml:space="preserve">Constructed during </w:t>
      </w:r>
      <w:r w:rsidR="00DC5CF3">
        <w:rPr>
          <w:color w:val="0D0D0D" w:themeColor="text1" w:themeTint="F2"/>
        </w:rPr>
        <w:t>commentary</w:t>
      </w:r>
      <w:r w:rsidRPr="003E7195">
        <w:rPr>
          <w:i/>
          <w:iCs/>
          <w:color w:val="0D0D0D" w:themeColor="text1" w:themeTint="F2"/>
        </w:rPr>
        <w:t>,</w:t>
      </w:r>
      <w:r w:rsidRPr="003E7195">
        <w:rPr>
          <w:color w:val="0D0D0D" w:themeColor="text1" w:themeTint="F2"/>
        </w:rPr>
        <w:t xml:space="preserve"> based on the ‘Extrapolations’, ‘Model_Tx (TP)’ and ‘Model_Cx (TN, FN, SOC)’ spreadsheets in the “3.1_Ivosidenib cost-effectiveness model” Workbook provided in the submission.</w:t>
      </w:r>
    </w:p>
    <w:p w14:paraId="4295CE87" w14:textId="2C74F813" w:rsidR="004D1A12" w:rsidRPr="003E7195" w:rsidRDefault="004D1A12" w:rsidP="00EA008F">
      <w:pPr>
        <w:pStyle w:val="TableFigureFooter"/>
        <w:jc w:val="both"/>
        <w:rPr>
          <w:color w:val="0D0D0D" w:themeColor="text1" w:themeTint="F2"/>
        </w:rPr>
      </w:pPr>
      <w:r w:rsidRPr="003E7195">
        <w:rPr>
          <w:color w:val="0D0D0D" w:themeColor="text1" w:themeTint="F2"/>
        </w:rPr>
        <w:t>KM = Kaplan-Meier; OS = overall survival; PFS = progression-free survival; ToT = time-on-treatment; Tx = treatment arm</w:t>
      </w:r>
    </w:p>
    <w:p w14:paraId="47131109" w14:textId="3B2AC2AD" w:rsidR="00B453B0" w:rsidRDefault="00B453B0" w:rsidP="00EA008F">
      <w:pPr>
        <w:pStyle w:val="Caption"/>
      </w:pPr>
      <w:bookmarkStart w:id="57" w:name="_Ref173491569"/>
      <w:r>
        <w:lastRenderedPageBreak/>
        <w:t xml:space="preserve">Figure </w:t>
      </w:r>
      <w:r w:rsidR="00841FC2">
        <w:fldChar w:fldCharType="begin" w:fldLock="1"/>
      </w:r>
      <w:r w:rsidR="00841FC2">
        <w:instrText xml:space="preserve"> SEQ Figure \* ARABIC </w:instrText>
      </w:r>
      <w:r w:rsidR="00841FC2">
        <w:fldChar w:fldCharType="separate"/>
      </w:r>
      <w:r w:rsidR="00CB6594">
        <w:rPr>
          <w:noProof/>
        </w:rPr>
        <w:t>8</w:t>
      </w:r>
      <w:r w:rsidR="00841FC2">
        <w:rPr>
          <w:noProof/>
        </w:rPr>
        <w:fldChar w:fldCharType="end"/>
      </w:r>
      <w:bookmarkEnd w:id="57"/>
      <w:r w:rsidR="00EA008F">
        <w:rPr>
          <w:noProof/>
        </w:rPr>
        <w:t>:</w:t>
      </w:r>
      <w:r w:rsidRPr="00B453B0">
        <w:t xml:space="preserve"> </w:t>
      </w:r>
      <w:r w:rsidRPr="003E7195">
        <w:t xml:space="preserve">KM and modelled PFS and OS curves (best supportive care) </w:t>
      </w:r>
    </w:p>
    <w:p w14:paraId="722A6E68" w14:textId="77777777" w:rsidR="004D1A12" w:rsidRPr="003E7195" w:rsidRDefault="004D1A12" w:rsidP="00EA008F">
      <w:pPr>
        <w:spacing w:before="0" w:after="0"/>
      </w:pPr>
      <w:r w:rsidRPr="003E7195">
        <w:rPr>
          <w:noProof/>
        </w:rPr>
        <w:drawing>
          <wp:inline distT="0" distB="0" distL="0" distR="0" wp14:anchorId="6F30B914" wp14:editId="6D2DBA0D">
            <wp:extent cx="4630330" cy="3253563"/>
            <wp:effectExtent l="0" t="0" r="0" b="4445"/>
            <wp:docPr id="2064467804" name="Picture 2064467804" descr="Figure 8: KM and modelled PFS and OS curves (best supportive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467804" name="Picture 2064467804" descr="Figure 8: KM and modelled PFS and OS curves (best supportive care)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41301" cy="3261272"/>
                    </a:xfrm>
                    <a:prstGeom prst="rect">
                      <a:avLst/>
                    </a:prstGeom>
                  </pic:spPr>
                </pic:pic>
              </a:graphicData>
            </a:graphic>
          </wp:inline>
        </w:drawing>
      </w:r>
    </w:p>
    <w:p w14:paraId="60DA937A" w14:textId="6301B224" w:rsidR="004D1A12" w:rsidRPr="003E7195" w:rsidRDefault="004D1A12" w:rsidP="00EA008F">
      <w:pPr>
        <w:pStyle w:val="TableFigureFooter"/>
        <w:jc w:val="both"/>
        <w:rPr>
          <w:color w:val="0D0D0D" w:themeColor="text1" w:themeTint="F2"/>
        </w:rPr>
      </w:pPr>
      <w:r w:rsidRPr="003E7195">
        <w:rPr>
          <w:color w:val="0D0D0D" w:themeColor="text1" w:themeTint="F2"/>
        </w:rPr>
        <w:t xml:space="preserve">Source: </w:t>
      </w:r>
      <w:r w:rsidRPr="006A19AD">
        <w:rPr>
          <w:color w:val="0D0D0D" w:themeColor="text1" w:themeTint="F2"/>
        </w:rPr>
        <w:t xml:space="preserve">Constructed during </w:t>
      </w:r>
      <w:r w:rsidR="00DC5CF3">
        <w:rPr>
          <w:color w:val="0D0D0D" w:themeColor="text1" w:themeTint="F2"/>
        </w:rPr>
        <w:t>commentary</w:t>
      </w:r>
      <w:r w:rsidRPr="003E7195">
        <w:rPr>
          <w:i/>
          <w:iCs/>
          <w:color w:val="0D0D0D" w:themeColor="text1" w:themeTint="F2"/>
        </w:rPr>
        <w:t>,</w:t>
      </w:r>
      <w:r w:rsidRPr="003E7195">
        <w:rPr>
          <w:color w:val="0D0D0D" w:themeColor="text1" w:themeTint="F2"/>
        </w:rPr>
        <w:t xml:space="preserve"> based on the ‘Extrapolations’, ‘Model_Tx (TP)’ and ‘Model_Cx (TN, FN, SOC)’ spreadsheets in the “3.1_Ivosidenib cost-effectiveness model” Workbook provided in the submission.</w:t>
      </w:r>
    </w:p>
    <w:p w14:paraId="3C58875D" w14:textId="77777777" w:rsidR="004D1A12" w:rsidRPr="003E7195" w:rsidRDefault="004D1A12" w:rsidP="00EA008F">
      <w:pPr>
        <w:pStyle w:val="TableFigureFooter"/>
        <w:jc w:val="both"/>
        <w:rPr>
          <w:color w:val="0D0D0D" w:themeColor="text1" w:themeTint="F2"/>
        </w:rPr>
      </w:pPr>
      <w:r w:rsidRPr="003E7195">
        <w:rPr>
          <w:color w:val="0D0D0D" w:themeColor="text1" w:themeTint="F2"/>
        </w:rPr>
        <w:t>Cx = comparator; KM = Kaplan-Meier; OS = overall survival; PFS = progression-free survival; ToT = time-on-treatment</w:t>
      </w:r>
    </w:p>
    <w:p w14:paraId="3BEE9A8F" w14:textId="249441FD" w:rsidR="00783A96" w:rsidRPr="00C30625" w:rsidRDefault="004D1A12" w:rsidP="007E0187">
      <w:pPr>
        <w:pStyle w:val="ListParagraph"/>
      </w:pPr>
      <w:bookmarkStart w:id="58" w:name="_Ref169513282"/>
      <w:bookmarkStart w:id="59" w:name="_Ref169518038"/>
      <w:r w:rsidRPr="003E7195">
        <w:t>The submission applied utility weights of 0.85 to patients in the PF health state and 0.80 in the PD state, which were derived from the HRQoL assessments of the ClarIDHy trial using the EQ-5D-5L (and mapped using the Australian value set</w:t>
      </w:r>
      <w:r w:rsidRPr="00181B1F">
        <w:t xml:space="preserve">). The utility weights applied appeared to be clinically implausible, especially for the PD health state, and were higher than the utility weights that have been previously considered by the PBAC in first-line treatment of advanced bile tract cancer (PF=0.857, PD=0.766; Table 14, durvalumab PSD, March 2023 PBAC meeting) and advanced hepatocellular carcinoma (PF=0.769, PD=0.627; Table 12, </w:t>
      </w:r>
      <w:r w:rsidR="00244652">
        <w:t>a</w:t>
      </w:r>
      <w:r w:rsidRPr="00181B1F">
        <w:t xml:space="preserve">tezolizumab and bevacizumab PSD, July 2020 PBAC meeting). The ICER was highly sensitive to the utility weights applied, especially for the PD state, as patients treated with ivosidenib spend a longer time in the PD health state compared to patients in the BSC arm of the trial. Further, more LYs are gained in the PD state compared to the PF state. </w:t>
      </w:r>
      <w:r w:rsidR="005378CA" w:rsidRPr="00C30625">
        <w:t xml:space="preserve">The PSCR </w:t>
      </w:r>
      <w:r w:rsidR="00E8537F">
        <w:t xml:space="preserve">and pre-PBAC response </w:t>
      </w:r>
      <w:r w:rsidR="005378CA" w:rsidRPr="00C30625">
        <w:t xml:space="preserve">noted that </w:t>
      </w:r>
      <w:r w:rsidR="001C3D46" w:rsidRPr="00C30625">
        <w:t xml:space="preserve">trial-based HRQoL data from the pivotal trial were used, </w:t>
      </w:r>
      <w:r w:rsidR="00B81014" w:rsidRPr="00C30625">
        <w:t>as per PBAC preference</w:t>
      </w:r>
      <w:r w:rsidR="00376946" w:rsidRPr="00C30625">
        <w:t xml:space="preserve">, ensuring that the </w:t>
      </w:r>
      <w:r w:rsidR="00102F68" w:rsidRPr="00C30625">
        <w:t>model is internally consistent</w:t>
      </w:r>
      <w:r w:rsidR="00B81014" w:rsidRPr="00C30625">
        <w:t>.</w:t>
      </w:r>
      <w:r w:rsidR="001C3D46" w:rsidRPr="00C30625">
        <w:t xml:space="preserve"> </w:t>
      </w:r>
      <w:r w:rsidR="007C6346" w:rsidRPr="00C30625">
        <w:t xml:space="preserve">The PSCR </w:t>
      </w:r>
      <w:r w:rsidR="00E8537F">
        <w:t xml:space="preserve">and pre-PBAC response </w:t>
      </w:r>
      <w:r w:rsidR="007C6346" w:rsidRPr="00C30625">
        <w:t xml:space="preserve">also noted that </w:t>
      </w:r>
      <w:r w:rsidR="00AD1D8D" w:rsidRPr="00C30625">
        <w:t>a</w:t>
      </w:r>
      <w:r w:rsidR="007C6346" w:rsidRPr="00C30625">
        <w:t>t baseline, most participants in both arms of the trial noted ‘no problems’ or only ‘slight problems’ across all domains of the EQ-5D</w:t>
      </w:r>
      <w:r w:rsidR="00AD1D8D" w:rsidRPr="00C30625">
        <w:t xml:space="preserve">, which is consistent with </w:t>
      </w:r>
      <w:r w:rsidR="007C6346" w:rsidRPr="00C30625">
        <w:t xml:space="preserve">the </w:t>
      </w:r>
      <w:bookmarkStart w:id="60" w:name="_Int_EHF8eYFt"/>
      <w:r w:rsidR="007C6346" w:rsidRPr="00C30625">
        <w:t>relatively high</w:t>
      </w:r>
      <w:bookmarkEnd w:id="60"/>
      <w:r w:rsidR="007C6346" w:rsidRPr="00C30625">
        <w:t xml:space="preserve"> utility weights applied to the PFS health state</w:t>
      </w:r>
      <w:r w:rsidR="00AD1D8D" w:rsidRPr="00C30625">
        <w:t>.</w:t>
      </w:r>
      <w:r w:rsidR="007C6346" w:rsidRPr="00C30625">
        <w:t xml:space="preserve"> </w:t>
      </w:r>
      <w:r w:rsidR="00903AD7" w:rsidRPr="00C30625">
        <w:t xml:space="preserve">The ESCs agreed with the </w:t>
      </w:r>
      <w:r w:rsidR="00DC5CF3">
        <w:t>commentary</w:t>
      </w:r>
      <w:r w:rsidR="00903AD7" w:rsidRPr="00C30625">
        <w:t xml:space="preserve"> that the reported weights did not have face validity</w:t>
      </w:r>
      <w:r w:rsidR="0071303D" w:rsidRPr="00C30625">
        <w:t>, noting that the</w:t>
      </w:r>
      <w:r w:rsidR="00101C8F" w:rsidRPr="00C30625">
        <w:t xml:space="preserve"> values are close to</w:t>
      </w:r>
      <w:r w:rsidR="00B12553" w:rsidRPr="00C30625">
        <w:t xml:space="preserve">, or at, population norms, even for the </w:t>
      </w:r>
      <w:r w:rsidR="00D629C9" w:rsidRPr="00C30625">
        <w:t>PD</w:t>
      </w:r>
      <w:r w:rsidR="0069249B" w:rsidRPr="00C30625">
        <w:t xml:space="preserve"> state. </w:t>
      </w:r>
      <w:r w:rsidR="001C3593" w:rsidRPr="00C30625">
        <w:t xml:space="preserve">The ESCs noted that </w:t>
      </w:r>
      <w:r w:rsidR="00286264" w:rsidRPr="00C30625">
        <w:t>utility values in the PD state</w:t>
      </w:r>
      <w:r w:rsidR="001C3593" w:rsidRPr="00C30625">
        <w:t xml:space="preserve"> may be </w:t>
      </w:r>
      <w:r w:rsidR="00F903E4" w:rsidRPr="00C30625">
        <w:t>impacted by</w:t>
      </w:r>
      <w:r w:rsidR="001C3593" w:rsidRPr="00C30625">
        <w:t xml:space="preserve"> the </w:t>
      </w:r>
      <w:r w:rsidR="00016E29" w:rsidRPr="00C30625">
        <w:t xml:space="preserve">point at which QoL was measured </w:t>
      </w:r>
      <w:r w:rsidR="009B23D0" w:rsidRPr="00C30625">
        <w:t xml:space="preserve">in the </w:t>
      </w:r>
      <w:r w:rsidR="00424BC8" w:rsidRPr="00C30625">
        <w:t>Clar</w:t>
      </w:r>
      <w:r w:rsidR="002C6E7A" w:rsidRPr="00C30625">
        <w:t>IDy trial (prior to cross-over)</w:t>
      </w:r>
      <w:r w:rsidR="00E37FA9" w:rsidRPr="00C30625">
        <w:t xml:space="preserve"> and the small number of patients with data to inform the values</w:t>
      </w:r>
      <w:r w:rsidR="00990787">
        <w:t xml:space="preserve"> (as discussed in paragraph </w:t>
      </w:r>
      <w:r w:rsidR="00990787">
        <w:fldChar w:fldCharType="begin" w:fldLock="1"/>
      </w:r>
      <w:r w:rsidR="00990787">
        <w:instrText xml:space="preserve"> REF _Ref173826102 \r \h </w:instrText>
      </w:r>
      <w:r w:rsidR="00990787">
        <w:fldChar w:fldCharType="separate"/>
      </w:r>
      <w:r w:rsidR="00CB6594">
        <w:t>6.27</w:t>
      </w:r>
      <w:r w:rsidR="00990787">
        <w:fldChar w:fldCharType="end"/>
      </w:r>
      <w:r w:rsidR="00990787">
        <w:t>)</w:t>
      </w:r>
      <w:r w:rsidR="002C6E7A" w:rsidRPr="00C30625">
        <w:t xml:space="preserve">. </w:t>
      </w:r>
      <w:r w:rsidR="00903AD7" w:rsidRPr="00C30625">
        <w:t xml:space="preserve">The ESCs </w:t>
      </w:r>
      <w:r w:rsidR="00903AD7" w:rsidRPr="00C30625">
        <w:lastRenderedPageBreak/>
        <w:t xml:space="preserve">advised that the alternative weights considered in previous PBAC considerations would be appropriate to use in a respecified base case, given the </w:t>
      </w:r>
      <w:r w:rsidR="00134762" w:rsidRPr="00C30625">
        <w:t xml:space="preserve">lack of face validity for the </w:t>
      </w:r>
      <w:r w:rsidR="00400BFE" w:rsidRPr="00C30625">
        <w:t>values from the ClarIDy trial.</w:t>
      </w:r>
      <w:bookmarkEnd w:id="58"/>
      <w:r w:rsidR="00BC0703" w:rsidRPr="00C30625">
        <w:t xml:space="preserve"> The PBAC considered the values </w:t>
      </w:r>
      <w:r w:rsidR="00A0262C" w:rsidRPr="00C30625">
        <w:t>used in the</w:t>
      </w:r>
      <w:r w:rsidR="006A7AF4" w:rsidRPr="00C30625">
        <w:t xml:space="preserve"> durvalumab submission </w:t>
      </w:r>
      <w:r w:rsidR="006C444A" w:rsidRPr="00C30625">
        <w:t>(PF=0.857, PD=0.766</w:t>
      </w:r>
      <w:r w:rsidR="008A21EF" w:rsidRPr="00C30625">
        <w:t xml:space="preserve">, </w:t>
      </w:r>
      <w:r w:rsidR="00ED1831" w:rsidRPr="00C30625">
        <w:t xml:space="preserve">Table 14, durvalumab PSD, March 2023 PBAC meeting) </w:t>
      </w:r>
      <w:r w:rsidR="006A7AF4" w:rsidRPr="00C30625">
        <w:t xml:space="preserve">would be </w:t>
      </w:r>
      <w:r w:rsidR="00991B92" w:rsidRPr="00C30625">
        <w:t>most reasonable.</w:t>
      </w:r>
      <w:bookmarkEnd w:id="59"/>
    </w:p>
    <w:p w14:paraId="2B4DBEAC" w14:textId="17337333" w:rsidR="004D1A12" w:rsidRPr="00E76ABB" w:rsidRDefault="004D1A12" w:rsidP="007E0187">
      <w:pPr>
        <w:pStyle w:val="ListParagraph"/>
        <w:rPr>
          <w:i/>
        </w:rPr>
      </w:pPr>
      <w:r w:rsidRPr="003E7195">
        <w:t>The life years (LYs) (discounted) gained over the model time horizon for the ivosidenib and BSC arms are presented in</w:t>
      </w:r>
      <w:r w:rsidR="00990787">
        <w:t xml:space="preserve"> </w:t>
      </w:r>
      <w:r w:rsidR="005269FF">
        <w:fldChar w:fldCharType="begin" w:fldLock="1"/>
      </w:r>
      <w:r w:rsidR="005269FF">
        <w:instrText xml:space="preserve"> REF _Ref173494554 \h </w:instrText>
      </w:r>
      <w:r w:rsidR="005269FF">
        <w:fldChar w:fldCharType="separate"/>
      </w:r>
      <w:r w:rsidR="00CB6594">
        <w:t xml:space="preserve">Figure </w:t>
      </w:r>
      <w:r w:rsidR="00CB6594">
        <w:rPr>
          <w:noProof/>
        </w:rPr>
        <w:t>9</w:t>
      </w:r>
      <w:r w:rsidR="005269FF">
        <w:fldChar w:fldCharType="end"/>
      </w:r>
      <w:r w:rsidRPr="00C30625">
        <w:t xml:space="preserve">. </w:t>
      </w:r>
      <w:r w:rsidR="00C72EAE" w:rsidRPr="00C30625">
        <w:t>49% and 46% of the LYs (discounted) were gained in the extrapolated period for the ivosidenib arm and placebo arm, respectively.</w:t>
      </w:r>
    </w:p>
    <w:p w14:paraId="088781D9" w14:textId="262702E9" w:rsidR="00B453B0" w:rsidRDefault="00B453B0" w:rsidP="00013016">
      <w:pPr>
        <w:pStyle w:val="Caption"/>
      </w:pPr>
      <w:bookmarkStart w:id="61" w:name="_Ref173494554"/>
      <w:r>
        <w:t xml:space="preserve">Figure </w:t>
      </w:r>
      <w:r w:rsidR="00841FC2">
        <w:fldChar w:fldCharType="begin" w:fldLock="1"/>
      </w:r>
      <w:r w:rsidR="00841FC2">
        <w:instrText xml:space="preserve"> SEQ Figure \* ARABIC </w:instrText>
      </w:r>
      <w:r w:rsidR="00841FC2">
        <w:fldChar w:fldCharType="separate"/>
      </w:r>
      <w:r w:rsidR="00CB6594">
        <w:rPr>
          <w:noProof/>
        </w:rPr>
        <w:t>9</w:t>
      </w:r>
      <w:r w:rsidR="00841FC2">
        <w:rPr>
          <w:noProof/>
        </w:rPr>
        <w:fldChar w:fldCharType="end"/>
      </w:r>
      <w:bookmarkEnd w:id="61"/>
      <w:r w:rsidR="00EA008F">
        <w:rPr>
          <w:noProof/>
        </w:rPr>
        <w:t xml:space="preserve">: </w:t>
      </w:r>
      <w:r w:rsidRPr="003E7195">
        <w:t>LYs (discounted) gained over the modelled time horizon, by treatment arm</w:t>
      </w:r>
    </w:p>
    <w:p w14:paraId="58B36C89" w14:textId="77777777" w:rsidR="004D1A12" w:rsidRPr="003E7195" w:rsidRDefault="004D1A12" w:rsidP="005269FF">
      <w:pPr>
        <w:keepNext/>
        <w:keepLines/>
        <w:spacing w:before="0" w:after="0"/>
        <w:ind w:left="720" w:hanging="720"/>
        <w:jc w:val="left"/>
        <w:rPr>
          <w:color w:val="0D0D0D" w:themeColor="text1" w:themeTint="F2"/>
        </w:rPr>
      </w:pPr>
      <w:r w:rsidRPr="003E7195">
        <w:rPr>
          <w:noProof/>
          <w:color w:val="0D0D0D" w:themeColor="text1" w:themeTint="F2"/>
        </w:rPr>
        <w:drawing>
          <wp:inline distT="0" distB="0" distL="0" distR="0" wp14:anchorId="17DEC7F9" wp14:editId="2BBA818C">
            <wp:extent cx="5015394" cy="3139470"/>
            <wp:effectExtent l="0" t="0" r="0" b="0"/>
            <wp:docPr id="24714302" name="Picture 24714302" descr="Figure 9: LYs (discounted) gained over the modelled time horizon, by treatmen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4302" name="Picture 24714302" descr="Figure 9: LYs (discounted) gained over the modelled time horizon, by treatment arm"/>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15394" cy="3139470"/>
                    </a:xfrm>
                    <a:prstGeom prst="rect">
                      <a:avLst/>
                    </a:prstGeom>
                  </pic:spPr>
                </pic:pic>
              </a:graphicData>
            </a:graphic>
          </wp:inline>
        </w:drawing>
      </w:r>
    </w:p>
    <w:p w14:paraId="76579750" w14:textId="05AD0E3A" w:rsidR="004D1A12" w:rsidRPr="003E7195" w:rsidRDefault="004D1A12" w:rsidP="005269FF">
      <w:pPr>
        <w:pStyle w:val="TableFigureFooter"/>
        <w:keepNext/>
        <w:keepLines/>
        <w:rPr>
          <w:color w:val="0D0D0D" w:themeColor="text1" w:themeTint="F2"/>
        </w:rPr>
      </w:pPr>
      <w:r w:rsidRPr="003E7195">
        <w:rPr>
          <w:color w:val="0D0D0D" w:themeColor="text1" w:themeTint="F2"/>
        </w:rPr>
        <w:t xml:space="preserve">Source: </w:t>
      </w:r>
      <w:r w:rsidRPr="003D69AA">
        <w:rPr>
          <w:color w:val="0D0D0D" w:themeColor="text1" w:themeTint="F2"/>
        </w:rPr>
        <w:t xml:space="preserve">Constructed during </w:t>
      </w:r>
      <w:r w:rsidR="00DC5CF3">
        <w:rPr>
          <w:color w:val="0D0D0D" w:themeColor="text1" w:themeTint="F2"/>
        </w:rPr>
        <w:t>commentary</w:t>
      </w:r>
      <w:r w:rsidRPr="003E7195">
        <w:rPr>
          <w:i/>
          <w:iCs/>
          <w:color w:val="0D0D0D" w:themeColor="text1" w:themeTint="F2"/>
        </w:rPr>
        <w:t>,</w:t>
      </w:r>
      <w:r w:rsidRPr="003E7195">
        <w:rPr>
          <w:color w:val="0D0D0D" w:themeColor="text1" w:themeTint="F2"/>
        </w:rPr>
        <w:t xml:space="preserve"> based on the ‘Model_Tx (TP)’ and ‘Model_Cx (TN, FN, SOC)’ spreadsheets in the “3.1_Ivosidenib cost-effectiveness model” Workbook provided in the submission.</w:t>
      </w:r>
    </w:p>
    <w:p w14:paraId="1954C636" w14:textId="77777777" w:rsidR="004D1A12" w:rsidRPr="003E7195" w:rsidRDefault="004D1A12" w:rsidP="00EA008F">
      <w:pPr>
        <w:pStyle w:val="TableFigureFooter"/>
        <w:keepLines/>
        <w:rPr>
          <w:color w:val="0D0D0D" w:themeColor="text1" w:themeTint="F2"/>
        </w:rPr>
      </w:pPr>
      <w:r w:rsidRPr="003E7195">
        <w:rPr>
          <w:color w:val="0D0D0D" w:themeColor="text1" w:themeTint="F2"/>
        </w:rPr>
        <w:t>Cx = comparator arm; LYs = life years; Tx = treatment arm</w:t>
      </w:r>
    </w:p>
    <w:p w14:paraId="6444B9B1" w14:textId="1EB050DF" w:rsidR="004D1A12" w:rsidRPr="003E7195" w:rsidRDefault="004D1A12" w:rsidP="007E0187">
      <w:pPr>
        <w:pStyle w:val="ListParagraph"/>
      </w:pPr>
      <w:r w:rsidRPr="003E7195">
        <w:t xml:space="preserve">The key drivers of the economic model are summarised in </w:t>
      </w:r>
      <w:r w:rsidRPr="003E7195">
        <w:fldChar w:fldCharType="begin" w:fldLock="1"/>
      </w:r>
      <w:r w:rsidRPr="003E7195">
        <w:instrText xml:space="preserve"> REF _Ref164256109 \h </w:instrText>
      </w:r>
      <w:r w:rsidRPr="003E7195">
        <w:fldChar w:fldCharType="separate"/>
      </w:r>
      <w:r w:rsidR="00CB6594" w:rsidRPr="003E7195">
        <w:t xml:space="preserve">Table </w:t>
      </w:r>
      <w:r w:rsidR="00CB6594">
        <w:rPr>
          <w:noProof/>
        </w:rPr>
        <w:t>12</w:t>
      </w:r>
      <w:r w:rsidRPr="003E7195">
        <w:fldChar w:fldCharType="end"/>
      </w:r>
      <w:r w:rsidRPr="003E7195">
        <w:t>.</w:t>
      </w:r>
    </w:p>
    <w:p w14:paraId="3B949E5B" w14:textId="1B570271" w:rsidR="004D1A12" w:rsidRPr="003E7195" w:rsidRDefault="004D1A12" w:rsidP="00EA008F">
      <w:pPr>
        <w:pStyle w:val="Caption"/>
        <w:spacing w:line="240" w:lineRule="auto"/>
      </w:pPr>
      <w:bookmarkStart w:id="62" w:name="_Ref164256109"/>
      <w:r w:rsidRPr="003E7195">
        <w:lastRenderedPageBreak/>
        <w:t xml:space="preserve">Table </w:t>
      </w:r>
      <w:r w:rsidR="00841FC2">
        <w:fldChar w:fldCharType="begin" w:fldLock="1"/>
      </w:r>
      <w:r w:rsidR="00841FC2">
        <w:instrText xml:space="preserve"> SEQ Table_PBAC. \* ARABIC </w:instrText>
      </w:r>
      <w:r w:rsidR="00841FC2">
        <w:fldChar w:fldCharType="separate"/>
      </w:r>
      <w:r w:rsidR="00CB6594">
        <w:rPr>
          <w:noProof/>
        </w:rPr>
        <w:t>12</w:t>
      </w:r>
      <w:r w:rsidR="00841FC2">
        <w:rPr>
          <w:noProof/>
        </w:rPr>
        <w:fldChar w:fldCharType="end"/>
      </w:r>
      <w:bookmarkEnd w:id="62"/>
      <w:r w:rsidR="00EA008F">
        <w:rPr>
          <w:noProof/>
        </w:rPr>
        <w:t xml:space="preserve">: </w:t>
      </w:r>
      <w:r w:rsidRPr="003E7195">
        <w:t xml:space="preserve">Key drivers of the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
      </w:tblPr>
      <w:tblGrid>
        <w:gridCol w:w="1413"/>
        <w:gridCol w:w="4254"/>
        <w:gridCol w:w="3349"/>
      </w:tblGrid>
      <w:tr w:rsidR="004D1A12" w:rsidRPr="003E7195" w14:paraId="6F0A9CD3" w14:textId="77777777" w:rsidTr="00673312">
        <w:trPr>
          <w:tblHeader/>
        </w:trPr>
        <w:tc>
          <w:tcPr>
            <w:tcW w:w="784" w:type="pct"/>
            <w:shd w:val="clear" w:color="auto" w:fill="auto"/>
            <w:vAlign w:val="center"/>
          </w:tcPr>
          <w:p w14:paraId="4F8BE7D8" w14:textId="77777777" w:rsidR="004D1A12" w:rsidRPr="003E7195" w:rsidRDefault="004D1A12" w:rsidP="00EA008F">
            <w:pPr>
              <w:pStyle w:val="In-tableHeading"/>
              <w:rPr>
                <w:color w:val="0D0D0D" w:themeColor="text1" w:themeTint="F2"/>
                <w:lang w:val="en-AU"/>
              </w:rPr>
            </w:pPr>
            <w:r w:rsidRPr="003E7195">
              <w:rPr>
                <w:color w:val="0D0D0D" w:themeColor="text1" w:themeTint="F2"/>
                <w:lang w:val="en-AU"/>
              </w:rPr>
              <w:t>Description</w:t>
            </w:r>
          </w:p>
        </w:tc>
        <w:tc>
          <w:tcPr>
            <w:tcW w:w="2359" w:type="pct"/>
            <w:shd w:val="clear" w:color="auto" w:fill="auto"/>
            <w:vAlign w:val="center"/>
          </w:tcPr>
          <w:p w14:paraId="454A1AB1" w14:textId="77777777" w:rsidR="004D1A12" w:rsidRPr="003E7195" w:rsidRDefault="004D1A12" w:rsidP="00EA008F">
            <w:pPr>
              <w:pStyle w:val="In-tableHeading"/>
              <w:rPr>
                <w:color w:val="0D0D0D" w:themeColor="text1" w:themeTint="F2"/>
                <w:lang w:val="en-AU"/>
              </w:rPr>
            </w:pPr>
            <w:r w:rsidRPr="003E7195">
              <w:rPr>
                <w:color w:val="0D0D0D" w:themeColor="text1" w:themeTint="F2"/>
                <w:lang w:val="en-AU"/>
              </w:rPr>
              <w:t>Method/Value</w:t>
            </w:r>
          </w:p>
        </w:tc>
        <w:tc>
          <w:tcPr>
            <w:tcW w:w="1858" w:type="pct"/>
            <w:shd w:val="clear" w:color="auto" w:fill="auto"/>
            <w:vAlign w:val="center"/>
          </w:tcPr>
          <w:p w14:paraId="46EECE3E" w14:textId="77777777" w:rsidR="004D1A12" w:rsidRPr="003E7195" w:rsidRDefault="004D1A12" w:rsidP="00EA008F">
            <w:pPr>
              <w:pStyle w:val="In-tableHeading"/>
              <w:jc w:val="center"/>
              <w:rPr>
                <w:color w:val="0D0D0D" w:themeColor="text1" w:themeTint="F2"/>
                <w:lang w:val="en-AU"/>
              </w:rPr>
            </w:pPr>
            <w:r w:rsidRPr="003E7195">
              <w:rPr>
                <w:color w:val="0D0D0D" w:themeColor="text1" w:themeTint="F2"/>
                <w:lang w:val="en-AU"/>
              </w:rPr>
              <w:t xml:space="preserve">Impact </w:t>
            </w:r>
          </w:p>
          <w:p w14:paraId="526B0779" w14:textId="67D91585" w:rsidR="004D1A12" w:rsidRPr="003E7195" w:rsidRDefault="004D1A12" w:rsidP="00EA008F">
            <w:pPr>
              <w:pStyle w:val="In-tableHeading"/>
              <w:jc w:val="center"/>
              <w:rPr>
                <w:color w:val="0D0D0D" w:themeColor="text1" w:themeTint="F2"/>
                <w:lang w:val="en-AU"/>
              </w:rPr>
            </w:pPr>
            <w:r w:rsidRPr="003E7195">
              <w:rPr>
                <w:color w:val="0D0D0D" w:themeColor="text1" w:themeTint="F2"/>
                <w:lang w:val="en-AU"/>
              </w:rPr>
              <w:t>(base case ICER: $</w:t>
            </w:r>
            <w:r w:rsidR="00E26C98" w:rsidRPr="00E26C98">
              <w:rPr>
                <w:color w:val="0D0D0D" w:themeColor="text1" w:themeTint="F2"/>
                <w:spacing w:val="48"/>
                <w:shd w:val="solid" w:color="000000" w:fill="000000"/>
                <w:fitText w:val="330" w:id="-893744894"/>
                <w:lang w:val="en-AU"/>
                <w14:textFill>
                  <w14:solidFill>
                    <w14:schemeClr w14:val="tx1">
                      <w14:alpha w14:val="100000"/>
                      <w14:lumMod w14:val="95000"/>
                      <w14:lumOff w14:val="5000"/>
                    </w14:schemeClr>
                  </w14:solidFill>
                </w14:textFill>
              </w:rPr>
              <w:t>|||</w:t>
            </w:r>
            <w:r w:rsidR="00E26C98" w:rsidRPr="00E26C98">
              <w:rPr>
                <w:color w:val="0D0D0D" w:themeColor="text1" w:themeTint="F2"/>
                <w:spacing w:val="3"/>
                <w:shd w:val="solid" w:color="000000" w:fill="000000"/>
                <w:fitText w:val="330" w:id="-893744894"/>
                <w:lang w:val="en-AU"/>
                <w14:textFill>
                  <w14:solidFill>
                    <w14:schemeClr w14:val="tx1">
                      <w14:alpha w14:val="100000"/>
                      <w14:lumMod w14:val="95000"/>
                      <w14:lumOff w14:val="5000"/>
                    </w14:schemeClr>
                  </w14:solidFill>
                </w14:textFill>
              </w:rPr>
              <w:t>|</w:t>
            </w:r>
            <w:r w:rsidR="006540F8" w:rsidRPr="003B0EA5">
              <w:rPr>
                <w:color w:val="0D0D0D" w:themeColor="text1" w:themeTint="F2"/>
                <w:vertAlign w:val="superscript"/>
                <w:lang w:val="en-AU"/>
              </w:rPr>
              <w:t>1</w:t>
            </w:r>
            <w:r w:rsidRPr="003E7195">
              <w:rPr>
                <w:color w:val="0D0D0D" w:themeColor="text1" w:themeTint="F2"/>
                <w:lang w:val="en-AU"/>
              </w:rPr>
              <w:t xml:space="preserve">/QALY gained) </w:t>
            </w:r>
          </w:p>
        </w:tc>
      </w:tr>
      <w:tr w:rsidR="004D1A12" w:rsidRPr="003E7195" w14:paraId="005FC5E2" w14:textId="77777777" w:rsidTr="00673312">
        <w:tc>
          <w:tcPr>
            <w:tcW w:w="784" w:type="pct"/>
            <w:shd w:val="clear" w:color="auto" w:fill="auto"/>
            <w:vAlign w:val="center"/>
          </w:tcPr>
          <w:p w14:paraId="052F2BC3" w14:textId="77777777" w:rsidR="004D1A12" w:rsidRPr="003E7195" w:rsidRDefault="004D1A12" w:rsidP="00EA008F">
            <w:pPr>
              <w:pStyle w:val="TableText"/>
              <w:keepNext/>
              <w:rPr>
                <w:color w:val="0D0D0D" w:themeColor="text1" w:themeTint="F2"/>
              </w:rPr>
            </w:pPr>
            <w:r w:rsidRPr="003E7195">
              <w:rPr>
                <w:color w:val="0D0D0D" w:themeColor="text1" w:themeTint="F2"/>
              </w:rPr>
              <w:t>Extrapolation of OS for the ivosidenib arm</w:t>
            </w:r>
          </w:p>
        </w:tc>
        <w:tc>
          <w:tcPr>
            <w:tcW w:w="2359" w:type="pct"/>
            <w:shd w:val="clear" w:color="auto" w:fill="auto"/>
            <w:vAlign w:val="center"/>
          </w:tcPr>
          <w:p w14:paraId="7DAE9AE6" w14:textId="374AF24C" w:rsidR="004D1A12" w:rsidRPr="003E7195" w:rsidRDefault="004D1A12" w:rsidP="00EA008F">
            <w:pPr>
              <w:pStyle w:val="TableText"/>
              <w:keepNext/>
              <w:rPr>
                <w:i/>
                <w:iCs/>
                <w:color w:val="0D0D0D" w:themeColor="text1" w:themeTint="F2"/>
              </w:rPr>
            </w:pPr>
            <w:r w:rsidRPr="003E7195">
              <w:rPr>
                <w:color w:val="0D0D0D" w:themeColor="text1" w:themeTint="F2"/>
              </w:rPr>
              <w:t xml:space="preserve">The log-normal model was fitted to the trial KM OS data in the base case analysis. </w:t>
            </w:r>
          </w:p>
        </w:tc>
        <w:tc>
          <w:tcPr>
            <w:tcW w:w="1858" w:type="pct"/>
            <w:shd w:val="clear" w:color="auto" w:fill="auto"/>
            <w:vAlign w:val="center"/>
          </w:tcPr>
          <w:p w14:paraId="2E795933" w14:textId="309D7435" w:rsidR="004D1A12" w:rsidRPr="00181B1F" w:rsidRDefault="004D1A12" w:rsidP="00EA008F">
            <w:pPr>
              <w:pStyle w:val="TableText"/>
              <w:keepNext/>
              <w:rPr>
                <w:color w:val="0D0D0D" w:themeColor="text1" w:themeTint="F2"/>
              </w:rPr>
            </w:pPr>
            <w:r w:rsidRPr="00181B1F">
              <w:rPr>
                <w:color w:val="0D0D0D" w:themeColor="text1" w:themeTint="F2"/>
              </w:rPr>
              <w:t>High – favours ivosidenib. When the exponential model is fitted to the trial data, the ICER increased to $</w:t>
            </w:r>
            <w:r w:rsidR="00E26C98" w:rsidRPr="00E26C98">
              <w:rPr>
                <w:color w:val="0D0D0D" w:themeColor="text1" w:themeTint="F2"/>
                <w:spacing w:val="53"/>
                <w:shd w:val="solid" w:color="000000" w:fill="000000"/>
                <w:fitText w:val="330" w:id="-893744893"/>
                <w14:textFill>
                  <w14:solidFill>
                    <w14:schemeClr w14:val="tx1">
                      <w14:alpha w14:val="100000"/>
                      <w14:lumMod w14:val="95000"/>
                      <w14:lumOff w14:val="5000"/>
                    </w14:schemeClr>
                  </w14:solidFill>
                </w14:textFill>
              </w:rPr>
              <w:t>|||</w:t>
            </w:r>
            <w:r w:rsidR="00E26C98" w:rsidRPr="00E26C98">
              <w:rPr>
                <w:color w:val="0D0D0D" w:themeColor="text1" w:themeTint="F2"/>
                <w:spacing w:val="1"/>
                <w:shd w:val="solid" w:color="000000" w:fill="000000"/>
                <w:fitText w:val="330" w:id="-893744893"/>
                <w14:textFill>
                  <w14:solidFill>
                    <w14:schemeClr w14:val="tx1">
                      <w14:alpha w14:val="100000"/>
                      <w14:lumMod w14:val="95000"/>
                      <w14:lumOff w14:val="5000"/>
                    </w14:schemeClr>
                  </w14:solidFill>
                </w14:textFill>
              </w:rPr>
              <w:t>|</w:t>
            </w:r>
            <w:r w:rsidR="006540F8" w:rsidRPr="003B0EA5">
              <w:rPr>
                <w:color w:val="0D0D0D" w:themeColor="text1" w:themeTint="F2"/>
                <w:vertAlign w:val="superscript"/>
              </w:rPr>
              <w:t>2</w:t>
            </w:r>
            <w:r w:rsidRPr="00181B1F">
              <w:rPr>
                <w:color w:val="0D0D0D" w:themeColor="text1" w:themeTint="F2"/>
              </w:rPr>
              <w:t xml:space="preserve">/QALY gained.  </w:t>
            </w:r>
          </w:p>
        </w:tc>
      </w:tr>
      <w:tr w:rsidR="004D1A12" w:rsidRPr="003E7195" w14:paraId="148BDC50" w14:textId="77777777" w:rsidTr="00673312">
        <w:tc>
          <w:tcPr>
            <w:tcW w:w="784" w:type="pct"/>
            <w:shd w:val="clear" w:color="auto" w:fill="auto"/>
            <w:vAlign w:val="center"/>
          </w:tcPr>
          <w:p w14:paraId="585E74C5" w14:textId="77777777" w:rsidR="004D1A12" w:rsidRPr="003E7195" w:rsidRDefault="004D1A12" w:rsidP="00EA008F">
            <w:pPr>
              <w:pStyle w:val="TableText"/>
              <w:keepNext/>
              <w:rPr>
                <w:color w:val="0D0D0D" w:themeColor="text1" w:themeTint="F2"/>
              </w:rPr>
            </w:pPr>
            <w:r w:rsidRPr="003E7195">
              <w:rPr>
                <w:color w:val="0D0D0D" w:themeColor="text1" w:themeTint="F2"/>
              </w:rPr>
              <w:t>Utilities</w:t>
            </w:r>
          </w:p>
        </w:tc>
        <w:tc>
          <w:tcPr>
            <w:tcW w:w="2359" w:type="pct"/>
            <w:shd w:val="clear" w:color="auto" w:fill="auto"/>
            <w:vAlign w:val="center"/>
          </w:tcPr>
          <w:p w14:paraId="3AB27EC3" w14:textId="79AE048D" w:rsidR="004D1A12" w:rsidRPr="003E7195" w:rsidRDefault="004D1A12" w:rsidP="00EA008F">
            <w:pPr>
              <w:pStyle w:val="TableText"/>
              <w:keepNext/>
              <w:rPr>
                <w:i/>
                <w:iCs/>
                <w:color w:val="0D0D0D" w:themeColor="text1" w:themeTint="F2"/>
              </w:rPr>
            </w:pPr>
            <w:r w:rsidRPr="003E7195">
              <w:rPr>
                <w:color w:val="0D0D0D" w:themeColor="text1" w:themeTint="F2"/>
              </w:rPr>
              <w:t xml:space="preserve">The utility values for model health states were derived from the ClarIDHy trial. </w:t>
            </w:r>
          </w:p>
        </w:tc>
        <w:tc>
          <w:tcPr>
            <w:tcW w:w="1858" w:type="pct"/>
            <w:shd w:val="clear" w:color="auto" w:fill="auto"/>
            <w:vAlign w:val="center"/>
          </w:tcPr>
          <w:p w14:paraId="6CB5C678" w14:textId="77777777" w:rsidR="004D1A12" w:rsidRPr="00181B1F" w:rsidRDefault="004D1A12" w:rsidP="00EA008F">
            <w:pPr>
              <w:pStyle w:val="TableText"/>
              <w:keepNext/>
              <w:rPr>
                <w:color w:val="0D0D0D" w:themeColor="text1" w:themeTint="F2"/>
              </w:rPr>
            </w:pPr>
            <w:r w:rsidRPr="00181B1F">
              <w:rPr>
                <w:color w:val="0D0D0D" w:themeColor="text1" w:themeTint="F2"/>
              </w:rPr>
              <w:t xml:space="preserve">High - favours ivosidenib. Applying lower utility weights, especially in the PD state, significantly increased the ICER. </w:t>
            </w:r>
          </w:p>
        </w:tc>
      </w:tr>
      <w:tr w:rsidR="004D1A12" w:rsidRPr="003E7195" w14:paraId="4B542407" w14:textId="77777777" w:rsidTr="00673312">
        <w:tc>
          <w:tcPr>
            <w:tcW w:w="784" w:type="pct"/>
            <w:shd w:val="clear" w:color="auto" w:fill="auto"/>
            <w:vAlign w:val="center"/>
          </w:tcPr>
          <w:p w14:paraId="548FA022" w14:textId="77777777" w:rsidR="004D1A12" w:rsidRPr="003E7195" w:rsidRDefault="004D1A12" w:rsidP="00EA008F">
            <w:pPr>
              <w:pStyle w:val="TableText"/>
              <w:keepNext/>
              <w:rPr>
                <w:color w:val="0D0D0D" w:themeColor="text1" w:themeTint="F2"/>
              </w:rPr>
            </w:pPr>
            <w:r w:rsidRPr="003E7195">
              <w:rPr>
                <w:color w:val="0D0D0D" w:themeColor="text1" w:themeTint="F2"/>
              </w:rPr>
              <w:t>Time horizon</w:t>
            </w:r>
          </w:p>
        </w:tc>
        <w:tc>
          <w:tcPr>
            <w:tcW w:w="2359" w:type="pct"/>
            <w:shd w:val="clear" w:color="auto" w:fill="auto"/>
            <w:vAlign w:val="center"/>
          </w:tcPr>
          <w:p w14:paraId="24FF2599" w14:textId="079675FC" w:rsidR="004D1A12" w:rsidRPr="003E7195" w:rsidRDefault="004D1A12" w:rsidP="00EA008F">
            <w:pPr>
              <w:pStyle w:val="TableText"/>
              <w:keepNext/>
              <w:rPr>
                <w:color w:val="0D0D0D" w:themeColor="text1" w:themeTint="F2"/>
              </w:rPr>
            </w:pPr>
            <w:r w:rsidRPr="003E7195">
              <w:rPr>
                <w:color w:val="0D0D0D" w:themeColor="text1" w:themeTint="F2"/>
              </w:rPr>
              <w:t xml:space="preserve">10 years. </w:t>
            </w:r>
          </w:p>
        </w:tc>
        <w:tc>
          <w:tcPr>
            <w:tcW w:w="1858" w:type="pct"/>
            <w:shd w:val="clear" w:color="auto" w:fill="auto"/>
            <w:vAlign w:val="center"/>
          </w:tcPr>
          <w:p w14:paraId="6B5231FA" w14:textId="6BBDEF3F" w:rsidR="004D1A12" w:rsidRPr="00181B1F" w:rsidRDefault="004D1A12" w:rsidP="00EA008F">
            <w:pPr>
              <w:pStyle w:val="TableText"/>
              <w:keepNext/>
              <w:rPr>
                <w:color w:val="0D0D0D" w:themeColor="text1" w:themeTint="F2"/>
              </w:rPr>
            </w:pPr>
            <w:r w:rsidRPr="00181B1F">
              <w:rPr>
                <w:color w:val="0D0D0D" w:themeColor="text1" w:themeTint="F2"/>
              </w:rPr>
              <w:t>High – favours ivosidenib. Decreas</w:t>
            </w:r>
            <w:r w:rsidR="00DC5CF3">
              <w:rPr>
                <w:color w:val="0D0D0D" w:themeColor="text1" w:themeTint="F2"/>
              </w:rPr>
              <w:t xml:space="preserve">ing the </w:t>
            </w:r>
            <w:r w:rsidRPr="00181B1F">
              <w:rPr>
                <w:color w:val="0D0D0D" w:themeColor="text1" w:themeTint="F2"/>
              </w:rPr>
              <w:t xml:space="preserve">time horizon </w:t>
            </w:r>
            <w:r w:rsidR="00DC5CF3">
              <w:rPr>
                <w:color w:val="0D0D0D" w:themeColor="text1" w:themeTint="F2"/>
              </w:rPr>
              <w:t>to 5 years increased the ICER to $</w:t>
            </w:r>
            <w:r w:rsidR="00E26C98" w:rsidRPr="00E26C98">
              <w:rPr>
                <w:color w:val="0D0D0D" w:themeColor="text1" w:themeTint="F2"/>
                <w:spacing w:val="48"/>
                <w:shd w:val="solid" w:color="000000" w:fill="000000"/>
                <w:fitText w:val="315" w:id="-893744892"/>
                <w14:textFill>
                  <w14:solidFill>
                    <w14:schemeClr w14:val="tx1">
                      <w14:alpha w14:val="100000"/>
                      <w14:lumMod w14:val="95000"/>
                      <w14:lumOff w14:val="5000"/>
                    </w14:schemeClr>
                  </w14:solidFill>
                </w14:textFill>
              </w:rPr>
              <w:t>|||</w:t>
            </w:r>
            <w:r w:rsidR="00E26C98" w:rsidRPr="00E26C98">
              <w:rPr>
                <w:color w:val="0D0D0D" w:themeColor="text1" w:themeTint="F2"/>
                <w:spacing w:val="1"/>
                <w:shd w:val="solid" w:color="000000" w:fill="000000"/>
                <w:fitText w:val="315" w:id="-893744892"/>
                <w14:textFill>
                  <w14:solidFill>
                    <w14:schemeClr w14:val="tx1">
                      <w14:alpha w14:val="100000"/>
                      <w14:lumMod w14:val="95000"/>
                      <w14:lumOff w14:val="5000"/>
                    </w14:schemeClr>
                  </w14:solidFill>
                </w14:textFill>
              </w:rPr>
              <w:t>|</w:t>
            </w:r>
            <w:r w:rsidR="00DC5CF3">
              <w:rPr>
                <w:color w:val="0D0D0D" w:themeColor="text1" w:themeTint="F2"/>
              </w:rPr>
              <w:t>.</w:t>
            </w:r>
            <w:r w:rsidR="006540F8" w:rsidRPr="007E7DCE">
              <w:rPr>
                <w:color w:val="0D0D0D" w:themeColor="text1" w:themeTint="F2"/>
                <w:vertAlign w:val="superscript"/>
              </w:rPr>
              <w:t xml:space="preserve"> 1</w:t>
            </w:r>
            <w:r w:rsidRPr="00181B1F">
              <w:rPr>
                <w:color w:val="0D0D0D" w:themeColor="text1" w:themeTint="F2"/>
              </w:rPr>
              <w:t xml:space="preserve"> </w:t>
            </w:r>
          </w:p>
        </w:tc>
      </w:tr>
    </w:tbl>
    <w:p w14:paraId="75F70312" w14:textId="491A7CDA" w:rsidR="004D1A12" w:rsidRPr="005269FF" w:rsidRDefault="004D1A12" w:rsidP="0020383D">
      <w:pPr>
        <w:pStyle w:val="TableFigureFooter"/>
        <w:keepNext/>
        <w:jc w:val="both"/>
      </w:pPr>
      <w:r w:rsidRPr="005269FF">
        <w:t xml:space="preserve">Source: Tabulated during the </w:t>
      </w:r>
      <w:r w:rsidR="00DC5CF3">
        <w:t>commentary</w:t>
      </w:r>
      <w:r w:rsidRPr="005269FF">
        <w:t xml:space="preserve">. </w:t>
      </w:r>
    </w:p>
    <w:p w14:paraId="203DC446" w14:textId="77777777" w:rsidR="004D1A12" w:rsidRDefault="004D1A12" w:rsidP="0020383D">
      <w:pPr>
        <w:pStyle w:val="TableFigureFooter"/>
        <w:keepNext/>
        <w:spacing w:after="0"/>
        <w:jc w:val="both"/>
      </w:pPr>
      <w:r w:rsidRPr="003E7195">
        <w:t xml:space="preserve">ICER = incremental cost-effectiveness ratio; KM = Kaplan-Meier; OS = overall survival; PD = progressed disease; RPSFT = rank-preserving structural failure time </w:t>
      </w:r>
    </w:p>
    <w:p w14:paraId="4D71DAF7" w14:textId="77777777" w:rsidR="00FF0D4D" w:rsidRPr="003B0EA5" w:rsidRDefault="00FF0D4D" w:rsidP="0020383D">
      <w:pPr>
        <w:pStyle w:val="TableFooter"/>
        <w:keepNext/>
        <w:rPr>
          <w:i/>
          <w:iCs/>
          <w:color w:val="0D0D0D" w:themeColor="text1" w:themeTint="F2"/>
        </w:rPr>
      </w:pPr>
      <w:r w:rsidRPr="003B0EA5">
        <w:rPr>
          <w:i/>
          <w:iCs/>
          <w:color w:val="0D0D0D" w:themeColor="text1" w:themeTint="F2"/>
        </w:rPr>
        <w:t>The redacted values correspond to the following ranges:</w:t>
      </w:r>
    </w:p>
    <w:p w14:paraId="4680C5F6" w14:textId="286DE42A" w:rsidR="00FF0D4D" w:rsidRPr="003B0EA5" w:rsidRDefault="006540F8" w:rsidP="0020383D">
      <w:pPr>
        <w:pStyle w:val="TableFooter"/>
        <w:keepNext/>
        <w:rPr>
          <w:i/>
          <w:iCs/>
          <w:color w:val="0D0D0D" w:themeColor="text1" w:themeTint="F2"/>
        </w:rPr>
      </w:pPr>
      <w:r w:rsidRPr="003B0EA5">
        <w:rPr>
          <w:i/>
          <w:iCs/>
          <w:color w:val="0D0D0D" w:themeColor="text1" w:themeTint="F2"/>
        </w:rPr>
        <w:t xml:space="preserve">1 </w:t>
      </w:r>
      <w:r w:rsidR="00FF0D4D" w:rsidRPr="003B0EA5">
        <w:rPr>
          <w:i/>
          <w:iCs/>
          <w:color w:val="0D0D0D" w:themeColor="text1" w:themeTint="F2"/>
        </w:rPr>
        <w:t xml:space="preserve">$95,000 to &lt; $115,000 </w:t>
      </w:r>
    </w:p>
    <w:p w14:paraId="164DB226" w14:textId="1D0F6724" w:rsidR="006540F8" w:rsidRPr="003B0EA5" w:rsidRDefault="006540F8" w:rsidP="0020383D">
      <w:pPr>
        <w:pStyle w:val="TableFooter"/>
        <w:rPr>
          <w:i/>
          <w:iCs/>
          <w:color w:val="0D0D0D" w:themeColor="text1" w:themeTint="F2"/>
        </w:rPr>
      </w:pPr>
      <w:r w:rsidRPr="003B0EA5">
        <w:rPr>
          <w:i/>
          <w:iCs/>
          <w:color w:val="0D0D0D" w:themeColor="text1" w:themeTint="F2"/>
        </w:rPr>
        <w:t>2 $135,000 to &lt; $155,000</w:t>
      </w:r>
    </w:p>
    <w:p w14:paraId="0CFCC6C8" w14:textId="769CBDFE" w:rsidR="004D1A12" w:rsidRPr="003E7195" w:rsidRDefault="004D1A12" w:rsidP="007E0187">
      <w:pPr>
        <w:pStyle w:val="ListParagraph"/>
      </w:pPr>
      <w:r w:rsidRPr="003E7195">
        <w:t xml:space="preserve">The results of the stepped </w:t>
      </w:r>
      <w:r w:rsidR="00DB474A">
        <w:t>economic evaluation</w:t>
      </w:r>
      <w:r w:rsidRPr="003E7195">
        <w:t xml:space="preserve"> for the trial population are presented </w:t>
      </w:r>
      <w:r w:rsidRPr="003E7195">
        <w:fldChar w:fldCharType="begin" w:fldLock="1"/>
      </w:r>
      <w:r w:rsidRPr="003E7195">
        <w:instrText xml:space="preserve"> REF _Ref164258169 \h </w:instrText>
      </w:r>
      <w:r w:rsidRPr="003E7195">
        <w:fldChar w:fldCharType="separate"/>
      </w:r>
      <w:r w:rsidR="00CB6594" w:rsidRPr="003E7195">
        <w:t xml:space="preserve">Table </w:t>
      </w:r>
      <w:r w:rsidR="00CB6594">
        <w:rPr>
          <w:noProof/>
        </w:rPr>
        <w:t>13</w:t>
      </w:r>
      <w:r w:rsidRPr="003E7195">
        <w:fldChar w:fldCharType="end"/>
      </w:r>
      <w:r w:rsidRPr="003E7195">
        <w:t>.</w:t>
      </w:r>
    </w:p>
    <w:p w14:paraId="58629170" w14:textId="3E81889D" w:rsidR="004D1A12" w:rsidRPr="003E7195" w:rsidRDefault="004D1A12" w:rsidP="00013016">
      <w:pPr>
        <w:pStyle w:val="Caption"/>
      </w:pPr>
      <w:bookmarkStart w:id="63" w:name="_Ref164258169"/>
      <w:r w:rsidRPr="003E7195">
        <w:t xml:space="preserve">Table </w:t>
      </w:r>
      <w:r w:rsidR="00841FC2">
        <w:fldChar w:fldCharType="begin" w:fldLock="1"/>
      </w:r>
      <w:r w:rsidR="00841FC2">
        <w:instrText xml:space="preserve"> SEQ Table_PBAC. \* ARABIC </w:instrText>
      </w:r>
      <w:r w:rsidR="00841FC2">
        <w:fldChar w:fldCharType="separate"/>
      </w:r>
      <w:r w:rsidR="00CB6594">
        <w:rPr>
          <w:noProof/>
        </w:rPr>
        <w:t>13</w:t>
      </w:r>
      <w:r w:rsidR="00841FC2">
        <w:rPr>
          <w:noProof/>
        </w:rPr>
        <w:fldChar w:fldCharType="end"/>
      </w:r>
      <w:bookmarkEnd w:id="63"/>
      <w:r w:rsidR="0020383D">
        <w:rPr>
          <w:noProof/>
        </w:rPr>
        <w:t>:</w:t>
      </w:r>
      <w:r w:rsidR="0020383D">
        <w:t xml:space="preserve"> </w:t>
      </w:r>
      <w:r w:rsidRPr="003E7195">
        <w:t xml:space="preserve">Results of the stepped </w:t>
      </w:r>
      <w:r w:rsidR="00DB474A">
        <w:t>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stepped economic evaluation"/>
      </w:tblPr>
      <w:tblGrid>
        <w:gridCol w:w="2757"/>
        <w:gridCol w:w="2451"/>
        <w:gridCol w:w="2297"/>
        <w:gridCol w:w="1511"/>
      </w:tblGrid>
      <w:tr w:rsidR="004D1A12" w:rsidRPr="003E7195" w14:paraId="309B4D56" w14:textId="77777777">
        <w:trPr>
          <w:tblHeader/>
        </w:trPr>
        <w:tc>
          <w:tcPr>
            <w:tcW w:w="1529" w:type="pct"/>
            <w:vAlign w:val="center"/>
          </w:tcPr>
          <w:p w14:paraId="58726B06" w14:textId="77777777" w:rsidR="004D1A12" w:rsidRPr="003E7195" w:rsidRDefault="004D1A12">
            <w:pPr>
              <w:pStyle w:val="In-tableHeading"/>
              <w:rPr>
                <w:color w:val="0D0D0D" w:themeColor="text1" w:themeTint="F2"/>
                <w:lang w:val="en-AU"/>
              </w:rPr>
            </w:pPr>
            <w:bookmarkStart w:id="64" w:name="_Hlk163905546"/>
            <w:r w:rsidRPr="003E7195">
              <w:rPr>
                <w:color w:val="0D0D0D" w:themeColor="text1" w:themeTint="F2"/>
                <w:lang w:val="en-AU"/>
              </w:rPr>
              <w:t>Step and component</w:t>
            </w:r>
          </w:p>
        </w:tc>
        <w:tc>
          <w:tcPr>
            <w:tcW w:w="1359" w:type="pct"/>
            <w:vAlign w:val="center"/>
          </w:tcPr>
          <w:p w14:paraId="3880B041" w14:textId="77777777" w:rsidR="004D1A12" w:rsidRPr="003E7195" w:rsidRDefault="004D1A12">
            <w:pPr>
              <w:pStyle w:val="In-tableHeading"/>
              <w:jc w:val="center"/>
              <w:rPr>
                <w:color w:val="0D0D0D" w:themeColor="text1" w:themeTint="F2"/>
                <w:lang w:val="en-AU"/>
              </w:rPr>
            </w:pPr>
            <w:r w:rsidRPr="003E7195">
              <w:rPr>
                <w:color w:val="0D0D0D" w:themeColor="text1" w:themeTint="F2"/>
                <w:lang w:val="en-AU"/>
              </w:rPr>
              <w:t>Ivosidenib</w:t>
            </w:r>
          </w:p>
        </w:tc>
        <w:tc>
          <w:tcPr>
            <w:tcW w:w="1274" w:type="pct"/>
            <w:vAlign w:val="center"/>
          </w:tcPr>
          <w:p w14:paraId="3BF676BE" w14:textId="77777777" w:rsidR="004D1A12" w:rsidRPr="003E7195" w:rsidRDefault="004D1A12">
            <w:pPr>
              <w:pStyle w:val="In-tableHeading"/>
              <w:jc w:val="center"/>
              <w:rPr>
                <w:color w:val="0D0D0D" w:themeColor="text1" w:themeTint="F2"/>
                <w:lang w:val="en-AU"/>
              </w:rPr>
            </w:pPr>
            <w:r w:rsidRPr="003E7195">
              <w:rPr>
                <w:color w:val="0D0D0D" w:themeColor="text1" w:themeTint="F2"/>
                <w:lang w:val="en-AU"/>
              </w:rPr>
              <w:t>BSC</w:t>
            </w:r>
          </w:p>
        </w:tc>
        <w:tc>
          <w:tcPr>
            <w:tcW w:w="838" w:type="pct"/>
            <w:vAlign w:val="center"/>
          </w:tcPr>
          <w:p w14:paraId="79363BA6" w14:textId="77777777" w:rsidR="004D1A12" w:rsidRPr="003E7195" w:rsidRDefault="004D1A12">
            <w:pPr>
              <w:pStyle w:val="In-tableHeading"/>
              <w:jc w:val="center"/>
              <w:rPr>
                <w:color w:val="0D0D0D" w:themeColor="text1" w:themeTint="F2"/>
                <w:lang w:val="en-AU"/>
              </w:rPr>
            </w:pPr>
            <w:r w:rsidRPr="003E7195">
              <w:rPr>
                <w:color w:val="0D0D0D" w:themeColor="text1" w:themeTint="F2"/>
                <w:lang w:val="en-AU"/>
              </w:rPr>
              <w:t>Increment</w:t>
            </w:r>
          </w:p>
        </w:tc>
      </w:tr>
      <w:tr w:rsidR="004D1A12" w:rsidRPr="003E7195" w14:paraId="0782B4DC" w14:textId="77777777">
        <w:tc>
          <w:tcPr>
            <w:tcW w:w="5000" w:type="pct"/>
            <w:gridSpan w:val="4"/>
            <w:vAlign w:val="center"/>
          </w:tcPr>
          <w:p w14:paraId="50F2A3CC" w14:textId="649DEBFF" w:rsidR="004D1A12" w:rsidRPr="003E7195" w:rsidRDefault="004D1A12">
            <w:pPr>
              <w:pStyle w:val="TableText"/>
              <w:keepNext/>
              <w:rPr>
                <w:b/>
                <w:bCs/>
                <w:color w:val="0D0D0D" w:themeColor="text1" w:themeTint="F2"/>
              </w:rPr>
            </w:pPr>
            <w:r w:rsidRPr="003E7195">
              <w:rPr>
                <w:b/>
                <w:bCs/>
                <w:color w:val="0D0D0D" w:themeColor="text1" w:themeTint="F2"/>
              </w:rPr>
              <w:t>Step 1: trial-based costs and outcomes (36 months</w:t>
            </w:r>
            <w:r w:rsidR="005553A1">
              <w:rPr>
                <w:b/>
                <w:bCs/>
                <w:color w:val="0D0D0D" w:themeColor="text1" w:themeTint="F2"/>
                <w:vertAlign w:val="superscript"/>
              </w:rPr>
              <w:t>a</w:t>
            </w:r>
            <w:r w:rsidRPr="003E7195">
              <w:rPr>
                <w:b/>
                <w:bCs/>
                <w:color w:val="0D0D0D" w:themeColor="text1" w:themeTint="F2"/>
              </w:rPr>
              <w:t xml:space="preserve">) </w:t>
            </w:r>
          </w:p>
        </w:tc>
      </w:tr>
      <w:tr w:rsidR="004D1A12" w:rsidRPr="003E7195" w14:paraId="4C9C9A7B" w14:textId="77777777" w:rsidTr="00E26C98">
        <w:tc>
          <w:tcPr>
            <w:tcW w:w="1529" w:type="pct"/>
            <w:vAlign w:val="center"/>
          </w:tcPr>
          <w:p w14:paraId="3C61170A" w14:textId="77777777" w:rsidR="004D1A12" w:rsidRPr="003E7195" w:rsidRDefault="004D1A12">
            <w:pPr>
              <w:pStyle w:val="TableText"/>
              <w:keepNext/>
              <w:rPr>
                <w:color w:val="0D0D0D" w:themeColor="text1" w:themeTint="F2"/>
              </w:rPr>
            </w:pPr>
            <w:r w:rsidRPr="003E7195">
              <w:rPr>
                <w:color w:val="0D0D0D" w:themeColor="text1" w:themeTint="F2"/>
              </w:rPr>
              <w:t xml:space="preserve">Costs </w:t>
            </w:r>
          </w:p>
        </w:tc>
        <w:tc>
          <w:tcPr>
            <w:tcW w:w="1359" w:type="pct"/>
            <w:tcBorders>
              <w:bottom w:val="single" w:sz="4" w:space="0" w:color="auto"/>
            </w:tcBorders>
            <w:vAlign w:val="center"/>
          </w:tcPr>
          <w:p w14:paraId="73BDC088" w14:textId="7567D2CB" w:rsidR="004D1A12" w:rsidRPr="003E7195" w:rsidRDefault="004D1A12">
            <w:pPr>
              <w:pStyle w:val="TableText"/>
              <w:keepN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c>
          <w:tcPr>
            <w:tcW w:w="1274" w:type="pct"/>
            <w:tcBorders>
              <w:bottom w:val="single" w:sz="4" w:space="0" w:color="auto"/>
            </w:tcBorders>
            <w:vAlign w:val="center"/>
          </w:tcPr>
          <w:p w14:paraId="519022CF" w14:textId="77777777" w:rsidR="004D1A12" w:rsidRPr="003E7195" w:rsidRDefault="004D1A12">
            <w:pPr>
              <w:pStyle w:val="TableText"/>
              <w:keepNext/>
              <w:jc w:val="center"/>
              <w:rPr>
                <w:color w:val="0D0D0D" w:themeColor="text1" w:themeTint="F2"/>
              </w:rPr>
            </w:pPr>
            <w:r w:rsidRPr="003E7195">
              <w:rPr>
                <w:color w:val="0D0D0D" w:themeColor="text1" w:themeTint="F2"/>
              </w:rPr>
              <w:t>$24,309</w:t>
            </w:r>
          </w:p>
        </w:tc>
        <w:tc>
          <w:tcPr>
            <w:tcW w:w="838" w:type="pct"/>
            <w:tcBorders>
              <w:bottom w:val="single" w:sz="4" w:space="0" w:color="auto"/>
            </w:tcBorders>
            <w:vAlign w:val="center"/>
          </w:tcPr>
          <w:p w14:paraId="21942D5A" w14:textId="5391BAC8" w:rsidR="004D1A12" w:rsidRPr="003E7195" w:rsidRDefault="004D1A12">
            <w:pPr>
              <w:pStyle w:val="TableText"/>
              <w:keepNext/>
              <w:jc w:val="center"/>
              <w:rPr>
                <w:color w:val="0D0D0D" w:themeColor="text1" w:themeTint="F2"/>
              </w:rPr>
            </w:pPr>
            <w:r w:rsidRPr="006540F8">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r>
      <w:tr w:rsidR="00EA008F" w:rsidRPr="003E7195" w14:paraId="7B31A220" w14:textId="77777777" w:rsidTr="00EA008F">
        <w:tc>
          <w:tcPr>
            <w:tcW w:w="1529" w:type="pct"/>
            <w:vAlign w:val="center"/>
          </w:tcPr>
          <w:p w14:paraId="2EDF30C9" w14:textId="77777777" w:rsidR="00EA008F" w:rsidRPr="003E7195" w:rsidRDefault="00EA008F" w:rsidP="00EA008F">
            <w:pPr>
              <w:pStyle w:val="TableText"/>
              <w:keepNext/>
              <w:rPr>
                <w:color w:val="0D0D0D" w:themeColor="text1" w:themeTint="F2"/>
              </w:rPr>
            </w:pPr>
            <w:r w:rsidRPr="003E7195">
              <w:rPr>
                <w:color w:val="0D0D0D" w:themeColor="text1" w:themeTint="F2"/>
              </w:rPr>
              <w:t>LYs gained</w:t>
            </w:r>
          </w:p>
        </w:tc>
        <w:tc>
          <w:tcPr>
            <w:tcW w:w="1359" w:type="pct"/>
            <w:shd w:val="clear" w:color="auto" w:fill="auto"/>
            <w:vAlign w:val="center"/>
          </w:tcPr>
          <w:p w14:paraId="435F492A" w14:textId="609D411D" w:rsidR="00EA008F" w:rsidRPr="00EA008F" w:rsidRDefault="00EA008F" w:rsidP="00EA008F">
            <w:pPr>
              <w:pStyle w:val="TableText"/>
              <w:keepNext/>
              <w:jc w:val="center"/>
              <w:rPr>
                <w:color w:val="0D0D0D" w:themeColor="text1" w:themeTint="F2"/>
              </w:rPr>
            </w:pPr>
            <w:r w:rsidRPr="00EA008F">
              <w:rPr>
                <w:color w:val="0D0D0D" w:themeColor="text1" w:themeTint="F2"/>
              </w:rPr>
              <w:t>1.154</w:t>
            </w:r>
          </w:p>
        </w:tc>
        <w:tc>
          <w:tcPr>
            <w:tcW w:w="1274" w:type="pct"/>
            <w:shd w:val="clear" w:color="auto" w:fill="auto"/>
            <w:vAlign w:val="center"/>
          </w:tcPr>
          <w:p w14:paraId="3986A84D" w14:textId="753D9960" w:rsidR="00EA008F" w:rsidRPr="00EA008F" w:rsidRDefault="00EA008F" w:rsidP="00EA008F">
            <w:pPr>
              <w:pStyle w:val="TableText"/>
              <w:keepNext/>
              <w:jc w:val="center"/>
              <w:rPr>
                <w:color w:val="0D0D0D" w:themeColor="text1" w:themeTint="F2"/>
              </w:rPr>
            </w:pPr>
            <w:r w:rsidRPr="00EA008F">
              <w:rPr>
                <w:color w:val="0D0D0D" w:themeColor="text1" w:themeTint="F2"/>
              </w:rPr>
              <w:t>0.682</w:t>
            </w:r>
          </w:p>
        </w:tc>
        <w:tc>
          <w:tcPr>
            <w:tcW w:w="838" w:type="pct"/>
            <w:shd w:val="clear" w:color="auto" w:fill="auto"/>
            <w:vAlign w:val="center"/>
          </w:tcPr>
          <w:p w14:paraId="7DF355DB" w14:textId="30F32104" w:rsidR="00EA008F" w:rsidRPr="00EA008F" w:rsidRDefault="00EA008F" w:rsidP="00EA008F">
            <w:pPr>
              <w:pStyle w:val="TableText"/>
              <w:keepNext/>
              <w:jc w:val="center"/>
              <w:rPr>
                <w:color w:val="0D0D0D" w:themeColor="text1" w:themeTint="F2"/>
              </w:rPr>
            </w:pPr>
            <w:r w:rsidRPr="00EA008F">
              <w:rPr>
                <w:color w:val="0D0D0D" w:themeColor="text1" w:themeTint="F2"/>
              </w:rPr>
              <w:t>0.473</w:t>
            </w:r>
          </w:p>
        </w:tc>
      </w:tr>
      <w:tr w:rsidR="004D1A12" w:rsidRPr="003E7195" w14:paraId="1EA2CE29" w14:textId="77777777">
        <w:trPr>
          <w:trHeight w:val="50"/>
        </w:trPr>
        <w:tc>
          <w:tcPr>
            <w:tcW w:w="4162" w:type="pct"/>
            <w:gridSpan w:val="3"/>
            <w:vAlign w:val="center"/>
          </w:tcPr>
          <w:p w14:paraId="3A25914C" w14:textId="77777777" w:rsidR="004D1A12" w:rsidRPr="003E7195" w:rsidRDefault="004D1A12">
            <w:pPr>
              <w:pStyle w:val="TableText"/>
              <w:keepNext/>
              <w:rPr>
                <w:color w:val="0D0D0D" w:themeColor="text1" w:themeTint="F2"/>
              </w:rPr>
            </w:pPr>
            <w:r w:rsidRPr="003E7195">
              <w:rPr>
                <w:color w:val="0D0D0D" w:themeColor="text1" w:themeTint="F2"/>
              </w:rPr>
              <w:t>Incremental cost/extra LY gained</w:t>
            </w:r>
          </w:p>
        </w:tc>
        <w:tc>
          <w:tcPr>
            <w:tcW w:w="838" w:type="pct"/>
            <w:vAlign w:val="center"/>
          </w:tcPr>
          <w:p w14:paraId="4E43EB32" w14:textId="3976C92B" w:rsidR="004D1A12" w:rsidRPr="003E7195" w:rsidRDefault="00E26C98">
            <w:pPr>
              <w:pStyle w:val="TableText"/>
              <w:keepNext/>
              <w:jc w:val="center"/>
              <w:rPr>
                <w:color w:val="0D0D0D" w:themeColor="text1" w:themeTint="F2"/>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6540F8" w:rsidRPr="003B0EA5">
              <w:rPr>
                <w:color w:val="0D0D0D" w:themeColor="text1" w:themeTint="F2"/>
                <w:vertAlign w:val="superscript"/>
              </w:rPr>
              <w:t>1</w:t>
            </w:r>
          </w:p>
        </w:tc>
      </w:tr>
      <w:tr w:rsidR="004D1A12" w:rsidRPr="003E7195" w14:paraId="2E6EC9E0" w14:textId="77777777">
        <w:tc>
          <w:tcPr>
            <w:tcW w:w="5000" w:type="pct"/>
            <w:gridSpan w:val="4"/>
            <w:vAlign w:val="center"/>
          </w:tcPr>
          <w:p w14:paraId="66CBAB12" w14:textId="77777777" w:rsidR="004D1A12" w:rsidRPr="003E7195" w:rsidRDefault="004D1A12">
            <w:pPr>
              <w:pStyle w:val="In-tableHeading"/>
              <w:rPr>
                <w:color w:val="0D0D0D" w:themeColor="text1" w:themeTint="F2"/>
                <w:lang w:val="en-AU"/>
              </w:rPr>
            </w:pPr>
            <w:r w:rsidRPr="003E7195">
              <w:rPr>
                <w:color w:val="0D0D0D" w:themeColor="text1" w:themeTint="F2"/>
                <w:lang w:val="en-AU"/>
              </w:rPr>
              <w:t>Step 2: extrapolated to 10 years</w:t>
            </w:r>
          </w:p>
        </w:tc>
      </w:tr>
      <w:tr w:rsidR="004D1A12" w:rsidRPr="003E7195" w14:paraId="572E38BA" w14:textId="77777777" w:rsidTr="00E26C98">
        <w:tc>
          <w:tcPr>
            <w:tcW w:w="1529" w:type="pct"/>
            <w:vAlign w:val="center"/>
          </w:tcPr>
          <w:p w14:paraId="6B436546" w14:textId="77777777" w:rsidR="004D1A12" w:rsidRPr="003E7195" w:rsidRDefault="004D1A12">
            <w:pPr>
              <w:pStyle w:val="TableText"/>
              <w:keepNext/>
              <w:rPr>
                <w:color w:val="0D0D0D" w:themeColor="text1" w:themeTint="F2"/>
                <w:vertAlign w:val="superscript"/>
              </w:rPr>
            </w:pPr>
            <w:r w:rsidRPr="003E7195">
              <w:rPr>
                <w:color w:val="0D0D0D" w:themeColor="text1" w:themeTint="F2"/>
              </w:rPr>
              <w:t>Costs</w:t>
            </w:r>
          </w:p>
        </w:tc>
        <w:tc>
          <w:tcPr>
            <w:tcW w:w="1359" w:type="pct"/>
            <w:tcBorders>
              <w:bottom w:val="single" w:sz="4" w:space="0" w:color="auto"/>
            </w:tcBorders>
            <w:vAlign w:val="center"/>
          </w:tcPr>
          <w:p w14:paraId="13911289" w14:textId="0F7A36F7" w:rsidR="004D1A12" w:rsidRPr="003E7195" w:rsidRDefault="004D1A12">
            <w:pPr>
              <w:pStyle w:val="TableText"/>
              <w:keepN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c>
          <w:tcPr>
            <w:tcW w:w="1274" w:type="pct"/>
            <w:tcBorders>
              <w:bottom w:val="single" w:sz="4" w:space="0" w:color="auto"/>
            </w:tcBorders>
            <w:vAlign w:val="center"/>
          </w:tcPr>
          <w:p w14:paraId="3F80DF05" w14:textId="77777777" w:rsidR="004D1A12" w:rsidRPr="003E7195" w:rsidRDefault="004D1A12">
            <w:pPr>
              <w:pStyle w:val="TableText"/>
              <w:keepNext/>
              <w:jc w:val="center"/>
              <w:rPr>
                <w:color w:val="0D0D0D" w:themeColor="text1" w:themeTint="F2"/>
              </w:rPr>
            </w:pPr>
            <w:r w:rsidRPr="003E7195">
              <w:rPr>
                <w:color w:val="0D0D0D" w:themeColor="text1" w:themeTint="F2"/>
              </w:rPr>
              <w:t>$25,024</w:t>
            </w:r>
          </w:p>
        </w:tc>
        <w:tc>
          <w:tcPr>
            <w:tcW w:w="838" w:type="pct"/>
            <w:tcBorders>
              <w:bottom w:val="single" w:sz="4" w:space="0" w:color="auto"/>
            </w:tcBorders>
            <w:vAlign w:val="center"/>
          </w:tcPr>
          <w:p w14:paraId="4DF8A712" w14:textId="5CBA7175" w:rsidR="004D1A12" w:rsidRPr="003E7195" w:rsidRDefault="004D1A12">
            <w:pPr>
              <w:pStyle w:val="TableText"/>
              <w:keepN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r>
      <w:tr w:rsidR="00EA008F" w:rsidRPr="003E7195" w14:paraId="5FEF2A1F" w14:textId="77777777" w:rsidTr="00EA008F">
        <w:tc>
          <w:tcPr>
            <w:tcW w:w="1529" w:type="pct"/>
            <w:vAlign w:val="center"/>
          </w:tcPr>
          <w:p w14:paraId="23431396" w14:textId="77777777" w:rsidR="00EA008F" w:rsidRPr="003E7195" w:rsidRDefault="00EA008F" w:rsidP="00EA008F">
            <w:pPr>
              <w:pStyle w:val="TableText"/>
              <w:keepNext/>
              <w:rPr>
                <w:color w:val="0D0D0D" w:themeColor="text1" w:themeTint="F2"/>
              </w:rPr>
            </w:pPr>
            <w:r w:rsidRPr="003E7195">
              <w:rPr>
                <w:color w:val="0D0D0D" w:themeColor="text1" w:themeTint="F2"/>
              </w:rPr>
              <w:t>LYs gained</w:t>
            </w:r>
          </w:p>
        </w:tc>
        <w:tc>
          <w:tcPr>
            <w:tcW w:w="1359" w:type="pct"/>
            <w:shd w:val="clear" w:color="auto" w:fill="auto"/>
            <w:vAlign w:val="center"/>
          </w:tcPr>
          <w:p w14:paraId="5F531710" w14:textId="6469B05B" w:rsidR="00EA008F" w:rsidRPr="00EA008F" w:rsidRDefault="00EA008F" w:rsidP="00EA008F">
            <w:pPr>
              <w:pStyle w:val="TableText"/>
              <w:keepNext/>
              <w:jc w:val="center"/>
              <w:rPr>
                <w:color w:val="0D0D0D" w:themeColor="text1" w:themeTint="F2"/>
              </w:rPr>
            </w:pPr>
            <w:r w:rsidRPr="00EA008F">
              <w:rPr>
                <w:color w:val="0D0D0D" w:themeColor="text1" w:themeTint="F2"/>
              </w:rPr>
              <w:t>1.413</w:t>
            </w:r>
          </w:p>
        </w:tc>
        <w:tc>
          <w:tcPr>
            <w:tcW w:w="1274" w:type="pct"/>
            <w:shd w:val="clear" w:color="auto" w:fill="auto"/>
            <w:vAlign w:val="center"/>
          </w:tcPr>
          <w:p w14:paraId="11A8BC26" w14:textId="15688872" w:rsidR="00EA008F" w:rsidRPr="00EA008F" w:rsidRDefault="00EA008F" w:rsidP="00EA008F">
            <w:pPr>
              <w:pStyle w:val="TableText"/>
              <w:keepNext/>
              <w:jc w:val="center"/>
              <w:rPr>
                <w:color w:val="0D0D0D" w:themeColor="text1" w:themeTint="F2"/>
              </w:rPr>
            </w:pPr>
            <w:r w:rsidRPr="00EA008F">
              <w:rPr>
                <w:color w:val="0D0D0D" w:themeColor="text1" w:themeTint="F2"/>
              </w:rPr>
              <w:t>0.737</w:t>
            </w:r>
          </w:p>
        </w:tc>
        <w:tc>
          <w:tcPr>
            <w:tcW w:w="838" w:type="pct"/>
            <w:shd w:val="clear" w:color="auto" w:fill="auto"/>
            <w:vAlign w:val="center"/>
          </w:tcPr>
          <w:p w14:paraId="1146B089" w14:textId="570B4B64" w:rsidR="00EA008F" w:rsidRPr="00EA008F" w:rsidRDefault="00EA008F" w:rsidP="00EA008F">
            <w:pPr>
              <w:pStyle w:val="TableText"/>
              <w:keepNext/>
              <w:jc w:val="center"/>
              <w:rPr>
                <w:color w:val="0D0D0D" w:themeColor="text1" w:themeTint="F2"/>
              </w:rPr>
            </w:pPr>
            <w:r w:rsidRPr="00EA008F">
              <w:rPr>
                <w:color w:val="0D0D0D" w:themeColor="text1" w:themeTint="F2"/>
              </w:rPr>
              <w:t>0.676</w:t>
            </w:r>
          </w:p>
        </w:tc>
      </w:tr>
      <w:tr w:rsidR="004D1A12" w:rsidRPr="003E7195" w14:paraId="771698F0" w14:textId="77777777">
        <w:tc>
          <w:tcPr>
            <w:tcW w:w="4162" w:type="pct"/>
            <w:gridSpan w:val="3"/>
            <w:vAlign w:val="center"/>
          </w:tcPr>
          <w:p w14:paraId="752FC37F" w14:textId="77777777" w:rsidR="004D1A12" w:rsidRPr="003E7195" w:rsidRDefault="004D1A12">
            <w:pPr>
              <w:pStyle w:val="TableText"/>
              <w:keepNext/>
              <w:rPr>
                <w:color w:val="0D0D0D" w:themeColor="text1" w:themeTint="F2"/>
              </w:rPr>
            </w:pPr>
            <w:r w:rsidRPr="003E7195">
              <w:rPr>
                <w:color w:val="0D0D0D" w:themeColor="text1" w:themeTint="F2"/>
              </w:rPr>
              <w:t>Incremental cost/extra LY gained</w:t>
            </w:r>
          </w:p>
        </w:tc>
        <w:tc>
          <w:tcPr>
            <w:tcW w:w="838" w:type="pct"/>
            <w:vAlign w:val="center"/>
          </w:tcPr>
          <w:p w14:paraId="446BCFFB" w14:textId="3EDB9E22" w:rsidR="004D1A12" w:rsidRPr="003E7195" w:rsidRDefault="00E26C98">
            <w:pPr>
              <w:pStyle w:val="TableText"/>
              <w:keepNext/>
              <w:jc w:val="center"/>
              <w:rPr>
                <w:color w:val="0D0D0D" w:themeColor="text1" w:themeTint="F2"/>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6540F8" w:rsidRPr="003B0EA5">
              <w:rPr>
                <w:color w:val="0D0D0D" w:themeColor="text1" w:themeTint="F2"/>
                <w:vertAlign w:val="superscript"/>
              </w:rPr>
              <w:t>2</w:t>
            </w:r>
          </w:p>
        </w:tc>
      </w:tr>
      <w:tr w:rsidR="004D1A12" w:rsidRPr="003E7195" w14:paraId="53EA2AAA" w14:textId="77777777">
        <w:tc>
          <w:tcPr>
            <w:tcW w:w="5000" w:type="pct"/>
            <w:gridSpan w:val="4"/>
            <w:vAlign w:val="center"/>
          </w:tcPr>
          <w:p w14:paraId="38F61757" w14:textId="77777777" w:rsidR="004D1A12" w:rsidRPr="003E7195" w:rsidRDefault="004D1A12">
            <w:pPr>
              <w:pStyle w:val="In-tableHeading"/>
              <w:rPr>
                <w:color w:val="0D0D0D" w:themeColor="text1" w:themeTint="F2"/>
                <w:lang w:val="en-AU"/>
              </w:rPr>
            </w:pPr>
            <w:r w:rsidRPr="003E7195">
              <w:rPr>
                <w:color w:val="0D0D0D" w:themeColor="text1" w:themeTint="F2"/>
                <w:lang w:val="en-AU"/>
              </w:rPr>
              <w:t>Step 3: transformation into QALYs</w:t>
            </w:r>
          </w:p>
        </w:tc>
      </w:tr>
      <w:tr w:rsidR="004D1A12" w:rsidRPr="003E7195" w14:paraId="4D1A7D3E" w14:textId="77777777" w:rsidTr="00E26C98">
        <w:tc>
          <w:tcPr>
            <w:tcW w:w="1529" w:type="pct"/>
            <w:vAlign w:val="center"/>
          </w:tcPr>
          <w:p w14:paraId="59738F3A" w14:textId="77777777" w:rsidR="004D1A12" w:rsidRPr="003E7195" w:rsidRDefault="004D1A12">
            <w:pPr>
              <w:pStyle w:val="TableText"/>
              <w:keepNext/>
              <w:rPr>
                <w:color w:val="0D0D0D" w:themeColor="text1" w:themeTint="F2"/>
                <w:vertAlign w:val="superscript"/>
              </w:rPr>
            </w:pPr>
            <w:r w:rsidRPr="003E7195">
              <w:rPr>
                <w:color w:val="0D0D0D" w:themeColor="text1" w:themeTint="F2"/>
              </w:rPr>
              <w:t>Costs</w:t>
            </w:r>
          </w:p>
        </w:tc>
        <w:tc>
          <w:tcPr>
            <w:tcW w:w="1359" w:type="pct"/>
            <w:tcBorders>
              <w:bottom w:val="single" w:sz="4" w:space="0" w:color="auto"/>
            </w:tcBorders>
            <w:vAlign w:val="center"/>
          </w:tcPr>
          <w:p w14:paraId="414A8B3F" w14:textId="52088612" w:rsidR="004D1A12" w:rsidRPr="003E7195" w:rsidRDefault="004D1A12">
            <w:pPr>
              <w:pStyle w:val="TableText"/>
              <w:keepN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c>
          <w:tcPr>
            <w:tcW w:w="1274" w:type="pct"/>
            <w:tcBorders>
              <w:bottom w:val="single" w:sz="4" w:space="0" w:color="auto"/>
            </w:tcBorders>
            <w:vAlign w:val="center"/>
          </w:tcPr>
          <w:p w14:paraId="63CCCE4B" w14:textId="77777777" w:rsidR="004D1A12" w:rsidRPr="003E7195" w:rsidRDefault="004D1A12">
            <w:pPr>
              <w:pStyle w:val="TableText"/>
              <w:keepNext/>
              <w:jc w:val="center"/>
              <w:rPr>
                <w:color w:val="0D0D0D" w:themeColor="text1" w:themeTint="F2"/>
              </w:rPr>
            </w:pPr>
            <w:r w:rsidRPr="003E7195">
              <w:rPr>
                <w:color w:val="0D0D0D" w:themeColor="text1" w:themeTint="F2"/>
              </w:rPr>
              <w:t>$25,024</w:t>
            </w:r>
          </w:p>
        </w:tc>
        <w:tc>
          <w:tcPr>
            <w:tcW w:w="838" w:type="pct"/>
            <w:tcBorders>
              <w:bottom w:val="single" w:sz="4" w:space="0" w:color="auto"/>
            </w:tcBorders>
            <w:vAlign w:val="center"/>
          </w:tcPr>
          <w:p w14:paraId="43130E5A" w14:textId="6E8D01A5" w:rsidR="004D1A12" w:rsidRPr="003E7195" w:rsidRDefault="004D1A12">
            <w:pPr>
              <w:pStyle w:val="TableText"/>
              <w:keepN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r>
      <w:tr w:rsidR="00EA008F" w:rsidRPr="00A005F3" w14:paraId="45B953F9" w14:textId="77777777" w:rsidTr="00EA008F">
        <w:tc>
          <w:tcPr>
            <w:tcW w:w="1529" w:type="pct"/>
            <w:vAlign w:val="center"/>
          </w:tcPr>
          <w:p w14:paraId="0C43989B" w14:textId="77777777" w:rsidR="00EA008F" w:rsidRPr="003E7195" w:rsidRDefault="00EA008F" w:rsidP="00EA008F">
            <w:pPr>
              <w:pStyle w:val="TableText"/>
              <w:keepNext/>
              <w:rPr>
                <w:color w:val="0D0D0D" w:themeColor="text1" w:themeTint="F2"/>
              </w:rPr>
            </w:pPr>
            <w:r w:rsidRPr="003E7195">
              <w:rPr>
                <w:color w:val="0D0D0D" w:themeColor="text1" w:themeTint="F2"/>
              </w:rPr>
              <w:t>QALYs</w:t>
            </w:r>
          </w:p>
        </w:tc>
        <w:tc>
          <w:tcPr>
            <w:tcW w:w="1359" w:type="pct"/>
            <w:shd w:val="clear" w:color="auto" w:fill="auto"/>
            <w:vAlign w:val="center"/>
          </w:tcPr>
          <w:p w14:paraId="18422710" w14:textId="7288B602" w:rsidR="00EA008F" w:rsidRPr="00EA008F" w:rsidRDefault="00EA008F" w:rsidP="00EA008F">
            <w:pPr>
              <w:pStyle w:val="TableText"/>
              <w:keepNext/>
              <w:jc w:val="center"/>
              <w:rPr>
                <w:color w:val="0D0D0D" w:themeColor="text1" w:themeTint="F2"/>
              </w:rPr>
            </w:pPr>
            <w:r w:rsidRPr="00EA008F">
              <w:rPr>
                <w:color w:val="0D0D0D" w:themeColor="text1" w:themeTint="F2"/>
              </w:rPr>
              <w:t>1.159</w:t>
            </w:r>
          </w:p>
        </w:tc>
        <w:tc>
          <w:tcPr>
            <w:tcW w:w="1274" w:type="pct"/>
            <w:shd w:val="clear" w:color="auto" w:fill="auto"/>
            <w:vAlign w:val="center"/>
          </w:tcPr>
          <w:p w14:paraId="3CE13F7E" w14:textId="09815225" w:rsidR="00EA008F" w:rsidRPr="00EA008F" w:rsidRDefault="00EA008F" w:rsidP="00EA008F">
            <w:pPr>
              <w:pStyle w:val="TableText"/>
              <w:keepNext/>
              <w:jc w:val="center"/>
              <w:rPr>
                <w:color w:val="0D0D0D" w:themeColor="text1" w:themeTint="F2"/>
              </w:rPr>
            </w:pPr>
            <w:r w:rsidRPr="00EA008F">
              <w:rPr>
                <w:color w:val="0D0D0D" w:themeColor="text1" w:themeTint="F2"/>
              </w:rPr>
              <w:t>0.599</w:t>
            </w:r>
          </w:p>
        </w:tc>
        <w:tc>
          <w:tcPr>
            <w:tcW w:w="838" w:type="pct"/>
            <w:shd w:val="clear" w:color="auto" w:fill="auto"/>
            <w:vAlign w:val="center"/>
          </w:tcPr>
          <w:p w14:paraId="284DA4D5" w14:textId="468D8BB7" w:rsidR="00EA008F" w:rsidRPr="00EA008F" w:rsidRDefault="00EA008F" w:rsidP="00EA008F">
            <w:pPr>
              <w:pStyle w:val="TableText"/>
              <w:keepNext/>
              <w:jc w:val="center"/>
              <w:rPr>
                <w:color w:val="0D0D0D" w:themeColor="text1" w:themeTint="F2"/>
              </w:rPr>
            </w:pPr>
            <w:r w:rsidRPr="00EA008F">
              <w:rPr>
                <w:color w:val="0D0D0D" w:themeColor="text1" w:themeTint="F2"/>
              </w:rPr>
              <w:t>0.560</w:t>
            </w:r>
          </w:p>
        </w:tc>
      </w:tr>
      <w:tr w:rsidR="004D1A12" w:rsidRPr="003E7195" w14:paraId="42C9CB93" w14:textId="77777777">
        <w:tc>
          <w:tcPr>
            <w:tcW w:w="4162" w:type="pct"/>
            <w:gridSpan w:val="3"/>
            <w:vAlign w:val="center"/>
          </w:tcPr>
          <w:p w14:paraId="71D75411" w14:textId="77777777" w:rsidR="004D1A12" w:rsidRPr="003E7195" w:rsidRDefault="004D1A12">
            <w:pPr>
              <w:pStyle w:val="TableText"/>
              <w:keepNext/>
              <w:rPr>
                <w:b/>
                <w:color w:val="0D0D0D" w:themeColor="text1" w:themeTint="F2"/>
              </w:rPr>
            </w:pPr>
            <w:r w:rsidRPr="003E7195">
              <w:rPr>
                <w:b/>
                <w:color w:val="0D0D0D" w:themeColor="text1" w:themeTint="F2"/>
              </w:rPr>
              <w:t>Incremental cost/extra QALY gained (base case)</w:t>
            </w:r>
          </w:p>
        </w:tc>
        <w:tc>
          <w:tcPr>
            <w:tcW w:w="838" w:type="pct"/>
            <w:vAlign w:val="center"/>
          </w:tcPr>
          <w:p w14:paraId="6CC0FD7E" w14:textId="3AB287B8" w:rsidR="004D1A12" w:rsidRPr="003E7195" w:rsidRDefault="00E26C98">
            <w:pPr>
              <w:pStyle w:val="TableText"/>
              <w:keepNext/>
              <w:jc w:val="center"/>
              <w:rPr>
                <w:b/>
                <w:color w:val="0D0D0D" w:themeColor="text1" w:themeTint="F2"/>
              </w:rPr>
            </w:pPr>
            <w:r w:rsidRPr="00E26C98">
              <w:rPr>
                <w:b/>
                <w:color w:val="0D0D0D" w:themeColor="text1" w:themeTint="F2"/>
                <w:shd w:val="solid" w:color="000000" w:fill="000000"/>
                <w14:textFill>
                  <w14:solidFill>
                    <w14:schemeClr w14:val="tx1">
                      <w14:alpha w14:val="100000"/>
                      <w14:lumMod w14:val="95000"/>
                      <w14:lumOff w14:val="5000"/>
                    </w14:schemeClr>
                  </w14:solidFill>
                </w14:textFill>
              </w:rPr>
              <w:t>|</w:t>
            </w:r>
            <w:r w:rsidR="006540F8" w:rsidRPr="007E7DCE">
              <w:rPr>
                <w:color w:val="0D0D0D" w:themeColor="text1" w:themeTint="F2"/>
                <w:vertAlign w:val="superscript"/>
              </w:rPr>
              <w:t>1</w:t>
            </w:r>
          </w:p>
        </w:tc>
      </w:tr>
    </w:tbl>
    <w:p w14:paraId="05DBAC2A" w14:textId="222A4265" w:rsidR="004D1A12" w:rsidRPr="003E7195" w:rsidRDefault="004D1A12" w:rsidP="0020383D">
      <w:pPr>
        <w:pStyle w:val="TableFooter"/>
        <w:rPr>
          <w:color w:val="0D0D0D" w:themeColor="text1" w:themeTint="F2"/>
        </w:rPr>
      </w:pPr>
      <w:bookmarkStart w:id="65" w:name="_Hlk163905588"/>
      <w:bookmarkEnd w:id="64"/>
      <w:r w:rsidRPr="00181B1F">
        <w:rPr>
          <w:color w:val="0D0D0D" w:themeColor="text1" w:themeTint="F2"/>
        </w:rPr>
        <w:t xml:space="preserve">Source: Tabulated during the </w:t>
      </w:r>
      <w:r w:rsidR="00DC5CF3">
        <w:rPr>
          <w:color w:val="0D0D0D" w:themeColor="text1" w:themeTint="F2"/>
        </w:rPr>
        <w:t>commentary</w:t>
      </w:r>
      <w:r w:rsidRPr="00181B1F">
        <w:rPr>
          <w:color w:val="0D0D0D" w:themeColor="text1" w:themeTint="F2"/>
        </w:rPr>
        <w:t>, based on the ‘Setting and Results’ and ‘Model_Tx (TP)’ spreadsheets in the “3.1_Ivosidenib cost-</w:t>
      </w:r>
      <w:r w:rsidRPr="003E7195">
        <w:rPr>
          <w:color w:val="0D0D0D" w:themeColor="text1" w:themeTint="F2"/>
        </w:rPr>
        <w:t>effectiveness model” Workbook provided in the submission.</w:t>
      </w:r>
    </w:p>
    <w:p w14:paraId="57686DFF" w14:textId="77777777" w:rsidR="004D1A12" w:rsidRDefault="004D1A12" w:rsidP="0020383D">
      <w:pPr>
        <w:pStyle w:val="TableFooter"/>
        <w:spacing w:after="0"/>
        <w:rPr>
          <w:color w:val="0D0D0D" w:themeColor="text1" w:themeTint="F2"/>
        </w:rPr>
      </w:pPr>
      <w:r w:rsidRPr="003E7195">
        <w:rPr>
          <w:color w:val="0D0D0D" w:themeColor="text1" w:themeTint="F2"/>
        </w:rPr>
        <w:t>BSC = best supportive care; LY = life-years; QALYs = quality-adjusted life years</w:t>
      </w:r>
      <w:bookmarkEnd w:id="65"/>
    </w:p>
    <w:p w14:paraId="0EF1A2FC" w14:textId="77777777" w:rsidR="00C771EE" w:rsidRDefault="00C771EE" w:rsidP="0020383D">
      <w:pPr>
        <w:tabs>
          <w:tab w:val="left" w:pos="284"/>
        </w:tabs>
        <w:spacing w:before="0" w:after="0"/>
        <w:rPr>
          <w:rFonts w:ascii="Arial Narrow" w:eastAsia="Times New Roman" w:hAnsi="Arial Narrow" w:cs="Arial"/>
          <w:snapToGrid w:val="0"/>
          <w:color w:val="0D0D0D" w:themeColor="text1" w:themeTint="F2"/>
          <w:sz w:val="18"/>
          <w:lang w:eastAsia="en-AU"/>
        </w:rPr>
      </w:pPr>
      <w:r>
        <w:rPr>
          <w:rFonts w:ascii="Arial Narrow" w:eastAsia="Times New Roman" w:hAnsi="Arial Narrow" w:cs="Arial"/>
          <w:snapToGrid w:val="0"/>
          <w:color w:val="0D0D0D" w:themeColor="text1" w:themeTint="F2"/>
          <w:sz w:val="18"/>
          <w:lang w:eastAsia="en-AU"/>
        </w:rPr>
        <w:t xml:space="preserve">Note: the number may not be exact due to rounding in the “3.1_Ivosidenib cost-effectiveness model” Workbook provided in the submission. </w:t>
      </w:r>
    </w:p>
    <w:p w14:paraId="15141B83" w14:textId="77777777" w:rsidR="00F95E04" w:rsidRDefault="00F95E04" w:rsidP="0020383D">
      <w:pPr>
        <w:tabs>
          <w:tab w:val="left" w:pos="284"/>
        </w:tabs>
        <w:spacing w:before="0" w:after="0"/>
        <w:rPr>
          <w:rFonts w:ascii="Arial Narrow" w:eastAsia="Times New Roman" w:hAnsi="Arial Narrow" w:cs="Arial"/>
          <w:snapToGrid w:val="0"/>
          <w:color w:val="0D0D0D" w:themeColor="text1" w:themeTint="F2"/>
          <w:sz w:val="18"/>
          <w:lang w:eastAsia="en-AU"/>
        </w:rPr>
      </w:pPr>
      <w:r w:rsidRPr="00F87F22">
        <w:rPr>
          <w:rFonts w:ascii="Arial Narrow" w:eastAsia="Times New Roman" w:hAnsi="Arial Narrow" w:cs="Arial"/>
          <w:snapToGrid w:val="0"/>
          <w:color w:val="0D0D0D" w:themeColor="text1" w:themeTint="F2"/>
          <w:sz w:val="18"/>
          <w:vertAlign w:val="superscript"/>
          <w:lang w:eastAsia="en-AU"/>
        </w:rPr>
        <w:t>a</w:t>
      </w:r>
      <w:r w:rsidRPr="00F87F22">
        <w:rPr>
          <w:rFonts w:ascii="Arial Narrow" w:eastAsia="Times New Roman" w:hAnsi="Arial Narrow" w:cs="Arial"/>
          <w:snapToGrid w:val="0"/>
          <w:color w:val="0D0D0D" w:themeColor="text1" w:themeTint="F2"/>
          <w:sz w:val="18"/>
          <w:lang w:eastAsia="en-AU"/>
        </w:rPr>
        <w:t xml:space="preserve"> </w:t>
      </w:r>
      <w:r>
        <w:rPr>
          <w:rFonts w:ascii="Arial Narrow" w:eastAsia="Times New Roman" w:hAnsi="Arial Narrow" w:cs="Arial"/>
          <w:snapToGrid w:val="0"/>
          <w:color w:val="0D0D0D" w:themeColor="text1" w:themeTint="F2"/>
          <w:sz w:val="18"/>
          <w:lang w:eastAsia="en-AU"/>
        </w:rPr>
        <w:t xml:space="preserve">36 months </w:t>
      </w:r>
      <w:r w:rsidRPr="00F87F22">
        <w:rPr>
          <w:rFonts w:ascii="Arial Narrow" w:eastAsia="Times New Roman" w:hAnsi="Arial Narrow" w:cs="Arial"/>
          <w:snapToGrid w:val="0"/>
          <w:color w:val="0D0D0D" w:themeColor="text1" w:themeTint="F2"/>
          <w:sz w:val="18"/>
          <w:lang w:eastAsia="en-AU"/>
        </w:rPr>
        <w:t>was the latest follow-up</w:t>
      </w:r>
      <w:r>
        <w:rPr>
          <w:rFonts w:ascii="Arial Narrow" w:eastAsia="Times New Roman" w:hAnsi="Arial Narrow" w:cs="Arial"/>
          <w:snapToGrid w:val="0"/>
          <w:color w:val="0D0D0D" w:themeColor="text1" w:themeTint="F2"/>
          <w:sz w:val="18"/>
          <w:lang w:eastAsia="en-AU"/>
        </w:rPr>
        <w:t xml:space="preserve"> for overall survival </w:t>
      </w:r>
      <w:r w:rsidRPr="00F87F22">
        <w:rPr>
          <w:rFonts w:ascii="Arial Narrow" w:eastAsia="Times New Roman" w:hAnsi="Arial Narrow" w:cs="Arial"/>
          <w:snapToGrid w:val="0"/>
          <w:color w:val="0D0D0D" w:themeColor="text1" w:themeTint="F2"/>
          <w:sz w:val="18"/>
          <w:lang w:eastAsia="en-AU"/>
        </w:rPr>
        <w:t xml:space="preserve">in the </w:t>
      </w:r>
      <w:r>
        <w:rPr>
          <w:rFonts w:ascii="Arial Narrow" w:eastAsia="Times New Roman" w:hAnsi="Arial Narrow" w:cs="Arial"/>
          <w:snapToGrid w:val="0"/>
          <w:color w:val="0D0D0D" w:themeColor="text1" w:themeTint="F2"/>
          <w:sz w:val="18"/>
          <w:lang w:eastAsia="en-AU"/>
        </w:rPr>
        <w:t>ivosidenib arm of the ClarIDHy trial</w:t>
      </w:r>
    </w:p>
    <w:p w14:paraId="20E93113" w14:textId="77777777" w:rsidR="006540F8" w:rsidRPr="006540F8" w:rsidRDefault="006540F8" w:rsidP="0020383D">
      <w:pPr>
        <w:tabs>
          <w:tab w:val="left" w:pos="284"/>
        </w:tabs>
        <w:spacing w:before="0" w:after="0"/>
        <w:rPr>
          <w:rFonts w:ascii="Arial Narrow" w:eastAsia="Times New Roman" w:hAnsi="Arial Narrow" w:cs="Arial"/>
          <w:i/>
          <w:iCs/>
          <w:snapToGrid w:val="0"/>
          <w:color w:val="0D0D0D" w:themeColor="text1" w:themeTint="F2"/>
          <w:sz w:val="18"/>
          <w:lang w:eastAsia="en-AU"/>
        </w:rPr>
      </w:pPr>
      <w:r w:rsidRPr="006540F8">
        <w:rPr>
          <w:rFonts w:ascii="Arial Narrow" w:eastAsia="Times New Roman" w:hAnsi="Arial Narrow" w:cs="Arial"/>
          <w:i/>
          <w:iCs/>
          <w:snapToGrid w:val="0"/>
          <w:color w:val="0D0D0D" w:themeColor="text1" w:themeTint="F2"/>
          <w:sz w:val="18"/>
          <w:lang w:eastAsia="en-AU"/>
        </w:rPr>
        <w:t>The redacted values correspond to the following ranges:</w:t>
      </w:r>
    </w:p>
    <w:p w14:paraId="2D0C75DA" w14:textId="77777777" w:rsidR="006540F8" w:rsidRPr="006540F8" w:rsidRDefault="006540F8" w:rsidP="0020383D">
      <w:pPr>
        <w:tabs>
          <w:tab w:val="left" w:pos="284"/>
        </w:tabs>
        <w:spacing w:before="0" w:after="0"/>
        <w:rPr>
          <w:rFonts w:ascii="Arial Narrow" w:eastAsia="Times New Roman" w:hAnsi="Arial Narrow" w:cs="Arial"/>
          <w:i/>
          <w:iCs/>
          <w:snapToGrid w:val="0"/>
          <w:color w:val="0D0D0D" w:themeColor="text1" w:themeTint="F2"/>
          <w:sz w:val="18"/>
          <w:lang w:eastAsia="en-AU"/>
        </w:rPr>
      </w:pPr>
      <w:r w:rsidRPr="006540F8">
        <w:rPr>
          <w:rFonts w:ascii="Arial Narrow" w:eastAsia="Times New Roman" w:hAnsi="Arial Narrow" w:cs="Arial"/>
          <w:i/>
          <w:iCs/>
          <w:snapToGrid w:val="0"/>
          <w:color w:val="0D0D0D" w:themeColor="text1" w:themeTint="F2"/>
          <w:sz w:val="18"/>
          <w:lang w:eastAsia="en-AU"/>
        </w:rPr>
        <w:t xml:space="preserve">1 $95,000 to &lt; $115,000 </w:t>
      </w:r>
    </w:p>
    <w:p w14:paraId="29ADC694" w14:textId="422DBF07" w:rsidR="006540F8" w:rsidRPr="0020383D" w:rsidRDefault="006540F8" w:rsidP="0020383D">
      <w:pPr>
        <w:tabs>
          <w:tab w:val="left" w:pos="284"/>
        </w:tabs>
        <w:spacing w:before="0" w:after="120"/>
        <w:rPr>
          <w:rFonts w:ascii="Arial Narrow" w:eastAsia="Times New Roman" w:hAnsi="Arial Narrow" w:cs="Arial"/>
          <w:i/>
          <w:iCs/>
          <w:snapToGrid w:val="0"/>
          <w:color w:val="0D0D0D" w:themeColor="text1" w:themeTint="F2"/>
          <w:sz w:val="18"/>
          <w:lang w:eastAsia="en-AU"/>
        </w:rPr>
      </w:pPr>
      <w:r w:rsidRPr="006540F8">
        <w:rPr>
          <w:rFonts w:ascii="Arial Narrow" w:eastAsia="Times New Roman" w:hAnsi="Arial Narrow" w:cs="Arial"/>
          <w:i/>
          <w:iCs/>
          <w:snapToGrid w:val="0"/>
          <w:color w:val="0D0D0D" w:themeColor="text1" w:themeTint="F2"/>
          <w:sz w:val="18"/>
          <w:lang w:eastAsia="en-AU"/>
        </w:rPr>
        <w:t>2 $75,000 to &lt; $95,000</w:t>
      </w:r>
    </w:p>
    <w:p w14:paraId="6918D728" w14:textId="379A5694" w:rsidR="00F95E04" w:rsidRPr="00F95E04" w:rsidRDefault="00F95E04" w:rsidP="007E0187">
      <w:pPr>
        <w:pStyle w:val="ListParagraph"/>
      </w:pPr>
      <w:r w:rsidRPr="003E7195">
        <w:t>For the trial population</w:t>
      </w:r>
      <w:r>
        <w:t xml:space="preserve"> (</w:t>
      </w:r>
      <w:r w:rsidRPr="00A14C91">
        <w:rPr>
          <w:i/>
          <w:iCs/>
        </w:rPr>
        <w:t>i.e.</w:t>
      </w:r>
      <w:r>
        <w:t xml:space="preserve">, patients who test positive for </w:t>
      </w:r>
      <w:r w:rsidRPr="00A14C91">
        <w:rPr>
          <w:i/>
          <w:iCs/>
        </w:rPr>
        <w:t>IDH1</w:t>
      </w:r>
      <w:r>
        <w:t xml:space="preserve"> variants and are treated with ivosidenib or BSC), </w:t>
      </w:r>
      <w:r w:rsidRPr="003E7195">
        <w:t>ivosidenib, compared with BSC, was associated with  0.56 quality-adjusted life year</w:t>
      </w:r>
      <w:r w:rsidR="00DC5CF3">
        <w:t>s</w:t>
      </w:r>
      <w:r w:rsidRPr="003E7195">
        <w:t xml:space="preserve"> (QALY) gained, at an additional cost of </w:t>
      </w:r>
      <w:r w:rsidR="002311C6" w:rsidRPr="002311C6">
        <w:rPr>
          <w:w w:val="15"/>
          <w:shd w:val="solid" w:color="000000" w:fill="000000"/>
          <w:fitText w:val="-20" w:id="-769398528"/>
          <w14:textFill>
            <w14:solidFill>
              <w14:schemeClr w14:val="tx1">
                <w14:alpha w14:val="100000"/>
                <w14:lumMod w14:val="95000"/>
                <w14:lumOff w14:val="5000"/>
              </w14:schemeClr>
            </w14:solidFill>
          </w14:textFill>
        </w:rPr>
        <w:t xml:space="preserve">|  </w:t>
      </w:r>
      <w:r w:rsidR="002311C6" w:rsidRPr="002311C6">
        <w:rPr>
          <w:spacing w:val="-69"/>
          <w:w w:val="15"/>
          <w:shd w:val="solid" w:color="000000" w:fill="000000"/>
          <w:fitText w:val="-20" w:id="-769398528"/>
          <w14:textFill>
            <w14:solidFill>
              <w14:schemeClr w14:val="tx1">
                <w14:alpha w14:val="100000"/>
                <w14:lumMod w14:val="95000"/>
                <w14:lumOff w14:val="5000"/>
              </w14:schemeClr>
            </w14:solidFill>
          </w14:textFill>
        </w:rPr>
        <w:t>|</w:t>
      </w:r>
      <w:r w:rsidRPr="003E7195">
        <w:t>, resulting in an ICER of $</w:t>
      </w:r>
      <w:r w:rsidR="00660942" w:rsidRPr="00660942">
        <w:t>95,000 to &lt; $115,000</w:t>
      </w:r>
      <w:r w:rsidRPr="003E7195">
        <w:t xml:space="preserve">/QALY gained. </w:t>
      </w:r>
      <w:r w:rsidRPr="00181B1F">
        <w:t>The ICER for the trial population was identical to the ICER for the testing population as presented in the submission.</w:t>
      </w:r>
      <w:r w:rsidRPr="003E7195">
        <w:rPr>
          <w:i/>
          <w:iCs/>
        </w:rPr>
        <w:t xml:space="preserve"> </w:t>
      </w:r>
      <w:r w:rsidRPr="00A14C91">
        <w:t>The</w:t>
      </w:r>
      <w:r w:rsidRPr="003E7195">
        <w:rPr>
          <w:i/>
          <w:iCs/>
        </w:rPr>
        <w:t xml:space="preserve"> </w:t>
      </w:r>
      <w:r w:rsidRPr="003E7195">
        <w:t xml:space="preserve">main driver of the costs was the cost of ivosidenib treatment, with the cost of testing, disease management, management of AEs and terminal care costs minor contributors. </w:t>
      </w:r>
    </w:p>
    <w:p w14:paraId="5C50A5F4" w14:textId="70502AF1" w:rsidR="004D1A12" w:rsidRPr="003E7195" w:rsidRDefault="004D1A12" w:rsidP="007E0187">
      <w:pPr>
        <w:pStyle w:val="ListParagraph"/>
      </w:pPr>
      <w:r w:rsidRPr="003E7195">
        <w:t>The Markov traces of the PF, PD, and death health states, for the ivosidenib and BSC treatment arms, over the modelled time horizon are presented in</w:t>
      </w:r>
      <w:r w:rsidR="005269FF">
        <w:t xml:space="preserve"> </w:t>
      </w:r>
      <w:r w:rsidR="005269FF">
        <w:fldChar w:fldCharType="begin" w:fldLock="1"/>
      </w:r>
      <w:r w:rsidR="005269FF">
        <w:instrText xml:space="preserve"> REF _Ref173494750 \h </w:instrText>
      </w:r>
      <w:r w:rsidR="005269FF">
        <w:fldChar w:fldCharType="separate"/>
      </w:r>
      <w:r w:rsidR="00CB6594">
        <w:t xml:space="preserve">Figure </w:t>
      </w:r>
      <w:r w:rsidR="00CB6594">
        <w:rPr>
          <w:noProof/>
        </w:rPr>
        <w:t>10</w:t>
      </w:r>
      <w:r w:rsidR="005269FF">
        <w:fldChar w:fldCharType="end"/>
      </w:r>
      <w:r w:rsidRPr="003E7195">
        <w:t xml:space="preserve">. </w:t>
      </w:r>
    </w:p>
    <w:p w14:paraId="7F99A0E5" w14:textId="1E428BB9" w:rsidR="00B453B0" w:rsidRDefault="00B453B0" w:rsidP="00013016">
      <w:pPr>
        <w:pStyle w:val="Caption"/>
      </w:pPr>
      <w:bookmarkStart w:id="66" w:name="_Ref173494750"/>
      <w:r>
        <w:lastRenderedPageBreak/>
        <w:t xml:space="preserve">Figure </w:t>
      </w:r>
      <w:r w:rsidR="00841FC2">
        <w:fldChar w:fldCharType="begin" w:fldLock="1"/>
      </w:r>
      <w:r w:rsidR="00841FC2">
        <w:instrText xml:space="preserve"> SEQ Figure \* ARABIC </w:instrText>
      </w:r>
      <w:r w:rsidR="00841FC2">
        <w:fldChar w:fldCharType="separate"/>
      </w:r>
      <w:r w:rsidR="00CB6594">
        <w:rPr>
          <w:noProof/>
        </w:rPr>
        <w:t>10</w:t>
      </w:r>
      <w:r w:rsidR="00841FC2">
        <w:rPr>
          <w:noProof/>
        </w:rPr>
        <w:fldChar w:fldCharType="end"/>
      </w:r>
      <w:bookmarkEnd w:id="66"/>
      <w:r w:rsidR="0068086C">
        <w:rPr>
          <w:noProof/>
        </w:rPr>
        <w:t>:</w:t>
      </w:r>
      <w:r w:rsidR="0068086C">
        <w:t xml:space="preserve"> </w:t>
      </w:r>
      <w:r w:rsidRPr="003E7195">
        <w:t>Modelled traces over the time horizon</w:t>
      </w:r>
    </w:p>
    <w:p w14:paraId="73613ECD" w14:textId="17462E0D" w:rsidR="004D1A12" w:rsidRPr="003E7195" w:rsidRDefault="004D1A12" w:rsidP="0068086C">
      <w:pPr>
        <w:spacing w:before="0" w:after="0"/>
      </w:pPr>
      <w:r>
        <w:rPr>
          <w:noProof/>
        </w:rPr>
        <w:drawing>
          <wp:inline distT="0" distB="0" distL="0" distR="0" wp14:anchorId="1B187C2D" wp14:editId="16DCB28D">
            <wp:extent cx="5023751" cy="2990850"/>
            <wp:effectExtent l="0" t="0" r="5715" b="0"/>
            <wp:docPr id="213852328" name="Picture 213852328" descr="Figure 10: Modelled traces over the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2328" name="Picture 213852328" descr="Figure 10: Modelled traces over the time horizo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23751" cy="2990850"/>
                    </a:xfrm>
                    <a:prstGeom prst="rect">
                      <a:avLst/>
                    </a:prstGeom>
                  </pic:spPr>
                </pic:pic>
              </a:graphicData>
            </a:graphic>
          </wp:inline>
        </w:drawing>
      </w:r>
    </w:p>
    <w:p w14:paraId="74B32173" w14:textId="5BBEFB54" w:rsidR="004D1A12" w:rsidRPr="003E7195" w:rsidRDefault="004D1A12" w:rsidP="0068086C">
      <w:pPr>
        <w:pStyle w:val="TableFigureFooter"/>
        <w:jc w:val="both"/>
        <w:rPr>
          <w:color w:val="0D0D0D" w:themeColor="text1" w:themeTint="F2"/>
        </w:rPr>
      </w:pPr>
      <w:bookmarkStart w:id="67" w:name="_Hlk163926474"/>
      <w:r w:rsidRPr="003E7195">
        <w:rPr>
          <w:color w:val="0D0D0D" w:themeColor="text1" w:themeTint="F2"/>
        </w:rPr>
        <w:t>Source</w:t>
      </w:r>
      <w:r w:rsidRPr="003E7195">
        <w:rPr>
          <w:i/>
          <w:iCs/>
          <w:color w:val="0D0D0D" w:themeColor="text1" w:themeTint="F2"/>
        </w:rPr>
        <w:t xml:space="preserve">: </w:t>
      </w:r>
      <w:r w:rsidRPr="00663770">
        <w:rPr>
          <w:color w:val="0D0D0D" w:themeColor="text1" w:themeTint="F2"/>
        </w:rPr>
        <w:t xml:space="preserve">Constructed during </w:t>
      </w:r>
      <w:r w:rsidR="00DC5CF3">
        <w:rPr>
          <w:color w:val="0D0D0D" w:themeColor="text1" w:themeTint="F2"/>
        </w:rPr>
        <w:t>commentary</w:t>
      </w:r>
      <w:r w:rsidRPr="003E7195">
        <w:rPr>
          <w:i/>
          <w:iCs/>
          <w:color w:val="0D0D0D" w:themeColor="text1" w:themeTint="F2"/>
        </w:rPr>
        <w:t>,</w:t>
      </w:r>
      <w:r w:rsidRPr="003E7195">
        <w:rPr>
          <w:color w:val="0D0D0D" w:themeColor="text1" w:themeTint="F2"/>
        </w:rPr>
        <w:t xml:space="preserve"> based on the ‘Markov trace’ spreadsheet in the “3.1_Ivosidenib cost-effectiveness model” Workbook provided in the submission.</w:t>
      </w:r>
    </w:p>
    <w:p w14:paraId="17173709" w14:textId="77777777" w:rsidR="004D1A12" w:rsidRPr="003E7195" w:rsidRDefault="004D1A12" w:rsidP="0068086C">
      <w:pPr>
        <w:pStyle w:val="TableFigureFooter"/>
        <w:jc w:val="both"/>
        <w:rPr>
          <w:color w:val="0D0D0D" w:themeColor="text1" w:themeTint="F2"/>
        </w:rPr>
      </w:pPr>
      <w:r w:rsidRPr="003E7195">
        <w:rPr>
          <w:color w:val="0D0D0D" w:themeColor="text1" w:themeTint="F2"/>
        </w:rPr>
        <w:t>Cx = comparator; PD = progressive disease; PF = progression-free; Tx = treatment arm</w:t>
      </w:r>
      <w:bookmarkEnd w:id="67"/>
      <w:r w:rsidRPr="003E7195">
        <w:rPr>
          <w:color w:val="0D0D0D" w:themeColor="text1" w:themeTint="F2"/>
        </w:rPr>
        <w:t xml:space="preserve"> </w:t>
      </w:r>
    </w:p>
    <w:p w14:paraId="70A70A4A" w14:textId="77777777" w:rsidR="004D1A12" w:rsidRPr="00181B1F" w:rsidRDefault="004D1A12" w:rsidP="007E0187">
      <w:pPr>
        <w:pStyle w:val="ListParagraph"/>
      </w:pPr>
      <w:r w:rsidRPr="00181B1F">
        <w:t xml:space="preserve">From the modelled traces, it is evident that patients who did not receive treatment with ivosidenib progressed faster than those receiving ivosidenib treatment, especially in the first few months. Further, patients in the ivosidenib arm spent more time in the PD state (compared to the BSC arm). </w:t>
      </w:r>
      <w:proofErr w:type="gramStart"/>
      <w:r w:rsidRPr="00181B1F">
        <w:t>Both of the above</w:t>
      </w:r>
      <w:proofErr w:type="gramEnd"/>
      <w:r w:rsidRPr="00181B1F">
        <w:t xml:space="preserve"> contributed to the OS benefits accrued by patients receiving ivosidenib treatment. </w:t>
      </w:r>
    </w:p>
    <w:p w14:paraId="5342B7A9" w14:textId="1EE5315E" w:rsidR="004D1A12" w:rsidRPr="003E7195" w:rsidRDefault="004D1A12" w:rsidP="007E0187">
      <w:pPr>
        <w:pStyle w:val="ListParagraph"/>
      </w:pPr>
      <w:r w:rsidRPr="003E7195">
        <w:t xml:space="preserve">The results of key sensitivity analyses are summarised in </w:t>
      </w:r>
      <w:r w:rsidRPr="003E7195">
        <w:fldChar w:fldCharType="begin" w:fldLock="1"/>
      </w:r>
      <w:r w:rsidRPr="003E7195">
        <w:instrText xml:space="preserve"> REF _Ref164278505 \h </w:instrText>
      </w:r>
      <w:r w:rsidRPr="003E7195">
        <w:fldChar w:fldCharType="separate"/>
      </w:r>
      <w:r w:rsidR="00CB6594" w:rsidRPr="003E7195">
        <w:t xml:space="preserve">Table </w:t>
      </w:r>
      <w:r w:rsidR="00CB6594">
        <w:rPr>
          <w:noProof/>
        </w:rPr>
        <w:t>14</w:t>
      </w:r>
      <w:r w:rsidRPr="003E7195">
        <w:fldChar w:fldCharType="end"/>
      </w:r>
      <w:r w:rsidRPr="003E7195">
        <w:t xml:space="preserve">. </w:t>
      </w:r>
    </w:p>
    <w:p w14:paraId="418CB51F" w14:textId="51C8AD66" w:rsidR="004D1A12" w:rsidRPr="003E7195" w:rsidRDefault="004D1A12" w:rsidP="00403C4F">
      <w:pPr>
        <w:pStyle w:val="TableFigureHeading"/>
        <w:rPr>
          <w:rStyle w:val="CommentReference"/>
          <w:b/>
          <w:color w:val="0D0D0D" w:themeColor="text1" w:themeTint="F2"/>
        </w:rPr>
      </w:pPr>
      <w:bookmarkStart w:id="68" w:name="_Ref164278505"/>
      <w:r w:rsidRPr="003E7195">
        <w:rPr>
          <w:color w:val="0D0D0D" w:themeColor="text1" w:themeTint="F2"/>
        </w:rPr>
        <w:t xml:space="preserve">Table </w:t>
      </w:r>
      <w:r w:rsidRPr="003E7195">
        <w:rPr>
          <w:color w:val="0D0D0D" w:themeColor="text1" w:themeTint="F2"/>
        </w:rPr>
        <w:fldChar w:fldCharType="begin" w:fldLock="1"/>
      </w:r>
      <w:r w:rsidRPr="003E7195">
        <w:rPr>
          <w:color w:val="0D0D0D" w:themeColor="text1" w:themeTint="F2"/>
        </w:rPr>
        <w:instrText xml:space="preserve"> SEQ Table_PBAC. \* ARABIC </w:instrText>
      </w:r>
      <w:r w:rsidRPr="003E7195">
        <w:rPr>
          <w:color w:val="0D0D0D" w:themeColor="text1" w:themeTint="F2"/>
        </w:rPr>
        <w:fldChar w:fldCharType="separate"/>
      </w:r>
      <w:r w:rsidR="00CB6594">
        <w:rPr>
          <w:noProof/>
          <w:color w:val="0D0D0D" w:themeColor="text1" w:themeTint="F2"/>
        </w:rPr>
        <w:t>14</w:t>
      </w:r>
      <w:r w:rsidRPr="003E7195">
        <w:rPr>
          <w:color w:val="0D0D0D" w:themeColor="text1" w:themeTint="F2"/>
        </w:rPr>
        <w:fldChar w:fldCharType="end"/>
      </w:r>
      <w:bookmarkEnd w:id="68"/>
      <w:r w:rsidRPr="003E7195">
        <w:rPr>
          <w:color w:val="0D0D0D" w:themeColor="text1" w:themeTint="F2"/>
        </w:rPr>
        <w:t xml:space="preserve">: Results of the key univariate and multivariate </w:t>
      </w:r>
      <w:r w:rsidRPr="003E7195">
        <w:rPr>
          <w:rStyle w:val="CommentReference"/>
          <w:b/>
          <w:color w:val="0D0D0D" w:themeColor="text1" w:themeTint="F2"/>
        </w:rPr>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4: Results of the key univariate and multivariate sensitivity analyses"/>
      </w:tblPr>
      <w:tblGrid>
        <w:gridCol w:w="4673"/>
        <w:gridCol w:w="1134"/>
        <w:gridCol w:w="1134"/>
        <w:gridCol w:w="851"/>
        <w:gridCol w:w="1224"/>
      </w:tblGrid>
      <w:tr w:rsidR="0068086C" w:rsidRPr="00181B1F" w14:paraId="445D50D2" w14:textId="77777777" w:rsidTr="0068086C">
        <w:trPr>
          <w:tblHeader/>
        </w:trPr>
        <w:tc>
          <w:tcPr>
            <w:tcW w:w="4673" w:type="dxa"/>
            <w:vAlign w:val="center"/>
          </w:tcPr>
          <w:p w14:paraId="4E0D4139" w14:textId="77777777" w:rsidR="004D1A12" w:rsidRPr="00181B1F" w:rsidRDefault="004D1A12" w:rsidP="00403C4F">
            <w:pPr>
              <w:pStyle w:val="TableText"/>
              <w:keepNext/>
              <w:rPr>
                <w:b/>
                <w:bCs/>
                <w:color w:val="0D0D0D" w:themeColor="text1" w:themeTint="F2"/>
                <w:szCs w:val="20"/>
              </w:rPr>
            </w:pPr>
            <w:bookmarkStart w:id="69" w:name="_Hlk163928130"/>
            <w:r w:rsidRPr="00181B1F">
              <w:rPr>
                <w:b/>
                <w:bCs/>
                <w:color w:val="0D0D0D" w:themeColor="text1" w:themeTint="F2"/>
                <w:szCs w:val="20"/>
              </w:rPr>
              <w:t>Analyses</w:t>
            </w:r>
          </w:p>
        </w:tc>
        <w:tc>
          <w:tcPr>
            <w:tcW w:w="1134" w:type="dxa"/>
            <w:vAlign w:val="center"/>
          </w:tcPr>
          <w:p w14:paraId="6D8C152D" w14:textId="77777777" w:rsidR="004D1A12" w:rsidRPr="00181B1F" w:rsidRDefault="004D1A12" w:rsidP="00403C4F">
            <w:pPr>
              <w:pStyle w:val="TableText"/>
              <w:keepNext/>
              <w:jc w:val="center"/>
              <w:rPr>
                <w:b/>
                <w:bCs/>
                <w:color w:val="0D0D0D" w:themeColor="text1" w:themeTint="F2"/>
                <w:szCs w:val="20"/>
              </w:rPr>
            </w:pPr>
            <w:r w:rsidRPr="00181B1F">
              <w:rPr>
                <w:b/>
                <w:bCs/>
                <w:color w:val="0D0D0D" w:themeColor="text1" w:themeTint="F2"/>
                <w:szCs w:val="20"/>
              </w:rPr>
              <w:t>Incremental cost</w:t>
            </w:r>
          </w:p>
        </w:tc>
        <w:tc>
          <w:tcPr>
            <w:tcW w:w="1134" w:type="dxa"/>
            <w:vAlign w:val="center"/>
          </w:tcPr>
          <w:p w14:paraId="321547A6" w14:textId="77777777" w:rsidR="004D1A12" w:rsidRPr="00181B1F" w:rsidRDefault="004D1A12" w:rsidP="00403C4F">
            <w:pPr>
              <w:pStyle w:val="TableText"/>
              <w:keepNext/>
              <w:jc w:val="center"/>
              <w:rPr>
                <w:b/>
                <w:bCs/>
                <w:color w:val="0D0D0D" w:themeColor="text1" w:themeTint="F2"/>
                <w:szCs w:val="20"/>
              </w:rPr>
            </w:pPr>
            <w:r w:rsidRPr="00181B1F">
              <w:rPr>
                <w:b/>
                <w:bCs/>
                <w:color w:val="0D0D0D" w:themeColor="text1" w:themeTint="F2"/>
                <w:szCs w:val="20"/>
              </w:rPr>
              <w:t>Incremental QALY</w:t>
            </w:r>
          </w:p>
        </w:tc>
        <w:tc>
          <w:tcPr>
            <w:tcW w:w="851" w:type="dxa"/>
            <w:vAlign w:val="center"/>
          </w:tcPr>
          <w:p w14:paraId="756A7F26" w14:textId="77777777" w:rsidR="004D1A12" w:rsidRPr="00181B1F" w:rsidRDefault="004D1A12" w:rsidP="00403C4F">
            <w:pPr>
              <w:pStyle w:val="TableText"/>
              <w:keepNext/>
              <w:jc w:val="center"/>
              <w:rPr>
                <w:b/>
                <w:bCs/>
                <w:color w:val="0D0D0D" w:themeColor="text1" w:themeTint="F2"/>
                <w:szCs w:val="20"/>
              </w:rPr>
            </w:pPr>
            <w:r w:rsidRPr="00181B1F">
              <w:rPr>
                <w:b/>
                <w:bCs/>
                <w:color w:val="0D0D0D" w:themeColor="text1" w:themeTint="F2"/>
                <w:szCs w:val="20"/>
              </w:rPr>
              <w:t>ICER</w:t>
            </w:r>
          </w:p>
        </w:tc>
        <w:tc>
          <w:tcPr>
            <w:tcW w:w="1224" w:type="dxa"/>
            <w:vAlign w:val="center"/>
          </w:tcPr>
          <w:p w14:paraId="119CB876" w14:textId="77777777" w:rsidR="004D1A12" w:rsidRPr="00181B1F" w:rsidRDefault="004D1A12" w:rsidP="00403C4F">
            <w:pPr>
              <w:pStyle w:val="TableText"/>
              <w:keepNext/>
              <w:jc w:val="center"/>
              <w:rPr>
                <w:b/>
                <w:bCs/>
                <w:color w:val="0D0D0D" w:themeColor="text1" w:themeTint="F2"/>
                <w:szCs w:val="20"/>
              </w:rPr>
            </w:pPr>
            <w:r w:rsidRPr="00181B1F">
              <w:rPr>
                <w:b/>
                <w:bCs/>
                <w:color w:val="0D0D0D" w:themeColor="text1" w:themeTint="F2"/>
                <w:szCs w:val="20"/>
              </w:rPr>
              <w:t>% change from baseline</w:t>
            </w:r>
          </w:p>
        </w:tc>
      </w:tr>
      <w:tr w:rsidR="00403C4F" w:rsidRPr="00181B1F" w14:paraId="445E6954" w14:textId="77777777" w:rsidTr="0068086C">
        <w:tc>
          <w:tcPr>
            <w:tcW w:w="4673" w:type="dxa"/>
          </w:tcPr>
          <w:p w14:paraId="4AF26CD8" w14:textId="77777777" w:rsidR="004D1A12" w:rsidRPr="00181B1F" w:rsidRDefault="004D1A12" w:rsidP="00403C4F">
            <w:pPr>
              <w:pStyle w:val="TableText"/>
              <w:keepNext/>
              <w:rPr>
                <w:b/>
                <w:color w:val="0D0D0D" w:themeColor="text1" w:themeTint="F2"/>
                <w:szCs w:val="20"/>
              </w:rPr>
            </w:pPr>
            <w:r w:rsidRPr="00181B1F">
              <w:rPr>
                <w:b/>
                <w:color w:val="0D0D0D" w:themeColor="text1" w:themeTint="F2"/>
                <w:szCs w:val="20"/>
              </w:rPr>
              <w:t>Base case</w:t>
            </w:r>
          </w:p>
        </w:tc>
        <w:tc>
          <w:tcPr>
            <w:tcW w:w="1134" w:type="dxa"/>
          </w:tcPr>
          <w:p w14:paraId="51466B2A" w14:textId="3EA94827" w:rsidR="004D1A12" w:rsidRPr="00181B1F" w:rsidRDefault="004D1A12" w:rsidP="00403C4F">
            <w:pPr>
              <w:pStyle w:val="TableText"/>
              <w:keepNext/>
              <w:jc w:val="center"/>
              <w:rPr>
                <w:b/>
                <w:color w:val="0D0D0D" w:themeColor="text1" w:themeTint="F2"/>
              </w:rPr>
            </w:pPr>
            <w:r w:rsidRPr="00181B1F">
              <w:rPr>
                <w:b/>
                <w:color w:val="0D0D0D" w:themeColor="text1" w:themeTint="F2"/>
              </w:rPr>
              <w:t>$</w:t>
            </w:r>
            <w:r w:rsidR="00E26C98" w:rsidRPr="00E26C98">
              <w:rPr>
                <w:b/>
                <w:color w:val="0D0D0D" w:themeColor="text1" w:themeTint="F2"/>
                <w:spacing w:val="88"/>
                <w:shd w:val="solid" w:color="000000" w:fill="000000"/>
                <w:fitText w:val="180" w:id="-893744891"/>
                <w14:textFill>
                  <w14:solidFill>
                    <w14:schemeClr w14:val="tx1">
                      <w14:alpha w14:val="100000"/>
                      <w14:lumMod w14:val="95000"/>
                      <w14:lumOff w14:val="5000"/>
                    </w14:schemeClr>
                  </w14:solidFill>
                </w14:textFill>
              </w:rPr>
              <w:t>|</w:t>
            </w:r>
            <w:r w:rsidR="00E26C98" w:rsidRPr="00E26C98">
              <w:rPr>
                <w:b/>
                <w:color w:val="0D0D0D" w:themeColor="text1" w:themeTint="F2"/>
                <w:spacing w:val="1"/>
                <w:shd w:val="solid" w:color="000000" w:fill="000000"/>
                <w:fitText w:val="180" w:id="-893744891"/>
                <w14:textFill>
                  <w14:solidFill>
                    <w14:schemeClr w14:val="tx1">
                      <w14:alpha w14:val="100000"/>
                      <w14:lumMod w14:val="95000"/>
                      <w14:lumOff w14:val="5000"/>
                    </w14:schemeClr>
                  </w14:solidFill>
                </w14:textFill>
              </w:rPr>
              <w:t>|</w:t>
            </w:r>
          </w:p>
        </w:tc>
        <w:tc>
          <w:tcPr>
            <w:tcW w:w="1134" w:type="dxa"/>
          </w:tcPr>
          <w:p w14:paraId="158A1C27" w14:textId="77777777" w:rsidR="004D1A12" w:rsidRPr="00181B1F" w:rsidRDefault="004D1A12" w:rsidP="00403C4F">
            <w:pPr>
              <w:pStyle w:val="TableText"/>
              <w:keepNext/>
              <w:jc w:val="center"/>
              <w:rPr>
                <w:b/>
                <w:color w:val="0D0D0D" w:themeColor="text1" w:themeTint="F2"/>
              </w:rPr>
            </w:pPr>
            <w:r w:rsidRPr="00181B1F">
              <w:rPr>
                <w:b/>
                <w:color w:val="0D0D0D" w:themeColor="text1" w:themeTint="F2"/>
              </w:rPr>
              <w:t>0.560</w:t>
            </w:r>
          </w:p>
        </w:tc>
        <w:tc>
          <w:tcPr>
            <w:tcW w:w="851" w:type="dxa"/>
          </w:tcPr>
          <w:p w14:paraId="6E66BB3D" w14:textId="7CB63AB1" w:rsidR="004D1A12" w:rsidRPr="00181B1F" w:rsidRDefault="00E26C98" w:rsidP="00403C4F">
            <w:pPr>
              <w:pStyle w:val="TableText"/>
              <w:keepNext/>
              <w:jc w:val="center"/>
              <w:rPr>
                <w:b/>
                <w:color w:val="0D0D0D" w:themeColor="text1" w:themeTint="F2"/>
                <w:szCs w:val="20"/>
              </w:rPr>
            </w:pPr>
            <w:r w:rsidRPr="00E26C98">
              <w:rPr>
                <w:b/>
                <w:color w:val="0D0D0D" w:themeColor="text1" w:themeTint="F2"/>
                <w:szCs w:val="20"/>
                <w:shd w:val="solid" w:color="000000" w:fill="000000"/>
                <w14:textFill>
                  <w14:solidFill>
                    <w14:schemeClr w14:val="tx1">
                      <w14:alpha w14:val="100000"/>
                      <w14:lumMod w14:val="95000"/>
                      <w14:lumOff w14:val="5000"/>
                    </w14:schemeClr>
                  </w14:solidFill>
                </w14:textFill>
              </w:rPr>
              <w:t>|</w:t>
            </w:r>
            <w:r w:rsidR="00660942" w:rsidRPr="003B0EA5">
              <w:rPr>
                <w:b/>
                <w:color w:val="0D0D0D" w:themeColor="text1" w:themeTint="F2"/>
                <w:szCs w:val="20"/>
                <w:vertAlign w:val="superscript"/>
              </w:rPr>
              <w:t>1</w:t>
            </w:r>
          </w:p>
        </w:tc>
        <w:tc>
          <w:tcPr>
            <w:tcW w:w="1224" w:type="dxa"/>
          </w:tcPr>
          <w:p w14:paraId="762A0067" w14:textId="77777777" w:rsidR="004D1A12" w:rsidRPr="00181B1F" w:rsidRDefault="004D1A12" w:rsidP="00403C4F">
            <w:pPr>
              <w:pStyle w:val="TableText"/>
              <w:keepNext/>
              <w:jc w:val="center"/>
              <w:rPr>
                <w:b/>
                <w:color w:val="0D0D0D" w:themeColor="text1" w:themeTint="F2"/>
                <w:szCs w:val="20"/>
              </w:rPr>
            </w:pPr>
            <w:r w:rsidRPr="00181B1F">
              <w:rPr>
                <w:b/>
                <w:color w:val="0D0D0D" w:themeColor="text1" w:themeTint="F2"/>
                <w:szCs w:val="20"/>
              </w:rPr>
              <w:t>–</w:t>
            </w:r>
          </w:p>
        </w:tc>
      </w:tr>
      <w:tr w:rsidR="004D1A12" w:rsidRPr="00181B1F" w14:paraId="6FEBB4C4" w14:textId="77777777" w:rsidTr="0068086C">
        <w:tc>
          <w:tcPr>
            <w:tcW w:w="9016" w:type="dxa"/>
            <w:gridSpan w:val="5"/>
          </w:tcPr>
          <w:p w14:paraId="74FB835E" w14:textId="77777777" w:rsidR="004D1A12" w:rsidRPr="00DD3BA5" w:rsidRDefault="004D1A12" w:rsidP="00403C4F">
            <w:pPr>
              <w:pStyle w:val="TableText"/>
              <w:keepNext/>
              <w:rPr>
                <w:b/>
                <w:color w:val="0D0D0D" w:themeColor="text1" w:themeTint="F2"/>
                <w:szCs w:val="20"/>
              </w:rPr>
            </w:pPr>
            <w:r w:rsidRPr="00DD3BA5">
              <w:rPr>
                <w:b/>
                <w:color w:val="0D0D0D" w:themeColor="text1" w:themeTint="F2"/>
                <w:szCs w:val="20"/>
              </w:rPr>
              <w:t>Time horizon (base case: 10 years)</w:t>
            </w:r>
          </w:p>
        </w:tc>
      </w:tr>
      <w:tr w:rsidR="00403C4F" w:rsidRPr="00181B1F" w14:paraId="6B729649" w14:textId="77777777" w:rsidTr="0068086C">
        <w:tc>
          <w:tcPr>
            <w:tcW w:w="4673" w:type="dxa"/>
          </w:tcPr>
          <w:p w14:paraId="4082BAB7" w14:textId="30A5082B" w:rsidR="004D1A12" w:rsidRPr="00DD3BA5" w:rsidRDefault="004D1A12" w:rsidP="00403C4F">
            <w:pPr>
              <w:pStyle w:val="TableText"/>
              <w:keepNext/>
              <w:rPr>
                <w:bCs/>
                <w:color w:val="0D0D0D" w:themeColor="text1" w:themeTint="F2"/>
                <w:szCs w:val="20"/>
              </w:rPr>
            </w:pPr>
            <w:r w:rsidRPr="00DD3BA5">
              <w:rPr>
                <w:bCs/>
                <w:color w:val="0D0D0D" w:themeColor="text1" w:themeTint="F2"/>
                <w:szCs w:val="20"/>
              </w:rPr>
              <w:t xml:space="preserve">5 years </w:t>
            </w:r>
            <w:r w:rsidRPr="00DD3BA5">
              <w:rPr>
                <w:bCs/>
                <w:szCs w:val="20"/>
              </w:rPr>
              <w:t>#</w:t>
            </w:r>
            <w:r w:rsidR="00DD3BA5" w:rsidRPr="00DD3BA5">
              <w:rPr>
                <w:bCs/>
                <w:szCs w:val="20"/>
              </w:rPr>
              <w:t>1</w:t>
            </w:r>
          </w:p>
        </w:tc>
        <w:tc>
          <w:tcPr>
            <w:tcW w:w="1134" w:type="dxa"/>
            <w:vAlign w:val="bottom"/>
          </w:tcPr>
          <w:p w14:paraId="7241CD87" w14:textId="751C04E8" w:rsidR="004D1A12" w:rsidRPr="00DD3BA5" w:rsidRDefault="004D1A12" w:rsidP="00403C4F">
            <w:pPr>
              <w:pStyle w:val="TableText"/>
              <w:keepNext/>
              <w:jc w:val="center"/>
              <w:rPr>
                <w:b/>
                <w:color w:val="0D0D0D" w:themeColor="text1" w:themeTint="F2"/>
                <w:szCs w:val="20"/>
              </w:rPr>
            </w:pPr>
            <w:r w:rsidRPr="00DD3BA5">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90"/>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90"/>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90"/>
                <w14:textFill>
                  <w14:solidFill>
                    <w14:schemeClr w14:val="tx1">
                      <w14:alpha w14:val="100000"/>
                      <w14:lumMod w14:val="95000"/>
                      <w14:lumOff w14:val="5000"/>
                    </w14:schemeClr>
                  </w14:solidFill>
                </w14:textFill>
              </w:rPr>
              <w:t xml:space="preserve">　</w:t>
            </w:r>
          </w:p>
        </w:tc>
        <w:tc>
          <w:tcPr>
            <w:tcW w:w="1134" w:type="dxa"/>
            <w:vAlign w:val="bottom"/>
          </w:tcPr>
          <w:p w14:paraId="6176A615" w14:textId="77777777" w:rsidR="004D1A12" w:rsidRPr="00DD3BA5" w:rsidRDefault="004D1A12" w:rsidP="00403C4F">
            <w:pPr>
              <w:pStyle w:val="TableText"/>
              <w:keepNext/>
              <w:jc w:val="center"/>
              <w:rPr>
                <w:b/>
                <w:color w:val="0D0D0D" w:themeColor="text1" w:themeTint="F2"/>
                <w:szCs w:val="20"/>
              </w:rPr>
            </w:pPr>
            <w:r w:rsidRPr="00DD3BA5">
              <w:rPr>
                <w:color w:val="0D0D0D" w:themeColor="text1" w:themeTint="F2"/>
                <w:szCs w:val="20"/>
              </w:rPr>
              <w:t>0.486</w:t>
            </w:r>
          </w:p>
        </w:tc>
        <w:tc>
          <w:tcPr>
            <w:tcW w:w="851" w:type="dxa"/>
            <w:vAlign w:val="bottom"/>
          </w:tcPr>
          <w:p w14:paraId="1FCE5F27" w14:textId="0F9E2768" w:rsidR="004D1A12" w:rsidRPr="00DD3BA5" w:rsidRDefault="00E26C98" w:rsidP="00403C4F">
            <w:pPr>
              <w:pStyle w:val="TableText"/>
              <w:keepNext/>
              <w:jc w:val="center"/>
              <w:rPr>
                <w:b/>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60942" w:rsidRPr="007E7DCE">
              <w:rPr>
                <w:b/>
                <w:color w:val="0D0D0D" w:themeColor="text1" w:themeTint="F2"/>
                <w:szCs w:val="20"/>
                <w:vertAlign w:val="superscript"/>
              </w:rPr>
              <w:t>1</w:t>
            </w:r>
          </w:p>
        </w:tc>
        <w:tc>
          <w:tcPr>
            <w:tcW w:w="1224" w:type="dxa"/>
            <w:vAlign w:val="bottom"/>
          </w:tcPr>
          <w:p w14:paraId="4B2527BF" w14:textId="31D6D65D" w:rsidR="004D1A12" w:rsidRPr="00DD3BA5" w:rsidRDefault="00E26C98" w:rsidP="00403C4F">
            <w:pPr>
              <w:pStyle w:val="TableText"/>
              <w:keepNext/>
              <w:jc w:val="center"/>
              <w:rPr>
                <w:b/>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4D1A12" w:rsidRPr="00DD3BA5">
              <w:rPr>
                <w:color w:val="0D0D0D" w:themeColor="text1" w:themeTint="F2"/>
                <w:szCs w:val="20"/>
              </w:rPr>
              <w:t>%</w:t>
            </w:r>
          </w:p>
        </w:tc>
      </w:tr>
      <w:tr w:rsidR="004D1A12" w:rsidRPr="00181B1F" w14:paraId="603360BF" w14:textId="77777777" w:rsidTr="0068086C">
        <w:tc>
          <w:tcPr>
            <w:tcW w:w="9016" w:type="dxa"/>
            <w:gridSpan w:val="5"/>
          </w:tcPr>
          <w:p w14:paraId="25FC6ECC" w14:textId="77777777" w:rsidR="004D1A12" w:rsidRPr="00181B1F" w:rsidRDefault="004D1A12" w:rsidP="00403C4F">
            <w:pPr>
              <w:pStyle w:val="TableText"/>
              <w:keepNext/>
              <w:rPr>
                <w:color w:val="0D0D0D" w:themeColor="text1" w:themeTint="F2"/>
                <w:szCs w:val="20"/>
              </w:rPr>
            </w:pPr>
            <w:r w:rsidRPr="00181B1F">
              <w:rPr>
                <w:b/>
                <w:color w:val="0D0D0D" w:themeColor="text1" w:themeTint="F2"/>
                <w:szCs w:val="20"/>
              </w:rPr>
              <w:t>Discount rate (base case: 5%)</w:t>
            </w:r>
          </w:p>
        </w:tc>
      </w:tr>
      <w:tr w:rsidR="00403C4F" w:rsidRPr="00181B1F" w14:paraId="266006A8" w14:textId="77777777" w:rsidTr="0068086C">
        <w:tc>
          <w:tcPr>
            <w:tcW w:w="4673" w:type="dxa"/>
          </w:tcPr>
          <w:p w14:paraId="2E137B05" w14:textId="77777777" w:rsidR="004D1A12" w:rsidRPr="00181B1F" w:rsidRDefault="004D1A12" w:rsidP="00403C4F">
            <w:pPr>
              <w:pStyle w:val="TableText"/>
              <w:keepNext/>
              <w:rPr>
                <w:bCs/>
                <w:color w:val="0D0D0D" w:themeColor="text1" w:themeTint="F2"/>
                <w:szCs w:val="20"/>
              </w:rPr>
            </w:pPr>
            <w:r w:rsidRPr="00181B1F">
              <w:rPr>
                <w:bCs/>
                <w:color w:val="0D0D0D" w:themeColor="text1" w:themeTint="F2"/>
                <w:szCs w:val="20"/>
              </w:rPr>
              <w:t>0%</w:t>
            </w:r>
          </w:p>
        </w:tc>
        <w:tc>
          <w:tcPr>
            <w:tcW w:w="1134" w:type="dxa"/>
            <w:vAlign w:val="bottom"/>
          </w:tcPr>
          <w:p w14:paraId="3C633D6B" w14:textId="17A8D623" w:rsidR="004D1A12" w:rsidRPr="00181B1F" w:rsidRDefault="004D1A12" w:rsidP="00403C4F">
            <w:pPr>
              <w:pStyle w:val="TableText"/>
              <w:keepN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89"/>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89"/>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89"/>
                <w14:textFill>
                  <w14:solidFill>
                    <w14:schemeClr w14:val="tx1">
                      <w14:alpha w14:val="100000"/>
                      <w14:lumMod w14:val="95000"/>
                      <w14:lumOff w14:val="5000"/>
                    </w14:schemeClr>
                  </w14:solidFill>
                </w14:textFill>
              </w:rPr>
              <w:t xml:space="preserve">　</w:t>
            </w:r>
          </w:p>
        </w:tc>
        <w:tc>
          <w:tcPr>
            <w:tcW w:w="1134" w:type="dxa"/>
            <w:vAlign w:val="bottom"/>
          </w:tcPr>
          <w:p w14:paraId="4637FA1A" w14:textId="77777777" w:rsidR="004D1A12" w:rsidRPr="00181B1F" w:rsidRDefault="004D1A12" w:rsidP="00403C4F">
            <w:pPr>
              <w:pStyle w:val="TableText"/>
              <w:keepNext/>
              <w:jc w:val="center"/>
              <w:rPr>
                <w:color w:val="0D0D0D" w:themeColor="text1" w:themeTint="F2"/>
                <w:szCs w:val="20"/>
              </w:rPr>
            </w:pPr>
            <w:r w:rsidRPr="00181B1F">
              <w:rPr>
                <w:color w:val="0D0D0D" w:themeColor="text1" w:themeTint="F2"/>
                <w:szCs w:val="20"/>
              </w:rPr>
              <w:t>0.620</w:t>
            </w:r>
          </w:p>
        </w:tc>
        <w:tc>
          <w:tcPr>
            <w:tcW w:w="851" w:type="dxa"/>
            <w:vAlign w:val="bottom"/>
          </w:tcPr>
          <w:p w14:paraId="6C82952E" w14:textId="3EF1514D" w:rsidR="004D1A12" w:rsidRPr="003B0EA5" w:rsidRDefault="00E26C98" w:rsidP="00403C4F">
            <w:pPr>
              <w:pStyle w:val="TableText"/>
              <w:keepN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60942" w:rsidRPr="003B0EA5">
              <w:rPr>
                <w:color w:val="0D0D0D" w:themeColor="text1" w:themeTint="F2"/>
                <w:szCs w:val="20"/>
                <w:vertAlign w:val="superscript"/>
              </w:rPr>
              <w:t>2</w:t>
            </w:r>
          </w:p>
        </w:tc>
        <w:tc>
          <w:tcPr>
            <w:tcW w:w="1224" w:type="dxa"/>
            <w:vAlign w:val="bottom"/>
          </w:tcPr>
          <w:p w14:paraId="68A1E877" w14:textId="7341AE3C" w:rsidR="004D1A12" w:rsidRPr="00181B1F" w:rsidRDefault="004D1A12" w:rsidP="00403C4F">
            <w:pPr>
              <w:pStyle w:val="TableText"/>
              <w:keepN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15"/>
                <w:szCs w:val="20"/>
                <w:shd w:val="solid" w:color="000000" w:fill="000000"/>
                <w:fitText w:val="30" w:id="-893744888"/>
                <w14:textFill>
                  <w14:solidFill>
                    <w14:schemeClr w14:val="tx1">
                      <w14:alpha w14:val="100000"/>
                      <w14:lumMod w14:val="95000"/>
                      <w14:lumOff w14:val="5000"/>
                    </w14:schemeClr>
                  </w14:solidFill>
                </w14:textFill>
              </w:rPr>
              <w:t xml:space="preserve">　</w:t>
            </w:r>
            <w:r w:rsidR="00E26C98" w:rsidRPr="00E26C98">
              <w:rPr>
                <w:color w:val="0D0D0D" w:themeColor="text1" w:themeTint="F2"/>
                <w:w w:val="15"/>
                <w:szCs w:val="20"/>
                <w:shd w:val="solid" w:color="000000" w:fill="000000"/>
                <w:fitText w:val="30" w:id="-893744888"/>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5"/>
                <w:w w:val="15"/>
                <w:szCs w:val="20"/>
                <w:shd w:val="solid" w:color="000000" w:fill="000000"/>
                <w:fitText w:val="30" w:id="-893744888"/>
                <w14:textFill>
                  <w14:solidFill>
                    <w14:schemeClr w14:val="tx1">
                      <w14:alpha w14:val="100000"/>
                      <w14:lumMod w14:val="95000"/>
                      <w14:lumOff w14:val="5000"/>
                    </w14:schemeClr>
                  </w14:solidFill>
                </w14:textFill>
              </w:rPr>
              <w:t xml:space="preserve">　</w:t>
            </w:r>
            <w:r w:rsidRPr="00181B1F">
              <w:rPr>
                <w:color w:val="0D0D0D" w:themeColor="text1" w:themeTint="F2"/>
                <w:szCs w:val="20"/>
              </w:rPr>
              <w:t>%</w:t>
            </w:r>
          </w:p>
        </w:tc>
      </w:tr>
      <w:tr w:rsidR="00403C4F" w:rsidRPr="00181B1F" w14:paraId="1926E922" w14:textId="77777777" w:rsidTr="0068086C">
        <w:tc>
          <w:tcPr>
            <w:tcW w:w="4673" w:type="dxa"/>
          </w:tcPr>
          <w:p w14:paraId="4CEC2450" w14:textId="77777777" w:rsidR="004D1A12" w:rsidRPr="00181B1F" w:rsidRDefault="004D1A12" w:rsidP="00403C4F">
            <w:pPr>
              <w:pStyle w:val="TableText"/>
              <w:keepNext/>
              <w:rPr>
                <w:bCs/>
                <w:color w:val="0D0D0D" w:themeColor="text1" w:themeTint="F2"/>
                <w:szCs w:val="20"/>
              </w:rPr>
            </w:pPr>
            <w:r w:rsidRPr="00181B1F">
              <w:rPr>
                <w:bCs/>
                <w:color w:val="0D0D0D" w:themeColor="text1" w:themeTint="F2"/>
              </w:rPr>
              <w:t>3.5%</w:t>
            </w:r>
          </w:p>
        </w:tc>
        <w:tc>
          <w:tcPr>
            <w:tcW w:w="1134" w:type="dxa"/>
            <w:vAlign w:val="bottom"/>
          </w:tcPr>
          <w:p w14:paraId="1A39DD44" w14:textId="630C4C98" w:rsidR="004D1A12" w:rsidRPr="00181B1F" w:rsidRDefault="004D1A12" w:rsidP="00403C4F">
            <w:pPr>
              <w:pStyle w:val="TableText"/>
              <w:keepNext/>
              <w:jc w:val="center"/>
              <w:rPr>
                <w:color w:val="0D0D0D" w:themeColor="text1" w:themeTint="F2"/>
                <w:szCs w:val="20"/>
              </w:rPr>
            </w:pPr>
            <w:r w:rsidRPr="00181B1F">
              <w:rPr>
                <w:color w:val="0D0D0D" w:themeColor="text1" w:themeTint="F2"/>
              </w:rPr>
              <w:t>$</w:t>
            </w:r>
            <w:r w:rsidR="00E26C98" w:rsidRPr="0068086C">
              <w:rPr>
                <w:rFonts w:hint="eastAsia"/>
                <w:color w:val="0D0D0D" w:themeColor="text1" w:themeTint="F2"/>
                <w:w w:val="30"/>
                <w:shd w:val="solid" w:color="000000" w:fill="000000"/>
                <w:fitText w:val="135" w:id="-893744887"/>
                <w14:textFill>
                  <w14:solidFill>
                    <w14:schemeClr w14:val="tx1">
                      <w14:alpha w14:val="100000"/>
                      <w14:lumMod w14:val="95000"/>
                      <w14:lumOff w14:val="5000"/>
                    </w14:schemeClr>
                  </w14:solidFill>
                </w14:textFill>
              </w:rPr>
              <w:t xml:space="preserve">　</w:t>
            </w:r>
            <w:r w:rsidR="00E26C98" w:rsidRPr="0068086C">
              <w:rPr>
                <w:color w:val="0D0D0D" w:themeColor="text1" w:themeTint="F2"/>
                <w:w w:val="30"/>
                <w:shd w:val="solid" w:color="000000" w:fill="000000"/>
                <w:fitText w:val="135" w:id="-893744887"/>
                <w14:textFill>
                  <w14:solidFill>
                    <w14:schemeClr w14:val="tx1">
                      <w14:alpha w14:val="100000"/>
                      <w14:lumMod w14:val="95000"/>
                      <w14:lumOff w14:val="5000"/>
                    </w14:schemeClr>
                  </w14:solidFill>
                </w14:textFill>
              </w:rPr>
              <w:t>|</w:t>
            </w:r>
            <w:r w:rsidR="00E26C98" w:rsidRPr="0068086C">
              <w:rPr>
                <w:rFonts w:hint="eastAsia"/>
                <w:color w:val="0D0D0D" w:themeColor="text1" w:themeTint="F2"/>
                <w:w w:val="30"/>
                <w:shd w:val="solid" w:color="000000" w:fill="000000"/>
                <w:fitText w:val="135" w:id="-893744887"/>
                <w14:textFill>
                  <w14:solidFill>
                    <w14:schemeClr w14:val="tx1">
                      <w14:alpha w14:val="100000"/>
                      <w14:lumMod w14:val="95000"/>
                      <w14:lumOff w14:val="5000"/>
                    </w14:schemeClr>
                  </w14:solidFill>
                </w14:textFill>
              </w:rPr>
              <w:t xml:space="preserve">　</w:t>
            </w:r>
          </w:p>
        </w:tc>
        <w:tc>
          <w:tcPr>
            <w:tcW w:w="1134" w:type="dxa"/>
            <w:vAlign w:val="bottom"/>
          </w:tcPr>
          <w:p w14:paraId="38EA4921" w14:textId="77777777" w:rsidR="004D1A12" w:rsidRPr="00181B1F" w:rsidRDefault="004D1A12" w:rsidP="00403C4F">
            <w:pPr>
              <w:pStyle w:val="TableText"/>
              <w:keepNext/>
              <w:jc w:val="center"/>
              <w:rPr>
                <w:color w:val="0D0D0D" w:themeColor="text1" w:themeTint="F2"/>
                <w:szCs w:val="20"/>
              </w:rPr>
            </w:pPr>
            <w:r w:rsidRPr="00181B1F">
              <w:rPr>
                <w:color w:val="0D0D0D" w:themeColor="text1" w:themeTint="F2"/>
              </w:rPr>
              <w:t>0.576</w:t>
            </w:r>
          </w:p>
        </w:tc>
        <w:tc>
          <w:tcPr>
            <w:tcW w:w="851" w:type="dxa"/>
            <w:vAlign w:val="bottom"/>
          </w:tcPr>
          <w:p w14:paraId="0F043F26" w14:textId="0F66D62C" w:rsidR="004D1A12" w:rsidRPr="003B0EA5" w:rsidRDefault="00E26C98" w:rsidP="00403C4F">
            <w:pPr>
              <w:pStyle w:val="TableText"/>
              <w:keepNext/>
              <w:jc w:val="center"/>
              <w:rPr>
                <w:color w:val="0D0D0D" w:themeColor="text1" w:themeTint="F2"/>
                <w:szCs w:val="20"/>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660942" w:rsidRPr="007E7DCE">
              <w:rPr>
                <w:b/>
                <w:color w:val="0D0D0D" w:themeColor="text1" w:themeTint="F2"/>
                <w:szCs w:val="20"/>
                <w:vertAlign w:val="superscript"/>
              </w:rPr>
              <w:t>1</w:t>
            </w:r>
          </w:p>
        </w:tc>
        <w:tc>
          <w:tcPr>
            <w:tcW w:w="1224" w:type="dxa"/>
            <w:vAlign w:val="bottom"/>
          </w:tcPr>
          <w:p w14:paraId="30F74536" w14:textId="7F5161F6" w:rsidR="004D1A12" w:rsidRPr="00181B1F" w:rsidRDefault="004D1A12" w:rsidP="00403C4F">
            <w:pPr>
              <w:pStyle w:val="TableText"/>
              <w:keepNext/>
              <w:jc w:val="center"/>
              <w:rPr>
                <w:color w:val="0D0D0D" w:themeColor="text1" w:themeTint="F2"/>
                <w:szCs w:val="20"/>
              </w:rPr>
            </w:pPr>
            <w:r w:rsidRPr="00181B1F">
              <w:rPr>
                <w:color w:val="0D0D0D" w:themeColor="text1" w:themeTint="F2"/>
              </w:rPr>
              <w:t>-</w:t>
            </w:r>
            <w:r w:rsidR="00E26C98" w:rsidRPr="00E26C98">
              <w:rPr>
                <w:rFonts w:hint="eastAsia"/>
                <w:color w:val="0D0D0D" w:themeColor="text1" w:themeTint="F2"/>
                <w:w w:val="15"/>
                <w:shd w:val="solid" w:color="000000" w:fill="000000"/>
                <w:fitText w:val="30" w:id="-893744886"/>
                <w14:textFill>
                  <w14:solidFill>
                    <w14:schemeClr w14:val="tx1">
                      <w14:alpha w14:val="100000"/>
                      <w14:lumMod w14:val="95000"/>
                      <w14:lumOff w14:val="5000"/>
                    </w14:schemeClr>
                  </w14:solidFill>
                </w14:textFill>
              </w:rPr>
              <w:t xml:space="preserve">　</w:t>
            </w:r>
            <w:r w:rsidR="00E26C98" w:rsidRPr="00E26C98">
              <w:rPr>
                <w:color w:val="0D0D0D" w:themeColor="text1" w:themeTint="F2"/>
                <w:w w:val="15"/>
                <w:shd w:val="solid" w:color="000000" w:fill="000000"/>
                <w:fitText w:val="30" w:id="-893744886"/>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5"/>
                <w:w w:val="15"/>
                <w:shd w:val="solid" w:color="000000" w:fill="000000"/>
                <w:fitText w:val="30" w:id="-893744886"/>
                <w14:textFill>
                  <w14:solidFill>
                    <w14:schemeClr w14:val="tx1">
                      <w14:alpha w14:val="100000"/>
                      <w14:lumMod w14:val="95000"/>
                      <w14:lumOff w14:val="5000"/>
                    </w14:schemeClr>
                  </w14:solidFill>
                </w14:textFill>
              </w:rPr>
              <w:t xml:space="preserve">　</w:t>
            </w:r>
            <w:r w:rsidRPr="00181B1F">
              <w:rPr>
                <w:color w:val="0D0D0D" w:themeColor="text1" w:themeTint="F2"/>
              </w:rPr>
              <w:t>%</w:t>
            </w:r>
          </w:p>
        </w:tc>
      </w:tr>
      <w:tr w:rsidR="004D1A12" w:rsidRPr="00181B1F" w14:paraId="67990CB1" w14:textId="77777777" w:rsidTr="0068086C">
        <w:tc>
          <w:tcPr>
            <w:tcW w:w="9016" w:type="dxa"/>
            <w:gridSpan w:val="5"/>
          </w:tcPr>
          <w:p w14:paraId="04CA7FE4" w14:textId="77777777" w:rsidR="004D1A12" w:rsidRPr="00181B1F" w:rsidRDefault="004D1A12" w:rsidP="00403C4F">
            <w:pPr>
              <w:pStyle w:val="TableText"/>
              <w:keepNext/>
              <w:rPr>
                <w:color w:val="0D0D0D" w:themeColor="text1" w:themeTint="F2"/>
                <w:szCs w:val="20"/>
              </w:rPr>
            </w:pPr>
            <w:r w:rsidRPr="00181B1F">
              <w:rPr>
                <w:b/>
                <w:color w:val="0D0D0D" w:themeColor="text1" w:themeTint="F2"/>
                <w:szCs w:val="20"/>
              </w:rPr>
              <w:t>Utility weights (PF=0.85; PD=0.80)</w:t>
            </w:r>
          </w:p>
        </w:tc>
      </w:tr>
      <w:tr w:rsidR="00403C4F" w:rsidRPr="00181B1F" w14:paraId="4DD3DE7C" w14:textId="77777777" w:rsidTr="0068086C">
        <w:tc>
          <w:tcPr>
            <w:tcW w:w="4673" w:type="dxa"/>
          </w:tcPr>
          <w:p w14:paraId="7588CB59" w14:textId="77777777" w:rsidR="004D1A12" w:rsidRPr="00181B1F" w:rsidRDefault="004D1A12" w:rsidP="00403C4F">
            <w:pPr>
              <w:pStyle w:val="TableText"/>
              <w:keepNext/>
              <w:rPr>
                <w:bCs/>
                <w:color w:val="0D0D0D" w:themeColor="text1" w:themeTint="F2"/>
                <w:szCs w:val="20"/>
                <w:vertAlign w:val="superscript"/>
              </w:rPr>
            </w:pPr>
            <w:r w:rsidRPr="00181B1F">
              <w:rPr>
                <w:bCs/>
                <w:color w:val="0D0D0D" w:themeColor="text1" w:themeTint="F2"/>
                <w:szCs w:val="20"/>
              </w:rPr>
              <w:t xml:space="preserve">PF=0.769; PD=0.627 </w:t>
            </w:r>
          </w:p>
          <w:p w14:paraId="1BEE0880" w14:textId="6083A5FC" w:rsidR="004D1A12" w:rsidRPr="00181B1F" w:rsidRDefault="004D1A12" w:rsidP="00403C4F">
            <w:pPr>
              <w:pStyle w:val="TableText"/>
              <w:keepNext/>
              <w:rPr>
                <w:bCs/>
                <w:color w:val="0D0D0D" w:themeColor="text1" w:themeTint="F2"/>
                <w:szCs w:val="20"/>
              </w:rPr>
            </w:pPr>
            <w:r w:rsidRPr="00181B1F">
              <w:rPr>
                <w:bCs/>
                <w:color w:val="0D0D0D" w:themeColor="text1" w:themeTint="F2"/>
                <w:szCs w:val="20"/>
              </w:rPr>
              <w:t>(Table 12, Atezolizumab and bevacizumab PSD, July 2020 PBAC meeting)</w:t>
            </w:r>
          </w:p>
        </w:tc>
        <w:tc>
          <w:tcPr>
            <w:tcW w:w="1134" w:type="dxa"/>
            <w:vAlign w:val="center"/>
          </w:tcPr>
          <w:p w14:paraId="15C8D106" w14:textId="558A915E" w:rsidR="004D1A12" w:rsidRPr="00181B1F" w:rsidRDefault="004D1A12" w:rsidP="00403C4F">
            <w:pPr>
              <w:pStyle w:val="TableText"/>
              <w:keepN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85"/>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85"/>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85"/>
                <w14:textFill>
                  <w14:solidFill>
                    <w14:schemeClr w14:val="tx1">
                      <w14:alpha w14:val="100000"/>
                      <w14:lumMod w14:val="95000"/>
                      <w14:lumOff w14:val="5000"/>
                    </w14:schemeClr>
                  </w14:solidFill>
                </w14:textFill>
              </w:rPr>
              <w:t xml:space="preserve">　</w:t>
            </w:r>
          </w:p>
        </w:tc>
        <w:tc>
          <w:tcPr>
            <w:tcW w:w="1134" w:type="dxa"/>
            <w:vAlign w:val="center"/>
          </w:tcPr>
          <w:p w14:paraId="54078156" w14:textId="77777777" w:rsidR="004D1A12" w:rsidRPr="00181B1F" w:rsidRDefault="004D1A12" w:rsidP="00403C4F">
            <w:pPr>
              <w:pStyle w:val="TableText"/>
              <w:keepNext/>
              <w:jc w:val="center"/>
              <w:rPr>
                <w:color w:val="0D0D0D" w:themeColor="text1" w:themeTint="F2"/>
                <w:szCs w:val="20"/>
              </w:rPr>
            </w:pPr>
            <w:r w:rsidRPr="00181B1F">
              <w:rPr>
                <w:color w:val="0D0D0D" w:themeColor="text1" w:themeTint="F2"/>
                <w:szCs w:val="20"/>
              </w:rPr>
              <w:t>0.473</w:t>
            </w:r>
          </w:p>
        </w:tc>
        <w:tc>
          <w:tcPr>
            <w:tcW w:w="851" w:type="dxa"/>
            <w:vAlign w:val="center"/>
          </w:tcPr>
          <w:p w14:paraId="3EF995E3" w14:textId="41BAF9A8" w:rsidR="004D1A12" w:rsidRPr="00181B1F" w:rsidRDefault="00E26C98" w:rsidP="00403C4F">
            <w:pPr>
              <w:pStyle w:val="TableText"/>
              <w:keepN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60942" w:rsidRPr="003B0EA5">
              <w:rPr>
                <w:color w:val="0D0D0D" w:themeColor="text1" w:themeTint="F2"/>
                <w:szCs w:val="20"/>
                <w:vertAlign w:val="superscript"/>
              </w:rPr>
              <w:t>3</w:t>
            </w:r>
          </w:p>
        </w:tc>
        <w:tc>
          <w:tcPr>
            <w:tcW w:w="1224" w:type="dxa"/>
            <w:vAlign w:val="center"/>
          </w:tcPr>
          <w:p w14:paraId="07F7F08C" w14:textId="43DB6FB3" w:rsidR="004D1A12" w:rsidRPr="00181B1F" w:rsidRDefault="00E26C98" w:rsidP="00403C4F">
            <w:pPr>
              <w:pStyle w:val="TableText"/>
              <w:keepN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szCs w:val="20"/>
              </w:rPr>
              <w:t>%</w:t>
            </w:r>
          </w:p>
        </w:tc>
      </w:tr>
      <w:tr w:rsidR="00403C4F" w:rsidRPr="00181B1F" w14:paraId="250D4E4F" w14:textId="77777777" w:rsidTr="0068086C">
        <w:tc>
          <w:tcPr>
            <w:tcW w:w="4673" w:type="dxa"/>
          </w:tcPr>
          <w:p w14:paraId="540B1AA8" w14:textId="77777777" w:rsidR="004D1A12" w:rsidRPr="00181B1F" w:rsidRDefault="004D1A12" w:rsidP="00403C4F">
            <w:pPr>
              <w:keepNext/>
              <w:widowControl w:val="0"/>
              <w:spacing w:before="0" w:after="0"/>
              <w:jc w:val="left"/>
              <w:rPr>
                <w:rFonts w:ascii="Arial Narrow" w:hAnsi="Arial Narrow"/>
                <w:bCs/>
                <w:color w:val="0D0D0D" w:themeColor="text1" w:themeTint="F2"/>
                <w:sz w:val="20"/>
              </w:rPr>
            </w:pPr>
            <w:r w:rsidRPr="00181B1F">
              <w:rPr>
                <w:rFonts w:ascii="Arial Narrow" w:hAnsi="Arial Narrow"/>
                <w:bCs/>
                <w:color w:val="0D0D0D" w:themeColor="text1" w:themeTint="F2"/>
                <w:sz w:val="20"/>
              </w:rPr>
              <w:t xml:space="preserve">PF=0.857; PD=0.766 </w:t>
            </w:r>
          </w:p>
          <w:p w14:paraId="490A702E" w14:textId="6C110CA2" w:rsidR="004D1A12" w:rsidRPr="00181B1F" w:rsidRDefault="004D1A12" w:rsidP="00403C4F">
            <w:pPr>
              <w:pStyle w:val="TableText"/>
              <w:keepNext/>
              <w:rPr>
                <w:bCs/>
                <w:color w:val="0D0D0D" w:themeColor="text1" w:themeTint="F2"/>
                <w:szCs w:val="20"/>
              </w:rPr>
            </w:pPr>
            <w:r w:rsidRPr="00181B1F">
              <w:rPr>
                <w:bCs/>
                <w:color w:val="0D0D0D" w:themeColor="text1" w:themeTint="F2"/>
              </w:rPr>
              <w:t xml:space="preserve">(Table 14, </w:t>
            </w:r>
            <w:r w:rsidRPr="00DD3BA5">
              <w:rPr>
                <w:bCs/>
                <w:color w:val="0D0D0D" w:themeColor="text1" w:themeTint="F2"/>
              </w:rPr>
              <w:t xml:space="preserve">durvalumab PSD, March 2023 PBAC meeting) </w:t>
            </w:r>
            <w:r w:rsidR="00297DDD" w:rsidRPr="00DD3BA5">
              <w:rPr>
                <w:bCs/>
                <w:i/>
                <w:iCs/>
                <w:color w:val="0D0D0D" w:themeColor="text1" w:themeTint="F2"/>
              </w:rPr>
              <w:t>#</w:t>
            </w:r>
            <w:r w:rsidR="00DD3BA5" w:rsidRPr="00DD3BA5">
              <w:rPr>
                <w:bCs/>
                <w:i/>
                <w:iCs/>
                <w:color w:val="0D0D0D" w:themeColor="text1" w:themeTint="F2"/>
              </w:rPr>
              <w:t>3</w:t>
            </w:r>
          </w:p>
        </w:tc>
        <w:tc>
          <w:tcPr>
            <w:tcW w:w="1134" w:type="dxa"/>
            <w:vAlign w:val="bottom"/>
          </w:tcPr>
          <w:p w14:paraId="307E63B0" w14:textId="02E72120" w:rsidR="004D1A12" w:rsidRPr="00181B1F" w:rsidRDefault="004D1A12" w:rsidP="00403C4F">
            <w:pPr>
              <w:pStyle w:val="TableText"/>
              <w:keepNext/>
              <w:jc w:val="center"/>
              <w:rPr>
                <w:color w:val="0D0D0D" w:themeColor="text1" w:themeTint="F2"/>
                <w:szCs w:val="20"/>
              </w:rPr>
            </w:pPr>
            <w:r w:rsidRPr="00181B1F">
              <w:rPr>
                <w:color w:val="0D0D0D" w:themeColor="text1" w:themeTint="F2"/>
              </w:rPr>
              <w:t>$</w:t>
            </w:r>
            <w:r w:rsidR="00E26C98" w:rsidRPr="00E26C98">
              <w:rPr>
                <w:rFonts w:hint="eastAsia"/>
                <w:color w:val="0D0D0D" w:themeColor="text1" w:themeTint="F2"/>
                <w:w w:val="30"/>
                <w:shd w:val="solid" w:color="000000" w:fill="000000"/>
                <w:fitText w:val="135" w:id="-893744884"/>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hd w:val="solid" w:color="000000" w:fill="000000"/>
                <w:fitText w:val="135" w:id="-893744884"/>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hd w:val="solid" w:color="000000" w:fill="000000"/>
                <w:fitText w:val="135" w:id="-893744884"/>
                <w14:textFill>
                  <w14:solidFill>
                    <w14:schemeClr w14:val="tx1">
                      <w14:alpha w14:val="100000"/>
                      <w14:lumMod w14:val="95000"/>
                      <w14:lumOff w14:val="5000"/>
                    </w14:schemeClr>
                  </w14:solidFill>
                </w14:textFill>
              </w:rPr>
              <w:t xml:space="preserve">　</w:t>
            </w:r>
          </w:p>
        </w:tc>
        <w:tc>
          <w:tcPr>
            <w:tcW w:w="1134" w:type="dxa"/>
            <w:vAlign w:val="bottom"/>
          </w:tcPr>
          <w:p w14:paraId="7BC31BA5" w14:textId="77777777" w:rsidR="004D1A12" w:rsidRPr="00181B1F" w:rsidRDefault="004D1A12" w:rsidP="00403C4F">
            <w:pPr>
              <w:pStyle w:val="TableText"/>
              <w:keepNext/>
              <w:jc w:val="center"/>
              <w:rPr>
                <w:color w:val="0D0D0D" w:themeColor="text1" w:themeTint="F2"/>
                <w:szCs w:val="20"/>
              </w:rPr>
            </w:pPr>
            <w:r w:rsidRPr="00181B1F">
              <w:rPr>
                <w:color w:val="0D0D0D" w:themeColor="text1" w:themeTint="F2"/>
              </w:rPr>
              <w:t>0.549</w:t>
            </w:r>
          </w:p>
        </w:tc>
        <w:tc>
          <w:tcPr>
            <w:tcW w:w="851" w:type="dxa"/>
            <w:vAlign w:val="bottom"/>
          </w:tcPr>
          <w:p w14:paraId="07087870" w14:textId="2541C071" w:rsidR="004D1A12" w:rsidRPr="003B0EA5" w:rsidRDefault="00E26C98" w:rsidP="00403C4F">
            <w:pPr>
              <w:pStyle w:val="TableText"/>
              <w:keepNext/>
              <w:jc w:val="center"/>
              <w:rPr>
                <w:color w:val="0D0D0D" w:themeColor="text1" w:themeTint="F2"/>
                <w:szCs w:val="20"/>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660942" w:rsidRPr="007E7DCE">
              <w:rPr>
                <w:b/>
                <w:color w:val="0D0D0D" w:themeColor="text1" w:themeTint="F2"/>
                <w:szCs w:val="20"/>
                <w:vertAlign w:val="superscript"/>
              </w:rPr>
              <w:t>1</w:t>
            </w:r>
          </w:p>
        </w:tc>
        <w:tc>
          <w:tcPr>
            <w:tcW w:w="1224" w:type="dxa"/>
            <w:vAlign w:val="bottom"/>
          </w:tcPr>
          <w:p w14:paraId="6B011EF3" w14:textId="6A8FCFF5" w:rsidR="004D1A12" w:rsidRPr="00181B1F" w:rsidRDefault="00E26C98" w:rsidP="00403C4F">
            <w:pPr>
              <w:pStyle w:val="TableText"/>
              <w:keepNext/>
              <w:jc w:val="center"/>
              <w:rPr>
                <w:color w:val="0D0D0D" w:themeColor="text1" w:themeTint="F2"/>
                <w:szCs w:val="20"/>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rPr>
              <w:t>%</w:t>
            </w:r>
          </w:p>
        </w:tc>
      </w:tr>
      <w:tr w:rsidR="004D1A12" w:rsidRPr="00181B1F" w14:paraId="0EDD9598" w14:textId="77777777" w:rsidTr="0068086C">
        <w:tc>
          <w:tcPr>
            <w:tcW w:w="4673" w:type="dxa"/>
          </w:tcPr>
          <w:p w14:paraId="0A81F442" w14:textId="77777777" w:rsidR="004D1A12" w:rsidRPr="00181B1F" w:rsidRDefault="004D1A12" w:rsidP="00E94E74">
            <w:pPr>
              <w:pStyle w:val="TableText"/>
              <w:rPr>
                <w:bCs/>
                <w:color w:val="0D0D0D" w:themeColor="text1" w:themeTint="F2"/>
                <w:szCs w:val="20"/>
              </w:rPr>
            </w:pPr>
            <w:r w:rsidRPr="00181B1F">
              <w:rPr>
                <w:bCs/>
                <w:color w:val="0D0D0D" w:themeColor="text1" w:themeTint="F2"/>
                <w:szCs w:val="20"/>
              </w:rPr>
              <w:t>PF=0.76; PD=0.68</w:t>
            </w:r>
            <w:r w:rsidRPr="00181B1F">
              <w:rPr>
                <w:bCs/>
                <w:color w:val="0D0D0D" w:themeColor="text1" w:themeTint="F2"/>
                <w:szCs w:val="20"/>
                <w:vertAlign w:val="superscript"/>
              </w:rPr>
              <w:t xml:space="preserve"> </w:t>
            </w:r>
            <w:r w:rsidRPr="00181B1F">
              <w:rPr>
                <w:rStyle w:val="FootnoteReference"/>
                <w:bCs/>
                <w:color w:val="0D0D0D" w:themeColor="text1" w:themeTint="F2"/>
                <w:szCs w:val="20"/>
              </w:rPr>
              <w:footnoteReference w:id="21"/>
            </w:r>
          </w:p>
        </w:tc>
        <w:tc>
          <w:tcPr>
            <w:tcW w:w="1134" w:type="dxa"/>
            <w:vAlign w:val="bottom"/>
          </w:tcPr>
          <w:p w14:paraId="36844D5C" w14:textId="194B6311"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83"/>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83"/>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83"/>
                <w14:textFill>
                  <w14:solidFill>
                    <w14:schemeClr w14:val="tx1">
                      <w14:alpha w14:val="100000"/>
                      <w14:lumMod w14:val="95000"/>
                      <w14:lumOff w14:val="5000"/>
                    </w14:schemeClr>
                  </w14:solidFill>
                </w14:textFill>
              </w:rPr>
              <w:t xml:space="preserve">　</w:t>
            </w:r>
          </w:p>
        </w:tc>
        <w:tc>
          <w:tcPr>
            <w:tcW w:w="1134" w:type="dxa"/>
            <w:vAlign w:val="bottom"/>
          </w:tcPr>
          <w:p w14:paraId="0C98A3E8"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0.487</w:t>
            </w:r>
          </w:p>
        </w:tc>
        <w:tc>
          <w:tcPr>
            <w:tcW w:w="851" w:type="dxa"/>
            <w:vAlign w:val="bottom"/>
          </w:tcPr>
          <w:p w14:paraId="56D4BAD2" w14:textId="75A7A7C5"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60942" w:rsidRPr="007E7DCE">
              <w:rPr>
                <w:color w:val="0D0D0D" w:themeColor="text1" w:themeTint="F2"/>
                <w:szCs w:val="20"/>
                <w:vertAlign w:val="superscript"/>
              </w:rPr>
              <w:t>3</w:t>
            </w:r>
          </w:p>
        </w:tc>
        <w:tc>
          <w:tcPr>
            <w:tcW w:w="1224" w:type="dxa"/>
            <w:vAlign w:val="bottom"/>
          </w:tcPr>
          <w:p w14:paraId="3A0FE554" w14:textId="68E2C254" w:rsidR="004D1A12" w:rsidRPr="00181B1F" w:rsidRDefault="00E26C98" w:rsidP="00E94E74">
            <w:pPr>
              <w:pStyle w:val="TableT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szCs w:val="20"/>
              </w:rPr>
              <w:t>%</w:t>
            </w:r>
          </w:p>
        </w:tc>
      </w:tr>
      <w:tr w:rsidR="004D1A12" w:rsidRPr="00181B1F" w14:paraId="2AAE7B7E" w14:textId="77777777" w:rsidTr="0068086C">
        <w:tc>
          <w:tcPr>
            <w:tcW w:w="9016" w:type="dxa"/>
            <w:gridSpan w:val="5"/>
          </w:tcPr>
          <w:p w14:paraId="65C0A608" w14:textId="77777777" w:rsidR="004D1A12" w:rsidRPr="00181B1F" w:rsidRDefault="004D1A12" w:rsidP="00E94E74">
            <w:pPr>
              <w:pStyle w:val="TableText"/>
              <w:rPr>
                <w:color w:val="0D0D0D" w:themeColor="text1" w:themeTint="F2"/>
                <w:szCs w:val="20"/>
              </w:rPr>
            </w:pPr>
            <w:r w:rsidRPr="00181B1F">
              <w:rPr>
                <w:b/>
                <w:color w:val="0D0D0D" w:themeColor="text1" w:themeTint="F2"/>
                <w:szCs w:val="20"/>
              </w:rPr>
              <w:t>Ivosidenib KM truncation time point (base case: OS=10.3 months; PFS=2.7 months)</w:t>
            </w:r>
          </w:p>
        </w:tc>
      </w:tr>
      <w:tr w:rsidR="004D1A12" w:rsidRPr="00181B1F" w14:paraId="32AD14D5" w14:textId="77777777" w:rsidTr="0068086C">
        <w:tc>
          <w:tcPr>
            <w:tcW w:w="4673" w:type="dxa"/>
          </w:tcPr>
          <w:p w14:paraId="02C44A8C" w14:textId="25E35C57" w:rsidR="004D1A12" w:rsidRPr="00181B1F" w:rsidRDefault="004D1A12" w:rsidP="00E94E74">
            <w:pPr>
              <w:pStyle w:val="TableText"/>
              <w:rPr>
                <w:color w:val="0D0D0D" w:themeColor="text1" w:themeTint="F2"/>
                <w:szCs w:val="20"/>
              </w:rPr>
            </w:pPr>
            <w:r w:rsidRPr="00181B1F">
              <w:rPr>
                <w:color w:val="0D0D0D" w:themeColor="text1" w:themeTint="F2"/>
              </w:rPr>
              <w:t>12 months for OS</w:t>
            </w:r>
          </w:p>
        </w:tc>
        <w:tc>
          <w:tcPr>
            <w:tcW w:w="1134" w:type="dxa"/>
            <w:vAlign w:val="bottom"/>
          </w:tcPr>
          <w:p w14:paraId="3F6C920F" w14:textId="2AC86B82" w:rsidR="004D1A12" w:rsidRPr="00181B1F" w:rsidRDefault="004D1A12" w:rsidP="00E94E74">
            <w:pPr>
              <w:pStyle w:val="TableText"/>
              <w:jc w:val="center"/>
              <w:rPr>
                <w:color w:val="0D0D0D" w:themeColor="text1" w:themeTint="F2"/>
                <w:szCs w:val="20"/>
              </w:rPr>
            </w:pPr>
            <w:r w:rsidRPr="00181B1F">
              <w:rPr>
                <w:color w:val="0D0D0D" w:themeColor="text1" w:themeTint="F2"/>
              </w:rPr>
              <w:t>$</w:t>
            </w:r>
            <w:r w:rsidR="00E26C98" w:rsidRPr="00E26C98">
              <w:rPr>
                <w:rFonts w:hint="eastAsia"/>
                <w:color w:val="0D0D0D" w:themeColor="text1" w:themeTint="F2"/>
                <w:w w:val="30"/>
                <w:shd w:val="solid" w:color="000000" w:fill="000000"/>
                <w:fitText w:val="135" w:id="-893744882"/>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hd w:val="solid" w:color="000000" w:fill="000000"/>
                <w:fitText w:val="135" w:id="-893744882"/>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hd w:val="solid" w:color="000000" w:fill="000000"/>
                <w:fitText w:val="135" w:id="-893744882"/>
                <w14:textFill>
                  <w14:solidFill>
                    <w14:schemeClr w14:val="tx1">
                      <w14:alpha w14:val="100000"/>
                      <w14:lumMod w14:val="95000"/>
                      <w14:lumOff w14:val="5000"/>
                    </w14:schemeClr>
                  </w14:solidFill>
                </w14:textFill>
              </w:rPr>
              <w:t xml:space="preserve">　</w:t>
            </w:r>
          </w:p>
        </w:tc>
        <w:tc>
          <w:tcPr>
            <w:tcW w:w="1134" w:type="dxa"/>
            <w:vAlign w:val="bottom"/>
          </w:tcPr>
          <w:p w14:paraId="432C21F1"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rPr>
              <w:t>0.540</w:t>
            </w:r>
          </w:p>
        </w:tc>
        <w:tc>
          <w:tcPr>
            <w:tcW w:w="851" w:type="dxa"/>
            <w:vAlign w:val="bottom"/>
          </w:tcPr>
          <w:p w14:paraId="0F1EF8E4" w14:textId="7DABF381"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660942" w:rsidRPr="007E7DCE">
              <w:rPr>
                <w:b/>
                <w:color w:val="0D0D0D" w:themeColor="text1" w:themeTint="F2"/>
                <w:szCs w:val="20"/>
                <w:vertAlign w:val="superscript"/>
              </w:rPr>
              <w:t>1</w:t>
            </w:r>
          </w:p>
        </w:tc>
        <w:tc>
          <w:tcPr>
            <w:tcW w:w="1224" w:type="dxa"/>
            <w:vAlign w:val="bottom"/>
          </w:tcPr>
          <w:p w14:paraId="323EEA3E" w14:textId="15911E37" w:rsidR="004D1A12" w:rsidRPr="00181B1F" w:rsidRDefault="00E26C98" w:rsidP="00E94E74">
            <w:pPr>
              <w:pStyle w:val="TableText"/>
              <w:jc w:val="center"/>
              <w:rPr>
                <w:color w:val="0D0D0D" w:themeColor="text1" w:themeTint="F2"/>
                <w:szCs w:val="20"/>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rPr>
              <w:t>%</w:t>
            </w:r>
          </w:p>
        </w:tc>
      </w:tr>
      <w:tr w:rsidR="004D1A12" w:rsidRPr="00181B1F" w14:paraId="5740B32F" w14:textId="77777777" w:rsidTr="0068086C">
        <w:tc>
          <w:tcPr>
            <w:tcW w:w="4673" w:type="dxa"/>
          </w:tcPr>
          <w:p w14:paraId="3504EDB8" w14:textId="77777777" w:rsidR="004D1A12" w:rsidRPr="00181B1F" w:rsidRDefault="004D1A12" w:rsidP="00E94E74">
            <w:pPr>
              <w:pStyle w:val="TableText"/>
              <w:rPr>
                <w:color w:val="0D0D0D" w:themeColor="text1" w:themeTint="F2"/>
              </w:rPr>
            </w:pPr>
            <w:r w:rsidRPr="00181B1F">
              <w:lastRenderedPageBreak/>
              <w:t>18 months for OS</w:t>
            </w:r>
          </w:p>
        </w:tc>
        <w:tc>
          <w:tcPr>
            <w:tcW w:w="1134" w:type="dxa"/>
          </w:tcPr>
          <w:p w14:paraId="19208A7B" w14:textId="53DF39AD" w:rsidR="004D1A12" w:rsidRPr="00181B1F" w:rsidRDefault="004D1A12" w:rsidP="00E94E74">
            <w:pPr>
              <w:pStyle w:val="TableText"/>
              <w:jc w:val="center"/>
              <w:rPr>
                <w:color w:val="0D0D0D" w:themeColor="text1" w:themeTint="F2"/>
              </w:rPr>
            </w:pPr>
            <w:r w:rsidRPr="00181B1F">
              <w:t>$</w:t>
            </w:r>
            <w:r w:rsidR="00E26C98" w:rsidRPr="00E26C98">
              <w:rPr>
                <w:rFonts w:hint="eastAsia"/>
                <w:color w:val="000000"/>
                <w:w w:val="30"/>
                <w:shd w:val="solid" w:color="000000" w:fill="000000"/>
                <w:fitText w:val="135" w:id="-893744881"/>
                <w14:textFill>
                  <w14:solidFill>
                    <w14:srgbClr w14:val="000000">
                      <w14:alpha w14:val="100000"/>
                    </w14:srgbClr>
                  </w14:solidFill>
                </w14:textFill>
              </w:rPr>
              <w:t xml:space="preserve">　</w:t>
            </w:r>
            <w:r w:rsidR="00E26C98" w:rsidRPr="00E26C98">
              <w:rPr>
                <w:color w:val="000000"/>
                <w:w w:val="30"/>
                <w:shd w:val="solid" w:color="000000" w:fill="000000"/>
                <w:fitText w:val="135" w:id="-893744881"/>
                <w14:textFill>
                  <w14:solidFill>
                    <w14:srgbClr w14:val="000000">
                      <w14:alpha w14:val="100000"/>
                    </w14:srgbClr>
                  </w14:solidFill>
                </w14:textFill>
              </w:rPr>
              <w:t>|</w:t>
            </w:r>
            <w:r w:rsidR="00E26C98" w:rsidRPr="00E26C98">
              <w:rPr>
                <w:rFonts w:hint="eastAsia"/>
                <w:color w:val="000000"/>
                <w:spacing w:val="3"/>
                <w:w w:val="30"/>
                <w:shd w:val="solid" w:color="000000" w:fill="000000"/>
                <w:fitText w:val="135" w:id="-893744881"/>
                <w14:textFill>
                  <w14:solidFill>
                    <w14:srgbClr w14:val="000000">
                      <w14:alpha w14:val="100000"/>
                    </w14:srgbClr>
                  </w14:solidFill>
                </w14:textFill>
              </w:rPr>
              <w:t xml:space="preserve">　</w:t>
            </w:r>
          </w:p>
        </w:tc>
        <w:tc>
          <w:tcPr>
            <w:tcW w:w="1134" w:type="dxa"/>
          </w:tcPr>
          <w:p w14:paraId="106D53F9" w14:textId="77777777" w:rsidR="004D1A12" w:rsidRPr="00181B1F" w:rsidRDefault="004D1A12" w:rsidP="00E94E74">
            <w:pPr>
              <w:pStyle w:val="TableText"/>
              <w:jc w:val="center"/>
              <w:rPr>
                <w:color w:val="0D0D0D" w:themeColor="text1" w:themeTint="F2"/>
              </w:rPr>
            </w:pPr>
            <w:r w:rsidRPr="00181B1F">
              <w:t>0.548</w:t>
            </w:r>
          </w:p>
        </w:tc>
        <w:tc>
          <w:tcPr>
            <w:tcW w:w="851" w:type="dxa"/>
          </w:tcPr>
          <w:p w14:paraId="4D3B2F47" w14:textId="12A92546" w:rsidR="004D1A12" w:rsidRPr="003B0EA5" w:rsidRDefault="00E26C98" w:rsidP="00E94E74">
            <w:pPr>
              <w:pStyle w:val="TableText"/>
              <w:jc w:val="center"/>
              <w:rPr>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660942" w:rsidRPr="007E7DCE">
              <w:rPr>
                <w:b/>
                <w:color w:val="0D0D0D" w:themeColor="text1" w:themeTint="F2"/>
                <w:szCs w:val="20"/>
                <w:vertAlign w:val="superscript"/>
              </w:rPr>
              <w:t>1</w:t>
            </w:r>
          </w:p>
        </w:tc>
        <w:tc>
          <w:tcPr>
            <w:tcW w:w="1224" w:type="dxa"/>
          </w:tcPr>
          <w:p w14:paraId="72919CFE" w14:textId="45F4F036" w:rsidR="004D1A12" w:rsidRPr="00181B1F" w:rsidRDefault="00E26C98" w:rsidP="00E94E74">
            <w:pPr>
              <w:pStyle w:val="TableText"/>
              <w:jc w:val="center"/>
              <w:rPr>
                <w:color w:val="0D0D0D" w:themeColor="text1" w:themeTint="F2"/>
              </w:rPr>
            </w:pPr>
            <w:r w:rsidRPr="00E26C98">
              <w:rPr>
                <w:color w:val="000000"/>
                <w:shd w:val="solid" w:color="000000" w:fill="000000"/>
                <w14:textFill>
                  <w14:solidFill>
                    <w14:srgbClr w14:val="000000">
                      <w14:alpha w14:val="100000"/>
                    </w14:srgbClr>
                  </w14:solidFill>
                </w14:textFill>
              </w:rPr>
              <w:t>|</w:t>
            </w:r>
            <w:r w:rsidR="004D1A12" w:rsidRPr="00181B1F">
              <w:t>%</w:t>
            </w:r>
          </w:p>
        </w:tc>
      </w:tr>
      <w:tr w:rsidR="004D1A12" w:rsidRPr="00181B1F" w14:paraId="1803BFFE" w14:textId="77777777" w:rsidTr="0068086C">
        <w:tc>
          <w:tcPr>
            <w:tcW w:w="4673" w:type="dxa"/>
          </w:tcPr>
          <w:p w14:paraId="6826F61A" w14:textId="77777777" w:rsidR="004D1A12" w:rsidRPr="00181B1F" w:rsidRDefault="004D1A12" w:rsidP="00E94E74">
            <w:pPr>
              <w:pStyle w:val="TableText"/>
              <w:rPr>
                <w:color w:val="0D0D0D" w:themeColor="text1" w:themeTint="F2"/>
                <w:szCs w:val="20"/>
                <w:vertAlign w:val="superscript"/>
              </w:rPr>
            </w:pPr>
            <w:r w:rsidRPr="00181B1F">
              <w:rPr>
                <w:color w:val="0D0D0D" w:themeColor="text1" w:themeTint="F2"/>
                <w:szCs w:val="20"/>
              </w:rPr>
              <w:t xml:space="preserve">3 months for PFS </w:t>
            </w:r>
          </w:p>
        </w:tc>
        <w:tc>
          <w:tcPr>
            <w:tcW w:w="1134" w:type="dxa"/>
            <w:vAlign w:val="bottom"/>
          </w:tcPr>
          <w:p w14:paraId="39BC3018" w14:textId="3069F362"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80"/>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80"/>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80"/>
                <w14:textFill>
                  <w14:solidFill>
                    <w14:schemeClr w14:val="tx1">
                      <w14:alpha w14:val="100000"/>
                      <w14:lumMod w14:val="95000"/>
                      <w14:lumOff w14:val="5000"/>
                    </w14:schemeClr>
                  </w14:solidFill>
                </w14:textFill>
              </w:rPr>
              <w:t xml:space="preserve">　</w:t>
            </w:r>
          </w:p>
        </w:tc>
        <w:tc>
          <w:tcPr>
            <w:tcW w:w="1134" w:type="dxa"/>
            <w:vAlign w:val="bottom"/>
          </w:tcPr>
          <w:p w14:paraId="038DCABC"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0.559</w:t>
            </w:r>
          </w:p>
        </w:tc>
        <w:tc>
          <w:tcPr>
            <w:tcW w:w="851" w:type="dxa"/>
            <w:vAlign w:val="bottom"/>
          </w:tcPr>
          <w:p w14:paraId="71A742BE" w14:textId="138A1455"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60942" w:rsidRPr="007E7DCE">
              <w:rPr>
                <w:b/>
                <w:color w:val="0D0D0D" w:themeColor="text1" w:themeTint="F2"/>
                <w:szCs w:val="20"/>
                <w:vertAlign w:val="superscript"/>
              </w:rPr>
              <w:t>1</w:t>
            </w:r>
          </w:p>
        </w:tc>
        <w:tc>
          <w:tcPr>
            <w:tcW w:w="1224" w:type="dxa"/>
            <w:vAlign w:val="bottom"/>
          </w:tcPr>
          <w:p w14:paraId="38B878EC" w14:textId="593E7DCD"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15"/>
                <w:szCs w:val="20"/>
                <w:shd w:val="solid" w:color="000000" w:fill="000000"/>
                <w:fitText w:val="30" w:id="-893744896"/>
                <w14:textFill>
                  <w14:solidFill>
                    <w14:schemeClr w14:val="tx1">
                      <w14:alpha w14:val="100000"/>
                      <w14:lumMod w14:val="95000"/>
                      <w14:lumOff w14:val="5000"/>
                    </w14:schemeClr>
                  </w14:solidFill>
                </w14:textFill>
              </w:rPr>
              <w:t xml:space="preserve">　</w:t>
            </w:r>
            <w:r w:rsidR="00E26C98" w:rsidRPr="00E26C98">
              <w:rPr>
                <w:color w:val="0D0D0D" w:themeColor="text1" w:themeTint="F2"/>
                <w:w w:val="15"/>
                <w:szCs w:val="20"/>
                <w:shd w:val="solid" w:color="000000" w:fill="000000"/>
                <w:fitText w:val="30" w:id="-893744896"/>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5"/>
                <w:w w:val="15"/>
                <w:szCs w:val="20"/>
                <w:shd w:val="solid" w:color="000000" w:fill="000000"/>
                <w:fitText w:val="30" w:id="-893744896"/>
                <w14:textFill>
                  <w14:solidFill>
                    <w14:schemeClr w14:val="tx1">
                      <w14:alpha w14:val="100000"/>
                      <w14:lumMod w14:val="95000"/>
                      <w14:lumOff w14:val="5000"/>
                    </w14:schemeClr>
                  </w14:solidFill>
                </w14:textFill>
              </w:rPr>
              <w:t xml:space="preserve">　</w:t>
            </w:r>
            <w:r w:rsidRPr="00181B1F">
              <w:rPr>
                <w:color w:val="0D0D0D" w:themeColor="text1" w:themeTint="F2"/>
                <w:szCs w:val="20"/>
              </w:rPr>
              <w:t>%</w:t>
            </w:r>
          </w:p>
        </w:tc>
      </w:tr>
      <w:tr w:rsidR="004D1A12" w:rsidRPr="00181B1F" w14:paraId="175C9D7A" w14:textId="77777777" w:rsidTr="0068086C">
        <w:tc>
          <w:tcPr>
            <w:tcW w:w="4673" w:type="dxa"/>
          </w:tcPr>
          <w:p w14:paraId="62E926F9" w14:textId="77777777" w:rsidR="004D1A12" w:rsidRPr="00181B1F" w:rsidRDefault="004D1A12" w:rsidP="00E94E74">
            <w:pPr>
              <w:pStyle w:val="TableText"/>
              <w:rPr>
                <w:color w:val="0D0D0D" w:themeColor="text1" w:themeTint="F2"/>
                <w:szCs w:val="20"/>
                <w:vertAlign w:val="superscript"/>
              </w:rPr>
            </w:pPr>
            <w:r w:rsidRPr="00181B1F">
              <w:rPr>
                <w:color w:val="0D0D0D" w:themeColor="text1" w:themeTint="F2"/>
                <w:szCs w:val="20"/>
              </w:rPr>
              <w:t>6 months for PFS</w:t>
            </w:r>
          </w:p>
        </w:tc>
        <w:tc>
          <w:tcPr>
            <w:tcW w:w="1134" w:type="dxa"/>
            <w:vAlign w:val="bottom"/>
          </w:tcPr>
          <w:p w14:paraId="25890509" w14:textId="62B2AB96"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95"/>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95"/>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95"/>
                <w14:textFill>
                  <w14:solidFill>
                    <w14:schemeClr w14:val="tx1">
                      <w14:alpha w14:val="100000"/>
                      <w14:lumMod w14:val="95000"/>
                      <w14:lumOff w14:val="5000"/>
                    </w14:schemeClr>
                  </w14:solidFill>
                </w14:textFill>
              </w:rPr>
              <w:t xml:space="preserve">　</w:t>
            </w:r>
          </w:p>
        </w:tc>
        <w:tc>
          <w:tcPr>
            <w:tcW w:w="1134" w:type="dxa"/>
            <w:vAlign w:val="bottom"/>
          </w:tcPr>
          <w:p w14:paraId="1492F74C"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0.561</w:t>
            </w:r>
          </w:p>
        </w:tc>
        <w:tc>
          <w:tcPr>
            <w:tcW w:w="851" w:type="dxa"/>
            <w:vAlign w:val="bottom"/>
          </w:tcPr>
          <w:p w14:paraId="6525EDF5" w14:textId="74FDBA5F"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60942" w:rsidRPr="007E7DCE">
              <w:rPr>
                <w:b/>
                <w:color w:val="0D0D0D" w:themeColor="text1" w:themeTint="F2"/>
                <w:szCs w:val="20"/>
                <w:vertAlign w:val="superscript"/>
              </w:rPr>
              <w:t>1</w:t>
            </w:r>
          </w:p>
        </w:tc>
        <w:tc>
          <w:tcPr>
            <w:tcW w:w="1224" w:type="dxa"/>
            <w:vAlign w:val="bottom"/>
          </w:tcPr>
          <w:p w14:paraId="7B26B78D" w14:textId="3A36392F" w:rsidR="004D1A12" w:rsidRPr="00181B1F" w:rsidRDefault="00E26C98" w:rsidP="00E94E74">
            <w:pPr>
              <w:pStyle w:val="TableT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szCs w:val="20"/>
              </w:rPr>
              <w:t>%</w:t>
            </w:r>
          </w:p>
        </w:tc>
      </w:tr>
      <w:tr w:rsidR="004D1A12" w:rsidRPr="00181B1F" w14:paraId="6B3781CB" w14:textId="77777777" w:rsidTr="0068086C">
        <w:tc>
          <w:tcPr>
            <w:tcW w:w="9016" w:type="dxa"/>
            <w:gridSpan w:val="5"/>
          </w:tcPr>
          <w:p w14:paraId="57121188" w14:textId="77777777" w:rsidR="004D1A12" w:rsidRPr="00181B1F" w:rsidRDefault="004D1A12" w:rsidP="00E94E74">
            <w:pPr>
              <w:pStyle w:val="TableText"/>
              <w:rPr>
                <w:b/>
                <w:color w:val="0D0D0D" w:themeColor="text1" w:themeTint="F2"/>
                <w:szCs w:val="20"/>
              </w:rPr>
            </w:pPr>
            <w:r w:rsidRPr="00181B1F">
              <w:rPr>
                <w:b/>
                <w:color w:val="0D0D0D" w:themeColor="text1" w:themeTint="F2"/>
                <w:szCs w:val="20"/>
              </w:rPr>
              <w:t>SOC KM truncation time point (base case: OS=5.1 months; PFS=1.4 months)</w:t>
            </w:r>
          </w:p>
        </w:tc>
      </w:tr>
      <w:tr w:rsidR="004D1A12" w:rsidRPr="00181B1F" w14:paraId="7EF2124E" w14:textId="77777777" w:rsidTr="0068086C">
        <w:tc>
          <w:tcPr>
            <w:tcW w:w="4673" w:type="dxa"/>
          </w:tcPr>
          <w:p w14:paraId="4B7B3E75" w14:textId="77777777" w:rsidR="004D1A12" w:rsidRPr="00181B1F" w:rsidRDefault="004D1A12" w:rsidP="00E94E74">
            <w:pPr>
              <w:pStyle w:val="TableText"/>
              <w:rPr>
                <w:color w:val="0D0D0D" w:themeColor="text1" w:themeTint="F2"/>
                <w:szCs w:val="20"/>
              </w:rPr>
            </w:pPr>
            <w:r w:rsidRPr="00181B1F">
              <w:rPr>
                <w:color w:val="0D0D0D" w:themeColor="text1" w:themeTint="F2"/>
                <w:szCs w:val="20"/>
              </w:rPr>
              <w:t xml:space="preserve">6 months for OS </w:t>
            </w:r>
          </w:p>
        </w:tc>
        <w:tc>
          <w:tcPr>
            <w:tcW w:w="1134" w:type="dxa"/>
            <w:vAlign w:val="bottom"/>
          </w:tcPr>
          <w:p w14:paraId="5217F621" w14:textId="7D7D73FF"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94"/>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94"/>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94"/>
                <w14:textFill>
                  <w14:solidFill>
                    <w14:schemeClr w14:val="tx1">
                      <w14:alpha w14:val="100000"/>
                      <w14:lumMod w14:val="95000"/>
                      <w14:lumOff w14:val="5000"/>
                    </w14:schemeClr>
                  </w14:solidFill>
                </w14:textFill>
              </w:rPr>
              <w:t xml:space="preserve">　</w:t>
            </w:r>
          </w:p>
        </w:tc>
        <w:tc>
          <w:tcPr>
            <w:tcW w:w="1134" w:type="dxa"/>
            <w:vAlign w:val="bottom"/>
          </w:tcPr>
          <w:p w14:paraId="7C4A31D7"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0.529</w:t>
            </w:r>
          </w:p>
        </w:tc>
        <w:tc>
          <w:tcPr>
            <w:tcW w:w="851" w:type="dxa"/>
            <w:vAlign w:val="bottom"/>
          </w:tcPr>
          <w:p w14:paraId="45670DD9" w14:textId="2B285F45" w:rsidR="004D1A12" w:rsidRPr="00181B1F" w:rsidRDefault="00E26C98" w:rsidP="00E94E74">
            <w:pPr>
              <w:pStyle w:val="TableT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86B12" w:rsidRPr="007E7DCE">
              <w:rPr>
                <w:b/>
                <w:color w:val="0D0D0D" w:themeColor="text1" w:themeTint="F2"/>
                <w:szCs w:val="20"/>
                <w:vertAlign w:val="superscript"/>
              </w:rPr>
              <w:t>1</w:t>
            </w:r>
          </w:p>
        </w:tc>
        <w:tc>
          <w:tcPr>
            <w:tcW w:w="1224" w:type="dxa"/>
            <w:vAlign w:val="bottom"/>
          </w:tcPr>
          <w:p w14:paraId="1D8B2AB5" w14:textId="72F788A0" w:rsidR="004D1A12" w:rsidRPr="00181B1F" w:rsidRDefault="00E26C98" w:rsidP="00E94E74">
            <w:pPr>
              <w:pStyle w:val="TableT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szCs w:val="20"/>
              </w:rPr>
              <w:t>%</w:t>
            </w:r>
          </w:p>
        </w:tc>
      </w:tr>
      <w:tr w:rsidR="004D1A12" w:rsidRPr="00181B1F" w14:paraId="6CDEA589" w14:textId="77777777" w:rsidTr="0068086C">
        <w:tc>
          <w:tcPr>
            <w:tcW w:w="9016" w:type="dxa"/>
            <w:gridSpan w:val="5"/>
          </w:tcPr>
          <w:p w14:paraId="27B52F27" w14:textId="77777777" w:rsidR="004D1A12" w:rsidRPr="00181B1F" w:rsidRDefault="004D1A12" w:rsidP="00E94E74">
            <w:pPr>
              <w:pStyle w:val="TableText"/>
              <w:rPr>
                <w:b/>
                <w:bCs/>
                <w:color w:val="0D0D0D" w:themeColor="text1" w:themeTint="F2"/>
                <w:szCs w:val="20"/>
              </w:rPr>
            </w:pPr>
            <w:r w:rsidRPr="00181B1F">
              <w:rPr>
                <w:b/>
                <w:bCs/>
                <w:color w:val="0D0D0D" w:themeColor="text1" w:themeTint="F2"/>
                <w:szCs w:val="20"/>
              </w:rPr>
              <w:t xml:space="preserve">Adjustment for treatment switching (base case: RPSFT method) </w:t>
            </w:r>
          </w:p>
        </w:tc>
      </w:tr>
      <w:tr w:rsidR="004D1A12" w:rsidRPr="00181B1F" w14:paraId="5EE6534E" w14:textId="77777777" w:rsidTr="0068086C">
        <w:tc>
          <w:tcPr>
            <w:tcW w:w="4673" w:type="dxa"/>
          </w:tcPr>
          <w:p w14:paraId="348165B7" w14:textId="4D8B97AC" w:rsidR="004D1A12" w:rsidRPr="00181B1F" w:rsidRDefault="004D1A12" w:rsidP="00E94E74">
            <w:pPr>
              <w:pStyle w:val="TableText"/>
              <w:rPr>
                <w:color w:val="0D0D0D" w:themeColor="text1" w:themeTint="F2"/>
                <w:szCs w:val="20"/>
              </w:rPr>
            </w:pPr>
            <w:r w:rsidRPr="00181B1F">
              <w:rPr>
                <w:color w:val="0D0D0D" w:themeColor="text1" w:themeTint="F2"/>
                <w:szCs w:val="20"/>
              </w:rPr>
              <w:t>Unadjusted OS</w:t>
            </w:r>
            <w:r w:rsidR="00766415" w:rsidRPr="00181B1F">
              <w:rPr>
                <w:color w:val="0D0D0D" w:themeColor="text1" w:themeTint="F2"/>
                <w:szCs w:val="20"/>
              </w:rPr>
              <w:t xml:space="preserve"> </w:t>
            </w:r>
            <w:r w:rsidR="00766415" w:rsidRPr="00181B1F">
              <w:rPr>
                <w:color w:val="0D0D0D" w:themeColor="text1" w:themeTint="F2"/>
                <w:szCs w:val="20"/>
                <w:vertAlign w:val="superscript"/>
              </w:rPr>
              <w:t>a</w:t>
            </w:r>
            <w:r w:rsidRPr="00181B1F">
              <w:rPr>
                <w:color w:val="0D0D0D" w:themeColor="text1" w:themeTint="F2"/>
                <w:szCs w:val="20"/>
              </w:rPr>
              <w:t xml:space="preserve"> </w:t>
            </w:r>
            <w:r w:rsidRPr="00181B1F">
              <w:rPr>
                <w:color w:val="0D0D0D" w:themeColor="text1" w:themeTint="F2"/>
                <w:szCs w:val="20"/>
                <w:vertAlign w:val="superscript"/>
              </w:rPr>
              <w:t xml:space="preserve"> </w:t>
            </w:r>
          </w:p>
        </w:tc>
        <w:tc>
          <w:tcPr>
            <w:tcW w:w="1134" w:type="dxa"/>
            <w:vAlign w:val="bottom"/>
          </w:tcPr>
          <w:p w14:paraId="6327FB83" w14:textId="2FE15C1C"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93"/>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93"/>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93"/>
                <w14:textFill>
                  <w14:solidFill>
                    <w14:schemeClr w14:val="tx1">
                      <w14:alpha w14:val="100000"/>
                      <w14:lumMod w14:val="95000"/>
                      <w14:lumOff w14:val="5000"/>
                    </w14:schemeClr>
                  </w14:solidFill>
                </w14:textFill>
              </w:rPr>
              <w:t xml:space="preserve">　</w:t>
            </w:r>
          </w:p>
        </w:tc>
        <w:tc>
          <w:tcPr>
            <w:tcW w:w="1134" w:type="dxa"/>
            <w:vAlign w:val="bottom"/>
          </w:tcPr>
          <w:p w14:paraId="0FE8CF39"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0.211</w:t>
            </w:r>
          </w:p>
        </w:tc>
        <w:tc>
          <w:tcPr>
            <w:tcW w:w="851" w:type="dxa"/>
            <w:vAlign w:val="bottom"/>
          </w:tcPr>
          <w:p w14:paraId="71627022" w14:textId="5FF6231D"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86B12" w:rsidRPr="003B0EA5">
              <w:rPr>
                <w:color w:val="0D0D0D" w:themeColor="text1" w:themeTint="F2"/>
                <w:szCs w:val="20"/>
                <w:vertAlign w:val="superscript"/>
              </w:rPr>
              <w:t>4</w:t>
            </w:r>
          </w:p>
        </w:tc>
        <w:tc>
          <w:tcPr>
            <w:tcW w:w="1224" w:type="dxa"/>
            <w:vAlign w:val="bottom"/>
          </w:tcPr>
          <w:p w14:paraId="6874AB8E" w14:textId="59FBB166" w:rsidR="004D1A12" w:rsidRPr="00181B1F" w:rsidRDefault="00E26C98" w:rsidP="00E94E74">
            <w:pPr>
              <w:pStyle w:val="TableT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szCs w:val="20"/>
              </w:rPr>
              <w:t>%</w:t>
            </w:r>
          </w:p>
        </w:tc>
      </w:tr>
      <w:tr w:rsidR="004D1A12" w:rsidRPr="00181B1F" w14:paraId="01B609D1" w14:textId="77777777" w:rsidTr="0068086C">
        <w:tc>
          <w:tcPr>
            <w:tcW w:w="4673" w:type="dxa"/>
          </w:tcPr>
          <w:p w14:paraId="4516C6AE" w14:textId="1C600CA8" w:rsidR="004D1A12" w:rsidRPr="00181B1F" w:rsidRDefault="004D1A12" w:rsidP="00E94E74">
            <w:pPr>
              <w:pStyle w:val="TableText"/>
              <w:rPr>
                <w:color w:val="0D0D0D" w:themeColor="text1" w:themeTint="F2"/>
                <w:szCs w:val="20"/>
              </w:rPr>
            </w:pPr>
            <w:r w:rsidRPr="00181B1F">
              <w:rPr>
                <w:color w:val="0D0D0D" w:themeColor="text1" w:themeTint="F2"/>
                <w:szCs w:val="20"/>
              </w:rPr>
              <w:t>IPCW-adjusted OS</w:t>
            </w:r>
          </w:p>
        </w:tc>
        <w:tc>
          <w:tcPr>
            <w:tcW w:w="1134" w:type="dxa"/>
            <w:vAlign w:val="bottom"/>
          </w:tcPr>
          <w:p w14:paraId="15D0D7E8" w14:textId="6FC2AE30"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92"/>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92"/>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92"/>
                <w14:textFill>
                  <w14:solidFill>
                    <w14:schemeClr w14:val="tx1">
                      <w14:alpha w14:val="100000"/>
                      <w14:lumMod w14:val="95000"/>
                      <w14:lumOff w14:val="5000"/>
                    </w14:schemeClr>
                  </w14:solidFill>
                </w14:textFill>
              </w:rPr>
              <w:t xml:space="preserve">　</w:t>
            </w:r>
          </w:p>
        </w:tc>
        <w:tc>
          <w:tcPr>
            <w:tcW w:w="1134" w:type="dxa"/>
            <w:vAlign w:val="bottom"/>
          </w:tcPr>
          <w:p w14:paraId="07F798D4"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0.341</w:t>
            </w:r>
          </w:p>
        </w:tc>
        <w:tc>
          <w:tcPr>
            <w:tcW w:w="851" w:type="dxa"/>
            <w:vAlign w:val="bottom"/>
          </w:tcPr>
          <w:p w14:paraId="40AEC3AC" w14:textId="1E116CB4"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86B12" w:rsidRPr="003B0EA5">
              <w:rPr>
                <w:color w:val="0D0D0D" w:themeColor="text1" w:themeTint="F2"/>
                <w:szCs w:val="20"/>
                <w:vertAlign w:val="superscript"/>
              </w:rPr>
              <w:t>5</w:t>
            </w:r>
          </w:p>
        </w:tc>
        <w:tc>
          <w:tcPr>
            <w:tcW w:w="1224" w:type="dxa"/>
            <w:vAlign w:val="bottom"/>
          </w:tcPr>
          <w:p w14:paraId="0B958257" w14:textId="3CE6FEA1" w:rsidR="004D1A12" w:rsidRPr="00181B1F" w:rsidRDefault="00E26C98" w:rsidP="00E94E74">
            <w:pPr>
              <w:pStyle w:val="TableT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szCs w:val="20"/>
              </w:rPr>
              <w:t>%</w:t>
            </w:r>
          </w:p>
        </w:tc>
      </w:tr>
      <w:tr w:rsidR="004D1A12" w:rsidRPr="00181B1F" w14:paraId="5E50780D" w14:textId="77777777" w:rsidTr="0068086C">
        <w:tc>
          <w:tcPr>
            <w:tcW w:w="4673" w:type="dxa"/>
          </w:tcPr>
          <w:p w14:paraId="3FA351F8" w14:textId="532F15A2" w:rsidR="004D1A12" w:rsidRPr="00DC5CF3" w:rsidRDefault="004D1A12" w:rsidP="00E94E74">
            <w:pPr>
              <w:pStyle w:val="TableText"/>
              <w:rPr>
                <w:color w:val="0D0D0D" w:themeColor="text1" w:themeTint="F2"/>
                <w:szCs w:val="20"/>
                <w:vertAlign w:val="superscript"/>
              </w:rPr>
            </w:pPr>
            <w:r w:rsidRPr="00DC5CF3">
              <w:rPr>
                <w:color w:val="0D0D0D" w:themeColor="text1" w:themeTint="F2"/>
              </w:rPr>
              <w:t>RPSFT (treatment group +</w:t>
            </w:r>
            <w:r w:rsidR="001E6F2A" w:rsidRPr="00DC5CF3">
              <w:rPr>
                <w:color w:val="0D0D0D" w:themeColor="text1" w:themeTint="F2"/>
              </w:rPr>
              <w:t xml:space="preserve"> no</w:t>
            </w:r>
            <w:r w:rsidRPr="00DC5CF3">
              <w:rPr>
                <w:color w:val="0D0D0D" w:themeColor="text1" w:themeTint="F2"/>
              </w:rPr>
              <w:t xml:space="preserve"> re-censoring)</w:t>
            </w:r>
            <w:r w:rsidR="007B3555" w:rsidRPr="00DC5CF3">
              <w:rPr>
                <w:color w:val="0D0D0D" w:themeColor="text1" w:themeTint="F2"/>
              </w:rPr>
              <w:t xml:space="preserve"> </w:t>
            </w:r>
            <w:r w:rsidR="007B3555" w:rsidRPr="00DC5CF3">
              <w:rPr>
                <w:color w:val="0D0D0D" w:themeColor="text1" w:themeTint="F2"/>
                <w:vertAlign w:val="superscript"/>
              </w:rPr>
              <w:t>b</w:t>
            </w:r>
          </w:p>
        </w:tc>
        <w:tc>
          <w:tcPr>
            <w:tcW w:w="1134" w:type="dxa"/>
            <w:vAlign w:val="bottom"/>
          </w:tcPr>
          <w:p w14:paraId="778C7607" w14:textId="5299DC9A" w:rsidR="004D1A12" w:rsidRPr="00181B1F" w:rsidRDefault="004D1A12" w:rsidP="00E94E74">
            <w:pPr>
              <w:pStyle w:val="TableText"/>
              <w:jc w:val="center"/>
              <w:rPr>
                <w:color w:val="0D0D0D" w:themeColor="text1" w:themeTint="F2"/>
                <w:szCs w:val="20"/>
              </w:rPr>
            </w:pPr>
            <w:r w:rsidRPr="00181B1F">
              <w:rPr>
                <w:color w:val="0D0D0D" w:themeColor="text1" w:themeTint="F2"/>
              </w:rPr>
              <w:t>$</w:t>
            </w:r>
            <w:r w:rsidR="00E26C98" w:rsidRPr="00E26C98">
              <w:rPr>
                <w:rFonts w:hint="eastAsia"/>
                <w:color w:val="0D0D0D" w:themeColor="text1" w:themeTint="F2"/>
                <w:w w:val="30"/>
                <w:shd w:val="solid" w:color="000000" w:fill="000000"/>
                <w:fitText w:val="135" w:id="-893744891"/>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hd w:val="solid" w:color="000000" w:fill="000000"/>
                <w:fitText w:val="135" w:id="-893744891"/>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hd w:val="solid" w:color="000000" w:fill="000000"/>
                <w:fitText w:val="135" w:id="-893744891"/>
                <w14:textFill>
                  <w14:solidFill>
                    <w14:schemeClr w14:val="tx1">
                      <w14:alpha w14:val="100000"/>
                      <w14:lumMod w14:val="95000"/>
                      <w14:lumOff w14:val="5000"/>
                    </w14:schemeClr>
                  </w14:solidFill>
                </w14:textFill>
              </w:rPr>
              <w:t xml:space="preserve">　</w:t>
            </w:r>
          </w:p>
        </w:tc>
        <w:tc>
          <w:tcPr>
            <w:tcW w:w="1134" w:type="dxa"/>
            <w:vAlign w:val="bottom"/>
          </w:tcPr>
          <w:p w14:paraId="6298E0B4"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rPr>
              <w:t>0.599</w:t>
            </w:r>
          </w:p>
        </w:tc>
        <w:tc>
          <w:tcPr>
            <w:tcW w:w="851" w:type="dxa"/>
            <w:vAlign w:val="bottom"/>
          </w:tcPr>
          <w:p w14:paraId="1DF14477" w14:textId="454E41E0"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686B12" w:rsidRPr="007E7DCE">
              <w:rPr>
                <w:color w:val="0D0D0D" w:themeColor="text1" w:themeTint="F2"/>
                <w:szCs w:val="20"/>
                <w:vertAlign w:val="superscript"/>
              </w:rPr>
              <w:t>2</w:t>
            </w:r>
          </w:p>
        </w:tc>
        <w:tc>
          <w:tcPr>
            <w:tcW w:w="1224" w:type="dxa"/>
            <w:vAlign w:val="bottom"/>
          </w:tcPr>
          <w:p w14:paraId="4BDC525C" w14:textId="27A50B94" w:rsidR="004D1A12" w:rsidRPr="00181B1F" w:rsidRDefault="004D1A12" w:rsidP="00E94E74">
            <w:pPr>
              <w:pStyle w:val="TableText"/>
              <w:jc w:val="center"/>
              <w:rPr>
                <w:color w:val="0D0D0D" w:themeColor="text1" w:themeTint="F2"/>
                <w:szCs w:val="20"/>
              </w:rPr>
            </w:pPr>
            <w:r w:rsidRPr="00181B1F">
              <w:rPr>
                <w:color w:val="0D0D0D" w:themeColor="text1" w:themeTint="F2"/>
              </w:rPr>
              <w:t>-</w:t>
            </w:r>
            <w:r w:rsidR="00E26C98" w:rsidRPr="00E26C98">
              <w:rPr>
                <w:rFonts w:hint="eastAsia"/>
                <w:color w:val="0D0D0D" w:themeColor="text1" w:themeTint="F2"/>
                <w:w w:val="15"/>
                <w:shd w:val="solid" w:color="000000" w:fill="000000"/>
                <w:fitText w:val="30" w:id="-893744890"/>
                <w14:textFill>
                  <w14:solidFill>
                    <w14:schemeClr w14:val="tx1">
                      <w14:alpha w14:val="100000"/>
                      <w14:lumMod w14:val="95000"/>
                      <w14:lumOff w14:val="5000"/>
                    </w14:schemeClr>
                  </w14:solidFill>
                </w14:textFill>
              </w:rPr>
              <w:t xml:space="preserve">　</w:t>
            </w:r>
            <w:r w:rsidR="00E26C98" w:rsidRPr="00E26C98">
              <w:rPr>
                <w:color w:val="0D0D0D" w:themeColor="text1" w:themeTint="F2"/>
                <w:w w:val="15"/>
                <w:shd w:val="solid" w:color="000000" w:fill="000000"/>
                <w:fitText w:val="30" w:id="-893744890"/>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5"/>
                <w:w w:val="15"/>
                <w:shd w:val="solid" w:color="000000" w:fill="000000"/>
                <w:fitText w:val="30" w:id="-893744890"/>
                <w14:textFill>
                  <w14:solidFill>
                    <w14:schemeClr w14:val="tx1">
                      <w14:alpha w14:val="100000"/>
                      <w14:lumMod w14:val="95000"/>
                      <w14:lumOff w14:val="5000"/>
                    </w14:schemeClr>
                  </w14:solidFill>
                </w14:textFill>
              </w:rPr>
              <w:t xml:space="preserve">　</w:t>
            </w:r>
            <w:r w:rsidRPr="00181B1F">
              <w:rPr>
                <w:color w:val="0D0D0D" w:themeColor="text1" w:themeTint="F2"/>
              </w:rPr>
              <w:t>%</w:t>
            </w:r>
          </w:p>
        </w:tc>
      </w:tr>
      <w:tr w:rsidR="004D1A12" w:rsidRPr="00181B1F" w14:paraId="1DEF3A08" w14:textId="77777777" w:rsidTr="0068086C">
        <w:tc>
          <w:tcPr>
            <w:tcW w:w="4673" w:type="dxa"/>
          </w:tcPr>
          <w:p w14:paraId="501A6263" w14:textId="2145892D" w:rsidR="004D1A12" w:rsidRPr="00DC5CF3" w:rsidRDefault="004D1A12" w:rsidP="00E94E74">
            <w:pPr>
              <w:pStyle w:val="TableText"/>
              <w:rPr>
                <w:color w:val="0D0D0D" w:themeColor="text1" w:themeTint="F2"/>
                <w:szCs w:val="20"/>
              </w:rPr>
            </w:pPr>
            <w:r w:rsidRPr="00DC5CF3">
              <w:rPr>
                <w:color w:val="0D0D0D" w:themeColor="text1" w:themeTint="F2"/>
              </w:rPr>
              <w:t>RPSFT (on treatment + re-censoring</w:t>
            </w:r>
            <w:r w:rsidR="007725AB" w:rsidRPr="00DC5CF3">
              <w:rPr>
                <w:color w:val="0D0D0D" w:themeColor="text1" w:themeTint="F2"/>
              </w:rPr>
              <w:t>)</w:t>
            </w:r>
            <w:r w:rsidRPr="00DC5CF3">
              <w:rPr>
                <w:color w:val="0D0D0D" w:themeColor="text1" w:themeTint="F2"/>
              </w:rPr>
              <w:t xml:space="preserve"> </w:t>
            </w:r>
            <w:r w:rsidR="007B3555" w:rsidRPr="00DC5CF3">
              <w:rPr>
                <w:color w:val="0D0D0D" w:themeColor="text1" w:themeTint="F2"/>
                <w:vertAlign w:val="superscript"/>
              </w:rPr>
              <w:t>b</w:t>
            </w:r>
          </w:p>
        </w:tc>
        <w:tc>
          <w:tcPr>
            <w:tcW w:w="1134" w:type="dxa"/>
            <w:vAlign w:val="bottom"/>
          </w:tcPr>
          <w:p w14:paraId="1F3D5DBD" w14:textId="24C098FD" w:rsidR="004D1A12" w:rsidRPr="00181B1F" w:rsidRDefault="004D1A12" w:rsidP="00E94E74">
            <w:pPr>
              <w:pStyle w:val="TableText"/>
              <w:jc w:val="center"/>
              <w:rPr>
                <w:color w:val="0D0D0D" w:themeColor="text1" w:themeTint="F2"/>
                <w:szCs w:val="20"/>
              </w:rPr>
            </w:pPr>
            <w:r w:rsidRPr="00181B1F">
              <w:rPr>
                <w:color w:val="0D0D0D" w:themeColor="text1" w:themeTint="F2"/>
              </w:rPr>
              <w:t>$</w:t>
            </w:r>
            <w:r w:rsidR="00E26C98" w:rsidRPr="00E26C98">
              <w:rPr>
                <w:rFonts w:hint="eastAsia"/>
                <w:color w:val="0D0D0D" w:themeColor="text1" w:themeTint="F2"/>
                <w:w w:val="30"/>
                <w:shd w:val="solid" w:color="000000" w:fill="000000"/>
                <w:fitText w:val="135" w:id="-893744889"/>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hd w:val="solid" w:color="000000" w:fill="000000"/>
                <w:fitText w:val="135" w:id="-893744889"/>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hd w:val="solid" w:color="000000" w:fill="000000"/>
                <w:fitText w:val="135" w:id="-893744889"/>
                <w14:textFill>
                  <w14:solidFill>
                    <w14:schemeClr w14:val="tx1">
                      <w14:alpha w14:val="100000"/>
                      <w14:lumMod w14:val="95000"/>
                      <w14:lumOff w14:val="5000"/>
                    </w14:schemeClr>
                  </w14:solidFill>
                </w14:textFill>
              </w:rPr>
              <w:t xml:space="preserve">　</w:t>
            </w:r>
          </w:p>
        </w:tc>
        <w:tc>
          <w:tcPr>
            <w:tcW w:w="1134" w:type="dxa"/>
            <w:vAlign w:val="bottom"/>
          </w:tcPr>
          <w:p w14:paraId="1041D31C"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rPr>
              <w:t>0.632</w:t>
            </w:r>
          </w:p>
        </w:tc>
        <w:tc>
          <w:tcPr>
            <w:tcW w:w="851" w:type="dxa"/>
            <w:vAlign w:val="bottom"/>
          </w:tcPr>
          <w:p w14:paraId="484C9C88" w14:textId="02584C59"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686B12" w:rsidRPr="007E7DCE">
              <w:rPr>
                <w:color w:val="0D0D0D" w:themeColor="text1" w:themeTint="F2"/>
                <w:szCs w:val="20"/>
                <w:vertAlign w:val="superscript"/>
              </w:rPr>
              <w:t>2</w:t>
            </w:r>
          </w:p>
        </w:tc>
        <w:tc>
          <w:tcPr>
            <w:tcW w:w="1224" w:type="dxa"/>
            <w:vAlign w:val="bottom"/>
          </w:tcPr>
          <w:p w14:paraId="3E1DF28F" w14:textId="35CA07BF" w:rsidR="004D1A12" w:rsidRPr="00181B1F" w:rsidRDefault="004D1A12" w:rsidP="00E94E74">
            <w:pPr>
              <w:pStyle w:val="TableText"/>
              <w:jc w:val="center"/>
              <w:rPr>
                <w:color w:val="0D0D0D" w:themeColor="text1" w:themeTint="F2"/>
                <w:szCs w:val="20"/>
              </w:rPr>
            </w:pPr>
            <w:r w:rsidRPr="00181B1F">
              <w:rPr>
                <w:color w:val="0D0D0D" w:themeColor="text1" w:themeTint="F2"/>
              </w:rPr>
              <w:t>-</w:t>
            </w:r>
            <w:r w:rsidR="00E26C98" w:rsidRPr="00E26C98">
              <w:rPr>
                <w:rFonts w:hint="eastAsia"/>
                <w:color w:val="0D0D0D" w:themeColor="text1" w:themeTint="F2"/>
                <w:w w:val="15"/>
                <w:shd w:val="solid" w:color="000000" w:fill="000000"/>
                <w:fitText w:val="30" w:id="-893744888"/>
                <w14:textFill>
                  <w14:solidFill>
                    <w14:schemeClr w14:val="tx1">
                      <w14:alpha w14:val="100000"/>
                      <w14:lumMod w14:val="95000"/>
                      <w14:lumOff w14:val="5000"/>
                    </w14:schemeClr>
                  </w14:solidFill>
                </w14:textFill>
              </w:rPr>
              <w:t xml:space="preserve">　</w:t>
            </w:r>
            <w:r w:rsidR="00E26C98" w:rsidRPr="00E26C98">
              <w:rPr>
                <w:color w:val="0D0D0D" w:themeColor="text1" w:themeTint="F2"/>
                <w:w w:val="15"/>
                <w:shd w:val="solid" w:color="000000" w:fill="000000"/>
                <w:fitText w:val="30" w:id="-893744888"/>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5"/>
                <w:w w:val="15"/>
                <w:shd w:val="solid" w:color="000000" w:fill="000000"/>
                <w:fitText w:val="30" w:id="-893744888"/>
                <w14:textFill>
                  <w14:solidFill>
                    <w14:schemeClr w14:val="tx1">
                      <w14:alpha w14:val="100000"/>
                      <w14:lumMod w14:val="95000"/>
                      <w14:lumOff w14:val="5000"/>
                    </w14:schemeClr>
                  </w14:solidFill>
                </w14:textFill>
              </w:rPr>
              <w:t xml:space="preserve">　</w:t>
            </w:r>
            <w:r w:rsidRPr="00181B1F">
              <w:rPr>
                <w:color w:val="0D0D0D" w:themeColor="text1" w:themeTint="F2"/>
              </w:rPr>
              <w:t>%</w:t>
            </w:r>
          </w:p>
        </w:tc>
      </w:tr>
      <w:tr w:rsidR="004D1A12" w:rsidRPr="00181B1F" w14:paraId="685C4672" w14:textId="77777777" w:rsidTr="0068086C">
        <w:tc>
          <w:tcPr>
            <w:tcW w:w="9016" w:type="dxa"/>
            <w:gridSpan w:val="5"/>
          </w:tcPr>
          <w:p w14:paraId="7D9215D3" w14:textId="46DC895D" w:rsidR="004D1A12" w:rsidRPr="00181B1F" w:rsidRDefault="00D0616D" w:rsidP="00E94E74">
            <w:pPr>
              <w:pStyle w:val="TableText"/>
              <w:rPr>
                <w:b/>
                <w:color w:val="0D0D0D" w:themeColor="text1" w:themeTint="F2"/>
                <w:szCs w:val="20"/>
              </w:rPr>
            </w:pPr>
            <w:r>
              <w:rPr>
                <w:b/>
                <w:color w:val="0D0D0D" w:themeColor="text1" w:themeTint="F2"/>
                <w:szCs w:val="20"/>
              </w:rPr>
              <w:t>P</w:t>
            </w:r>
            <w:r w:rsidR="004D1A12" w:rsidRPr="00181B1F">
              <w:rPr>
                <w:b/>
                <w:color w:val="0D0D0D" w:themeColor="text1" w:themeTint="F2"/>
                <w:szCs w:val="20"/>
              </w:rPr>
              <w:t xml:space="preserve">arametric model extrapolation for OS (log-normal) </w:t>
            </w:r>
          </w:p>
        </w:tc>
      </w:tr>
      <w:tr w:rsidR="0068086C" w:rsidRPr="00181B1F" w14:paraId="19068522" w14:textId="77777777" w:rsidTr="0068086C">
        <w:tc>
          <w:tcPr>
            <w:tcW w:w="4673" w:type="dxa"/>
          </w:tcPr>
          <w:p w14:paraId="37077AED" w14:textId="1BCAAC15" w:rsidR="004D1A12" w:rsidRPr="00DD3BA5" w:rsidRDefault="004D1A12" w:rsidP="00E94E74">
            <w:pPr>
              <w:pStyle w:val="TableText"/>
              <w:rPr>
                <w:bCs/>
                <w:color w:val="0D0D0D" w:themeColor="text1" w:themeTint="F2"/>
                <w:szCs w:val="20"/>
              </w:rPr>
            </w:pPr>
            <w:r w:rsidRPr="00DD3BA5">
              <w:rPr>
                <w:bCs/>
                <w:color w:val="0D0D0D" w:themeColor="text1" w:themeTint="F2"/>
                <w:szCs w:val="20"/>
              </w:rPr>
              <w:t xml:space="preserve">OS: exponential </w:t>
            </w:r>
            <w:r w:rsidR="009F6182" w:rsidRPr="00DD3BA5">
              <w:rPr>
                <w:bCs/>
                <w:color w:val="0D0D0D" w:themeColor="text1" w:themeTint="F2"/>
                <w:szCs w:val="20"/>
              </w:rPr>
              <w:t>(ivosidenib arm only)</w:t>
            </w:r>
          </w:p>
        </w:tc>
        <w:tc>
          <w:tcPr>
            <w:tcW w:w="1134" w:type="dxa"/>
            <w:vAlign w:val="bottom"/>
          </w:tcPr>
          <w:p w14:paraId="3503A513" w14:textId="3B529601"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87"/>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87"/>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87"/>
                <w14:textFill>
                  <w14:solidFill>
                    <w14:schemeClr w14:val="tx1">
                      <w14:alpha w14:val="100000"/>
                      <w14:lumMod w14:val="95000"/>
                      <w14:lumOff w14:val="5000"/>
                    </w14:schemeClr>
                  </w14:solidFill>
                </w14:textFill>
              </w:rPr>
              <w:t xml:space="preserve">　</w:t>
            </w:r>
          </w:p>
        </w:tc>
        <w:tc>
          <w:tcPr>
            <w:tcW w:w="1134" w:type="dxa"/>
            <w:vAlign w:val="bottom"/>
          </w:tcPr>
          <w:p w14:paraId="67E08E9C" w14:textId="77777777"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0.373</w:t>
            </w:r>
          </w:p>
        </w:tc>
        <w:tc>
          <w:tcPr>
            <w:tcW w:w="851" w:type="dxa"/>
            <w:shd w:val="clear" w:color="auto" w:fill="auto"/>
            <w:vAlign w:val="bottom"/>
          </w:tcPr>
          <w:p w14:paraId="2CCBE62B" w14:textId="7CCE1488" w:rsidR="004D1A12" w:rsidRPr="003B0EA5" w:rsidRDefault="0068086C" w:rsidP="00E94E74">
            <w:pPr>
              <w:pStyle w:val="TableText"/>
              <w:jc w:val="center"/>
              <w:rPr>
                <w:color w:val="0D0D0D" w:themeColor="text1" w:themeTint="F2"/>
                <w:szCs w:val="20"/>
                <w:highlight w:val="lightGray"/>
              </w:rPr>
            </w:pPr>
            <w:r w:rsidRPr="00E26C98">
              <w:rPr>
                <w:color w:val="000000"/>
                <w:szCs w:val="20"/>
                <w:shd w:val="solid" w:color="000000" w:fill="000000"/>
                <w14:textFill>
                  <w14:solidFill>
                    <w14:srgbClr w14:val="000000">
                      <w14:alpha w14:val="100000"/>
                    </w14:srgbClr>
                  </w14:solidFill>
                </w14:textFill>
              </w:rPr>
              <w:t>|</w:t>
            </w:r>
            <w:r w:rsidRPr="007E7DCE">
              <w:rPr>
                <w:szCs w:val="20"/>
                <w:vertAlign w:val="superscript"/>
              </w:rPr>
              <w:t>6</w:t>
            </w:r>
          </w:p>
        </w:tc>
        <w:tc>
          <w:tcPr>
            <w:tcW w:w="1224" w:type="dxa"/>
            <w:vAlign w:val="bottom"/>
          </w:tcPr>
          <w:p w14:paraId="2549BDE3" w14:textId="617B454F" w:rsidR="004D1A12" w:rsidRPr="00181B1F" w:rsidRDefault="00E26C98" w:rsidP="00E94E74">
            <w:pPr>
              <w:pStyle w:val="TableT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4D1A12" w:rsidRPr="00181B1F">
              <w:rPr>
                <w:color w:val="0D0D0D" w:themeColor="text1" w:themeTint="F2"/>
                <w:szCs w:val="20"/>
              </w:rPr>
              <w:t>%</w:t>
            </w:r>
          </w:p>
        </w:tc>
      </w:tr>
      <w:tr w:rsidR="00684F01" w:rsidRPr="001C5869" w14:paraId="40DD1335" w14:textId="77777777" w:rsidTr="0068086C">
        <w:tc>
          <w:tcPr>
            <w:tcW w:w="4673" w:type="dxa"/>
          </w:tcPr>
          <w:p w14:paraId="50D9968B" w14:textId="56FE89DD" w:rsidR="00684F01" w:rsidRPr="001C5869" w:rsidRDefault="00684F01" w:rsidP="00E94E74">
            <w:pPr>
              <w:pStyle w:val="TableText"/>
              <w:rPr>
                <w:bCs/>
                <w:color w:val="0D0D0D" w:themeColor="text1" w:themeTint="F2"/>
                <w:szCs w:val="20"/>
              </w:rPr>
            </w:pPr>
            <w:r w:rsidRPr="001C5869">
              <w:rPr>
                <w:bCs/>
                <w:color w:val="0D0D0D" w:themeColor="text1" w:themeTint="F2"/>
                <w:szCs w:val="20"/>
              </w:rPr>
              <w:t xml:space="preserve">OS: exponential (both arms) </w:t>
            </w:r>
            <w:r w:rsidR="00993B4F" w:rsidRPr="001C5869">
              <w:rPr>
                <w:bCs/>
                <w:color w:val="0D0D0D" w:themeColor="text1" w:themeTint="F2"/>
                <w:szCs w:val="20"/>
              </w:rPr>
              <w:t>#</w:t>
            </w:r>
            <w:r w:rsidR="00DD3BA5" w:rsidRPr="001C5869">
              <w:rPr>
                <w:bCs/>
                <w:color w:val="0D0D0D" w:themeColor="text1" w:themeTint="F2"/>
                <w:szCs w:val="20"/>
              </w:rPr>
              <w:t>2</w:t>
            </w:r>
          </w:p>
        </w:tc>
        <w:tc>
          <w:tcPr>
            <w:tcW w:w="1134" w:type="dxa"/>
            <w:vAlign w:val="bottom"/>
          </w:tcPr>
          <w:p w14:paraId="46712D3C" w14:textId="2610631D" w:rsidR="00684F01" w:rsidRPr="001C5869" w:rsidRDefault="00684F01" w:rsidP="00E94E74">
            <w:pPr>
              <w:pStyle w:val="TableText"/>
              <w:jc w:val="center"/>
              <w:rPr>
                <w:szCs w:val="20"/>
              </w:rPr>
            </w:pPr>
            <w:r w:rsidRPr="001C5869">
              <w:rPr>
                <w:szCs w:val="20"/>
              </w:rPr>
              <w:t>$</w:t>
            </w:r>
            <w:r w:rsidR="00E26C98" w:rsidRPr="00E26C98">
              <w:rPr>
                <w:rFonts w:hint="eastAsia"/>
                <w:color w:val="000000"/>
                <w:w w:val="30"/>
                <w:szCs w:val="20"/>
                <w:shd w:val="solid" w:color="000000" w:fill="000000"/>
                <w:fitText w:val="135" w:id="-893744886"/>
                <w14:textFill>
                  <w14:solidFill>
                    <w14:srgbClr w14:val="000000">
                      <w14:alpha w14:val="100000"/>
                    </w14:srgbClr>
                  </w14:solidFill>
                </w14:textFill>
              </w:rPr>
              <w:t xml:space="preserve">　</w:t>
            </w:r>
            <w:r w:rsidR="00E26C98" w:rsidRPr="00E26C98">
              <w:rPr>
                <w:color w:val="000000"/>
                <w:w w:val="30"/>
                <w:szCs w:val="20"/>
                <w:shd w:val="solid" w:color="000000" w:fill="000000"/>
                <w:fitText w:val="135" w:id="-893744886"/>
                <w14:textFill>
                  <w14:solidFill>
                    <w14:srgbClr w14:val="000000">
                      <w14:alpha w14:val="100000"/>
                    </w14:srgbClr>
                  </w14:solidFill>
                </w14:textFill>
              </w:rPr>
              <w:t>|</w:t>
            </w:r>
            <w:r w:rsidR="00E26C98" w:rsidRPr="00E26C98">
              <w:rPr>
                <w:rFonts w:hint="eastAsia"/>
                <w:color w:val="000000"/>
                <w:spacing w:val="3"/>
                <w:w w:val="30"/>
                <w:szCs w:val="20"/>
                <w:shd w:val="solid" w:color="000000" w:fill="000000"/>
                <w:fitText w:val="135" w:id="-893744886"/>
                <w14:textFill>
                  <w14:solidFill>
                    <w14:srgbClr w14:val="000000">
                      <w14:alpha w14:val="100000"/>
                    </w14:srgbClr>
                  </w14:solidFill>
                </w14:textFill>
              </w:rPr>
              <w:t xml:space="preserve">　</w:t>
            </w:r>
          </w:p>
        </w:tc>
        <w:tc>
          <w:tcPr>
            <w:tcW w:w="1134" w:type="dxa"/>
            <w:vAlign w:val="bottom"/>
          </w:tcPr>
          <w:p w14:paraId="7EE12F5C" w14:textId="388F9B13" w:rsidR="00684F01" w:rsidRPr="001C5869" w:rsidRDefault="00684F01" w:rsidP="00E94E74">
            <w:pPr>
              <w:pStyle w:val="TableText"/>
              <w:jc w:val="center"/>
              <w:rPr>
                <w:szCs w:val="20"/>
              </w:rPr>
            </w:pPr>
            <w:r w:rsidRPr="001C5869">
              <w:rPr>
                <w:szCs w:val="20"/>
              </w:rPr>
              <w:t>0.460</w:t>
            </w:r>
          </w:p>
        </w:tc>
        <w:tc>
          <w:tcPr>
            <w:tcW w:w="851" w:type="dxa"/>
            <w:vAlign w:val="bottom"/>
          </w:tcPr>
          <w:p w14:paraId="1FE2D116" w14:textId="560D97B1" w:rsidR="00684F01" w:rsidRPr="003B0EA5" w:rsidRDefault="00E26C98" w:rsidP="00E94E74">
            <w:pPr>
              <w:pStyle w:val="TableText"/>
              <w:jc w:val="center"/>
              <w:rPr>
                <w:szCs w:val="20"/>
                <w:highlight w:val="lightGray"/>
              </w:rPr>
            </w:pPr>
            <w:r w:rsidRPr="00E26C98">
              <w:rPr>
                <w:color w:val="000000"/>
                <w:szCs w:val="20"/>
                <w:shd w:val="solid" w:color="000000" w:fill="000000"/>
                <w14:textFill>
                  <w14:solidFill>
                    <w14:srgbClr w14:val="000000">
                      <w14:alpha w14:val="100000"/>
                    </w14:srgbClr>
                  </w14:solidFill>
                </w14:textFill>
              </w:rPr>
              <w:t>|</w:t>
            </w:r>
            <w:r w:rsidR="00686B12" w:rsidRPr="007E7DCE">
              <w:rPr>
                <w:color w:val="0D0D0D" w:themeColor="text1" w:themeTint="F2"/>
                <w:szCs w:val="20"/>
                <w:vertAlign w:val="superscript"/>
              </w:rPr>
              <w:t>3</w:t>
            </w:r>
          </w:p>
        </w:tc>
        <w:tc>
          <w:tcPr>
            <w:tcW w:w="1224" w:type="dxa"/>
            <w:vAlign w:val="bottom"/>
          </w:tcPr>
          <w:p w14:paraId="5B7C0BC9" w14:textId="66EAFF9B" w:rsidR="00684F01" w:rsidRPr="001C5869" w:rsidRDefault="00E26C98" w:rsidP="00E94E74">
            <w:pPr>
              <w:pStyle w:val="TableText"/>
              <w:jc w:val="center"/>
              <w:rPr>
                <w:szCs w:val="20"/>
              </w:rPr>
            </w:pPr>
            <w:r w:rsidRPr="00E26C98">
              <w:rPr>
                <w:color w:val="000000"/>
                <w:szCs w:val="20"/>
                <w:shd w:val="solid" w:color="000000" w:fill="000000"/>
                <w14:textFill>
                  <w14:solidFill>
                    <w14:srgbClr w14:val="000000">
                      <w14:alpha w14:val="100000"/>
                    </w14:srgbClr>
                  </w14:solidFill>
                </w14:textFill>
              </w:rPr>
              <w:t>|</w:t>
            </w:r>
            <w:r w:rsidR="00684F01" w:rsidRPr="001C5869">
              <w:rPr>
                <w:szCs w:val="20"/>
              </w:rPr>
              <w:t>%</w:t>
            </w:r>
          </w:p>
        </w:tc>
      </w:tr>
      <w:tr w:rsidR="004D1A12" w:rsidRPr="00181B1F" w14:paraId="49116049" w14:textId="77777777" w:rsidTr="0068086C">
        <w:tc>
          <w:tcPr>
            <w:tcW w:w="9016" w:type="dxa"/>
            <w:gridSpan w:val="5"/>
          </w:tcPr>
          <w:p w14:paraId="2A2E30C3" w14:textId="65C17402" w:rsidR="004D1A12" w:rsidRPr="00181B1F" w:rsidRDefault="004D1A12" w:rsidP="00E94E74">
            <w:pPr>
              <w:pStyle w:val="TableText"/>
              <w:rPr>
                <w:b/>
                <w:color w:val="0D0D0D" w:themeColor="text1" w:themeTint="F2"/>
                <w:szCs w:val="20"/>
              </w:rPr>
            </w:pPr>
            <w:r w:rsidRPr="00181B1F">
              <w:rPr>
                <w:b/>
                <w:color w:val="0D0D0D" w:themeColor="text1" w:themeTint="F2"/>
                <w:szCs w:val="20"/>
              </w:rPr>
              <w:t>Comparator (base case: only palliative care)</w:t>
            </w:r>
            <w:r w:rsidR="00C50D8A" w:rsidRPr="00181B1F">
              <w:rPr>
                <w:b/>
                <w:color w:val="0D0D0D" w:themeColor="text1" w:themeTint="F2"/>
                <w:szCs w:val="20"/>
              </w:rPr>
              <w:t xml:space="preserve"> </w:t>
            </w:r>
            <w:r w:rsidR="007B3555">
              <w:rPr>
                <w:b/>
                <w:color w:val="0D0D0D" w:themeColor="text1" w:themeTint="F2"/>
                <w:szCs w:val="20"/>
                <w:vertAlign w:val="superscript"/>
              </w:rPr>
              <w:t>c</w:t>
            </w:r>
          </w:p>
        </w:tc>
      </w:tr>
      <w:tr w:rsidR="004D1A12" w:rsidRPr="00181B1F" w14:paraId="66E7A46A" w14:textId="77777777" w:rsidTr="0068086C">
        <w:tc>
          <w:tcPr>
            <w:tcW w:w="4673" w:type="dxa"/>
          </w:tcPr>
          <w:p w14:paraId="3AA7BA3E" w14:textId="77777777" w:rsidR="004D1A12" w:rsidRPr="00181B1F" w:rsidRDefault="004D1A12" w:rsidP="00E94E74">
            <w:pPr>
              <w:pStyle w:val="TableText"/>
              <w:rPr>
                <w:bCs/>
                <w:color w:val="0D0D0D" w:themeColor="text1" w:themeTint="F2"/>
                <w:szCs w:val="20"/>
              </w:rPr>
            </w:pPr>
            <w:r w:rsidRPr="00181B1F">
              <w:rPr>
                <w:bCs/>
                <w:color w:val="0D0D0D" w:themeColor="text1" w:themeTint="F2"/>
                <w:szCs w:val="20"/>
              </w:rPr>
              <w:t xml:space="preserve">Include FOLFOX (15%) </w:t>
            </w:r>
          </w:p>
        </w:tc>
        <w:tc>
          <w:tcPr>
            <w:tcW w:w="1134" w:type="dxa"/>
            <w:vAlign w:val="bottom"/>
          </w:tcPr>
          <w:p w14:paraId="4FA0C1AD" w14:textId="12067E81"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85"/>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85"/>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85"/>
                <w14:textFill>
                  <w14:solidFill>
                    <w14:schemeClr w14:val="tx1">
                      <w14:alpha w14:val="100000"/>
                      <w14:lumMod w14:val="95000"/>
                      <w14:lumOff w14:val="5000"/>
                    </w14:schemeClr>
                  </w14:solidFill>
                </w14:textFill>
              </w:rPr>
              <w:t xml:space="preserve">　</w:t>
            </w:r>
          </w:p>
        </w:tc>
        <w:tc>
          <w:tcPr>
            <w:tcW w:w="1134" w:type="dxa"/>
            <w:vAlign w:val="bottom"/>
          </w:tcPr>
          <w:p w14:paraId="6532EBED" w14:textId="77777777" w:rsidR="004D1A12" w:rsidRPr="00181B1F" w:rsidDel="00883165" w:rsidRDefault="004D1A12" w:rsidP="00E94E74">
            <w:pPr>
              <w:pStyle w:val="TableText"/>
              <w:jc w:val="center"/>
              <w:rPr>
                <w:color w:val="0D0D0D" w:themeColor="text1" w:themeTint="F2"/>
                <w:szCs w:val="20"/>
              </w:rPr>
            </w:pPr>
            <w:r w:rsidRPr="00181B1F">
              <w:rPr>
                <w:color w:val="0D0D0D" w:themeColor="text1" w:themeTint="F2"/>
                <w:szCs w:val="20"/>
              </w:rPr>
              <w:t>0.609</w:t>
            </w:r>
          </w:p>
        </w:tc>
        <w:tc>
          <w:tcPr>
            <w:tcW w:w="851" w:type="dxa"/>
            <w:vAlign w:val="bottom"/>
          </w:tcPr>
          <w:p w14:paraId="6D91DA62" w14:textId="0391B647"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86B12" w:rsidRPr="003B0EA5">
              <w:rPr>
                <w:color w:val="0D0D0D" w:themeColor="text1" w:themeTint="F2"/>
                <w:szCs w:val="20"/>
                <w:vertAlign w:val="superscript"/>
              </w:rPr>
              <w:t>2</w:t>
            </w:r>
          </w:p>
        </w:tc>
        <w:tc>
          <w:tcPr>
            <w:tcW w:w="1224" w:type="dxa"/>
            <w:vAlign w:val="bottom"/>
          </w:tcPr>
          <w:p w14:paraId="0F73C20A" w14:textId="4813D988"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15"/>
                <w:szCs w:val="20"/>
                <w:shd w:val="solid" w:color="000000" w:fill="000000"/>
                <w:fitText w:val="30" w:id="-893744884"/>
                <w14:textFill>
                  <w14:solidFill>
                    <w14:schemeClr w14:val="tx1">
                      <w14:alpha w14:val="100000"/>
                      <w14:lumMod w14:val="95000"/>
                      <w14:lumOff w14:val="5000"/>
                    </w14:schemeClr>
                  </w14:solidFill>
                </w14:textFill>
              </w:rPr>
              <w:t xml:space="preserve">　</w:t>
            </w:r>
            <w:r w:rsidR="00E26C98" w:rsidRPr="00E26C98">
              <w:rPr>
                <w:color w:val="0D0D0D" w:themeColor="text1" w:themeTint="F2"/>
                <w:w w:val="15"/>
                <w:szCs w:val="20"/>
                <w:shd w:val="solid" w:color="000000" w:fill="000000"/>
                <w:fitText w:val="30" w:id="-893744884"/>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5"/>
                <w:w w:val="15"/>
                <w:szCs w:val="20"/>
                <w:shd w:val="solid" w:color="000000" w:fill="000000"/>
                <w:fitText w:val="30" w:id="-893744884"/>
                <w14:textFill>
                  <w14:solidFill>
                    <w14:schemeClr w14:val="tx1">
                      <w14:alpha w14:val="100000"/>
                      <w14:lumMod w14:val="95000"/>
                      <w14:lumOff w14:val="5000"/>
                    </w14:schemeClr>
                  </w14:solidFill>
                </w14:textFill>
              </w:rPr>
              <w:t xml:space="preserve">　</w:t>
            </w:r>
            <w:r w:rsidRPr="00181B1F">
              <w:rPr>
                <w:color w:val="0D0D0D" w:themeColor="text1" w:themeTint="F2"/>
                <w:szCs w:val="20"/>
              </w:rPr>
              <w:t>%</w:t>
            </w:r>
          </w:p>
        </w:tc>
      </w:tr>
      <w:tr w:rsidR="004D1A12" w:rsidRPr="00181B1F" w14:paraId="6F3E9E0F" w14:textId="77777777" w:rsidTr="0068086C">
        <w:tc>
          <w:tcPr>
            <w:tcW w:w="4673" w:type="dxa"/>
          </w:tcPr>
          <w:p w14:paraId="5F9B6BD8" w14:textId="3B0B27FE" w:rsidR="004D1A12" w:rsidRPr="00DD3BA5" w:rsidRDefault="004D1A12" w:rsidP="00E94E74">
            <w:pPr>
              <w:pStyle w:val="TableText"/>
              <w:rPr>
                <w:bCs/>
                <w:color w:val="0D0D0D" w:themeColor="text1" w:themeTint="F2"/>
                <w:szCs w:val="20"/>
              </w:rPr>
            </w:pPr>
            <w:r w:rsidRPr="00DD3BA5">
              <w:rPr>
                <w:bCs/>
                <w:color w:val="0D0D0D" w:themeColor="text1" w:themeTint="F2"/>
                <w:szCs w:val="20"/>
              </w:rPr>
              <w:t xml:space="preserve">Include FOLFOX (45%) </w:t>
            </w:r>
            <w:r w:rsidR="00C476CC" w:rsidRPr="00DD3BA5">
              <w:rPr>
                <w:bCs/>
                <w:i/>
                <w:iCs/>
                <w:color w:val="0D0D0D" w:themeColor="text1" w:themeTint="F2"/>
                <w:szCs w:val="20"/>
              </w:rPr>
              <w:t>#</w:t>
            </w:r>
            <w:r w:rsidR="00DD3BA5" w:rsidRPr="00DD3BA5">
              <w:rPr>
                <w:bCs/>
                <w:i/>
                <w:iCs/>
                <w:color w:val="0D0D0D" w:themeColor="text1" w:themeTint="F2"/>
                <w:szCs w:val="20"/>
              </w:rPr>
              <w:t>5</w:t>
            </w:r>
          </w:p>
        </w:tc>
        <w:tc>
          <w:tcPr>
            <w:tcW w:w="1134" w:type="dxa"/>
            <w:vAlign w:val="bottom"/>
          </w:tcPr>
          <w:p w14:paraId="6885288A" w14:textId="78596C2F"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883"/>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883"/>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883"/>
                <w14:textFill>
                  <w14:solidFill>
                    <w14:schemeClr w14:val="tx1">
                      <w14:alpha w14:val="100000"/>
                      <w14:lumMod w14:val="95000"/>
                      <w14:lumOff w14:val="5000"/>
                    </w14:schemeClr>
                  </w14:solidFill>
                </w14:textFill>
              </w:rPr>
              <w:t xml:space="preserve">　</w:t>
            </w:r>
          </w:p>
        </w:tc>
        <w:tc>
          <w:tcPr>
            <w:tcW w:w="1134" w:type="dxa"/>
            <w:vAlign w:val="bottom"/>
          </w:tcPr>
          <w:p w14:paraId="577125A0" w14:textId="77777777" w:rsidR="004D1A12" w:rsidRPr="00181B1F" w:rsidDel="00883165" w:rsidRDefault="004D1A12" w:rsidP="00E94E74">
            <w:pPr>
              <w:pStyle w:val="TableText"/>
              <w:jc w:val="center"/>
              <w:rPr>
                <w:color w:val="0D0D0D" w:themeColor="text1" w:themeTint="F2"/>
                <w:szCs w:val="20"/>
              </w:rPr>
            </w:pPr>
            <w:r w:rsidRPr="00181B1F">
              <w:rPr>
                <w:color w:val="0D0D0D" w:themeColor="text1" w:themeTint="F2"/>
                <w:szCs w:val="20"/>
              </w:rPr>
              <w:t>0.563</w:t>
            </w:r>
          </w:p>
        </w:tc>
        <w:tc>
          <w:tcPr>
            <w:tcW w:w="851" w:type="dxa"/>
            <w:vAlign w:val="bottom"/>
          </w:tcPr>
          <w:p w14:paraId="2ABD4FC1" w14:textId="4BCE885A" w:rsidR="004D1A12" w:rsidRPr="003B0EA5" w:rsidRDefault="00E26C98" w:rsidP="00E94E74">
            <w:pPr>
              <w:pStyle w:val="TableT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86B12" w:rsidRPr="007E7DCE">
              <w:rPr>
                <w:color w:val="0D0D0D" w:themeColor="text1" w:themeTint="F2"/>
                <w:szCs w:val="20"/>
                <w:vertAlign w:val="superscript"/>
              </w:rPr>
              <w:t>2</w:t>
            </w:r>
          </w:p>
        </w:tc>
        <w:tc>
          <w:tcPr>
            <w:tcW w:w="1224" w:type="dxa"/>
            <w:vAlign w:val="bottom"/>
          </w:tcPr>
          <w:p w14:paraId="3BA976C8" w14:textId="0398B780" w:rsidR="004D1A12" w:rsidRPr="00181B1F" w:rsidRDefault="004D1A12"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15"/>
                <w:szCs w:val="20"/>
                <w:shd w:val="solid" w:color="000000" w:fill="000000"/>
                <w:fitText w:val="30" w:id="-893744882"/>
                <w14:textFill>
                  <w14:solidFill>
                    <w14:schemeClr w14:val="tx1">
                      <w14:alpha w14:val="100000"/>
                      <w14:lumMod w14:val="95000"/>
                      <w14:lumOff w14:val="5000"/>
                    </w14:schemeClr>
                  </w14:solidFill>
                </w14:textFill>
              </w:rPr>
              <w:t xml:space="preserve">　</w:t>
            </w:r>
            <w:r w:rsidR="00E26C98" w:rsidRPr="00E26C98">
              <w:rPr>
                <w:color w:val="0D0D0D" w:themeColor="text1" w:themeTint="F2"/>
                <w:w w:val="15"/>
                <w:szCs w:val="20"/>
                <w:shd w:val="solid" w:color="000000" w:fill="000000"/>
                <w:fitText w:val="30" w:id="-893744882"/>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5"/>
                <w:w w:val="15"/>
                <w:szCs w:val="20"/>
                <w:shd w:val="solid" w:color="000000" w:fill="000000"/>
                <w:fitText w:val="30" w:id="-893744882"/>
                <w14:textFill>
                  <w14:solidFill>
                    <w14:schemeClr w14:val="tx1">
                      <w14:alpha w14:val="100000"/>
                      <w14:lumMod w14:val="95000"/>
                      <w14:lumOff w14:val="5000"/>
                    </w14:schemeClr>
                  </w14:solidFill>
                </w14:textFill>
              </w:rPr>
              <w:t xml:space="preserve">　</w:t>
            </w:r>
            <w:r w:rsidRPr="00181B1F">
              <w:rPr>
                <w:color w:val="0D0D0D" w:themeColor="text1" w:themeTint="F2"/>
                <w:szCs w:val="20"/>
              </w:rPr>
              <w:t>%</w:t>
            </w:r>
          </w:p>
        </w:tc>
      </w:tr>
      <w:tr w:rsidR="004D1A12" w:rsidRPr="00181B1F" w14:paraId="1863CEA7" w14:textId="77777777" w:rsidTr="0068086C">
        <w:tc>
          <w:tcPr>
            <w:tcW w:w="4673" w:type="dxa"/>
          </w:tcPr>
          <w:p w14:paraId="5042A99F" w14:textId="77777777" w:rsidR="004D1A12" w:rsidRPr="00DD3BA5" w:rsidRDefault="004D1A12" w:rsidP="00E94E74">
            <w:pPr>
              <w:pStyle w:val="TableText"/>
              <w:rPr>
                <w:bCs/>
                <w:color w:val="0D0D0D" w:themeColor="text1" w:themeTint="F2"/>
                <w:szCs w:val="20"/>
              </w:rPr>
            </w:pPr>
            <w:r w:rsidRPr="00DD3BA5">
              <w:t xml:space="preserve">Include FOLFOX (100%) </w:t>
            </w:r>
          </w:p>
        </w:tc>
        <w:tc>
          <w:tcPr>
            <w:tcW w:w="1134" w:type="dxa"/>
          </w:tcPr>
          <w:p w14:paraId="2872227D" w14:textId="3B2AAE60" w:rsidR="004D1A12" w:rsidRPr="00181B1F" w:rsidRDefault="004D1A12" w:rsidP="00E94E74">
            <w:pPr>
              <w:pStyle w:val="TableText"/>
              <w:jc w:val="center"/>
              <w:rPr>
                <w:color w:val="0D0D0D" w:themeColor="text1" w:themeTint="F2"/>
                <w:szCs w:val="20"/>
              </w:rPr>
            </w:pPr>
            <w:r w:rsidRPr="00181B1F">
              <w:t>$</w:t>
            </w:r>
            <w:r w:rsidR="00E26C98" w:rsidRPr="00E26C98">
              <w:rPr>
                <w:rFonts w:hint="eastAsia"/>
                <w:color w:val="000000"/>
                <w:w w:val="30"/>
                <w:shd w:val="solid" w:color="000000" w:fill="000000"/>
                <w:fitText w:val="135" w:id="-893744640"/>
                <w14:textFill>
                  <w14:solidFill>
                    <w14:srgbClr w14:val="000000">
                      <w14:alpha w14:val="100000"/>
                    </w14:srgbClr>
                  </w14:solidFill>
                </w14:textFill>
              </w:rPr>
              <w:t xml:space="preserve">　</w:t>
            </w:r>
            <w:r w:rsidR="00E26C98" w:rsidRPr="00E26C98">
              <w:rPr>
                <w:color w:val="000000"/>
                <w:w w:val="30"/>
                <w:shd w:val="solid" w:color="000000" w:fill="000000"/>
                <w:fitText w:val="135" w:id="-893744640"/>
                <w14:textFill>
                  <w14:solidFill>
                    <w14:srgbClr w14:val="000000">
                      <w14:alpha w14:val="100000"/>
                    </w14:srgbClr>
                  </w14:solidFill>
                </w14:textFill>
              </w:rPr>
              <w:t>|</w:t>
            </w:r>
            <w:r w:rsidR="00E26C98" w:rsidRPr="00E26C98">
              <w:rPr>
                <w:rFonts w:hint="eastAsia"/>
                <w:color w:val="000000"/>
                <w:spacing w:val="3"/>
                <w:w w:val="30"/>
                <w:shd w:val="solid" w:color="000000" w:fill="000000"/>
                <w:fitText w:val="135" w:id="-893744640"/>
                <w14:textFill>
                  <w14:solidFill>
                    <w14:srgbClr w14:val="000000">
                      <w14:alpha w14:val="100000"/>
                    </w14:srgbClr>
                  </w14:solidFill>
                </w14:textFill>
              </w:rPr>
              <w:t xml:space="preserve">　</w:t>
            </w:r>
          </w:p>
        </w:tc>
        <w:tc>
          <w:tcPr>
            <w:tcW w:w="1134" w:type="dxa"/>
          </w:tcPr>
          <w:p w14:paraId="3DA1D433" w14:textId="77777777" w:rsidR="004D1A12" w:rsidRPr="00181B1F" w:rsidRDefault="004D1A12" w:rsidP="00E94E74">
            <w:pPr>
              <w:pStyle w:val="TableText"/>
              <w:jc w:val="center"/>
              <w:rPr>
                <w:color w:val="0D0D0D" w:themeColor="text1" w:themeTint="F2"/>
                <w:szCs w:val="20"/>
              </w:rPr>
            </w:pPr>
            <w:r w:rsidRPr="00181B1F">
              <w:t>0.469</w:t>
            </w:r>
          </w:p>
        </w:tc>
        <w:tc>
          <w:tcPr>
            <w:tcW w:w="851" w:type="dxa"/>
          </w:tcPr>
          <w:p w14:paraId="04568A9D" w14:textId="5A29253A" w:rsidR="004D1A12" w:rsidRPr="003B0EA5" w:rsidRDefault="00E26C98" w:rsidP="00E94E74">
            <w:pPr>
              <w:pStyle w:val="TableText"/>
              <w:jc w:val="center"/>
              <w:rPr>
                <w:color w:val="0D0D0D" w:themeColor="text1" w:themeTint="F2"/>
                <w:szCs w:val="20"/>
                <w:highlight w:val="lightGray"/>
              </w:rPr>
            </w:pPr>
            <w:r w:rsidRPr="00E26C98">
              <w:rPr>
                <w:color w:val="000000"/>
                <w:shd w:val="solid" w:color="000000" w:fill="000000"/>
                <w14:textFill>
                  <w14:solidFill>
                    <w14:srgbClr w14:val="000000">
                      <w14:alpha w14:val="100000"/>
                    </w14:srgbClr>
                  </w14:solidFill>
                </w14:textFill>
              </w:rPr>
              <w:t>|</w:t>
            </w:r>
            <w:r w:rsidR="00686B12" w:rsidRPr="007E7DCE">
              <w:rPr>
                <w:b/>
                <w:color w:val="0D0D0D" w:themeColor="text1" w:themeTint="F2"/>
                <w:szCs w:val="20"/>
                <w:vertAlign w:val="superscript"/>
              </w:rPr>
              <w:t>1</w:t>
            </w:r>
          </w:p>
        </w:tc>
        <w:tc>
          <w:tcPr>
            <w:tcW w:w="1224" w:type="dxa"/>
          </w:tcPr>
          <w:p w14:paraId="07105399" w14:textId="3821713A" w:rsidR="004D1A12" w:rsidRPr="00181B1F" w:rsidRDefault="00E26C98" w:rsidP="00E94E74">
            <w:pPr>
              <w:pStyle w:val="TableText"/>
              <w:jc w:val="center"/>
              <w:rPr>
                <w:color w:val="0D0D0D" w:themeColor="text1" w:themeTint="F2"/>
                <w:szCs w:val="20"/>
              </w:rPr>
            </w:pPr>
            <w:r w:rsidRPr="00E26C98">
              <w:rPr>
                <w:color w:val="000000"/>
                <w:shd w:val="solid" w:color="000000" w:fill="000000"/>
                <w14:textFill>
                  <w14:solidFill>
                    <w14:srgbClr w14:val="000000">
                      <w14:alpha w14:val="100000"/>
                    </w14:srgbClr>
                  </w14:solidFill>
                </w14:textFill>
              </w:rPr>
              <w:t>|</w:t>
            </w:r>
            <w:r w:rsidR="004D1A12" w:rsidRPr="00181B1F">
              <w:t>%</w:t>
            </w:r>
          </w:p>
        </w:tc>
      </w:tr>
      <w:tr w:rsidR="00A54DB9" w:rsidRPr="00181B1F" w14:paraId="1D451A08" w14:textId="77777777" w:rsidTr="0068086C">
        <w:tc>
          <w:tcPr>
            <w:tcW w:w="9016" w:type="dxa"/>
            <w:gridSpan w:val="5"/>
          </w:tcPr>
          <w:p w14:paraId="47FBADBD" w14:textId="77777777" w:rsidR="00A54DB9" w:rsidRPr="00DD3BA5" w:rsidRDefault="00A54DB9" w:rsidP="00E94E74">
            <w:pPr>
              <w:pStyle w:val="TableText"/>
              <w:rPr>
                <w:b/>
                <w:color w:val="0D0D0D" w:themeColor="text1" w:themeTint="F2"/>
                <w:szCs w:val="20"/>
              </w:rPr>
            </w:pPr>
            <w:r w:rsidRPr="00DD3BA5">
              <w:rPr>
                <w:b/>
                <w:color w:val="0D0D0D" w:themeColor="text1" w:themeTint="F2"/>
                <w:szCs w:val="20"/>
              </w:rPr>
              <w:t>Costs</w:t>
            </w:r>
          </w:p>
        </w:tc>
      </w:tr>
      <w:tr w:rsidR="00A54DB9" w:rsidRPr="00181B1F" w14:paraId="370A8C45" w14:textId="77777777" w:rsidTr="0068086C">
        <w:tc>
          <w:tcPr>
            <w:tcW w:w="4673" w:type="dxa"/>
          </w:tcPr>
          <w:p w14:paraId="7F046DBC" w14:textId="2943BF86" w:rsidR="00A54DB9" w:rsidRPr="00DD3BA5" w:rsidRDefault="00A54DB9" w:rsidP="00E94E74">
            <w:pPr>
              <w:pStyle w:val="TableText"/>
              <w:rPr>
                <w:bCs/>
                <w:color w:val="0D0D0D" w:themeColor="text1" w:themeTint="F2"/>
                <w:szCs w:val="20"/>
              </w:rPr>
            </w:pPr>
            <w:r w:rsidRPr="00DD3BA5">
              <w:rPr>
                <w:bCs/>
                <w:color w:val="0D0D0D" w:themeColor="text1" w:themeTint="F2"/>
                <w:szCs w:val="20"/>
              </w:rPr>
              <w:t>Exclusion of terminal care costs</w:t>
            </w:r>
          </w:p>
        </w:tc>
        <w:tc>
          <w:tcPr>
            <w:tcW w:w="1134" w:type="dxa"/>
            <w:vAlign w:val="bottom"/>
          </w:tcPr>
          <w:p w14:paraId="67F2B46A" w14:textId="3A29E579" w:rsidR="00A54DB9" w:rsidRPr="00181B1F" w:rsidRDefault="00A54DB9" w:rsidP="00E94E74">
            <w:pPr>
              <w:pStyle w:val="TableText"/>
              <w:jc w:val="center"/>
              <w:rPr>
                <w:color w:val="0D0D0D" w:themeColor="text1" w:themeTint="F2"/>
                <w:szCs w:val="20"/>
              </w:rPr>
            </w:pPr>
            <w:r w:rsidRPr="00181B1F">
              <w:rPr>
                <w:color w:val="0D0D0D" w:themeColor="text1" w:themeTint="F2"/>
                <w:szCs w:val="20"/>
              </w:rPr>
              <w:t>$</w:t>
            </w:r>
            <w:r w:rsidR="00E26C98" w:rsidRPr="00E26C98">
              <w:rPr>
                <w:rFonts w:hint="eastAsia"/>
                <w:color w:val="0D0D0D" w:themeColor="text1" w:themeTint="F2"/>
                <w:w w:val="30"/>
                <w:szCs w:val="20"/>
                <w:shd w:val="solid" w:color="000000" w:fill="000000"/>
                <w:fitText w:val="135" w:id="-893744639"/>
                <w14:textFill>
                  <w14:solidFill>
                    <w14:schemeClr w14:val="tx1">
                      <w14:alpha w14:val="100000"/>
                      <w14:lumMod w14:val="95000"/>
                      <w14:lumOff w14:val="5000"/>
                    </w14:schemeClr>
                  </w14:solidFill>
                </w14:textFill>
              </w:rPr>
              <w:t xml:space="preserve">　</w:t>
            </w:r>
            <w:r w:rsidR="00E26C98" w:rsidRPr="00E26C98">
              <w:rPr>
                <w:color w:val="0D0D0D" w:themeColor="text1" w:themeTint="F2"/>
                <w:w w:val="30"/>
                <w:szCs w:val="20"/>
                <w:shd w:val="solid" w:color="000000" w:fill="000000"/>
                <w:fitText w:val="135" w:id="-893744639"/>
                <w14:textFill>
                  <w14:solidFill>
                    <w14:schemeClr w14:val="tx1">
                      <w14:alpha w14:val="100000"/>
                      <w14:lumMod w14:val="95000"/>
                      <w14:lumOff w14:val="5000"/>
                    </w14:schemeClr>
                  </w14:solidFill>
                </w14:textFill>
              </w:rPr>
              <w:t>|</w:t>
            </w:r>
            <w:r w:rsidR="00E26C98" w:rsidRPr="00E26C98">
              <w:rPr>
                <w:rFonts w:hint="eastAsia"/>
                <w:color w:val="0D0D0D" w:themeColor="text1" w:themeTint="F2"/>
                <w:spacing w:val="3"/>
                <w:w w:val="30"/>
                <w:szCs w:val="20"/>
                <w:shd w:val="solid" w:color="000000" w:fill="000000"/>
                <w:fitText w:val="135" w:id="-893744639"/>
                <w14:textFill>
                  <w14:solidFill>
                    <w14:schemeClr w14:val="tx1">
                      <w14:alpha w14:val="100000"/>
                      <w14:lumMod w14:val="95000"/>
                      <w14:lumOff w14:val="5000"/>
                    </w14:schemeClr>
                  </w14:solidFill>
                </w14:textFill>
              </w:rPr>
              <w:t xml:space="preserve">　</w:t>
            </w:r>
          </w:p>
        </w:tc>
        <w:tc>
          <w:tcPr>
            <w:tcW w:w="1134" w:type="dxa"/>
            <w:vAlign w:val="bottom"/>
          </w:tcPr>
          <w:p w14:paraId="65002EBB" w14:textId="77777777" w:rsidR="00A54DB9" w:rsidRPr="00181B1F" w:rsidRDefault="00A54DB9" w:rsidP="00E94E74">
            <w:pPr>
              <w:pStyle w:val="TableText"/>
              <w:jc w:val="center"/>
              <w:rPr>
                <w:color w:val="0D0D0D" w:themeColor="text1" w:themeTint="F2"/>
                <w:szCs w:val="20"/>
              </w:rPr>
            </w:pPr>
            <w:r w:rsidRPr="00181B1F">
              <w:rPr>
                <w:color w:val="0D0D0D" w:themeColor="text1" w:themeTint="F2"/>
                <w:szCs w:val="20"/>
              </w:rPr>
              <w:t>0.560</w:t>
            </w:r>
          </w:p>
        </w:tc>
        <w:tc>
          <w:tcPr>
            <w:tcW w:w="851" w:type="dxa"/>
            <w:vAlign w:val="bottom"/>
          </w:tcPr>
          <w:p w14:paraId="530DAF2C" w14:textId="01479006" w:rsidR="00A54DB9" w:rsidRPr="003B0EA5" w:rsidRDefault="00E26C98" w:rsidP="00E94E74">
            <w:pPr>
              <w:pStyle w:val="TableText"/>
              <w:jc w:val="center"/>
              <w:rPr>
                <w:color w:val="0D0D0D" w:themeColor="text1" w:themeTint="F2"/>
                <w:szCs w:val="20"/>
                <w:highlight w:val="lightGray"/>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686B12" w:rsidRPr="007E7DCE">
              <w:rPr>
                <w:b/>
                <w:color w:val="0D0D0D" w:themeColor="text1" w:themeTint="F2"/>
                <w:szCs w:val="20"/>
                <w:vertAlign w:val="superscript"/>
              </w:rPr>
              <w:t>1</w:t>
            </w:r>
          </w:p>
        </w:tc>
        <w:tc>
          <w:tcPr>
            <w:tcW w:w="1224" w:type="dxa"/>
            <w:vAlign w:val="bottom"/>
          </w:tcPr>
          <w:p w14:paraId="4F0612C2" w14:textId="2DBB5C4C" w:rsidR="00A54DB9" w:rsidRPr="00181B1F" w:rsidRDefault="00E26C98" w:rsidP="00E94E74">
            <w:pPr>
              <w:pStyle w:val="TableText"/>
              <w:jc w:val="center"/>
              <w:rPr>
                <w:color w:val="0D0D0D" w:themeColor="text1" w:themeTint="F2"/>
                <w:szCs w:val="20"/>
              </w:rPr>
            </w:pPr>
            <w:r w:rsidRPr="00E26C98">
              <w:rPr>
                <w:color w:val="0D0D0D" w:themeColor="text1" w:themeTint="F2"/>
                <w:szCs w:val="20"/>
                <w:shd w:val="solid" w:color="000000" w:fill="000000"/>
                <w14:textFill>
                  <w14:solidFill>
                    <w14:schemeClr w14:val="tx1">
                      <w14:alpha w14:val="100000"/>
                      <w14:lumMod w14:val="95000"/>
                      <w14:lumOff w14:val="5000"/>
                    </w14:schemeClr>
                  </w14:solidFill>
                </w14:textFill>
              </w:rPr>
              <w:t>|</w:t>
            </w:r>
            <w:r w:rsidR="00A54DB9" w:rsidRPr="00181B1F">
              <w:rPr>
                <w:color w:val="0D0D0D" w:themeColor="text1" w:themeTint="F2"/>
                <w:szCs w:val="20"/>
              </w:rPr>
              <w:t>%</w:t>
            </w:r>
          </w:p>
        </w:tc>
      </w:tr>
      <w:tr w:rsidR="00A54DB9" w:rsidRPr="00181B1F" w14:paraId="6ECF5369" w14:textId="77777777" w:rsidTr="0068086C">
        <w:tc>
          <w:tcPr>
            <w:tcW w:w="4673" w:type="dxa"/>
          </w:tcPr>
          <w:p w14:paraId="2AB40D35" w14:textId="179A41BD" w:rsidR="00A54DB9" w:rsidRPr="00DD3BA5" w:rsidRDefault="00A54DB9" w:rsidP="00E94E74">
            <w:pPr>
              <w:pStyle w:val="TableText"/>
              <w:rPr>
                <w:bCs/>
                <w:color w:val="0D0D0D" w:themeColor="text1" w:themeTint="F2"/>
                <w:szCs w:val="20"/>
              </w:rPr>
            </w:pPr>
            <w:r w:rsidRPr="00DD3BA5">
              <w:rPr>
                <w:bCs/>
                <w:color w:val="0D0D0D" w:themeColor="text1" w:themeTint="F2"/>
                <w:szCs w:val="20"/>
              </w:rPr>
              <w:t>Using ToT curve (not limited by PFS curve) to model treatment cost for ivosidenib treatment</w:t>
            </w:r>
            <w:r w:rsidR="00C50D8A" w:rsidRPr="00DD3BA5">
              <w:rPr>
                <w:bCs/>
                <w:color w:val="0D0D0D" w:themeColor="text1" w:themeTint="F2"/>
                <w:szCs w:val="20"/>
              </w:rPr>
              <w:t xml:space="preserve"> </w:t>
            </w:r>
            <w:r w:rsidRPr="00DD3BA5">
              <w:rPr>
                <w:bCs/>
                <w:color w:val="0D0D0D" w:themeColor="text1" w:themeTint="F2"/>
                <w:szCs w:val="20"/>
              </w:rPr>
              <w:t>#</w:t>
            </w:r>
            <w:r w:rsidR="00DD3BA5" w:rsidRPr="00DD3BA5">
              <w:rPr>
                <w:bCs/>
                <w:color w:val="0D0D0D" w:themeColor="text1" w:themeTint="F2"/>
                <w:szCs w:val="20"/>
              </w:rPr>
              <w:t>4</w:t>
            </w:r>
            <w:r w:rsidRPr="00DD3BA5">
              <w:rPr>
                <w:bCs/>
                <w:color w:val="0D0D0D" w:themeColor="text1" w:themeTint="F2"/>
                <w:szCs w:val="20"/>
              </w:rPr>
              <w:t xml:space="preserve"> </w:t>
            </w:r>
          </w:p>
        </w:tc>
        <w:tc>
          <w:tcPr>
            <w:tcW w:w="1134" w:type="dxa"/>
            <w:vAlign w:val="center"/>
          </w:tcPr>
          <w:p w14:paraId="586B716F" w14:textId="57A8A6FB" w:rsidR="00A54DB9" w:rsidRPr="00181B1F" w:rsidRDefault="00A54DB9" w:rsidP="00E94E74">
            <w:pPr>
              <w:pStyle w:val="TableText"/>
              <w:jc w:val="center"/>
              <w:rPr>
                <w:color w:val="0D0D0D" w:themeColor="text1" w:themeTint="F2"/>
                <w:szCs w:val="20"/>
              </w:rPr>
            </w:pPr>
            <w:r w:rsidRPr="00181B1F">
              <w:t>$</w:t>
            </w:r>
            <w:r w:rsidR="00E26C98" w:rsidRPr="00E26C98">
              <w:rPr>
                <w:rFonts w:hint="eastAsia"/>
                <w:color w:val="000000"/>
                <w:w w:val="30"/>
                <w:shd w:val="solid" w:color="000000" w:fill="000000"/>
                <w:fitText w:val="135" w:id="-893744638"/>
                <w14:textFill>
                  <w14:solidFill>
                    <w14:srgbClr w14:val="000000">
                      <w14:alpha w14:val="100000"/>
                    </w14:srgbClr>
                  </w14:solidFill>
                </w14:textFill>
              </w:rPr>
              <w:t xml:space="preserve">　</w:t>
            </w:r>
            <w:r w:rsidR="00E26C98" w:rsidRPr="00E26C98">
              <w:rPr>
                <w:color w:val="000000"/>
                <w:w w:val="30"/>
                <w:shd w:val="solid" w:color="000000" w:fill="000000"/>
                <w:fitText w:val="135" w:id="-893744638"/>
                <w14:textFill>
                  <w14:solidFill>
                    <w14:srgbClr w14:val="000000">
                      <w14:alpha w14:val="100000"/>
                    </w14:srgbClr>
                  </w14:solidFill>
                </w14:textFill>
              </w:rPr>
              <w:t>|</w:t>
            </w:r>
            <w:r w:rsidR="00E26C98" w:rsidRPr="00E26C98">
              <w:rPr>
                <w:rFonts w:hint="eastAsia"/>
                <w:color w:val="000000"/>
                <w:spacing w:val="3"/>
                <w:w w:val="30"/>
                <w:shd w:val="solid" w:color="000000" w:fill="000000"/>
                <w:fitText w:val="135" w:id="-893744638"/>
                <w14:textFill>
                  <w14:solidFill>
                    <w14:srgbClr w14:val="000000">
                      <w14:alpha w14:val="100000"/>
                    </w14:srgbClr>
                  </w14:solidFill>
                </w14:textFill>
              </w:rPr>
              <w:t xml:space="preserve">　</w:t>
            </w:r>
          </w:p>
        </w:tc>
        <w:tc>
          <w:tcPr>
            <w:tcW w:w="1134" w:type="dxa"/>
            <w:vAlign w:val="center"/>
          </w:tcPr>
          <w:p w14:paraId="2CEB9E98" w14:textId="77777777" w:rsidR="00A54DB9" w:rsidRPr="00181B1F" w:rsidRDefault="00A54DB9" w:rsidP="00E94E74">
            <w:pPr>
              <w:pStyle w:val="TableText"/>
              <w:jc w:val="center"/>
              <w:rPr>
                <w:color w:val="0D0D0D" w:themeColor="text1" w:themeTint="F2"/>
                <w:szCs w:val="20"/>
              </w:rPr>
            </w:pPr>
            <w:r w:rsidRPr="00181B1F">
              <w:t>0.560</w:t>
            </w:r>
          </w:p>
        </w:tc>
        <w:tc>
          <w:tcPr>
            <w:tcW w:w="851" w:type="dxa"/>
            <w:vAlign w:val="center"/>
          </w:tcPr>
          <w:p w14:paraId="662FFCF1" w14:textId="7973BA9B" w:rsidR="00A54DB9" w:rsidRPr="003B0EA5" w:rsidRDefault="00E26C98" w:rsidP="00E94E74">
            <w:pPr>
              <w:pStyle w:val="TableText"/>
              <w:jc w:val="center"/>
              <w:rPr>
                <w:color w:val="0D0D0D" w:themeColor="text1" w:themeTint="F2"/>
                <w:szCs w:val="20"/>
                <w:highlight w:val="lightGray"/>
              </w:rPr>
            </w:pPr>
            <w:r w:rsidRPr="00E26C98">
              <w:rPr>
                <w:color w:val="000000"/>
                <w:shd w:val="solid" w:color="000000" w:fill="000000"/>
                <w14:textFill>
                  <w14:solidFill>
                    <w14:srgbClr w14:val="000000">
                      <w14:alpha w14:val="100000"/>
                    </w14:srgbClr>
                  </w14:solidFill>
                </w14:textFill>
              </w:rPr>
              <w:t>|</w:t>
            </w:r>
            <w:r w:rsidR="00686B12" w:rsidRPr="007E7DCE">
              <w:rPr>
                <w:b/>
                <w:color w:val="0D0D0D" w:themeColor="text1" w:themeTint="F2"/>
                <w:szCs w:val="20"/>
                <w:vertAlign w:val="superscript"/>
              </w:rPr>
              <w:t>1</w:t>
            </w:r>
          </w:p>
        </w:tc>
        <w:tc>
          <w:tcPr>
            <w:tcW w:w="1224" w:type="dxa"/>
            <w:vAlign w:val="center"/>
          </w:tcPr>
          <w:p w14:paraId="5A078D94" w14:textId="4F77A1F3" w:rsidR="00A54DB9" w:rsidRPr="00181B1F" w:rsidRDefault="00E26C98" w:rsidP="00E94E74">
            <w:pPr>
              <w:pStyle w:val="TableText"/>
              <w:jc w:val="center"/>
              <w:rPr>
                <w:color w:val="0D0D0D" w:themeColor="text1" w:themeTint="F2"/>
                <w:szCs w:val="20"/>
              </w:rPr>
            </w:pPr>
            <w:r w:rsidRPr="00E26C98">
              <w:rPr>
                <w:color w:val="000000"/>
                <w:shd w:val="solid" w:color="000000" w:fill="000000"/>
                <w14:textFill>
                  <w14:solidFill>
                    <w14:srgbClr w14:val="000000">
                      <w14:alpha w14:val="100000"/>
                    </w14:srgbClr>
                  </w14:solidFill>
                </w14:textFill>
              </w:rPr>
              <w:t>|</w:t>
            </w:r>
            <w:r w:rsidR="00A54DB9" w:rsidRPr="00181B1F">
              <w:t>%</w:t>
            </w:r>
          </w:p>
        </w:tc>
      </w:tr>
      <w:tr w:rsidR="00584190" w:rsidRPr="00C30625" w14:paraId="56B7A10F" w14:textId="77777777" w:rsidTr="0068086C">
        <w:trPr>
          <w:trHeight w:val="85"/>
        </w:trPr>
        <w:tc>
          <w:tcPr>
            <w:tcW w:w="4673" w:type="dxa"/>
          </w:tcPr>
          <w:p w14:paraId="033B533E" w14:textId="4BAE79BD" w:rsidR="00584190" w:rsidRPr="00C30625" w:rsidRDefault="00584190" w:rsidP="00E94E74">
            <w:pPr>
              <w:pStyle w:val="TableText"/>
              <w:rPr>
                <w:b/>
                <w:bCs/>
                <w:color w:val="0D0D0D" w:themeColor="text1" w:themeTint="F2"/>
                <w:szCs w:val="20"/>
              </w:rPr>
            </w:pPr>
            <w:r w:rsidRPr="00C30625">
              <w:rPr>
                <w:b/>
                <w:bCs/>
                <w:color w:val="0D0D0D" w:themeColor="text1" w:themeTint="F2"/>
                <w:szCs w:val="20"/>
              </w:rPr>
              <w:t xml:space="preserve">ESC </w:t>
            </w:r>
            <w:r w:rsidR="00AD1051" w:rsidRPr="00C30625">
              <w:rPr>
                <w:b/>
                <w:bCs/>
                <w:color w:val="0D0D0D" w:themeColor="text1" w:themeTint="F2"/>
                <w:szCs w:val="20"/>
              </w:rPr>
              <w:t xml:space="preserve">specified </w:t>
            </w:r>
            <w:r w:rsidR="003746AA" w:rsidRPr="00C30625">
              <w:rPr>
                <w:b/>
                <w:bCs/>
                <w:color w:val="0D0D0D" w:themeColor="text1" w:themeTint="F2"/>
                <w:szCs w:val="20"/>
              </w:rPr>
              <w:t xml:space="preserve">multivariate </w:t>
            </w:r>
            <w:r w:rsidR="00662B8C" w:rsidRPr="00C30625">
              <w:rPr>
                <w:b/>
                <w:bCs/>
                <w:color w:val="0D0D0D" w:themeColor="text1" w:themeTint="F2"/>
                <w:szCs w:val="20"/>
              </w:rPr>
              <w:t>analyses</w:t>
            </w:r>
          </w:p>
        </w:tc>
        <w:tc>
          <w:tcPr>
            <w:tcW w:w="1134" w:type="dxa"/>
          </w:tcPr>
          <w:p w14:paraId="15F525D4" w14:textId="77777777" w:rsidR="00584190" w:rsidRPr="00C30625" w:rsidRDefault="00584190" w:rsidP="00E94E74">
            <w:pPr>
              <w:pStyle w:val="TableText"/>
              <w:jc w:val="center"/>
              <w:rPr>
                <w:b/>
                <w:bCs/>
              </w:rPr>
            </w:pPr>
          </w:p>
        </w:tc>
        <w:tc>
          <w:tcPr>
            <w:tcW w:w="1134" w:type="dxa"/>
          </w:tcPr>
          <w:p w14:paraId="78B8E140" w14:textId="77777777" w:rsidR="00584190" w:rsidRPr="00C30625" w:rsidRDefault="00584190" w:rsidP="00E94E74">
            <w:pPr>
              <w:pStyle w:val="TableText"/>
              <w:jc w:val="center"/>
              <w:rPr>
                <w:b/>
                <w:bCs/>
              </w:rPr>
            </w:pPr>
          </w:p>
        </w:tc>
        <w:tc>
          <w:tcPr>
            <w:tcW w:w="851" w:type="dxa"/>
          </w:tcPr>
          <w:p w14:paraId="67A63DAC" w14:textId="77777777" w:rsidR="00584190" w:rsidRPr="00C30625" w:rsidRDefault="00584190" w:rsidP="00E94E74">
            <w:pPr>
              <w:pStyle w:val="TableText"/>
              <w:jc w:val="center"/>
              <w:rPr>
                <w:b/>
                <w:bCs/>
              </w:rPr>
            </w:pPr>
          </w:p>
        </w:tc>
        <w:tc>
          <w:tcPr>
            <w:tcW w:w="1224" w:type="dxa"/>
          </w:tcPr>
          <w:p w14:paraId="6F98DF33" w14:textId="77777777" w:rsidR="00584190" w:rsidRPr="00C30625" w:rsidRDefault="00584190" w:rsidP="00E94E74">
            <w:pPr>
              <w:pStyle w:val="TableText"/>
              <w:jc w:val="center"/>
              <w:rPr>
                <w:b/>
                <w:bCs/>
              </w:rPr>
            </w:pPr>
          </w:p>
        </w:tc>
      </w:tr>
      <w:tr w:rsidR="00297DDD" w:rsidRPr="00C30625" w14:paraId="3DDEC7E2" w14:textId="77777777" w:rsidTr="0068086C">
        <w:trPr>
          <w:trHeight w:val="85"/>
        </w:trPr>
        <w:tc>
          <w:tcPr>
            <w:tcW w:w="4673" w:type="dxa"/>
          </w:tcPr>
          <w:p w14:paraId="1F69D9A6" w14:textId="64F343E6" w:rsidR="00297DDD" w:rsidRPr="00C30625" w:rsidRDefault="00297DDD" w:rsidP="00E94E74">
            <w:pPr>
              <w:pStyle w:val="TableText"/>
              <w:rPr>
                <w:color w:val="0D0D0D" w:themeColor="text1" w:themeTint="F2"/>
                <w:szCs w:val="20"/>
              </w:rPr>
            </w:pPr>
            <w:r w:rsidRPr="00C30625">
              <w:rPr>
                <w:color w:val="0D0D0D" w:themeColor="text1" w:themeTint="F2"/>
                <w:szCs w:val="20"/>
              </w:rPr>
              <w:t>#</w:t>
            </w:r>
            <w:r w:rsidR="00DD3BA5" w:rsidRPr="00C30625">
              <w:rPr>
                <w:color w:val="0D0D0D" w:themeColor="text1" w:themeTint="F2"/>
                <w:szCs w:val="20"/>
              </w:rPr>
              <w:t>1</w:t>
            </w:r>
            <w:r w:rsidRPr="00C30625">
              <w:rPr>
                <w:color w:val="0D0D0D" w:themeColor="text1" w:themeTint="F2"/>
                <w:szCs w:val="20"/>
              </w:rPr>
              <w:t>, #</w:t>
            </w:r>
            <w:r w:rsidR="00DD3BA5" w:rsidRPr="00C30625">
              <w:rPr>
                <w:color w:val="0D0D0D" w:themeColor="text1" w:themeTint="F2"/>
                <w:szCs w:val="20"/>
              </w:rPr>
              <w:t>2</w:t>
            </w:r>
          </w:p>
        </w:tc>
        <w:tc>
          <w:tcPr>
            <w:tcW w:w="1134" w:type="dxa"/>
            <w:vAlign w:val="bottom"/>
          </w:tcPr>
          <w:p w14:paraId="3ACF69FB" w14:textId="2AEB1439" w:rsidR="00297DDD" w:rsidRPr="00C30625" w:rsidRDefault="00297DDD" w:rsidP="00E94E74">
            <w:pPr>
              <w:pStyle w:val="TableText"/>
              <w:jc w:val="center"/>
            </w:pPr>
            <w:r w:rsidRPr="00C30625">
              <w:rPr>
                <w:szCs w:val="20"/>
              </w:rPr>
              <w:t>$</w:t>
            </w:r>
            <w:r w:rsidR="00E26C98" w:rsidRPr="00E26C98">
              <w:rPr>
                <w:rFonts w:hint="eastAsia"/>
                <w:color w:val="000000"/>
                <w:w w:val="30"/>
                <w:szCs w:val="20"/>
                <w:shd w:val="solid" w:color="000000" w:fill="000000"/>
                <w:fitText w:val="135" w:id="-893744637"/>
                <w14:textFill>
                  <w14:solidFill>
                    <w14:srgbClr w14:val="000000">
                      <w14:alpha w14:val="100000"/>
                    </w14:srgbClr>
                  </w14:solidFill>
                </w14:textFill>
              </w:rPr>
              <w:t xml:space="preserve">　</w:t>
            </w:r>
            <w:r w:rsidR="00E26C98" w:rsidRPr="00E26C98">
              <w:rPr>
                <w:color w:val="000000"/>
                <w:w w:val="30"/>
                <w:szCs w:val="20"/>
                <w:shd w:val="solid" w:color="000000" w:fill="000000"/>
                <w:fitText w:val="135" w:id="-893744637"/>
                <w14:textFill>
                  <w14:solidFill>
                    <w14:srgbClr w14:val="000000">
                      <w14:alpha w14:val="100000"/>
                    </w14:srgbClr>
                  </w14:solidFill>
                </w14:textFill>
              </w:rPr>
              <w:t>|</w:t>
            </w:r>
            <w:r w:rsidR="00E26C98" w:rsidRPr="00E26C98">
              <w:rPr>
                <w:rFonts w:hint="eastAsia"/>
                <w:color w:val="000000"/>
                <w:spacing w:val="3"/>
                <w:w w:val="30"/>
                <w:szCs w:val="20"/>
                <w:shd w:val="solid" w:color="000000" w:fill="000000"/>
                <w:fitText w:val="135" w:id="-893744637"/>
                <w14:textFill>
                  <w14:solidFill>
                    <w14:srgbClr w14:val="000000">
                      <w14:alpha w14:val="100000"/>
                    </w14:srgbClr>
                  </w14:solidFill>
                </w14:textFill>
              </w:rPr>
              <w:t xml:space="preserve">　</w:t>
            </w:r>
          </w:p>
        </w:tc>
        <w:tc>
          <w:tcPr>
            <w:tcW w:w="1134" w:type="dxa"/>
            <w:vAlign w:val="bottom"/>
          </w:tcPr>
          <w:p w14:paraId="42219042" w14:textId="603CE0BD" w:rsidR="00297DDD" w:rsidRPr="00C30625" w:rsidRDefault="00297DDD" w:rsidP="00E94E74">
            <w:pPr>
              <w:pStyle w:val="TableText"/>
              <w:jc w:val="center"/>
            </w:pPr>
            <w:r w:rsidRPr="00C30625">
              <w:rPr>
                <w:szCs w:val="20"/>
              </w:rPr>
              <w:t>0.449</w:t>
            </w:r>
          </w:p>
        </w:tc>
        <w:tc>
          <w:tcPr>
            <w:tcW w:w="851" w:type="dxa"/>
            <w:vAlign w:val="bottom"/>
          </w:tcPr>
          <w:p w14:paraId="1CA81828" w14:textId="5033DB68" w:rsidR="00297DDD" w:rsidRPr="003B0EA5" w:rsidRDefault="00E26C98" w:rsidP="00E94E74">
            <w:pPr>
              <w:pStyle w:val="TableText"/>
              <w:jc w:val="center"/>
              <w:rPr>
                <w:highlight w:val="lightGray"/>
              </w:rPr>
            </w:pPr>
            <w:r w:rsidRPr="00E26C98">
              <w:rPr>
                <w:color w:val="000000"/>
                <w:szCs w:val="20"/>
                <w:shd w:val="solid" w:color="000000" w:fill="000000"/>
                <w14:textFill>
                  <w14:solidFill>
                    <w14:srgbClr w14:val="000000">
                      <w14:alpha w14:val="100000"/>
                    </w14:srgbClr>
                  </w14:solidFill>
                </w14:textFill>
              </w:rPr>
              <w:t>|</w:t>
            </w:r>
            <w:r w:rsidR="00686B12" w:rsidRPr="007E7DCE">
              <w:rPr>
                <w:color w:val="0D0D0D" w:themeColor="text1" w:themeTint="F2"/>
                <w:szCs w:val="20"/>
                <w:vertAlign w:val="superscript"/>
              </w:rPr>
              <w:t>3</w:t>
            </w:r>
          </w:p>
        </w:tc>
        <w:tc>
          <w:tcPr>
            <w:tcW w:w="1224" w:type="dxa"/>
            <w:vAlign w:val="bottom"/>
          </w:tcPr>
          <w:p w14:paraId="77B38ABF" w14:textId="258D7B7A" w:rsidR="00297DDD" w:rsidRPr="00C30625" w:rsidRDefault="00E26C98" w:rsidP="00E94E74">
            <w:pPr>
              <w:pStyle w:val="TableText"/>
              <w:jc w:val="center"/>
            </w:pPr>
            <w:r w:rsidRPr="00E26C98">
              <w:rPr>
                <w:color w:val="000000"/>
                <w:szCs w:val="20"/>
                <w:shd w:val="solid" w:color="000000" w:fill="000000"/>
                <w14:textFill>
                  <w14:solidFill>
                    <w14:srgbClr w14:val="000000">
                      <w14:alpha w14:val="100000"/>
                    </w14:srgbClr>
                  </w14:solidFill>
                </w14:textFill>
              </w:rPr>
              <w:t>|</w:t>
            </w:r>
            <w:r w:rsidR="00297DDD" w:rsidRPr="00C30625">
              <w:rPr>
                <w:szCs w:val="20"/>
              </w:rPr>
              <w:t>%</w:t>
            </w:r>
          </w:p>
        </w:tc>
      </w:tr>
      <w:tr w:rsidR="00AB4746" w:rsidRPr="00C30625" w14:paraId="6301AC90" w14:textId="77777777" w:rsidTr="0068086C">
        <w:trPr>
          <w:trHeight w:val="85"/>
        </w:trPr>
        <w:tc>
          <w:tcPr>
            <w:tcW w:w="4673" w:type="dxa"/>
          </w:tcPr>
          <w:p w14:paraId="01B446EF" w14:textId="03CF1A17" w:rsidR="00AB4746" w:rsidRPr="00C30625" w:rsidRDefault="00AB4746" w:rsidP="00E94E74">
            <w:pPr>
              <w:pStyle w:val="TableText"/>
              <w:rPr>
                <w:color w:val="0D0D0D" w:themeColor="text1" w:themeTint="F2"/>
                <w:szCs w:val="20"/>
              </w:rPr>
            </w:pPr>
            <w:r w:rsidRPr="00C30625">
              <w:rPr>
                <w:color w:val="0D0D0D" w:themeColor="text1" w:themeTint="F2"/>
                <w:szCs w:val="20"/>
              </w:rPr>
              <w:t>#</w:t>
            </w:r>
            <w:r w:rsidR="00DD3BA5" w:rsidRPr="00C30625">
              <w:rPr>
                <w:color w:val="0D0D0D" w:themeColor="text1" w:themeTint="F2"/>
                <w:szCs w:val="20"/>
              </w:rPr>
              <w:t>1</w:t>
            </w:r>
            <w:r w:rsidRPr="00C30625">
              <w:rPr>
                <w:color w:val="0D0D0D" w:themeColor="text1" w:themeTint="F2"/>
                <w:szCs w:val="20"/>
              </w:rPr>
              <w:t>, #</w:t>
            </w:r>
            <w:r w:rsidR="00DD3BA5" w:rsidRPr="00C30625">
              <w:rPr>
                <w:color w:val="0D0D0D" w:themeColor="text1" w:themeTint="F2"/>
                <w:szCs w:val="20"/>
              </w:rPr>
              <w:t>2</w:t>
            </w:r>
            <w:r w:rsidRPr="00C30625">
              <w:rPr>
                <w:color w:val="0D0D0D" w:themeColor="text1" w:themeTint="F2"/>
                <w:szCs w:val="20"/>
              </w:rPr>
              <w:t>, #</w:t>
            </w:r>
            <w:r w:rsidR="00DD3BA5" w:rsidRPr="00C30625">
              <w:rPr>
                <w:color w:val="0D0D0D" w:themeColor="text1" w:themeTint="F2"/>
                <w:szCs w:val="20"/>
              </w:rPr>
              <w:t>3</w:t>
            </w:r>
          </w:p>
        </w:tc>
        <w:tc>
          <w:tcPr>
            <w:tcW w:w="1134" w:type="dxa"/>
            <w:vAlign w:val="bottom"/>
          </w:tcPr>
          <w:p w14:paraId="7C11E363" w14:textId="28648E12" w:rsidR="00AB4746" w:rsidRPr="00C30625" w:rsidRDefault="00AB4746" w:rsidP="00E94E74">
            <w:pPr>
              <w:pStyle w:val="TableText"/>
              <w:jc w:val="center"/>
              <w:rPr>
                <w:szCs w:val="20"/>
              </w:rPr>
            </w:pPr>
            <w:r w:rsidRPr="00C30625">
              <w:rPr>
                <w:szCs w:val="20"/>
              </w:rPr>
              <w:t>$</w:t>
            </w:r>
            <w:r w:rsidR="00E26C98" w:rsidRPr="00E26C98">
              <w:rPr>
                <w:rFonts w:hint="eastAsia"/>
                <w:color w:val="000000"/>
                <w:w w:val="30"/>
                <w:szCs w:val="20"/>
                <w:shd w:val="solid" w:color="000000" w:fill="000000"/>
                <w:fitText w:val="135" w:id="-893744636"/>
                <w14:textFill>
                  <w14:solidFill>
                    <w14:srgbClr w14:val="000000">
                      <w14:alpha w14:val="100000"/>
                    </w14:srgbClr>
                  </w14:solidFill>
                </w14:textFill>
              </w:rPr>
              <w:t xml:space="preserve">　</w:t>
            </w:r>
            <w:r w:rsidR="00E26C98" w:rsidRPr="00E26C98">
              <w:rPr>
                <w:color w:val="000000"/>
                <w:w w:val="30"/>
                <w:szCs w:val="20"/>
                <w:shd w:val="solid" w:color="000000" w:fill="000000"/>
                <w:fitText w:val="135" w:id="-893744636"/>
                <w14:textFill>
                  <w14:solidFill>
                    <w14:srgbClr w14:val="000000">
                      <w14:alpha w14:val="100000"/>
                    </w14:srgbClr>
                  </w14:solidFill>
                </w14:textFill>
              </w:rPr>
              <w:t>|</w:t>
            </w:r>
            <w:r w:rsidR="00E26C98" w:rsidRPr="00E26C98">
              <w:rPr>
                <w:rFonts w:hint="eastAsia"/>
                <w:color w:val="000000"/>
                <w:spacing w:val="3"/>
                <w:w w:val="30"/>
                <w:szCs w:val="20"/>
                <w:shd w:val="solid" w:color="000000" w:fill="000000"/>
                <w:fitText w:val="135" w:id="-893744636"/>
                <w14:textFill>
                  <w14:solidFill>
                    <w14:srgbClr w14:val="000000">
                      <w14:alpha w14:val="100000"/>
                    </w14:srgbClr>
                  </w14:solidFill>
                </w14:textFill>
              </w:rPr>
              <w:t xml:space="preserve">　</w:t>
            </w:r>
          </w:p>
        </w:tc>
        <w:tc>
          <w:tcPr>
            <w:tcW w:w="1134" w:type="dxa"/>
            <w:vAlign w:val="bottom"/>
          </w:tcPr>
          <w:p w14:paraId="554D3F62" w14:textId="0F43C22F" w:rsidR="00AB4746" w:rsidRPr="00C30625" w:rsidRDefault="00AB4746" w:rsidP="00E94E74">
            <w:pPr>
              <w:pStyle w:val="TableText"/>
              <w:jc w:val="center"/>
              <w:rPr>
                <w:szCs w:val="20"/>
              </w:rPr>
            </w:pPr>
            <w:r w:rsidRPr="00C30625">
              <w:rPr>
                <w:szCs w:val="20"/>
              </w:rPr>
              <w:t>0.443</w:t>
            </w:r>
          </w:p>
        </w:tc>
        <w:tc>
          <w:tcPr>
            <w:tcW w:w="851" w:type="dxa"/>
            <w:vAlign w:val="bottom"/>
          </w:tcPr>
          <w:p w14:paraId="0F856B18" w14:textId="0160FA04" w:rsidR="00AB4746" w:rsidRPr="003B0EA5" w:rsidRDefault="00E26C98" w:rsidP="00E94E74">
            <w:pPr>
              <w:pStyle w:val="TableText"/>
              <w:jc w:val="center"/>
              <w:rPr>
                <w:szCs w:val="20"/>
                <w:highlight w:val="lightGray"/>
              </w:rPr>
            </w:pPr>
            <w:r w:rsidRPr="00E26C98">
              <w:rPr>
                <w:color w:val="000000"/>
                <w:szCs w:val="20"/>
                <w:shd w:val="solid" w:color="000000" w:fill="000000"/>
                <w14:textFill>
                  <w14:solidFill>
                    <w14:srgbClr w14:val="000000">
                      <w14:alpha w14:val="100000"/>
                    </w14:srgbClr>
                  </w14:solidFill>
                </w14:textFill>
              </w:rPr>
              <w:t>|</w:t>
            </w:r>
            <w:r w:rsidR="00686B12" w:rsidRPr="007E7DCE">
              <w:rPr>
                <w:color w:val="0D0D0D" w:themeColor="text1" w:themeTint="F2"/>
                <w:szCs w:val="20"/>
                <w:vertAlign w:val="superscript"/>
              </w:rPr>
              <w:t>3</w:t>
            </w:r>
          </w:p>
        </w:tc>
        <w:tc>
          <w:tcPr>
            <w:tcW w:w="1224" w:type="dxa"/>
            <w:vAlign w:val="bottom"/>
          </w:tcPr>
          <w:p w14:paraId="0C6A3F0E" w14:textId="65E44F56" w:rsidR="00AB4746" w:rsidRPr="00C30625" w:rsidRDefault="00E26C98" w:rsidP="00E94E74">
            <w:pPr>
              <w:pStyle w:val="TableText"/>
              <w:jc w:val="center"/>
              <w:rPr>
                <w:szCs w:val="20"/>
              </w:rPr>
            </w:pPr>
            <w:r w:rsidRPr="00E26C98">
              <w:rPr>
                <w:color w:val="000000"/>
                <w:szCs w:val="20"/>
                <w:shd w:val="solid" w:color="000000" w:fill="000000"/>
                <w14:textFill>
                  <w14:solidFill>
                    <w14:srgbClr w14:val="000000">
                      <w14:alpha w14:val="100000"/>
                    </w14:srgbClr>
                  </w14:solidFill>
                </w14:textFill>
              </w:rPr>
              <w:t>|</w:t>
            </w:r>
            <w:r w:rsidR="00AB4746" w:rsidRPr="00C30625">
              <w:rPr>
                <w:szCs w:val="20"/>
              </w:rPr>
              <w:t>%</w:t>
            </w:r>
          </w:p>
        </w:tc>
      </w:tr>
      <w:tr w:rsidR="00FE67AB" w:rsidRPr="00C30625" w14:paraId="514F55AA" w14:textId="77777777" w:rsidTr="0068086C">
        <w:trPr>
          <w:trHeight w:val="85"/>
        </w:trPr>
        <w:tc>
          <w:tcPr>
            <w:tcW w:w="4673" w:type="dxa"/>
          </w:tcPr>
          <w:p w14:paraId="7810F6F3" w14:textId="72200E33" w:rsidR="00FE67AB" w:rsidRPr="00C30625" w:rsidRDefault="00FE67AB" w:rsidP="00E94E74">
            <w:pPr>
              <w:pStyle w:val="TableText"/>
              <w:rPr>
                <w:color w:val="0D0D0D" w:themeColor="text1" w:themeTint="F2"/>
                <w:szCs w:val="20"/>
              </w:rPr>
            </w:pPr>
            <w:r w:rsidRPr="00C30625">
              <w:rPr>
                <w:color w:val="0D0D0D" w:themeColor="text1" w:themeTint="F2"/>
                <w:szCs w:val="20"/>
              </w:rPr>
              <w:t>#</w:t>
            </w:r>
            <w:r w:rsidR="00DD3BA5" w:rsidRPr="00C30625">
              <w:rPr>
                <w:color w:val="0D0D0D" w:themeColor="text1" w:themeTint="F2"/>
                <w:szCs w:val="20"/>
              </w:rPr>
              <w:t>1</w:t>
            </w:r>
            <w:r w:rsidRPr="00C30625">
              <w:rPr>
                <w:color w:val="0D0D0D" w:themeColor="text1" w:themeTint="F2"/>
                <w:szCs w:val="20"/>
              </w:rPr>
              <w:t>, #</w:t>
            </w:r>
            <w:r w:rsidR="00DD3BA5" w:rsidRPr="00C30625">
              <w:rPr>
                <w:color w:val="0D0D0D" w:themeColor="text1" w:themeTint="F2"/>
                <w:szCs w:val="20"/>
              </w:rPr>
              <w:t>2</w:t>
            </w:r>
            <w:r w:rsidRPr="00C30625">
              <w:rPr>
                <w:color w:val="0D0D0D" w:themeColor="text1" w:themeTint="F2"/>
                <w:szCs w:val="20"/>
              </w:rPr>
              <w:t>, #</w:t>
            </w:r>
            <w:r w:rsidR="00DD3BA5" w:rsidRPr="00C30625">
              <w:rPr>
                <w:color w:val="0D0D0D" w:themeColor="text1" w:themeTint="F2"/>
                <w:szCs w:val="20"/>
              </w:rPr>
              <w:t>3</w:t>
            </w:r>
            <w:r w:rsidRPr="00C30625">
              <w:rPr>
                <w:color w:val="0D0D0D" w:themeColor="text1" w:themeTint="F2"/>
                <w:szCs w:val="20"/>
              </w:rPr>
              <w:t>, #</w:t>
            </w:r>
            <w:r w:rsidR="00DD3BA5" w:rsidRPr="00C30625">
              <w:rPr>
                <w:color w:val="0D0D0D" w:themeColor="text1" w:themeTint="F2"/>
                <w:szCs w:val="20"/>
              </w:rPr>
              <w:t>4</w:t>
            </w:r>
          </w:p>
        </w:tc>
        <w:tc>
          <w:tcPr>
            <w:tcW w:w="1134" w:type="dxa"/>
            <w:vAlign w:val="bottom"/>
          </w:tcPr>
          <w:p w14:paraId="3DDEB7B2" w14:textId="23DD3E50" w:rsidR="00FE67AB" w:rsidRPr="00C30625" w:rsidRDefault="00FE67AB" w:rsidP="00E94E74">
            <w:pPr>
              <w:pStyle w:val="TableText"/>
              <w:jc w:val="center"/>
              <w:rPr>
                <w:szCs w:val="20"/>
              </w:rPr>
            </w:pPr>
            <w:r w:rsidRPr="00C30625">
              <w:rPr>
                <w:szCs w:val="20"/>
              </w:rPr>
              <w:t>$</w:t>
            </w:r>
            <w:r w:rsidR="00E26C98" w:rsidRPr="00E26C98">
              <w:rPr>
                <w:rFonts w:hint="eastAsia"/>
                <w:color w:val="000000"/>
                <w:w w:val="30"/>
                <w:szCs w:val="20"/>
                <w:shd w:val="solid" w:color="000000" w:fill="000000"/>
                <w:fitText w:val="135" w:id="-893744635"/>
                <w14:textFill>
                  <w14:solidFill>
                    <w14:srgbClr w14:val="000000">
                      <w14:alpha w14:val="100000"/>
                    </w14:srgbClr>
                  </w14:solidFill>
                </w14:textFill>
              </w:rPr>
              <w:t xml:space="preserve">　</w:t>
            </w:r>
            <w:r w:rsidR="00E26C98" w:rsidRPr="00E26C98">
              <w:rPr>
                <w:color w:val="000000"/>
                <w:w w:val="30"/>
                <w:szCs w:val="20"/>
                <w:shd w:val="solid" w:color="000000" w:fill="000000"/>
                <w:fitText w:val="135" w:id="-893744635"/>
                <w14:textFill>
                  <w14:solidFill>
                    <w14:srgbClr w14:val="000000">
                      <w14:alpha w14:val="100000"/>
                    </w14:srgbClr>
                  </w14:solidFill>
                </w14:textFill>
              </w:rPr>
              <w:t>|</w:t>
            </w:r>
            <w:r w:rsidR="00E26C98" w:rsidRPr="00E26C98">
              <w:rPr>
                <w:rFonts w:hint="eastAsia"/>
                <w:color w:val="000000"/>
                <w:spacing w:val="3"/>
                <w:w w:val="30"/>
                <w:szCs w:val="20"/>
                <w:shd w:val="solid" w:color="000000" w:fill="000000"/>
                <w:fitText w:val="135" w:id="-893744635"/>
                <w14:textFill>
                  <w14:solidFill>
                    <w14:srgbClr w14:val="000000">
                      <w14:alpha w14:val="100000"/>
                    </w14:srgbClr>
                  </w14:solidFill>
                </w14:textFill>
              </w:rPr>
              <w:t xml:space="preserve">　</w:t>
            </w:r>
          </w:p>
        </w:tc>
        <w:tc>
          <w:tcPr>
            <w:tcW w:w="1134" w:type="dxa"/>
            <w:vAlign w:val="bottom"/>
          </w:tcPr>
          <w:p w14:paraId="243A0567" w14:textId="3D8CE9A4" w:rsidR="00FE67AB" w:rsidRPr="00C30625" w:rsidRDefault="00FE67AB" w:rsidP="00E94E74">
            <w:pPr>
              <w:pStyle w:val="TableText"/>
              <w:jc w:val="center"/>
              <w:rPr>
                <w:szCs w:val="20"/>
              </w:rPr>
            </w:pPr>
            <w:r w:rsidRPr="00C30625">
              <w:rPr>
                <w:szCs w:val="20"/>
              </w:rPr>
              <w:t>0.443</w:t>
            </w:r>
          </w:p>
        </w:tc>
        <w:tc>
          <w:tcPr>
            <w:tcW w:w="851" w:type="dxa"/>
            <w:vAlign w:val="bottom"/>
          </w:tcPr>
          <w:p w14:paraId="60EDFCCF" w14:textId="064F0A20" w:rsidR="00FE67AB" w:rsidRPr="003B0EA5" w:rsidRDefault="00E26C98" w:rsidP="00E94E74">
            <w:pPr>
              <w:pStyle w:val="TableText"/>
              <w:jc w:val="center"/>
              <w:rPr>
                <w:szCs w:val="20"/>
                <w:highlight w:val="lightGray"/>
              </w:rPr>
            </w:pPr>
            <w:r w:rsidRPr="00E26C98">
              <w:rPr>
                <w:color w:val="000000"/>
                <w:szCs w:val="20"/>
                <w:shd w:val="solid" w:color="000000" w:fill="000000"/>
                <w14:textFill>
                  <w14:solidFill>
                    <w14:srgbClr w14:val="000000">
                      <w14:alpha w14:val="100000"/>
                    </w14:srgbClr>
                  </w14:solidFill>
                </w14:textFill>
              </w:rPr>
              <w:t>|</w:t>
            </w:r>
            <w:r w:rsidR="00686B12" w:rsidRPr="003B0EA5">
              <w:rPr>
                <w:szCs w:val="20"/>
                <w:vertAlign w:val="superscript"/>
              </w:rPr>
              <w:t>6</w:t>
            </w:r>
          </w:p>
        </w:tc>
        <w:tc>
          <w:tcPr>
            <w:tcW w:w="1224" w:type="dxa"/>
            <w:vAlign w:val="bottom"/>
          </w:tcPr>
          <w:p w14:paraId="25087A7A" w14:textId="4B69B213" w:rsidR="00FE67AB" w:rsidRPr="00C30625" w:rsidRDefault="00E26C98" w:rsidP="00E94E74">
            <w:pPr>
              <w:pStyle w:val="TableText"/>
              <w:jc w:val="center"/>
              <w:rPr>
                <w:szCs w:val="20"/>
              </w:rPr>
            </w:pPr>
            <w:r w:rsidRPr="00E26C98">
              <w:rPr>
                <w:color w:val="000000"/>
                <w:szCs w:val="20"/>
                <w:shd w:val="solid" w:color="000000" w:fill="000000"/>
                <w14:textFill>
                  <w14:solidFill>
                    <w14:srgbClr w14:val="000000">
                      <w14:alpha w14:val="100000"/>
                    </w14:srgbClr>
                  </w14:solidFill>
                </w14:textFill>
              </w:rPr>
              <w:t>|</w:t>
            </w:r>
            <w:r w:rsidR="00FE67AB" w:rsidRPr="00C30625">
              <w:rPr>
                <w:szCs w:val="20"/>
              </w:rPr>
              <w:t>%</w:t>
            </w:r>
          </w:p>
        </w:tc>
      </w:tr>
      <w:tr w:rsidR="00F66EF8" w:rsidRPr="00C30625" w14:paraId="41E66D01" w14:textId="77777777" w:rsidTr="0068086C">
        <w:trPr>
          <w:trHeight w:val="85"/>
        </w:trPr>
        <w:tc>
          <w:tcPr>
            <w:tcW w:w="4673" w:type="dxa"/>
          </w:tcPr>
          <w:p w14:paraId="0F729236" w14:textId="56BD1086" w:rsidR="00F66EF8" w:rsidRPr="00C30625" w:rsidRDefault="00F66EF8" w:rsidP="00E94E74">
            <w:pPr>
              <w:pStyle w:val="TableText"/>
              <w:rPr>
                <w:color w:val="0D0D0D" w:themeColor="text1" w:themeTint="F2"/>
                <w:szCs w:val="20"/>
              </w:rPr>
            </w:pPr>
            <w:r w:rsidRPr="00C30625">
              <w:rPr>
                <w:color w:val="0D0D0D" w:themeColor="text1" w:themeTint="F2"/>
                <w:szCs w:val="20"/>
              </w:rPr>
              <w:t>#</w:t>
            </w:r>
            <w:r w:rsidR="00DD3BA5" w:rsidRPr="00C30625">
              <w:rPr>
                <w:color w:val="0D0D0D" w:themeColor="text1" w:themeTint="F2"/>
                <w:szCs w:val="20"/>
              </w:rPr>
              <w:t>1</w:t>
            </w:r>
            <w:r w:rsidRPr="00C30625">
              <w:rPr>
                <w:color w:val="0D0D0D" w:themeColor="text1" w:themeTint="F2"/>
                <w:szCs w:val="20"/>
              </w:rPr>
              <w:t>, #</w:t>
            </w:r>
            <w:r w:rsidR="00DD3BA5" w:rsidRPr="00C30625">
              <w:rPr>
                <w:color w:val="0D0D0D" w:themeColor="text1" w:themeTint="F2"/>
                <w:szCs w:val="20"/>
              </w:rPr>
              <w:t>2</w:t>
            </w:r>
            <w:r w:rsidRPr="00C30625">
              <w:rPr>
                <w:color w:val="0D0D0D" w:themeColor="text1" w:themeTint="F2"/>
                <w:szCs w:val="20"/>
              </w:rPr>
              <w:t>, #</w:t>
            </w:r>
            <w:r w:rsidR="00DD3BA5" w:rsidRPr="00C30625">
              <w:rPr>
                <w:color w:val="0D0D0D" w:themeColor="text1" w:themeTint="F2"/>
                <w:szCs w:val="20"/>
              </w:rPr>
              <w:t>3</w:t>
            </w:r>
            <w:r w:rsidRPr="00C30625">
              <w:rPr>
                <w:color w:val="0D0D0D" w:themeColor="text1" w:themeTint="F2"/>
                <w:szCs w:val="20"/>
              </w:rPr>
              <w:t>, #</w:t>
            </w:r>
            <w:r w:rsidR="00DD3BA5" w:rsidRPr="00C30625">
              <w:rPr>
                <w:color w:val="0D0D0D" w:themeColor="text1" w:themeTint="F2"/>
                <w:szCs w:val="20"/>
              </w:rPr>
              <w:t>4</w:t>
            </w:r>
            <w:r w:rsidRPr="00C30625">
              <w:rPr>
                <w:color w:val="0D0D0D" w:themeColor="text1" w:themeTint="F2"/>
                <w:szCs w:val="20"/>
              </w:rPr>
              <w:t>, #</w:t>
            </w:r>
            <w:r w:rsidR="00DD3BA5" w:rsidRPr="00C30625">
              <w:rPr>
                <w:color w:val="0D0D0D" w:themeColor="text1" w:themeTint="F2"/>
                <w:szCs w:val="20"/>
              </w:rPr>
              <w:t>5</w:t>
            </w:r>
          </w:p>
        </w:tc>
        <w:tc>
          <w:tcPr>
            <w:tcW w:w="1134" w:type="dxa"/>
            <w:vAlign w:val="bottom"/>
          </w:tcPr>
          <w:p w14:paraId="395FCEBA" w14:textId="4B658A3E" w:rsidR="00F66EF8" w:rsidRPr="00C30625" w:rsidRDefault="00F66EF8" w:rsidP="00E94E74">
            <w:pPr>
              <w:pStyle w:val="TableText"/>
              <w:jc w:val="center"/>
              <w:rPr>
                <w:szCs w:val="20"/>
              </w:rPr>
            </w:pPr>
            <w:r w:rsidRPr="00C30625">
              <w:rPr>
                <w:szCs w:val="20"/>
              </w:rPr>
              <w:t>$</w:t>
            </w:r>
            <w:r w:rsidR="00E26C98" w:rsidRPr="00E26C98">
              <w:rPr>
                <w:rFonts w:hint="eastAsia"/>
                <w:color w:val="000000"/>
                <w:w w:val="30"/>
                <w:szCs w:val="20"/>
                <w:shd w:val="solid" w:color="000000" w:fill="000000"/>
                <w:fitText w:val="135" w:id="-893744634"/>
                <w14:textFill>
                  <w14:solidFill>
                    <w14:srgbClr w14:val="000000">
                      <w14:alpha w14:val="100000"/>
                    </w14:srgbClr>
                  </w14:solidFill>
                </w14:textFill>
              </w:rPr>
              <w:t xml:space="preserve">　</w:t>
            </w:r>
            <w:r w:rsidR="00E26C98" w:rsidRPr="00E26C98">
              <w:rPr>
                <w:color w:val="000000"/>
                <w:w w:val="30"/>
                <w:szCs w:val="20"/>
                <w:shd w:val="solid" w:color="000000" w:fill="000000"/>
                <w:fitText w:val="135" w:id="-893744634"/>
                <w14:textFill>
                  <w14:solidFill>
                    <w14:srgbClr w14:val="000000">
                      <w14:alpha w14:val="100000"/>
                    </w14:srgbClr>
                  </w14:solidFill>
                </w14:textFill>
              </w:rPr>
              <w:t>|</w:t>
            </w:r>
            <w:r w:rsidR="00E26C98" w:rsidRPr="00E26C98">
              <w:rPr>
                <w:rFonts w:hint="eastAsia"/>
                <w:color w:val="000000"/>
                <w:spacing w:val="3"/>
                <w:w w:val="30"/>
                <w:szCs w:val="20"/>
                <w:shd w:val="solid" w:color="000000" w:fill="000000"/>
                <w:fitText w:val="135" w:id="-893744634"/>
                <w14:textFill>
                  <w14:solidFill>
                    <w14:srgbClr w14:val="000000">
                      <w14:alpha w14:val="100000"/>
                    </w14:srgbClr>
                  </w14:solidFill>
                </w14:textFill>
              </w:rPr>
              <w:t xml:space="preserve">　</w:t>
            </w:r>
          </w:p>
        </w:tc>
        <w:tc>
          <w:tcPr>
            <w:tcW w:w="1134" w:type="dxa"/>
            <w:vAlign w:val="bottom"/>
          </w:tcPr>
          <w:p w14:paraId="2B8A7663" w14:textId="05B0A449" w:rsidR="00F66EF8" w:rsidRPr="00C30625" w:rsidRDefault="00F66EF8" w:rsidP="00E94E74">
            <w:pPr>
              <w:pStyle w:val="TableText"/>
              <w:jc w:val="center"/>
              <w:rPr>
                <w:szCs w:val="20"/>
              </w:rPr>
            </w:pPr>
            <w:r w:rsidRPr="00C30625">
              <w:rPr>
                <w:szCs w:val="20"/>
              </w:rPr>
              <w:t>0.396</w:t>
            </w:r>
          </w:p>
        </w:tc>
        <w:tc>
          <w:tcPr>
            <w:tcW w:w="851" w:type="dxa"/>
            <w:vAlign w:val="bottom"/>
          </w:tcPr>
          <w:p w14:paraId="79EC6C02" w14:textId="5A4A3EAD" w:rsidR="00F66EF8" w:rsidRPr="003B0EA5" w:rsidRDefault="00E26C98" w:rsidP="00E94E74">
            <w:pPr>
              <w:pStyle w:val="TableText"/>
              <w:jc w:val="center"/>
              <w:rPr>
                <w:szCs w:val="20"/>
                <w:highlight w:val="lightGray"/>
              </w:rPr>
            </w:pPr>
            <w:r w:rsidRPr="00E26C98">
              <w:rPr>
                <w:color w:val="000000"/>
                <w:szCs w:val="20"/>
                <w:shd w:val="solid" w:color="000000" w:fill="000000"/>
                <w14:textFill>
                  <w14:solidFill>
                    <w14:srgbClr w14:val="000000">
                      <w14:alpha w14:val="100000"/>
                    </w14:srgbClr>
                  </w14:solidFill>
                </w14:textFill>
              </w:rPr>
              <w:t>|</w:t>
            </w:r>
            <w:r w:rsidR="00686B12" w:rsidRPr="007E7DCE">
              <w:rPr>
                <w:szCs w:val="20"/>
                <w:vertAlign w:val="superscript"/>
              </w:rPr>
              <w:t>6</w:t>
            </w:r>
          </w:p>
        </w:tc>
        <w:tc>
          <w:tcPr>
            <w:tcW w:w="1224" w:type="dxa"/>
            <w:vAlign w:val="bottom"/>
          </w:tcPr>
          <w:p w14:paraId="7DF883D5" w14:textId="756A63A5" w:rsidR="00F66EF8" w:rsidRPr="00C30625" w:rsidRDefault="00E26C98" w:rsidP="00E94E74">
            <w:pPr>
              <w:pStyle w:val="TableText"/>
              <w:jc w:val="center"/>
              <w:rPr>
                <w:szCs w:val="20"/>
              </w:rPr>
            </w:pPr>
            <w:r w:rsidRPr="00E26C98">
              <w:rPr>
                <w:color w:val="000000"/>
                <w:szCs w:val="20"/>
                <w:shd w:val="solid" w:color="000000" w:fill="000000"/>
                <w14:textFill>
                  <w14:solidFill>
                    <w14:srgbClr w14:val="000000">
                      <w14:alpha w14:val="100000"/>
                    </w14:srgbClr>
                  </w14:solidFill>
                </w14:textFill>
              </w:rPr>
              <w:t>|</w:t>
            </w:r>
            <w:r w:rsidR="00F66EF8" w:rsidRPr="00C30625">
              <w:rPr>
                <w:szCs w:val="20"/>
              </w:rPr>
              <w:t>%</w:t>
            </w:r>
          </w:p>
        </w:tc>
      </w:tr>
    </w:tbl>
    <w:bookmarkEnd w:id="69"/>
    <w:p w14:paraId="6BA42E1B" w14:textId="543C5D69" w:rsidR="004D1A12" w:rsidRPr="003E7195" w:rsidRDefault="004D1A12" w:rsidP="0068086C">
      <w:pPr>
        <w:pStyle w:val="TableFigureFooter"/>
        <w:spacing w:after="0"/>
        <w:jc w:val="both"/>
        <w:rPr>
          <w:color w:val="0D0D0D" w:themeColor="text1" w:themeTint="F2"/>
        </w:rPr>
      </w:pPr>
      <w:r w:rsidRPr="001C5869">
        <w:rPr>
          <w:rFonts w:eastAsia="Calibri"/>
          <w:color w:val="0D0D0D" w:themeColor="text1" w:themeTint="F2"/>
          <w:szCs w:val="20"/>
        </w:rPr>
        <w:t xml:space="preserve">Source: tabulated during the </w:t>
      </w:r>
      <w:r w:rsidR="00DC5CF3">
        <w:rPr>
          <w:rFonts w:eastAsia="Calibri"/>
          <w:color w:val="0D0D0D" w:themeColor="text1" w:themeTint="F2"/>
          <w:szCs w:val="20"/>
        </w:rPr>
        <w:t>commentary</w:t>
      </w:r>
      <w:r w:rsidRPr="001C5869">
        <w:rPr>
          <w:rFonts w:eastAsia="Calibri"/>
          <w:color w:val="0D0D0D" w:themeColor="text1" w:themeTint="F2"/>
          <w:szCs w:val="20"/>
        </w:rPr>
        <w:t xml:space="preserve"> </w:t>
      </w:r>
      <w:r w:rsidR="001861AD" w:rsidRPr="001C5869">
        <w:rPr>
          <w:rFonts w:eastAsia="Calibri"/>
          <w:color w:val="0D0D0D" w:themeColor="text1" w:themeTint="F2"/>
          <w:szCs w:val="20"/>
        </w:rPr>
        <w:t xml:space="preserve">and for ESC advice </w:t>
      </w:r>
      <w:r w:rsidRPr="001C5869">
        <w:rPr>
          <w:rFonts w:eastAsia="Calibri"/>
          <w:color w:val="0D0D0D" w:themeColor="text1" w:themeTint="F2"/>
          <w:szCs w:val="20"/>
        </w:rPr>
        <w:t xml:space="preserve">from table 3-27, of the submission and the </w:t>
      </w:r>
      <w:r w:rsidRPr="001C5869">
        <w:rPr>
          <w:color w:val="0D0D0D" w:themeColor="text1" w:themeTint="F2"/>
        </w:rPr>
        <w:t>“3.1_Ivosidenib cost-</w:t>
      </w:r>
      <w:r w:rsidRPr="00181B1F">
        <w:rPr>
          <w:color w:val="0D0D0D" w:themeColor="text1" w:themeTint="F2"/>
        </w:rPr>
        <w:t>effectiveness model”</w:t>
      </w:r>
      <w:r w:rsidRPr="003E7195">
        <w:rPr>
          <w:color w:val="0D0D0D" w:themeColor="text1" w:themeTint="F2"/>
        </w:rPr>
        <w:t xml:space="preserve"> Workbook provided in the submission.</w:t>
      </w:r>
    </w:p>
    <w:p w14:paraId="16939ADB" w14:textId="2F09F5A2" w:rsidR="004D1A12" w:rsidRDefault="004D1A12" w:rsidP="0068086C">
      <w:pPr>
        <w:tabs>
          <w:tab w:val="left" w:pos="284"/>
        </w:tabs>
        <w:spacing w:before="0" w:after="0"/>
        <w:rPr>
          <w:rFonts w:ascii="Arial Narrow" w:eastAsia="Calibri" w:hAnsi="Arial Narrow" w:cs="Arial"/>
          <w:snapToGrid w:val="0"/>
          <w:color w:val="0D0D0D" w:themeColor="text1" w:themeTint="F2"/>
          <w:sz w:val="18"/>
          <w:szCs w:val="20"/>
          <w:lang w:eastAsia="en-AU"/>
        </w:rPr>
      </w:pPr>
      <w:r w:rsidRPr="003E7195">
        <w:rPr>
          <w:rFonts w:ascii="Arial Narrow" w:eastAsia="Calibri" w:hAnsi="Arial Narrow" w:cs="Arial"/>
          <w:snapToGrid w:val="0"/>
          <w:color w:val="0D0D0D" w:themeColor="text1" w:themeTint="F2"/>
          <w:sz w:val="18"/>
          <w:szCs w:val="20"/>
          <w:lang w:eastAsia="en-AU"/>
        </w:rPr>
        <w:t xml:space="preserve">BSC = best supportive care; ICER = incremental cost-effectiveness ratio; </w:t>
      </w:r>
      <w:r w:rsidR="008A29AE" w:rsidRPr="008A29AE">
        <w:rPr>
          <w:rFonts w:ascii="Arial Narrow" w:eastAsia="Calibri" w:hAnsi="Arial Narrow" w:cs="Arial"/>
          <w:snapToGrid w:val="0"/>
          <w:color w:val="0D0D0D" w:themeColor="text1" w:themeTint="F2"/>
          <w:sz w:val="18"/>
          <w:szCs w:val="20"/>
          <w:lang w:eastAsia="en-AU"/>
        </w:rPr>
        <w:t xml:space="preserve">IPCW = inverse probability of censoring weights; </w:t>
      </w:r>
      <w:r w:rsidRPr="003E7195">
        <w:rPr>
          <w:rFonts w:ascii="Arial Narrow" w:eastAsia="Calibri" w:hAnsi="Arial Narrow" w:cs="Arial"/>
          <w:snapToGrid w:val="0"/>
          <w:color w:val="0D0D0D" w:themeColor="text1" w:themeTint="F2"/>
          <w:sz w:val="18"/>
          <w:szCs w:val="20"/>
          <w:lang w:eastAsia="en-AU"/>
        </w:rPr>
        <w:t>KM = Kaplan-Meier; OS = overall survival; PD = progressed disease; PF = progression-free; QALY = quality-adjusted life year</w:t>
      </w:r>
      <w:r w:rsidR="008A29AE">
        <w:rPr>
          <w:rFonts w:ascii="Arial Narrow" w:eastAsia="Calibri" w:hAnsi="Arial Narrow" w:cs="Arial"/>
          <w:snapToGrid w:val="0"/>
          <w:color w:val="0D0D0D" w:themeColor="text1" w:themeTint="F2"/>
          <w:sz w:val="18"/>
          <w:szCs w:val="20"/>
          <w:lang w:eastAsia="en-AU"/>
        </w:rPr>
        <w:t>; RPSFT = rank-preserving structural failure time; ToT = time on treatment</w:t>
      </w:r>
      <w:r w:rsidRPr="003E7195">
        <w:rPr>
          <w:rFonts w:ascii="Arial Narrow" w:eastAsia="Calibri" w:hAnsi="Arial Narrow" w:cs="Arial"/>
          <w:snapToGrid w:val="0"/>
          <w:color w:val="0D0D0D" w:themeColor="text1" w:themeTint="F2"/>
          <w:sz w:val="18"/>
          <w:szCs w:val="20"/>
          <w:lang w:eastAsia="en-AU"/>
        </w:rPr>
        <w:t>.</w:t>
      </w:r>
    </w:p>
    <w:p w14:paraId="056C18F1" w14:textId="77777777" w:rsidR="00C07C84" w:rsidRDefault="00766415" w:rsidP="0068086C">
      <w:pPr>
        <w:tabs>
          <w:tab w:val="left" w:pos="284"/>
        </w:tabs>
        <w:spacing w:before="0" w:after="0"/>
        <w:rPr>
          <w:rFonts w:ascii="Arial Narrow" w:eastAsia="Calibri" w:hAnsi="Arial Narrow" w:cs="Arial"/>
          <w:snapToGrid w:val="0"/>
          <w:color w:val="0D0D0D" w:themeColor="text1" w:themeTint="F2"/>
          <w:sz w:val="18"/>
          <w:szCs w:val="20"/>
          <w:lang w:eastAsia="en-AU"/>
        </w:rPr>
      </w:pPr>
      <w:r>
        <w:rPr>
          <w:rFonts w:ascii="Arial Narrow" w:eastAsia="Calibri" w:hAnsi="Arial Narrow" w:cs="Arial"/>
          <w:snapToGrid w:val="0"/>
          <w:color w:val="0D0D0D" w:themeColor="text1" w:themeTint="F2"/>
          <w:sz w:val="18"/>
          <w:szCs w:val="20"/>
          <w:vertAlign w:val="superscript"/>
          <w:lang w:eastAsia="en-AU"/>
        </w:rPr>
        <w:t xml:space="preserve">a </w:t>
      </w:r>
      <w:r>
        <w:rPr>
          <w:rFonts w:ascii="Arial Narrow" w:eastAsia="Calibri" w:hAnsi="Arial Narrow" w:cs="Arial"/>
          <w:snapToGrid w:val="0"/>
          <w:color w:val="0D0D0D" w:themeColor="text1" w:themeTint="F2"/>
          <w:sz w:val="18"/>
          <w:szCs w:val="20"/>
          <w:lang w:eastAsia="en-AU"/>
        </w:rPr>
        <w:t xml:space="preserve">Trial-based OS for BSC was used; but cost associated with ivosidenib treatment after crossover was not included in the analysis. The result, therefore, is difficult to interpret. </w:t>
      </w:r>
    </w:p>
    <w:p w14:paraId="522963DC" w14:textId="37EEF841" w:rsidR="007B3555" w:rsidRPr="00C30625" w:rsidRDefault="00B536E1" w:rsidP="0068086C">
      <w:pPr>
        <w:tabs>
          <w:tab w:val="left" w:pos="284"/>
        </w:tabs>
        <w:spacing w:before="0" w:after="0"/>
        <w:rPr>
          <w:rFonts w:ascii="Arial Narrow" w:eastAsia="Calibri" w:hAnsi="Arial Narrow" w:cs="Arial"/>
          <w:snapToGrid w:val="0"/>
          <w:color w:val="0D0D0D" w:themeColor="text1" w:themeTint="F2"/>
          <w:sz w:val="18"/>
          <w:szCs w:val="20"/>
          <w:lang w:eastAsia="en-AU"/>
        </w:rPr>
      </w:pPr>
      <w:r w:rsidRPr="00C30625">
        <w:rPr>
          <w:rFonts w:ascii="Arial Narrow" w:eastAsia="Calibri" w:hAnsi="Arial Narrow" w:cs="Arial"/>
          <w:snapToGrid w:val="0"/>
          <w:color w:val="0D0D0D" w:themeColor="text1" w:themeTint="F2"/>
          <w:sz w:val="18"/>
          <w:szCs w:val="20"/>
          <w:vertAlign w:val="superscript"/>
          <w:lang w:eastAsia="en-AU"/>
        </w:rPr>
        <w:t>b</w:t>
      </w:r>
      <w:r w:rsidRPr="00C30625">
        <w:rPr>
          <w:rFonts w:ascii="Arial Narrow" w:eastAsia="Calibri" w:hAnsi="Arial Narrow" w:cs="Arial"/>
          <w:snapToGrid w:val="0"/>
          <w:color w:val="0D0D0D" w:themeColor="text1" w:themeTint="F2"/>
          <w:sz w:val="18"/>
          <w:szCs w:val="20"/>
          <w:lang w:eastAsia="en-AU"/>
        </w:rPr>
        <w:t xml:space="preserve"> </w:t>
      </w:r>
      <w:r w:rsidR="00F5785E" w:rsidRPr="00C30625">
        <w:rPr>
          <w:rFonts w:ascii="Arial Narrow" w:eastAsia="Calibri" w:hAnsi="Arial Narrow" w:cs="Arial"/>
          <w:snapToGrid w:val="0"/>
          <w:color w:val="0D0D0D" w:themeColor="text1" w:themeTint="F2"/>
          <w:sz w:val="18"/>
          <w:szCs w:val="20"/>
          <w:lang w:eastAsia="en-AU"/>
        </w:rPr>
        <w:t xml:space="preserve">While the base case </w:t>
      </w:r>
      <w:r w:rsidR="00442E59" w:rsidRPr="00C30625">
        <w:rPr>
          <w:rFonts w:ascii="Arial Narrow" w:eastAsia="Calibri" w:hAnsi="Arial Narrow" w:cs="Arial"/>
          <w:snapToGrid w:val="0"/>
          <w:color w:val="0D0D0D" w:themeColor="text1" w:themeTint="F2"/>
          <w:sz w:val="18"/>
          <w:szCs w:val="20"/>
          <w:lang w:eastAsia="en-AU"/>
        </w:rPr>
        <w:t>uses the trial-based survival curves for both treatment arms (with extrapolations) t</w:t>
      </w:r>
      <w:r w:rsidR="00743BE7" w:rsidRPr="00C30625">
        <w:rPr>
          <w:rFonts w:ascii="Arial Narrow" w:eastAsia="Calibri" w:hAnsi="Arial Narrow" w:cs="Arial"/>
          <w:snapToGrid w:val="0"/>
          <w:color w:val="0D0D0D" w:themeColor="text1" w:themeTint="F2"/>
          <w:sz w:val="18"/>
          <w:szCs w:val="20"/>
          <w:lang w:eastAsia="en-AU"/>
        </w:rPr>
        <w:t xml:space="preserve">hese analyses </w:t>
      </w:r>
      <w:r w:rsidR="00717955" w:rsidRPr="00C30625">
        <w:rPr>
          <w:rFonts w:ascii="Arial Narrow" w:eastAsia="Calibri" w:hAnsi="Arial Narrow" w:cs="Arial"/>
          <w:snapToGrid w:val="0"/>
          <w:color w:val="0D0D0D" w:themeColor="text1" w:themeTint="F2"/>
          <w:sz w:val="18"/>
          <w:szCs w:val="20"/>
          <w:lang w:eastAsia="en-AU"/>
        </w:rPr>
        <w:t xml:space="preserve">estimate the survival for the comparator by applying </w:t>
      </w:r>
      <w:r w:rsidR="00FF19C1" w:rsidRPr="00C30625">
        <w:rPr>
          <w:rFonts w:ascii="Arial Narrow" w:eastAsia="Calibri" w:hAnsi="Arial Narrow" w:cs="Arial"/>
          <w:snapToGrid w:val="0"/>
          <w:color w:val="0D0D0D" w:themeColor="text1" w:themeTint="F2"/>
          <w:sz w:val="18"/>
          <w:szCs w:val="20"/>
          <w:lang w:eastAsia="en-AU"/>
        </w:rPr>
        <w:t xml:space="preserve">a </w:t>
      </w:r>
      <w:r w:rsidR="00717955" w:rsidRPr="00C30625">
        <w:rPr>
          <w:rFonts w:ascii="Arial Narrow" w:eastAsia="Calibri" w:hAnsi="Arial Narrow" w:cs="Arial"/>
          <w:snapToGrid w:val="0"/>
          <w:color w:val="0D0D0D" w:themeColor="text1" w:themeTint="F2"/>
          <w:sz w:val="18"/>
          <w:szCs w:val="20"/>
          <w:lang w:eastAsia="en-AU"/>
        </w:rPr>
        <w:t xml:space="preserve">HR </w:t>
      </w:r>
      <w:r w:rsidR="00601BDC" w:rsidRPr="00C30625">
        <w:rPr>
          <w:rFonts w:ascii="Arial Narrow" w:eastAsia="Calibri" w:hAnsi="Arial Narrow" w:cs="Arial"/>
          <w:snapToGrid w:val="0"/>
          <w:color w:val="0D0D0D" w:themeColor="text1" w:themeTint="F2"/>
          <w:sz w:val="18"/>
          <w:szCs w:val="20"/>
          <w:lang w:eastAsia="en-AU"/>
        </w:rPr>
        <w:t xml:space="preserve">to the </w:t>
      </w:r>
      <w:r w:rsidR="0012417D" w:rsidRPr="00C30625">
        <w:rPr>
          <w:rFonts w:ascii="Arial Narrow" w:eastAsia="Calibri" w:hAnsi="Arial Narrow" w:cs="Arial"/>
          <w:snapToGrid w:val="0"/>
          <w:color w:val="0D0D0D" w:themeColor="text1" w:themeTint="F2"/>
          <w:sz w:val="18"/>
          <w:szCs w:val="20"/>
          <w:lang w:eastAsia="en-AU"/>
        </w:rPr>
        <w:t>survival curve for ivosidenib</w:t>
      </w:r>
      <w:r w:rsidR="00440D57" w:rsidRPr="00C30625">
        <w:rPr>
          <w:rFonts w:ascii="Arial Narrow" w:eastAsia="Calibri" w:hAnsi="Arial Narrow" w:cs="Arial"/>
          <w:snapToGrid w:val="0"/>
          <w:color w:val="0D0D0D" w:themeColor="text1" w:themeTint="F2"/>
          <w:sz w:val="18"/>
          <w:szCs w:val="20"/>
          <w:lang w:eastAsia="en-AU"/>
        </w:rPr>
        <w:t xml:space="preserve"> (assuming proportional hazards)</w:t>
      </w:r>
      <w:r w:rsidR="0012417D" w:rsidRPr="00C30625">
        <w:rPr>
          <w:rFonts w:ascii="Arial Narrow" w:eastAsia="Calibri" w:hAnsi="Arial Narrow" w:cs="Arial"/>
          <w:snapToGrid w:val="0"/>
          <w:color w:val="0D0D0D" w:themeColor="text1" w:themeTint="F2"/>
          <w:sz w:val="18"/>
          <w:szCs w:val="20"/>
          <w:lang w:eastAsia="en-AU"/>
        </w:rPr>
        <w:t>.</w:t>
      </w:r>
      <w:r w:rsidR="00FD1D54" w:rsidRPr="00C30625">
        <w:rPr>
          <w:rFonts w:ascii="Arial Narrow" w:eastAsia="Calibri" w:hAnsi="Arial Narrow" w:cs="Arial"/>
          <w:snapToGrid w:val="0"/>
          <w:color w:val="0D0D0D" w:themeColor="text1" w:themeTint="F2"/>
          <w:sz w:val="18"/>
          <w:szCs w:val="20"/>
          <w:lang w:eastAsia="en-AU"/>
        </w:rPr>
        <w:t xml:space="preserve"> Use of the </w:t>
      </w:r>
      <w:r w:rsidR="00284D06" w:rsidRPr="00C30625">
        <w:rPr>
          <w:rFonts w:ascii="Arial Narrow" w:eastAsia="Calibri" w:hAnsi="Arial Narrow" w:cs="Arial"/>
          <w:snapToGrid w:val="0"/>
          <w:color w:val="0D0D0D" w:themeColor="text1" w:themeTint="F2"/>
          <w:sz w:val="18"/>
          <w:szCs w:val="20"/>
          <w:lang w:eastAsia="en-AU"/>
        </w:rPr>
        <w:t>RPSFT</w:t>
      </w:r>
      <w:r w:rsidR="00EE35E8" w:rsidRPr="00C30625">
        <w:rPr>
          <w:rFonts w:ascii="Arial Narrow" w:eastAsia="Calibri" w:hAnsi="Arial Narrow" w:cs="Arial"/>
          <w:snapToGrid w:val="0"/>
          <w:color w:val="0D0D0D" w:themeColor="text1" w:themeTint="F2"/>
          <w:sz w:val="18"/>
          <w:szCs w:val="20"/>
          <w:lang w:eastAsia="en-AU"/>
        </w:rPr>
        <w:t xml:space="preserve"> (</w:t>
      </w:r>
      <w:r w:rsidR="00F03602" w:rsidRPr="00C30625">
        <w:rPr>
          <w:rFonts w:ascii="Arial Narrow" w:eastAsia="Calibri" w:hAnsi="Arial Narrow" w:cs="Arial"/>
          <w:snapToGrid w:val="0"/>
          <w:color w:val="0D0D0D" w:themeColor="text1" w:themeTint="F2"/>
          <w:sz w:val="18"/>
          <w:szCs w:val="20"/>
          <w:lang w:eastAsia="en-AU"/>
        </w:rPr>
        <w:t xml:space="preserve">treatment group + no re-censoring) would be expected to increase the ICER slightly because the HR for </w:t>
      </w:r>
      <w:r w:rsidR="00FB717B" w:rsidRPr="00C30625">
        <w:rPr>
          <w:rFonts w:ascii="Arial Narrow" w:eastAsia="Calibri" w:hAnsi="Arial Narrow" w:cs="Arial"/>
          <w:snapToGrid w:val="0"/>
          <w:color w:val="0D0D0D" w:themeColor="text1" w:themeTint="F2"/>
          <w:sz w:val="18"/>
          <w:szCs w:val="20"/>
          <w:lang w:eastAsia="en-AU"/>
        </w:rPr>
        <w:t xml:space="preserve">IVO vs PBO is higher. </w:t>
      </w:r>
      <w:r w:rsidR="006F18B6" w:rsidRPr="00C30625">
        <w:rPr>
          <w:rFonts w:ascii="Arial Narrow" w:eastAsia="Calibri" w:hAnsi="Arial Narrow" w:cs="Arial"/>
          <w:snapToGrid w:val="0"/>
          <w:color w:val="0D0D0D" w:themeColor="text1" w:themeTint="F2"/>
          <w:sz w:val="18"/>
          <w:szCs w:val="20"/>
          <w:lang w:eastAsia="en-AU"/>
        </w:rPr>
        <w:t xml:space="preserve">Use of the RPSFT (on treatment + re-censoring) would not be expected impact the ICER because the HR for IVO vs PBO is the same as </w:t>
      </w:r>
      <w:r w:rsidR="00B760B8" w:rsidRPr="00C30625">
        <w:rPr>
          <w:rFonts w:ascii="Arial Narrow" w:eastAsia="Calibri" w:hAnsi="Arial Narrow" w:cs="Arial"/>
          <w:snapToGrid w:val="0"/>
          <w:color w:val="0D0D0D" w:themeColor="text1" w:themeTint="F2"/>
          <w:sz w:val="18"/>
          <w:szCs w:val="20"/>
          <w:lang w:eastAsia="en-AU"/>
        </w:rPr>
        <w:t xml:space="preserve">in </w:t>
      </w:r>
      <w:r w:rsidR="006F18B6" w:rsidRPr="00C30625">
        <w:rPr>
          <w:rFonts w:ascii="Arial Narrow" w:eastAsia="Calibri" w:hAnsi="Arial Narrow" w:cs="Arial"/>
          <w:snapToGrid w:val="0"/>
          <w:color w:val="0D0D0D" w:themeColor="text1" w:themeTint="F2"/>
          <w:sz w:val="18"/>
          <w:szCs w:val="20"/>
          <w:lang w:eastAsia="en-AU"/>
        </w:rPr>
        <w:t>the base case</w:t>
      </w:r>
      <w:r w:rsidR="00C9153B" w:rsidRPr="00C30625">
        <w:rPr>
          <w:rFonts w:ascii="Arial Narrow" w:eastAsia="Calibri" w:hAnsi="Arial Narrow" w:cs="Arial"/>
          <w:snapToGrid w:val="0"/>
          <w:color w:val="0D0D0D" w:themeColor="text1" w:themeTint="F2"/>
          <w:sz w:val="18"/>
          <w:szCs w:val="20"/>
          <w:lang w:eastAsia="en-AU"/>
        </w:rPr>
        <w:t>.</w:t>
      </w:r>
    </w:p>
    <w:p w14:paraId="2E1C09D7" w14:textId="50ECE47A" w:rsidR="009F300D" w:rsidRDefault="007B3555" w:rsidP="0068086C">
      <w:pPr>
        <w:tabs>
          <w:tab w:val="left" w:pos="284"/>
        </w:tabs>
        <w:spacing w:before="0" w:after="0"/>
        <w:rPr>
          <w:rFonts w:ascii="Arial Narrow" w:eastAsia="Calibri" w:hAnsi="Arial Narrow" w:cs="Arial"/>
          <w:snapToGrid w:val="0"/>
          <w:color w:val="0D0D0D" w:themeColor="text1" w:themeTint="F2"/>
          <w:sz w:val="18"/>
          <w:szCs w:val="20"/>
          <w:lang w:eastAsia="en-AU"/>
        </w:rPr>
      </w:pPr>
      <w:r w:rsidRPr="00C30625">
        <w:rPr>
          <w:rFonts w:ascii="Arial Narrow" w:eastAsia="Calibri" w:hAnsi="Arial Narrow" w:cs="Arial"/>
          <w:snapToGrid w:val="0"/>
          <w:color w:val="0D0D0D" w:themeColor="text1" w:themeTint="F2"/>
          <w:sz w:val="18"/>
          <w:szCs w:val="20"/>
          <w:vertAlign w:val="superscript"/>
          <w:lang w:eastAsia="en-AU"/>
        </w:rPr>
        <w:t>c</w:t>
      </w:r>
      <w:r w:rsidRPr="00C30625">
        <w:rPr>
          <w:rFonts w:ascii="Arial Narrow" w:eastAsia="Calibri" w:hAnsi="Arial Narrow" w:cs="Arial"/>
          <w:snapToGrid w:val="0"/>
          <w:color w:val="0D0D0D" w:themeColor="text1" w:themeTint="F2"/>
          <w:sz w:val="18"/>
          <w:szCs w:val="20"/>
          <w:lang w:eastAsia="en-AU"/>
        </w:rPr>
        <w:t xml:space="preserve"> </w:t>
      </w:r>
      <w:r w:rsidR="000D7724" w:rsidRPr="00C30625">
        <w:rPr>
          <w:rFonts w:ascii="Arial Narrow" w:eastAsia="Calibri" w:hAnsi="Arial Narrow" w:cs="Arial"/>
          <w:snapToGrid w:val="0"/>
          <w:color w:val="0D0D0D" w:themeColor="text1" w:themeTint="F2"/>
          <w:sz w:val="18"/>
          <w:szCs w:val="20"/>
          <w:lang w:eastAsia="en-AU"/>
        </w:rPr>
        <w:t xml:space="preserve">The </w:t>
      </w:r>
      <w:r w:rsidR="00DC5CF3">
        <w:rPr>
          <w:rFonts w:ascii="Arial Narrow" w:eastAsia="Calibri" w:hAnsi="Arial Narrow" w:cs="Arial"/>
          <w:snapToGrid w:val="0"/>
          <w:color w:val="0D0D0D" w:themeColor="text1" w:themeTint="F2"/>
          <w:sz w:val="18"/>
          <w:szCs w:val="20"/>
          <w:lang w:eastAsia="en-AU"/>
        </w:rPr>
        <w:t>commentary</w:t>
      </w:r>
      <w:r w:rsidR="000D7724" w:rsidRPr="00C30625">
        <w:rPr>
          <w:rFonts w:ascii="Arial Narrow" w:eastAsia="Calibri" w:hAnsi="Arial Narrow" w:cs="Arial"/>
          <w:snapToGrid w:val="0"/>
          <w:color w:val="0D0D0D" w:themeColor="text1" w:themeTint="F2"/>
          <w:sz w:val="18"/>
          <w:szCs w:val="20"/>
          <w:lang w:eastAsia="en-AU"/>
        </w:rPr>
        <w:t xml:space="preserve"> corrected </w:t>
      </w:r>
      <w:r w:rsidR="00B536E1" w:rsidRPr="00C30625">
        <w:rPr>
          <w:rFonts w:ascii="Arial Narrow" w:eastAsia="Calibri" w:hAnsi="Arial Narrow" w:cs="Arial"/>
          <w:snapToGrid w:val="0"/>
          <w:color w:val="0D0D0D" w:themeColor="text1" w:themeTint="F2"/>
          <w:sz w:val="18"/>
          <w:szCs w:val="20"/>
          <w:lang w:eastAsia="en-AU"/>
        </w:rPr>
        <w:t xml:space="preserve">FOLFOX costs from </w:t>
      </w:r>
      <w:r w:rsidR="007A6A93" w:rsidRPr="00C30625">
        <w:rPr>
          <w:rFonts w:ascii="Arial Narrow" w:eastAsia="Calibri" w:hAnsi="Arial Narrow" w:cs="Arial"/>
          <w:snapToGrid w:val="0"/>
          <w:color w:val="0D0D0D" w:themeColor="text1" w:themeTint="F2"/>
          <w:sz w:val="18"/>
          <w:szCs w:val="20"/>
          <w:lang w:eastAsia="en-AU"/>
        </w:rPr>
        <w:t>$</w:t>
      </w:r>
      <w:r w:rsidR="00E26C98" w:rsidRPr="00E26C98">
        <w:rPr>
          <w:rFonts w:ascii="Arial Narrow" w:eastAsia="Calibri" w:hAnsi="Arial Narrow" w:cs="Arial"/>
          <w:snapToGrid w:val="0"/>
          <w:color w:val="0D0D0D" w:themeColor="text1" w:themeTint="F2"/>
          <w:spacing w:val="208"/>
          <w:sz w:val="18"/>
          <w:szCs w:val="20"/>
          <w:shd w:val="solid" w:color="000000" w:fill="000000"/>
          <w:fitText w:val="285" w:id="-893744633"/>
          <w:lang w:eastAsia="en-AU"/>
          <w14:textFill>
            <w14:solidFill>
              <w14:schemeClr w14:val="tx1">
                <w14:alpha w14:val="100000"/>
                <w14:lumMod w14:val="95000"/>
                <w14:lumOff w14:val="5000"/>
              </w14:schemeClr>
            </w14:solidFill>
          </w14:textFill>
        </w:rPr>
        <w:t>|</w:t>
      </w:r>
      <w:r w:rsidR="00E26C98" w:rsidRPr="00E26C98">
        <w:rPr>
          <w:rFonts w:ascii="Arial Narrow" w:eastAsia="Calibri" w:hAnsi="Arial Narrow" w:cs="Arial"/>
          <w:snapToGrid w:val="0"/>
          <w:color w:val="0D0D0D" w:themeColor="text1" w:themeTint="F2"/>
          <w:spacing w:val="1"/>
          <w:sz w:val="18"/>
          <w:szCs w:val="20"/>
          <w:shd w:val="solid" w:color="000000" w:fill="000000"/>
          <w:fitText w:val="285" w:id="-893744633"/>
          <w:lang w:eastAsia="en-AU"/>
          <w14:textFill>
            <w14:solidFill>
              <w14:schemeClr w14:val="tx1">
                <w14:alpha w14:val="100000"/>
                <w14:lumMod w14:val="95000"/>
                <w14:lumOff w14:val="5000"/>
              </w14:schemeClr>
            </w14:solidFill>
          </w14:textFill>
        </w:rPr>
        <w:t>|</w:t>
      </w:r>
      <w:r w:rsidR="007A6A93" w:rsidRPr="00C30625">
        <w:rPr>
          <w:rFonts w:ascii="Arial Narrow" w:eastAsia="Calibri" w:hAnsi="Arial Narrow" w:cs="Arial"/>
          <w:snapToGrid w:val="0"/>
          <w:color w:val="0D0D0D" w:themeColor="text1" w:themeTint="F2"/>
          <w:sz w:val="18"/>
          <w:szCs w:val="20"/>
          <w:lang w:eastAsia="en-AU"/>
        </w:rPr>
        <w:t>per week to $</w:t>
      </w:r>
      <w:r w:rsidR="00E26C98" w:rsidRPr="00E26C98">
        <w:rPr>
          <w:rFonts w:ascii="Arial Narrow" w:eastAsia="Calibri" w:hAnsi="Arial Narrow" w:cs="Arial"/>
          <w:snapToGrid w:val="0"/>
          <w:color w:val="0D0D0D" w:themeColor="text1" w:themeTint="F2"/>
          <w:spacing w:val="208"/>
          <w:sz w:val="18"/>
          <w:szCs w:val="20"/>
          <w:shd w:val="solid" w:color="000000" w:fill="000000"/>
          <w:fitText w:val="285" w:id="-893744632"/>
          <w:lang w:eastAsia="en-AU"/>
          <w14:textFill>
            <w14:solidFill>
              <w14:schemeClr w14:val="tx1">
                <w14:alpha w14:val="100000"/>
                <w14:lumMod w14:val="95000"/>
                <w14:lumOff w14:val="5000"/>
              </w14:schemeClr>
            </w14:solidFill>
          </w14:textFill>
        </w:rPr>
        <w:t>|</w:t>
      </w:r>
      <w:r w:rsidR="00E26C98" w:rsidRPr="00E26C98">
        <w:rPr>
          <w:rFonts w:ascii="Arial Narrow" w:eastAsia="Calibri" w:hAnsi="Arial Narrow" w:cs="Arial"/>
          <w:snapToGrid w:val="0"/>
          <w:color w:val="0D0D0D" w:themeColor="text1" w:themeTint="F2"/>
          <w:spacing w:val="1"/>
          <w:sz w:val="18"/>
          <w:szCs w:val="20"/>
          <w:shd w:val="solid" w:color="000000" w:fill="000000"/>
          <w:fitText w:val="285" w:id="-893744632"/>
          <w:lang w:eastAsia="en-AU"/>
          <w14:textFill>
            <w14:solidFill>
              <w14:schemeClr w14:val="tx1">
                <w14:alpha w14:val="100000"/>
                <w14:lumMod w14:val="95000"/>
                <w14:lumOff w14:val="5000"/>
              </w14:schemeClr>
            </w14:solidFill>
          </w14:textFill>
        </w:rPr>
        <w:t>|</w:t>
      </w:r>
      <w:r w:rsidR="007A6A93" w:rsidRPr="00C30625">
        <w:rPr>
          <w:rFonts w:ascii="Arial Narrow" w:eastAsia="Calibri" w:hAnsi="Arial Narrow" w:cs="Arial"/>
          <w:snapToGrid w:val="0"/>
          <w:color w:val="0D0D0D" w:themeColor="text1" w:themeTint="F2"/>
          <w:sz w:val="18"/>
          <w:szCs w:val="20"/>
          <w:lang w:eastAsia="en-AU"/>
        </w:rPr>
        <w:t xml:space="preserve"> per week</w:t>
      </w:r>
      <w:r w:rsidR="000D7724" w:rsidRPr="00C30625">
        <w:rPr>
          <w:rFonts w:ascii="Arial Narrow" w:eastAsia="Calibri" w:hAnsi="Arial Narrow" w:cs="Arial"/>
          <w:snapToGrid w:val="0"/>
          <w:color w:val="0D0D0D" w:themeColor="text1" w:themeTint="F2"/>
          <w:sz w:val="18"/>
          <w:szCs w:val="20"/>
          <w:lang w:eastAsia="en-AU"/>
        </w:rPr>
        <w:t>.</w:t>
      </w:r>
      <w:r w:rsidR="007A6A93" w:rsidRPr="00C30625">
        <w:rPr>
          <w:rFonts w:ascii="Arial Narrow" w:eastAsia="Calibri" w:hAnsi="Arial Narrow" w:cs="Arial"/>
          <w:snapToGrid w:val="0"/>
          <w:color w:val="0D0D0D" w:themeColor="text1" w:themeTint="F2"/>
          <w:sz w:val="18"/>
          <w:szCs w:val="20"/>
          <w:lang w:eastAsia="en-AU"/>
        </w:rPr>
        <w:t xml:space="preserve"> </w:t>
      </w:r>
      <w:r w:rsidR="00C70918" w:rsidRPr="00C30625">
        <w:rPr>
          <w:rFonts w:ascii="Arial Narrow" w:eastAsia="Calibri" w:hAnsi="Arial Narrow" w:cs="Arial"/>
          <w:snapToGrid w:val="0"/>
          <w:color w:val="0D0D0D" w:themeColor="text1" w:themeTint="F2"/>
          <w:sz w:val="18"/>
          <w:szCs w:val="20"/>
          <w:lang w:eastAsia="en-AU"/>
        </w:rPr>
        <w:t xml:space="preserve">While the base case uses the trial-based survival curves for both treatment arms (with extrapolations) analyses </w:t>
      </w:r>
      <w:r w:rsidR="00C576C7" w:rsidRPr="00C30625">
        <w:rPr>
          <w:rFonts w:ascii="Arial Narrow" w:eastAsia="Calibri" w:hAnsi="Arial Narrow" w:cs="Arial"/>
          <w:snapToGrid w:val="0"/>
          <w:color w:val="0D0D0D" w:themeColor="text1" w:themeTint="F2"/>
          <w:sz w:val="18"/>
          <w:szCs w:val="20"/>
          <w:lang w:eastAsia="en-AU"/>
        </w:rPr>
        <w:t xml:space="preserve">including FOLFOX </w:t>
      </w:r>
      <w:r w:rsidR="00C70918" w:rsidRPr="00C30625">
        <w:rPr>
          <w:rFonts w:ascii="Arial Narrow" w:eastAsia="Calibri" w:hAnsi="Arial Narrow" w:cs="Arial"/>
          <w:snapToGrid w:val="0"/>
          <w:color w:val="0D0D0D" w:themeColor="text1" w:themeTint="F2"/>
          <w:sz w:val="18"/>
          <w:szCs w:val="20"/>
          <w:lang w:eastAsia="en-AU"/>
        </w:rPr>
        <w:t xml:space="preserve">estimate the survival for the comparator by applying </w:t>
      </w:r>
      <w:r w:rsidR="00FF19C1" w:rsidRPr="00C30625">
        <w:rPr>
          <w:rFonts w:ascii="Arial Narrow" w:eastAsia="Calibri" w:hAnsi="Arial Narrow" w:cs="Arial"/>
          <w:snapToGrid w:val="0"/>
          <w:color w:val="0D0D0D" w:themeColor="text1" w:themeTint="F2"/>
          <w:sz w:val="18"/>
          <w:szCs w:val="20"/>
          <w:lang w:eastAsia="en-AU"/>
        </w:rPr>
        <w:t xml:space="preserve">a </w:t>
      </w:r>
      <w:r w:rsidR="00C70918" w:rsidRPr="00C30625">
        <w:rPr>
          <w:rFonts w:ascii="Arial Narrow" w:eastAsia="Calibri" w:hAnsi="Arial Narrow" w:cs="Arial"/>
          <w:snapToGrid w:val="0"/>
          <w:color w:val="0D0D0D" w:themeColor="text1" w:themeTint="F2"/>
          <w:sz w:val="18"/>
          <w:szCs w:val="20"/>
          <w:lang w:eastAsia="en-AU"/>
        </w:rPr>
        <w:t>HR</w:t>
      </w:r>
      <w:r w:rsidR="00FF19C1" w:rsidRPr="00C30625">
        <w:rPr>
          <w:rFonts w:ascii="Arial Narrow" w:eastAsia="Calibri" w:hAnsi="Arial Narrow" w:cs="Arial"/>
          <w:snapToGrid w:val="0"/>
          <w:color w:val="0D0D0D" w:themeColor="text1" w:themeTint="F2"/>
          <w:sz w:val="18"/>
          <w:szCs w:val="20"/>
          <w:lang w:eastAsia="en-AU"/>
        </w:rPr>
        <w:t xml:space="preserve"> (weighted</w:t>
      </w:r>
      <w:r w:rsidR="00C71952" w:rsidRPr="00C30625">
        <w:rPr>
          <w:rFonts w:ascii="Arial Narrow" w:eastAsia="Calibri" w:hAnsi="Arial Narrow" w:cs="Arial"/>
          <w:snapToGrid w:val="0"/>
          <w:color w:val="0D0D0D" w:themeColor="text1" w:themeTint="F2"/>
          <w:sz w:val="18"/>
          <w:szCs w:val="20"/>
          <w:lang w:eastAsia="en-AU"/>
        </w:rPr>
        <w:t xml:space="preserve"> by use of BSC vs FOLFOX)</w:t>
      </w:r>
      <w:r w:rsidR="00C70918" w:rsidRPr="00C30625">
        <w:rPr>
          <w:rFonts w:ascii="Arial Narrow" w:eastAsia="Calibri" w:hAnsi="Arial Narrow" w:cs="Arial"/>
          <w:snapToGrid w:val="0"/>
          <w:color w:val="0D0D0D" w:themeColor="text1" w:themeTint="F2"/>
          <w:sz w:val="18"/>
          <w:szCs w:val="20"/>
          <w:lang w:eastAsia="en-AU"/>
        </w:rPr>
        <w:t xml:space="preserve"> to the survival curve for ivosidenib (assuming proportional hazards). </w:t>
      </w:r>
    </w:p>
    <w:p w14:paraId="171BCCD4" w14:textId="764E278E" w:rsidR="00766415" w:rsidRDefault="009F300D" w:rsidP="0068086C">
      <w:pPr>
        <w:tabs>
          <w:tab w:val="left" w:pos="284"/>
        </w:tabs>
        <w:spacing w:before="0" w:after="0"/>
        <w:rPr>
          <w:rFonts w:ascii="Arial Narrow" w:eastAsia="Calibri" w:hAnsi="Arial Narrow" w:cs="Arial"/>
          <w:snapToGrid w:val="0"/>
          <w:color w:val="0D0D0D" w:themeColor="text1" w:themeTint="F2"/>
          <w:sz w:val="18"/>
          <w:szCs w:val="20"/>
          <w:lang w:eastAsia="en-AU"/>
        </w:rPr>
      </w:pPr>
      <w:r w:rsidRPr="009F300D">
        <w:rPr>
          <w:rFonts w:ascii="Arial Narrow" w:eastAsia="Calibri" w:hAnsi="Arial Narrow" w:cs="Arial"/>
          <w:snapToGrid w:val="0"/>
          <w:color w:val="0D0D0D" w:themeColor="text1" w:themeTint="F2"/>
          <w:sz w:val="18"/>
          <w:szCs w:val="20"/>
          <w:vertAlign w:val="superscript"/>
          <w:lang w:eastAsia="en-AU"/>
        </w:rPr>
        <w:t xml:space="preserve">d </w:t>
      </w:r>
      <w:r w:rsidR="00766415" w:rsidRPr="009F300D">
        <w:rPr>
          <w:rFonts w:ascii="Arial Narrow" w:eastAsia="Calibri" w:hAnsi="Arial Narrow" w:cs="Arial"/>
          <w:snapToGrid w:val="0"/>
          <w:color w:val="0D0D0D" w:themeColor="text1" w:themeTint="F2"/>
          <w:sz w:val="18"/>
          <w:szCs w:val="20"/>
          <w:vertAlign w:val="superscript"/>
          <w:lang w:eastAsia="en-AU"/>
        </w:rPr>
        <w:t xml:space="preserve"> </w:t>
      </w:r>
      <w:r w:rsidRPr="009F300D">
        <w:rPr>
          <w:rFonts w:ascii="Arial Narrow" w:eastAsia="Calibri" w:hAnsi="Arial Narrow" w:cs="Arial"/>
          <w:snapToGrid w:val="0"/>
          <w:color w:val="0D0D0D" w:themeColor="text1" w:themeTint="F2"/>
          <w:sz w:val="18"/>
          <w:szCs w:val="20"/>
          <w:lang w:eastAsia="en-AU"/>
        </w:rPr>
        <w:t>Value corrected</w:t>
      </w:r>
      <w:r>
        <w:rPr>
          <w:rFonts w:ascii="Arial Narrow" w:eastAsia="Calibri" w:hAnsi="Arial Narrow" w:cs="Arial"/>
          <w:snapToGrid w:val="0"/>
          <w:color w:val="0D0D0D" w:themeColor="text1" w:themeTint="F2"/>
          <w:sz w:val="18"/>
          <w:szCs w:val="20"/>
          <w:lang w:eastAsia="en-AU"/>
        </w:rPr>
        <w:t xml:space="preserve"> from ESC advice</w:t>
      </w:r>
    </w:p>
    <w:p w14:paraId="063AE672" w14:textId="77777777" w:rsidR="00660942" w:rsidRPr="003B0EA5" w:rsidRDefault="00660942" w:rsidP="0068086C">
      <w:pPr>
        <w:tabs>
          <w:tab w:val="left" w:pos="284"/>
        </w:tabs>
        <w:spacing w:before="0" w:after="0"/>
        <w:rPr>
          <w:rFonts w:ascii="Arial Narrow" w:eastAsia="Calibri" w:hAnsi="Arial Narrow" w:cs="Arial"/>
          <w:i/>
          <w:iCs/>
          <w:snapToGrid w:val="0"/>
          <w:color w:val="0D0D0D" w:themeColor="text1" w:themeTint="F2"/>
          <w:sz w:val="18"/>
          <w:szCs w:val="20"/>
          <w:lang w:eastAsia="en-AU"/>
        </w:rPr>
      </w:pPr>
      <w:r w:rsidRPr="003B0EA5">
        <w:rPr>
          <w:rFonts w:ascii="Arial Narrow" w:eastAsia="Calibri" w:hAnsi="Arial Narrow" w:cs="Arial"/>
          <w:i/>
          <w:iCs/>
          <w:snapToGrid w:val="0"/>
          <w:color w:val="0D0D0D" w:themeColor="text1" w:themeTint="F2"/>
          <w:sz w:val="18"/>
          <w:szCs w:val="20"/>
          <w:lang w:eastAsia="en-AU"/>
        </w:rPr>
        <w:t>The redacted values correspond to the following ranges:</w:t>
      </w:r>
    </w:p>
    <w:p w14:paraId="1CA748A8" w14:textId="77777777" w:rsidR="00660942" w:rsidRPr="003B0EA5" w:rsidRDefault="00660942" w:rsidP="0068086C">
      <w:pPr>
        <w:tabs>
          <w:tab w:val="left" w:pos="284"/>
        </w:tabs>
        <w:spacing w:before="0" w:after="0"/>
        <w:rPr>
          <w:rFonts w:ascii="Arial Narrow" w:eastAsia="Calibri" w:hAnsi="Arial Narrow" w:cs="Arial"/>
          <w:i/>
          <w:iCs/>
          <w:snapToGrid w:val="0"/>
          <w:color w:val="0D0D0D" w:themeColor="text1" w:themeTint="F2"/>
          <w:sz w:val="18"/>
          <w:szCs w:val="20"/>
          <w:lang w:eastAsia="en-AU"/>
        </w:rPr>
      </w:pPr>
      <w:r w:rsidRPr="003B0EA5">
        <w:rPr>
          <w:rFonts w:ascii="Arial Narrow" w:eastAsia="Calibri" w:hAnsi="Arial Narrow" w:cs="Arial"/>
          <w:i/>
          <w:iCs/>
          <w:snapToGrid w:val="0"/>
          <w:color w:val="0D0D0D" w:themeColor="text1" w:themeTint="F2"/>
          <w:sz w:val="18"/>
          <w:szCs w:val="20"/>
          <w:lang w:eastAsia="en-AU"/>
        </w:rPr>
        <w:t xml:space="preserve">1 $95,000 to &lt; $115,000 </w:t>
      </w:r>
    </w:p>
    <w:p w14:paraId="589B1312" w14:textId="77777777" w:rsidR="00660942" w:rsidRPr="003B0EA5" w:rsidRDefault="00660942" w:rsidP="0068086C">
      <w:pPr>
        <w:tabs>
          <w:tab w:val="left" w:pos="284"/>
        </w:tabs>
        <w:spacing w:before="0" w:after="0"/>
        <w:rPr>
          <w:rFonts w:ascii="Arial Narrow" w:eastAsia="Calibri" w:hAnsi="Arial Narrow" w:cs="Arial"/>
          <w:i/>
          <w:iCs/>
          <w:snapToGrid w:val="0"/>
          <w:color w:val="0D0D0D" w:themeColor="text1" w:themeTint="F2"/>
          <w:sz w:val="18"/>
          <w:szCs w:val="20"/>
          <w:lang w:eastAsia="en-AU"/>
        </w:rPr>
      </w:pPr>
      <w:r w:rsidRPr="003B0EA5">
        <w:rPr>
          <w:rFonts w:ascii="Arial Narrow" w:eastAsia="Calibri" w:hAnsi="Arial Narrow" w:cs="Arial"/>
          <w:i/>
          <w:iCs/>
          <w:snapToGrid w:val="0"/>
          <w:color w:val="0D0D0D" w:themeColor="text1" w:themeTint="F2"/>
          <w:sz w:val="18"/>
          <w:szCs w:val="20"/>
          <w:lang w:eastAsia="en-AU"/>
        </w:rPr>
        <w:t>2 $75,000 to &lt; $95,000</w:t>
      </w:r>
    </w:p>
    <w:p w14:paraId="2D699E8D" w14:textId="1AE149FB" w:rsidR="00660942" w:rsidRPr="003B0EA5" w:rsidRDefault="00686B12" w:rsidP="0068086C">
      <w:pPr>
        <w:tabs>
          <w:tab w:val="left" w:pos="284"/>
        </w:tabs>
        <w:spacing w:before="0" w:after="0"/>
        <w:rPr>
          <w:rFonts w:ascii="Arial Narrow" w:eastAsia="Calibri" w:hAnsi="Arial Narrow" w:cs="Arial"/>
          <w:i/>
          <w:iCs/>
          <w:snapToGrid w:val="0"/>
          <w:color w:val="0D0D0D" w:themeColor="text1" w:themeTint="F2"/>
          <w:sz w:val="18"/>
          <w:szCs w:val="20"/>
          <w:lang w:eastAsia="en-AU"/>
        </w:rPr>
      </w:pPr>
      <w:r w:rsidRPr="003B0EA5">
        <w:rPr>
          <w:rFonts w:ascii="Arial Narrow" w:eastAsia="Calibri" w:hAnsi="Arial Narrow" w:cs="Arial"/>
          <w:i/>
          <w:iCs/>
          <w:snapToGrid w:val="0"/>
          <w:color w:val="0D0D0D" w:themeColor="text1" w:themeTint="F2"/>
          <w:sz w:val="18"/>
          <w:szCs w:val="20"/>
          <w:lang w:eastAsia="en-AU"/>
        </w:rPr>
        <w:t xml:space="preserve">3 </w:t>
      </w:r>
      <w:r w:rsidR="00660942" w:rsidRPr="003B0EA5">
        <w:rPr>
          <w:rFonts w:ascii="Arial Narrow" w:eastAsia="Calibri" w:hAnsi="Arial Narrow" w:cs="Arial"/>
          <w:i/>
          <w:iCs/>
          <w:snapToGrid w:val="0"/>
          <w:color w:val="0D0D0D" w:themeColor="text1" w:themeTint="F2"/>
          <w:sz w:val="18"/>
          <w:szCs w:val="20"/>
          <w:lang w:eastAsia="en-AU"/>
        </w:rPr>
        <w:t>$115,000 to &lt; $135,000</w:t>
      </w:r>
    </w:p>
    <w:p w14:paraId="224ED1AF" w14:textId="33FC1B8F" w:rsidR="00686B12" w:rsidRPr="003B0EA5" w:rsidRDefault="00686B12" w:rsidP="0068086C">
      <w:pPr>
        <w:tabs>
          <w:tab w:val="left" w:pos="284"/>
        </w:tabs>
        <w:spacing w:before="0" w:after="0"/>
        <w:rPr>
          <w:rFonts w:ascii="Arial Narrow" w:eastAsia="Calibri" w:hAnsi="Arial Narrow" w:cs="Arial"/>
          <w:i/>
          <w:iCs/>
          <w:snapToGrid w:val="0"/>
          <w:color w:val="0D0D0D" w:themeColor="text1" w:themeTint="F2"/>
          <w:sz w:val="18"/>
          <w:szCs w:val="20"/>
          <w:lang w:eastAsia="en-AU"/>
        </w:rPr>
      </w:pPr>
      <w:r w:rsidRPr="003B0EA5">
        <w:rPr>
          <w:rFonts w:ascii="Arial Narrow" w:eastAsia="Calibri" w:hAnsi="Arial Narrow" w:cs="Arial"/>
          <w:i/>
          <w:iCs/>
          <w:snapToGrid w:val="0"/>
          <w:color w:val="0D0D0D" w:themeColor="text1" w:themeTint="F2"/>
          <w:sz w:val="18"/>
          <w:szCs w:val="20"/>
          <w:lang w:eastAsia="en-AU"/>
        </w:rPr>
        <w:t>4 $255,000 to &lt; $355,000</w:t>
      </w:r>
    </w:p>
    <w:p w14:paraId="14195305" w14:textId="30FC4A36" w:rsidR="00686B12" w:rsidRPr="003B0EA5" w:rsidRDefault="00686B12" w:rsidP="0068086C">
      <w:pPr>
        <w:tabs>
          <w:tab w:val="left" w:pos="284"/>
        </w:tabs>
        <w:spacing w:before="0" w:after="0"/>
        <w:rPr>
          <w:rFonts w:ascii="Arial Narrow" w:eastAsia="Calibri" w:hAnsi="Arial Narrow" w:cs="Arial"/>
          <w:i/>
          <w:iCs/>
          <w:snapToGrid w:val="0"/>
          <w:color w:val="0D0D0D" w:themeColor="text1" w:themeTint="F2"/>
          <w:sz w:val="18"/>
          <w:szCs w:val="20"/>
          <w:lang w:eastAsia="en-AU"/>
        </w:rPr>
      </w:pPr>
      <w:r w:rsidRPr="003B0EA5">
        <w:rPr>
          <w:rFonts w:ascii="Arial Narrow" w:eastAsia="Calibri" w:hAnsi="Arial Narrow" w:cs="Arial"/>
          <w:i/>
          <w:iCs/>
          <w:snapToGrid w:val="0"/>
          <w:color w:val="0D0D0D" w:themeColor="text1" w:themeTint="F2"/>
          <w:sz w:val="18"/>
          <w:szCs w:val="20"/>
          <w:lang w:eastAsia="en-AU"/>
        </w:rPr>
        <w:t>5 $155,000 to &lt; $255,000</w:t>
      </w:r>
    </w:p>
    <w:p w14:paraId="7FD0F317" w14:textId="2FC768D9" w:rsidR="0068086C" w:rsidRPr="003B0EA5" w:rsidRDefault="00686B12" w:rsidP="0068086C">
      <w:pPr>
        <w:tabs>
          <w:tab w:val="left" w:pos="284"/>
        </w:tabs>
        <w:spacing w:before="0" w:after="120"/>
        <w:rPr>
          <w:rFonts w:ascii="Arial Narrow" w:eastAsia="Calibri" w:hAnsi="Arial Narrow" w:cs="Arial"/>
          <w:i/>
          <w:iCs/>
          <w:snapToGrid w:val="0"/>
          <w:color w:val="0D0D0D" w:themeColor="text1" w:themeTint="F2"/>
          <w:sz w:val="18"/>
          <w:szCs w:val="20"/>
          <w:lang w:eastAsia="en-AU"/>
        </w:rPr>
      </w:pPr>
      <w:r w:rsidRPr="003B0EA5">
        <w:rPr>
          <w:rFonts w:ascii="Arial Narrow" w:eastAsia="Calibri" w:hAnsi="Arial Narrow" w:cs="Arial"/>
          <w:i/>
          <w:iCs/>
          <w:snapToGrid w:val="0"/>
          <w:color w:val="0D0D0D" w:themeColor="text1" w:themeTint="F2"/>
          <w:sz w:val="18"/>
          <w:szCs w:val="20"/>
          <w:lang w:eastAsia="en-AU"/>
        </w:rPr>
        <w:t>6 $135,000 to &lt; $155,000</w:t>
      </w:r>
    </w:p>
    <w:p w14:paraId="37A87589" w14:textId="440037D9" w:rsidR="004D1A12" w:rsidRDefault="004D1A12" w:rsidP="007E0187">
      <w:pPr>
        <w:pStyle w:val="ListParagraph"/>
      </w:pPr>
      <w:r w:rsidRPr="00181B1F">
        <w:t>From the results of the sensitivity analyses, it is evident that the utility weights, time horizon, choice of parametric model for ivosidenib OS extrapolation and method of adjustment for treatment switching for OS of the placebo arm are the key drivers of the model. The ICER increase</w:t>
      </w:r>
      <w:r w:rsidR="009F300D">
        <w:t>d</w:t>
      </w:r>
      <w:r w:rsidRPr="00181B1F">
        <w:t xml:space="preserve"> to $</w:t>
      </w:r>
      <w:r w:rsidR="00686B12" w:rsidRPr="00686B12">
        <w:t>95,000 to &lt; $115,000</w:t>
      </w:r>
      <w:r w:rsidR="00157CFF">
        <w:t>/QALY</w:t>
      </w:r>
      <w:r w:rsidR="00766415" w:rsidRPr="00181B1F">
        <w:t xml:space="preserve"> </w:t>
      </w:r>
      <w:r w:rsidRPr="00181B1F">
        <w:t>(</w:t>
      </w:r>
      <w:r w:rsidR="00E26C98" w:rsidRPr="002311C6">
        <w:rPr>
          <w:w w:val="15"/>
          <w:shd w:val="solid" w:color="000000" w:fill="000000"/>
          <w:fitText w:val="-20" w:id="-893744631"/>
          <w14:textFill>
            <w14:solidFill>
              <w14:schemeClr w14:val="tx1">
                <w14:alpha w14:val="100000"/>
                <w14:lumMod w14:val="95000"/>
                <w14:lumOff w14:val="5000"/>
              </w14:schemeClr>
            </w14:solidFill>
          </w14:textFill>
        </w:rPr>
        <w:t xml:space="preserve">|  </w:t>
      </w:r>
      <w:r w:rsidR="00E26C98" w:rsidRPr="002311C6">
        <w:rPr>
          <w:spacing w:val="-69"/>
          <w:w w:val="15"/>
          <w:shd w:val="solid" w:color="000000" w:fill="000000"/>
          <w:fitText w:val="-20" w:id="-893744631"/>
          <w14:textFill>
            <w14:solidFill>
              <w14:schemeClr w14:val="tx1">
                <w14:alpha w14:val="100000"/>
                <w14:lumMod w14:val="95000"/>
                <w14:lumOff w14:val="5000"/>
              </w14:schemeClr>
            </w14:solidFill>
          </w14:textFill>
        </w:rPr>
        <w:t>|</w:t>
      </w:r>
      <w:r w:rsidRPr="00181B1F">
        <w:t xml:space="preserve">% increase) </w:t>
      </w:r>
      <w:r w:rsidR="00157CFF">
        <w:t xml:space="preserve">when </w:t>
      </w:r>
      <w:r w:rsidR="00157CFF">
        <w:lastRenderedPageBreak/>
        <w:t xml:space="preserve">durvalumab </w:t>
      </w:r>
      <w:r w:rsidRPr="00181B1F">
        <w:t>utilities</w:t>
      </w:r>
      <w:r w:rsidR="00157CFF">
        <w:t xml:space="preserve"> were applied, </w:t>
      </w:r>
      <w:r w:rsidR="00157CFF" w:rsidRPr="00DD3BA5">
        <w:rPr>
          <w:szCs w:val="20"/>
        </w:rPr>
        <w:t>$</w:t>
      </w:r>
      <w:r w:rsidR="00FD2DBA" w:rsidRPr="00FD2DBA">
        <w:rPr>
          <w:szCs w:val="20"/>
        </w:rPr>
        <w:t>95,000 to &lt; $115,000</w:t>
      </w:r>
      <w:r w:rsidR="00157CFF">
        <w:rPr>
          <w:szCs w:val="20"/>
        </w:rPr>
        <w:t xml:space="preserve">/QALY </w:t>
      </w:r>
      <w:r w:rsidR="00B76DB9">
        <w:rPr>
          <w:szCs w:val="20"/>
        </w:rPr>
        <w:t>(</w:t>
      </w:r>
      <w:r w:rsidR="00E26C98" w:rsidRPr="002311C6">
        <w:rPr>
          <w:w w:val="15"/>
          <w:szCs w:val="20"/>
          <w:shd w:val="solid" w:color="000000" w:fill="000000"/>
          <w:fitText w:val="-20" w:id="-893744630"/>
          <w14:textFill>
            <w14:solidFill>
              <w14:schemeClr w14:val="tx1">
                <w14:alpha w14:val="100000"/>
                <w14:lumMod w14:val="95000"/>
                <w14:lumOff w14:val="5000"/>
              </w14:schemeClr>
            </w14:solidFill>
          </w14:textFill>
        </w:rPr>
        <w:t xml:space="preserve">|  </w:t>
      </w:r>
      <w:r w:rsidR="00E26C98" w:rsidRPr="002311C6">
        <w:rPr>
          <w:spacing w:val="-69"/>
          <w:w w:val="15"/>
          <w:szCs w:val="20"/>
          <w:shd w:val="solid" w:color="000000" w:fill="000000"/>
          <w:fitText w:val="-20" w:id="-893744630"/>
          <w14:textFill>
            <w14:solidFill>
              <w14:schemeClr w14:val="tx1">
                <w14:alpha w14:val="100000"/>
                <w14:lumMod w14:val="95000"/>
                <w14:lumOff w14:val="5000"/>
              </w14:schemeClr>
            </w14:solidFill>
          </w14:textFill>
        </w:rPr>
        <w:t>|</w:t>
      </w:r>
      <w:r w:rsidR="00B76DB9">
        <w:rPr>
          <w:szCs w:val="20"/>
        </w:rPr>
        <w:t xml:space="preserve">% increase) </w:t>
      </w:r>
      <w:r w:rsidR="00157CFF">
        <w:rPr>
          <w:szCs w:val="20"/>
        </w:rPr>
        <w:t xml:space="preserve">when the </w:t>
      </w:r>
      <w:r w:rsidRPr="00181B1F">
        <w:t>time horizon</w:t>
      </w:r>
      <w:r w:rsidR="00B76DB9">
        <w:t xml:space="preserve"> was reduced to 5 years</w:t>
      </w:r>
      <w:r w:rsidRPr="00181B1F">
        <w:t xml:space="preserve"> and </w:t>
      </w:r>
      <w:r w:rsidR="00A40CB9" w:rsidRPr="009F300D">
        <w:rPr>
          <w:szCs w:val="20"/>
        </w:rPr>
        <w:t>$</w:t>
      </w:r>
      <w:r w:rsidR="00FD2DBA" w:rsidRPr="00FD2DBA">
        <w:rPr>
          <w:szCs w:val="20"/>
        </w:rPr>
        <w:t>115,000 to &lt; $135,000</w:t>
      </w:r>
      <w:r w:rsidR="00232AC7">
        <w:rPr>
          <w:szCs w:val="20"/>
        </w:rPr>
        <w:t>/QALY (</w:t>
      </w:r>
      <w:r w:rsidR="00E26C98" w:rsidRPr="002311C6">
        <w:rPr>
          <w:color w:val="000000" w:themeColor="text1"/>
          <w:w w:val="15"/>
          <w:szCs w:val="20"/>
          <w:shd w:val="solid" w:color="000000" w:fill="000000"/>
          <w:fitText w:val="-20" w:id="-893744629"/>
          <w14:textFill>
            <w14:solidFill>
              <w14:schemeClr w14:val="tx1">
                <w14:alpha w14:val="100000"/>
              </w14:schemeClr>
            </w14:solidFill>
          </w14:textFill>
        </w:rPr>
        <w:t xml:space="preserve">|  </w:t>
      </w:r>
      <w:r w:rsidR="00E26C98" w:rsidRPr="002311C6">
        <w:rPr>
          <w:color w:val="000000" w:themeColor="text1"/>
          <w:spacing w:val="-69"/>
          <w:w w:val="15"/>
          <w:szCs w:val="20"/>
          <w:shd w:val="solid" w:color="000000" w:fill="000000"/>
          <w:fitText w:val="-20" w:id="-893744629"/>
          <w14:textFill>
            <w14:solidFill>
              <w14:schemeClr w14:val="tx1">
                <w14:alpha w14:val="100000"/>
              </w14:schemeClr>
            </w14:solidFill>
          </w14:textFill>
        </w:rPr>
        <w:t>|</w:t>
      </w:r>
      <w:r w:rsidR="00851993">
        <w:rPr>
          <w:szCs w:val="20"/>
        </w:rPr>
        <w:t>% increase)</w:t>
      </w:r>
      <w:r w:rsidR="00A40CB9">
        <w:rPr>
          <w:szCs w:val="20"/>
        </w:rPr>
        <w:t xml:space="preserve"> </w:t>
      </w:r>
      <w:r w:rsidR="00232AC7">
        <w:rPr>
          <w:szCs w:val="20"/>
        </w:rPr>
        <w:t xml:space="preserve">when </w:t>
      </w:r>
      <w:r w:rsidR="00154F1C">
        <w:t xml:space="preserve">the </w:t>
      </w:r>
      <w:r w:rsidRPr="00181B1F">
        <w:t xml:space="preserve">extrapolation </w:t>
      </w:r>
      <w:r w:rsidR="00154F1C">
        <w:t xml:space="preserve">function </w:t>
      </w:r>
      <w:r w:rsidRPr="00181B1F">
        <w:t xml:space="preserve">for OS </w:t>
      </w:r>
      <w:r w:rsidR="00851993">
        <w:t>for both treatment arms</w:t>
      </w:r>
      <w:r w:rsidR="00851993" w:rsidRPr="00181B1F">
        <w:t xml:space="preserve"> </w:t>
      </w:r>
      <w:r w:rsidRPr="00181B1F">
        <w:t>are changed</w:t>
      </w:r>
      <w:r w:rsidR="00851993">
        <w:t xml:space="preserve"> to exponential</w:t>
      </w:r>
      <w:r w:rsidRPr="00181B1F">
        <w:t>.</w:t>
      </w:r>
    </w:p>
    <w:p w14:paraId="2B0A0017" w14:textId="05C06CBD" w:rsidR="00663770" w:rsidRPr="00C30625" w:rsidRDefault="00257645" w:rsidP="007E0187">
      <w:pPr>
        <w:pStyle w:val="ListParagraph"/>
      </w:pPr>
      <w:r w:rsidRPr="00C30625">
        <w:t xml:space="preserve">The ESCs considered a respecified base case should be considered with </w:t>
      </w:r>
      <w:r w:rsidR="00E51D65" w:rsidRPr="00C30625">
        <w:t>the following changes to inputs:</w:t>
      </w:r>
    </w:p>
    <w:p w14:paraId="5BFAC7A6" w14:textId="7596B59E" w:rsidR="00E51D65" w:rsidRPr="00C30625" w:rsidRDefault="00E51D65" w:rsidP="00403C4F">
      <w:pPr>
        <w:pStyle w:val="Bullet"/>
        <w:spacing w:before="0"/>
        <w:ind w:left="1134" w:hanging="357"/>
        <w:rPr>
          <w:sz w:val="24"/>
          <w:szCs w:val="24"/>
        </w:rPr>
      </w:pPr>
      <w:r w:rsidRPr="00C30625">
        <w:rPr>
          <w:sz w:val="24"/>
          <w:szCs w:val="24"/>
        </w:rPr>
        <w:t>Time horizon revised to 5 years (</w:t>
      </w:r>
      <w:r w:rsidR="00805902" w:rsidRPr="00C30625">
        <w:rPr>
          <w:sz w:val="24"/>
          <w:szCs w:val="24"/>
        </w:rPr>
        <w:t xml:space="preserve">see paragraph </w:t>
      </w:r>
      <w:r w:rsidR="00805902" w:rsidRPr="00C30625">
        <w:rPr>
          <w:sz w:val="24"/>
          <w:szCs w:val="24"/>
        </w:rPr>
        <w:fldChar w:fldCharType="begin" w:fldLock="1"/>
      </w:r>
      <w:r w:rsidR="00805902" w:rsidRPr="00C30625">
        <w:rPr>
          <w:sz w:val="24"/>
          <w:szCs w:val="24"/>
        </w:rPr>
        <w:instrText xml:space="preserve"> REF _Ref169513087 \r \h </w:instrText>
      </w:r>
      <w:r w:rsidR="008F36C0" w:rsidRPr="00C30625">
        <w:rPr>
          <w:sz w:val="24"/>
          <w:szCs w:val="24"/>
        </w:rPr>
        <w:instrText xml:space="preserve"> \* MERGEFORMAT </w:instrText>
      </w:r>
      <w:r w:rsidR="00805902" w:rsidRPr="00C30625">
        <w:rPr>
          <w:sz w:val="24"/>
          <w:szCs w:val="24"/>
        </w:rPr>
      </w:r>
      <w:r w:rsidR="00805902" w:rsidRPr="00C30625">
        <w:rPr>
          <w:sz w:val="24"/>
          <w:szCs w:val="24"/>
        </w:rPr>
        <w:fldChar w:fldCharType="separate"/>
      </w:r>
      <w:r w:rsidR="00CB6594">
        <w:rPr>
          <w:sz w:val="24"/>
          <w:szCs w:val="24"/>
        </w:rPr>
        <w:t>6.54</w:t>
      </w:r>
      <w:r w:rsidR="00805902" w:rsidRPr="00C30625">
        <w:rPr>
          <w:sz w:val="24"/>
          <w:szCs w:val="24"/>
        </w:rPr>
        <w:fldChar w:fldCharType="end"/>
      </w:r>
      <w:r w:rsidR="00805902" w:rsidRPr="00C30625">
        <w:rPr>
          <w:sz w:val="24"/>
          <w:szCs w:val="24"/>
        </w:rPr>
        <w:t>)</w:t>
      </w:r>
    </w:p>
    <w:p w14:paraId="4BD124E9" w14:textId="0C6D0C6F" w:rsidR="00805902" w:rsidRPr="00C30625" w:rsidRDefault="00805902" w:rsidP="00403C4F">
      <w:pPr>
        <w:pStyle w:val="Bullet"/>
        <w:spacing w:before="0"/>
        <w:ind w:left="1134" w:hanging="357"/>
        <w:rPr>
          <w:sz w:val="24"/>
          <w:szCs w:val="24"/>
        </w:rPr>
      </w:pPr>
      <w:r w:rsidRPr="00C30625">
        <w:rPr>
          <w:sz w:val="24"/>
          <w:szCs w:val="24"/>
        </w:rPr>
        <w:t xml:space="preserve">OS </w:t>
      </w:r>
      <w:r w:rsidR="006B0B2B" w:rsidRPr="00C30625">
        <w:rPr>
          <w:sz w:val="24"/>
          <w:szCs w:val="24"/>
        </w:rPr>
        <w:t>extrapolation</w:t>
      </w:r>
      <w:r w:rsidR="001D1CAE" w:rsidRPr="00C30625">
        <w:rPr>
          <w:sz w:val="24"/>
          <w:szCs w:val="24"/>
        </w:rPr>
        <w:t xml:space="preserve"> revised to </w:t>
      </w:r>
      <w:r w:rsidR="00E020D6" w:rsidRPr="00C30625">
        <w:rPr>
          <w:sz w:val="24"/>
          <w:szCs w:val="24"/>
        </w:rPr>
        <w:t xml:space="preserve">exponential function </w:t>
      </w:r>
      <w:r w:rsidR="00D96DF9" w:rsidRPr="00C30625">
        <w:rPr>
          <w:sz w:val="24"/>
          <w:szCs w:val="24"/>
        </w:rPr>
        <w:t>in both arms</w:t>
      </w:r>
      <w:r w:rsidR="00E020D6" w:rsidRPr="00C30625">
        <w:rPr>
          <w:sz w:val="24"/>
          <w:szCs w:val="24"/>
        </w:rPr>
        <w:t xml:space="preserve"> (see paragraph </w:t>
      </w:r>
      <w:r w:rsidR="00E020D6" w:rsidRPr="00C30625">
        <w:rPr>
          <w:sz w:val="24"/>
          <w:szCs w:val="24"/>
        </w:rPr>
        <w:fldChar w:fldCharType="begin" w:fldLock="1"/>
      </w:r>
      <w:r w:rsidR="00E020D6" w:rsidRPr="00C30625">
        <w:rPr>
          <w:sz w:val="24"/>
          <w:szCs w:val="24"/>
        </w:rPr>
        <w:instrText xml:space="preserve"> REF _Ref169513179 \r \h </w:instrText>
      </w:r>
      <w:r w:rsidR="008F36C0" w:rsidRPr="00C30625">
        <w:rPr>
          <w:sz w:val="24"/>
          <w:szCs w:val="24"/>
        </w:rPr>
        <w:instrText xml:space="preserve"> \* MERGEFORMAT </w:instrText>
      </w:r>
      <w:r w:rsidR="00E020D6" w:rsidRPr="00C30625">
        <w:rPr>
          <w:sz w:val="24"/>
          <w:szCs w:val="24"/>
        </w:rPr>
      </w:r>
      <w:r w:rsidR="00E020D6" w:rsidRPr="00C30625">
        <w:rPr>
          <w:sz w:val="24"/>
          <w:szCs w:val="24"/>
        </w:rPr>
        <w:fldChar w:fldCharType="separate"/>
      </w:r>
      <w:r w:rsidR="00CB6594">
        <w:rPr>
          <w:sz w:val="24"/>
          <w:szCs w:val="24"/>
        </w:rPr>
        <w:t>6.57</w:t>
      </w:r>
      <w:r w:rsidR="00E020D6" w:rsidRPr="00C30625">
        <w:rPr>
          <w:sz w:val="24"/>
          <w:szCs w:val="24"/>
        </w:rPr>
        <w:fldChar w:fldCharType="end"/>
      </w:r>
      <w:r w:rsidR="00E020D6" w:rsidRPr="00C30625">
        <w:rPr>
          <w:sz w:val="24"/>
          <w:szCs w:val="24"/>
        </w:rPr>
        <w:t>)</w:t>
      </w:r>
    </w:p>
    <w:p w14:paraId="2F3D7549" w14:textId="09C3166E" w:rsidR="00E020D6" w:rsidRPr="00C30625" w:rsidRDefault="00E020D6" w:rsidP="00403C4F">
      <w:pPr>
        <w:pStyle w:val="Bullet"/>
        <w:spacing w:before="0"/>
        <w:ind w:left="1134" w:hanging="357"/>
        <w:rPr>
          <w:sz w:val="24"/>
          <w:szCs w:val="24"/>
        </w:rPr>
      </w:pPr>
      <w:r w:rsidRPr="00C30625">
        <w:rPr>
          <w:sz w:val="24"/>
          <w:szCs w:val="24"/>
        </w:rPr>
        <w:t xml:space="preserve">Utility weights </w:t>
      </w:r>
      <w:r w:rsidR="00F74FCF" w:rsidRPr="00C30625">
        <w:rPr>
          <w:sz w:val="24"/>
          <w:szCs w:val="24"/>
        </w:rPr>
        <w:t xml:space="preserve">revised </w:t>
      </w:r>
      <w:r w:rsidR="001741C7" w:rsidRPr="00C30625">
        <w:rPr>
          <w:sz w:val="24"/>
          <w:szCs w:val="24"/>
        </w:rPr>
        <w:t xml:space="preserve">to values </w:t>
      </w:r>
      <w:r w:rsidR="00ED01B0" w:rsidRPr="00C30625">
        <w:rPr>
          <w:sz w:val="24"/>
          <w:szCs w:val="24"/>
        </w:rPr>
        <w:t xml:space="preserve">from durvalumab trial (see paragraph </w:t>
      </w:r>
      <w:r w:rsidR="00BC0703" w:rsidRPr="00C30625">
        <w:rPr>
          <w:sz w:val="24"/>
          <w:szCs w:val="24"/>
        </w:rPr>
        <w:fldChar w:fldCharType="begin" w:fldLock="1"/>
      </w:r>
      <w:r w:rsidR="00BC0703" w:rsidRPr="00C30625">
        <w:rPr>
          <w:sz w:val="24"/>
          <w:szCs w:val="24"/>
        </w:rPr>
        <w:instrText xml:space="preserve"> REF _Ref169513282 \r \h </w:instrText>
      </w:r>
      <w:r w:rsidR="008F36C0" w:rsidRPr="00C30625">
        <w:rPr>
          <w:sz w:val="24"/>
          <w:szCs w:val="24"/>
        </w:rPr>
        <w:instrText xml:space="preserve"> \* MERGEFORMAT </w:instrText>
      </w:r>
      <w:r w:rsidR="00BC0703" w:rsidRPr="00C30625">
        <w:rPr>
          <w:sz w:val="24"/>
          <w:szCs w:val="24"/>
        </w:rPr>
      </w:r>
      <w:r w:rsidR="00BC0703" w:rsidRPr="00C30625">
        <w:rPr>
          <w:sz w:val="24"/>
          <w:szCs w:val="24"/>
        </w:rPr>
        <w:fldChar w:fldCharType="separate"/>
      </w:r>
      <w:r w:rsidR="00CB6594">
        <w:rPr>
          <w:sz w:val="24"/>
          <w:szCs w:val="24"/>
        </w:rPr>
        <w:t>6.60</w:t>
      </w:r>
      <w:r w:rsidR="00BC0703" w:rsidRPr="00C30625">
        <w:rPr>
          <w:sz w:val="24"/>
          <w:szCs w:val="24"/>
        </w:rPr>
        <w:fldChar w:fldCharType="end"/>
      </w:r>
      <w:r w:rsidR="00BC0703" w:rsidRPr="00C30625">
        <w:rPr>
          <w:sz w:val="24"/>
          <w:szCs w:val="24"/>
        </w:rPr>
        <w:t>)</w:t>
      </w:r>
    </w:p>
    <w:p w14:paraId="0BC61FC7" w14:textId="64051FE7" w:rsidR="00C633FD" w:rsidRPr="00C30625" w:rsidRDefault="00735D15" w:rsidP="00403C4F">
      <w:pPr>
        <w:pStyle w:val="Bullet"/>
        <w:spacing w:before="0"/>
        <w:ind w:left="1134" w:hanging="357"/>
        <w:rPr>
          <w:sz w:val="24"/>
          <w:szCs w:val="24"/>
        </w:rPr>
      </w:pPr>
      <w:r w:rsidRPr="00C30625">
        <w:rPr>
          <w:sz w:val="24"/>
          <w:szCs w:val="24"/>
        </w:rPr>
        <w:t>Time on treatment curve based on trial data</w:t>
      </w:r>
      <w:r w:rsidR="00A9345C" w:rsidRPr="00C30625">
        <w:rPr>
          <w:sz w:val="24"/>
          <w:szCs w:val="24"/>
        </w:rPr>
        <w:t xml:space="preserve">, </w:t>
      </w:r>
      <w:r w:rsidRPr="00C30625">
        <w:rPr>
          <w:sz w:val="24"/>
          <w:szCs w:val="24"/>
        </w:rPr>
        <w:t>not limited to PFS</w:t>
      </w:r>
      <w:r w:rsidR="00A9345C" w:rsidRPr="00C30625">
        <w:rPr>
          <w:sz w:val="24"/>
          <w:szCs w:val="24"/>
        </w:rPr>
        <w:t xml:space="preserve"> (see paragraph</w:t>
      </w:r>
      <w:r w:rsidR="00DB474A">
        <w:rPr>
          <w:sz w:val="24"/>
          <w:szCs w:val="24"/>
        </w:rPr>
        <w:t xml:space="preserve"> </w:t>
      </w:r>
      <w:r w:rsidR="00DB474A">
        <w:rPr>
          <w:sz w:val="24"/>
          <w:szCs w:val="24"/>
        </w:rPr>
        <w:fldChar w:fldCharType="begin" w:fldLock="1"/>
      </w:r>
      <w:r w:rsidR="00DB474A">
        <w:rPr>
          <w:sz w:val="24"/>
          <w:szCs w:val="24"/>
        </w:rPr>
        <w:instrText xml:space="preserve"> REF _Ref173851514 \r \h </w:instrText>
      </w:r>
      <w:r w:rsidR="00DB474A">
        <w:rPr>
          <w:sz w:val="24"/>
          <w:szCs w:val="24"/>
        </w:rPr>
      </w:r>
      <w:r w:rsidR="00DB474A">
        <w:rPr>
          <w:sz w:val="24"/>
          <w:szCs w:val="24"/>
        </w:rPr>
        <w:fldChar w:fldCharType="separate"/>
      </w:r>
      <w:r w:rsidR="00CB6594">
        <w:rPr>
          <w:sz w:val="24"/>
          <w:szCs w:val="24"/>
        </w:rPr>
        <w:t>6.58</w:t>
      </w:r>
      <w:r w:rsidR="00DB474A">
        <w:rPr>
          <w:sz w:val="24"/>
          <w:szCs w:val="24"/>
        </w:rPr>
        <w:fldChar w:fldCharType="end"/>
      </w:r>
      <w:r w:rsidR="00A9345C" w:rsidRPr="00C30625">
        <w:rPr>
          <w:sz w:val="24"/>
          <w:szCs w:val="24"/>
        </w:rPr>
        <w:t>)</w:t>
      </w:r>
    </w:p>
    <w:p w14:paraId="1AA4C3CA" w14:textId="576B5998" w:rsidR="008650FC" w:rsidRPr="00C30625" w:rsidRDefault="008650FC" w:rsidP="00403C4F">
      <w:pPr>
        <w:pStyle w:val="Bullet"/>
        <w:numPr>
          <w:ilvl w:val="0"/>
          <w:numId w:val="0"/>
        </w:numPr>
        <w:spacing w:before="0"/>
        <w:ind w:left="777"/>
        <w:rPr>
          <w:sz w:val="24"/>
          <w:szCs w:val="24"/>
        </w:rPr>
      </w:pPr>
      <w:r w:rsidRPr="00C30625">
        <w:rPr>
          <w:sz w:val="24"/>
          <w:szCs w:val="24"/>
        </w:rPr>
        <w:t>The ESCs noted that this resulted in a</w:t>
      </w:r>
      <w:r w:rsidR="008F36C0" w:rsidRPr="00C30625">
        <w:rPr>
          <w:sz w:val="24"/>
          <w:szCs w:val="24"/>
        </w:rPr>
        <w:t>n ICER of $</w:t>
      </w:r>
      <w:r w:rsidR="00FD2DBA" w:rsidRPr="00FD2DBA">
        <w:rPr>
          <w:sz w:val="24"/>
          <w:szCs w:val="24"/>
        </w:rPr>
        <w:t>135,000 to &lt; $155,000</w:t>
      </w:r>
      <w:r w:rsidR="00403C4F">
        <w:rPr>
          <w:sz w:val="24"/>
          <w:szCs w:val="24"/>
        </w:rPr>
        <w:t xml:space="preserve"> </w:t>
      </w:r>
      <w:r w:rsidR="008F36C0" w:rsidRPr="00C30625">
        <w:rPr>
          <w:sz w:val="24"/>
          <w:szCs w:val="24"/>
        </w:rPr>
        <w:t>per QALY, a</w:t>
      </w:r>
      <w:r w:rsidR="009B7DC8" w:rsidRPr="00C30625">
        <w:rPr>
          <w:sz w:val="24"/>
          <w:szCs w:val="24"/>
        </w:rPr>
        <w:t xml:space="preserve"> </w:t>
      </w:r>
      <w:r w:rsidR="00E26C98" w:rsidRPr="00E26C98">
        <w:rPr>
          <w:color w:val="000000"/>
          <w:sz w:val="24"/>
          <w:szCs w:val="24"/>
          <w:shd w:val="solid" w:color="000000" w:fill="000000"/>
          <w14:textFill>
            <w14:solidFill>
              <w14:srgbClr w14:val="000000">
                <w14:alpha w14:val="100000"/>
              </w14:srgbClr>
            </w14:solidFill>
          </w14:textFill>
        </w:rPr>
        <w:t>|</w:t>
      </w:r>
      <w:r w:rsidR="008F36C0" w:rsidRPr="00C30625">
        <w:rPr>
          <w:sz w:val="24"/>
          <w:szCs w:val="24"/>
        </w:rPr>
        <w:t>%</w:t>
      </w:r>
      <w:r w:rsidRPr="00C30625">
        <w:rPr>
          <w:sz w:val="24"/>
          <w:szCs w:val="24"/>
        </w:rPr>
        <w:t xml:space="preserve"> increase</w:t>
      </w:r>
      <w:r w:rsidR="008F36C0" w:rsidRPr="00C30625">
        <w:rPr>
          <w:sz w:val="24"/>
          <w:szCs w:val="24"/>
        </w:rPr>
        <w:t xml:space="preserve"> compared with the submission’s base case ICER.</w:t>
      </w:r>
    </w:p>
    <w:p w14:paraId="7AF295A0" w14:textId="793652FE" w:rsidR="000D7C19" w:rsidRPr="00C30625" w:rsidRDefault="00460B94" w:rsidP="007E0187">
      <w:pPr>
        <w:pStyle w:val="ListParagraph"/>
      </w:pPr>
      <w:bookmarkStart w:id="70" w:name="_Ref169517852"/>
      <w:r w:rsidRPr="009F6D44">
        <w:t>T</w:t>
      </w:r>
      <w:r w:rsidR="004D1A12" w:rsidRPr="009F6D44">
        <w:t xml:space="preserve">he economic model allowed the inclusion of FOLFOX as a comparator in addition to BSC. The health outcomes for FOLFOX were modelled from an unanchored MAIC for PFS and from an anchored MAIC for OS, using data from the ClarIDHy trial (ivosidenib </w:t>
      </w:r>
      <w:r w:rsidR="004D1A12" w:rsidRPr="009F6D44">
        <w:rPr>
          <w:i/>
          <w:iCs/>
        </w:rPr>
        <w:t>vs</w:t>
      </w:r>
      <w:r w:rsidR="004D1A12" w:rsidRPr="009F6D44">
        <w:t>. placebo) and the ABC-06 trial (FOLFOX + ASC</w:t>
      </w:r>
      <w:r w:rsidR="004D1A12" w:rsidRPr="009F6D44">
        <w:rPr>
          <w:i/>
          <w:iCs/>
        </w:rPr>
        <w:t xml:space="preserve"> vs</w:t>
      </w:r>
      <w:r w:rsidR="004D1A12" w:rsidRPr="009F6D44">
        <w:t xml:space="preserve">. ASC alone). </w:t>
      </w:r>
      <w:r w:rsidR="003250CA" w:rsidRPr="009F6D44">
        <w:t xml:space="preserve">The HRs for ivosidenib </w:t>
      </w:r>
      <w:r w:rsidR="003250CA" w:rsidRPr="009F6D44">
        <w:rPr>
          <w:i/>
          <w:iCs/>
        </w:rPr>
        <w:t xml:space="preserve">versus </w:t>
      </w:r>
      <w:r w:rsidR="003250CA" w:rsidRPr="009F6D44">
        <w:t xml:space="preserve">BSC and HRs for ivosidenib </w:t>
      </w:r>
      <w:r w:rsidR="003250CA" w:rsidRPr="009F6D44">
        <w:rPr>
          <w:i/>
          <w:iCs/>
        </w:rPr>
        <w:t xml:space="preserve">versus </w:t>
      </w:r>
      <w:r w:rsidR="003250CA" w:rsidRPr="009F6D44">
        <w:t xml:space="preserve">FOLFOX were weighted according to their relative use in the comparator arm and then applied to the ivosidenib reference curves to model PFS and OS in the comparator arm. </w:t>
      </w:r>
      <w:r w:rsidR="003522B1" w:rsidRPr="009F6D44">
        <w:t xml:space="preserve">Although the inclusion of FOLFOX in the comparator arm was reasonable, the ITCs were based on trials with major transitivity issues. </w:t>
      </w:r>
      <w:r w:rsidR="003522B1" w:rsidRPr="00C30625">
        <w:t>In addition, t</w:t>
      </w:r>
      <w:r w:rsidR="000D7C19" w:rsidRPr="00C30625">
        <w:t xml:space="preserve">he </w:t>
      </w:r>
      <w:r w:rsidR="00E17508" w:rsidRPr="00C30625">
        <w:t xml:space="preserve">ESCs noted the </w:t>
      </w:r>
      <w:r w:rsidR="000D7C19" w:rsidRPr="00C30625">
        <w:t xml:space="preserve">base case economic </w:t>
      </w:r>
      <w:r w:rsidR="00DB474A">
        <w:t>evaluation</w:t>
      </w:r>
      <w:r w:rsidR="000D7C19" w:rsidRPr="00C30625">
        <w:t xml:space="preserve"> used the trial-based survival curves for both treatment arms with extrapolation beyond the data truncation time point, whereas the analyses including the use of FOLFOX in the comparator arm estimated the survival for the comparator by applying</w:t>
      </w:r>
      <w:r w:rsidR="009F6D44" w:rsidRPr="00C30625">
        <w:t xml:space="preserve"> the</w:t>
      </w:r>
      <w:r w:rsidR="000D7C19" w:rsidRPr="00C30625">
        <w:t xml:space="preserve"> HR (weighted by use of palliative care vs. FOLFOX) to the survival for ivosidenib</w:t>
      </w:r>
      <w:r w:rsidR="00DB474A">
        <w:t>, which requires assuming proportional hazards</w:t>
      </w:r>
      <w:r w:rsidR="000D7C19" w:rsidRPr="00C30625">
        <w:t xml:space="preserve">. </w:t>
      </w:r>
      <w:r w:rsidR="00E94A66" w:rsidRPr="00C30625">
        <w:t xml:space="preserve">Assuming </w:t>
      </w:r>
      <w:r w:rsidR="00181AD0" w:rsidRPr="00C30625">
        <w:t xml:space="preserve">proportional hazards, and applying the HR </w:t>
      </w:r>
      <w:r w:rsidR="00DB474A">
        <w:t xml:space="preserve">from ClarIDHy </w:t>
      </w:r>
      <w:r w:rsidR="00833533" w:rsidRPr="00C30625">
        <w:t>to the ivoside</w:t>
      </w:r>
      <w:r w:rsidR="00DE7004" w:rsidRPr="00C30625">
        <w:t>n</w:t>
      </w:r>
      <w:r w:rsidR="00833533" w:rsidRPr="00C30625">
        <w:t>ib survival curve</w:t>
      </w:r>
      <w:r w:rsidR="00DE7004" w:rsidRPr="00C30625">
        <w:t xml:space="preserve"> without </w:t>
      </w:r>
      <w:r w:rsidR="00E45AAA" w:rsidRPr="00C30625">
        <w:t xml:space="preserve">any </w:t>
      </w:r>
      <w:r w:rsidR="00DE7004" w:rsidRPr="00C30625">
        <w:t xml:space="preserve">adjustment for </w:t>
      </w:r>
      <w:r w:rsidR="005771C9" w:rsidRPr="00C30625">
        <w:t xml:space="preserve">patients receiving </w:t>
      </w:r>
      <w:r w:rsidR="00DE7004" w:rsidRPr="00C30625">
        <w:t xml:space="preserve">FOLFOX reduced the ICER by </w:t>
      </w:r>
      <w:r w:rsidR="00E26C98" w:rsidRPr="002311C6">
        <w:rPr>
          <w:w w:val="15"/>
          <w:shd w:val="solid" w:color="000000" w:fill="000000"/>
          <w:fitText w:val="-20" w:id="-893744628"/>
          <w14:textFill>
            <w14:solidFill>
              <w14:schemeClr w14:val="tx1">
                <w14:alpha w14:val="100000"/>
                <w14:lumMod w14:val="95000"/>
                <w14:lumOff w14:val="5000"/>
              </w14:schemeClr>
            </w14:solidFill>
          </w14:textFill>
        </w:rPr>
        <w:t xml:space="preserve">|  </w:t>
      </w:r>
      <w:r w:rsidR="00E26C98" w:rsidRPr="002311C6">
        <w:rPr>
          <w:spacing w:val="-69"/>
          <w:w w:val="15"/>
          <w:shd w:val="solid" w:color="000000" w:fill="000000"/>
          <w:fitText w:val="-20" w:id="-893744628"/>
          <w14:textFill>
            <w14:solidFill>
              <w14:schemeClr w14:val="tx1">
                <w14:alpha w14:val="100000"/>
                <w14:lumMod w14:val="95000"/>
                <w14:lumOff w14:val="5000"/>
              </w14:schemeClr>
            </w14:solidFill>
          </w14:textFill>
        </w:rPr>
        <w:t>|</w:t>
      </w:r>
      <w:r w:rsidR="00DE7004" w:rsidRPr="00C30625">
        <w:t>%</w:t>
      </w:r>
      <w:r w:rsidR="005771C9" w:rsidRPr="00C30625">
        <w:t xml:space="preserve">. </w:t>
      </w:r>
      <w:r w:rsidR="00DB474A">
        <w:t xml:space="preserve">The sensitivity analysis including adjustment of the HR for </w:t>
      </w:r>
      <w:r w:rsidR="00E26C98" w:rsidRPr="002311C6">
        <w:rPr>
          <w:w w:val="15"/>
          <w:shd w:val="solid" w:color="000000" w:fill="000000"/>
          <w:fitText w:val="-20" w:id="-893744627"/>
          <w14:textFill>
            <w14:solidFill>
              <w14:schemeClr w14:val="tx1">
                <w14:alpha w14:val="100000"/>
                <w14:lumMod w14:val="95000"/>
                <w14:lumOff w14:val="5000"/>
              </w14:schemeClr>
            </w14:solidFill>
          </w14:textFill>
        </w:rPr>
        <w:t xml:space="preserve">|  </w:t>
      </w:r>
      <w:r w:rsidR="00E26C98" w:rsidRPr="002311C6">
        <w:rPr>
          <w:spacing w:val="-69"/>
          <w:w w:val="15"/>
          <w:shd w:val="solid" w:color="000000" w:fill="000000"/>
          <w:fitText w:val="-20" w:id="-893744627"/>
          <w14:textFill>
            <w14:solidFill>
              <w14:schemeClr w14:val="tx1">
                <w14:alpha w14:val="100000"/>
                <w14:lumMod w14:val="95000"/>
                <w14:lumOff w14:val="5000"/>
              </w14:schemeClr>
            </w14:solidFill>
          </w14:textFill>
        </w:rPr>
        <w:t>|</w:t>
      </w:r>
      <w:r w:rsidR="00DB474A">
        <w:t xml:space="preserve">% of patients treated with FOLFOX decreased the ICER by </w:t>
      </w:r>
      <w:r w:rsidR="00E26C98" w:rsidRPr="002311C6">
        <w:rPr>
          <w:w w:val="15"/>
          <w:shd w:val="solid" w:color="000000" w:fill="000000"/>
          <w:fitText w:val="-20" w:id="-893744626"/>
          <w14:textFill>
            <w14:solidFill>
              <w14:schemeClr w14:val="tx1">
                <w14:alpha w14:val="100000"/>
                <w14:lumMod w14:val="95000"/>
                <w14:lumOff w14:val="5000"/>
              </w14:schemeClr>
            </w14:solidFill>
          </w14:textFill>
        </w:rPr>
        <w:t xml:space="preserve">|  </w:t>
      </w:r>
      <w:r w:rsidR="00E26C98" w:rsidRPr="002311C6">
        <w:rPr>
          <w:spacing w:val="-69"/>
          <w:w w:val="15"/>
          <w:shd w:val="solid" w:color="000000" w:fill="000000"/>
          <w:fitText w:val="-20" w:id="-893744626"/>
          <w14:textFill>
            <w14:solidFill>
              <w14:schemeClr w14:val="tx1">
                <w14:alpha w14:val="100000"/>
                <w14:lumMod w14:val="95000"/>
                <w14:lumOff w14:val="5000"/>
              </w14:schemeClr>
            </w14:solidFill>
          </w14:textFill>
        </w:rPr>
        <w:t>|</w:t>
      </w:r>
      <w:r w:rsidR="00DB474A">
        <w:t xml:space="preserve">%. </w:t>
      </w:r>
      <w:r w:rsidR="00E00088" w:rsidRPr="00C30625">
        <w:t xml:space="preserve">The </w:t>
      </w:r>
      <w:r w:rsidR="00C52624">
        <w:t xml:space="preserve">commentary noted the </w:t>
      </w:r>
      <w:r w:rsidR="00E00088" w:rsidRPr="00C30625">
        <w:t>proportional hazards assumption did not hold for PFS and may not hold for OS, which invalidate</w:t>
      </w:r>
      <w:r w:rsidR="008C7FCA" w:rsidRPr="00C30625">
        <w:t>s</w:t>
      </w:r>
      <w:r w:rsidR="00E00088" w:rsidRPr="00C30625">
        <w:t xml:space="preserve"> the use of HRs in the modelling. </w:t>
      </w:r>
      <w:r w:rsidR="00181AD0" w:rsidRPr="00C30625">
        <w:t>Thus, the results of the sensitivity analyses are likely to be misleading and uncertain.</w:t>
      </w:r>
      <w:bookmarkEnd w:id="70"/>
    </w:p>
    <w:p w14:paraId="456049A7" w14:textId="7A533B1E" w:rsidR="00303F40" w:rsidRPr="00303F40" w:rsidRDefault="00172309" w:rsidP="007E0187">
      <w:pPr>
        <w:pStyle w:val="ListParagraph"/>
      </w:pPr>
      <w:bookmarkStart w:id="71" w:name="_Ref169517867"/>
      <w:r w:rsidRPr="00C30625">
        <w:t xml:space="preserve">The ESCs considered that a mixed comparator with at least 45% of patients receiving FOLFOX would better reflect clinical practice. </w:t>
      </w:r>
      <w:r w:rsidR="00CC3EAB" w:rsidRPr="00C30625">
        <w:t>The PSCR</w:t>
      </w:r>
      <w:r w:rsidR="007902CE" w:rsidRPr="00C30625">
        <w:t xml:space="preserve"> </w:t>
      </w:r>
      <w:r w:rsidR="00CC3EAB" w:rsidRPr="00C30625">
        <w:t xml:space="preserve">argued that </w:t>
      </w:r>
      <w:r w:rsidR="007902CE" w:rsidRPr="00C30625">
        <w:t xml:space="preserve">the absolute magnitude of benefit of FOLFOX compared with </w:t>
      </w:r>
      <w:r w:rsidR="00791480" w:rsidRPr="00C30625">
        <w:t>BSC</w:t>
      </w:r>
      <w:r w:rsidR="007902CE" w:rsidRPr="00C30625">
        <w:t xml:space="preserve"> was </w:t>
      </w:r>
      <w:bookmarkStart w:id="72" w:name="_Int_6mdI7VcZ"/>
      <w:r w:rsidR="007902CE" w:rsidRPr="00C30625">
        <w:t>relatively small</w:t>
      </w:r>
      <w:bookmarkEnd w:id="72"/>
      <w:r w:rsidR="007902CE" w:rsidRPr="00C30625">
        <w:t xml:space="preserve">, and therefore the cost-effectiveness of ivosidenib vs FOLFOX would be </w:t>
      </w:r>
      <w:bookmarkStart w:id="73" w:name="_Int_5USbfCs6"/>
      <w:proofErr w:type="gramStart"/>
      <w:r w:rsidR="007902CE" w:rsidRPr="00C30625">
        <w:t>similar to</w:t>
      </w:r>
      <w:bookmarkEnd w:id="73"/>
      <w:proofErr w:type="gramEnd"/>
      <w:r w:rsidR="007902CE" w:rsidRPr="00C30625">
        <w:t xml:space="preserve"> that compared to </w:t>
      </w:r>
      <w:r w:rsidR="00791480" w:rsidRPr="00C30625">
        <w:t>BSC</w:t>
      </w:r>
      <w:r w:rsidR="007902CE" w:rsidRPr="00C30625">
        <w:t xml:space="preserve">. </w:t>
      </w:r>
      <w:r w:rsidRPr="00C30625">
        <w:t xml:space="preserve">The ESCs </w:t>
      </w:r>
      <w:r w:rsidR="00CB3009" w:rsidRPr="00C30625">
        <w:t>noted that</w:t>
      </w:r>
      <w:r w:rsidR="006A78E0" w:rsidRPr="00C30625">
        <w:t xml:space="preserve">, when applied to the </w:t>
      </w:r>
      <w:r w:rsidRPr="00C30625">
        <w:t>base case, th</w:t>
      </w:r>
      <w:r w:rsidR="00D124F0" w:rsidRPr="00C30625">
        <w:t>e</w:t>
      </w:r>
      <w:r w:rsidRPr="00C30625">
        <w:t xml:space="preserve"> assumption </w:t>
      </w:r>
      <w:r w:rsidR="00D124F0" w:rsidRPr="00C30625">
        <w:t xml:space="preserve">that 45% of patients receive FOLFOX </w:t>
      </w:r>
      <w:r w:rsidRPr="00C30625">
        <w:t xml:space="preserve">decreased the ICER by </w:t>
      </w:r>
      <w:r w:rsidR="00E26C98" w:rsidRPr="002311C6">
        <w:rPr>
          <w:w w:val="15"/>
          <w:shd w:val="solid" w:color="000000" w:fill="000000"/>
          <w:fitText w:val="-20" w:id="-893744625"/>
          <w14:textFill>
            <w14:solidFill>
              <w14:schemeClr w14:val="tx1">
                <w14:alpha w14:val="100000"/>
                <w14:lumMod w14:val="95000"/>
                <w14:lumOff w14:val="5000"/>
              </w14:schemeClr>
            </w14:solidFill>
          </w14:textFill>
        </w:rPr>
        <w:t xml:space="preserve">|  </w:t>
      </w:r>
      <w:r w:rsidR="00E26C98" w:rsidRPr="002311C6">
        <w:rPr>
          <w:spacing w:val="-69"/>
          <w:w w:val="15"/>
          <w:shd w:val="solid" w:color="000000" w:fill="000000"/>
          <w:fitText w:val="-20" w:id="-893744625"/>
          <w14:textFill>
            <w14:solidFill>
              <w14:schemeClr w14:val="tx1">
                <w14:alpha w14:val="100000"/>
                <w14:lumMod w14:val="95000"/>
                <w14:lumOff w14:val="5000"/>
              </w14:schemeClr>
            </w14:solidFill>
          </w14:textFill>
        </w:rPr>
        <w:t>|</w:t>
      </w:r>
      <w:r w:rsidRPr="00C30625">
        <w:t>%</w:t>
      </w:r>
      <w:r w:rsidR="000A1426" w:rsidRPr="00C30625">
        <w:t xml:space="preserve"> (due to the</w:t>
      </w:r>
      <w:r w:rsidR="002C14F6" w:rsidRPr="00C30625">
        <w:t xml:space="preserve"> </w:t>
      </w:r>
      <w:r w:rsidR="009E34F6" w:rsidRPr="00C30625">
        <w:t xml:space="preserve">method of </w:t>
      </w:r>
      <w:r w:rsidR="009E34F6" w:rsidRPr="00C30625">
        <w:lastRenderedPageBreak/>
        <w:t xml:space="preserve">applying the HR to the </w:t>
      </w:r>
      <w:r w:rsidR="00B012A1" w:rsidRPr="00C30625">
        <w:t>ivosidenib curve)</w:t>
      </w:r>
      <w:r w:rsidR="00D124F0" w:rsidRPr="00C30625">
        <w:t>. H</w:t>
      </w:r>
      <w:r w:rsidRPr="00C30625">
        <w:t xml:space="preserve">owever, </w:t>
      </w:r>
      <w:r w:rsidR="00B012A1" w:rsidRPr="00C30625">
        <w:t xml:space="preserve">when applied to the </w:t>
      </w:r>
      <w:r w:rsidR="00A41083" w:rsidRPr="00C30625">
        <w:t xml:space="preserve">respecified base case this increased the ICER from </w:t>
      </w:r>
      <w:r w:rsidR="00A41083" w:rsidRPr="00C30625">
        <w:rPr>
          <w:szCs w:val="24"/>
        </w:rPr>
        <w:t>$</w:t>
      </w:r>
      <w:r w:rsidR="00FD2DBA" w:rsidRPr="00FD2DBA">
        <w:rPr>
          <w:szCs w:val="24"/>
        </w:rPr>
        <w:t>135,000</w:t>
      </w:r>
      <w:r w:rsidR="00403C4F">
        <w:rPr>
          <w:szCs w:val="24"/>
        </w:rPr>
        <w:t> </w:t>
      </w:r>
      <w:r w:rsidR="00FD2DBA" w:rsidRPr="00FD2DBA">
        <w:rPr>
          <w:szCs w:val="24"/>
        </w:rPr>
        <w:t>to</w:t>
      </w:r>
      <w:r w:rsidR="00403C4F">
        <w:rPr>
          <w:szCs w:val="24"/>
        </w:rPr>
        <w:t> </w:t>
      </w:r>
      <w:r w:rsidR="00FD2DBA" w:rsidRPr="00FD2DBA">
        <w:rPr>
          <w:szCs w:val="24"/>
        </w:rPr>
        <w:t>&lt;</w:t>
      </w:r>
      <w:r w:rsidR="00403C4F">
        <w:rPr>
          <w:szCs w:val="24"/>
        </w:rPr>
        <w:t> </w:t>
      </w:r>
      <w:r w:rsidR="00FD2DBA" w:rsidRPr="00FD2DBA">
        <w:rPr>
          <w:szCs w:val="24"/>
        </w:rPr>
        <w:t>$155,000</w:t>
      </w:r>
      <w:r w:rsidR="00403C4F">
        <w:rPr>
          <w:szCs w:val="24"/>
        </w:rPr>
        <w:t xml:space="preserve"> </w:t>
      </w:r>
      <w:r w:rsidR="00A41083" w:rsidRPr="00C30625">
        <w:rPr>
          <w:szCs w:val="24"/>
        </w:rPr>
        <w:t>to $</w:t>
      </w:r>
      <w:r w:rsidR="00FD2DBA" w:rsidRPr="00FD2DBA">
        <w:rPr>
          <w:szCs w:val="24"/>
        </w:rPr>
        <w:t>135,000</w:t>
      </w:r>
      <w:r w:rsidR="00403C4F">
        <w:rPr>
          <w:szCs w:val="24"/>
        </w:rPr>
        <w:t> </w:t>
      </w:r>
      <w:r w:rsidR="00FD2DBA" w:rsidRPr="00FD2DBA">
        <w:rPr>
          <w:szCs w:val="24"/>
        </w:rPr>
        <w:t>to</w:t>
      </w:r>
      <w:r w:rsidR="00403C4F">
        <w:rPr>
          <w:szCs w:val="24"/>
        </w:rPr>
        <w:t> </w:t>
      </w:r>
      <w:r w:rsidR="00FD2DBA" w:rsidRPr="00FD2DBA">
        <w:rPr>
          <w:szCs w:val="24"/>
        </w:rPr>
        <w:t>&lt;</w:t>
      </w:r>
      <w:r w:rsidR="00403C4F">
        <w:rPr>
          <w:szCs w:val="24"/>
        </w:rPr>
        <w:t> </w:t>
      </w:r>
      <w:r w:rsidR="00FD2DBA" w:rsidRPr="00FD2DBA">
        <w:rPr>
          <w:szCs w:val="24"/>
        </w:rPr>
        <w:t xml:space="preserve"> $155,000</w:t>
      </w:r>
      <w:r w:rsidR="00403C4F">
        <w:rPr>
          <w:szCs w:val="24"/>
        </w:rPr>
        <w:t xml:space="preserve"> </w:t>
      </w:r>
      <w:r w:rsidR="00A41083" w:rsidRPr="00C30625">
        <w:rPr>
          <w:szCs w:val="24"/>
        </w:rPr>
        <w:t>per QALY.</w:t>
      </w:r>
      <w:bookmarkEnd w:id="71"/>
      <w:r w:rsidR="00AD4161" w:rsidRPr="00C30625">
        <w:rPr>
          <w:szCs w:val="24"/>
        </w:rPr>
        <w:t xml:space="preserve"> </w:t>
      </w:r>
      <w:r w:rsidR="001832A3">
        <w:rPr>
          <w:szCs w:val="24"/>
        </w:rPr>
        <w:t xml:space="preserve">The pre-PBAC response argued that </w:t>
      </w:r>
      <w:r w:rsidR="001832A3">
        <w:t xml:space="preserve">the submission base case approach, which did not include FOLFOX, was considered reasonable to reduce the uncertainty in the model, given the identified limitations in the data (as described in paragraph </w:t>
      </w:r>
      <w:r w:rsidR="001832A3">
        <w:fldChar w:fldCharType="begin" w:fldLock="1"/>
      </w:r>
      <w:r w:rsidR="001832A3">
        <w:instrText xml:space="preserve"> REF _Ref169517852 \r \h </w:instrText>
      </w:r>
      <w:r w:rsidR="001832A3">
        <w:fldChar w:fldCharType="separate"/>
      </w:r>
      <w:r w:rsidR="00CB6594">
        <w:t>6.70</w:t>
      </w:r>
      <w:r w:rsidR="001832A3">
        <w:fldChar w:fldCharType="end"/>
      </w:r>
      <w:r w:rsidR="001832A3">
        <w:t>). However the PBAC noted that excluding FOLFOX as a comparator was not necessarily conservative and is likely to overestimate the modelled benefit for ivosidenib in Australian</w:t>
      </w:r>
      <w:r w:rsidR="006D4804">
        <w:t xml:space="preserve"> clinical</w:t>
      </w:r>
      <w:r w:rsidR="001832A3">
        <w:t xml:space="preserve"> practice.</w:t>
      </w:r>
      <w:r w:rsidR="00990787">
        <w:t xml:space="preserve"> </w:t>
      </w:r>
    </w:p>
    <w:p w14:paraId="48326220" w14:textId="77777777" w:rsidR="004D1A12" w:rsidRPr="00AB222B" w:rsidRDefault="004D1A12" w:rsidP="00AB222B">
      <w:pPr>
        <w:pStyle w:val="PBACESHeading2"/>
        <w:numPr>
          <w:ilvl w:val="2"/>
          <w:numId w:val="0"/>
        </w:numPr>
        <w:rPr>
          <w:rFonts w:asciiTheme="minorHAnsi" w:hAnsiTheme="minorHAnsi" w:cstheme="minorHAnsi"/>
          <w:color w:val="0D0D0D" w:themeColor="text1" w:themeTint="F2"/>
        </w:rPr>
      </w:pPr>
      <w:bookmarkStart w:id="74" w:name="_Toc166763152"/>
      <w:r w:rsidRPr="00AB222B">
        <w:rPr>
          <w:rFonts w:asciiTheme="minorHAnsi" w:hAnsiTheme="minorHAnsi" w:cstheme="minorHAnsi"/>
          <w:color w:val="0D0D0D" w:themeColor="text1" w:themeTint="F2"/>
        </w:rPr>
        <w:t>Drug cost/patient/course</w:t>
      </w:r>
      <w:bookmarkEnd w:id="45"/>
      <w:bookmarkEnd w:id="74"/>
    </w:p>
    <w:p w14:paraId="4FEB52B8" w14:textId="0CD5C5D6" w:rsidR="004D1A12" w:rsidRPr="003E7195" w:rsidRDefault="004D1A12" w:rsidP="004D1A12">
      <w:pPr>
        <w:pStyle w:val="TableFigureHeading"/>
        <w:rPr>
          <w:rStyle w:val="CommentReference"/>
          <w:b/>
          <w:color w:val="0D0D0D" w:themeColor="text1" w:themeTint="F2"/>
        </w:rPr>
      </w:pPr>
      <w:r w:rsidRPr="003E7195">
        <w:rPr>
          <w:color w:val="0D0D0D" w:themeColor="text1" w:themeTint="F2"/>
        </w:rPr>
        <w:t xml:space="preserve">Table </w:t>
      </w:r>
      <w:r w:rsidRPr="003E7195">
        <w:rPr>
          <w:color w:val="0D0D0D" w:themeColor="text1" w:themeTint="F2"/>
        </w:rPr>
        <w:fldChar w:fldCharType="begin" w:fldLock="1"/>
      </w:r>
      <w:r w:rsidRPr="003E7195">
        <w:rPr>
          <w:color w:val="0D0D0D" w:themeColor="text1" w:themeTint="F2"/>
        </w:rPr>
        <w:instrText xml:space="preserve"> SEQ Table_PBAC. \* ARABIC </w:instrText>
      </w:r>
      <w:r w:rsidRPr="003E7195">
        <w:rPr>
          <w:color w:val="0D0D0D" w:themeColor="text1" w:themeTint="F2"/>
        </w:rPr>
        <w:fldChar w:fldCharType="separate"/>
      </w:r>
      <w:r w:rsidR="00CB6594">
        <w:rPr>
          <w:noProof/>
          <w:color w:val="0D0D0D" w:themeColor="text1" w:themeTint="F2"/>
        </w:rPr>
        <w:t>15</w:t>
      </w:r>
      <w:r w:rsidRPr="003E7195">
        <w:rPr>
          <w:color w:val="0D0D0D" w:themeColor="text1" w:themeTint="F2"/>
        </w:rPr>
        <w:fldChar w:fldCharType="end"/>
      </w:r>
      <w:r w:rsidR="00403C4F">
        <w:rPr>
          <w:color w:val="0D0D0D" w:themeColor="text1" w:themeTint="F2"/>
        </w:rPr>
        <w:t xml:space="preserve">: </w:t>
      </w:r>
      <w:r w:rsidRPr="003E7195">
        <w:rPr>
          <w:rStyle w:val="CommentReference"/>
          <w:b/>
          <w:color w:val="0D0D0D" w:themeColor="text1" w:themeTint="F2"/>
        </w:rPr>
        <w:t>Drug cost per patient for ivosidenib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Drug cost per patient for ivosidenib"/>
      </w:tblPr>
      <w:tblGrid>
        <w:gridCol w:w="2254"/>
        <w:gridCol w:w="2254"/>
        <w:gridCol w:w="2254"/>
        <w:gridCol w:w="2254"/>
      </w:tblGrid>
      <w:tr w:rsidR="004D1A12" w:rsidRPr="003E7195" w14:paraId="254C4521" w14:textId="77777777">
        <w:trPr>
          <w:cantSplit/>
          <w:tblHeader/>
          <w:jc w:val="center"/>
        </w:trPr>
        <w:tc>
          <w:tcPr>
            <w:tcW w:w="1250" w:type="pct"/>
            <w:shd w:val="clear" w:color="auto" w:fill="auto"/>
            <w:vAlign w:val="center"/>
          </w:tcPr>
          <w:p w14:paraId="11D148AB" w14:textId="77777777" w:rsidR="004D1A12" w:rsidRPr="003E7195" w:rsidRDefault="004D1A12">
            <w:pPr>
              <w:pStyle w:val="In-tableHeading"/>
              <w:jc w:val="center"/>
              <w:rPr>
                <w:color w:val="0D0D0D" w:themeColor="text1" w:themeTint="F2"/>
                <w:lang w:val="en-AU"/>
              </w:rPr>
            </w:pPr>
          </w:p>
        </w:tc>
        <w:tc>
          <w:tcPr>
            <w:tcW w:w="1250" w:type="pct"/>
            <w:shd w:val="clear" w:color="auto" w:fill="auto"/>
            <w:vAlign w:val="center"/>
          </w:tcPr>
          <w:p w14:paraId="24DD8A36" w14:textId="77777777" w:rsidR="004D1A12" w:rsidRPr="003E7195" w:rsidRDefault="004D1A12">
            <w:pPr>
              <w:pStyle w:val="In-tableHeading"/>
              <w:jc w:val="center"/>
              <w:rPr>
                <w:color w:val="0D0D0D" w:themeColor="text1" w:themeTint="F2"/>
                <w:lang w:val="en-AU"/>
              </w:rPr>
            </w:pPr>
            <w:r w:rsidRPr="003E7195">
              <w:rPr>
                <w:color w:val="0D0D0D" w:themeColor="text1" w:themeTint="F2"/>
                <w:lang w:val="en-AU"/>
              </w:rPr>
              <w:t>Trial dose and duration</w:t>
            </w:r>
          </w:p>
        </w:tc>
        <w:tc>
          <w:tcPr>
            <w:tcW w:w="1250" w:type="pct"/>
            <w:shd w:val="clear" w:color="auto" w:fill="auto"/>
            <w:vAlign w:val="center"/>
          </w:tcPr>
          <w:p w14:paraId="620BF509" w14:textId="77777777" w:rsidR="004D1A12" w:rsidRPr="003E7195" w:rsidRDefault="004D1A12">
            <w:pPr>
              <w:pStyle w:val="In-tableHeading"/>
              <w:jc w:val="center"/>
              <w:rPr>
                <w:color w:val="0D0D0D" w:themeColor="text1" w:themeTint="F2"/>
                <w:lang w:val="en-AU"/>
              </w:rPr>
            </w:pPr>
            <w:r w:rsidRPr="003E7195">
              <w:rPr>
                <w:color w:val="0D0D0D" w:themeColor="text1" w:themeTint="F2"/>
                <w:lang w:val="en-AU"/>
              </w:rPr>
              <w:t>Model</w:t>
            </w:r>
          </w:p>
        </w:tc>
        <w:tc>
          <w:tcPr>
            <w:tcW w:w="1250" w:type="pct"/>
            <w:shd w:val="clear" w:color="auto" w:fill="auto"/>
            <w:vAlign w:val="center"/>
          </w:tcPr>
          <w:p w14:paraId="7FC435AE" w14:textId="77777777" w:rsidR="004D1A12" w:rsidRPr="003E7195" w:rsidRDefault="004D1A12">
            <w:pPr>
              <w:pStyle w:val="In-tableHeading"/>
              <w:jc w:val="center"/>
              <w:rPr>
                <w:color w:val="0D0D0D" w:themeColor="text1" w:themeTint="F2"/>
                <w:lang w:val="en-AU"/>
              </w:rPr>
            </w:pPr>
            <w:r w:rsidRPr="003E7195">
              <w:rPr>
                <w:color w:val="0D0D0D" w:themeColor="text1" w:themeTint="F2"/>
                <w:lang w:val="en-AU"/>
              </w:rPr>
              <w:t>Financial estimates</w:t>
            </w:r>
          </w:p>
        </w:tc>
      </w:tr>
      <w:tr w:rsidR="004D1A12" w:rsidRPr="003E7195" w14:paraId="6EC04D5F" w14:textId="77777777">
        <w:trPr>
          <w:cantSplit/>
          <w:jc w:val="center"/>
        </w:trPr>
        <w:tc>
          <w:tcPr>
            <w:tcW w:w="1250" w:type="pct"/>
            <w:shd w:val="clear" w:color="auto" w:fill="auto"/>
            <w:vAlign w:val="center"/>
          </w:tcPr>
          <w:p w14:paraId="7A04D2A2" w14:textId="77777777" w:rsidR="004D1A12" w:rsidRPr="003E7195" w:rsidRDefault="004D1A12">
            <w:pPr>
              <w:pStyle w:val="TableText"/>
              <w:rPr>
                <w:color w:val="0D0D0D" w:themeColor="text1" w:themeTint="F2"/>
              </w:rPr>
            </w:pPr>
            <w:r w:rsidRPr="003E7195">
              <w:rPr>
                <w:color w:val="0D0D0D" w:themeColor="text1" w:themeTint="F2"/>
              </w:rPr>
              <w:t>Mean dose per day</w:t>
            </w:r>
          </w:p>
        </w:tc>
        <w:tc>
          <w:tcPr>
            <w:tcW w:w="1250" w:type="pct"/>
            <w:shd w:val="clear" w:color="auto" w:fill="auto"/>
            <w:vAlign w:val="center"/>
          </w:tcPr>
          <w:p w14:paraId="26119447" w14:textId="77777777" w:rsidR="004D1A12" w:rsidRPr="003E7195" w:rsidRDefault="004D1A12">
            <w:pPr>
              <w:pStyle w:val="TableText"/>
              <w:jc w:val="center"/>
              <w:rPr>
                <w:bCs/>
                <w:color w:val="0D0D0D" w:themeColor="text1" w:themeTint="F2"/>
              </w:rPr>
            </w:pPr>
            <w:r w:rsidRPr="003E7195">
              <w:rPr>
                <w:bCs/>
                <w:color w:val="0D0D0D" w:themeColor="text1" w:themeTint="F2"/>
              </w:rPr>
              <w:t>478.9 mg</w:t>
            </w:r>
          </w:p>
        </w:tc>
        <w:tc>
          <w:tcPr>
            <w:tcW w:w="1250" w:type="pct"/>
            <w:shd w:val="clear" w:color="auto" w:fill="auto"/>
            <w:vAlign w:val="center"/>
          </w:tcPr>
          <w:p w14:paraId="0B72325A" w14:textId="77777777" w:rsidR="004D1A12" w:rsidRPr="003E7195" w:rsidRDefault="004D1A12">
            <w:pPr>
              <w:pStyle w:val="TableText"/>
              <w:jc w:val="center"/>
              <w:rPr>
                <w:bCs/>
                <w:color w:val="0D0D0D" w:themeColor="text1" w:themeTint="F2"/>
                <w:vertAlign w:val="superscript"/>
              </w:rPr>
            </w:pPr>
            <w:r w:rsidRPr="003E7195">
              <w:rPr>
                <w:bCs/>
                <w:color w:val="0D0D0D" w:themeColor="text1" w:themeTint="F2"/>
              </w:rPr>
              <w:t xml:space="preserve">479.4mg </w:t>
            </w:r>
            <w:r w:rsidRPr="003E7195">
              <w:rPr>
                <w:bCs/>
                <w:color w:val="0D0D0D" w:themeColor="text1" w:themeTint="F2"/>
                <w:vertAlign w:val="superscript"/>
              </w:rPr>
              <w:t>a</w:t>
            </w:r>
          </w:p>
        </w:tc>
        <w:tc>
          <w:tcPr>
            <w:tcW w:w="1250" w:type="pct"/>
            <w:shd w:val="clear" w:color="auto" w:fill="auto"/>
            <w:vAlign w:val="center"/>
          </w:tcPr>
          <w:p w14:paraId="37024FE8" w14:textId="77777777" w:rsidR="004D1A12" w:rsidRPr="003E7195" w:rsidRDefault="004D1A12">
            <w:pPr>
              <w:pStyle w:val="TableText"/>
              <w:jc w:val="center"/>
              <w:rPr>
                <w:b/>
                <w:color w:val="0D0D0D" w:themeColor="text1" w:themeTint="F2"/>
                <w:vertAlign w:val="superscript"/>
              </w:rPr>
            </w:pPr>
            <w:r w:rsidRPr="003E7195">
              <w:rPr>
                <w:bCs/>
                <w:color w:val="0D0D0D" w:themeColor="text1" w:themeTint="F2"/>
              </w:rPr>
              <w:t xml:space="preserve">479.4mg </w:t>
            </w:r>
            <w:r w:rsidRPr="003E7195">
              <w:rPr>
                <w:bCs/>
                <w:color w:val="0D0D0D" w:themeColor="text1" w:themeTint="F2"/>
                <w:vertAlign w:val="superscript"/>
              </w:rPr>
              <w:t>a</w:t>
            </w:r>
          </w:p>
        </w:tc>
      </w:tr>
      <w:tr w:rsidR="004D1A12" w:rsidRPr="003E7195" w14:paraId="7F12C174" w14:textId="77777777">
        <w:trPr>
          <w:cantSplit/>
          <w:jc w:val="center"/>
        </w:trPr>
        <w:tc>
          <w:tcPr>
            <w:tcW w:w="1250" w:type="pct"/>
            <w:shd w:val="clear" w:color="auto" w:fill="auto"/>
            <w:vAlign w:val="center"/>
          </w:tcPr>
          <w:p w14:paraId="62652A66" w14:textId="77777777" w:rsidR="004D1A12" w:rsidRPr="003E7195" w:rsidRDefault="004D1A12">
            <w:pPr>
              <w:pStyle w:val="TableText"/>
              <w:rPr>
                <w:color w:val="0D0D0D" w:themeColor="text1" w:themeTint="F2"/>
              </w:rPr>
            </w:pPr>
            <w:r w:rsidRPr="003E7195">
              <w:rPr>
                <w:color w:val="0D0D0D" w:themeColor="text1" w:themeTint="F2"/>
              </w:rPr>
              <w:t>Mean duration (months)</w:t>
            </w:r>
          </w:p>
        </w:tc>
        <w:tc>
          <w:tcPr>
            <w:tcW w:w="1250" w:type="pct"/>
            <w:shd w:val="clear" w:color="auto" w:fill="auto"/>
            <w:vAlign w:val="center"/>
          </w:tcPr>
          <w:p w14:paraId="5E1872AE" w14:textId="77777777" w:rsidR="004D1A12" w:rsidRPr="003E7195" w:rsidRDefault="004D1A12">
            <w:pPr>
              <w:pStyle w:val="TableText"/>
              <w:jc w:val="center"/>
              <w:rPr>
                <w:bCs/>
                <w:color w:val="0D0D0D" w:themeColor="text1" w:themeTint="F2"/>
              </w:rPr>
            </w:pPr>
            <w:r w:rsidRPr="003E7195">
              <w:rPr>
                <w:bCs/>
                <w:color w:val="0D0D0D" w:themeColor="text1" w:themeTint="F2"/>
              </w:rPr>
              <w:t>6.3</w:t>
            </w:r>
          </w:p>
        </w:tc>
        <w:tc>
          <w:tcPr>
            <w:tcW w:w="1250" w:type="pct"/>
            <w:shd w:val="clear" w:color="auto" w:fill="auto"/>
            <w:vAlign w:val="center"/>
          </w:tcPr>
          <w:p w14:paraId="6AF45F11" w14:textId="77777777" w:rsidR="004D1A12" w:rsidRPr="003E7195" w:rsidRDefault="004D1A12">
            <w:pPr>
              <w:pStyle w:val="TableText"/>
              <w:jc w:val="center"/>
              <w:rPr>
                <w:bCs/>
                <w:color w:val="0D0D0D" w:themeColor="text1" w:themeTint="F2"/>
              </w:rPr>
            </w:pPr>
            <w:r w:rsidRPr="003E7195">
              <w:rPr>
                <w:bCs/>
                <w:color w:val="0D0D0D" w:themeColor="text1" w:themeTint="F2"/>
              </w:rPr>
              <w:t>5.8</w:t>
            </w:r>
          </w:p>
        </w:tc>
        <w:tc>
          <w:tcPr>
            <w:tcW w:w="1250" w:type="pct"/>
            <w:shd w:val="clear" w:color="auto" w:fill="auto"/>
            <w:vAlign w:val="center"/>
          </w:tcPr>
          <w:p w14:paraId="3BEFF18F" w14:textId="77777777" w:rsidR="004D1A12" w:rsidRPr="003E7195" w:rsidRDefault="004D1A12">
            <w:pPr>
              <w:pStyle w:val="TableText"/>
              <w:jc w:val="center"/>
              <w:rPr>
                <w:bCs/>
                <w:color w:val="0D0D0D" w:themeColor="text1" w:themeTint="F2"/>
              </w:rPr>
            </w:pPr>
            <w:r w:rsidRPr="003E7195">
              <w:rPr>
                <w:bCs/>
                <w:color w:val="0D0D0D" w:themeColor="text1" w:themeTint="F2"/>
              </w:rPr>
              <w:t>5.8</w:t>
            </w:r>
          </w:p>
        </w:tc>
      </w:tr>
      <w:tr w:rsidR="004D1A12" w:rsidRPr="003E7195" w14:paraId="4A4BDE27" w14:textId="77777777">
        <w:trPr>
          <w:cantSplit/>
          <w:jc w:val="center"/>
        </w:trPr>
        <w:tc>
          <w:tcPr>
            <w:tcW w:w="1250" w:type="pct"/>
            <w:shd w:val="clear" w:color="auto" w:fill="auto"/>
            <w:vAlign w:val="center"/>
          </w:tcPr>
          <w:p w14:paraId="0D947C6D" w14:textId="77777777" w:rsidR="004D1A12" w:rsidRPr="003E7195" w:rsidRDefault="004D1A12">
            <w:pPr>
              <w:pStyle w:val="TableText"/>
              <w:rPr>
                <w:color w:val="0D0D0D" w:themeColor="text1" w:themeTint="F2"/>
              </w:rPr>
            </w:pPr>
            <w:r w:rsidRPr="003E7195">
              <w:rPr>
                <w:color w:val="0D0D0D" w:themeColor="text1" w:themeTint="F2"/>
              </w:rPr>
              <w:t>Cost/patient/month</w:t>
            </w:r>
          </w:p>
        </w:tc>
        <w:tc>
          <w:tcPr>
            <w:tcW w:w="1250" w:type="pct"/>
            <w:shd w:val="clear" w:color="auto" w:fill="auto"/>
            <w:vAlign w:val="center"/>
          </w:tcPr>
          <w:p w14:paraId="147609B0" w14:textId="55FF935B" w:rsidR="004D1A12" w:rsidRPr="003E7195" w:rsidRDefault="004D1A12">
            <w:pPr>
              <w:pStyle w:val="TableT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c>
          <w:tcPr>
            <w:tcW w:w="1250" w:type="pct"/>
            <w:shd w:val="clear" w:color="auto" w:fill="auto"/>
            <w:vAlign w:val="center"/>
          </w:tcPr>
          <w:p w14:paraId="0F5E5F3C" w14:textId="37FC526C" w:rsidR="004D1A12" w:rsidRPr="003E7195" w:rsidRDefault="004D1A12">
            <w:pPr>
              <w:pStyle w:val="TableT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c>
          <w:tcPr>
            <w:tcW w:w="1250" w:type="pct"/>
            <w:shd w:val="clear" w:color="auto" w:fill="auto"/>
            <w:vAlign w:val="center"/>
          </w:tcPr>
          <w:p w14:paraId="3278406A" w14:textId="774A2EB7" w:rsidR="004D1A12" w:rsidRPr="003E7195" w:rsidRDefault="004D1A12">
            <w:pPr>
              <w:pStyle w:val="TableT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r>
      <w:tr w:rsidR="004D1A12" w:rsidRPr="003E7195" w14:paraId="17889C1B" w14:textId="77777777">
        <w:trPr>
          <w:cantSplit/>
          <w:jc w:val="center"/>
        </w:trPr>
        <w:tc>
          <w:tcPr>
            <w:tcW w:w="1250" w:type="pct"/>
            <w:shd w:val="clear" w:color="auto" w:fill="auto"/>
            <w:vAlign w:val="center"/>
          </w:tcPr>
          <w:p w14:paraId="5B96481F" w14:textId="77777777" w:rsidR="004D1A12" w:rsidRPr="003E7195" w:rsidRDefault="004D1A12">
            <w:pPr>
              <w:pStyle w:val="TableText"/>
              <w:rPr>
                <w:color w:val="0D0D0D" w:themeColor="text1" w:themeTint="F2"/>
              </w:rPr>
            </w:pPr>
            <w:r w:rsidRPr="003E7195">
              <w:rPr>
                <w:color w:val="0D0D0D" w:themeColor="text1" w:themeTint="F2"/>
              </w:rPr>
              <w:t>Cost/patient//course</w:t>
            </w:r>
          </w:p>
        </w:tc>
        <w:tc>
          <w:tcPr>
            <w:tcW w:w="1250" w:type="pct"/>
            <w:shd w:val="clear" w:color="auto" w:fill="auto"/>
            <w:vAlign w:val="center"/>
          </w:tcPr>
          <w:p w14:paraId="2F59B1D1" w14:textId="29996BAD" w:rsidR="004D1A12" w:rsidRPr="003E7195" w:rsidRDefault="004D1A12">
            <w:pPr>
              <w:pStyle w:val="TableT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c>
          <w:tcPr>
            <w:tcW w:w="1250" w:type="pct"/>
            <w:shd w:val="clear" w:color="auto" w:fill="auto"/>
            <w:vAlign w:val="center"/>
          </w:tcPr>
          <w:p w14:paraId="1F076FA0" w14:textId="257F46B3" w:rsidR="004D1A12" w:rsidRPr="003E7195" w:rsidRDefault="004D1A12">
            <w:pPr>
              <w:pStyle w:val="TableT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c>
          <w:tcPr>
            <w:tcW w:w="1250" w:type="pct"/>
            <w:shd w:val="clear" w:color="auto" w:fill="auto"/>
            <w:vAlign w:val="center"/>
          </w:tcPr>
          <w:p w14:paraId="7B5218A6" w14:textId="71F2EF57" w:rsidR="004D1A12" w:rsidRPr="003E7195" w:rsidRDefault="004D1A12">
            <w:pPr>
              <w:pStyle w:val="TableText"/>
              <w:jc w:val="center"/>
              <w:rPr>
                <w:color w:val="0D0D0D" w:themeColor="text1" w:themeTint="F2"/>
              </w:rPr>
            </w:pPr>
            <w:r w:rsidRPr="003E7195">
              <w:rPr>
                <w:color w:val="0D0D0D" w:themeColor="text1" w:themeTint="F2"/>
              </w:rPr>
              <w:t>$</w:t>
            </w:r>
            <w:r w:rsidR="00E26C98" w:rsidRPr="00E26C98">
              <w:rPr>
                <w:color w:val="0D0D0D" w:themeColor="text1" w:themeTint="F2"/>
                <w:shd w:val="solid" w:color="000000" w:fill="000000"/>
                <w14:textFill>
                  <w14:solidFill>
                    <w14:schemeClr w14:val="tx1">
                      <w14:alpha w14:val="100000"/>
                      <w14:lumMod w14:val="95000"/>
                      <w14:lumOff w14:val="5000"/>
                    </w14:schemeClr>
                  </w14:solidFill>
                </w14:textFill>
              </w:rPr>
              <w:t>|</w:t>
            </w:r>
          </w:p>
        </w:tc>
      </w:tr>
    </w:tbl>
    <w:p w14:paraId="6ED97EC3" w14:textId="57FAD008" w:rsidR="004D1A12" w:rsidRPr="003E7195" w:rsidRDefault="004D1A12" w:rsidP="004D1A12">
      <w:pPr>
        <w:pStyle w:val="TableFigureFooter"/>
        <w:rPr>
          <w:color w:val="0D0D0D" w:themeColor="text1" w:themeTint="F2"/>
        </w:rPr>
      </w:pPr>
      <w:r w:rsidRPr="003E7195">
        <w:rPr>
          <w:color w:val="0D0D0D" w:themeColor="text1" w:themeTint="F2"/>
        </w:rPr>
        <w:t xml:space="preserve">Source: Table 2-37,  of the submission and Sheet “Index Tx costs” of the “3.1_Ivosidenib cost-effectiveness model’ workbook </w:t>
      </w:r>
    </w:p>
    <w:p w14:paraId="5AB939E9" w14:textId="11038BBF" w:rsidR="004D1A12" w:rsidRDefault="004D1A12" w:rsidP="004D1A12">
      <w:pPr>
        <w:pStyle w:val="TableFigureFooter"/>
        <w:rPr>
          <w:color w:val="0D0D0D" w:themeColor="text1" w:themeTint="F2"/>
        </w:rPr>
      </w:pPr>
      <w:r w:rsidRPr="003E7195">
        <w:rPr>
          <w:color w:val="0D0D0D" w:themeColor="text1" w:themeTint="F2"/>
          <w:vertAlign w:val="superscript"/>
        </w:rPr>
        <w:t xml:space="preserve">a </w:t>
      </w:r>
      <w:r w:rsidRPr="003E7195">
        <w:rPr>
          <w:color w:val="0D0D0D" w:themeColor="text1" w:themeTint="F2"/>
        </w:rPr>
        <w:t xml:space="preserve">Assuming dose intensity of 95.9% </w:t>
      </w:r>
    </w:p>
    <w:bookmarkEnd w:id="46"/>
    <w:p w14:paraId="5AD29046" w14:textId="04A63608" w:rsidR="00F95E04" w:rsidRPr="00181B1F" w:rsidRDefault="00F95E04" w:rsidP="007E0187">
      <w:pPr>
        <w:pStyle w:val="ListParagraph"/>
      </w:pPr>
      <w:r w:rsidRPr="00181B1F">
        <w:t xml:space="preserve">The mean duration of ivosidenib treatment was longer in the trial when compared to the economic model as patients in the ClarIDHy trial were allowed to continue their ivosidenib therapy beyond treatment progression. However, </w:t>
      </w:r>
      <w:r w:rsidR="00A64348" w:rsidRPr="00C30625">
        <w:t xml:space="preserve">the </w:t>
      </w:r>
      <w:r w:rsidRPr="00181B1F">
        <w:t xml:space="preserve">requested PBS restriction specifies that patients are no longer eligible for ivosidenib treatment after disease progression. The </w:t>
      </w:r>
      <w:r w:rsidR="009B714D" w:rsidRPr="00C30625">
        <w:t>submission stated the</w:t>
      </w:r>
      <w:r w:rsidRPr="00181B1F">
        <w:t xml:space="preserve"> mean duration of treatment utilised in the economic model and financial analyses, after adjustment for PFS, is more likely to reflect clinical practice. </w:t>
      </w:r>
      <w:r w:rsidR="000D5435">
        <w:t>In the ESC respecified base case (with ToT based on extrapolated ClarIDHy data without capping at PFS) the mean duration of treatment increased to 6.</w:t>
      </w:r>
      <w:r w:rsidR="00BE3CDC">
        <w:t>4</w:t>
      </w:r>
      <w:r w:rsidR="000D5435">
        <w:t xml:space="preserve"> months.</w:t>
      </w:r>
    </w:p>
    <w:p w14:paraId="068C40DF" w14:textId="77777777" w:rsidR="005E79F8" w:rsidRPr="005E79F8" w:rsidRDefault="005E79F8" w:rsidP="005E79F8">
      <w:pPr>
        <w:pStyle w:val="PBACESHeading2"/>
        <w:numPr>
          <w:ilvl w:val="2"/>
          <w:numId w:val="0"/>
        </w:numPr>
        <w:rPr>
          <w:rFonts w:asciiTheme="minorHAnsi" w:hAnsiTheme="minorHAnsi" w:cstheme="minorHAnsi"/>
          <w:color w:val="0D0D0D" w:themeColor="text1" w:themeTint="F2"/>
        </w:rPr>
      </w:pPr>
      <w:bookmarkStart w:id="75" w:name="_Toc166763153"/>
      <w:bookmarkStart w:id="76" w:name="_Toc95298233"/>
      <w:bookmarkStart w:id="77" w:name="_Toc166763155"/>
      <w:bookmarkEnd w:id="47"/>
      <w:bookmarkEnd w:id="48"/>
      <w:r w:rsidRPr="005E79F8">
        <w:rPr>
          <w:rFonts w:asciiTheme="minorHAnsi" w:hAnsiTheme="minorHAnsi" w:cstheme="minorHAnsi"/>
          <w:color w:val="0D0D0D" w:themeColor="text1" w:themeTint="F2"/>
        </w:rPr>
        <w:t>Estimated PBS &amp; financial implications</w:t>
      </w:r>
      <w:bookmarkEnd w:id="75"/>
    </w:p>
    <w:p w14:paraId="7FA39854" w14:textId="320D7D3D" w:rsidR="005E79F8" w:rsidRPr="003E7195" w:rsidRDefault="005E79F8" w:rsidP="007E0187">
      <w:pPr>
        <w:pStyle w:val="ListParagraph"/>
      </w:pPr>
      <w:r w:rsidRPr="003E7195">
        <w:t>This submission w</w:t>
      </w:r>
      <w:r>
        <w:t>as</w:t>
      </w:r>
      <w:r w:rsidRPr="003E7195">
        <w:t xml:space="preserve"> considered by DUSC. An epidemiological approach was used to estimate the use and costs of </w:t>
      </w:r>
      <w:r w:rsidRPr="003E7195">
        <w:rPr>
          <w:i/>
          <w:iCs/>
        </w:rPr>
        <w:t xml:space="preserve">IDH1 </w:t>
      </w:r>
      <w:r w:rsidRPr="003E7195">
        <w:t xml:space="preserve">testing and ivosidenib treatment. </w:t>
      </w:r>
    </w:p>
    <w:p w14:paraId="4217CCC5" w14:textId="1D06D8CE" w:rsidR="005E79F8" w:rsidRPr="003E7195" w:rsidRDefault="005E79F8" w:rsidP="007E0187">
      <w:pPr>
        <w:pStyle w:val="ListParagraph"/>
      </w:pPr>
      <w:r w:rsidRPr="003E7195">
        <w:t xml:space="preserve">The key inputs in the financial analysis are summarised in </w:t>
      </w:r>
      <w:r w:rsidRPr="003E7195">
        <w:fldChar w:fldCharType="begin" w:fldLock="1"/>
      </w:r>
      <w:r w:rsidRPr="003E7195">
        <w:instrText xml:space="preserve"> REF _Ref164016423 \h </w:instrText>
      </w:r>
      <w:r w:rsidRPr="003E7195">
        <w:fldChar w:fldCharType="separate"/>
      </w:r>
      <w:r w:rsidR="00CB6594" w:rsidRPr="003E7195">
        <w:t xml:space="preserve">Table </w:t>
      </w:r>
      <w:r w:rsidR="00CB6594">
        <w:rPr>
          <w:noProof/>
        </w:rPr>
        <w:t>16</w:t>
      </w:r>
      <w:r w:rsidRPr="003E7195">
        <w:fldChar w:fldCharType="end"/>
      </w:r>
      <w:r w:rsidRPr="003E7195">
        <w:t xml:space="preserve">. </w:t>
      </w:r>
    </w:p>
    <w:p w14:paraId="26177DF4" w14:textId="535F32BA" w:rsidR="005E79F8" w:rsidRPr="003E7195" w:rsidRDefault="005E79F8" w:rsidP="005E79F8">
      <w:pPr>
        <w:pStyle w:val="TableFigureHeading"/>
        <w:rPr>
          <w:rStyle w:val="CommentReference"/>
          <w:b/>
          <w:color w:val="0D0D0D" w:themeColor="text1" w:themeTint="F2"/>
        </w:rPr>
      </w:pPr>
      <w:bookmarkStart w:id="78" w:name="_Ref164016423"/>
      <w:r w:rsidRPr="003E7195">
        <w:rPr>
          <w:color w:val="0D0D0D" w:themeColor="text1" w:themeTint="F2"/>
        </w:rPr>
        <w:t xml:space="preserve">Table </w:t>
      </w:r>
      <w:r w:rsidRPr="003E7195">
        <w:rPr>
          <w:color w:val="0D0D0D" w:themeColor="text1" w:themeTint="F2"/>
        </w:rPr>
        <w:fldChar w:fldCharType="begin" w:fldLock="1"/>
      </w:r>
      <w:r w:rsidRPr="003E7195">
        <w:rPr>
          <w:color w:val="0D0D0D" w:themeColor="text1" w:themeTint="F2"/>
        </w:rPr>
        <w:instrText xml:space="preserve"> SEQ Table_PBAC. \* ARABIC </w:instrText>
      </w:r>
      <w:r w:rsidRPr="003E7195">
        <w:rPr>
          <w:color w:val="0D0D0D" w:themeColor="text1" w:themeTint="F2"/>
        </w:rPr>
        <w:fldChar w:fldCharType="separate"/>
      </w:r>
      <w:r w:rsidR="00CB6594">
        <w:rPr>
          <w:noProof/>
          <w:color w:val="0D0D0D" w:themeColor="text1" w:themeTint="F2"/>
        </w:rPr>
        <w:t>16</w:t>
      </w:r>
      <w:r w:rsidRPr="003E7195">
        <w:rPr>
          <w:color w:val="0D0D0D" w:themeColor="text1" w:themeTint="F2"/>
        </w:rPr>
        <w:fldChar w:fldCharType="end"/>
      </w:r>
      <w:bookmarkEnd w:id="78"/>
      <w:r w:rsidR="00403C4F">
        <w:rPr>
          <w:color w:val="0D0D0D" w:themeColor="text1" w:themeTint="F2"/>
        </w:rPr>
        <w:t xml:space="preserve">: </w:t>
      </w:r>
      <w:r w:rsidRPr="003E7195">
        <w:rPr>
          <w:rStyle w:val="CommentReference"/>
          <w:b/>
          <w:color w:val="0D0D0D" w:themeColor="text1" w:themeTint="F2"/>
        </w:rPr>
        <w:t>Key inputs for financial estimates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Key inputs for financial estimates"/>
      </w:tblPr>
      <w:tblGrid>
        <w:gridCol w:w="1695"/>
        <w:gridCol w:w="2269"/>
        <w:gridCol w:w="1843"/>
        <w:gridCol w:w="3259"/>
      </w:tblGrid>
      <w:tr w:rsidR="005E79F8" w:rsidRPr="003E7195" w14:paraId="3444E125" w14:textId="77777777" w:rsidTr="00403C4F">
        <w:trPr>
          <w:tblHeader/>
        </w:trPr>
        <w:tc>
          <w:tcPr>
            <w:tcW w:w="1695" w:type="dxa"/>
            <w:vAlign w:val="center"/>
          </w:tcPr>
          <w:p w14:paraId="6E47D20E" w14:textId="77777777" w:rsidR="005E79F8" w:rsidRPr="003E7195" w:rsidRDefault="005E79F8" w:rsidP="00FE7D97">
            <w:pPr>
              <w:pStyle w:val="In-tableHeading"/>
              <w:rPr>
                <w:color w:val="0D0D0D" w:themeColor="text1" w:themeTint="F2"/>
                <w:lang w:val="en-AU"/>
              </w:rPr>
            </w:pPr>
            <w:r w:rsidRPr="003E7195">
              <w:rPr>
                <w:color w:val="0D0D0D" w:themeColor="text1" w:themeTint="F2"/>
                <w:lang w:val="en-AU"/>
              </w:rPr>
              <w:t>Data</w:t>
            </w:r>
          </w:p>
        </w:tc>
        <w:tc>
          <w:tcPr>
            <w:tcW w:w="2269" w:type="dxa"/>
            <w:vAlign w:val="center"/>
          </w:tcPr>
          <w:p w14:paraId="545249D0" w14:textId="77777777"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Value applied</w:t>
            </w:r>
          </w:p>
        </w:tc>
        <w:tc>
          <w:tcPr>
            <w:tcW w:w="1843" w:type="dxa"/>
            <w:vAlign w:val="center"/>
          </w:tcPr>
          <w:p w14:paraId="73E68B99" w14:textId="77777777"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Source</w:t>
            </w:r>
          </w:p>
        </w:tc>
        <w:tc>
          <w:tcPr>
            <w:tcW w:w="3259" w:type="dxa"/>
            <w:vAlign w:val="center"/>
          </w:tcPr>
          <w:p w14:paraId="6E866105" w14:textId="6D12B7CB"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Comment</w:t>
            </w:r>
            <w:r>
              <w:rPr>
                <w:color w:val="0D0D0D" w:themeColor="text1" w:themeTint="F2"/>
                <w:lang w:val="en-AU"/>
              </w:rPr>
              <w:t>s</w:t>
            </w:r>
          </w:p>
        </w:tc>
      </w:tr>
      <w:tr w:rsidR="005E79F8" w:rsidRPr="003E7195" w14:paraId="7037E757" w14:textId="77777777" w:rsidTr="00FE7D97">
        <w:tc>
          <w:tcPr>
            <w:tcW w:w="9066" w:type="dxa"/>
            <w:gridSpan w:val="4"/>
            <w:vAlign w:val="center"/>
          </w:tcPr>
          <w:p w14:paraId="517E2AAC" w14:textId="77777777" w:rsidR="005E79F8" w:rsidRPr="003E7195" w:rsidRDefault="005E79F8" w:rsidP="00FE7D97">
            <w:pPr>
              <w:pStyle w:val="In-tableHeading"/>
              <w:rPr>
                <w:color w:val="0D0D0D" w:themeColor="text1" w:themeTint="F2"/>
                <w:lang w:val="en-AU"/>
              </w:rPr>
            </w:pPr>
            <w:r w:rsidRPr="003E7195">
              <w:rPr>
                <w:color w:val="0D0D0D" w:themeColor="text1" w:themeTint="F2"/>
                <w:lang w:val="en-AU"/>
              </w:rPr>
              <w:t>Eligible population</w:t>
            </w:r>
          </w:p>
        </w:tc>
      </w:tr>
      <w:tr w:rsidR="005E79F8" w:rsidRPr="003E7195" w14:paraId="28C742DB"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2BB2F329" w14:textId="77777777" w:rsidR="005E79F8" w:rsidRPr="003E7195" w:rsidRDefault="005E79F8" w:rsidP="00FE7D97">
            <w:pPr>
              <w:pStyle w:val="TableText"/>
              <w:rPr>
                <w:color w:val="0D0D0D" w:themeColor="text1" w:themeTint="F2"/>
              </w:rPr>
            </w:pPr>
            <w:r w:rsidRPr="003E7195">
              <w:rPr>
                <w:color w:val="0D0D0D" w:themeColor="text1" w:themeTint="F2"/>
              </w:rPr>
              <w:t>eCCA incidence</w:t>
            </w:r>
          </w:p>
        </w:tc>
        <w:tc>
          <w:tcPr>
            <w:tcW w:w="2269" w:type="dxa"/>
            <w:tcBorders>
              <w:top w:val="single" w:sz="4" w:space="0" w:color="auto"/>
              <w:left w:val="single" w:sz="4" w:space="0" w:color="auto"/>
              <w:bottom w:val="single" w:sz="4" w:space="0" w:color="auto"/>
              <w:right w:val="single" w:sz="4" w:space="0" w:color="auto"/>
            </w:tcBorders>
            <w:vAlign w:val="center"/>
          </w:tcPr>
          <w:p w14:paraId="0B273DCB" w14:textId="4FBF0961" w:rsidR="005E79F8" w:rsidRPr="003E7195" w:rsidRDefault="00E26C98" w:rsidP="00FE7D97">
            <w:pPr>
              <w:pStyle w:val="TableText"/>
              <w:rPr>
                <w:color w:val="0D0D0D" w:themeColor="text1" w:themeTint="F2"/>
              </w:rPr>
            </w:pPr>
            <w:r w:rsidRPr="00E26C98">
              <w:rPr>
                <w:color w:val="0D0D0D" w:themeColor="text1" w:themeTint="F2"/>
                <w:spacing w:val="53"/>
                <w:shd w:val="solid" w:color="000000" w:fill="000000"/>
                <w:fitText w:val="330" w:id="-89374462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30" w:id="-893744624"/>
                <w14:textFill>
                  <w14:solidFill>
                    <w14:schemeClr w14:val="tx1">
                      <w14:alpha w14:val="100000"/>
                      <w14:lumMod w14:val="95000"/>
                      <w14:lumOff w14:val="5000"/>
                    </w14:schemeClr>
                  </w14:solidFill>
                </w14:textFill>
              </w:rPr>
              <w:t>|</w:t>
            </w:r>
            <w:r w:rsidR="00FD2DBA" w:rsidRPr="003B0EA5">
              <w:rPr>
                <w:color w:val="0D0D0D" w:themeColor="text1" w:themeTint="F2"/>
                <w:vertAlign w:val="superscript"/>
              </w:rPr>
              <w:t>1</w:t>
            </w:r>
            <w:r w:rsidR="005E79F8" w:rsidRPr="003E7195">
              <w:rPr>
                <w:color w:val="0D0D0D" w:themeColor="text1" w:themeTint="F2"/>
              </w:rPr>
              <w:t xml:space="preserve"> in Year 1 of listing (2025), increasing to </w:t>
            </w:r>
            <w:r w:rsidRPr="00E26C98">
              <w:rPr>
                <w:color w:val="0D0D0D" w:themeColor="text1" w:themeTint="F2"/>
                <w:spacing w:val="53"/>
                <w:shd w:val="solid" w:color="000000" w:fill="000000"/>
                <w:fitText w:val="330" w:id="-89374464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30" w:id="-893744640"/>
                <w14:textFill>
                  <w14:solidFill>
                    <w14:schemeClr w14:val="tx1">
                      <w14:alpha w14:val="100000"/>
                      <w14:lumMod w14:val="95000"/>
                      <w14:lumOff w14:val="5000"/>
                    </w14:schemeClr>
                  </w14:solidFill>
                </w14:textFill>
              </w:rPr>
              <w:t>|</w:t>
            </w:r>
            <w:r w:rsidR="00A005F3" w:rsidRPr="003B0EA5">
              <w:rPr>
                <w:color w:val="0D0D0D" w:themeColor="text1" w:themeTint="F2"/>
                <w:vertAlign w:val="superscript"/>
              </w:rPr>
              <w:t>2</w:t>
            </w:r>
            <w:r w:rsidR="005E79F8" w:rsidRPr="003E7195">
              <w:rPr>
                <w:color w:val="0D0D0D" w:themeColor="text1" w:themeTint="F2"/>
              </w:rPr>
              <w:t xml:space="preserve"> in Year 6 (2030)</w:t>
            </w:r>
          </w:p>
        </w:tc>
        <w:tc>
          <w:tcPr>
            <w:tcW w:w="1843" w:type="dxa"/>
            <w:vMerge w:val="restart"/>
            <w:tcBorders>
              <w:top w:val="single" w:sz="4" w:space="0" w:color="auto"/>
              <w:left w:val="single" w:sz="4" w:space="0" w:color="auto"/>
              <w:right w:val="single" w:sz="4" w:space="0" w:color="auto"/>
            </w:tcBorders>
            <w:vAlign w:val="center"/>
          </w:tcPr>
          <w:p w14:paraId="7B7A5CAD" w14:textId="77777777" w:rsidR="005E79F8" w:rsidRPr="003E7195" w:rsidRDefault="005E79F8" w:rsidP="00FE7D97">
            <w:pPr>
              <w:pStyle w:val="TableText"/>
              <w:rPr>
                <w:color w:val="0D0D0D" w:themeColor="text1" w:themeTint="F2"/>
              </w:rPr>
            </w:pPr>
            <w:r w:rsidRPr="003E7195">
              <w:rPr>
                <w:color w:val="0D0D0D" w:themeColor="text1" w:themeTint="F2"/>
              </w:rPr>
              <w:t xml:space="preserve">Calculated based on sponsor-commissioned incidence data from AIHW in 2015-2019. Assuming a linear projection from 2019 to 2030 for each CCA subtype, except for the overlapping CCA. </w:t>
            </w:r>
          </w:p>
        </w:tc>
        <w:tc>
          <w:tcPr>
            <w:tcW w:w="3259" w:type="dxa"/>
            <w:vMerge w:val="restart"/>
            <w:tcBorders>
              <w:top w:val="single" w:sz="4" w:space="0" w:color="auto"/>
              <w:left w:val="single" w:sz="4" w:space="0" w:color="auto"/>
              <w:right w:val="single" w:sz="4" w:space="0" w:color="auto"/>
            </w:tcBorders>
            <w:vAlign w:val="center"/>
          </w:tcPr>
          <w:p w14:paraId="373303EC" w14:textId="05F822F9" w:rsidR="005E79F8" w:rsidRPr="005E79F8" w:rsidRDefault="005E79F8" w:rsidP="00FE7D97">
            <w:pPr>
              <w:pStyle w:val="TableText"/>
              <w:rPr>
                <w:color w:val="0D0D0D" w:themeColor="text1" w:themeTint="F2"/>
              </w:rPr>
            </w:pPr>
            <w:r w:rsidRPr="005E79F8">
              <w:rPr>
                <w:color w:val="0D0D0D" w:themeColor="text1" w:themeTint="F2"/>
              </w:rPr>
              <w:t xml:space="preserve">The commentary </w:t>
            </w:r>
            <w:r>
              <w:rPr>
                <w:color w:val="0D0D0D" w:themeColor="text1" w:themeTint="F2"/>
              </w:rPr>
              <w:t xml:space="preserve">noted </w:t>
            </w:r>
            <w:r w:rsidRPr="005E79F8">
              <w:rPr>
                <w:color w:val="0D0D0D" w:themeColor="text1" w:themeTint="F2"/>
              </w:rPr>
              <w:t xml:space="preserve">it remained uncertain whether patients with a diagnosis of biliary tract (NOS) cancer would be deemed eligible for ivosidenib in clinical practice. </w:t>
            </w:r>
          </w:p>
          <w:p w14:paraId="20424113" w14:textId="40BEAE0C" w:rsidR="005E79F8" w:rsidRPr="003E7195" w:rsidRDefault="005E79F8" w:rsidP="00FE7D97">
            <w:pPr>
              <w:pStyle w:val="TableText"/>
              <w:rPr>
                <w:i/>
                <w:iCs/>
                <w:color w:val="0D0D0D" w:themeColor="text1" w:themeTint="F2"/>
              </w:rPr>
            </w:pPr>
            <w:r w:rsidRPr="005E79F8">
              <w:t xml:space="preserve">DUSC considered this to be reasonable and noted patients with </w:t>
            </w:r>
            <w:r w:rsidR="000930E2">
              <w:t>CCA</w:t>
            </w:r>
            <w:r w:rsidRPr="005E79F8">
              <w:t xml:space="preserve"> would likely be prescribed ivosidenib in practice if there was an </w:t>
            </w:r>
            <w:r w:rsidRPr="00E97604">
              <w:rPr>
                <w:i/>
                <w:iCs/>
              </w:rPr>
              <w:t>IDH1</w:t>
            </w:r>
            <w:r w:rsidRPr="005E79F8">
              <w:t xml:space="preserve"> mutation.</w:t>
            </w:r>
          </w:p>
        </w:tc>
      </w:tr>
      <w:tr w:rsidR="005E79F8" w:rsidRPr="003E7195" w14:paraId="3725C5E3"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7F5C93F0" w14:textId="77777777" w:rsidR="005E79F8" w:rsidRPr="003E7195" w:rsidRDefault="005E79F8" w:rsidP="00FE7D97">
            <w:pPr>
              <w:pStyle w:val="TableText"/>
              <w:rPr>
                <w:color w:val="0D0D0D" w:themeColor="text1" w:themeTint="F2"/>
              </w:rPr>
            </w:pPr>
            <w:r w:rsidRPr="003E7195">
              <w:rPr>
                <w:color w:val="0D0D0D" w:themeColor="text1" w:themeTint="F2"/>
              </w:rPr>
              <w:t xml:space="preserve">iCCA incidence </w:t>
            </w:r>
          </w:p>
        </w:tc>
        <w:tc>
          <w:tcPr>
            <w:tcW w:w="2269" w:type="dxa"/>
            <w:tcBorders>
              <w:top w:val="single" w:sz="4" w:space="0" w:color="auto"/>
              <w:left w:val="single" w:sz="4" w:space="0" w:color="auto"/>
              <w:bottom w:val="single" w:sz="4" w:space="0" w:color="auto"/>
              <w:right w:val="single" w:sz="4" w:space="0" w:color="auto"/>
            </w:tcBorders>
            <w:vAlign w:val="center"/>
          </w:tcPr>
          <w:p w14:paraId="1DA449DD" w14:textId="31647AA8" w:rsidR="005E79F8" w:rsidRPr="003E7195" w:rsidRDefault="00E26C98" w:rsidP="00FE7D97">
            <w:pPr>
              <w:pStyle w:val="TableText"/>
              <w:rPr>
                <w:color w:val="0D0D0D" w:themeColor="text1" w:themeTint="F2"/>
              </w:rPr>
            </w:pPr>
            <w:r w:rsidRPr="00E26C98">
              <w:rPr>
                <w:color w:val="0D0D0D" w:themeColor="text1" w:themeTint="F2"/>
                <w:spacing w:val="53"/>
                <w:shd w:val="solid" w:color="000000" w:fill="000000"/>
                <w:fitText w:val="330" w:id="-89374463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30" w:id="-893744639"/>
                <w14:textFill>
                  <w14:solidFill>
                    <w14:schemeClr w14:val="tx1">
                      <w14:alpha w14:val="100000"/>
                      <w14:lumMod w14:val="95000"/>
                      <w14:lumOff w14:val="5000"/>
                    </w14:schemeClr>
                  </w14:solidFill>
                </w14:textFill>
              </w:rPr>
              <w:t>|</w:t>
            </w:r>
            <w:r w:rsidR="005E79F8" w:rsidRPr="003E7195">
              <w:rPr>
                <w:color w:val="0D0D0D" w:themeColor="text1" w:themeTint="F2"/>
              </w:rPr>
              <w:t xml:space="preserve"> </w:t>
            </w:r>
            <w:r w:rsidR="00A005F3" w:rsidRPr="007E7DCE">
              <w:rPr>
                <w:color w:val="0D0D0D" w:themeColor="text1" w:themeTint="F2"/>
                <w:vertAlign w:val="superscript"/>
              </w:rPr>
              <w:t>2</w:t>
            </w:r>
            <w:r w:rsidR="00403C4F">
              <w:rPr>
                <w:color w:val="0D0D0D" w:themeColor="text1" w:themeTint="F2"/>
                <w:vertAlign w:val="superscript"/>
              </w:rPr>
              <w:t xml:space="preserve"> </w:t>
            </w:r>
            <w:r w:rsidR="005E79F8" w:rsidRPr="003E7195">
              <w:rPr>
                <w:color w:val="0D0D0D" w:themeColor="text1" w:themeTint="F2"/>
              </w:rPr>
              <w:t xml:space="preserve">in Year 1, increasing to </w:t>
            </w:r>
            <w:r w:rsidRPr="00E26C98">
              <w:rPr>
                <w:color w:val="0D0D0D" w:themeColor="text1" w:themeTint="F2"/>
                <w:spacing w:val="53"/>
                <w:shd w:val="solid" w:color="000000" w:fill="000000"/>
                <w:fitText w:val="330" w:id="-89374463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30" w:id="-893744638"/>
                <w14:textFill>
                  <w14:solidFill>
                    <w14:schemeClr w14:val="tx1">
                      <w14:alpha w14:val="100000"/>
                      <w14:lumMod w14:val="95000"/>
                      <w14:lumOff w14:val="5000"/>
                    </w14:schemeClr>
                  </w14:solidFill>
                </w14:textFill>
              </w:rPr>
              <w:t>|</w:t>
            </w:r>
            <w:r w:rsidR="005E79F8" w:rsidRPr="003E7195">
              <w:rPr>
                <w:color w:val="0D0D0D" w:themeColor="text1" w:themeTint="F2"/>
              </w:rPr>
              <w:t xml:space="preserve"> </w:t>
            </w:r>
            <w:r w:rsidR="00A005F3" w:rsidRPr="007E7DCE">
              <w:rPr>
                <w:color w:val="0D0D0D" w:themeColor="text1" w:themeTint="F2"/>
                <w:vertAlign w:val="superscript"/>
              </w:rPr>
              <w:t>2</w:t>
            </w:r>
            <w:r w:rsidR="00403C4F">
              <w:rPr>
                <w:color w:val="0D0D0D" w:themeColor="text1" w:themeTint="F2"/>
                <w:vertAlign w:val="superscript"/>
              </w:rPr>
              <w:t xml:space="preserve"> </w:t>
            </w:r>
            <w:r w:rsidR="005E79F8" w:rsidRPr="003E7195">
              <w:rPr>
                <w:color w:val="0D0D0D" w:themeColor="text1" w:themeTint="F2"/>
              </w:rPr>
              <w:t>in Year 6</w:t>
            </w:r>
          </w:p>
        </w:tc>
        <w:tc>
          <w:tcPr>
            <w:tcW w:w="1843" w:type="dxa"/>
            <w:vMerge/>
            <w:tcBorders>
              <w:left w:val="single" w:sz="4" w:space="0" w:color="auto"/>
              <w:right w:val="single" w:sz="4" w:space="0" w:color="auto"/>
            </w:tcBorders>
            <w:vAlign w:val="center"/>
          </w:tcPr>
          <w:p w14:paraId="42B25783" w14:textId="77777777" w:rsidR="005E79F8" w:rsidRPr="003E7195" w:rsidRDefault="005E79F8" w:rsidP="00FE7D97">
            <w:pPr>
              <w:pStyle w:val="TableText"/>
              <w:rPr>
                <w:color w:val="0D0D0D" w:themeColor="text1" w:themeTint="F2"/>
              </w:rPr>
            </w:pPr>
          </w:p>
        </w:tc>
        <w:tc>
          <w:tcPr>
            <w:tcW w:w="3259" w:type="dxa"/>
            <w:vMerge/>
            <w:tcBorders>
              <w:left w:val="single" w:sz="4" w:space="0" w:color="auto"/>
              <w:right w:val="single" w:sz="4" w:space="0" w:color="auto"/>
            </w:tcBorders>
            <w:vAlign w:val="center"/>
          </w:tcPr>
          <w:p w14:paraId="4ED40738" w14:textId="77777777" w:rsidR="005E79F8" w:rsidRPr="003E7195" w:rsidRDefault="005E79F8" w:rsidP="00FE7D97">
            <w:pPr>
              <w:pStyle w:val="TableText"/>
              <w:rPr>
                <w:color w:val="0D0D0D" w:themeColor="text1" w:themeTint="F2"/>
              </w:rPr>
            </w:pPr>
          </w:p>
        </w:tc>
      </w:tr>
      <w:tr w:rsidR="005E79F8" w:rsidRPr="003E7195" w14:paraId="667439A2"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3F256770" w14:textId="77777777" w:rsidR="005E79F8" w:rsidRPr="003E7195" w:rsidRDefault="005E79F8" w:rsidP="00FE7D97">
            <w:pPr>
              <w:pStyle w:val="TableText"/>
              <w:rPr>
                <w:color w:val="0D0D0D" w:themeColor="text1" w:themeTint="F2"/>
              </w:rPr>
            </w:pPr>
            <w:r w:rsidRPr="003E7195">
              <w:rPr>
                <w:color w:val="0D0D0D" w:themeColor="text1" w:themeTint="F2"/>
              </w:rPr>
              <w:t xml:space="preserve">Biliary tract (NOS) CCA incidence </w:t>
            </w:r>
          </w:p>
        </w:tc>
        <w:tc>
          <w:tcPr>
            <w:tcW w:w="2269" w:type="dxa"/>
            <w:tcBorders>
              <w:top w:val="single" w:sz="4" w:space="0" w:color="auto"/>
              <w:left w:val="single" w:sz="4" w:space="0" w:color="auto"/>
              <w:bottom w:val="single" w:sz="4" w:space="0" w:color="auto"/>
              <w:right w:val="single" w:sz="4" w:space="0" w:color="auto"/>
            </w:tcBorders>
            <w:vAlign w:val="center"/>
          </w:tcPr>
          <w:p w14:paraId="18FE0297" w14:textId="075C89E9" w:rsidR="005E79F8" w:rsidRPr="003E7195" w:rsidRDefault="00E26C98" w:rsidP="00FE7D97">
            <w:pPr>
              <w:pStyle w:val="TableText"/>
              <w:rPr>
                <w:color w:val="0D0D0D" w:themeColor="text1" w:themeTint="F2"/>
              </w:rPr>
            </w:pPr>
            <w:r w:rsidRPr="00E26C98">
              <w:rPr>
                <w:color w:val="0D0D0D" w:themeColor="text1" w:themeTint="F2"/>
                <w:spacing w:val="53"/>
                <w:shd w:val="solid" w:color="000000" w:fill="000000"/>
                <w:fitText w:val="330" w:id="-89374463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30" w:id="-893744637"/>
                <w14:textFill>
                  <w14:solidFill>
                    <w14:schemeClr w14:val="tx1">
                      <w14:alpha w14:val="100000"/>
                      <w14:lumMod w14:val="95000"/>
                      <w14:lumOff w14:val="5000"/>
                    </w14:schemeClr>
                  </w14:solidFill>
                </w14:textFill>
              </w:rPr>
              <w:t>|</w:t>
            </w:r>
            <w:r w:rsidR="00FD2DBA" w:rsidRPr="007E7DCE">
              <w:rPr>
                <w:color w:val="0D0D0D" w:themeColor="text1" w:themeTint="F2"/>
                <w:vertAlign w:val="superscript"/>
              </w:rPr>
              <w:t>1</w:t>
            </w:r>
            <w:r w:rsidR="005E79F8" w:rsidRPr="003E7195">
              <w:rPr>
                <w:color w:val="0D0D0D" w:themeColor="text1" w:themeTint="F2"/>
              </w:rPr>
              <w:t xml:space="preserve"> in Year 1, increasing to </w:t>
            </w:r>
            <w:r w:rsidRPr="007D44DA">
              <w:rPr>
                <w:color w:val="0D0D0D" w:themeColor="text1" w:themeTint="F2"/>
                <w:spacing w:val="53"/>
                <w:shd w:val="solid" w:color="000000" w:fill="000000"/>
                <w:fitText w:val="330" w:id="-893744636"/>
                <w14:textFill>
                  <w14:solidFill>
                    <w14:schemeClr w14:val="tx1">
                      <w14:alpha w14:val="100000"/>
                      <w14:lumMod w14:val="95000"/>
                      <w14:lumOff w14:val="5000"/>
                    </w14:schemeClr>
                  </w14:solidFill>
                </w14:textFill>
              </w:rPr>
              <w:t>|||</w:t>
            </w:r>
            <w:r w:rsidRPr="007D44DA">
              <w:rPr>
                <w:color w:val="0D0D0D" w:themeColor="text1" w:themeTint="F2"/>
                <w:spacing w:val="1"/>
                <w:shd w:val="solid" w:color="000000" w:fill="000000"/>
                <w:fitText w:val="330" w:id="-893744636"/>
                <w14:textFill>
                  <w14:solidFill>
                    <w14:schemeClr w14:val="tx1">
                      <w14:alpha w14:val="100000"/>
                      <w14:lumMod w14:val="95000"/>
                      <w14:lumOff w14:val="5000"/>
                    </w14:schemeClr>
                  </w14:solidFill>
                </w14:textFill>
              </w:rPr>
              <w:t>|</w:t>
            </w:r>
            <w:r w:rsidR="00FD2DBA" w:rsidRPr="007E7DCE">
              <w:rPr>
                <w:color w:val="0D0D0D" w:themeColor="text1" w:themeTint="F2"/>
                <w:vertAlign w:val="superscript"/>
              </w:rPr>
              <w:t>1</w:t>
            </w:r>
            <w:r w:rsidR="005E79F8" w:rsidRPr="003E7195">
              <w:rPr>
                <w:color w:val="0D0D0D" w:themeColor="text1" w:themeTint="F2"/>
              </w:rPr>
              <w:t xml:space="preserve"> in Year 6</w:t>
            </w:r>
          </w:p>
        </w:tc>
        <w:tc>
          <w:tcPr>
            <w:tcW w:w="1843" w:type="dxa"/>
            <w:vMerge/>
            <w:tcBorders>
              <w:left w:val="single" w:sz="4" w:space="0" w:color="auto"/>
              <w:right w:val="single" w:sz="4" w:space="0" w:color="auto"/>
            </w:tcBorders>
            <w:vAlign w:val="center"/>
          </w:tcPr>
          <w:p w14:paraId="63B61898" w14:textId="77777777" w:rsidR="005E79F8" w:rsidRPr="003E7195" w:rsidRDefault="005E79F8" w:rsidP="00FE7D97">
            <w:pPr>
              <w:pStyle w:val="TableText"/>
              <w:rPr>
                <w:color w:val="0D0D0D" w:themeColor="text1" w:themeTint="F2"/>
              </w:rPr>
            </w:pPr>
          </w:p>
        </w:tc>
        <w:tc>
          <w:tcPr>
            <w:tcW w:w="3259" w:type="dxa"/>
            <w:vMerge/>
            <w:tcBorders>
              <w:left w:val="single" w:sz="4" w:space="0" w:color="auto"/>
              <w:right w:val="single" w:sz="4" w:space="0" w:color="auto"/>
            </w:tcBorders>
            <w:vAlign w:val="center"/>
          </w:tcPr>
          <w:p w14:paraId="5BDA72D5" w14:textId="77777777" w:rsidR="005E79F8" w:rsidRPr="003E7195" w:rsidRDefault="005E79F8" w:rsidP="00FE7D97">
            <w:pPr>
              <w:pStyle w:val="TableText"/>
              <w:rPr>
                <w:color w:val="0D0D0D" w:themeColor="text1" w:themeTint="F2"/>
              </w:rPr>
            </w:pPr>
          </w:p>
        </w:tc>
      </w:tr>
      <w:tr w:rsidR="005E79F8" w:rsidRPr="003E7195" w14:paraId="292F1FFF" w14:textId="77777777" w:rsidTr="00403C4F">
        <w:trPr>
          <w:trHeight w:val="178"/>
        </w:trPr>
        <w:tc>
          <w:tcPr>
            <w:tcW w:w="1695" w:type="dxa"/>
            <w:tcBorders>
              <w:top w:val="single" w:sz="4" w:space="0" w:color="auto"/>
              <w:left w:val="single" w:sz="4" w:space="0" w:color="auto"/>
              <w:right w:val="single" w:sz="4" w:space="0" w:color="auto"/>
            </w:tcBorders>
            <w:vAlign w:val="center"/>
          </w:tcPr>
          <w:p w14:paraId="13D3D70B" w14:textId="77777777" w:rsidR="005E79F8" w:rsidRPr="003E7195" w:rsidRDefault="005E79F8" w:rsidP="00FE7D97">
            <w:pPr>
              <w:pStyle w:val="TableText"/>
              <w:rPr>
                <w:color w:val="0D0D0D" w:themeColor="text1" w:themeTint="F2"/>
              </w:rPr>
            </w:pPr>
            <w:r w:rsidRPr="003E7195">
              <w:rPr>
                <w:color w:val="0D0D0D" w:themeColor="text1" w:themeTint="F2"/>
              </w:rPr>
              <w:t>Overlapping CCA incidence</w:t>
            </w:r>
          </w:p>
        </w:tc>
        <w:tc>
          <w:tcPr>
            <w:tcW w:w="2269" w:type="dxa"/>
            <w:tcBorders>
              <w:top w:val="single" w:sz="4" w:space="0" w:color="auto"/>
              <w:left w:val="single" w:sz="4" w:space="0" w:color="auto"/>
              <w:right w:val="single" w:sz="4" w:space="0" w:color="auto"/>
            </w:tcBorders>
            <w:vAlign w:val="center"/>
          </w:tcPr>
          <w:p w14:paraId="40ED76A5" w14:textId="35A981EF" w:rsidR="005E79F8" w:rsidRPr="003E7195" w:rsidRDefault="00E26C98" w:rsidP="00FE7D97">
            <w:pPr>
              <w:pStyle w:val="TableText"/>
              <w:rPr>
                <w:color w:val="0D0D0D" w:themeColor="text1" w:themeTint="F2"/>
              </w:rPr>
            </w:pPr>
            <w:r w:rsidRPr="00E26C98">
              <w:rPr>
                <w:color w:val="0D0D0D" w:themeColor="text1" w:themeTint="F2"/>
                <w:spacing w:val="53"/>
                <w:shd w:val="solid" w:color="000000" w:fill="000000"/>
                <w:fitText w:val="330" w:id="-893744635"/>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30" w:id="-893744635"/>
                <w14:textFill>
                  <w14:solidFill>
                    <w14:schemeClr w14:val="tx1">
                      <w14:alpha w14:val="100000"/>
                      <w14:lumMod w14:val="95000"/>
                      <w14:lumOff w14:val="5000"/>
                    </w14:schemeClr>
                  </w14:solidFill>
                </w14:textFill>
              </w:rPr>
              <w:t>|</w:t>
            </w:r>
            <w:r w:rsidR="00FD2DBA" w:rsidRPr="007E7DCE">
              <w:rPr>
                <w:color w:val="0D0D0D" w:themeColor="text1" w:themeTint="F2"/>
                <w:vertAlign w:val="superscript"/>
              </w:rPr>
              <w:t>1</w:t>
            </w:r>
            <w:r w:rsidR="005E79F8" w:rsidRPr="003E7195">
              <w:rPr>
                <w:color w:val="0D0D0D" w:themeColor="text1" w:themeTint="F2"/>
              </w:rPr>
              <w:t xml:space="preserve"> from Year 1 to Year 6</w:t>
            </w:r>
          </w:p>
        </w:tc>
        <w:tc>
          <w:tcPr>
            <w:tcW w:w="1843" w:type="dxa"/>
            <w:vMerge/>
            <w:tcBorders>
              <w:left w:val="single" w:sz="4" w:space="0" w:color="auto"/>
              <w:right w:val="single" w:sz="4" w:space="0" w:color="auto"/>
            </w:tcBorders>
            <w:vAlign w:val="center"/>
          </w:tcPr>
          <w:p w14:paraId="70ED73E0" w14:textId="77777777" w:rsidR="005E79F8" w:rsidRPr="003E7195" w:rsidRDefault="005E79F8" w:rsidP="00FE7D97">
            <w:pPr>
              <w:pStyle w:val="TableText"/>
              <w:rPr>
                <w:color w:val="0D0D0D" w:themeColor="text1" w:themeTint="F2"/>
              </w:rPr>
            </w:pPr>
          </w:p>
        </w:tc>
        <w:tc>
          <w:tcPr>
            <w:tcW w:w="3259" w:type="dxa"/>
            <w:vMerge/>
            <w:tcBorders>
              <w:left w:val="single" w:sz="4" w:space="0" w:color="auto"/>
              <w:right w:val="single" w:sz="4" w:space="0" w:color="auto"/>
            </w:tcBorders>
            <w:vAlign w:val="center"/>
          </w:tcPr>
          <w:p w14:paraId="608353B5" w14:textId="77777777" w:rsidR="005E79F8" w:rsidRPr="003E7195" w:rsidRDefault="005E79F8" w:rsidP="00FE7D97">
            <w:pPr>
              <w:pStyle w:val="TableText"/>
              <w:rPr>
                <w:color w:val="0D0D0D" w:themeColor="text1" w:themeTint="F2"/>
              </w:rPr>
            </w:pPr>
          </w:p>
        </w:tc>
      </w:tr>
      <w:tr w:rsidR="005E79F8" w:rsidRPr="003E7195" w14:paraId="160AAA7A"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0FEB39EE" w14:textId="77777777" w:rsidR="005E79F8" w:rsidRPr="003E7195" w:rsidRDefault="005E79F8" w:rsidP="00FE7D97">
            <w:pPr>
              <w:pStyle w:val="TableText"/>
              <w:rPr>
                <w:color w:val="0D0D0D" w:themeColor="text1" w:themeTint="F2"/>
              </w:rPr>
            </w:pPr>
            <w:r w:rsidRPr="003E7195">
              <w:rPr>
                <w:i/>
                <w:iCs/>
                <w:color w:val="0D0D0D" w:themeColor="text1" w:themeTint="F2"/>
              </w:rPr>
              <w:t xml:space="preserve">IDH1 </w:t>
            </w:r>
            <w:r w:rsidRPr="003E7195">
              <w:rPr>
                <w:color w:val="0D0D0D" w:themeColor="text1" w:themeTint="F2"/>
              </w:rPr>
              <w:t>test uptake rate</w:t>
            </w:r>
          </w:p>
        </w:tc>
        <w:tc>
          <w:tcPr>
            <w:tcW w:w="2269" w:type="dxa"/>
            <w:tcBorders>
              <w:top w:val="single" w:sz="4" w:space="0" w:color="auto"/>
              <w:left w:val="single" w:sz="4" w:space="0" w:color="auto"/>
              <w:bottom w:val="single" w:sz="4" w:space="0" w:color="auto"/>
              <w:right w:val="single" w:sz="4" w:space="0" w:color="auto"/>
            </w:tcBorders>
            <w:vAlign w:val="center"/>
          </w:tcPr>
          <w:p w14:paraId="4E1A0D17" w14:textId="425D31FC" w:rsidR="005E79F8" w:rsidRPr="003E7195" w:rsidRDefault="007D44DA" w:rsidP="00FE7D97">
            <w:pPr>
              <w:pStyle w:val="TableText"/>
              <w:rPr>
                <w:color w:val="0D0D0D" w:themeColor="text1" w:themeTint="F2"/>
              </w:rPr>
            </w:pPr>
            <w:r w:rsidRPr="007D44DA">
              <w:rPr>
                <w:color w:val="0D0D0D" w:themeColor="text1" w:themeTint="F2"/>
                <w:spacing w:val="287"/>
                <w:shd w:val="solid" w:color="000000" w:fill="000000"/>
                <w:fitText w:val="330" w:id="-893744636"/>
                <w14:textFill>
                  <w14:solidFill>
                    <w14:schemeClr w14:val="tx1">
                      <w14:alpha w14:val="100000"/>
                      <w14:lumMod w14:val="95000"/>
                      <w14:lumOff w14:val="5000"/>
                    </w14:schemeClr>
                  </w14:solidFill>
                </w14:textFill>
              </w:rPr>
              <w:t>|</w:t>
            </w:r>
            <w:r w:rsidR="005E79F8" w:rsidRPr="007D44DA">
              <w:rPr>
                <w:color w:val="0D0D0D" w:themeColor="text1" w:themeTint="F2"/>
              </w:rPr>
              <w:t>%</w:t>
            </w:r>
          </w:p>
        </w:tc>
        <w:tc>
          <w:tcPr>
            <w:tcW w:w="1843" w:type="dxa"/>
            <w:tcBorders>
              <w:top w:val="single" w:sz="4" w:space="0" w:color="auto"/>
              <w:left w:val="single" w:sz="4" w:space="0" w:color="auto"/>
              <w:bottom w:val="single" w:sz="4" w:space="0" w:color="auto"/>
              <w:right w:val="single" w:sz="4" w:space="0" w:color="auto"/>
            </w:tcBorders>
            <w:vAlign w:val="center"/>
          </w:tcPr>
          <w:p w14:paraId="58751CF2" w14:textId="77777777" w:rsidR="005E79F8" w:rsidRPr="003E7195" w:rsidRDefault="005E79F8" w:rsidP="00FE7D97">
            <w:pPr>
              <w:pStyle w:val="TableText"/>
              <w:rPr>
                <w:color w:val="0D0D0D" w:themeColor="text1" w:themeTint="F2"/>
              </w:rPr>
            </w:pPr>
            <w:r w:rsidRPr="003E7195">
              <w:rPr>
                <w:color w:val="0D0D0D" w:themeColor="text1" w:themeTint="F2"/>
              </w:rPr>
              <w:t xml:space="preserve">Sponsor assumption based on clinician </w:t>
            </w:r>
            <w:r w:rsidRPr="003E7195">
              <w:rPr>
                <w:color w:val="0D0D0D" w:themeColor="text1" w:themeTint="F2"/>
              </w:rPr>
              <w:lastRenderedPageBreak/>
              <w:t>feedback and current rates of testing</w:t>
            </w:r>
          </w:p>
        </w:tc>
        <w:tc>
          <w:tcPr>
            <w:tcW w:w="3259" w:type="dxa"/>
            <w:tcBorders>
              <w:top w:val="single" w:sz="4" w:space="0" w:color="auto"/>
              <w:left w:val="single" w:sz="4" w:space="0" w:color="auto"/>
              <w:bottom w:val="single" w:sz="4" w:space="0" w:color="auto"/>
              <w:right w:val="single" w:sz="4" w:space="0" w:color="auto"/>
            </w:tcBorders>
            <w:vAlign w:val="center"/>
          </w:tcPr>
          <w:p w14:paraId="1FE457D8" w14:textId="2C4B9FD1" w:rsidR="005E79F8" w:rsidRPr="00DC3763" w:rsidRDefault="005E79F8" w:rsidP="00FE7D97">
            <w:pPr>
              <w:pStyle w:val="TableText"/>
              <w:rPr>
                <w:color w:val="0D0D0D" w:themeColor="text1" w:themeTint="F2"/>
              </w:rPr>
            </w:pPr>
            <w:r w:rsidRPr="00DC3763">
              <w:lastRenderedPageBreak/>
              <w:t xml:space="preserve">DUSC considered the input could be increased to 95-100% as it will likely </w:t>
            </w:r>
            <w:r w:rsidRPr="00DC3763">
              <w:lastRenderedPageBreak/>
              <w:t xml:space="preserve">become routine for clinicians to test all patients diagnosed with </w:t>
            </w:r>
            <w:r w:rsidR="00E97604">
              <w:t>CCA</w:t>
            </w:r>
          </w:p>
        </w:tc>
      </w:tr>
      <w:tr w:rsidR="005E79F8" w:rsidRPr="003E7195" w14:paraId="0229C0CD"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323AB5DB" w14:textId="77777777" w:rsidR="005E79F8" w:rsidRPr="003E7195" w:rsidRDefault="005E79F8" w:rsidP="00FE7D97">
            <w:pPr>
              <w:pStyle w:val="TableText"/>
              <w:rPr>
                <w:color w:val="0D0D0D" w:themeColor="text1" w:themeTint="F2"/>
              </w:rPr>
            </w:pPr>
            <w:r w:rsidRPr="003E7195">
              <w:rPr>
                <w:color w:val="0D0D0D" w:themeColor="text1" w:themeTint="F2"/>
              </w:rPr>
              <w:lastRenderedPageBreak/>
              <w:t xml:space="preserve">Prevalence of </w:t>
            </w:r>
            <w:r w:rsidRPr="003E7195">
              <w:rPr>
                <w:i/>
                <w:iCs/>
                <w:color w:val="0D0D0D" w:themeColor="text1" w:themeTint="F2"/>
              </w:rPr>
              <w:t xml:space="preserve">IDH1 </w:t>
            </w:r>
            <w:r w:rsidRPr="003E7195">
              <w:rPr>
                <w:color w:val="0D0D0D" w:themeColor="text1" w:themeTint="F2"/>
              </w:rPr>
              <w:t>variants by cancer subtype</w:t>
            </w:r>
          </w:p>
        </w:tc>
        <w:tc>
          <w:tcPr>
            <w:tcW w:w="2269" w:type="dxa"/>
            <w:tcBorders>
              <w:top w:val="single" w:sz="4" w:space="0" w:color="auto"/>
              <w:left w:val="single" w:sz="4" w:space="0" w:color="auto"/>
              <w:bottom w:val="single" w:sz="4" w:space="0" w:color="auto"/>
              <w:right w:val="single" w:sz="4" w:space="0" w:color="auto"/>
            </w:tcBorders>
            <w:vAlign w:val="center"/>
          </w:tcPr>
          <w:p w14:paraId="115F5A7E" w14:textId="77777777" w:rsidR="005E79F8" w:rsidRPr="003E7195" w:rsidRDefault="005E79F8" w:rsidP="00FE7D97">
            <w:pPr>
              <w:pStyle w:val="TableText"/>
              <w:rPr>
                <w:color w:val="0D0D0D" w:themeColor="text1" w:themeTint="F2"/>
              </w:rPr>
            </w:pPr>
            <w:r w:rsidRPr="003E7195">
              <w:rPr>
                <w:color w:val="0D0D0D" w:themeColor="text1" w:themeTint="F2"/>
              </w:rPr>
              <w:t>iCCA: 13.1%</w:t>
            </w:r>
          </w:p>
          <w:p w14:paraId="121F55A3" w14:textId="77777777" w:rsidR="005E79F8" w:rsidRPr="003E7195" w:rsidRDefault="005E79F8" w:rsidP="00FE7D97">
            <w:pPr>
              <w:pStyle w:val="TableText"/>
              <w:rPr>
                <w:color w:val="0D0D0D" w:themeColor="text1" w:themeTint="F2"/>
              </w:rPr>
            </w:pPr>
            <w:r w:rsidRPr="003E7195">
              <w:rPr>
                <w:color w:val="0D0D0D" w:themeColor="text1" w:themeTint="F2"/>
              </w:rPr>
              <w:t>eCCA: 0.80%</w:t>
            </w:r>
          </w:p>
          <w:p w14:paraId="57251B17" w14:textId="77777777" w:rsidR="005E79F8" w:rsidRPr="003E7195" w:rsidRDefault="005E79F8" w:rsidP="00FE7D97">
            <w:pPr>
              <w:pStyle w:val="TableText"/>
              <w:rPr>
                <w:color w:val="0D0D0D" w:themeColor="text1" w:themeTint="F2"/>
              </w:rPr>
            </w:pPr>
            <w:r w:rsidRPr="003E7195">
              <w:rPr>
                <w:color w:val="0D0D0D" w:themeColor="text1" w:themeTint="F2"/>
              </w:rPr>
              <w:t>Weighted: 9.15%</w:t>
            </w:r>
          </w:p>
        </w:tc>
        <w:tc>
          <w:tcPr>
            <w:tcW w:w="1843" w:type="dxa"/>
            <w:tcBorders>
              <w:top w:val="single" w:sz="4" w:space="0" w:color="auto"/>
              <w:left w:val="single" w:sz="4" w:space="0" w:color="auto"/>
              <w:bottom w:val="single" w:sz="4" w:space="0" w:color="auto"/>
              <w:right w:val="single" w:sz="4" w:space="0" w:color="auto"/>
            </w:tcBorders>
            <w:vAlign w:val="center"/>
          </w:tcPr>
          <w:p w14:paraId="458D2922" w14:textId="77777777" w:rsidR="005E79F8" w:rsidRPr="003E7195" w:rsidRDefault="005E79F8" w:rsidP="00FE7D97">
            <w:pPr>
              <w:pStyle w:val="TableText"/>
              <w:rPr>
                <w:color w:val="0D0D0D" w:themeColor="text1" w:themeTint="F2"/>
              </w:rPr>
            </w:pPr>
            <w:r w:rsidRPr="003E7195">
              <w:rPr>
                <w:color w:val="0D0D0D" w:themeColor="text1" w:themeTint="F2"/>
              </w:rPr>
              <w:t xml:space="preserve">Boscoe </w:t>
            </w:r>
            <w:r w:rsidRPr="003E7195">
              <w:rPr>
                <w:i/>
                <w:iCs/>
                <w:color w:val="0D0D0D" w:themeColor="text1" w:themeTint="F2"/>
              </w:rPr>
              <w:t>et al</w:t>
            </w:r>
            <w:r w:rsidRPr="003E7195">
              <w:rPr>
                <w:color w:val="0D0D0D" w:themeColor="text1" w:themeTint="F2"/>
              </w:rPr>
              <w:t>. 2019</w:t>
            </w:r>
          </w:p>
        </w:tc>
        <w:tc>
          <w:tcPr>
            <w:tcW w:w="3259" w:type="dxa"/>
            <w:tcBorders>
              <w:top w:val="single" w:sz="4" w:space="0" w:color="auto"/>
              <w:left w:val="single" w:sz="4" w:space="0" w:color="auto"/>
              <w:bottom w:val="single" w:sz="4" w:space="0" w:color="auto"/>
              <w:right w:val="single" w:sz="4" w:space="0" w:color="auto"/>
            </w:tcBorders>
            <w:vAlign w:val="center"/>
          </w:tcPr>
          <w:p w14:paraId="536FC6C8" w14:textId="7AF07278" w:rsidR="005E79F8" w:rsidRPr="00DC3763" w:rsidRDefault="005E79F8" w:rsidP="00FE7D97">
            <w:pPr>
              <w:pStyle w:val="TableText"/>
              <w:rPr>
                <w:color w:val="0D0D0D" w:themeColor="text1" w:themeTint="F2"/>
              </w:rPr>
            </w:pPr>
            <w:r w:rsidRPr="00DC3763">
              <w:rPr>
                <w:color w:val="0D0D0D" w:themeColor="text1" w:themeTint="F2"/>
              </w:rPr>
              <w:t>DUSC considered this was a reasonable data source.</w:t>
            </w:r>
          </w:p>
        </w:tc>
      </w:tr>
      <w:tr w:rsidR="005E79F8" w:rsidRPr="003E7195" w14:paraId="7CBC76A3"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16D6194B" w14:textId="77777777" w:rsidR="005E79F8" w:rsidRPr="003E7195" w:rsidRDefault="005E79F8" w:rsidP="00FE7D97">
            <w:pPr>
              <w:pStyle w:val="TableText"/>
              <w:rPr>
                <w:color w:val="0D0D0D" w:themeColor="text1" w:themeTint="F2"/>
              </w:rPr>
            </w:pPr>
            <w:r w:rsidRPr="003E7195">
              <w:rPr>
                <w:color w:val="0D0D0D" w:themeColor="text1" w:themeTint="F2"/>
              </w:rPr>
              <w:t>Proportion with locally advanced, or metastatic CCA</w:t>
            </w:r>
          </w:p>
        </w:tc>
        <w:tc>
          <w:tcPr>
            <w:tcW w:w="2269" w:type="dxa"/>
            <w:tcBorders>
              <w:top w:val="single" w:sz="4" w:space="0" w:color="auto"/>
              <w:left w:val="single" w:sz="4" w:space="0" w:color="auto"/>
              <w:bottom w:val="single" w:sz="4" w:space="0" w:color="auto"/>
              <w:right w:val="single" w:sz="4" w:space="0" w:color="auto"/>
            </w:tcBorders>
            <w:vAlign w:val="center"/>
          </w:tcPr>
          <w:p w14:paraId="2E951B28" w14:textId="77777777" w:rsidR="005E79F8" w:rsidRPr="003E7195" w:rsidRDefault="005E79F8" w:rsidP="00FE7D97">
            <w:pPr>
              <w:pStyle w:val="TableText"/>
              <w:rPr>
                <w:color w:val="0D0D0D" w:themeColor="text1" w:themeTint="F2"/>
              </w:rPr>
            </w:pPr>
            <w:r w:rsidRPr="003E7195">
              <w:rPr>
                <w:color w:val="0D0D0D" w:themeColor="text1" w:themeTint="F2"/>
              </w:rPr>
              <w:t>80%</w:t>
            </w:r>
          </w:p>
        </w:tc>
        <w:tc>
          <w:tcPr>
            <w:tcW w:w="1843" w:type="dxa"/>
            <w:tcBorders>
              <w:top w:val="single" w:sz="4" w:space="0" w:color="auto"/>
              <w:left w:val="single" w:sz="4" w:space="0" w:color="auto"/>
              <w:bottom w:val="single" w:sz="4" w:space="0" w:color="auto"/>
              <w:right w:val="single" w:sz="4" w:space="0" w:color="auto"/>
            </w:tcBorders>
            <w:vAlign w:val="center"/>
          </w:tcPr>
          <w:p w14:paraId="293F8DE5" w14:textId="77777777" w:rsidR="005E79F8" w:rsidRPr="003E7195" w:rsidRDefault="005E79F8" w:rsidP="00FE7D97">
            <w:pPr>
              <w:pStyle w:val="TableText"/>
              <w:rPr>
                <w:color w:val="0D0D0D" w:themeColor="text1" w:themeTint="F2"/>
              </w:rPr>
            </w:pPr>
            <w:r w:rsidRPr="003E7195">
              <w:rPr>
                <w:color w:val="0D0D0D" w:themeColor="text1" w:themeTint="F2"/>
              </w:rPr>
              <w:t>Table 16, Durvalumab PSD, March 2023 PBAC meeting</w:t>
            </w:r>
          </w:p>
        </w:tc>
        <w:tc>
          <w:tcPr>
            <w:tcW w:w="3259" w:type="dxa"/>
            <w:tcBorders>
              <w:top w:val="single" w:sz="4" w:space="0" w:color="auto"/>
              <w:left w:val="single" w:sz="4" w:space="0" w:color="auto"/>
              <w:bottom w:val="single" w:sz="4" w:space="0" w:color="auto"/>
              <w:right w:val="single" w:sz="4" w:space="0" w:color="auto"/>
            </w:tcBorders>
            <w:vAlign w:val="center"/>
          </w:tcPr>
          <w:p w14:paraId="06336529" w14:textId="7E600C5B" w:rsidR="005E79F8" w:rsidRPr="00DC3763" w:rsidRDefault="005E79F8" w:rsidP="00FE7D97">
            <w:pPr>
              <w:pStyle w:val="TableText"/>
              <w:rPr>
                <w:color w:val="0D0D0D" w:themeColor="text1" w:themeTint="F2"/>
              </w:rPr>
            </w:pPr>
            <w:r w:rsidRPr="00DC3763">
              <w:t xml:space="preserve">DUSC considered this to be reasonable and noted studies in which 70-90% of patients diagnosed with </w:t>
            </w:r>
            <w:r w:rsidR="000930E2">
              <w:t>CCA</w:t>
            </w:r>
            <w:r w:rsidRPr="00DC3763">
              <w:t xml:space="preserve"> present with either locally advanced or metastatic disease.</w:t>
            </w:r>
            <w:r w:rsidRPr="00DC3763">
              <w:rPr>
                <w:rStyle w:val="FootnoteReference"/>
              </w:rPr>
              <w:footnoteReference w:id="22"/>
            </w:r>
          </w:p>
        </w:tc>
      </w:tr>
      <w:tr w:rsidR="005E79F8" w:rsidRPr="003E7195" w14:paraId="167D8F59"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65203383" w14:textId="7561F088" w:rsidR="005E79F8" w:rsidRPr="003E7195" w:rsidRDefault="005E79F8" w:rsidP="00FE7D97">
            <w:pPr>
              <w:pStyle w:val="TableText"/>
              <w:rPr>
                <w:color w:val="0D0D0D" w:themeColor="text1" w:themeTint="F2"/>
              </w:rPr>
            </w:pPr>
            <w:r w:rsidRPr="003E7195">
              <w:rPr>
                <w:color w:val="0D0D0D" w:themeColor="text1" w:themeTint="F2"/>
              </w:rPr>
              <w:t xml:space="preserve">Proportion progressing to </w:t>
            </w:r>
            <w:r w:rsidR="000D5435">
              <w:rPr>
                <w:color w:val="0D0D0D" w:themeColor="text1" w:themeTint="F2"/>
              </w:rPr>
              <w:t>2L</w:t>
            </w:r>
            <w:r w:rsidRPr="003E7195">
              <w:rPr>
                <w:color w:val="0D0D0D" w:themeColor="text1" w:themeTint="F2"/>
              </w:rPr>
              <w:t xml:space="preserve"> treatment </w:t>
            </w:r>
          </w:p>
        </w:tc>
        <w:tc>
          <w:tcPr>
            <w:tcW w:w="2269" w:type="dxa"/>
            <w:tcBorders>
              <w:top w:val="single" w:sz="4" w:space="0" w:color="auto"/>
              <w:left w:val="single" w:sz="4" w:space="0" w:color="auto"/>
              <w:bottom w:val="single" w:sz="4" w:space="0" w:color="auto"/>
              <w:right w:val="single" w:sz="4" w:space="0" w:color="auto"/>
            </w:tcBorders>
            <w:vAlign w:val="center"/>
          </w:tcPr>
          <w:p w14:paraId="1F6522CD" w14:textId="1B97325C" w:rsidR="005E79F8" w:rsidRPr="00080021" w:rsidRDefault="007D44DA" w:rsidP="00FE7D97">
            <w:pPr>
              <w:pStyle w:val="TableText"/>
              <w:rPr>
                <w:color w:val="0D0D0D" w:themeColor="text1" w:themeTint="F2"/>
                <w:highlight w:val="yellow"/>
              </w:rPr>
            </w:pPr>
            <w:r w:rsidRPr="007D44DA">
              <w:rPr>
                <w:color w:val="0D0D0D" w:themeColor="text1" w:themeTint="F2"/>
                <w:spacing w:val="244"/>
                <w:shd w:val="solid" w:color="000000" w:fill="000000"/>
                <w:fitText w:val="330" w:id="-893744636"/>
                <w14:textFill>
                  <w14:solidFill>
                    <w14:schemeClr w14:val="tx1">
                      <w14:alpha w14:val="100000"/>
                      <w14:lumMod w14:val="95000"/>
                      <w14:lumOff w14:val="5000"/>
                    </w14:schemeClr>
                  </w14:solidFill>
                </w14:textFill>
              </w:rPr>
              <w:t>|</w:t>
            </w:r>
            <w:r w:rsidRPr="007D44DA">
              <w:rPr>
                <w:color w:val="0D0D0D" w:themeColor="text1" w:themeTint="F2"/>
                <w:shd w:val="solid" w:color="000000" w:fill="000000"/>
                <w:fitText w:val="330" w:id="-893744636"/>
                <w14:textFill>
                  <w14:solidFill>
                    <w14:schemeClr w14:val="tx1">
                      <w14:alpha w14:val="100000"/>
                      <w14:lumMod w14:val="95000"/>
                      <w14:lumOff w14:val="5000"/>
                    </w14:schemeClr>
                  </w14:solidFill>
                </w14:textFill>
              </w:rPr>
              <w:t>|</w:t>
            </w:r>
            <w:r w:rsidR="005E79F8" w:rsidRPr="007D44DA">
              <w:rPr>
                <w:color w:val="0D0D0D" w:themeColor="text1" w:themeTint="F2"/>
              </w:rPr>
              <w:t>%</w:t>
            </w:r>
          </w:p>
        </w:tc>
        <w:tc>
          <w:tcPr>
            <w:tcW w:w="1843" w:type="dxa"/>
            <w:tcBorders>
              <w:top w:val="single" w:sz="4" w:space="0" w:color="auto"/>
              <w:left w:val="single" w:sz="4" w:space="0" w:color="auto"/>
              <w:bottom w:val="single" w:sz="4" w:space="0" w:color="auto"/>
              <w:right w:val="single" w:sz="4" w:space="0" w:color="auto"/>
            </w:tcBorders>
            <w:vAlign w:val="center"/>
          </w:tcPr>
          <w:p w14:paraId="05F4CFC5" w14:textId="77777777" w:rsidR="005E79F8" w:rsidRPr="003E7195" w:rsidRDefault="005E79F8" w:rsidP="00FE7D97">
            <w:pPr>
              <w:pStyle w:val="TableText"/>
              <w:rPr>
                <w:color w:val="0D0D0D" w:themeColor="text1" w:themeTint="F2"/>
              </w:rPr>
            </w:pPr>
            <w:r w:rsidRPr="003E7195">
              <w:rPr>
                <w:color w:val="0D0D0D" w:themeColor="text1" w:themeTint="F2"/>
              </w:rPr>
              <w:t>Sponsor assumption</w:t>
            </w:r>
          </w:p>
        </w:tc>
        <w:tc>
          <w:tcPr>
            <w:tcW w:w="3259" w:type="dxa"/>
            <w:tcBorders>
              <w:top w:val="single" w:sz="4" w:space="0" w:color="auto"/>
              <w:left w:val="single" w:sz="4" w:space="0" w:color="auto"/>
              <w:bottom w:val="single" w:sz="4" w:space="0" w:color="auto"/>
              <w:right w:val="single" w:sz="4" w:space="0" w:color="auto"/>
            </w:tcBorders>
            <w:vAlign w:val="center"/>
          </w:tcPr>
          <w:p w14:paraId="6A281303" w14:textId="77777777" w:rsidR="00403C4F" w:rsidRDefault="005E79F8" w:rsidP="005E79F8">
            <w:pPr>
              <w:pStyle w:val="Tabletext0"/>
            </w:pPr>
            <w:r w:rsidRPr="00DC3763">
              <w:t xml:space="preserve">DUSC considered this to be greatly overestimated. DUSC noted prior studies where patients experience a rapid decline in performance status following progression on </w:t>
            </w:r>
            <w:r w:rsidR="000D5435">
              <w:t>1L</w:t>
            </w:r>
            <w:r w:rsidRPr="00DC3763">
              <w:t xml:space="preserve"> therapy and only 15-25% receive </w:t>
            </w:r>
            <w:r w:rsidR="00E3328E">
              <w:t>2L</w:t>
            </w:r>
            <w:r w:rsidRPr="00DC3763">
              <w:t xml:space="preserve"> therapy. DUSC</w:t>
            </w:r>
            <w:r w:rsidR="00E3328E">
              <w:t xml:space="preserve"> noted</w:t>
            </w:r>
            <w:r w:rsidRPr="00DC3763">
              <w:t xml:space="preserve"> </w:t>
            </w:r>
            <w:r w:rsidR="00E97604">
              <w:t xml:space="preserve">a </w:t>
            </w:r>
            <w:r w:rsidR="00AF0763">
              <w:t>lower</w:t>
            </w:r>
            <w:r w:rsidR="00E97604">
              <w:t xml:space="preserve"> proportion</w:t>
            </w:r>
            <w:r w:rsidRPr="00DC3763">
              <w:t xml:space="preserve"> of patients in the TOPAZ-1 trial received second-line treatment. </w:t>
            </w:r>
            <w:r w:rsidRPr="00DC3763">
              <w:br/>
            </w:r>
          </w:p>
          <w:p w14:paraId="1BD35C03" w14:textId="2B0E9034" w:rsidR="005E79F8" w:rsidRPr="00DC3763" w:rsidRDefault="005E79F8" w:rsidP="005E79F8">
            <w:pPr>
              <w:pStyle w:val="Tabletext0"/>
            </w:pPr>
            <w:r w:rsidRPr="00DC3763">
              <w:t>DUSC noted the PSCR</w:t>
            </w:r>
            <w:r w:rsidR="00DC3763" w:rsidRPr="00DC3763">
              <w:t xml:space="preserve"> </w:t>
            </w:r>
            <w:r w:rsidRPr="00DC3763">
              <w:t xml:space="preserve">proposed to change this </w:t>
            </w:r>
            <w:r w:rsidRPr="007D44DA">
              <w:t xml:space="preserve">to </w:t>
            </w:r>
            <w:r w:rsidR="007D44DA" w:rsidRPr="007D44DA">
              <w:rPr>
                <w:color w:val="0D0D0D" w:themeColor="text1" w:themeTint="F2"/>
                <w:spacing w:val="244"/>
                <w:shd w:val="solid" w:color="000000" w:fill="000000"/>
                <w:fitText w:val="330" w:id="-893744636"/>
                <w14:textFill>
                  <w14:solidFill>
                    <w14:schemeClr w14:val="tx1">
                      <w14:alpha w14:val="100000"/>
                      <w14:lumMod w14:val="95000"/>
                      <w14:lumOff w14:val="5000"/>
                    </w14:schemeClr>
                  </w14:solidFill>
                </w14:textFill>
              </w:rPr>
              <w:t>|</w:t>
            </w:r>
            <w:r w:rsidR="007D44DA" w:rsidRPr="007D44DA">
              <w:rPr>
                <w:color w:val="0D0D0D" w:themeColor="text1" w:themeTint="F2"/>
                <w:shd w:val="solid" w:color="000000" w:fill="000000"/>
                <w:fitText w:val="330" w:id="-893744636"/>
                <w14:textFill>
                  <w14:solidFill>
                    <w14:schemeClr w14:val="tx1">
                      <w14:alpha w14:val="100000"/>
                      <w14:lumMod w14:val="95000"/>
                      <w14:lumOff w14:val="5000"/>
                    </w14:schemeClr>
                  </w14:solidFill>
                </w14:textFill>
              </w:rPr>
              <w:t>|</w:t>
            </w:r>
            <w:r w:rsidRPr="007D44DA">
              <w:t>%.</w:t>
            </w:r>
            <w:r w:rsidRPr="00DC3763">
              <w:t xml:space="preserve"> DUSC noted that </w:t>
            </w:r>
            <w:r w:rsidR="000930E2">
              <w:t>2L</w:t>
            </w:r>
            <w:r w:rsidRPr="00DC3763">
              <w:t xml:space="preserve"> treatment </w:t>
            </w:r>
            <w:r w:rsidR="000930E2">
              <w:t xml:space="preserve">with ivosidenib </w:t>
            </w:r>
            <w:r w:rsidRPr="00DC3763">
              <w:t xml:space="preserve">would be higher than </w:t>
            </w:r>
            <w:r w:rsidR="000930E2">
              <w:t>2L use of chemotherapy (as in real-world studies)</w:t>
            </w:r>
            <w:r w:rsidRPr="00DC3763">
              <w:rPr>
                <w:rStyle w:val="FootnoteReference"/>
              </w:rPr>
              <w:footnoteReference w:id="23"/>
            </w:r>
            <w:r w:rsidRPr="00DC3763">
              <w:t xml:space="preserve">, however, considered </w:t>
            </w:r>
            <w:r w:rsidR="007D44DA" w:rsidRPr="007D44DA">
              <w:rPr>
                <w:color w:val="0D0D0D" w:themeColor="text1" w:themeTint="F2"/>
                <w:spacing w:val="244"/>
                <w:shd w:val="solid" w:color="000000" w:fill="000000"/>
                <w:fitText w:val="330" w:id="-893744636"/>
                <w14:textFill>
                  <w14:solidFill>
                    <w14:schemeClr w14:val="tx1">
                      <w14:alpha w14:val="100000"/>
                      <w14:lumMod w14:val="95000"/>
                      <w14:lumOff w14:val="5000"/>
                    </w14:schemeClr>
                  </w14:solidFill>
                </w14:textFill>
              </w:rPr>
              <w:t>|</w:t>
            </w:r>
            <w:r w:rsidR="007D44DA" w:rsidRPr="007D44DA">
              <w:rPr>
                <w:color w:val="0D0D0D" w:themeColor="text1" w:themeTint="F2"/>
                <w:shd w:val="solid" w:color="000000" w:fill="000000"/>
                <w:fitText w:val="330" w:id="-893744636"/>
                <w14:textFill>
                  <w14:solidFill>
                    <w14:schemeClr w14:val="tx1">
                      <w14:alpha w14:val="100000"/>
                      <w14:lumMod w14:val="95000"/>
                      <w14:lumOff w14:val="5000"/>
                    </w14:schemeClr>
                  </w14:solidFill>
                </w14:textFill>
              </w:rPr>
              <w:t>|</w:t>
            </w:r>
            <w:r w:rsidRPr="00DC3763">
              <w:t>% would be a more appropriate estimate of patients progressing to 2L treatment, although may still be an overestimate.</w:t>
            </w:r>
          </w:p>
        </w:tc>
      </w:tr>
      <w:tr w:rsidR="005E79F8" w:rsidRPr="003E7195" w14:paraId="5855E69B"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69F0FBE8" w14:textId="77777777" w:rsidR="005E79F8" w:rsidRPr="003E7195" w:rsidRDefault="005E79F8" w:rsidP="00FE7D97">
            <w:pPr>
              <w:pStyle w:val="TableText"/>
              <w:rPr>
                <w:color w:val="0D0D0D" w:themeColor="text1" w:themeTint="F2"/>
              </w:rPr>
            </w:pPr>
            <w:r w:rsidRPr="003E7195">
              <w:rPr>
                <w:color w:val="0D0D0D" w:themeColor="text1" w:themeTint="F2"/>
              </w:rPr>
              <w:t>Proportion electing to receive treatment with ivosidenib</w:t>
            </w:r>
          </w:p>
        </w:tc>
        <w:tc>
          <w:tcPr>
            <w:tcW w:w="2269" w:type="dxa"/>
            <w:tcBorders>
              <w:top w:val="single" w:sz="4" w:space="0" w:color="auto"/>
              <w:left w:val="single" w:sz="4" w:space="0" w:color="auto"/>
              <w:bottom w:val="single" w:sz="4" w:space="0" w:color="auto"/>
              <w:right w:val="single" w:sz="4" w:space="0" w:color="auto"/>
            </w:tcBorders>
            <w:vAlign w:val="center"/>
          </w:tcPr>
          <w:p w14:paraId="5CFCE46C" w14:textId="50738844" w:rsidR="005E79F8" w:rsidRPr="003E7195" w:rsidRDefault="005E79F8" w:rsidP="00FE7D97">
            <w:pPr>
              <w:pStyle w:val="TableText"/>
              <w:rPr>
                <w:color w:val="0D0D0D" w:themeColor="text1" w:themeTint="F2"/>
              </w:rPr>
            </w:pPr>
            <w:r w:rsidRPr="003E7195">
              <w:rPr>
                <w:color w:val="0D0D0D" w:themeColor="text1" w:themeTint="F2"/>
              </w:rPr>
              <w:t xml:space="preserve">Year 1: </w:t>
            </w:r>
            <w:r w:rsidR="00E26C98" w:rsidRPr="00E26C98">
              <w:rPr>
                <w:color w:val="0D0D0D" w:themeColor="text1" w:themeTint="F2"/>
                <w:spacing w:val="48"/>
                <w:shd w:val="solid" w:color="000000" w:fill="000000"/>
                <w:fitText w:val="315" w:id="-893744634"/>
                <w14:textFill>
                  <w14:solidFill>
                    <w14:schemeClr w14:val="tx1">
                      <w14:alpha w14:val="100000"/>
                      <w14:lumMod w14:val="95000"/>
                      <w14:lumOff w14:val="5000"/>
                    </w14:schemeClr>
                  </w14:solidFill>
                </w14:textFill>
              </w:rPr>
              <w:t>|||</w:t>
            </w:r>
            <w:r w:rsidR="00E26C98" w:rsidRPr="00E26C98">
              <w:rPr>
                <w:color w:val="0D0D0D" w:themeColor="text1" w:themeTint="F2"/>
                <w:spacing w:val="1"/>
                <w:shd w:val="solid" w:color="000000" w:fill="000000"/>
                <w:fitText w:val="315" w:id="-893744634"/>
                <w14:textFill>
                  <w14:solidFill>
                    <w14:schemeClr w14:val="tx1">
                      <w14:alpha w14:val="100000"/>
                      <w14:lumMod w14:val="95000"/>
                      <w14:lumOff w14:val="5000"/>
                    </w14:schemeClr>
                  </w14:solidFill>
                </w14:textFill>
              </w:rPr>
              <w:t>|</w:t>
            </w:r>
            <w:r w:rsidRPr="003E7195">
              <w:rPr>
                <w:color w:val="0D0D0D" w:themeColor="text1" w:themeTint="F2"/>
              </w:rPr>
              <w:t>%</w:t>
            </w:r>
          </w:p>
          <w:p w14:paraId="6CD3E7B6" w14:textId="558E3CBA" w:rsidR="005E79F8" w:rsidRPr="003E7195" w:rsidRDefault="005E79F8" w:rsidP="00FE7D97">
            <w:pPr>
              <w:pStyle w:val="TableText"/>
              <w:rPr>
                <w:color w:val="0D0D0D" w:themeColor="text1" w:themeTint="F2"/>
              </w:rPr>
            </w:pPr>
            <w:r w:rsidRPr="003E7195">
              <w:rPr>
                <w:color w:val="0D0D0D" w:themeColor="text1" w:themeTint="F2"/>
              </w:rPr>
              <w:t xml:space="preserve">Year 2: </w:t>
            </w:r>
            <w:r w:rsidR="00E26C98" w:rsidRPr="00E26C98">
              <w:rPr>
                <w:color w:val="0D0D0D" w:themeColor="text1" w:themeTint="F2"/>
                <w:spacing w:val="48"/>
                <w:shd w:val="solid" w:color="000000" w:fill="000000"/>
                <w:fitText w:val="315" w:id="-893744633"/>
                <w14:textFill>
                  <w14:solidFill>
                    <w14:schemeClr w14:val="tx1">
                      <w14:alpha w14:val="100000"/>
                      <w14:lumMod w14:val="95000"/>
                      <w14:lumOff w14:val="5000"/>
                    </w14:schemeClr>
                  </w14:solidFill>
                </w14:textFill>
              </w:rPr>
              <w:t>|||</w:t>
            </w:r>
            <w:r w:rsidR="00E26C98" w:rsidRPr="00E26C98">
              <w:rPr>
                <w:color w:val="0D0D0D" w:themeColor="text1" w:themeTint="F2"/>
                <w:spacing w:val="1"/>
                <w:shd w:val="solid" w:color="000000" w:fill="000000"/>
                <w:fitText w:val="315" w:id="-893744633"/>
                <w14:textFill>
                  <w14:solidFill>
                    <w14:schemeClr w14:val="tx1">
                      <w14:alpha w14:val="100000"/>
                      <w14:lumMod w14:val="95000"/>
                      <w14:lumOff w14:val="5000"/>
                    </w14:schemeClr>
                  </w14:solidFill>
                </w14:textFill>
              </w:rPr>
              <w:t>|</w:t>
            </w:r>
            <w:r w:rsidRPr="003E7195">
              <w:rPr>
                <w:color w:val="0D0D0D" w:themeColor="text1" w:themeTint="F2"/>
              </w:rPr>
              <w:t>%</w:t>
            </w:r>
          </w:p>
          <w:p w14:paraId="186D2136" w14:textId="34C970E5" w:rsidR="005E79F8" w:rsidRPr="003E7195" w:rsidRDefault="005E79F8" w:rsidP="00FE7D97">
            <w:pPr>
              <w:pStyle w:val="TableText"/>
              <w:rPr>
                <w:color w:val="0D0D0D" w:themeColor="text1" w:themeTint="F2"/>
              </w:rPr>
            </w:pPr>
            <w:r w:rsidRPr="003E7195">
              <w:rPr>
                <w:color w:val="0D0D0D" w:themeColor="text1" w:themeTint="F2"/>
              </w:rPr>
              <w:t xml:space="preserve">Years 3-6: </w:t>
            </w:r>
            <w:r w:rsidR="00E26C98" w:rsidRPr="00E26C98">
              <w:rPr>
                <w:color w:val="0D0D0D" w:themeColor="text1" w:themeTint="F2"/>
                <w:spacing w:val="53"/>
                <w:shd w:val="solid" w:color="000000" w:fill="000000"/>
                <w:fitText w:val="330" w:id="-893744632"/>
                <w14:textFill>
                  <w14:solidFill>
                    <w14:schemeClr w14:val="tx1">
                      <w14:alpha w14:val="100000"/>
                      <w14:lumMod w14:val="95000"/>
                      <w14:lumOff w14:val="5000"/>
                    </w14:schemeClr>
                  </w14:solidFill>
                </w14:textFill>
              </w:rPr>
              <w:t>|||</w:t>
            </w:r>
            <w:r w:rsidR="00E26C98" w:rsidRPr="00E26C98">
              <w:rPr>
                <w:color w:val="0D0D0D" w:themeColor="text1" w:themeTint="F2"/>
                <w:spacing w:val="1"/>
                <w:shd w:val="solid" w:color="000000" w:fill="000000"/>
                <w:fitText w:val="330" w:id="-893744632"/>
                <w14:textFill>
                  <w14:solidFill>
                    <w14:schemeClr w14:val="tx1">
                      <w14:alpha w14:val="100000"/>
                      <w14:lumMod w14:val="95000"/>
                      <w14:lumOff w14:val="5000"/>
                    </w14:schemeClr>
                  </w14:solidFill>
                </w14:textFill>
              </w:rPr>
              <w:t>|</w:t>
            </w:r>
            <w:r w:rsidRPr="003E7195">
              <w:rPr>
                <w:color w:val="0D0D0D" w:themeColor="text1" w:themeTint="F2"/>
              </w:rPr>
              <w:t>%</w:t>
            </w:r>
          </w:p>
        </w:tc>
        <w:tc>
          <w:tcPr>
            <w:tcW w:w="1843" w:type="dxa"/>
            <w:tcBorders>
              <w:top w:val="single" w:sz="4" w:space="0" w:color="auto"/>
              <w:left w:val="single" w:sz="4" w:space="0" w:color="auto"/>
              <w:bottom w:val="single" w:sz="4" w:space="0" w:color="auto"/>
              <w:right w:val="single" w:sz="4" w:space="0" w:color="auto"/>
            </w:tcBorders>
            <w:vAlign w:val="center"/>
          </w:tcPr>
          <w:p w14:paraId="2D9FE444" w14:textId="77777777" w:rsidR="005E79F8" w:rsidRPr="003E7195" w:rsidRDefault="005E79F8" w:rsidP="00FE7D97">
            <w:pPr>
              <w:pStyle w:val="TableText"/>
              <w:rPr>
                <w:color w:val="0D0D0D" w:themeColor="text1" w:themeTint="F2"/>
              </w:rPr>
            </w:pPr>
            <w:r w:rsidRPr="003E7195">
              <w:rPr>
                <w:color w:val="0D0D0D" w:themeColor="text1" w:themeTint="F2"/>
              </w:rPr>
              <w:t>Sponsor assumption based on clinician feedback and superior efficacy</w:t>
            </w:r>
          </w:p>
        </w:tc>
        <w:tc>
          <w:tcPr>
            <w:tcW w:w="3259" w:type="dxa"/>
            <w:tcBorders>
              <w:top w:val="single" w:sz="4" w:space="0" w:color="auto"/>
              <w:left w:val="single" w:sz="4" w:space="0" w:color="auto"/>
              <w:bottom w:val="single" w:sz="4" w:space="0" w:color="auto"/>
              <w:right w:val="single" w:sz="4" w:space="0" w:color="auto"/>
            </w:tcBorders>
            <w:vAlign w:val="center"/>
          </w:tcPr>
          <w:p w14:paraId="6A04E1C3" w14:textId="2864B46A" w:rsidR="005E79F8" w:rsidRPr="00DC3763" w:rsidRDefault="00DC3763" w:rsidP="00FE7D97">
            <w:pPr>
              <w:pStyle w:val="TableText"/>
              <w:rPr>
                <w:color w:val="0D0D0D" w:themeColor="text1" w:themeTint="F2"/>
              </w:rPr>
            </w:pPr>
            <w:r w:rsidRPr="00DC3763">
              <w:t>DUSC considered this input was inappropriate. DUSC considered that the previous step (patients progressing to 2L treatment) incorporates these patients who elect treatment and applying both inputs unnecessarily decreases the population. DUSC considered it would be more appropriate to remove this step and use a lower input in the previous step which reflects real world evidence.</w:t>
            </w:r>
          </w:p>
        </w:tc>
      </w:tr>
      <w:tr w:rsidR="005E79F8" w:rsidRPr="003E7195" w14:paraId="3484A509" w14:textId="77777777" w:rsidTr="00FE7D97">
        <w:tc>
          <w:tcPr>
            <w:tcW w:w="9066" w:type="dxa"/>
            <w:gridSpan w:val="4"/>
            <w:tcBorders>
              <w:top w:val="single" w:sz="4" w:space="0" w:color="auto"/>
              <w:left w:val="single" w:sz="4" w:space="0" w:color="auto"/>
              <w:bottom w:val="single" w:sz="4" w:space="0" w:color="auto"/>
              <w:right w:val="single" w:sz="4" w:space="0" w:color="auto"/>
            </w:tcBorders>
            <w:vAlign w:val="center"/>
          </w:tcPr>
          <w:p w14:paraId="727CB04E" w14:textId="77777777" w:rsidR="005E79F8" w:rsidRPr="003E7195" w:rsidRDefault="005E79F8" w:rsidP="00EC0662">
            <w:pPr>
              <w:pStyle w:val="TableText"/>
              <w:keepNext/>
              <w:keepLines/>
              <w:rPr>
                <w:b/>
                <w:bCs/>
                <w:color w:val="0D0D0D" w:themeColor="text1" w:themeTint="F2"/>
              </w:rPr>
            </w:pPr>
            <w:r w:rsidRPr="003E7195">
              <w:rPr>
                <w:b/>
                <w:bCs/>
                <w:color w:val="0D0D0D" w:themeColor="text1" w:themeTint="F2"/>
              </w:rPr>
              <w:t>Treatment utilisation</w:t>
            </w:r>
          </w:p>
        </w:tc>
      </w:tr>
      <w:tr w:rsidR="005E79F8" w:rsidRPr="003E7195" w14:paraId="086E7286" w14:textId="77777777" w:rsidTr="00403C4F">
        <w:trPr>
          <w:cantSplit/>
        </w:trPr>
        <w:tc>
          <w:tcPr>
            <w:tcW w:w="1695" w:type="dxa"/>
            <w:tcBorders>
              <w:top w:val="single" w:sz="4" w:space="0" w:color="auto"/>
              <w:left w:val="single" w:sz="4" w:space="0" w:color="auto"/>
              <w:bottom w:val="single" w:sz="4" w:space="0" w:color="auto"/>
              <w:right w:val="single" w:sz="4" w:space="0" w:color="auto"/>
            </w:tcBorders>
            <w:vAlign w:val="center"/>
          </w:tcPr>
          <w:p w14:paraId="5FBC181E" w14:textId="77777777" w:rsidR="005E79F8" w:rsidRPr="003E7195" w:rsidRDefault="005E79F8" w:rsidP="00EC0662">
            <w:pPr>
              <w:pStyle w:val="TableText"/>
              <w:keepNext/>
              <w:keepLines/>
              <w:rPr>
                <w:color w:val="0D0D0D" w:themeColor="text1" w:themeTint="F2"/>
              </w:rPr>
            </w:pPr>
            <w:r w:rsidRPr="003E7195">
              <w:rPr>
                <w:color w:val="0D0D0D" w:themeColor="text1" w:themeTint="F2"/>
              </w:rPr>
              <w:t>Duration of ivosidenib treatment</w:t>
            </w:r>
          </w:p>
        </w:tc>
        <w:tc>
          <w:tcPr>
            <w:tcW w:w="2269" w:type="dxa"/>
            <w:tcBorders>
              <w:top w:val="single" w:sz="4" w:space="0" w:color="auto"/>
              <w:left w:val="single" w:sz="4" w:space="0" w:color="auto"/>
              <w:bottom w:val="single" w:sz="4" w:space="0" w:color="auto"/>
              <w:right w:val="single" w:sz="4" w:space="0" w:color="auto"/>
            </w:tcBorders>
            <w:vAlign w:val="center"/>
          </w:tcPr>
          <w:p w14:paraId="4DF62C89" w14:textId="77777777" w:rsidR="005E79F8" w:rsidRPr="003E7195" w:rsidRDefault="005E79F8" w:rsidP="00EC0662">
            <w:pPr>
              <w:pStyle w:val="TableText"/>
              <w:keepNext/>
              <w:keepLines/>
              <w:rPr>
                <w:color w:val="0D0D0D" w:themeColor="text1" w:themeTint="F2"/>
              </w:rPr>
            </w:pPr>
            <w:r w:rsidRPr="003E7195">
              <w:rPr>
                <w:color w:val="0D0D0D" w:themeColor="text1" w:themeTint="F2"/>
              </w:rPr>
              <w:t>25.11 weeks</w:t>
            </w:r>
          </w:p>
        </w:tc>
        <w:tc>
          <w:tcPr>
            <w:tcW w:w="1843" w:type="dxa"/>
            <w:tcBorders>
              <w:top w:val="single" w:sz="4" w:space="0" w:color="auto"/>
              <w:left w:val="single" w:sz="4" w:space="0" w:color="auto"/>
              <w:bottom w:val="single" w:sz="4" w:space="0" w:color="auto"/>
              <w:right w:val="single" w:sz="4" w:space="0" w:color="auto"/>
            </w:tcBorders>
            <w:vAlign w:val="center"/>
          </w:tcPr>
          <w:p w14:paraId="78176459" w14:textId="00788DE9" w:rsidR="005E79F8" w:rsidRPr="003E7195" w:rsidRDefault="005E79F8" w:rsidP="00EC0662">
            <w:pPr>
              <w:pStyle w:val="TableText"/>
              <w:keepNext/>
              <w:keepLines/>
              <w:rPr>
                <w:color w:val="0D0D0D" w:themeColor="text1" w:themeTint="F2"/>
              </w:rPr>
            </w:pPr>
            <w:r w:rsidRPr="003E7195">
              <w:rPr>
                <w:color w:val="0D0D0D" w:themeColor="text1" w:themeTint="F2"/>
              </w:rPr>
              <w:t xml:space="preserve">Mean duration of treatment modelled in the </w:t>
            </w:r>
            <w:r w:rsidR="00DB474A">
              <w:rPr>
                <w:color w:val="0D0D0D" w:themeColor="text1" w:themeTint="F2"/>
              </w:rPr>
              <w:t>economic evaluation</w:t>
            </w:r>
          </w:p>
        </w:tc>
        <w:tc>
          <w:tcPr>
            <w:tcW w:w="3259" w:type="dxa"/>
            <w:tcBorders>
              <w:top w:val="single" w:sz="4" w:space="0" w:color="auto"/>
              <w:left w:val="single" w:sz="4" w:space="0" w:color="auto"/>
              <w:bottom w:val="single" w:sz="4" w:space="0" w:color="auto"/>
              <w:right w:val="single" w:sz="4" w:space="0" w:color="auto"/>
            </w:tcBorders>
            <w:vAlign w:val="center"/>
          </w:tcPr>
          <w:p w14:paraId="3471AFB5" w14:textId="51044FD3" w:rsidR="005E79F8" w:rsidRPr="003E7195" w:rsidRDefault="00DC3763" w:rsidP="00EC0662">
            <w:pPr>
              <w:pStyle w:val="TableText"/>
              <w:keepNext/>
              <w:keepLines/>
              <w:rPr>
                <w:i/>
                <w:iCs/>
                <w:color w:val="0D0D0D" w:themeColor="text1" w:themeTint="F2"/>
              </w:rPr>
            </w:pPr>
            <w:r w:rsidRPr="00DC3763">
              <w:rPr>
                <w:color w:val="0D0D0D" w:themeColor="text1" w:themeTint="F2"/>
              </w:rPr>
              <w:t>DUSC considered t</w:t>
            </w:r>
            <w:r w:rsidR="005E79F8" w:rsidRPr="00DC3763">
              <w:rPr>
                <w:color w:val="0D0D0D" w:themeColor="text1" w:themeTint="F2"/>
              </w:rPr>
              <w:t>his was appropriate</w:t>
            </w:r>
            <w:r w:rsidR="005E79F8" w:rsidRPr="003E7195">
              <w:rPr>
                <w:i/>
                <w:iCs/>
                <w:color w:val="0D0D0D" w:themeColor="text1" w:themeTint="F2"/>
              </w:rPr>
              <w:t>.</w:t>
            </w:r>
          </w:p>
        </w:tc>
      </w:tr>
      <w:tr w:rsidR="005E79F8" w:rsidRPr="00DC3763" w14:paraId="1740CA49"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102C21E6" w14:textId="77777777" w:rsidR="005E79F8" w:rsidRPr="003E7195" w:rsidRDefault="005E79F8" w:rsidP="00FE7D97">
            <w:pPr>
              <w:pStyle w:val="TableText"/>
              <w:rPr>
                <w:color w:val="0D0D0D" w:themeColor="text1" w:themeTint="F2"/>
              </w:rPr>
            </w:pPr>
            <w:r w:rsidRPr="003E7195">
              <w:rPr>
                <w:color w:val="0D0D0D" w:themeColor="text1" w:themeTint="F2"/>
              </w:rPr>
              <w:t>Compliance</w:t>
            </w:r>
          </w:p>
        </w:tc>
        <w:tc>
          <w:tcPr>
            <w:tcW w:w="2269" w:type="dxa"/>
            <w:tcBorders>
              <w:top w:val="single" w:sz="4" w:space="0" w:color="auto"/>
              <w:left w:val="single" w:sz="4" w:space="0" w:color="auto"/>
              <w:bottom w:val="single" w:sz="4" w:space="0" w:color="auto"/>
              <w:right w:val="single" w:sz="4" w:space="0" w:color="auto"/>
            </w:tcBorders>
            <w:vAlign w:val="center"/>
          </w:tcPr>
          <w:p w14:paraId="081D3645" w14:textId="77777777" w:rsidR="005E79F8" w:rsidRPr="003E7195" w:rsidRDefault="005E79F8" w:rsidP="00FE7D97">
            <w:pPr>
              <w:pStyle w:val="TableText"/>
              <w:rPr>
                <w:color w:val="0D0D0D" w:themeColor="text1" w:themeTint="F2"/>
              </w:rPr>
            </w:pPr>
            <w:r w:rsidRPr="003E7195">
              <w:rPr>
                <w:color w:val="0D0D0D" w:themeColor="text1" w:themeTint="F2"/>
              </w:rPr>
              <w:t>95.9%</w:t>
            </w:r>
          </w:p>
        </w:tc>
        <w:tc>
          <w:tcPr>
            <w:tcW w:w="1843" w:type="dxa"/>
            <w:tcBorders>
              <w:top w:val="single" w:sz="4" w:space="0" w:color="auto"/>
              <w:left w:val="single" w:sz="4" w:space="0" w:color="auto"/>
              <w:bottom w:val="single" w:sz="4" w:space="0" w:color="auto"/>
              <w:right w:val="single" w:sz="4" w:space="0" w:color="auto"/>
            </w:tcBorders>
            <w:vAlign w:val="center"/>
          </w:tcPr>
          <w:p w14:paraId="63B7B401" w14:textId="77777777" w:rsidR="005E79F8" w:rsidRPr="003E7195" w:rsidRDefault="005E79F8" w:rsidP="00FE7D97">
            <w:pPr>
              <w:pStyle w:val="TableText"/>
              <w:rPr>
                <w:color w:val="0D0D0D" w:themeColor="text1" w:themeTint="F2"/>
              </w:rPr>
            </w:pPr>
            <w:r w:rsidRPr="003E7195">
              <w:rPr>
                <w:color w:val="0D0D0D" w:themeColor="text1" w:themeTint="F2"/>
              </w:rPr>
              <w:t>ClarIDHy trial</w:t>
            </w:r>
          </w:p>
        </w:tc>
        <w:tc>
          <w:tcPr>
            <w:tcW w:w="3259" w:type="dxa"/>
            <w:tcBorders>
              <w:top w:val="single" w:sz="4" w:space="0" w:color="auto"/>
              <w:left w:val="single" w:sz="4" w:space="0" w:color="auto"/>
              <w:bottom w:val="single" w:sz="4" w:space="0" w:color="auto"/>
              <w:right w:val="single" w:sz="4" w:space="0" w:color="auto"/>
            </w:tcBorders>
            <w:vAlign w:val="center"/>
          </w:tcPr>
          <w:p w14:paraId="19817A62" w14:textId="7CB7A28E" w:rsidR="005E79F8" w:rsidRPr="00DC3763" w:rsidRDefault="00DC3763" w:rsidP="00FE7D97">
            <w:pPr>
              <w:pStyle w:val="TableText"/>
              <w:rPr>
                <w:color w:val="0D0D0D" w:themeColor="text1" w:themeTint="F2"/>
              </w:rPr>
            </w:pPr>
            <w:r w:rsidRPr="00DC3763">
              <w:rPr>
                <w:color w:val="0D0D0D" w:themeColor="text1" w:themeTint="F2"/>
              </w:rPr>
              <w:t>DUSC considered t</w:t>
            </w:r>
            <w:r w:rsidR="005E79F8" w:rsidRPr="00DC3763">
              <w:rPr>
                <w:color w:val="0D0D0D" w:themeColor="text1" w:themeTint="F2"/>
              </w:rPr>
              <w:t>his was reasonable.</w:t>
            </w:r>
          </w:p>
        </w:tc>
      </w:tr>
      <w:tr w:rsidR="005E79F8" w:rsidRPr="003E7195" w14:paraId="19E23F0C"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2B9D0D57" w14:textId="77777777" w:rsidR="005E79F8" w:rsidRPr="003E7195" w:rsidRDefault="005E79F8" w:rsidP="00FE7D97">
            <w:pPr>
              <w:pStyle w:val="TableText"/>
              <w:rPr>
                <w:color w:val="0D0D0D" w:themeColor="text1" w:themeTint="F2"/>
              </w:rPr>
            </w:pPr>
            <w:r w:rsidRPr="003E7195">
              <w:rPr>
                <w:color w:val="0D0D0D" w:themeColor="text1" w:themeTint="F2"/>
              </w:rPr>
              <w:t>Proportion receiving FOLFOX in the comparator arm</w:t>
            </w:r>
          </w:p>
        </w:tc>
        <w:tc>
          <w:tcPr>
            <w:tcW w:w="2269" w:type="dxa"/>
            <w:tcBorders>
              <w:top w:val="single" w:sz="4" w:space="0" w:color="auto"/>
              <w:left w:val="single" w:sz="4" w:space="0" w:color="auto"/>
              <w:bottom w:val="single" w:sz="4" w:space="0" w:color="auto"/>
              <w:right w:val="single" w:sz="4" w:space="0" w:color="auto"/>
            </w:tcBorders>
            <w:vAlign w:val="center"/>
          </w:tcPr>
          <w:p w14:paraId="43158CA2" w14:textId="77777777" w:rsidR="005E79F8" w:rsidRPr="003E7195" w:rsidRDefault="005E79F8" w:rsidP="00FE7D97">
            <w:pPr>
              <w:pStyle w:val="TableText"/>
              <w:rPr>
                <w:color w:val="0D0D0D" w:themeColor="text1" w:themeTint="F2"/>
              </w:rPr>
            </w:pPr>
            <w:r w:rsidRPr="003E7195">
              <w:rPr>
                <w:color w:val="0D0D0D" w:themeColor="text1" w:themeTint="F2"/>
              </w:rPr>
              <w:t>0% in the base case</w:t>
            </w:r>
          </w:p>
        </w:tc>
        <w:tc>
          <w:tcPr>
            <w:tcW w:w="1843" w:type="dxa"/>
            <w:tcBorders>
              <w:top w:val="single" w:sz="4" w:space="0" w:color="auto"/>
              <w:left w:val="single" w:sz="4" w:space="0" w:color="auto"/>
              <w:bottom w:val="single" w:sz="4" w:space="0" w:color="auto"/>
              <w:right w:val="single" w:sz="4" w:space="0" w:color="auto"/>
            </w:tcBorders>
            <w:vAlign w:val="center"/>
          </w:tcPr>
          <w:p w14:paraId="2CC10E60" w14:textId="77777777" w:rsidR="005E79F8" w:rsidRPr="003E7195" w:rsidRDefault="005E79F8" w:rsidP="00FE7D97">
            <w:pPr>
              <w:pStyle w:val="TableText"/>
              <w:rPr>
                <w:color w:val="0D0D0D" w:themeColor="text1" w:themeTint="F2"/>
              </w:rPr>
            </w:pPr>
            <w:r w:rsidRPr="003E7195">
              <w:rPr>
                <w:color w:val="0D0D0D" w:themeColor="text1" w:themeTint="F2"/>
              </w:rPr>
              <w:t>Ratified PICO. Palliative care was nominated as the primary comparator.</w:t>
            </w:r>
          </w:p>
        </w:tc>
        <w:tc>
          <w:tcPr>
            <w:tcW w:w="3259" w:type="dxa"/>
            <w:tcBorders>
              <w:top w:val="single" w:sz="4" w:space="0" w:color="auto"/>
              <w:left w:val="single" w:sz="4" w:space="0" w:color="auto"/>
              <w:bottom w:val="single" w:sz="4" w:space="0" w:color="auto"/>
              <w:right w:val="single" w:sz="4" w:space="0" w:color="auto"/>
            </w:tcBorders>
            <w:vAlign w:val="center"/>
          </w:tcPr>
          <w:p w14:paraId="05514575" w14:textId="46E38D9D" w:rsidR="005E79F8" w:rsidRPr="008E1594" w:rsidRDefault="00DC3763" w:rsidP="00777D6A">
            <w:pPr>
              <w:pStyle w:val="TableText"/>
              <w:rPr>
                <w:color w:val="0D0D0D" w:themeColor="text1" w:themeTint="F2"/>
              </w:rPr>
            </w:pPr>
            <w:r w:rsidRPr="00777D6A">
              <w:rPr>
                <w:color w:val="0D0D0D" w:themeColor="text1" w:themeTint="F2"/>
              </w:rPr>
              <w:t xml:space="preserve">DUSC agreed with the commentary that this was not reasonable and noted that FOLFOX has been demonstrated to provide a small benefit to patients with </w:t>
            </w:r>
            <w:r w:rsidRPr="00777D6A">
              <w:rPr>
                <w:color w:val="0D0D0D" w:themeColor="text1" w:themeTint="F2"/>
              </w:rPr>
              <w:lastRenderedPageBreak/>
              <w:t>metastatic cholangiocarcinoma in the second-line setting</w:t>
            </w:r>
            <w:r w:rsidR="008E1594" w:rsidRPr="00777D6A">
              <w:rPr>
                <w:color w:val="0D0D0D" w:themeColor="text1" w:themeTint="F2"/>
              </w:rPr>
              <w:t xml:space="preserve">. </w:t>
            </w:r>
            <w:proofErr w:type="gramStart"/>
            <w:r w:rsidR="00777D6A">
              <w:rPr>
                <w:color w:val="0D0D0D" w:themeColor="text1" w:themeTint="F2"/>
              </w:rPr>
              <w:t>With regard to</w:t>
            </w:r>
            <w:proofErr w:type="gramEnd"/>
            <w:r w:rsidR="00777D6A">
              <w:rPr>
                <w:color w:val="0D0D0D" w:themeColor="text1" w:themeTint="F2"/>
              </w:rPr>
              <w:t xml:space="preserve"> t</w:t>
            </w:r>
            <w:r w:rsidR="008E1594" w:rsidRPr="00777D6A">
              <w:rPr>
                <w:color w:val="0D0D0D" w:themeColor="text1" w:themeTint="F2"/>
              </w:rPr>
              <w:t>he</w:t>
            </w:r>
            <w:r w:rsidR="00777D6A">
              <w:rPr>
                <w:color w:val="0D0D0D" w:themeColor="text1" w:themeTint="F2"/>
              </w:rPr>
              <w:t xml:space="preserve"> </w:t>
            </w:r>
            <w:r w:rsidR="00DB474A">
              <w:rPr>
                <w:color w:val="0D0D0D" w:themeColor="text1" w:themeTint="F2"/>
              </w:rPr>
              <w:t>economic evaluation</w:t>
            </w:r>
            <w:r w:rsidR="00777D6A">
              <w:rPr>
                <w:color w:val="0D0D0D" w:themeColor="text1" w:themeTint="F2"/>
              </w:rPr>
              <w:t xml:space="preserve"> the</w:t>
            </w:r>
            <w:r w:rsidR="008E1594" w:rsidRPr="00777D6A">
              <w:rPr>
                <w:color w:val="0D0D0D" w:themeColor="text1" w:themeTint="F2"/>
              </w:rPr>
              <w:t xml:space="preserve"> ESC considered that a mixed comparator with at least 45% of patients receiving FOLFOX would better reflect Australian clinical practice. </w:t>
            </w:r>
          </w:p>
        </w:tc>
      </w:tr>
      <w:tr w:rsidR="005E79F8" w:rsidRPr="003E7195" w14:paraId="72745D48" w14:textId="77777777" w:rsidTr="00FE7D97">
        <w:tc>
          <w:tcPr>
            <w:tcW w:w="9066" w:type="dxa"/>
            <w:gridSpan w:val="4"/>
            <w:tcBorders>
              <w:top w:val="single" w:sz="4" w:space="0" w:color="auto"/>
              <w:left w:val="single" w:sz="4" w:space="0" w:color="auto"/>
              <w:bottom w:val="single" w:sz="4" w:space="0" w:color="auto"/>
              <w:right w:val="single" w:sz="4" w:space="0" w:color="auto"/>
            </w:tcBorders>
            <w:vAlign w:val="center"/>
          </w:tcPr>
          <w:p w14:paraId="179962EA" w14:textId="77777777" w:rsidR="005E79F8" w:rsidRPr="003E7195" w:rsidRDefault="005E79F8" w:rsidP="00FE7D97">
            <w:pPr>
              <w:pStyle w:val="TableText"/>
              <w:rPr>
                <w:b/>
                <w:bCs/>
                <w:color w:val="0D0D0D" w:themeColor="text1" w:themeTint="F2"/>
              </w:rPr>
            </w:pPr>
            <w:r w:rsidRPr="003E7195">
              <w:rPr>
                <w:b/>
                <w:bCs/>
                <w:color w:val="0D0D0D" w:themeColor="text1" w:themeTint="F2"/>
              </w:rPr>
              <w:lastRenderedPageBreak/>
              <w:t>Costs</w:t>
            </w:r>
          </w:p>
        </w:tc>
      </w:tr>
      <w:tr w:rsidR="005E79F8" w:rsidRPr="003E7195" w14:paraId="6B3D59BE" w14:textId="77777777" w:rsidTr="00403C4F">
        <w:tc>
          <w:tcPr>
            <w:tcW w:w="1695" w:type="dxa"/>
            <w:tcBorders>
              <w:top w:val="single" w:sz="4" w:space="0" w:color="auto"/>
              <w:left w:val="single" w:sz="4" w:space="0" w:color="auto"/>
              <w:bottom w:val="single" w:sz="4" w:space="0" w:color="auto"/>
              <w:right w:val="single" w:sz="4" w:space="0" w:color="auto"/>
            </w:tcBorders>
            <w:vAlign w:val="center"/>
          </w:tcPr>
          <w:p w14:paraId="752B8EC9" w14:textId="77777777" w:rsidR="005E79F8" w:rsidRPr="003E7195" w:rsidRDefault="005E79F8" w:rsidP="00FE7D97">
            <w:pPr>
              <w:pStyle w:val="TableText"/>
              <w:rPr>
                <w:color w:val="0D0D0D" w:themeColor="text1" w:themeTint="F2"/>
              </w:rPr>
            </w:pPr>
            <w:r w:rsidRPr="003E7195">
              <w:rPr>
                <w:color w:val="0D0D0D" w:themeColor="text1" w:themeTint="F2"/>
              </w:rPr>
              <w:t xml:space="preserve">Cost of ivosidenib </w:t>
            </w:r>
          </w:p>
        </w:tc>
        <w:tc>
          <w:tcPr>
            <w:tcW w:w="2269" w:type="dxa"/>
            <w:tcBorders>
              <w:top w:val="single" w:sz="4" w:space="0" w:color="auto"/>
              <w:left w:val="single" w:sz="4" w:space="0" w:color="auto"/>
              <w:bottom w:val="single" w:sz="4" w:space="0" w:color="auto"/>
              <w:right w:val="single" w:sz="4" w:space="0" w:color="auto"/>
            </w:tcBorders>
            <w:vAlign w:val="center"/>
          </w:tcPr>
          <w:p w14:paraId="2311AA22" w14:textId="21021BC4" w:rsidR="005E79F8" w:rsidRPr="003E7195" w:rsidRDefault="005E79F8" w:rsidP="00FE7D97">
            <w:pPr>
              <w:pStyle w:val="TableText"/>
              <w:rPr>
                <w:color w:val="0D0D0D" w:themeColor="text1" w:themeTint="F2"/>
              </w:rPr>
            </w:pPr>
            <w:r w:rsidRPr="003E7195">
              <w:rPr>
                <w:color w:val="0D0D0D" w:themeColor="text1" w:themeTint="F2"/>
              </w:rPr>
              <w:t>$</w:t>
            </w:r>
            <w:r w:rsidR="00E26C98" w:rsidRPr="00E26C98">
              <w:rPr>
                <w:color w:val="0D0D0D" w:themeColor="text1" w:themeTint="F2"/>
                <w:spacing w:val="53"/>
                <w:shd w:val="solid" w:color="000000" w:fill="000000"/>
                <w:fitText w:val="330" w:id="-893744631"/>
                <w14:textFill>
                  <w14:solidFill>
                    <w14:schemeClr w14:val="tx1">
                      <w14:alpha w14:val="100000"/>
                      <w14:lumMod w14:val="95000"/>
                      <w14:lumOff w14:val="5000"/>
                    </w14:schemeClr>
                  </w14:solidFill>
                </w14:textFill>
              </w:rPr>
              <w:t>|||</w:t>
            </w:r>
            <w:r w:rsidR="00E26C98" w:rsidRPr="00E26C98">
              <w:rPr>
                <w:color w:val="0D0D0D" w:themeColor="text1" w:themeTint="F2"/>
                <w:spacing w:val="1"/>
                <w:shd w:val="solid" w:color="000000" w:fill="000000"/>
                <w:fitText w:val="330" w:id="-893744631"/>
                <w14:textFill>
                  <w14:solidFill>
                    <w14:schemeClr w14:val="tx1">
                      <w14:alpha w14:val="100000"/>
                      <w14:lumMod w14:val="95000"/>
                      <w14:lumOff w14:val="5000"/>
                    </w14:schemeClr>
                  </w14:solidFill>
                </w14:textFill>
              </w:rPr>
              <w:t>|</w:t>
            </w:r>
            <w:r w:rsidRPr="003E7195">
              <w:rPr>
                <w:color w:val="0D0D0D" w:themeColor="text1" w:themeTint="F2"/>
              </w:rPr>
              <w:t xml:space="preserve"> per 250 mg x 60 tablets</w:t>
            </w:r>
          </w:p>
        </w:tc>
        <w:tc>
          <w:tcPr>
            <w:tcW w:w="1843" w:type="dxa"/>
            <w:tcBorders>
              <w:top w:val="single" w:sz="4" w:space="0" w:color="auto"/>
              <w:left w:val="single" w:sz="4" w:space="0" w:color="auto"/>
              <w:bottom w:val="single" w:sz="4" w:space="0" w:color="auto"/>
              <w:right w:val="single" w:sz="4" w:space="0" w:color="auto"/>
            </w:tcBorders>
            <w:vAlign w:val="center"/>
          </w:tcPr>
          <w:p w14:paraId="77B8B097" w14:textId="77777777" w:rsidR="005E79F8" w:rsidRPr="003E7195" w:rsidRDefault="005E79F8" w:rsidP="00FE7D97">
            <w:pPr>
              <w:pStyle w:val="TableText"/>
              <w:rPr>
                <w:color w:val="0D0D0D" w:themeColor="text1" w:themeTint="F2"/>
              </w:rPr>
            </w:pPr>
            <w:r w:rsidRPr="003E7195">
              <w:rPr>
                <w:color w:val="0D0D0D" w:themeColor="text1" w:themeTint="F2"/>
              </w:rPr>
              <w:t>Proposed effective price</w:t>
            </w:r>
          </w:p>
        </w:tc>
        <w:tc>
          <w:tcPr>
            <w:tcW w:w="3259" w:type="dxa"/>
            <w:tcBorders>
              <w:top w:val="single" w:sz="4" w:space="0" w:color="auto"/>
              <w:left w:val="single" w:sz="4" w:space="0" w:color="auto"/>
              <w:bottom w:val="single" w:sz="4" w:space="0" w:color="auto"/>
              <w:right w:val="single" w:sz="4" w:space="0" w:color="auto"/>
            </w:tcBorders>
            <w:vAlign w:val="center"/>
          </w:tcPr>
          <w:p w14:paraId="035B93AF" w14:textId="739B3B68" w:rsidR="005E79F8" w:rsidRPr="00777D6A" w:rsidRDefault="005E79F8" w:rsidP="00FE7D97">
            <w:pPr>
              <w:pStyle w:val="TableText"/>
              <w:rPr>
                <w:color w:val="0D0D0D" w:themeColor="text1" w:themeTint="F2"/>
              </w:rPr>
            </w:pPr>
          </w:p>
        </w:tc>
      </w:tr>
      <w:tr w:rsidR="005E79F8" w:rsidRPr="003E7195" w14:paraId="174687FF" w14:textId="77777777" w:rsidTr="00403C4F">
        <w:tc>
          <w:tcPr>
            <w:tcW w:w="1695" w:type="dxa"/>
            <w:tcBorders>
              <w:top w:val="single" w:sz="4" w:space="0" w:color="auto"/>
              <w:left w:val="single" w:sz="4" w:space="0" w:color="auto"/>
              <w:bottom w:val="single" w:sz="4" w:space="0" w:color="auto"/>
              <w:right w:val="single" w:sz="4" w:space="0" w:color="auto"/>
            </w:tcBorders>
          </w:tcPr>
          <w:p w14:paraId="2BA8BE91" w14:textId="77777777" w:rsidR="005E79F8" w:rsidRPr="003E7195" w:rsidRDefault="005E79F8" w:rsidP="00FE7D97">
            <w:pPr>
              <w:pStyle w:val="TableText"/>
              <w:rPr>
                <w:color w:val="0D0D0D" w:themeColor="text1" w:themeTint="F2"/>
              </w:rPr>
            </w:pPr>
            <w:r w:rsidRPr="003E7195">
              <w:rPr>
                <w:color w:val="0D0D0D" w:themeColor="text1" w:themeTint="F2"/>
              </w:rPr>
              <w:t>Patient copayment</w:t>
            </w:r>
          </w:p>
        </w:tc>
        <w:tc>
          <w:tcPr>
            <w:tcW w:w="2269" w:type="dxa"/>
            <w:tcBorders>
              <w:top w:val="single" w:sz="4" w:space="0" w:color="auto"/>
              <w:left w:val="single" w:sz="4" w:space="0" w:color="auto"/>
              <w:bottom w:val="single" w:sz="4" w:space="0" w:color="auto"/>
              <w:right w:val="single" w:sz="4" w:space="0" w:color="auto"/>
            </w:tcBorders>
          </w:tcPr>
          <w:p w14:paraId="03A393ED" w14:textId="77777777" w:rsidR="005E79F8" w:rsidRPr="003E7195" w:rsidRDefault="005E79F8" w:rsidP="00FE7D97">
            <w:pPr>
              <w:pStyle w:val="TableText"/>
              <w:rPr>
                <w:color w:val="0D0D0D" w:themeColor="text1" w:themeTint="F2"/>
              </w:rPr>
            </w:pPr>
            <w:r w:rsidRPr="003E7195">
              <w:rPr>
                <w:color w:val="0D0D0D" w:themeColor="text1" w:themeTint="F2"/>
              </w:rPr>
              <w:t>$18.75 for PBS (98.25%)</w:t>
            </w:r>
          </w:p>
          <w:p w14:paraId="356E9702" w14:textId="77777777" w:rsidR="005E79F8" w:rsidRPr="003E7195" w:rsidRDefault="005E79F8" w:rsidP="00FE7D97">
            <w:pPr>
              <w:pStyle w:val="TableText"/>
              <w:rPr>
                <w:color w:val="0D0D0D" w:themeColor="text1" w:themeTint="F2"/>
              </w:rPr>
            </w:pPr>
            <w:r w:rsidRPr="003E7195">
              <w:rPr>
                <w:color w:val="0D0D0D" w:themeColor="text1" w:themeTint="F2"/>
              </w:rPr>
              <w:t>$6.70 for RPBS (1.75%)</w:t>
            </w:r>
          </w:p>
        </w:tc>
        <w:tc>
          <w:tcPr>
            <w:tcW w:w="1843" w:type="dxa"/>
            <w:tcBorders>
              <w:top w:val="single" w:sz="4" w:space="0" w:color="auto"/>
              <w:left w:val="single" w:sz="4" w:space="0" w:color="auto"/>
              <w:bottom w:val="single" w:sz="4" w:space="0" w:color="auto"/>
              <w:right w:val="single" w:sz="4" w:space="0" w:color="auto"/>
            </w:tcBorders>
          </w:tcPr>
          <w:p w14:paraId="6EA3EC22" w14:textId="77777777" w:rsidR="005E79F8" w:rsidRPr="003E7195" w:rsidRDefault="005E79F8" w:rsidP="00FE7D97">
            <w:pPr>
              <w:pStyle w:val="TableText"/>
              <w:rPr>
                <w:color w:val="0D0D0D" w:themeColor="text1" w:themeTint="F2"/>
              </w:rPr>
            </w:pPr>
            <w:r w:rsidRPr="003E7195">
              <w:rPr>
                <w:color w:val="0D0D0D" w:themeColor="text1" w:themeTint="F2"/>
              </w:rPr>
              <w:t>PBS statistics on PBS items relating to cisplatin and gemcitabine</w:t>
            </w:r>
          </w:p>
        </w:tc>
        <w:tc>
          <w:tcPr>
            <w:tcW w:w="3259" w:type="dxa"/>
            <w:tcBorders>
              <w:top w:val="single" w:sz="4" w:space="0" w:color="auto"/>
              <w:left w:val="single" w:sz="4" w:space="0" w:color="auto"/>
              <w:bottom w:val="single" w:sz="4" w:space="0" w:color="auto"/>
              <w:right w:val="single" w:sz="4" w:space="0" w:color="auto"/>
            </w:tcBorders>
          </w:tcPr>
          <w:p w14:paraId="21A6CE56" w14:textId="1721B242" w:rsidR="005E79F8" w:rsidRPr="00777D6A" w:rsidRDefault="00777D6A" w:rsidP="00FE7D97">
            <w:pPr>
              <w:pStyle w:val="TableText"/>
              <w:rPr>
                <w:color w:val="0D0D0D" w:themeColor="text1" w:themeTint="F2"/>
              </w:rPr>
            </w:pPr>
            <w:r w:rsidRPr="00777D6A">
              <w:rPr>
                <w:color w:val="0D0D0D" w:themeColor="text1" w:themeTint="F2"/>
              </w:rPr>
              <w:t>DUSC considered t</w:t>
            </w:r>
            <w:r w:rsidR="005E79F8" w:rsidRPr="00777D6A">
              <w:rPr>
                <w:color w:val="0D0D0D" w:themeColor="text1" w:themeTint="F2"/>
              </w:rPr>
              <w:t>his was reasonable.</w:t>
            </w:r>
          </w:p>
        </w:tc>
      </w:tr>
      <w:tr w:rsidR="005E79F8" w:rsidRPr="003E7195" w14:paraId="2FDCDD4B" w14:textId="77777777" w:rsidTr="00403C4F">
        <w:tc>
          <w:tcPr>
            <w:tcW w:w="1695" w:type="dxa"/>
            <w:tcBorders>
              <w:bottom w:val="single" w:sz="4" w:space="0" w:color="auto"/>
            </w:tcBorders>
            <w:vAlign w:val="center"/>
          </w:tcPr>
          <w:p w14:paraId="07DBF172" w14:textId="77777777" w:rsidR="005E79F8" w:rsidRPr="003E7195" w:rsidRDefault="005E79F8" w:rsidP="00FE7D97">
            <w:pPr>
              <w:pStyle w:val="TableText"/>
              <w:rPr>
                <w:color w:val="0D0D0D" w:themeColor="text1" w:themeTint="F2"/>
              </w:rPr>
            </w:pPr>
            <w:r w:rsidRPr="003E7195">
              <w:rPr>
                <w:color w:val="0D0D0D" w:themeColor="text1" w:themeTint="F2"/>
              </w:rPr>
              <w:t>MBS services</w:t>
            </w:r>
          </w:p>
        </w:tc>
        <w:tc>
          <w:tcPr>
            <w:tcW w:w="2269" w:type="dxa"/>
            <w:tcBorders>
              <w:bottom w:val="single" w:sz="4" w:space="0" w:color="auto"/>
            </w:tcBorders>
            <w:vAlign w:val="center"/>
          </w:tcPr>
          <w:p w14:paraId="1BCA518C" w14:textId="77777777" w:rsidR="005E79F8" w:rsidRPr="003E7195" w:rsidRDefault="005E79F8" w:rsidP="00FE7D97">
            <w:pPr>
              <w:pStyle w:val="TableText"/>
              <w:rPr>
                <w:color w:val="0D0D0D" w:themeColor="text1" w:themeTint="F2"/>
              </w:rPr>
            </w:pPr>
          </w:p>
        </w:tc>
        <w:tc>
          <w:tcPr>
            <w:tcW w:w="1843" w:type="dxa"/>
            <w:tcBorders>
              <w:bottom w:val="single" w:sz="4" w:space="0" w:color="auto"/>
            </w:tcBorders>
            <w:vAlign w:val="center"/>
          </w:tcPr>
          <w:p w14:paraId="3BA72500" w14:textId="77777777" w:rsidR="005E79F8" w:rsidRPr="003E7195" w:rsidRDefault="005E79F8" w:rsidP="00FE7D97">
            <w:pPr>
              <w:pStyle w:val="TableText"/>
              <w:rPr>
                <w:color w:val="0D0D0D" w:themeColor="text1" w:themeTint="F2"/>
              </w:rPr>
            </w:pPr>
          </w:p>
        </w:tc>
        <w:tc>
          <w:tcPr>
            <w:tcW w:w="3259" w:type="dxa"/>
            <w:tcBorders>
              <w:bottom w:val="single" w:sz="4" w:space="0" w:color="auto"/>
            </w:tcBorders>
            <w:vAlign w:val="center"/>
          </w:tcPr>
          <w:p w14:paraId="1643533C" w14:textId="77777777" w:rsidR="005E79F8" w:rsidRPr="003E7195" w:rsidRDefault="005E79F8" w:rsidP="00FE7D97">
            <w:pPr>
              <w:pStyle w:val="TableText"/>
              <w:rPr>
                <w:i/>
                <w:iCs/>
                <w:color w:val="0D0D0D" w:themeColor="text1" w:themeTint="F2"/>
              </w:rPr>
            </w:pPr>
          </w:p>
        </w:tc>
      </w:tr>
      <w:tr w:rsidR="005E79F8" w:rsidRPr="003E7195" w14:paraId="13FB188B" w14:textId="77777777" w:rsidTr="00403C4F">
        <w:tc>
          <w:tcPr>
            <w:tcW w:w="1695" w:type="dxa"/>
            <w:tcBorders>
              <w:top w:val="single" w:sz="4" w:space="0" w:color="auto"/>
              <w:bottom w:val="single" w:sz="4" w:space="0" w:color="auto"/>
            </w:tcBorders>
            <w:vAlign w:val="center"/>
          </w:tcPr>
          <w:p w14:paraId="47225E70" w14:textId="77777777" w:rsidR="005E79F8" w:rsidRPr="003E7195" w:rsidRDefault="005E79F8" w:rsidP="00FE7D97">
            <w:pPr>
              <w:pStyle w:val="TableText"/>
              <w:ind w:left="175"/>
              <w:rPr>
                <w:color w:val="0D0D0D" w:themeColor="text1" w:themeTint="F2"/>
              </w:rPr>
            </w:pPr>
            <w:r w:rsidRPr="003E7195">
              <w:rPr>
                <w:i/>
                <w:iCs/>
                <w:color w:val="0D0D0D" w:themeColor="text1" w:themeTint="F2"/>
              </w:rPr>
              <w:t xml:space="preserve">IDH1 </w:t>
            </w:r>
            <w:r w:rsidRPr="003E7195">
              <w:rPr>
                <w:color w:val="0D0D0D" w:themeColor="text1" w:themeTint="F2"/>
              </w:rPr>
              <w:t xml:space="preserve">testing </w:t>
            </w:r>
          </w:p>
        </w:tc>
        <w:tc>
          <w:tcPr>
            <w:tcW w:w="2269" w:type="dxa"/>
            <w:tcBorders>
              <w:top w:val="single" w:sz="4" w:space="0" w:color="auto"/>
              <w:bottom w:val="single" w:sz="4" w:space="0" w:color="auto"/>
            </w:tcBorders>
            <w:vAlign w:val="center"/>
          </w:tcPr>
          <w:p w14:paraId="0C8DC083" w14:textId="77777777" w:rsidR="005E79F8" w:rsidRPr="003E7195" w:rsidRDefault="005E79F8" w:rsidP="00FE7D97">
            <w:pPr>
              <w:pStyle w:val="TableText"/>
              <w:rPr>
                <w:color w:val="0D0D0D" w:themeColor="text1" w:themeTint="F2"/>
              </w:rPr>
            </w:pPr>
            <w:r w:rsidRPr="003E7195">
              <w:rPr>
                <w:color w:val="0D0D0D" w:themeColor="text1" w:themeTint="F2"/>
              </w:rPr>
              <w:t>$340.00</w:t>
            </w:r>
          </w:p>
        </w:tc>
        <w:tc>
          <w:tcPr>
            <w:tcW w:w="1843" w:type="dxa"/>
            <w:tcBorders>
              <w:top w:val="single" w:sz="4" w:space="0" w:color="auto"/>
              <w:bottom w:val="single" w:sz="4" w:space="0" w:color="auto"/>
            </w:tcBorders>
            <w:vAlign w:val="center"/>
          </w:tcPr>
          <w:p w14:paraId="351F228E" w14:textId="77777777" w:rsidR="005E79F8" w:rsidRPr="003E7195" w:rsidRDefault="005E79F8" w:rsidP="00FE7D97">
            <w:pPr>
              <w:pStyle w:val="TableText"/>
              <w:rPr>
                <w:color w:val="0D0D0D" w:themeColor="text1" w:themeTint="F2"/>
              </w:rPr>
            </w:pPr>
            <w:r w:rsidRPr="003E7195">
              <w:rPr>
                <w:color w:val="0D0D0D" w:themeColor="text1" w:themeTint="F2"/>
              </w:rPr>
              <w:t>Proposed MBS item fee, assuming 80% benefit</w:t>
            </w:r>
          </w:p>
        </w:tc>
        <w:tc>
          <w:tcPr>
            <w:tcW w:w="3259" w:type="dxa"/>
            <w:tcBorders>
              <w:top w:val="single" w:sz="4" w:space="0" w:color="auto"/>
              <w:bottom w:val="single" w:sz="4" w:space="0" w:color="auto"/>
            </w:tcBorders>
            <w:vAlign w:val="center"/>
          </w:tcPr>
          <w:p w14:paraId="067D6793" w14:textId="77777777" w:rsidR="005E79F8" w:rsidRPr="00777D6A" w:rsidRDefault="005E79F8" w:rsidP="00FE7D97">
            <w:pPr>
              <w:pStyle w:val="TableText"/>
              <w:rPr>
                <w:color w:val="0D0D0D" w:themeColor="text1" w:themeTint="F2"/>
              </w:rPr>
            </w:pPr>
            <w:r w:rsidRPr="00777D6A">
              <w:rPr>
                <w:color w:val="0D0D0D" w:themeColor="text1" w:themeTint="F2"/>
              </w:rPr>
              <w:t>For out of hospital services, the benefit is 85% of the Schedule fee.</w:t>
            </w:r>
          </w:p>
        </w:tc>
      </w:tr>
      <w:tr w:rsidR="005E79F8" w:rsidRPr="003E7195" w14:paraId="55887CB3" w14:textId="77777777" w:rsidTr="00403C4F">
        <w:tc>
          <w:tcPr>
            <w:tcW w:w="1695" w:type="dxa"/>
            <w:tcBorders>
              <w:top w:val="single" w:sz="4" w:space="0" w:color="auto"/>
            </w:tcBorders>
            <w:vAlign w:val="center"/>
          </w:tcPr>
          <w:p w14:paraId="22E9516F" w14:textId="77777777" w:rsidR="005E79F8" w:rsidRPr="003E7195" w:rsidRDefault="005E79F8" w:rsidP="00FE7D97">
            <w:pPr>
              <w:pStyle w:val="TableText"/>
              <w:ind w:left="175"/>
              <w:rPr>
                <w:color w:val="0D0D0D" w:themeColor="text1" w:themeTint="F2"/>
              </w:rPr>
            </w:pPr>
            <w:r w:rsidRPr="003E7195">
              <w:rPr>
                <w:color w:val="0D0D0D" w:themeColor="text1" w:themeTint="F2"/>
              </w:rPr>
              <w:t xml:space="preserve">ECG </w:t>
            </w:r>
          </w:p>
        </w:tc>
        <w:tc>
          <w:tcPr>
            <w:tcW w:w="2269" w:type="dxa"/>
            <w:tcBorders>
              <w:top w:val="single" w:sz="4" w:space="0" w:color="auto"/>
            </w:tcBorders>
            <w:vAlign w:val="center"/>
          </w:tcPr>
          <w:p w14:paraId="6BE5C6FE" w14:textId="77777777" w:rsidR="005E79F8" w:rsidRPr="003E7195" w:rsidRDefault="005E79F8" w:rsidP="00FE7D97">
            <w:pPr>
              <w:pStyle w:val="TableText"/>
              <w:rPr>
                <w:color w:val="0D0D0D" w:themeColor="text1" w:themeTint="F2"/>
              </w:rPr>
            </w:pPr>
            <w:r w:rsidRPr="003E7195">
              <w:rPr>
                <w:color w:val="0D0D0D" w:themeColor="text1" w:themeTint="F2"/>
              </w:rPr>
              <w:t>$34.40</w:t>
            </w:r>
          </w:p>
        </w:tc>
        <w:tc>
          <w:tcPr>
            <w:tcW w:w="1843" w:type="dxa"/>
            <w:tcBorders>
              <w:top w:val="single" w:sz="4" w:space="0" w:color="auto"/>
            </w:tcBorders>
            <w:vAlign w:val="center"/>
          </w:tcPr>
          <w:p w14:paraId="690FFCE6" w14:textId="77777777" w:rsidR="005E79F8" w:rsidRPr="003E7195" w:rsidRDefault="005E79F8" w:rsidP="00FE7D97">
            <w:pPr>
              <w:pStyle w:val="TableText"/>
              <w:rPr>
                <w:color w:val="0D0D0D" w:themeColor="text1" w:themeTint="F2"/>
              </w:rPr>
            </w:pPr>
            <w:r w:rsidRPr="003E7195">
              <w:rPr>
                <w:color w:val="0D0D0D" w:themeColor="text1" w:themeTint="F2"/>
              </w:rPr>
              <w:t>MBS item 11704, assuming 80% benefit</w:t>
            </w:r>
          </w:p>
        </w:tc>
        <w:tc>
          <w:tcPr>
            <w:tcW w:w="3259" w:type="dxa"/>
            <w:tcBorders>
              <w:top w:val="single" w:sz="4" w:space="0" w:color="auto"/>
            </w:tcBorders>
            <w:vAlign w:val="center"/>
          </w:tcPr>
          <w:p w14:paraId="256602DC" w14:textId="7156612D" w:rsidR="005E79F8" w:rsidRPr="00777D6A" w:rsidRDefault="005E79F8" w:rsidP="00FE7D97">
            <w:pPr>
              <w:pStyle w:val="TableText"/>
              <w:rPr>
                <w:color w:val="0D0D0D" w:themeColor="text1" w:themeTint="F2"/>
              </w:rPr>
            </w:pPr>
            <w:r w:rsidRPr="00777D6A">
              <w:rPr>
                <w:color w:val="0D0D0D" w:themeColor="text1" w:themeTint="F2"/>
              </w:rPr>
              <w:t xml:space="preserve">The inclusion of cost for ECG monitoring was consistent with the ivosidenib PI and was reasonable. Results were revised during the </w:t>
            </w:r>
            <w:r w:rsidR="00DC5CF3">
              <w:rPr>
                <w:color w:val="0D0D0D" w:themeColor="text1" w:themeTint="F2"/>
              </w:rPr>
              <w:t>commentary</w:t>
            </w:r>
            <w:r w:rsidRPr="00777D6A">
              <w:rPr>
                <w:color w:val="0D0D0D" w:themeColor="text1" w:themeTint="F2"/>
              </w:rPr>
              <w:t xml:space="preserve"> assuming 85% benefit.  </w:t>
            </w:r>
          </w:p>
        </w:tc>
      </w:tr>
    </w:tbl>
    <w:p w14:paraId="7024C381" w14:textId="1A680835" w:rsidR="005E79F8" w:rsidRPr="003E7195" w:rsidRDefault="005E79F8" w:rsidP="005E79F8">
      <w:pPr>
        <w:pStyle w:val="TableFooter"/>
        <w:rPr>
          <w:color w:val="0D0D0D" w:themeColor="text1" w:themeTint="F2"/>
        </w:rPr>
      </w:pPr>
      <w:r w:rsidRPr="003E7195">
        <w:rPr>
          <w:color w:val="0D0D0D" w:themeColor="text1" w:themeTint="F2"/>
        </w:rPr>
        <w:t>Source: Table 4-2, , Table 4-4, , Table 4-13, , Section 4.2.3, , and Section 4.5.2, of the submission</w:t>
      </w:r>
    </w:p>
    <w:p w14:paraId="4D6D1BF5" w14:textId="77777777" w:rsidR="005E79F8" w:rsidRDefault="005E79F8" w:rsidP="005E79F8">
      <w:pPr>
        <w:pStyle w:val="TableFooter"/>
        <w:rPr>
          <w:color w:val="0D0D0D" w:themeColor="text1" w:themeTint="F2"/>
        </w:rPr>
      </w:pPr>
      <w:r w:rsidRPr="003E7195">
        <w:rPr>
          <w:color w:val="0D0D0D" w:themeColor="text1" w:themeTint="F2"/>
        </w:rPr>
        <w:t xml:space="preserve">AIHW = Australian Institute of Health and Welfare; CCA = cholangiocarcinoma; eCCA = extrahepatic cholangiocarcinoma; ECG = electrocardiogram; iCCA = intrahepatic cholangiocarcinoma; </w:t>
      </w:r>
      <w:r w:rsidRPr="003E7195">
        <w:rPr>
          <w:i/>
          <w:iCs/>
          <w:color w:val="0D0D0D" w:themeColor="text1" w:themeTint="F2"/>
        </w:rPr>
        <w:t>IDH</w:t>
      </w:r>
      <w:r w:rsidRPr="003E7195">
        <w:rPr>
          <w:color w:val="0D0D0D" w:themeColor="text1" w:themeTint="F2"/>
        </w:rPr>
        <w:t>1 = isocitrate dehydrogenase 1; NOS = not otherwise specified; PI = product information; PSD = public summary document</w:t>
      </w:r>
    </w:p>
    <w:p w14:paraId="234CEE0E" w14:textId="77777777" w:rsidR="00FD2DBA" w:rsidRPr="003B0EA5" w:rsidRDefault="00FD2DBA" w:rsidP="00FD2DBA">
      <w:pPr>
        <w:pStyle w:val="TableFooter"/>
        <w:rPr>
          <w:i/>
          <w:iCs/>
          <w:color w:val="0D0D0D" w:themeColor="text1" w:themeTint="F2"/>
        </w:rPr>
      </w:pPr>
      <w:r w:rsidRPr="003B0EA5">
        <w:rPr>
          <w:i/>
          <w:iCs/>
          <w:color w:val="0D0D0D" w:themeColor="text1" w:themeTint="F2"/>
        </w:rPr>
        <w:t>The redacted values correspond to the following ranges:</w:t>
      </w:r>
    </w:p>
    <w:p w14:paraId="5895C252" w14:textId="5955524C" w:rsidR="00FD2DBA" w:rsidRPr="003B0EA5" w:rsidRDefault="00FD2DBA" w:rsidP="00FD2DBA">
      <w:pPr>
        <w:pStyle w:val="TableFooter"/>
        <w:rPr>
          <w:i/>
          <w:iCs/>
          <w:color w:val="0D0D0D" w:themeColor="text1" w:themeTint="F2"/>
        </w:rPr>
      </w:pPr>
      <w:r w:rsidRPr="003B0EA5">
        <w:rPr>
          <w:i/>
          <w:iCs/>
          <w:color w:val="0D0D0D" w:themeColor="text1" w:themeTint="F2"/>
        </w:rPr>
        <w:t>1 &lt; 500</w:t>
      </w:r>
    </w:p>
    <w:p w14:paraId="6DD655A6" w14:textId="20FEE38E" w:rsidR="005E79F8" w:rsidRPr="003B0EA5" w:rsidRDefault="00FD2DBA" w:rsidP="005E79F8">
      <w:pPr>
        <w:pStyle w:val="TableFooter"/>
        <w:rPr>
          <w:i/>
          <w:iCs/>
          <w:color w:val="0D0D0D" w:themeColor="text1" w:themeTint="F2"/>
        </w:rPr>
      </w:pPr>
      <w:r w:rsidRPr="003B0EA5">
        <w:rPr>
          <w:i/>
          <w:iCs/>
          <w:color w:val="0D0D0D" w:themeColor="text1" w:themeTint="F2"/>
        </w:rPr>
        <w:t>2 500 to &lt; 5,000</w:t>
      </w:r>
    </w:p>
    <w:p w14:paraId="52A0C4BA" w14:textId="35B7290B" w:rsidR="005E79F8" w:rsidRPr="003E7195" w:rsidRDefault="005E79F8" w:rsidP="007E0187">
      <w:pPr>
        <w:pStyle w:val="ListParagraph"/>
      </w:pPr>
      <w:r w:rsidRPr="003E7195">
        <w:t xml:space="preserve">The submission’s estimates for the number of patients likely to be treated with ivosidenib in the first 6 years of listing are presented in </w:t>
      </w:r>
      <w:r w:rsidRPr="003E7195">
        <w:fldChar w:fldCharType="begin" w:fldLock="1"/>
      </w:r>
      <w:r w:rsidRPr="003E7195">
        <w:instrText xml:space="preserve"> REF _Ref164195979 \h </w:instrText>
      </w:r>
      <w:r w:rsidRPr="003E7195">
        <w:fldChar w:fldCharType="separate"/>
      </w:r>
      <w:r w:rsidR="00CB6594" w:rsidRPr="003E7195">
        <w:t xml:space="preserve">Table </w:t>
      </w:r>
      <w:r w:rsidR="00CB6594">
        <w:rPr>
          <w:noProof/>
        </w:rPr>
        <w:t>17</w:t>
      </w:r>
      <w:r w:rsidRPr="003E7195">
        <w:fldChar w:fldCharType="end"/>
      </w:r>
      <w:r w:rsidRPr="003E7195">
        <w:t xml:space="preserve">. </w:t>
      </w:r>
    </w:p>
    <w:p w14:paraId="7CA8047C" w14:textId="5714B83B" w:rsidR="005E79F8" w:rsidRPr="003E7195" w:rsidRDefault="005E79F8" w:rsidP="005E79F8">
      <w:pPr>
        <w:pStyle w:val="TableFigureHeading"/>
        <w:rPr>
          <w:color w:val="0D0D0D" w:themeColor="text1" w:themeTint="F2"/>
        </w:rPr>
      </w:pPr>
      <w:bookmarkStart w:id="79" w:name="_Ref164195979"/>
      <w:r w:rsidRPr="003E7195">
        <w:rPr>
          <w:color w:val="0D0D0D" w:themeColor="text1" w:themeTint="F2"/>
        </w:rPr>
        <w:t xml:space="preserve">Table </w:t>
      </w:r>
      <w:r w:rsidRPr="003E7195">
        <w:rPr>
          <w:color w:val="0D0D0D" w:themeColor="text1" w:themeTint="F2"/>
        </w:rPr>
        <w:fldChar w:fldCharType="begin" w:fldLock="1"/>
      </w:r>
      <w:r w:rsidRPr="003E7195">
        <w:rPr>
          <w:color w:val="0D0D0D" w:themeColor="text1" w:themeTint="F2"/>
        </w:rPr>
        <w:instrText xml:space="preserve"> SEQ Table_PBAC. \* ARABIC </w:instrText>
      </w:r>
      <w:r w:rsidRPr="003E7195">
        <w:rPr>
          <w:color w:val="0D0D0D" w:themeColor="text1" w:themeTint="F2"/>
        </w:rPr>
        <w:fldChar w:fldCharType="separate"/>
      </w:r>
      <w:r w:rsidR="00CB6594">
        <w:rPr>
          <w:noProof/>
          <w:color w:val="0D0D0D" w:themeColor="text1" w:themeTint="F2"/>
        </w:rPr>
        <w:t>17</w:t>
      </w:r>
      <w:r w:rsidRPr="003E7195">
        <w:rPr>
          <w:color w:val="0D0D0D" w:themeColor="text1" w:themeTint="F2"/>
        </w:rPr>
        <w:fldChar w:fldCharType="end"/>
      </w:r>
      <w:bookmarkEnd w:id="79"/>
      <w:r w:rsidR="00403C4F">
        <w:rPr>
          <w:color w:val="0D0D0D" w:themeColor="text1" w:themeTint="F2"/>
        </w:rPr>
        <w:t xml:space="preserve">: </w:t>
      </w:r>
      <w:r w:rsidRPr="003E7195">
        <w:rPr>
          <w:color w:val="0D0D0D" w:themeColor="text1" w:themeTint="F2"/>
        </w:rPr>
        <w:t xml:space="preserve">Estimation of number of treated patients </w:t>
      </w:r>
    </w:p>
    <w:tbl>
      <w:tblPr>
        <w:tblStyle w:val="ASDTable1"/>
        <w:tblW w:w="4982" w:type="pct"/>
        <w:tblLayout w:type="fixed"/>
        <w:tblLook w:val="04A0" w:firstRow="1" w:lastRow="0" w:firstColumn="1" w:lastColumn="0" w:noHBand="0" w:noVBand="1"/>
        <w:tblCaption w:val="Table 17: Estimation of number of treated patients "/>
      </w:tblPr>
      <w:tblGrid>
        <w:gridCol w:w="269"/>
        <w:gridCol w:w="3412"/>
        <w:gridCol w:w="868"/>
        <w:gridCol w:w="850"/>
        <w:gridCol w:w="850"/>
        <w:gridCol w:w="850"/>
        <w:gridCol w:w="985"/>
        <w:gridCol w:w="900"/>
      </w:tblGrid>
      <w:tr w:rsidR="005E79F8" w:rsidRPr="003E7195" w14:paraId="1EEDB4F6" w14:textId="77777777" w:rsidTr="00FE7D97">
        <w:trPr>
          <w:trHeight w:val="20"/>
        </w:trPr>
        <w:tc>
          <w:tcPr>
            <w:tcW w:w="150" w:type="pct"/>
            <w:noWrap/>
            <w:hideMark/>
          </w:tcPr>
          <w:p w14:paraId="54C0FEFC" w14:textId="77777777" w:rsidR="005E79F8" w:rsidRPr="003E7195" w:rsidRDefault="005E79F8" w:rsidP="00FE7D97">
            <w:pPr>
              <w:pStyle w:val="In-tableHeading"/>
              <w:rPr>
                <w:color w:val="0D0D0D" w:themeColor="text1" w:themeTint="F2"/>
                <w:lang w:val="en-AU"/>
              </w:rPr>
            </w:pPr>
          </w:p>
        </w:tc>
        <w:tc>
          <w:tcPr>
            <w:tcW w:w="1899" w:type="pct"/>
            <w:noWrap/>
            <w:hideMark/>
          </w:tcPr>
          <w:p w14:paraId="0B02DFCB" w14:textId="77777777" w:rsidR="005E79F8" w:rsidRPr="003E7195" w:rsidRDefault="005E79F8" w:rsidP="00FE7D97">
            <w:pPr>
              <w:pStyle w:val="In-tableHeading"/>
              <w:rPr>
                <w:color w:val="0D0D0D" w:themeColor="text1" w:themeTint="F2"/>
                <w:lang w:val="en-AU"/>
              </w:rPr>
            </w:pPr>
          </w:p>
        </w:tc>
        <w:tc>
          <w:tcPr>
            <w:tcW w:w="483" w:type="pct"/>
            <w:noWrap/>
            <w:hideMark/>
          </w:tcPr>
          <w:p w14:paraId="085024D9" w14:textId="77777777"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2024</w:t>
            </w:r>
          </w:p>
        </w:tc>
        <w:tc>
          <w:tcPr>
            <w:tcW w:w="473" w:type="pct"/>
            <w:noWrap/>
            <w:hideMark/>
          </w:tcPr>
          <w:p w14:paraId="05A251DB" w14:textId="77777777"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2025</w:t>
            </w:r>
          </w:p>
        </w:tc>
        <w:tc>
          <w:tcPr>
            <w:tcW w:w="473" w:type="pct"/>
            <w:noWrap/>
            <w:hideMark/>
          </w:tcPr>
          <w:p w14:paraId="3F2AFACD" w14:textId="77777777"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2026</w:t>
            </w:r>
          </w:p>
        </w:tc>
        <w:tc>
          <w:tcPr>
            <w:tcW w:w="473" w:type="pct"/>
            <w:noWrap/>
            <w:hideMark/>
          </w:tcPr>
          <w:p w14:paraId="6EE465CF" w14:textId="77777777"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2027</w:t>
            </w:r>
          </w:p>
        </w:tc>
        <w:tc>
          <w:tcPr>
            <w:tcW w:w="548" w:type="pct"/>
            <w:noWrap/>
            <w:hideMark/>
          </w:tcPr>
          <w:p w14:paraId="4B22A026" w14:textId="77777777"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2028</w:t>
            </w:r>
          </w:p>
        </w:tc>
        <w:tc>
          <w:tcPr>
            <w:tcW w:w="501" w:type="pct"/>
            <w:noWrap/>
            <w:hideMark/>
          </w:tcPr>
          <w:p w14:paraId="0A66A5A7" w14:textId="77777777" w:rsidR="005E79F8" w:rsidRPr="003E7195" w:rsidRDefault="005E79F8" w:rsidP="00FE7D97">
            <w:pPr>
              <w:pStyle w:val="In-tableHeading"/>
              <w:jc w:val="center"/>
              <w:rPr>
                <w:color w:val="0D0D0D" w:themeColor="text1" w:themeTint="F2"/>
                <w:lang w:val="en-AU"/>
              </w:rPr>
            </w:pPr>
            <w:r w:rsidRPr="003E7195">
              <w:rPr>
                <w:color w:val="0D0D0D" w:themeColor="text1" w:themeTint="F2"/>
                <w:lang w:val="en-AU"/>
              </w:rPr>
              <w:t>2029</w:t>
            </w:r>
          </w:p>
        </w:tc>
      </w:tr>
      <w:tr w:rsidR="005E79F8" w:rsidRPr="003E7195" w14:paraId="7AFFC2ED" w14:textId="77777777" w:rsidTr="00FE7D97">
        <w:trPr>
          <w:trHeight w:val="20"/>
        </w:trPr>
        <w:tc>
          <w:tcPr>
            <w:tcW w:w="150" w:type="pct"/>
            <w:noWrap/>
            <w:hideMark/>
          </w:tcPr>
          <w:p w14:paraId="20440B2C" w14:textId="77777777" w:rsidR="005E79F8" w:rsidRPr="003E7195" w:rsidRDefault="005E79F8" w:rsidP="00FE7D97">
            <w:pPr>
              <w:pStyle w:val="TableText"/>
              <w:keepNext/>
              <w:rPr>
                <w:color w:val="0D0D0D" w:themeColor="text1" w:themeTint="F2"/>
              </w:rPr>
            </w:pPr>
            <w:r w:rsidRPr="003E7195">
              <w:rPr>
                <w:color w:val="0D0D0D" w:themeColor="text1" w:themeTint="F2"/>
              </w:rPr>
              <w:t>A</w:t>
            </w:r>
          </w:p>
        </w:tc>
        <w:tc>
          <w:tcPr>
            <w:tcW w:w="1899" w:type="pct"/>
            <w:noWrap/>
            <w:hideMark/>
          </w:tcPr>
          <w:p w14:paraId="6D6D6D99" w14:textId="77777777" w:rsidR="005E79F8" w:rsidRPr="003E7195" w:rsidRDefault="005E79F8" w:rsidP="00403C4F">
            <w:pPr>
              <w:pStyle w:val="TableText"/>
              <w:keepNext/>
              <w:jc w:val="both"/>
              <w:rPr>
                <w:color w:val="0D0D0D" w:themeColor="text1" w:themeTint="F2"/>
              </w:rPr>
            </w:pPr>
            <w:r w:rsidRPr="003E7195">
              <w:rPr>
                <w:color w:val="0D0D0D" w:themeColor="text1" w:themeTint="F2"/>
              </w:rPr>
              <w:t>No. incident eCCA (AIHW incidence)</w:t>
            </w:r>
          </w:p>
        </w:tc>
        <w:tc>
          <w:tcPr>
            <w:tcW w:w="483" w:type="pct"/>
            <w:noWrap/>
            <w:vAlign w:val="center"/>
          </w:tcPr>
          <w:p w14:paraId="1A1285E3" w14:textId="676CE538"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0"/>
                <w14:textFill>
                  <w14:solidFill>
                    <w14:schemeClr w14:val="tx1">
                      <w14:alpha w14:val="100000"/>
                      <w14:lumMod w14:val="95000"/>
                      <w14:lumOff w14:val="5000"/>
                    </w14:schemeClr>
                  </w14:solidFill>
                </w14:textFill>
              </w:rPr>
              <w:t>|</w:t>
            </w:r>
            <w:r w:rsidR="00A005F3" w:rsidRPr="003B0EA5">
              <w:rPr>
                <w:color w:val="0D0D0D" w:themeColor="text1" w:themeTint="F2"/>
                <w:vertAlign w:val="superscript"/>
              </w:rPr>
              <w:t>1</w:t>
            </w:r>
          </w:p>
        </w:tc>
        <w:tc>
          <w:tcPr>
            <w:tcW w:w="473" w:type="pct"/>
            <w:noWrap/>
            <w:vAlign w:val="center"/>
          </w:tcPr>
          <w:p w14:paraId="53A72051" w14:textId="7A16D5D7"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2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4D8FAEDF" w14:textId="5F89D587"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1C348CFC" w14:textId="30C2C03C"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7"/>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noWrap/>
            <w:vAlign w:val="center"/>
          </w:tcPr>
          <w:p w14:paraId="27116F92" w14:textId="72D3680C"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26"/>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26"/>
                <w14:textFill>
                  <w14:solidFill>
                    <w14:schemeClr w14:val="tx1">
                      <w14:alpha w14:val="100000"/>
                      <w14:lumMod w14:val="95000"/>
                      <w14:lumOff w14:val="5000"/>
                    </w14:schemeClr>
                  </w14:solidFill>
                </w14:textFill>
              </w:rPr>
              <w:t>|</w:t>
            </w:r>
            <w:r w:rsidR="00A005F3" w:rsidRPr="003B0EA5">
              <w:rPr>
                <w:color w:val="0D0D0D" w:themeColor="text1" w:themeTint="F2"/>
                <w:vertAlign w:val="superscript"/>
              </w:rPr>
              <w:t>2</w:t>
            </w:r>
          </w:p>
        </w:tc>
        <w:tc>
          <w:tcPr>
            <w:tcW w:w="501" w:type="pct"/>
            <w:noWrap/>
            <w:vAlign w:val="center"/>
          </w:tcPr>
          <w:p w14:paraId="62F20D94" w14:textId="2A629B76"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25"/>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25"/>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r>
      <w:tr w:rsidR="005E79F8" w:rsidRPr="003E7195" w14:paraId="7E958F42" w14:textId="77777777" w:rsidTr="00FE7D97">
        <w:trPr>
          <w:trHeight w:val="20"/>
        </w:trPr>
        <w:tc>
          <w:tcPr>
            <w:tcW w:w="150" w:type="pct"/>
            <w:noWrap/>
            <w:hideMark/>
          </w:tcPr>
          <w:p w14:paraId="40E5E7F9" w14:textId="77777777" w:rsidR="005E79F8" w:rsidRPr="003E7195" w:rsidRDefault="005E79F8" w:rsidP="00FE7D97">
            <w:pPr>
              <w:pStyle w:val="TableText"/>
              <w:keepNext/>
              <w:rPr>
                <w:color w:val="0D0D0D" w:themeColor="text1" w:themeTint="F2"/>
              </w:rPr>
            </w:pPr>
            <w:r w:rsidRPr="003E7195">
              <w:rPr>
                <w:color w:val="0D0D0D" w:themeColor="text1" w:themeTint="F2"/>
              </w:rPr>
              <w:t>B</w:t>
            </w:r>
          </w:p>
        </w:tc>
        <w:tc>
          <w:tcPr>
            <w:tcW w:w="1899" w:type="pct"/>
            <w:noWrap/>
            <w:hideMark/>
          </w:tcPr>
          <w:p w14:paraId="4F010842" w14:textId="77777777" w:rsidR="005E79F8" w:rsidRPr="003E7195" w:rsidRDefault="005E79F8" w:rsidP="00FE7D97">
            <w:pPr>
              <w:pStyle w:val="TableText"/>
              <w:keepNext/>
              <w:rPr>
                <w:color w:val="0D0D0D" w:themeColor="text1" w:themeTint="F2"/>
              </w:rPr>
            </w:pPr>
            <w:r w:rsidRPr="003E7195">
              <w:rPr>
                <w:color w:val="0D0D0D" w:themeColor="text1" w:themeTint="F2"/>
              </w:rPr>
              <w:t>No. incident iCCA (AIHW incidence)</w:t>
            </w:r>
          </w:p>
        </w:tc>
        <w:tc>
          <w:tcPr>
            <w:tcW w:w="483" w:type="pct"/>
            <w:noWrap/>
            <w:vAlign w:val="center"/>
          </w:tcPr>
          <w:p w14:paraId="75A6ACC8" w14:textId="5F798AE0"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4"/>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hideMark/>
          </w:tcPr>
          <w:p w14:paraId="163F6893" w14:textId="108C9A59"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4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40"/>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hideMark/>
          </w:tcPr>
          <w:p w14:paraId="199B82E1" w14:textId="6119FC21"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hideMark/>
          </w:tcPr>
          <w:p w14:paraId="7DF8C368" w14:textId="68C2E7F1"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548" w:type="pct"/>
            <w:noWrap/>
            <w:vAlign w:val="center"/>
            <w:hideMark/>
          </w:tcPr>
          <w:p w14:paraId="4B6D6C89" w14:textId="66D0977B"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3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37"/>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501" w:type="pct"/>
            <w:noWrap/>
            <w:vAlign w:val="center"/>
            <w:hideMark/>
          </w:tcPr>
          <w:p w14:paraId="3FE99212" w14:textId="508B32DF"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36"/>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36"/>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r>
      <w:tr w:rsidR="005E79F8" w:rsidRPr="003E7195" w14:paraId="297CFD52" w14:textId="77777777" w:rsidTr="00FE7D97">
        <w:trPr>
          <w:trHeight w:val="20"/>
        </w:trPr>
        <w:tc>
          <w:tcPr>
            <w:tcW w:w="150" w:type="pct"/>
            <w:noWrap/>
            <w:hideMark/>
          </w:tcPr>
          <w:p w14:paraId="4AA5C532" w14:textId="77777777" w:rsidR="005E79F8" w:rsidRPr="003E7195" w:rsidRDefault="005E79F8" w:rsidP="00FE7D97">
            <w:pPr>
              <w:pStyle w:val="TableText"/>
              <w:keepNext/>
              <w:rPr>
                <w:color w:val="0D0D0D" w:themeColor="text1" w:themeTint="F2"/>
              </w:rPr>
            </w:pPr>
            <w:r w:rsidRPr="003E7195">
              <w:rPr>
                <w:color w:val="0D0D0D" w:themeColor="text1" w:themeTint="F2"/>
              </w:rPr>
              <w:t>C</w:t>
            </w:r>
          </w:p>
        </w:tc>
        <w:tc>
          <w:tcPr>
            <w:tcW w:w="1899" w:type="pct"/>
            <w:noWrap/>
            <w:hideMark/>
          </w:tcPr>
          <w:p w14:paraId="548AF07F" w14:textId="77777777" w:rsidR="005E79F8" w:rsidRPr="003E7195" w:rsidRDefault="005E79F8" w:rsidP="00FE7D97">
            <w:pPr>
              <w:pStyle w:val="TableText"/>
              <w:keepNext/>
              <w:rPr>
                <w:color w:val="0D0D0D" w:themeColor="text1" w:themeTint="F2"/>
              </w:rPr>
            </w:pPr>
            <w:r w:rsidRPr="003E7195">
              <w:rPr>
                <w:color w:val="0D0D0D" w:themeColor="text1" w:themeTint="F2"/>
              </w:rPr>
              <w:t>No. incident biliary tract NOS (AIHW incidence)</w:t>
            </w:r>
          </w:p>
        </w:tc>
        <w:tc>
          <w:tcPr>
            <w:tcW w:w="483" w:type="pct"/>
            <w:noWrap/>
            <w:vAlign w:val="center"/>
          </w:tcPr>
          <w:p w14:paraId="7139101A" w14:textId="6EFB4FCB"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5"/>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5"/>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352B98BA" w14:textId="27924B2A"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3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4"/>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648EE4F8" w14:textId="44EF2AA7"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3"/>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3"/>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hideMark/>
          </w:tcPr>
          <w:p w14:paraId="58F2F049" w14:textId="43BF30DA"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2"/>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2"/>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noWrap/>
            <w:vAlign w:val="center"/>
            <w:hideMark/>
          </w:tcPr>
          <w:p w14:paraId="7AF8F376" w14:textId="50464110"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31"/>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31"/>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01" w:type="pct"/>
            <w:noWrap/>
            <w:vAlign w:val="center"/>
            <w:hideMark/>
          </w:tcPr>
          <w:p w14:paraId="3BA0F8FE" w14:textId="09EF4803"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30"/>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30"/>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r>
      <w:tr w:rsidR="005E79F8" w:rsidRPr="003E7195" w14:paraId="54757669" w14:textId="77777777" w:rsidTr="00FE7D97">
        <w:trPr>
          <w:trHeight w:val="20"/>
        </w:trPr>
        <w:tc>
          <w:tcPr>
            <w:tcW w:w="150" w:type="pct"/>
            <w:noWrap/>
            <w:hideMark/>
          </w:tcPr>
          <w:p w14:paraId="3B0EEC7C" w14:textId="77777777" w:rsidR="005E79F8" w:rsidRPr="003E7195" w:rsidRDefault="005E79F8" w:rsidP="00FE7D97">
            <w:pPr>
              <w:pStyle w:val="TableText"/>
              <w:keepNext/>
              <w:rPr>
                <w:color w:val="0D0D0D" w:themeColor="text1" w:themeTint="F2"/>
              </w:rPr>
            </w:pPr>
            <w:r w:rsidRPr="003E7195">
              <w:rPr>
                <w:color w:val="0D0D0D" w:themeColor="text1" w:themeTint="F2"/>
              </w:rPr>
              <w:t>D</w:t>
            </w:r>
          </w:p>
        </w:tc>
        <w:tc>
          <w:tcPr>
            <w:tcW w:w="1899" w:type="pct"/>
            <w:noWrap/>
            <w:hideMark/>
          </w:tcPr>
          <w:p w14:paraId="469325A4" w14:textId="77777777" w:rsidR="005E79F8" w:rsidRPr="003E7195" w:rsidRDefault="005E79F8" w:rsidP="00FE7D97">
            <w:pPr>
              <w:pStyle w:val="TableText"/>
              <w:keepNext/>
              <w:rPr>
                <w:color w:val="0D0D0D" w:themeColor="text1" w:themeTint="F2"/>
              </w:rPr>
            </w:pPr>
            <w:r w:rsidRPr="003E7195">
              <w:rPr>
                <w:color w:val="0D0D0D" w:themeColor="text1" w:themeTint="F2"/>
              </w:rPr>
              <w:t>No. incident overlapping (AIHW incidence)</w:t>
            </w:r>
          </w:p>
        </w:tc>
        <w:tc>
          <w:tcPr>
            <w:tcW w:w="483" w:type="pct"/>
            <w:noWrap/>
            <w:vAlign w:val="center"/>
          </w:tcPr>
          <w:p w14:paraId="1617E131" w14:textId="6408CF91"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2D26DBC2" w14:textId="5C8C7BDC"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2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hideMark/>
          </w:tcPr>
          <w:p w14:paraId="46C97BD7" w14:textId="4866AFB4"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7"/>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hideMark/>
          </w:tcPr>
          <w:p w14:paraId="3AA0C331" w14:textId="6A283E8A"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6"/>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6"/>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noWrap/>
            <w:vAlign w:val="center"/>
            <w:hideMark/>
          </w:tcPr>
          <w:p w14:paraId="446D11B5" w14:textId="735D1799"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25"/>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25"/>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01" w:type="pct"/>
            <w:noWrap/>
            <w:vAlign w:val="center"/>
            <w:hideMark/>
          </w:tcPr>
          <w:p w14:paraId="274D1D9A" w14:textId="7EB99C2F"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24"/>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24"/>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r>
      <w:tr w:rsidR="005E79F8" w:rsidRPr="003E7195" w14:paraId="6918AE71" w14:textId="77777777" w:rsidTr="00FE7D97">
        <w:trPr>
          <w:trHeight w:val="20"/>
        </w:trPr>
        <w:tc>
          <w:tcPr>
            <w:tcW w:w="150" w:type="pct"/>
            <w:noWrap/>
            <w:hideMark/>
          </w:tcPr>
          <w:p w14:paraId="394C6F57" w14:textId="77777777" w:rsidR="005E79F8" w:rsidRPr="003E7195" w:rsidRDefault="005E79F8" w:rsidP="00FE7D97">
            <w:pPr>
              <w:pStyle w:val="TableText"/>
              <w:keepNext/>
              <w:rPr>
                <w:color w:val="0D0D0D" w:themeColor="text1" w:themeTint="F2"/>
              </w:rPr>
            </w:pPr>
            <w:r w:rsidRPr="003E7195">
              <w:rPr>
                <w:color w:val="0D0D0D" w:themeColor="text1" w:themeTint="F2"/>
              </w:rPr>
              <w:t>E</w:t>
            </w:r>
          </w:p>
        </w:tc>
        <w:tc>
          <w:tcPr>
            <w:tcW w:w="1899" w:type="pct"/>
            <w:noWrap/>
            <w:hideMark/>
          </w:tcPr>
          <w:p w14:paraId="4458243D" w14:textId="77777777" w:rsidR="005E79F8" w:rsidRPr="003E7195" w:rsidRDefault="005E79F8" w:rsidP="00FE7D97">
            <w:pPr>
              <w:pStyle w:val="TableText"/>
              <w:keepNext/>
              <w:rPr>
                <w:color w:val="0D0D0D" w:themeColor="text1" w:themeTint="F2"/>
              </w:rPr>
            </w:pPr>
            <w:r w:rsidRPr="003E7195">
              <w:rPr>
                <w:color w:val="0D0D0D" w:themeColor="text1" w:themeTint="F2"/>
              </w:rPr>
              <w:t>Total CCA incidence (A + B + C + D)</w:t>
            </w:r>
          </w:p>
        </w:tc>
        <w:tc>
          <w:tcPr>
            <w:tcW w:w="483" w:type="pct"/>
            <w:noWrap/>
            <w:vAlign w:val="center"/>
            <w:hideMark/>
          </w:tcPr>
          <w:p w14:paraId="04730484" w14:textId="204EB227"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4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40"/>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hideMark/>
          </w:tcPr>
          <w:p w14:paraId="4B80F2F3" w14:textId="3D53114E"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3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hideMark/>
          </w:tcPr>
          <w:p w14:paraId="2CF53A8E" w14:textId="4134812E"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hideMark/>
          </w:tcPr>
          <w:p w14:paraId="56D4311A" w14:textId="6CAACBD7"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7"/>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548" w:type="pct"/>
            <w:noWrap/>
            <w:vAlign w:val="center"/>
            <w:hideMark/>
          </w:tcPr>
          <w:p w14:paraId="256C9248" w14:textId="0EED325D"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36"/>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36"/>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501" w:type="pct"/>
            <w:noWrap/>
            <w:vAlign w:val="center"/>
            <w:hideMark/>
          </w:tcPr>
          <w:p w14:paraId="513493D8" w14:textId="34C26FA0"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35"/>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35"/>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r>
      <w:tr w:rsidR="005E79F8" w:rsidRPr="003E7195" w14:paraId="174A6159" w14:textId="77777777" w:rsidTr="00FE7D97">
        <w:trPr>
          <w:trHeight w:val="20"/>
        </w:trPr>
        <w:tc>
          <w:tcPr>
            <w:tcW w:w="150" w:type="pct"/>
            <w:noWrap/>
            <w:hideMark/>
          </w:tcPr>
          <w:p w14:paraId="72E9113F" w14:textId="77777777" w:rsidR="005E79F8" w:rsidRPr="003E7195" w:rsidRDefault="005E79F8" w:rsidP="00FE7D97">
            <w:pPr>
              <w:pStyle w:val="TableText"/>
              <w:keepNext/>
              <w:rPr>
                <w:color w:val="0D0D0D" w:themeColor="text1" w:themeTint="F2"/>
              </w:rPr>
            </w:pPr>
            <w:r w:rsidRPr="003E7195">
              <w:rPr>
                <w:color w:val="0D0D0D" w:themeColor="text1" w:themeTint="F2"/>
              </w:rPr>
              <w:t>F</w:t>
            </w:r>
          </w:p>
        </w:tc>
        <w:tc>
          <w:tcPr>
            <w:tcW w:w="1899" w:type="pct"/>
            <w:noWrap/>
            <w:hideMark/>
          </w:tcPr>
          <w:p w14:paraId="724782D0" w14:textId="77777777" w:rsidR="005E79F8" w:rsidRPr="003E7195" w:rsidRDefault="005E79F8" w:rsidP="00FE7D97">
            <w:pPr>
              <w:pStyle w:val="TableText"/>
              <w:keepNext/>
              <w:rPr>
                <w:color w:val="0D0D0D" w:themeColor="text1" w:themeTint="F2"/>
              </w:rPr>
            </w:pPr>
            <w:r w:rsidRPr="003E7195">
              <w:rPr>
                <w:color w:val="0D0D0D" w:themeColor="text1" w:themeTint="F2"/>
              </w:rPr>
              <w:t xml:space="preserve">No. receiving </w:t>
            </w:r>
            <w:r w:rsidRPr="003E7195">
              <w:rPr>
                <w:i/>
                <w:iCs/>
                <w:color w:val="0D0D0D" w:themeColor="text1" w:themeTint="F2"/>
              </w:rPr>
              <w:t>IDH1</w:t>
            </w:r>
            <w:r w:rsidRPr="003E7195">
              <w:rPr>
                <w:color w:val="0D0D0D" w:themeColor="text1" w:themeTint="F2"/>
              </w:rPr>
              <w:t xml:space="preserve"> testing (E x 90%)</w:t>
            </w:r>
          </w:p>
        </w:tc>
        <w:tc>
          <w:tcPr>
            <w:tcW w:w="483" w:type="pct"/>
            <w:noWrap/>
            <w:vAlign w:val="center"/>
          </w:tcPr>
          <w:p w14:paraId="3C72592D" w14:textId="2274B1E5"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4"/>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tcPr>
          <w:p w14:paraId="09D3F7AE" w14:textId="148FD192"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33"/>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3"/>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tcPr>
          <w:p w14:paraId="23D18A01" w14:textId="7A695DA5"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2"/>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2"/>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473" w:type="pct"/>
            <w:noWrap/>
            <w:vAlign w:val="center"/>
            <w:hideMark/>
          </w:tcPr>
          <w:p w14:paraId="38A82041" w14:textId="3A8F56B4"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1"/>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1"/>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548" w:type="pct"/>
            <w:noWrap/>
            <w:vAlign w:val="center"/>
            <w:hideMark/>
          </w:tcPr>
          <w:p w14:paraId="24EA39ED" w14:textId="07726EAE"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3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30"/>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c>
          <w:tcPr>
            <w:tcW w:w="501" w:type="pct"/>
            <w:noWrap/>
            <w:vAlign w:val="center"/>
            <w:hideMark/>
          </w:tcPr>
          <w:p w14:paraId="48BD0A8B" w14:textId="68168C66"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29"/>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2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2</w:t>
            </w:r>
          </w:p>
        </w:tc>
      </w:tr>
      <w:tr w:rsidR="005E79F8" w:rsidRPr="003E7195" w14:paraId="5332EE96" w14:textId="77777777" w:rsidTr="00FE7D97">
        <w:trPr>
          <w:trHeight w:val="20"/>
        </w:trPr>
        <w:tc>
          <w:tcPr>
            <w:tcW w:w="150" w:type="pct"/>
            <w:noWrap/>
            <w:hideMark/>
          </w:tcPr>
          <w:p w14:paraId="1B85478F" w14:textId="77777777" w:rsidR="005E79F8" w:rsidRPr="003E7195" w:rsidRDefault="005E79F8" w:rsidP="00FE7D97">
            <w:pPr>
              <w:pStyle w:val="TableText"/>
              <w:keepNext/>
              <w:rPr>
                <w:color w:val="0D0D0D" w:themeColor="text1" w:themeTint="F2"/>
              </w:rPr>
            </w:pPr>
            <w:r w:rsidRPr="003E7195">
              <w:rPr>
                <w:color w:val="0D0D0D" w:themeColor="text1" w:themeTint="F2"/>
              </w:rPr>
              <w:t>G</w:t>
            </w:r>
          </w:p>
        </w:tc>
        <w:tc>
          <w:tcPr>
            <w:tcW w:w="1899" w:type="pct"/>
            <w:noWrap/>
            <w:hideMark/>
          </w:tcPr>
          <w:p w14:paraId="63170393" w14:textId="77777777" w:rsidR="005E79F8" w:rsidRPr="003E7195" w:rsidRDefault="005E79F8" w:rsidP="00FE7D97">
            <w:pPr>
              <w:pStyle w:val="TableText"/>
              <w:keepNext/>
              <w:rPr>
                <w:color w:val="0D0D0D" w:themeColor="text1" w:themeTint="F2"/>
              </w:rPr>
            </w:pPr>
            <w:r w:rsidRPr="003E7195">
              <w:rPr>
                <w:color w:val="0D0D0D" w:themeColor="text1" w:themeTint="F2"/>
              </w:rPr>
              <w:t xml:space="preserve">No. tested positive for </w:t>
            </w:r>
            <w:r w:rsidRPr="003E7195">
              <w:rPr>
                <w:i/>
                <w:iCs/>
                <w:color w:val="0D0D0D" w:themeColor="text1" w:themeTint="F2"/>
              </w:rPr>
              <w:t xml:space="preserve">IDH1 </w:t>
            </w:r>
            <w:r w:rsidRPr="003E7195">
              <w:rPr>
                <w:color w:val="0D0D0D" w:themeColor="text1" w:themeTint="F2"/>
              </w:rPr>
              <w:t>variants (F x 9.15%)</w:t>
            </w:r>
          </w:p>
        </w:tc>
        <w:tc>
          <w:tcPr>
            <w:tcW w:w="483" w:type="pct"/>
            <w:noWrap/>
            <w:vAlign w:val="center"/>
          </w:tcPr>
          <w:p w14:paraId="04F11B50" w14:textId="6476790A"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30B177AC" w14:textId="1FCAEDE6"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2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7"/>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hideMark/>
          </w:tcPr>
          <w:p w14:paraId="2348D063" w14:textId="294A4CC0"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6"/>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6"/>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hideMark/>
          </w:tcPr>
          <w:p w14:paraId="3B6F23B5" w14:textId="659487ED"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5"/>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5"/>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noWrap/>
            <w:vAlign w:val="center"/>
            <w:hideMark/>
          </w:tcPr>
          <w:p w14:paraId="31B9A402" w14:textId="6DAC888F"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2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24"/>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01" w:type="pct"/>
            <w:noWrap/>
            <w:vAlign w:val="center"/>
            <w:hideMark/>
          </w:tcPr>
          <w:p w14:paraId="39D59E9E" w14:textId="51A66707"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40"/>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40"/>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r>
      <w:tr w:rsidR="005E79F8" w:rsidRPr="003E7195" w14:paraId="44ABC405" w14:textId="77777777" w:rsidTr="00FE7D97">
        <w:trPr>
          <w:trHeight w:val="20"/>
        </w:trPr>
        <w:tc>
          <w:tcPr>
            <w:tcW w:w="150" w:type="pct"/>
            <w:noWrap/>
          </w:tcPr>
          <w:p w14:paraId="63F7CC81" w14:textId="77777777" w:rsidR="005E79F8" w:rsidRPr="003E7195" w:rsidRDefault="005E79F8" w:rsidP="00FE7D97">
            <w:pPr>
              <w:pStyle w:val="TableText"/>
              <w:keepNext/>
              <w:rPr>
                <w:color w:val="0D0D0D" w:themeColor="text1" w:themeTint="F2"/>
              </w:rPr>
            </w:pPr>
            <w:r w:rsidRPr="003E7195">
              <w:rPr>
                <w:color w:val="0D0D0D" w:themeColor="text1" w:themeTint="F2"/>
              </w:rPr>
              <w:t>H</w:t>
            </w:r>
          </w:p>
        </w:tc>
        <w:tc>
          <w:tcPr>
            <w:tcW w:w="1899" w:type="pct"/>
            <w:noWrap/>
          </w:tcPr>
          <w:p w14:paraId="346D4CCD" w14:textId="77777777" w:rsidR="005E79F8" w:rsidRPr="003E7195" w:rsidRDefault="005E79F8" w:rsidP="00FE7D97">
            <w:pPr>
              <w:pStyle w:val="TableText"/>
              <w:keepNext/>
              <w:rPr>
                <w:color w:val="0D0D0D" w:themeColor="text1" w:themeTint="F2"/>
              </w:rPr>
            </w:pPr>
            <w:r w:rsidRPr="003E7195">
              <w:rPr>
                <w:color w:val="0D0D0D" w:themeColor="text1" w:themeTint="F2"/>
              </w:rPr>
              <w:t>No. with locally advanced or metastatic CCA (G x 80%)</w:t>
            </w:r>
          </w:p>
        </w:tc>
        <w:tc>
          <w:tcPr>
            <w:tcW w:w="483" w:type="pct"/>
            <w:noWrap/>
            <w:vAlign w:val="center"/>
          </w:tcPr>
          <w:p w14:paraId="60282971" w14:textId="572DBF8C"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7FCAAD23" w14:textId="0A993CA1"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1D6116CC" w14:textId="30426A69"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7"/>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30B445FC" w14:textId="511636F2"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6"/>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6"/>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noWrap/>
            <w:vAlign w:val="center"/>
          </w:tcPr>
          <w:p w14:paraId="0EED9F07" w14:textId="513B0E08"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35"/>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35"/>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01" w:type="pct"/>
            <w:noWrap/>
            <w:vAlign w:val="center"/>
          </w:tcPr>
          <w:p w14:paraId="4CFA9826" w14:textId="6CE32C8C"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34"/>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34"/>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r>
      <w:tr w:rsidR="005E79F8" w:rsidRPr="003E7195" w14:paraId="464BB27D" w14:textId="77777777" w:rsidTr="00FE7D97">
        <w:trPr>
          <w:trHeight w:val="20"/>
        </w:trPr>
        <w:tc>
          <w:tcPr>
            <w:tcW w:w="150" w:type="pct"/>
            <w:noWrap/>
          </w:tcPr>
          <w:p w14:paraId="0C8BC1F8" w14:textId="77777777" w:rsidR="005E79F8" w:rsidRPr="003E7195" w:rsidRDefault="005E79F8" w:rsidP="00FE7D97">
            <w:pPr>
              <w:pStyle w:val="TableText"/>
              <w:keepNext/>
              <w:rPr>
                <w:color w:val="0D0D0D" w:themeColor="text1" w:themeTint="F2"/>
              </w:rPr>
            </w:pPr>
            <w:r w:rsidRPr="003E7195">
              <w:rPr>
                <w:color w:val="0D0D0D" w:themeColor="text1" w:themeTint="F2"/>
              </w:rPr>
              <w:t>I</w:t>
            </w:r>
          </w:p>
        </w:tc>
        <w:tc>
          <w:tcPr>
            <w:tcW w:w="1899" w:type="pct"/>
            <w:noWrap/>
          </w:tcPr>
          <w:p w14:paraId="689D0BE0" w14:textId="77777777" w:rsidR="005E79F8" w:rsidRPr="003E7195" w:rsidRDefault="005E79F8" w:rsidP="00FE7D97">
            <w:pPr>
              <w:pStyle w:val="TableText"/>
              <w:keepNext/>
              <w:rPr>
                <w:color w:val="0D0D0D" w:themeColor="text1" w:themeTint="F2"/>
              </w:rPr>
            </w:pPr>
            <w:r w:rsidRPr="003E7195">
              <w:rPr>
                <w:color w:val="0D0D0D" w:themeColor="text1" w:themeTint="F2"/>
              </w:rPr>
              <w:t>No. progressing to 2nd-line treatment (H x 100%)</w:t>
            </w:r>
          </w:p>
        </w:tc>
        <w:tc>
          <w:tcPr>
            <w:tcW w:w="483" w:type="pct"/>
            <w:noWrap/>
            <w:vAlign w:val="center"/>
          </w:tcPr>
          <w:p w14:paraId="6BDD86D6" w14:textId="35FFA9DB"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3"/>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3"/>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2C8AA040" w14:textId="226745DA"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2"/>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2"/>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5D328F4A" w14:textId="2EB98291"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1"/>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1"/>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77AFF421" w14:textId="36F28FA1"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0"/>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noWrap/>
            <w:vAlign w:val="center"/>
          </w:tcPr>
          <w:p w14:paraId="3435858F" w14:textId="514121F3"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2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2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01" w:type="pct"/>
            <w:noWrap/>
            <w:vAlign w:val="center"/>
          </w:tcPr>
          <w:p w14:paraId="04518443" w14:textId="6C548E61"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28"/>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2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r>
      <w:tr w:rsidR="005E79F8" w:rsidRPr="003E7195" w14:paraId="44218C92" w14:textId="77777777" w:rsidTr="00FE7D97">
        <w:trPr>
          <w:trHeight w:val="20"/>
        </w:trPr>
        <w:tc>
          <w:tcPr>
            <w:tcW w:w="150" w:type="pct"/>
            <w:noWrap/>
            <w:hideMark/>
          </w:tcPr>
          <w:p w14:paraId="610B4F6F" w14:textId="77777777" w:rsidR="005E79F8" w:rsidRPr="003E7195" w:rsidRDefault="005E79F8" w:rsidP="00FE7D97">
            <w:pPr>
              <w:pStyle w:val="TableText"/>
              <w:keepNext/>
              <w:rPr>
                <w:color w:val="0D0D0D" w:themeColor="text1" w:themeTint="F2"/>
              </w:rPr>
            </w:pPr>
            <w:r w:rsidRPr="003E7195">
              <w:rPr>
                <w:color w:val="0D0D0D" w:themeColor="text1" w:themeTint="F2"/>
              </w:rPr>
              <w:t>J</w:t>
            </w:r>
          </w:p>
        </w:tc>
        <w:tc>
          <w:tcPr>
            <w:tcW w:w="1899" w:type="pct"/>
            <w:tcBorders>
              <w:bottom w:val="single" w:sz="4" w:space="0" w:color="auto"/>
            </w:tcBorders>
            <w:noWrap/>
            <w:hideMark/>
          </w:tcPr>
          <w:p w14:paraId="09F32FFE" w14:textId="77777777" w:rsidR="005E79F8" w:rsidRPr="003E7195" w:rsidRDefault="005E79F8" w:rsidP="00FE7D97">
            <w:pPr>
              <w:pStyle w:val="TableText"/>
              <w:keepNext/>
              <w:rPr>
                <w:color w:val="0D0D0D" w:themeColor="text1" w:themeTint="F2"/>
              </w:rPr>
            </w:pPr>
            <w:r w:rsidRPr="003E7195">
              <w:rPr>
                <w:color w:val="0D0D0D" w:themeColor="text1" w:themeTint="F2"/>
              </w:rPr>
              <w:t>Uptake of ivosidenib (assumption)</w:t>
            </w:r>
          </w:p>
        </w:tc>
        <w:tc>
          <w:tcPr>
            <w:tcW w:w="483" w:type="pct"/>
            <w:tcBorders>
              <w:bottom w:val="single" w:sz="4" w:space="0" w:color="auto"/>
            </w:tcBorders>
            <w:noWrap/>
            <w:vAlign w:val="center"/>
          </w:tcPr>
          <w:p w14:paraId="5184CE82" w14:textId="0248AAED" w:rsidR="005E79F8" w:rsidRPr="003E7195" w:rsidRDefault="00E26C98" w:rsidP="00FE7D97">
            <w:pPr>
              <w:pStyle w:val="TableText"/>
              <w:keepNext/>
              <w:jc w:val="center"/>
              <w:rPr>
                <w:color w:val="0D0D0D" w:themeColor="text1" w:themeTint="F2"/>
              </w:rPr>
            </w:pPr>
            <w:r w:rsidRPr="00E26C98">
              <w:rPr>
                <w:color w:val="0D0D0D" w:themeColor="text1" w:themeTint="F2"/>
                <w:spacing w:val="199"/>
                <w:shd w:val="solid" w:color="000000" w:fill="000000"/>
                <w:fitText w:val="285" w:id="-89374462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85" w:id="-893744627"/>
                <w14:textFill>
                  <w14:solidFill>
                    <w14:schemeClr w14:val="tx1">
                      <w14:alpha w14:val="100000"/>
                      <w14:lumMod w14:val="95000"/>
                      <w14:lumOff w14:val="5000"/>
                    </w14:schemeClr>
                  </w14:solidFill>
                </w14:textFill>
              </w:rPr>
              <w:t>|</w:t>
            </w:r>
            <w:r w:rsidR="005E79F8" w:rsidRPr="003E7195">
              <w:rPr>
                <w:color w:val="0D0D0D" w:themeColor="text1" w:themeTint="F2"/>
              </w:rPr>
              <w:t>%</w:t>
            </w:r>
          </w:p>
        </w:tc>
        <w:tc>
          <w:tcPr>
            <w:tcW w:w="473" w:type="pct"/>
            <w:tcBorders>
              <w:bottom w:val="single" w:sz="4" w:space="0" w:color="auto"/>
            </w:tcBorders>
            <w:noWrap/>
            <w:vAlign w:val="center"/>
          </w:tcPr>
          <w:p w14:paraId="6EF323A5" w14:textId="5A4B33D8" w:rsidR="005E79F8" w:rsidRPr="003E7195" w:rsidRDefault="00E26C98" w:rsidP="00FE7D97">
            <w:pPr>
              <w:pStyle w:val="TableText"/>
              <w:keepNext/>
              <w:jc w:val="center"/>
              <w:rPr>
                <w:rFonts w:eastAsiaTheme="minorHAnsi" w:cstheme="minorBidi"/>
                <w:color w:val="0D0D0D" w:themeColor="text1" w:themeTint="F2"/>
                <w:szCs w:val="22"/>
                <w:lang w:eastAsia="en-US"/>
              </w:rPr>
            </w:pPr>
            <w:r w:rsidRPr="00E26C98">
              <w:rPr>
                <w:color w:val="0D0D0D" w:themeColor="text1" w:themeTint="F2"/>
                <w:spacing w:val="214"/>
                <w:shd w:val="solid" w:color="000000" w:fill="000000"/>
                <w:fitText w:val="300" w:id="-893744626"/>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00" w:id="-893744626"/>
                <w14:textFill>
                  <w14:solidFill>
                    <w14:schemeClr w14:val="tx1">
                      <w14:alpha w14:val="100000"/>
                      <w14:lumMod w14:val="95000"/>
                      <w14:lumOff w14:val="5000"/>
                    </w14:schemeClr>
                  </w14:solidFill>
                </w14:textFill>
              </w:rPr>
              <w:t>|</w:t>
            </w:r>
            <w:r w:rsidR="005E79F8" w:rsidRPr="003E7195">
              <w:rPr>
                <w:color w:val="0D0D0D" w:themeColor="text1" w:themeTint="F2"/>
              </w:rPr>
              <w:t>%</w:t>
            </w:r>
          </w:p>
        </w:tc>
        <w:tc>
          <w:tcPr>
            <w:tcW w:w="473" w:type="pct"/>
            <w:tcBorders>
              <w:bottom w:val="single" w:sz="4" w:space="0" w:color="auto"/>
            </w:tcBorders>
            <w:noWrap/>
            <w:vAlign w:val="center"/>
          </w:tcPr>
          <w:p w14:paraId="00AB69A8" w14:textId="0749926A" w:rsidR="005E79F8" w:rsidRPr="003E7195" w:rsidRDefault="00E26C98" w:rsidP="00FE7D97">
            <w:pPr>
              <w:pStyle w:val="TableText"/>
              <w:keepNext/>
              <w:jc w:val="center"/>
              <w:rPr>
                <w:color w:val="0D0D0D" w:themeColor="text1" w:themeTint="F2"/>
              </w:rPr>
            </w:pPr>
            <w:r w:rsidRPr="00E26C98">
              <w:rPr>
                <w:color w:val="0D0D0D" w:themeColor="text1" w:themeTint="F2"/>
                <w:spacing w:val="214"/>
                <w:shd w:val="solid" w:color="000000" w:fill="000000"/>
                <w:fitText w:val="300" w:id="-893744625"/>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00" w:id="-893744625"/>
                <w14:textFill>
                  <w14:solidFill>
                    <w14:schemeClr w14:val="tx1">
                      <w14:alpha w14:val="100000"/>
                      <w14:lumMod w14:val="95000"/>
                      <w14:lumOff w14:val="5000"/>
                    </w14:schemeClr>
                  </w14:solidFill>
                </w14:textFill>
              </w:rPr>
              <w:t>|</w:t>
            </w:r>
            <w:r w:rsidR="005E79F8" w:rsidRPr="003E7195">
              <w:rPr>
                <w:color w:val="0D0D0D" w:themeColor="text1" w:themeTint="F2"/>
              </w:rPr>
              <w:t>%</w:t>
            </w:r>
          </w:p>
        </w:tc>
        <w:tc>
          <w:tcPr>
            <w:tcW w:w="473" w:type="pct"/>
            <w:tcBorders>
              <w:bottom w:val="single" w:sz="4" w:space="0" w:color="auto"/>
            </w:tcBorders>
            <w:noWrap/>
            <w:vAlign w:val="center"/>
          </w:tcPr>
          <w:p w14:paraId="4B00F71F" w14:textId="7F155E82" w:rsidR="005E79F8" w:rsidRPr="003E7195" w:rsidRDefault="00E26C98" w:rsidP="00FE7D97">
            <w:pPr>
              <w:pStyle w:val="TableText"/>
              <w:keepNext/>
              <w:jc w:val="center"/>
              <w:rPr>
                <w:color w:val="0D0D0D" w:themeColor="text1" w:themeTint="F2"/>
              </w:rPr>
            </w:pPr>
            <w:r w:rsidRPr="00E26C98">
              <w:rPr>
                <w:color w:val="0D0D0D" w:themeColor="text1" w:themeTint="F2"/>
                <w:spacing w:val="214"/>
                <w:shd w:val="solid" w:color="000000" w:fill="000000"/>
                <w:fitText w:val="300" w:id="-89374462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00" w:id="-893744624"/>
                <w14:textFill>
                  <w14:solidFill>
                    <w14:schemeClr w14:val="tx1">
                      <w14:alpha w14:val="100000"/>
                      <w14:lumMod w14:val="95000"/>
                      <w14:lumOff w14:val="5000"/>
                    </w14:schemeClr>
                  </w14:solidFill>
                </w14:textFill>
              </w:rPr>
              <w:t>|</w:t>
            </w:r>
            <w:r w:rsidR="005E79F8" w:rsidRPr="003E7195">
              <w:rPr>
                <w:color w:val="0D0D0D" w:themeColor="text1" w:themeTint="F2"/>
              </w:rPr>
              <w:t>%</w:t>
            </w:r>
          </w:p>
        </w:tc>
        <w:tc>
          <w:tcPr>
            <w:tcW w:w="548" w:type="pct"/>
            <w:tcBorders>
              <w:bottom w:val="single" w:sz="4" w:space="0" w:color="auto"/>
            </w:tcBorders>
            <w:noWrap/>
            <w:vAlign w:val="center"/>
          </w:tcPr>
          <w:p w14:paraId="7F1536BA" w14:textId="091E0FBD" w:rsidR="005E79F8" w:rsidRPr="003E7195" w:rsidRDefault="00E26C98" w:rsidP="00FE7D97">
            <w:pPr>
              <w:pStyle w:val="TableText"/>
              <w:keepNext/>
              <w:jc w:val="center"/>
              <w:rPr>
                <w:color w:val="0D0D0D" w:themeColor="text1" w:themeTint="F2"/>
              </w:rPr>
            </w:pPr>
            <w:r w:rsidRPr="00E26C98">
              <w:rPr>
                <w:color w:val="0D0D0D" w:themeColor="text1" w:themeTint="F2"/>
                <w:spacing w:val="154"/>
                <w:shd w:val="solid" w:color="000000" w:fill="000000"/>
                <w:fitText w:val="240" w:id="-89374464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40" w:id="-893744640"/>
                <w14:textFill>
                  <w14:solidFill>
                    <w14:schemeClr w14:val="tx1">
                      <w14:alpha w14:val="100000"/>
                      <w14:lumMod w14:val="95000"/>
                      <w14:lumOff w14:val="5000"/>
                    </w14:schemeClr>
                  </w14:solidFill>
                </w14:textFill>
              </w:rPr>
              <w:t>|</w:t>
            </w:r>
            <w:r w:rsidR="005E79F8" w:rsidRPr="003E7195">
              <w:rPr>
                <w:color w:val="0D0D0D" w:themeColor="text1" w:themeTint="F2"/>
              </w:rPr>
              <w:t>%</w:t>
            </w:r>
          </w:p>
        </w:tc>
        <w:tc>
          <w:tcPr>
            <w:tcW w:w="501" w:type="pct"/>
            <w:tcBorders>
              <w:bottom w:val="single" w:sz="4" w:space="0" w:color="auto"/>
            </w:tcBorders>
            <w:noWrap/>
            <w:vAlign w:val="center"/>
          </w:tcPr>
          <w:p w14:paraId="6BE17A66" w14:textId="0E4FC28D" w:rsidR="005E79F8" w:rsidRPr="003E7195" w:rsidRDefault="00E26C98" w:rsidP="00FE7D97">
            <w:pPr>
              <w:pStyle w:val="TableText"/>
              <w:keepNext/>
              <w:jc w:val="center"/>
              <w:rPr>
                <w:color w:val="0D0D0D" w:themeColor="text1" w:themeTint="F2"/>
              </w:rPr>
            </w:pPr>
            <w:r w:rsidRPr="00E26C98">
              <w:rPr>
                <w:color w:val="0D0D0D" w:themeColor="text1" w:themeTint="F2"/>
                <w:spacing w:val="199"/>
                <w:shd w:val="solid" w:color="000000" w:fill="000000"/>
                <w:fitText w:val="285" w:id="-89374463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85" w:id="-893744639"/>
                <w14:textFill>
                  <w14:solidFill>
                    <w14:schemeClr w14:val="tx1">
                      <w14:alpha w14:val="100000"/>
                      <w14:lumMod w14:val="95000"/>
                      <w14:lumOff w14:val="5000"/>
                    </w14:schemeClr>
                  </w14:solidFill>
                </w14:textFill>
              </w:rPr>
              <w:t>|</w:t>
            </w:r>
            <w:r w:rsidR="005E79F8" w:rsidRPr="003E7195">
              <w:rPr>
                <w:color w:val="0D0D0D" w:themeColor="text1" w:themeTint="F2"/>
              </w:rPr>
              <w:t>%</w:t>
            </w:r>
          </w:p>
        </w:tc>
      </w:tr>
      <w:tr w:rsidR="005E79F8" w:rsidRPr="003E7195" w14:paraId="4BB6467C" w14:textId="77777777" w:rsidTr="00FE7D97">
        <w:trPr>
          <w:trHeight w:val="20"/>
        </w:trPr>
        <w:tc>
          <w:tcPr>
            <w:tcW w:w="150" w:type="pct"/>
            <w:noWrap/>
          </w:tcPr>
          <w:p w14:paraId="561A9E12" w14:textId="77777777" w:rsidR="005E79F8" w:rsidRPr="003E7195" w:rsidRDefault="005E79F8" w:rsidP="00FE7D97">
            <w:pPr>
              <w:pStyle w:val="TableText"/>
              <w:keepNext/>
              <w:rPr>
                <w:color w:val="0D0D0D" w:themeColor="text1" w:themeTint="F2"/>
              </w:rPr>
            </w:pPr>
            <w:r w:rsidRPr="003E7195">
              <w:rPr>
                <w:color w:val="0D0D0D" w:themeColor="text1" w:themeTint="F2"/>
              </w:rPr>
              <w:t>K</w:t>
            </w:r>
          </w:p>
        </w:tc>
        <w:tc>
          <w:tcPr>
            <w:tcW w:w="1899" w:type="pct"/>
            <w:tcBorders>
              <w:bottom w:val="single" w:sz="4" w:space="0" w:color="auto"/>
            </w:tcBorders>
            <w:noWrap/>
          </w:tcPr>
          <w:p w14:paraId="562EFAFE" w14:textId="77777777" w:rsidR="005E79F8" w:rsidRPr="003E7195" w:rsidRDefault="005E79F8" w:rsidP="00FE7D97">
            <w:pPr>
              <w:pStyle w:val="TableText"/>
              <w:keepNext/>
              <w:rPr>
                <w:color w:val="0D0D0D" w:themeColor="text1" w:themeTint="F2"/>
              </w:rPr>
            </w:pPr>
            <w:r w:rsidRPr="003E7195">
              <w:rPr>
                <w:color w:val="0D0D0D" w:themeColor="text1" w:themeTint="F2"/>
              </w:rPr>
              <w:t xml:space="preserve">No. </w:t>
            </w:r>
            <w:r>
              <w:rPr>
                <w:color w:val="0D0D0D" w:themeColor="text1" w:themeTint="F2"/>
              </w:rPr>
              <w:t xml:space="preserve">patients </w:t>
            </w:r>
            <w:r w:rsidRPr="003E7195">
              <w:rPr>
                <w:color w:val="0D0D0D" w:themeColor="text1" w:themeTint="F2"/>
              </w:rPr>
              <w:t>electing to receive ivosidenib (I x J)</w:t>
            </w:r>
          </w:p>
        </w:tc>
        <w:tc>
          <w:tcPr>
            <w:tcW w:w="483" w:type="pct"/>
            <w:tcBorders>
              <w:bottom w:val="single" w:sz="4" w:space="0" w:color="auto"/>
            </w:tcBorders>
            <w:noWrap/>
            <w:vAlign w:val="center"/>
          </w:tcPr>
          <w:p w14:paraId="635FD609" w14:textId="20476D10"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tcBorders>
              <w:bottom w:val="single" w:sz="4" w:space="0" w:color="auto"/>
            </w:tcBorders>
            <w:noWrap/>
            <w:vAlign w:val="center"/>
          </w:tcPr>
          <w:p w14:paraId="6EA30975" w14:textId="1240CCF4"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7"/>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7"/>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tcBorders>
              <w:bottom w:val="single" w:sz="4" w:space="0" w:color="auto"/>
            </w:tcBorders>
            <w:noWrap/>
            <w:vAlign w:val="center"/>
          </w:tcPr>
          <w:p w14:paraId="7FAEC6CF" w14:textId="661CE1C2"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6"/>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6"/>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tcBorders>
              <w:bottom w:val="single" w:sz="4" w:space="0" w:color="auto"/>
            </w:tcBorders>
            <w:noWrap/>
            <w:vAlign w:val="center"/>
          </w:tcPr>
          <w:p w14:paraId="6F0DF665" w14:textId="26E352F9"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5"/>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5"/>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tcBorders>
              <w:bottom w:val="single" w:sz="4" w:space="0" w:color="auto"/>
            </w:tcBorders>
            <w:noWrap/>
            <w:vAlign w:val="center"/>
          </w:tcPr>
          <w:p w14:paraId="05B282FF" w14:textId="63FE3F04"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3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34"/>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01" w:type="pct"/>
            <w:tcBorders>
              <w:bottom w:val="single" w:sz="4" w:space="0" w:color="auto"/>
            </w:tcBorders>
            <w:noWrap/>
            <w:vAlign w:val="center"/>
          </w:tcPr>
          <w:p w14:paraId="2C581F52" w14:textId="67B9C015"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33"/>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33"/>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r>
      <w:tr w:rsidR="005E79F8" w:rsidRPr="003E7195" w14:paraId="27016048" w14:textId="77777777" w:rsidTr="00FE7D97">
        <w:trPr>
          <w:trHeight w:val="20"/>
        </w:trPr>
        <w:tc>
          <w:tcPr>
            <w:tcW w:w="150" w:type="pct"/>
            <w:noWrap/>
            <w:hideMark/>
          </w:tcPr>
          <w:p w14:paraId="2ABAD7A4" w14:textId="77777777" w:rsidR="005E79F8" w:rsidRPr="003E7195" w:rsidRDefault="005E79F8" w:rsidP="00FE7D97">
            <w:pPr>
              <w:pStyle w:val="TableText"/>
              <w:keepNext/>
              <w:rPr>
                <w:color w:val="0D0D0D" w:themeColor="text1" w:themeTint="F2"/>
              </w:rPr>
            </w:pPr>
            <w:r w:rsidRPr="003E7195">
              <w:rPr>
                <w:color w:val="0D0D0D" w:themeColor="text1" w:themeTint="F2"/>
              </w:rPr>
              <w:t>L</w:t>
            </w:r>
          </w:p>
        </w:tc>
        <w:tc>
          <w:tcPr>
            <w:tcW w:w="1899" w:type="pct"/>
            <w:noWrap/>
            <w:hideMark/>
          </w:tcPr>
          <w:p w14:paraId="5CEF8B30" w14:textId="77777777" w:rsidR="005E79F8" w:rsidRPr="003E7195" w:rsidRDefault="005E79F8" w:rsidP="00FE7D97">
            <w:pPr>
              <w:pStyle w:val="TableText"/>
              <w:keepNext/>
              <w:rPr>
                <w:color w:val="0D0D0D" w:themeColor="text1" w:themeTint="F2"/>
              </w:rPr>
            </w:pPr>
            <w:r w:rsidRPr="003E7195">
              <w:rPr>
                <w:color w:val="0D0D0D" w:themeColor="text1" w:themeTint="F2"/>
              </w:rPr>
              <w:t>Grandfathered patients (assumption)</w:t>
            </w:r>
          </w:p>
        </w:tc>
        <w:tc>
          <w:tcPr>
            <w:tcW w:w="483" w:type="pct"/>
            <w:noWrap/>
          </w:tcPr>
          <w:p w14:paraId="6CBB9DC1" w14:textId="5093E20A"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32"/>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2"/>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tcPr>
          <w:p w14:paraId="749FF5D6" w14:textId="6E207D31"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31"/>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1"/>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tcPr>
          <w:p w14:paraId="37A71558" w14:textId="372297D3"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3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30"/>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tcPr>
          <w:p w14:paraId="1FEA9B86" w14:textId="70EC42D6"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2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noWrap/>
          </w:tcPr>
          <w:p w14:paraId="065D3342" w14:textId="5F32E713"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28"/>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2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01" w:type="pct"/>
            <w:noWrap/>
          </w:tcPr>
          <w:p w14:paraId="40841AB5" w14:textId="231455AC"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27"/>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27"/>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r>
      <w:tr w:rsidR="005E79F8" w:rsidRPr="003E7195" w14:paraId="0ABE026C" w14:textId="77777777" w:rsidTr="00FE7D97">
        <w:trPr>
          <w:trHeight w:val="20"/>
        </w:trPr>
        <w:tc>
          <w:tcPr>
            <w:tcW w:w="150" w:type="pct"/>
            <w:noWrap/>
            <w:hideMark/>
          </w:tcPr>
          <w:p w14:paraId="7AD76B6A" w14:textId="77777777" w:rsidR="005E79F8" w:rsidRPr="003E7195" w:rsidRDefault="005E79F8" w:rsidP="00FE7D97">
            <w:pPr>
              <w:pStyle w:val="TableText"/>
              <w:keepNext/>
              <w:rPr>
                <w:b/>
                <w:bCs/>
                <w:color w:val="0D0D0D" w:themeColor="text1" w:themeTint="F2"/>
              </w:rPr>
            </w:pPr>
            <w:r w:rsidRPr="003E7195">
              <w:rPr>
                <w:b/>
                <w:bCs/>
                <w:color w:val="0D0D0D" w:themeColor="text1" w:themeTint="F2"/>
              </w:rPr>
              <w:t>M</w:t>
            </w:r>
          </w:p>
        </w:tc>
        <w:tc>
          <w:tcPr>
            <w:tcW w:w="1899" w:type="pct"/>
            <w:noWrap/>
            <w:hideMark/>
          </w:tcPr>
          <w:p w14:paraId="3540C9BA" w14:textId="77777777" w:rsidR="005E79F8" w:rsidRPr="003E7195" w:rsidRDefault="005E79F8" w:rsidP="00FE7D97">
            <w:pPr>
              <w:pStyle w:val="TableText"/>
              <w:keepNext/>
              <w:rPr>
                <w:color w:val="0D0D0D" w:themeColor="text1" w:themeTint="F2"/>
              </w:rPr>
            </w:pPr>
            <w:r w:rsidRPr="003E7195">
              <w:rPr>
                <w:b/>
                <w:bCs/>
                <w:color w:val="0D0D0D" w:themeColor="text1" w:themeTint="F2"/>
              </w:rPr>
              <w:t>Total treated with ivosidenib (K + L)</w:t>
            </w:r>
          </w:p>
        </w:tc>
        <w:tc>
          <w:tcPr>
            <w:tcW w:w="483" w:type="pct"/>
            <w:noWrap/>
          </w:tcPr>
          <w:p w14:paraId="1187C71B" w14:textId="73403A93"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69"/>
                <w:shd w:val="solid" w:color="000000" w:fill="000000"/>
                <w:fitText w:val="255" w:id="-893744626"/>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6"/>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tcPr>
          <w:p w14:paraId="20EE04D1" w14:textId="3A8A6853"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25"/>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5"/>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663B8DA1" w14:textId="4FD53321"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2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24"/>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473" w:type="pct"/>
            <w:noWrap/>
            <w:vAlign w:val="center"/>
          </w:tcPr>
          <w:p w14:paraId="15B5532D" w14:textId="6E69529A" w:rsidR="005E79F8" w:rsidRPr="003B0EA5" w:rsidRDefault="00E26C98" w:rsidP="00FE7D97">
            <w:pPr>
              <w:pStyle w:val="TableText"/>
              <w:keepNext/>
              <w:jc w:val="center"/>
              <w:rPr>
                <w:rFonts w:eastAsiaTheme="minorHAnsi" w:cstheme="minorBidi"/>
                <w:color w:val="0D0D0D" w:themeColor="text1" w:themeTint="F2"/>
                <w:szCs w:val="22"/>
                <w:highlight w:val="lightGray"/>
                <w:lang w:eastAsia="en-US"/>
              </w:rPr>
            </w:pPr>
            <w:r w:rsidRPr="00E26C98">
              <w:rPr>
                <w:color w:val="0D0D0D" w:themeColor="text1" w:themeTint="F2"/>
                <w:spacing w:val="169"/>
                <w:shd w:val="solid" w:color="000000" w:fill="000000"/>
                <w:fitText w:val="255" w:id="-893744640"/>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255" w:id="-893744640"/>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48" w:type="pct"/>
            <w:noWrap/>
            <w:vAlign w:val="center"/>
          </w:tcPr>
          <w:p w14:paraId="68449839" w14:textId="3743E411"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109"/>
                <w:shd w:val="solid" w:color="000000" w:fill="000000"/>
                <w:fitText w:val="195" w:id="-893744639"/>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195" w:id="-893744639"/>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c>
          <w:tcPr>
            <w:tcW w:w="501" w:type="pct"/>
            <w:noWrap/>
            <w:vAlign w:val="center"/>
          </w:tcPr>
          <w:p w14:paraId="2A90A95C" w14:textId="299243A2" w:rsidR="005E79F8" w:rsidRPr="003B0EA5" w:rsidRDefault="00E26C98" w:rsidP="00FE7D97">
            <w:pPr>
              <w:pStyle w:val="TableText"/>
              <w:keepNext/>
              <w:jc w:val="center"/>
              <w:rPr>
                <w:color w:val="0D0D0D" w:themeColor="text1" w:themeTint="F2"/>
                <w:highlight w:val="lightGray"/>
              </w:rPr>
            </w:pPr>
            <w:r w:rsidRPr="00E26C98">
              <w:rPr>
                <w:color w:val="0D0D0D" w:themeColor="text1" w:themeTint="F2"/>
                <w:spacing w:val="48"/>
                <w:shd w:val="solid" w:color="000000" w:fill="000000"/>
                <w:fitText w:val="225" w:id="-893744638"/>
                <w14:textFill>
                  <w14:solidFill>
                    <w14:schemeClr w14:val="tx1">
                      <w14:alpha w14:val="100000"/>
                      <w14:lumMod w14:val="95000"/>
                      <w14:lumOff w14:val="5000"/>
                    </w14:schemeClr>
                  </w14:solidFill>
                </w14:textFill>
              </w:rPr>
              <w:t>||</w:t>
            </w:r>
            <w:r w:rsidRPr="00E26C98">
              <w:rPr>
                <w:color w:val="0D0D0D" w:themeColor="text1" w:themeTint="F2"/>
                <w:spacing w:val="2"/>
                <w:shd w:val="solid" w:color="000000" w:fill="000000"/>
                <w:fitText w:val="225" w:id="-893744638"/>
                <w14:textFill>
                  <w14:solidFill>
                    <w14:schemeClr w14:val="tx1">
                      <w14:alpha w14:val="100000"/>
                      <w14:lumMod w14:val="95000"/>
                      <w14:lumOff w14:val="5000"/>
                    </w14:schemeClr>
                  </w14:solidFill>
                </w14:textFill>
              </w:rPr>
              <w:t>|</w:t>
            </w:r>
            <w:r w:rsidR="00A005F3" w:rsidRPr="007E7DCE">
              <w:rPr>
                <w:color w:val="0D0D0D" w:themeColor="text1" w:themeTint="F2"/>
                <w:vertAlign w:val="superscript"/>
              </w:rPr>
              <w:t>1</w:t>
            </w:r>
          </w:p>
        </w:tc>
      </w:tr>
    </w:tbl>
    <w:p w14:paraId="366F8E1A" w14:textId="0318394D" w:rsidR="005E79F8" w:rsidRPr="003E7195" w:rsidRDefault="005E79F8" w:rsidP="005E79F8">
      <w:pPr>
        <w:pStyle w:val="TableFigureFooter"/>
        <w:jc w:val="both"/>
        <w:rPr>
          <w:color w:val="0D0D0D" w:themeColor="text1" w:themeTint="F2"/>
        </w:rPr>
      </w:pPr>
      <w:r w:rsidRPr="003E7195">
        <w:rPr>
          <w:color w:val="0D0D0D" w:themeColor="text1" w:themeTint="F2"/>
        </w:rPr>
        <w:t xml:space="preserve">Source: Table 4-4 to Table 4-7, , and Section 4.2.1.4, of the submission.   </w:t>
      </w:r>
    </w:p>
    <w:p w14:paraId="70AB3D01" w14:textId="77777777" w:rsidR="005E79F8" w:rsidRDefault="005E79F8" w:rsidP="005E79F8">
      <w:pPr>
        <w:pStyle w:val="TableFigureFooter"/>
        <w:jc w:val="both"/>
        <w:rPr>
          <w:color w:val="0D0D0D" w:themeColor="text1" w:themeTint="F2"/>
        </w:rPr>
      </w:pPr>
      <w:r w:rsidRPr="003E7195">
        <w:rPr>
          <w:color w:val="0D0D0D" w:themeColor="text1" w:themeTint="F2"/>
        </w:rPr>
        <w:lastRenderedPageBreak/>
        <w:t xml:space="preserve">AIHW = Australian Institute of Health and Welfare; CCA = cholangiocarcinoma; eCCA = extrahepatic cholangiocarcinoma; iCCA = intrahepatic cholangiocarcinoma; </w:t>
      </w:r>
      <w:r w:rsidRPr="003E7195">
        <w:rPr>
          <w:i/>
          <w:iCs/>
          <w:color w:val="0D0D0D" w:themeColor="text1" w:themeTint="F2"/>
        </w:rPr>
        <w:t>IDH</w:t>
      </w:r>
      <w:r w:rsidRPr="003E7195">
        <w:rPr>
          <w:color w:val="0D0D0D" w:themeColor="text1" w:themeTint="F2"/>
        </w:rPr>
        <w:t>1 = isocitrate dehydrogenase 1; NOS = not otherwise specified</w:t>
      </w:r>
    </w:p>
    <w:p w14:paraId="5F8C2D19" w14:textId="77777777" w:rsidR="00A005F3" w:rsidRPr="003B0EA5" w:rsidRDefault="00A005F3" w:rsidP="00A005F3">
      <w:pPr>
        <w:pStyle w:val="TableFigureFooter"/>
        <w:rPr>
          <w:i/>
          <w:iCs/>
          <w:color w:val="0D0D0D" w:themeColor="text1" w:themeTint="F2"/>
        </w:rPr>
      </w:pPr>
      <w:r w:rsidRPr="003B0EA5">
        <w:rPr>
          <w:i/>
          <w:iCs/>
          <w:color w:val="0D0D0D" w:themeColor="text1" w:themeTint="F2"/>
        </w:rPr>
        <w:t>The redacted values correspond to the following ranges:</w:t>
      </w:r>
    </w:p>
    <w:p w14:paraId="1FAB0255" w14:textId="77777777" w:rsidR="00A005F3" w:rsidRPr="003B0EA5" w:rsidRDefault="00A005F3" w:rsidP="00A005F3">
      <w:pPr>
        <w:pStyle w:val="TableFigureFooter"/>
        <w:rPr>
          <w:i/>
          <w:iCs/>
          <w:color w:val="0D0D0D" w:themeColor="text1" w:themeTint="F2"/>
        </w:rPr>
      </w:pPr>
      <w:r w:rsidRPr="003B0EA5">
        <w:rPr>
          <w:i/>
          <w:iCs/>
          <w:color w:val="0D0D0D" w:themeColor="text1" w:themeTint="F2"/>
        </w:rPr>
        <w:t>1 &lt; 500</w:t>
      </w:r>
    </w:p>
    <w:p w14:paraId="489CA835" w14:textId="7E854015" w:rsidR="00A005F3" w:rsidRPr="003B0EA5" w:rsidRDefault="00A005F3" w:rsidP="00A005F3">
      <w:pPr>
        <w:pStyle w:val="TableFigureFooter"/>
        <w:jc w:val="both"/>
        <w:rPr>
          <w:i/>
          <w:iCs/>
          <w:color w:val="0D0D0D" w:themeColor="text1" w:themeTint="F2"/>
        </w:rPr>
      </w:pPr>
      <w:r w:rsidRPr="003B0EA5">
        <w:rPr>
          <w:i/>
          <w:iCs/>
          <w:color w:val="0D0D0D" w:themeColor="text1" w:themeTint="F2"/>
        </w:rPr>
        <w:t>2 500 to &lt; 5,000</w:t>
      </w:r>
    </w:p>
    <w:p w14:paraId="74504D17" w14:textId="055287CF" w:rsidR="005E79F8" w:rsidRPr="003E7195" w:rsidRDefault="005E79F8" w:rsidP="007E0187">
      <w:pPr>
        <w:pStyle w:val="ListParagraph"/>
      </w:pPr>
      <w:r w:rsidRPr="003E7195">
        <w:t xml:space="preserve">The financial implications associated with the proposed listing of ivosidenib are presented in </w:t>
      </w:r>
      <w:r w:rsidRPr="003E7195">
        <w:fldChar w:fldCharType="begin" w:fldLock="1"/>
      </w:r>
      <w:r w:rsidRPr="003E7195">
        <w:instrText xml:space="preserve"> REF _Ref164020137 \h  \* MERGEFORMAT </w:instrText>
      </w:r>
      <w:r w:rsidRPr="003E7195">
        <w:fldChar w:fldCharType="separate"/>
      </w:r>
      <w:r w:rsidR="00CB6594" w:rsidRPr="003E7195">
        <w:t xml:space="preserve">Table </w:t>
      </w:r>
      <w:r w:rsidR="00CB6594">
        <w:t>18</w:t>
      </w:r>
      <w:r w:rsidRPr="003E7195">
        <w:fldChar w:fldCharType="end"/>
      </w:r>
      <w:r w:rsidRPr="003E7195">
        <w:t xml:space="preserve">. </w:t>
      </w:r>
    </w:p>
    <w:p w14:paraId="47AA63C4" w14:textId="200DD2B2" w:rsidR="005E79F8" w:rsidRPr="003E7195" w:rsidRDefault="005E79F8" w:rsidP="005E79F8">
      <w:pPr>
        <w:pStyle w:val="TableFigureHeading"/>
        <w:rPr>
          <w:color w:val="0D0D0D" w:themeColor="text1" w:themeTint="F2"/>
        </w:rPr>
      </w:pPr>
      <w:bookmarkStart w:id="80" w:name="_Ref164020137"/>
      <w:r w:rsidRPr="003E7195">
        <w:rPr>
          <w:color w:val="0D0D0D" w:themeColor="text1" w:themeTint="F2"/>
        </w:rPr>
        <w:t xml:space="preserve">Table </w:t>
      </w:r>
      <w:r w:rsidRPr="003E7195">
        <w:rPr>
          <w:color w:val="0D0D0D" w:themeColor="text1" w:themeTint="F2"/>
        </w:rPr>
        <w:fldChar w:fldCharType="begin" w:fldLock="1"/>
      </w:r>
      <w:r w:rsidRPr="003E7195">
        <w:rPr>
          <w:color w:val="0D0D0D" w:themeColor="text1" w:themeTint="F2"/>
        </w:rPr>
        <w:instrText xml:space="preserve"> SEQ Table_PBAC. \* ARABIC </w:instrText>
      </w:r>
      <w:r w:rsidRPr="003E7195">
        <w:rPr>
          <w:color w:val="0D0D0D" w:themeColor="text1" w:themeTint="F2"/>
        </w:rPr>
        <w:fldChar w:fldCharType="separate"/>
      </w:r>
      <w:r w:rsidR="00CB6594">
        <w:rPr>
          <w:noProof/>
          <w:color w:val="0D0D0D" w:themeColor="text1" w:themeTint="F2"/>
        </w:rPr>
        <w:t>18</w:t>
      </w:r>
      <w:r w:rsidRPr="003E7195">
        <w:rPr>
          <w:color w:val="0D0D0D" w:themeColor="text1" w:themeTint="F2"/>
        </w:rPr>
        <w:fldChar w:fldCharType="end"/>
      </w:r>
      <w:bookmarkEnd w:id="80"/>
      <w:r w:rsidR="00403C4F">
        <w:rPr>
          <w:color w:val="0D0D0D" w:themeColor="text1" w:themeTint="F2"/>
        </w:rPr>
        <w:t xml:space="preserve">: </w:t>
      </w:r>
      <w:r w:rsidRPr="003E7195">
        <w:rPr>
          <w:color w:val="0D0D0D" w:themeColor="text1" w:themeTint="F2"/>
        </w:rPr>
        <w:t>Estimated use and financial implications</w:t>
      </w:r>
      <w:r>
        <w:rPr>
          <w:color w:val="0D0D0D" w:themeColor="text1" w:themeTint="F2"/>
        </w:rPr>
        <w:t>, base case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use and financial implications, base case analysis"/>
      </w:tblPr>
      <w:tblGrid>
        <w:gridCol w:w="2264"/>
        <w:gridCol w:w="1134"/>
        <w:gridCol w:w="1134"/>
        <w:gridCol w:w="1134"/>
        <w:gridCol w:w="1134"/>
        <w:gridCol w:w="1132"/>
        <w:gridCol w:w="1084"/>
      </w:tblGrid>
      <w:tr w:rsidR="005E79F8" w:rsidRPr="003E7195" w14:paraId="76CEE91E" w14:textId="77777777" w:rsidTr="00D033A5">
        <w:trPr>
          <w:tblHeader/>
        </w:trPr>
        <w:tc>
          <w:tcPr>
            <w:tcW w:w="1255" w:type="pct"/>
            <w:shd w:val="clear" w:color="auto" w:fill="auto"/>
            <w:vAlign w:val="center"/>
          </w:tcPr>
          <w:p w14:paraId="6EC22C25" w14:textId="77777777" w:rsidR="005E79F8" w:rsidRPr="003E7195" w:rsidRDefault="005E79F8" w:rsidP="00FE7D97">
            <w:pPr>
              <w:pStyle w:val="TableText"/>
              <w:jc w:val="center"/>
              <w:rPr>
                <w:b/>
                <w:color w:val="0D0D0D" w:themeColor="text1" w:themeTint="F2"/>
              </w:rPr>
            </w:pPr>
          </w:p>
        </w:tc>
        <w:tc>
          <w:tcPr>
            <w:tcW w:w="629" w:type="pct"/>
            <w:shd w:val="clear" w:color="auto" w:fill="auto"/>
            <w:vAlign w:val="center"/>
          </w:tcPr>
          <w:p w14:paraId="2A246E65" w14:textId="77777777" w:rsidR="005E79F8" w:rsidRPr="003E7195" w:rsidRDefault="005E79F8" w:rsidP="00D033A5">
            <w:pPr>
              <w:pStyle w:val="TableText"/>
              <w:jc w:val="center"/>
              <w:rPr>
                <w:b/>
                <w:color w:val="0D0D0D" w:themeColor="text1" w:themeTint="F2"/>
              </w:rPr>
            </w:pPr>
            <w:r w:rsidRPr="003E7195">
              <w:rPr>
                <w:b/>
                <w:color w:val="0D0D0D" w:themeColor="text1" w:themeTint="F2"/>
              </w:rPr>
              <w:t>Year 1</w:t>
            </w:r>
          </w:p>
        </w:tc>
        <w:tc>
          <w:tcPr>
            <w:tcW w:w="629" w:type="pct"/>
            <w:shd w:val="clear" w:color="auto" w:fill="auto"/>
            <w:vAlign w:val="center"/>
          </w:tcPr>
          <w:p w14:paraId="52ABE258" w14:textId="77777777" w:rsidR="005E79F8" w:rsidRPr="003E7195" w:rsidRDefault="005E79F8" w:rsidP="00D033A5">
            <w:pPr>
              <w:pStyle w:val="TableText"/>
              <w:jc w:val="center"/>
              <w:rPr>
                <w:b/>
                <w:color w:val="0D0D0D" w:themeColor="text1" w:themeTint="F2"/>
              </w:rPr>
            </w:pPr>
            <w:r w:rsidRPr="003E7195">
              <w:rPr>
                <w:b/>
                <w:color w:val="0D0D0D" w:themeColor="text1" w:themeTint="F2"/>
              </w:rPr>
              <w:t>Year 2</w:t>
            </w:r>
          </w:p>
        </w:tc>
        <w:tc>
          <w:tcPr>
            <w:tcW w:w="629" w:type="pct"/>
            <w:shd w:val="clear" w:color="auto" w:fill="auto"/>
            <w:vAlign w:val="center"/>
          </w:tcPr>
          <w:p w14:paraId="27173904" w14:textId="77777777" w:rsidR="005E79F8" w:rsidRPr="003E7195" w:rsidRDefault="005E79F8" w:rsidP="00D033A5">
            <w:pPr>
              <w:pStyle w:val="TableText"/>
              <w:jc w:val="center"/>
              <w:rPr>
                <w:b/>
                <w:color w:val="0D0D0D" w:themeColor="text1" w:themeTint="F2"/>
              </w:rPr>
            </w:pPr>
            <w:r w:rsidRPr="003E7195">
              <w:rPr>
                <w:b/>
                <w:color w:val="0D0D0D" w:themeColor="text1" w:themeTint="F2"/>
              </w:rPr>
              <w:t>Year 3</w:t>
            </w:r>
          </w:p>
        </w:tc>
        <w:tc>
          <w:tcPr>
            <w:tcW w:w="629" w:type="pct"/>
            <w:shd w:val="clear" w:color="auto" w:fill="auto"/>
            <w:vAlign w:val="center"/>
          </w:tcPr>
          <w:p w14:paraId="40F30946" w14:textId="77777777" w:rsidR="005E79F8" w:rsidRPr="003E7195" w:rsidRDefault="005E79F8" w:rsidP="00D033A5">
            <w:pPr>
              <w:pStyle w:val="TableText"/>
              <w:jc w:val="center"/>
              <w:rPr>
                <w:b/>
                <w:color w:val="0D0D0D" w:themeColor="text1" w:themeTint="F2"/>
              </w:rPr>
            </w:pPr>
            <w:r w:rsidRPr="003E7195">
              <w:rPr>
                <w:b/>
                <w:color w:val="0D0D0D" w:themeColor="text1" w:themeTint="F2"/>
              </w:rPr>
              <w:t>Year 4</w:t>
            </w:r>
          </w:p>
        </w:tc>
        <w:tc>
          <w:tcPr>
            <w:tcW w:w="628" w:type="pct"/>
            <w:shd w:val="clear" w:color="auto" w:fill="auto"/>
            <w:vAlign w:val="center"/>
          </w:tcPr>
          <w:p w14:paraId="46B78C75" w14:textId="77777777" w:rsidR="005E79F8" w:rsidRPr="003E7195" w:rsidRDefault="005E79F8" w:rsidP="00D033A5">
            <w:pPr>
              <w:pStyle w:val="TableText"/>
              <w:jc w:val="center"/>
              <w:rPr>
                <w:b/>
                <w:color w:val="0D0D0D" w:themeColor="text1" w:themeTint="F2"/>
              </w:rPr>
            </w:pPr>
            <w:r w:rsidRPr="003E7195">
              <w:rPr>
                <w:b/>
                <w:color w:val="0D0D0D" w:themeColor="text1" w:themeTint="F2"/>
              </w:rPr>
              <w:t>Year 5</w:t>
            </w:r>
          </w:p>
        </w:tc>
        <w:tc>
          <w:tcPr>
            <w:tcW w:w="601" w:type="pct"/>
            <w:vAlign w:val="center"/>
          </w:tcPr>
          <w:p w14:paraId="0A945008" w14:textId="77777777" w:rsidR="005E79F8" w:rsidRPr="003E7195" w:rsidRDefault="005E79F8" w:rsidP="00D033A5">
            <w:pPr>
              <w:pStyle w:val="TableText"/>
              <w:jc w:val="center"/>
              <w:rPr>
                <w:b/>
                <w:color w:val="0D0D0D" w:themeColor="text1" w:themeTint="F2"/>
              </w:rPr>
            </w:pPr>
            <w:r w:rsidRPr="003E7195">
              <w:rPr>
                <w:b/>
                <w:color w:val="0D0D0D" w:themeColor="text1" w:themeTint="F2"/>
              </w:rPr>
              <w:t>Year 6</w:t>
            </w:r>
          </w:p>
        </w:tc>
      </w:tr>
      <w:tr w:rsidR="005E79F8" w:rsidRPr="003E7195" w14:paraId="68A9233F" w14:textId="77777777" w:rsidTr="00D04861">
        <w:tc>
          <w:tcPr>
            <w:tcW w:w="0" w:type="auto"/>
            <w:gridSpan w:val="7"/>
            <w:shd w:val="clear" w:color="auto" w:fill="auto"/>
            <w:vAlign w:val="center"/>
          </w:tcPr>
          <w:p w14:paraId="7AD21629" w14:textId="77777777" w:rsidR="005E79F8" w:rsidRPr="003E7195" w:rsidRDefault="005E79F8" w:rsidP="00FE7D97">
            <w:pPr>
              <w:pStyle w:val="TableText"/>
              <w:rPr>
                <w:b/>
                <w:color w:val="0D0D0D" w:themeColor="text1" w:themeTint="F2"/>
              </w:rPr>
            </w:pPr>
            <w:r w:rsidRPr="003E7195">
              <w:rPr>
                <w:b/>
                <w:color w:val="0D0D0D" w:themeColor="text1" w:themeTint="F2"/>
              </w:rPr>
              <w:t>Estimated extent of use of ivosidenib</w:t>
            </w:r>
          </w:p>
        </w:tc>
      </w:tr>
      <w:tr w:rsidR="005E79F8" w:rsidRPr="003E7195" w14:paraId="1AC7D18F" w14:textId="77777777" w:rsidTr="00D033A5">
        <w:tc>
          <w:tcPr>
            <w:tcW w:w="1255" w:type="pct"/>
            <w:shd w:val="clear" w:color="auto" w:fill="auto"/>
            <w:vAlign w:val="center"/>
          </w:tcPr>
          <w:p w14:paraId="3BBA0792" w14:textId="77777777" w:rsidR="005E79F8" w:rsidRPr="003E7195" w:rsidRDefault="005E79F8" w:rsidP="00FE7D97">
            <w:pPr>
              <w:pStyle w:val="TableText"/>
              <w:rPr>
                <w:rFonts w:ascii="Times" w:eastAsia="Times New Roman" w:hAnsi="Times" w:cs="Times New Roman"/>
                <w:color w:val="0D0D0D" w:themeColor="text1" w:themeTint="F2"/>
              </w:rPr>
            </w:pPr>
            <w:r w:rsidRPr="003E7195">
              <w:rPr>
                <w:color w:val="0D0D0D" w:themeColor="text1" w:themeTint="F2"/>
              </w:rPr>
              <w:t xml:space="preserve">No. </w:t>
            </w:r>
            <w:r>
              <w:rPr>
                <w:color w:val="0D0D0D" w:themeColor="text1" w:themeTint="F2"/>
              </w:rPr>
              <w:t xml:space="preserve">patients </w:t>
            </w:r>
            <w:r w:rsidRPr="003E7195">
              <w:rPr>
                <w:color w:val="0D0D0D" w:themeColor="text1" w:themeTint="F2"/>
              </w:rPr>
              <w:t>likely to be treated with ivosidenib</w:t>
            </w:r>
          </w:p>
        </w:tc>
        <w:tc>
          <w:tcPr>
            <w:tcW w:w="629" w:type="pct"/>
            <w:shd w:val="clear" w:color="auto" w:fill="auto"/>
            <w:vAlign w:val="center"/>
          </w:tcPr>
          <w:p w14:paraId="6AC14427" w14:textId="6F80A0AC" w:rsidR="005E79F8" w:rsidRPr="003B0EA5" w:rsidRDefault="00E26C98" w:rsidP="00FE7D97">
            <w:pPr>
              <w:pStyle w:val="TableText"/>
              <w:jc w:val="center"/>
              <w:rPr>
                <w:color w:val="0D0D0D" w:themeColor="text1" w:themeTint="F2"/>
                <w:highlight w:val="lightGray"/>
              </w:rPr>
            </w:pPr>
            <w:r w:rsidRPr="00E26C98">
              <w:rPr>
                <w:color w:val="0D0D0D" w:themeColor="text1" w:themeTint="F2"/>
                <w:spacing w:val="48"/>
                <w:shd w:val="solid" w:color="000000" w:fill="000000"/>
                <w:fitText w:val="315" w:id="-893744384"/>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15" w:id="-893744384"/>
                <w14:textFill>
                  <w14:solidFill>
                    <w14:schemeClr w14:val="tx1">
                      <w14:alpha w14:val="100000"/>
                      <w14:lumMod w14:val="95000"/>
                      <w14:lumOff w14:val="5000"/>
                    </w14:schemeClr>
                  </w14:solidFill>
                </w14:textFill>
              </w:rPr>
              <w:t>|</w:t>
            </w:r>
            <w:r w:rsidR="00795E0D" w:rsidRPr="003B0EA5">
              <w:rPr>
                <w:color w:val="0D0D0D" w:themeColor="text1" w:themeTint="F2"/>
                <w:vertAlign w:val="superscript"/>
              </w:rPr>
              <w:t>1</w:t>
            </w:r>
          </w:p>
        </w:tc>
        <w:tc>
          <w:tcPr>
            <w:tcW w:w="629" w:type="pct"/>
            <w:shd w:val="clear" w:color="auto" w:fill="auto"/>
            <w:vAlign w:val="center"/>
          </w:tcPr>
          <w:p w14:paraId="13607D63" w14:textId="020992B3"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1</w:t>
            </w:r>
          </w:p>
        </w:tc>
        <w:tc>
          <w:tcPr>
            <w:tcW w:w="629" w:type="pct"/>
            <w:shd w:val="clear" w:color="auto" w:fill="auto"/>
            <w:vAlign w:val="center"/>
          </w:tcPr>
          <w:p w14:paraId="77B7040C" w14:textId="0E306D05"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1</w:t>
            </w:r>
          </w:p>
        </w:tc>
        <w:tc>
          <w:tcPr>
            <w:tcW w:w="629" w:type="pct"/>
            <w:shd w:val="clear" w:color="auto" w:fill="auto"/>
            <w:vAlign w:val="center"/>
          </w:tcPr>
          <w:p w14:paraId="43232C55" w14:textId="11537D0B"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1</w:t>
            </w:r>
          </w:p>
        </w:tc>
        <w:tc>
          <w:tcPr>
            <w:tcW w:w="628" w:type="pct"/>
            <w:shd w:val="clear" w:color="auto" w:fill="auto"/>
            <w:vAlign w:val="center"/>
          </w:tcPr>
          <w:p w14:paraId="376888FA" w14:textId="497D7AF0"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1</w:t>
            </w:r>
          </w:p>
        </w:tc>
        <w:tc>
          <w:tcPr>
            <w:tcW w:w="601" w:type="pct"/>
            <w:vAlign w:val="center"/>
          </w:tcPr>
          <w:p w14:paraId="405BBF54" w14:textId="5C3EF89F"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1</w:t>
            </w:r>
          </w:p>
        </w:tc>
      </w:tr>
      <w:tr w:rsidR="005E79F8" w:rsidRPr="003E7195" w14:paraId="5F5F307D" w14:textId="77777777" w:rsidTr="00D033A5">
        <w:tc>
          <w:tcPr>
            <w:tcW w:w="1255" w:type="pct"/>
            <w:shd w:val="clear" w:color="auto" w:fill="auto"/>
            <w:vAlign w:val="center"/>
          </w:tcPr>
          <w:p w14:paraId="7EBF1ED5" w14:textId="77777777" w:rsidR="005E79F8" w:rsidRPr="003E7195" w:rsidRDefault="005E79F8" w:rsidP="00FE7D97">
            <w:pPr>
              <w:pStyle w:val="TableText"/>
              <w:rPr>
                <w:rFonts w:ascii="Times" w:eastAsia="Times New Roman" w:hAnsi="Times" w:cs="Times New Roman"/>
                <w:color w:val="0D0D0D" w:themeColor="text1" w:themeTint="F2"/>
              </w:rPr>
            </w:pPr>
            <w:r w:rsidRPr="003E7195">
              <w:rPr>
                <w:color w:val="0D0D0D" w:themeColor="text1" w:themeTint="F2"/>
              </w:rPr>
              <w:t>No. scripts dispensed</w:t>
            </w:r>
            <w:r w:rsidRPr="003E7195">
              <w:rPr>
                <w:color w:val="0D0D0D" w:themeColor="text1" w:themeTint="F2"/>
                <w:vertAlign w:val="superscript"/>
              </w:rPr>
              <w:t>a</w:t>
            </w:r>
          </w:p>
        </w:tc>
        <w:tc>
          <w:tcPr>
            <w:tcW w:w="629" w:type="pct"/>
            <w:shd w:val="clear" w:color="auto" w:fill="auto"/>
          </w:tcPr>
          <w:p w14:paraId="050EC0F3" w14:textId="448AFBBF" w:rsidR="005E79F8" w:rsidRPr="003B0EA5" w:rsidRDefault="00E26C98" w:rsidP="00FE7D97">
            <w:pPr>
              <w:pStyle w:val="TableText"/>
              <w:jc w:val="center"/>
              <w:rPr>
                <w:color w:val="0D0D0D" w:themeColor="text1" w:themeTint="F2"/>
                <w:highlight w:val="lightGray"/>
              </w:rPr>
            </w:pPr>
            <w:r w:rsidRPr="00E26C98">
              <w:rPr>
                <w:color w:val="0D0D0D" w:themeColor="text1" w:themeTint="F2"/>
                <w:spacing w:val="48"/>
                <w:shd w:val="solid" w:color="000000" w:fill="000000"/>
                <w:fitText w:val="315" w:id="-893744383"/>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15" w:id="-893744383"/>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1</w:t>
            </w:r>
          </w:p>
        </w:tc>
        <w:tc>
          <w:tcPr>
            <w:tcW w:w="629" w:type="pct"/>
            <w:shd w:val="clear" w:color="auto" w:fill="auto"/>
          </w:tcPr>
          <w:p w14:paraId="220CEF97" w14:textId="5B585968"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3B0EA5">
              <w:rPr>
                <w:color w:val="0D0D0D" w:themeColor="text1" w:themeTint="F2"/>
                <w:vertAlign w:val="superscript"/>
              </w:rPr>
              <w:t>2</w:t>
            </w:r>
          </w:p>
        </w:tc>
        <w:tc>
          <w:tcPr>
            <w:tcW w:w="629" w:type="pct"/>
            <w:shd w:val="clear" w:color="auto" w:fill="auto"/>
          </w:tcPr>
          <w:p w14:paraId="65502801" w14:textId="389C3162"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2</w:t>
            </w:r>
          </w:p>
        </w:tc>
        <w:tc>
          <w:tcPr>
            <w:tcW w:w="629" w:type="pct"/>
            <w:shd w:val="clear" w:color="auto" w:fill="auto"/>
          </w:tcPr>
          <w:p w14:paraId="4F1B9863" w14:textId="59A5B5A5"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2</w:t>
            </w:r>
          </w:p>
        </w:tc>
        <w:tc>
          <w:tcPr>
            <w:tcW w:w="628" w:type="pct"/>
            <w:shd w:val="clear" w:color="auto" w:fill="auto"/>
          </w:tcPr>
          <w:p w14:paraId="70B1E8A0" w14:textId="1C1243B1"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2</w:t>
            </w:r>
          </w:p>
        </w:tc>
        <w:tc>
          <w:tcPr>
            <w:tcW w:w="601" w:type="pct"/>
          </w:tcPr>
          <w:p w14:paraId="74363A15" w14:textId="7B07F88F" w:rsidR="005E79F8" w:rsidRPr="003B0EA5" w:rsidRDefault="00E26C98" w:rsidP="00FE7D97">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2</w:t>
            </w:r>
          </w:p>
        </w:tc>
      </w:tr>
      <w:tr w:rsidR="005E79F8" w:rsidRPr="003E7195" w14:paraId="1DC8FAB3" w14:textId="77777777" w:rsidTr="00D04861">
        <w:tc>
          <w:tcPr>
            <w:tcW w:w="0" w:type="auto"/>
            <w:gridSpan w:val="7"/>
            <w:shd w:val="clear" w:color="auto" w:fill="auto"/>
            <w:vAlign w:val="center"/>
          </w:tcPr>
          <w:p w14:paraId="61D404CC" w14:textId="77777777" w:rsidR="005E79F8" w:rsidRPr="003E7195" w:rsidRDefault="005E79F8" w:rsidP="00FE7D97">
            <w:pPr>
              <w:pStyle w:val="TableText"/>
              <w:rPr>
                <w:b/>
                <w:color w:val="0D0D0D" w:themeColor="text1" w:themeTint="F2"/>
              </w:rPr>
            </w:pPr>
            <w:r w:rsidRPr="003E7195">
              <w:rPr>
                <w:b/>
                <w:color w:val="0D0D0D" w:themeColor="text1" w:themeTint="F2"/>
              </w:rPr>
              <w:t>Estimated financial implications of ivosidenib to the PBS/RPBS</w:t>
            </w:r>
          </w:p>
        </w:tc>
      </w:tr>
      <w:tr w:rsidR="005E79F8" w:rsidRPr="003E7195" w14:paraId="685C1A25" w14:textId="77777777" w:rsidTr="00D033A5">
        <w:tc>
          <w:tcPr>
            <w:tcW w:w="1255" w:type="pct"/>
            <w:shd w:val="clear" w:color="auto" w:fill="auto"/>
            <w:vAlign w:val="center"/>
          </w:tcPr>
          <w:p w14:paraId="424670C8" w14:textId="77777777" w:rsidR="005E79F8" w:rsidRPr="003E7195" w:rsidRDefault="005E79F8" w:rsidP="00FE7D97">
            <w:pPr>
              <w:pStyle w:val="TableText"/>
              <w:rPr>
                <w:color w:val="0D0D0D" w:themeColor="text1" w:themeTint="F2"/>
              </w:rPr>
            </w:pPr>
            <w:r w:rsidRPr="003E7195">
              <w:rPr>
                <w:color w:val="0D0D0D" w:themeColor="text1" w:themeTint="F2"/>
              </w:rPr>
              <w:t>Cost to PBS/RPBS less copayments</w:t>
            </w:r>
          </w:p>
        </w:tc>
        <w:tc>
          <w:tcPr>
            <w:tcW w:w="629" w:type="pct"/>
            <w:shd w:val="clear" w:color="auto" w:fill="auto"/>
            <w:vAlign w:val="center"/>
          </w:tcPr>
          <w:p w14:paraId="236174A3" w14:textId="0EB84488" w:rsidR="005E79F8" w:rsidRPr="003B0EA5" w:rsidRDefault="00E26C98" w:rsidP="00D033A5">
            <w:pPr>
              <w:pStyle w:val="TableText"/>
              <w:jc w:val="center"/>
              <w:rPr>
                <w:color w:val="0D0D0D" w:themeColor="text1" w:themeTint="F2"/>
                <w:highlight w:val="lightGray"/>
              </w:rPr>
            </w:pPr>
            <w:r w:rsidRPr="00E26C98">
              <w:rPr>
                <w:color w:val="0D0D0D" w:themeColor="text1" w:themeTint="F2"/>
                <w:spacing w:val="214"/>
                <w:shd w:val="solid" w:color="000000" w:fill="000000"/>
                <w:fitText w:val="300" w:id="-893744382"/>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00" w:id="-893744382"/>
                <w14:textFill>
                  <w14:solidFill>
                    <w14:schemeClr w14:val="tx1">
                      <w14:alpha w14:val="100000"/>
                      <w14:lumMod w14:val="95000"/>
                      <w14:lumOff w14:val="5000"/>
                    </w14:schemeClr>
                  </w14:solidFill>
                </w14:textFill>
              </w:rPr>
              <w:t>|</w:t>
            </w:r>
            <w:r w:rsidR="00795E0D" w:rsidRPr="003B0EA5">
              <w:rPr>
                <w:color w:val="0D0D0D" w:themeColor="text1" w:themeTint="F2"/>
                <w:vertAlign w:val="superscript"/>
              </w:rPr>
              <w:t>3</w:t>
            </w:r>
          </w:p>
        </w:tc>
        <w:tc>
          <w:tcPr>
            <w:tcW w:w="629" w:type="pct"/>
            <w:shd w:val="clear" w:color="auto" w:fill="auto"/>
            <w:vAlign w:val="center"/>
          </w:tcPr>
          <w:p w14:paraId="6CC44BBB" w14:textId="5848CE83" w:rsidR="005E79F8" w:rsidRPr="003B0EA5" w:rsidRDefault="00E26C98" w:rsidP="00403C4F">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29" w:type="pct"/>
            <w:shd w:val="clear" w:color="auto" w:fill="auto"/>
            <w:vAlign w:val="center"/>
          </w:tcPr>
          <w:p w14:paraId="419A3FD1" w14:textId="736ADF50" w:rsidR="005E79F8" w:rsidRPr="003B0EA5" w:rsidRDefault="00E26C98" w:rsidP="00403C4F">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29" w:type="pct"/>
            <w:shd w:val="clear" w:color="auto" w:fill="auto"/>
            <w:vAlign w:val="center"/>
          </w:tcPr>
          <w:p w14:paraId="558F0A91" w14:textId="33991E70" w:rsidR="005E79F8" w:rsidRPr="003B0EA5" w:rsidRDefault="00E26C98" w:rsidP="00403C4F">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28" w:type="pct"/>
            <w:shd w:val="clear" w:color="auto" w:fill="auto"/>
            <w:vAlign w:val="center"/>
          </w:tcPr>
          <w:p w14:paraId="6B954E1D" w14:textId="757420FA" w:rsidR="005E79F8" w:rsidRPr="003B0EA5" w:rsidRDefault="00E26C98" w:rsidP="00403C4F">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01" w:type="pct"/>
            <w:vAlign w:val="center"/>
          </w:tcPr>
          <w:p w14:paraId="59E2AEE3" w14:textId="607ACD83" w:rsidR="005E79F8" w:rsidRPr="003B0EA5" w:rsidRDefault="00E26C98" w:rsidP="00403C4F">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r>
      <w:tr w:rsidR="005E79F8" w:rsidRPr="003E7195" w14:paraId="06C45797" w14:textId="77777777" w:rsidTr="00D04861">
        <w:tc>
          <w:tcPr>
            <w:tcW w:w="0" w:type="auto"/>
            <w:gridSpan w:val="7"/>
            <w:shd w:val="clear" w:color="auto" w:fill="auto"/>
            <w:vAlign w:val="center"/>
          </w:tcPr>
          <w:p w14:paraId="3063FBEC" w14:textId="77777777" w:rsidR="005E79F8" w:rsidRPr="003E7195" w:rsidRDefault="005E79F8" w:rsidP="00FE7D97">
            <w:pPr>
              <w:pStyle w:val="TableText"/>
              <w:rPr>
                <w:b/>
                <w:color w:val="0D0D0D" w:themeColor="text1" w:themeTint="F2"/>
              </w:rPr>
            </w:pPr>
            <w:r w:rsidRPr="003E7195">
              <w:rPr>
                <w:b/>
                <w:color w:val="0D0D0D" w:themeColor="text1" w:themeTint="F2"/>
              </w:rPr>
              <w:t>Estimated financial implications for other drugs</w:t>
            </w:r>
          </w:p>
        </w:tc>
      </w:tr>
      <w:tr w:rsidR="005E79F8" w:rsidRPr="003E7195" w14:paraId="53A2C74F" w14:textId="77777777" w:rsidTr="00D033A5">
        <w:tc>
          <w:tcPr>
            <w:tcW w:w="1255" w:type="pct"/>
            <w:shd w:val="clear" w:color="auto" w:fill="auto"/>
            <w:vAlign w:val="center"/>
          </w:tcPr>
          <w:p w14:paraId="356100F1" w14:textId="77777777" w:rsidR="005E79F8" w:rsidRPr="003E7195" w:rsidRDefault="005E79F8" w:rsidP="00FE7D97">
            <w:pPr>
              <w:pStyle w:val="TableText"/>
              <w:rPr>
                <w:color w:val="0D0D0D" w:themeColor="text1" w:themeTint="F2"/>
              </w:rPr>
            </w:pPr>
            <w:r w:rsidRPr="003E7195">
              <w:rPr>
                <w:color w:val="0D0D0D" w:themeColor="text1" w:themeTint="F2"/>
              </w:rPr>
              <w:t>Cost to PBS/RPBS less copayments</w:t>
            </w:r>
          </w:p>
        </w:tc>
        <w:tc>
          <w:tcPr>
            <w:tcW w:w="629" w:type="pct"/>
            <w:shd w:val="clear" w:color="auto" w:fill="auto"/>
            <w:vAlign w:val="center"/>
          </w:tcPr>
          <w:p w14:paraId="656DE328" w14:textId="3E8C069C" w:rsidR="005E79F8" w:rsidRPr="003B0EA5" w:rsidRDefault="00E26C98" w:rsidP="003B0EA5">
            <w:pPr>
              <w:pStyle w:val="TableText"/>
              <w:jc w:val="center"/>
              <w:rPr>
                <w:color w:val="0D0D0D" w:themeColor="text1" w:themeTint="F2"/>
                <w:highlight w:val="lightGray"/>
              </w:rPr>
            </w:pPr>
            <w:r w:rsidRPr="00E26C98">
              <w:rPr>
                <w:color w:val="0D0D0D" w:themeColor="text1" w:themeTint="F2"/>
                <w:spacing w:val="48"/>
                <w:shd w:val="solid" w:color="000000" w:fill="000000"/>
                <w:fitText w:val="315" w:id="-893744381"/>
                <w14:textFill>
                  <w14:solidFill>
                    <w14:schemeClr w14:val="tx1">
                      <w14:alpha w14:val="100000"/>
                      <w14:lumMod w14:val="95000"/>
                      <w14:lumOff w14:val="5000"/>
                    </w14:schemeClr>
                  </w14:solidFill>
                </w14:textFill>
              </w:rPr>
              <w:t>|||</w:t>
            </w:r>
            <w:r w:rsidRPr="00E26C98">
              <w:rPr>
                <w:color w:val="0D0D0D" w:themeColor="text1" w:themeTint="F2"/>
                <w:spacing w:val="1"/>
                <w:shd w:val="solid" w:color="000000" w:fill="000000"/>
                <w:fitText w:val="315" w:id="-893744381"/>
                <w14:textFill>
                  <w14:solidFill>
                    <w14:schemeClr w14:val="tx1">
                      <w14:alpha w14:val="100000"/>
                      <w14:lumMod w14:val="95000"/>
                      <w14:lumOff w14:val="5000"/>
                    </w14:schemeClr>
                  </w14:solidFill>
                </w14:textFill>
              </w:rPr>
              <w:t>|</w:t>
            </w:r>
            <w:r w:rsidR="00795E0D" w:rsidRPr="003B0EA5">
              <w:rPr>
                <w:color w:val="0D0D0D" w:themeColor="text1" w:themeTint="F2"/>
                <w:vertAlign w:val="superscript"/>
              </w:rPr>
              <w:t>3</w:t>
            </w:r>
          </w:p>
        </w:tc>
        <w:tc>
          <w:tcPr>
            <w:tcW w:w="629" w:type="pct"/>
            <w:shd w:val="clear" w:color="auto" w:fill="auto"/>
            <w:vAlign w:val="center"/>
          </w:tcPr>
          <w:p w14:paraId="43B06BEB" w14:textId="6533652B" w:rsidR="005E79F8" w:rsidRPr="003B0EA5" w:rsidRDefault="00E26C98" w:rsidP="003B0EA5">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29" w:type="pct"/>
            <w:shd w:val="clear" w:color="auto" w:fill="auto"/>
            <w:vAlign w:val="center"/>
          </w:tcPr>
          <w:p w14:paraId="6228EFE9" w14:textId="4577194C" w:rsidR="005E79F8" w:rsidRPr="003B0EA5" w:rsidRDefault="00E26C98" w:rsidP="003B0EA5">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29" w:type="pct"/>
            <w:shd w:val="clear" w:color="auto" w:fill="auto"/>
            <w:vAlign w:val="center"/>
          </w:tcPr>
          <w:p w14:paraId="578899CE" w14:textId="49110F15" w:rsidR="005E79F8" w:rsidRPr="003B0EA5" w:rsidRDefault="00E26C98" w:rsidP="003B0EA5">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28" w:type="pct"/>
            <w:shd w:val="clear" w:color="auto" w:fill="auto"/>
            <w:vAlign w:val="center"/>
          </w:tcPr>
          <w:p w14:paraId="2E815DB6" w14:textId="426951B2" w:rsidR="005E79F8" w:rsidRPr="003B0EA5" w:rsidRDefault="00E26C98" w:rsidP="003B0EA5">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01" w:type="pct"/>
            <w:vAlign w:val="center"/>
          </w:tcPr>
          <w:p w14:paraId="33F4DBD8" w14:textId="202F24AA" w:rsidR="005E79F8" w:rsidRPr="003B0EA5" w:rsidRDefault="00E26C98" w:rsidP="003B0EA5">
            <w:pPr>
              <w:pStyle w:val="TableText"/>
              <w:jc w:val="center"/>
              <w:rPr>
                <w:color w:val="0D0D0D" w:themeColor="text1" w:themeTint="F2"/>
                <w:highlight w:val="lightGray"/>
              </w:rPr>
            </w:pPr>
            <w:r w:rsidRPr="00E26C98">
              <w:rPr>
                <w:color w:val="0D0D0D" w:themeColor="text1" w:themeTint="F2"/>
                <w:shd w:val="solid" w:color="000000" w:fill="00000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r>
      <w:tr w:rsidR="005E79F8" w:rsidRPr="003E7195" w14:paraId="6CB95CE6" w14:textId="77777777" w:rsidTr="00D04861">
        <w:tc>
          <w:tcPr>
            <w:tcW w:w="0" w:type="auto"/>
            <w:gridSpan w:val="7"/>
            <w:shd w:val="clear" w:color="auto" w:fill="auto"/>
            <w:vAlign w:val="center"/>
          </w:tcPr>
          <w:p w14:paraId="26C4F35F" w14:textId="77777777" w:rsidR="005E79F8" w:rsidRPr="003E7195" w:rsidRDefault="005E79F8" w:rsidP="00FE7D97">
            <w:pPr>
              <w:pStyle w:val="TableText"/>
              <w:rPr>
                <w:b/>
                <w:color w:val="0D0D0D" w:themeColor="text1" w:themeTint="F2"/>
              </w:rPr>
            </w:pPr>
            <w:r w:rsidRPr="003E7195">
              <w:rPr>
                <w:b/>
                <w:color w:val="0D0D0D" w:themeColor="text1" w:themeTint="F2"/>
              </w:rPr>
              <w:t xml:space="preserve">Net financial implications </w:t>
            </w:r>
          </w:p>
        </w:tc>
      </w:tr>
      <w:tr w:rsidR="005E79F8" w:rsidRPr="003E7195" w14:paraId="7D7F073C" w14:textId="77777777" w:rsidTr="00D033A5">
        <w:tc>
          <w:tcPr>
            <w:tcW w:w="1255" w:type="pct"/>
            <w:tcBorders>
              <w:bottom w:val="single" w:sz="4" w:space="0" w:color="auto"/>
            </w:tcBorders>
            <w:shd w:val="clear" w:color="auto" w:fill="auto"/>
            <w:vAlign w:val="center"/>
          </w:tcPr>
          <w:p w14:paraId="1E2DD825" w14:textId="77777777" w:rsidR="005E79F8" w:rsidRPr="003E7195" w:rsidRDefault="005E79F8" w:rsidP="00FE7D97">
            <w:pPr>
              <w:pStyle w:val="TableText"/>
              <w:rPr>
                <w:b/>
                <w:bCs/>
                <w:color w:val="0D0D0D" w:themeColor="text1" w:themeTint="F2"/>
              </w:rPr>
            </w:pPr>
            <w:r w:rsidRPr="003E7195">
              <w:rPr>
                <w:b/>
                <w:bCs/>
                <w:color w:val="0D0D0D" w:themeColor="text1" w:themeTint="F2"/>
              </w:rPr>
              <w:t>Net cost to PBS/RPBS</w:t>
            </w:r>
          </w:p>
        </w:tc>
        <w:tc>
          <w:tcPr>
            <w:tcW w:w="629" w:type="pct"/>
            <w:tcBorders>
              <w:bottom w:val="single" w:sz="4" w:space="0" w:color="auto"/>
            </w:tcBorders>
            <w:shd w:val="clear" w:color="auto" w:fill="auto"/>
            <w:vAlign w:val="center"/>
          </w:tcPr>
          <w:p w14:paraId="5FC9CF31" w14:textId="0E598C6F" w:rsidR="005E79F8" w:rsidRPr="003B0EA5" w:rsidRDefault="00E26C98" w:rsidP="003B0EA5">
            <w:pPr>
              <w:pStyle w:val="TableText"/>
              <w:jc w:val="center"/>
              <w:rPr>
                <w:b/>
                <w:bCs/>
                <w:color w:val="0D0D0D" w:themeColor="text1" w:themeTint="F2"/>
                <w:highlight w:val="lightGray"/>
              </w:rPr>
            </w:pPr>
            <w:r w:rsidRPr="00E26C98">
              <w:rPr>
                <w:b/>
                <w:bCs/>
                <w:color w:val="0D0D0D" w:themeColor="text1" w:themeTint="F2"/>
                <w:spacing w:val="53"/>
                <w:shd w:val="solid" w:color="000000" w:fill="000000"/>
                <w:fitText w:val="345" w:id="-893744380"/>
                <w14:textFill>
                  <w14:solidFill>
                    <w14:schemeClr w14:val="tx1">
                      <w14:alpha w14:val="100000"/>
                      <w14:lumMod w14:val="95000"/>
                      <w14:lumOff w14:val="5000"/>
                    </w14:schemeClr>
                  </w14:solidFill>
                </w14:textFill>
              </w:rPr>
              <w:t>|||</w:t>
            </w:r>
            <w:r w:rsidRPr="00E26C98">
              <w:rPr>
                <w:b/>
                <w:bCs/>
                <w:color w:val="0D0D0D" w:themeColor="text1" w:themeTint="F2"/>
                <w:spacing w:val="3"/>
                <w:shd w:val="solid" w:color="000000" w:fill="000000"/>
                <w:fitText w:val="345" w:id="-893744380"/>
                <w14:textFill>
                  <w14:solidFill>
                    <w14:schemeClr w14:val="tx1">
                      <w14:alpha w14:val="100000"/>
                      <w14:lumMod w14:val="95000"/>
                      <w14:lumOff w14:val="5000"/>
                    </w14:schemeClr>
                  </w14:solidFill>
                </w14:textFill>
              </w:rPr>
              <w:t>|</w:t>
            </w:r>
            <w:r w:rsidR="00795E0D" w:rsidRPr="007E7DCE">
              <w:rPr>
                <w:color w:val="0D0D0D" w:themeColor="text1" w:themeTint="F2"/>
                <w:vertAlign w:val="superscript"/>
              </w:rPr>
              <w:t>3</w:t>
            </w:r>
          </w:p>
        </w:tc>
        <w:tc>
          <w:tcPr>
            <w:tcW w:w="629" w:type="pct"/>
            <w:tcBorders>
              <w:bottom w:val="single" w:sz="4" w:space="0" w:color="auto"/>
            </w:tcBorders>
            <w:shd w:val="clear" w:color="auto" w:fill="auto"/>
            <w:vAlign w:val="center"/>
          </w:tcPr>
          <w:p w14:paraId="5C1E7D24" w14:textId="0389D14D" w:rsidR="005E79F8" w:rsidRPr="003B0EA5" w:rsidRDefault="00E26C98" w:rsidP="003B0EA5">
            <w:pPr>
              <w:pStyle w:val="TableText"/>
              <w:jc w:val="center"/>
              <w:rPr>
                <w:b/>
                <w:bCs/>
                <w:color w:val="0D0D0D" w:themeColor="text1" w:themeTint="F2"/>
                <w:highlight w:val="lightGray"/>
              </w:rPr>
            </w:pPr>
            <w:r w:rsidRPr="00E26C98">
              <w:rPr>
                <w:rFonts w:hint="eastAsia"/>
                <w:b/>
                <w:bCs/>
                <w:color w:val="0D0D0D" w:themeColor="text1" w:themeTint="F2"/>
                <w:w w:val="15"/>
                <w:shd w:val="solid" w:color="000000" w:fill="000000"/>
                <w:fitText w:val="30" w:id="-893744379"/>
                <w14:textFill>
                  <w14:solidFill>
                    <w14:schemeClr w14:val="tx1">
                      <w14:alpha w14:val="100000"/>
                      <w14:lumMod w14:val="95000"/>
                      <w14:lumOff w14:val="5000"/>
                    </w14:schemeClr>
                  </w14:solidFill>
                </w14:textFill>
              </w:rPr>
              <w:t xml:space="preserve">　</w:t>
            </w:r>
            <w:r w:rsidRPr="00E26C98">
              <w:rPr>
                <w:b/>
                <w:bCs/>
                <w:color w:val="0D0D0D" w:themeColor="text1" w:themeTint="F2"/>
                <w:w w:val="15"/>
                <w:shd w:val="solid" w:color="000000" w:fill="000000"/>
                <w:fitText w:val="30" w:id="-893744379"/>
                <w14:textFill>
                  <w14:solidFill>
                    <w14:schemeClr w14:val="tx1">
                      <w14:alpha w14:val="100000"/>
                      <w14:lumMod w14:val="95000"/>
                      <w14:lumOff w14:val="5000"/>
                    </w14:schemeClr>
                  </w14:solidFill>
                </w14:textFill>
              </w:rPr>
              <w:t>|</w:t>
            </w:r>
            <w:r w:rsidRPr="00E26C98">
              <w:rPr>
                <w:rFonts w:hint="eastAsia"/>
                <w:b/>
                <w:bCs/>
                <w:color w:val="0D0D0D" w:themeColor="text1" w:themeTint="F2"/>
                <w:spacing w:val="-36"/>
                <w:w w:val="15"/>
                <w:shd w:val="solid" w:color="000000" w:fill="000000"/>
                <w:fitText w:val="30" w:id="-893744379"/>
                <w14:textFill>
                  <w14:solidFill>
                    <w14:schemeClr w14:val="tx1">
                      <w14:alpha w14:val="100000"/>
                      <w14:lumMod w14:val="95000"/>
                      <w14:lumOff w14:val="5000"/>
                    </w14:schemeClr>
                  </w14:solidFill>
                </w14:textFill>
              </w:rPr>
              <w:t xml:space="preserve">　</w:t>
            </w:r>
            <w:r w:rsidR="00795E0D" w:rsidRPr="007E7DCE">
              <w:rPr>
                <w:color w:val="0D0D0D" w:themeColor="text1" w:themeTint="F2"/>
                <w:vertAlign w:val="superscript"/>
              </w:rPr>
              <w:t>3</w:t>
            </w:r>
          </w:p>
        </w:tc>
        <w:tc>
          <w:tcPr>
            <w:tcW w:w="629" w:type="pct"/>
            <w:tcBorders>
              <w:bottom w:val="single" w:sz="4" w:space="0" w:color="auto"/>
            </w:tcBorders>
            <w:shd w:val="clear" w:color="auto" w:fill="auto"/>
            <w:vAlign w:val="center"/>
          </w:tcPr>
          <w:p w14:paraId="18B3AEF7" w14:textId="15E7FF3B" w:rsidR="005E79F8" w:rsidRPr="003B0EA5" w:rsidRDefault="00E26C98" w:rsidP="003B0EA5">
            <w:pPr>
              <w:pStyle w:val="TableText"/>
              <w:jc w:val="center"/>
              <w:rPr>
                <w:b/>
                <w:bCs/>
                <w:color w:val="0D0D0D" w:themeColor="text1" w:themeTint="F2"/>
                <w:highlight w:val="lightGray"/>
              </w:rPr>
            </w:pPr>
            <w:r w:rsidRPr="00E26C98">
              <w:rPr>
                <w:rFonts w:hint="eastAsia"/>
                <w:b/>
                <w:bCs/>
                <w:color w:val="0D0D0D" w:themeColor="text1" w:themeTint="F2"/>
                <w:w w:val="15"/>
                <w:shd w:val="solid" w:color="000000" w:fill="000000"/>
                <w:fitText w:val="30" w:id="-893744378"/>
                <w14:textFill>
                  <w14:solidFill>
                    <w14:schemeClr w14:val="tx1">
                      <w14:alpha w14:val="100000"/>
                      <w14:lumMod w14:val="95000"/>
                      <w14:lumOff w14:val="5000"/>
                    </w14:schemeClr>
                  </w14:solidFill>
                </w14:textFill>
              </w:rPr>
              <w:t xml:space="preserve">　</w:t>
            </w:r>
            <w:r w:rsidRPr="00E26C98">
              <w:rPr>
                <w:b/>
                <w:bCs/>
                <w:color w:val="0D0D0D" w:themeColor="text1" w:themeTint="F2"/>
                <w:w w:val="15"/>
                <w:shd w:val="solid" w:color="000000" w:fill="000000"/>
                <w:fitText w:val="30" w:id="-893744378"/>
                <w14:textFill>
                  <w14:solidFill>
                    <w14:schemeClr w14:val="tx1">
                      <w14:alpha w14:val="100000"/>
                      <w14:lumMod w14:val="95000"/>
                      <w14:lumOff w14:val="5000"/>
                    </w14:schemeClr>
                  </w14:solidFill>
                </w14:textFill>
              </w:rPr>
              <w:t>|</w:t>
            </w:r>
            <w:r w:rsidRPr="00E26C98">
              <w:rPr>
                <w:rFonts w:hint="eastAsia"/>
                <w:b/>
                <w:bCs/>
                <w:color w:val="0D0D0D" w:themeColor="text1" w:themeTint="F2"/>
                <w:spacing w:val="-36"/>
                <w:w w:val="15"/>
                <w:shd w:val="solid" w:color="000000" w:fill="000000"/>
                <w:fitText w:val="30" w:id="-893744378"/>
                <w14:textFill>
                  <w14:solidFill>
                    <w14:schemeClr w14:val="tx1">
                      <w14:alpha w14:val="100000"/>
                      <w14:lumMod w14:val="95000"/>
                      <w14:lumOff w14:val="5000"/>
                    </w14:schemeClr>
                  </w14:solidFill>
                </w14:textFill>
              </w:rPr>
              <w:t xml:space="preserve">　</w:t>
            </w:r>
            <w:r w:rsidR="00795E0D" w:rsidRPr="007E7DCE">
              <w:rPr>
                <w:color w:val="0D0D0D" w:themeColor="text1" w:themeTint="F2"/>
                <w:vertAlign w:val="superscript"/>
              </w:rPr>
              <w:t>3</w:t>
            </w:r>
          </w:p>
        </w:tc>
        <w:tc>
          <w:tcPr>
            <w:tcW w:w="629" w:type="pct"/>
            <w:tcBorders>
              <w:bottom w:val="single" w:sz="4" w:space="0" w:color="auto"/>
            </w:tcBorders>
            <w:shd w:val="clear" w:color="auto" w:fill="auto"/>
            <w:vAlign w:val="center"/>
          </w:tcPr>
          <w:p w14:paraId="404BE7E3" w14:textId="16F32DC3" w:rsidR="005E79F8" w:rsidRPr="003B0EA5" w:rsidRDefault="00E26C98" w:rsidP="003B0EA5">
            <w:pPr>
              <w:pStyle w:val="TableText"/>
              <w:jc w:val="center"/>
              <w:rPr>
                <w:b/>
                <w:bCs/>
                <w:color w:val="0D0D0D" w:themeColor="text1" w:themeTint="F2"/>
                <w:highlight w:val="lightGray"/>
              </w:rPr>
            </w:pPr>
            <w:r w:rsidRPr="00E26C98">
              <w:rPr>
                <w:rFonts w:hint="eastAsia"/>
                <w:b/>
                <w:bCs/>
                <w:color w:val="0D0D0D" w:themeColor="text1" w:themeTint="F2"/>
                <w:w w:val="15"/>
                <w:shd w:val="solid" w:color="000000" w:fill="000000"/>
                <w:fitText w:val="30" w:id="-893744377"/>
                <w14:textFill>
                  <w14:solidFill>
                    <w14:schemeClr w14:val="tx1">
                      <w14:alpha w14:val="100000"/>
                      <w14:lumMod w14:val="95000"/>
                      <w14:lumOff w14:val="5000"/>
                    </w14:schemeClr>
                  </w14:solidFill>
                </w14:textFill>
              </w:rPr>
              <w:t xml:space="preserve">　</w:t>
            </w:r>
            <w:r w:rsidRPr="00E26C98">
              <w:rPr>
                <w:b/>
                <w:bCs/>
                <w:color w:val="0D0D0D" w:themeColor="text1" w:themeTint="F2"/>
                <w:w w:val="15"/>
                <w:shd w:val="solid" w:color="000000" w:fill="000000"/>
                <w:fitText w:val="30" w:id="-893744377"/>
                <w14:textFill>
                  <w14:solidFill>
                    <w14:schemeClr w14:val="tx1">
                      <w14:alpha w14:val="100000"/>
                      <w14:lumMod w14:val="95000"/>
                      <w14:lumOff w14:val="5000"/>
                    </w14:schemeClr>
                  </w14:solidFill>
                </w14:textFill>
              </w:rPr>
              <w:t>|</w:t>
            </w:r>
            <w:r w:rsidRPr="00E26C98">
              <w:rPr>
                <w:rFonts w:hint="eastAsia"/>
                <w:b/>
                <w:bCs/>
                <w:color w:val="0D0D0D" w:themeColor="text1" w:themeTint="F2"/>
                <w:spacing w:val="-36"/>
                <w:w w:val="15"/>
                <w:shd w:val="solid" w:color="000000" w:fill="000000"/>
                <w:fitText w:val="30" w:id="-893744377"/>
                <w14:textFill>
                  <w14:solidFill>
                    <w14:schemeClr w14:val="tx1">
                      <w14:alpha w14:val="100000"/>
                      <w14:lumMod w14:val="95000"/>
                      <w14:lumOff w14:val="5000"/>
                    </w14:schemeClr>
                  </w14:solidFill>
                </w14:textFill>
              </w:rPr>
              <w:t xml:space="preserve">　</w:t>
            </w:r>
            <w:r w:rsidR="00795E0D" w:rsidRPr="007E7DCE">
              <w:rPr>
                <w:color w:val="0D0D0D" w:themeColor="text1" w:themeTint="F2"/>
                <w:vertAlign w:val="superscript"/>
              </w:rPr>
              <w:t>3</w:t>
            </w:r>
          </w:p>
        </w:tc>
        <w:tc>
          <w:tcPr>
            <w:tcW w:w="628" w:type="pct"/>
            <w:tcBorders>
              <w:bottom w:val="single" w:sz="4" w:space="0" w:color="auto"/>
            </w:tcBorders>
            <w:shd w:val="clear" w:color="auto" w:fill="auto"/>
            <w:vAlign w:val="center"/>
          </w:tcPr>
          <w:p w14:paraId="3B0BC51C" w14:textId="0CCF1DE7" w:rsidR="005E79F8" w:rsidRPr="003B0EA5" w:rsidRDefault="00E26C98" w:rsidP="003B0EA5">
            <w:pPr>
              <w:pStyle w:val="TableText"/>
              <w:jc w:val="center"/>
              <w:rPr>
                <w:b/>
                <w:bCs/>
                <w:color w:val="0D0D0D" w:themeColor="text1" w:themeTint="F2"/>
                <w:highlight w:val="lightGray"/>
              </w:rPr>
            </w:pPr>
            <w:r w:rsidRPr="00E26C98">
              <w:rPr>
                <w:rFonts w:hint="eastAsia"/>
                <w:b/>
                <w:bCs/>
                <w:color w:val="0D0D0D" w:themeColor="text1" w:themeTint="F2"/>
                <w:w w:val="15"/>
                <w:shd w:val="solid" w:color="000000" w:fill="000000"/>
                <w:fitText w:val="30" w:id="-893744376"/>
                <w14:textFill>
                  <w14:solidFill>
                    <w14:schemeClr w14:val="tx1">
                      <w14:alpha w14:val="100000"/>
                      <w14:lumMod w14:val="95000"/>
                      <w14:lumOff w14:val="5000"/>
                    </w14:schemeClr>
                  </w14:solidFill>
                </w14:textFill>
              </w:rPr>
              <w:t xml:space="preserve">　</w:t>
            </w:r>
            <w:r w:rsidRPr="00E26C98">
              <w:rPr>
                <w:b/>
                <w:bCs/>
                <w:color w:val="0D0D0D" w:themeColor="text1" w:themeTint="F2"/>
                <w:w w:val="15"/>
                <w:shd w:val="solid" w:color="000000" w:fill="000000"/>
                <w:fitText w:val="30" w:id="-893744376"/>
                <w14:textFill>
                  <w14:solidFill>
                    <w14:schemeClr w14:val="tx1">
                      <w14:alpha w14:val="100000"/>
                      <w14:lumMod w14:val="95000"/>
                      <w14:lumOff w14:val="5000"/>
                    </w14:schemeClr>
                  </w14:solidFill>
                </w14:textFill>
              </w:rPr>
              <w:t>|</w:t>
            </w:r>
            <w:r w:rsidRPr="00E26C98">
              <w:rPr>
                <w:rFonts w:hint="eastAsia"/>
                <w:b/>
                <w:bCs/>
                <w:color w:val="0D0D0D" w:themeColor="text1" w:themeTint="F2"/>
                <w:spacing w:val="-36"/>
                <w:w w:val="15"/>
                <w:shd w:val="solid" w:color="000000" w:fill="000000"/>
                <w:fitText w:val="30" w:id="-893744376"/>
                <w14:textFill>
                  <w14:solidFill>
                    <w14:schemeClr w14:val="tx1">
                      <w14:alpha w14:val="100000"/>
                      <w14:lumMod w14:val="95000"/>
                      <w14:lumOff w14:val="5000"/>
                    </w14:schemeClr>
                  </w14:solidFill>
                </w14:textFill>
              </w:rPr>
              <w:t xml:space="preserve">　</w:t>
            </w:r>
            <w:r w:rsidR="00795E0D" w:rsidRPr="007E7DCE">
              <w:rPr>
                <w:color w:val="0D0D0D" w:themeColor="text1" w:themeTint="F2"/>
                <w:vertAlign w:val="superscript"/>
              </w:rPr>
              <w:t>3</w:t>
            </w:r>
          </w:p>
        </w:tc>
        <w:tc>
          <w:tcPr>
            <w:tcW w:w="601" w:type="pct"/>
            <w:tcBorders>
              <w:bottom w:val="single" w:sz="4" w:space="0" w:color="auto"/>
            </w:tcBorders>
            <w:vAlign w:val="center"/>
          </w:tcPr>
          <w:p w14:paraId="4D958E40" w14:textId="04F75E8D" w:rsidR="005E79F8" w:rsidRPr="003B0EA5" w:rsidRDefault="00E26C98" w:rsidP="003B0EA5">
            <w:pPr>
              <w:pStyle w:val="TableText"/>
              <w:jc w:val="center"/>
              <w:rPr>
                <w:b/>
                <w:bCs/>
                <w:color w:val="0D0D0D" w:themeColor="text1" w:themeTint="F2"/>
                <w:highlight w:val="lightGray"/>
              </w:rPr>
            </w:pPr>
            <w:r w:rsidRPr="00E26C98">
              <w:rPr>
                <w:rFonts w:hint="eastAsia"/>
                <w:b/>
                <w:bCs/>
                <w:color w:val="0D0D0D" w:themeColor="text1" w:themeTint="F2"/>
                <w:w w:val="15"/>
                <w:shd w:val="solid" w:color="000000" w:fill="000000"/>
                <w:fitText w:val="30" w:id="-893744375"/>
                <w14:textFill>
                  <w14:solidFill>
                    <w14:schemeClr w14:val="tx1">
                      <w14:alpha w14:val="100000"/>
                      <w14:lumMod w14:val="95000"/>
                      <w14:lumOff w14:val="5000"/>
                    </w14:schemeClr>
                  </w14:solidFill>
                </w14:textFill>
              </w:rPr>
              <w:t xml:space="preserve">　</w:t>
            </w:r>
            <w:r w:rsidRPr="00E26C98">
              <w:rPr>
                <w:b/>
                <w:bCs/>
                <w:color w:val="0D0D0D" w:themeColor="text1" w:themeTint="F2"/>
                <w:w w:val="15"/>
                <w:shd w:val="solid" w:color="000000" w:fill="000000"/>
                <w:fitText w:val="30" w:id="-893744375"/>
                <w14:textFill>
                  <w14:solidFill>
                    <w14:schemeClr w14:val="tx1">
                      <w14:alpha w14:val="100000"/>
                      <w14:lumMod w14:val="95000"/>
                      <w14:lumOff w14:val="5000"/>
                    </w14:schemeClr>
                  </w14:solidFill>
                </w14:textFill>
              </w:rPr>
              <w:t>|</w:t>
            </w:r>
            <w:r w:rsidRPr="00E26C98">
              <w:rPr>
                <w:rFonts w:hint="eastAsia"/>
                <w:b/>
                <w:bCs/>
                <w:color w:val="0D0D0D" w:themeColor="text1" w:themeTint="F2"/>
                <w:spacing w:val="-36"/>
                <w:w w:val="15"/>
                <w:shd w:val="solid" w:color="000000" w:fill="000000"/>
                <w:fitText w:val="30" w:id="-893744375"/>
                <w14:textFill>
                  <w14:solidFill>
                    <w14:schemeClr w14:val="tx1">
                      <w14:alpha w14:val="100000"/>
                      <w14:lumMod w14:val="95000"/>
                      <w14:lumOff w14:val="5000"/>
                    </w14:schemeClr>
                  </w14:solidFill>
                </w14:textFill>
              </w:rPr>
              <w:t xml:space="preserve">　</w:t>
            </w:r>
            <w:r w:rsidR="00795E0D" w:rsidRPr="007E7DCE">
              <w:rPr>
                <w:color w:val="0D0D0D" w:themeColor="text1" w:themeTint="F2"/>
                <w:vertAlign w:val="superscript"/>
              </w:rPr>
              <w:t>3</w:t>
            </w:r>
          </w:p>
        </w:tc>
      </w:tr>
      <w:tr w:rsidR="00D04861" w:rsidRPr="003E7195" w14:paraId="7CEEBDAF" w14:textId="77777777" w:rsidTr="00D033A5">
        <w:tc>
          <w:tcPr>
            <w:tcW w:w="1255" w:type="pct"/>
            <w:tcBorders>
              <w:bottom w:val="nil"/>
            </w:tcBorders>
            <w:shd w:val="clear" w:color="auto" w:fill="auto"/>
            <w:vAlign w:val="center"/>
          </w:tcPr>
          <w:p w14:paraId="0D458EC6" w14:textId="77777777" w:rsidR="00D04861" w:rsidRPr="003E7195" w:rsidRDefault="00D04861" w:rsidP="00D04861">
            <w:pPr>
              <w:pStyle w:val="TableText"/>
              <w:rPr>
                <w:color w:val="0D0D0D" w:themeColor="text1" w:themeTint="F2"/>
              </w:rPr>
            </w:pPr>
            <w:r w:rsidRPr="003E7195">
              <w:rPr>
                <w:color w:val="0D0D0D" w:themeColor="text1" w:themeTint="F2"/>
              </w:rPr>
              <w:t>Net cost to MBS</w:t>
            </w:r>
          </w:p>
        </w:tc>
        <w:tc>
          <w:tcPr>
            <w:tcW w:w="629" w:type="pct"/>
            <w:tcBorders>
              <w:bottom w:val="nil"/>
            </w:tcBorders>
            <w:shd w:val="clear" w:color="auto" w:fill="auto"/>
            <w:vAlign w:val="center"/>
          </w:tcPr>
          <w:p w14:paraId="4082ECB7" w14:textId="5B64F797" w:rsidR="00D04861" w:rsidRPr="003B0EA5" w:rsidRDefault="00E26C98" w:rsidP="003B0EA5">
            <w:pPr>
              <w:pStyle w:val="TableText"/>
              <w:jc w:val="center"/>
              <w:rPr>
                <w:b/>
                <w:bCs/>
                <w:color w:val="0D0D0D" w:themeColor="text1" w:themeTint="F2"/>
                <w:highlight w:val="lightGray"/>
              </w:rPr>
            </w:pPr>
            <w:r w:rsidRPr="00E26C98">
              <w:rPr>
                <w:color w:val="000000"/>
                <w:spacing w:val="48"/>
                <w:shd w:val="solid" w:color="000000" w:fill="000000"/>
                <w:fitText w:val="315" w:id="-893744374"/>
                <w14:textFill>
                  <w14:solidFill>
                    <w14:srgbClr w14:val="000000">
                      <w14:alpha w14:val="100000"/>
                    </w14:srgbClr>
                  </w14:solidFill>
                </w14:textFill>
              </w:rPr>
              <w:t>|||</w:t>
            </w:r>
            <w:r w:rsidRPr="00E26C98">
              <w:rPr>
                <w:color w:val="000000"/>
                <w:spacing w:val="1"/>
                <w:shd w:val="solid" w:color="000000" w:fill="000000"/>
                <w:fitText w:val="315" w:id="-893744374"/>
                <w14:textFill>
                  <w14:solidFill>
                    <w14:srgbClr w14:val="000000">
                      <w14:alpha w14:val="100000"/>
                    </w14:srgbClr>
                  </w14:solidFill>
                </w14:textFill>
              </w:rPr>
              <w:t>|</w:t>
            </w:r>
            <w:r w:rsidR="00795E0D" w:rsidRPr="007E7DCE">
              <w:rPr>
                <w:color w:val="0D0D0D" w:themeColor="text1" w:themeTint="F2"/>
                <w:vertAlign w:val="superscript"/>
              </w:rPr>
              <w:t>3</w:t>
            </w:r>
          </w:p>
        </w:tc>
        <w:tc>
          <w:tcPr>
            <w:tcW w:w="629" w:type="pct"/>
            <w:tcBorders>
              <w:bottom w:val="nil"/>
            </w:tcBorders>
            <w:shd w:val="clear" w:color="auto" w:fill="auto"/>
            <w:vAlign w:val="center"/>
          </w:tcPr>
          <w:p w14:paraId="79BFF774" w14:textId="04AFDF22" w:rsidR="00D04861" w:rsidRPr="003B0EA5" w:rsidRDefault="00E26C98" w:rsidP="003B0EA5">
            <w:pPr>
              <w:pStyle w:val="TableText"/>
              <w:jc w:val="center"/>
              <w:rPr>
                <w:b/>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c>
          <w:tcPr>
            <w:tcW w:w="629" w:type="pct"/>
            <w:tcBorders>
              <w:bottom w:val="nil"/>
            </w:tcBorders>
            <w:shd w:val="clear" w:color="auto" w:fill="auto"/>
            <w:vAlign w:val="center"/>
          </w:tcPr>
          <w:p w14:paraId="54850836" w14:textId="3506204C" w:rsidR="00D04861" w:rsidRPr="003B0EA5" w:rsidRDefault="00E26C98" w:rsidP="003B0EA5">
            <w:pPr>
              <w:pStyle w:val="TableText"/>
              <w:jc w:val="center"/>
              <w:rPr>
                <w:b/>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c>
          <w:tcPr>
            <w:tcW w:w="629" w:type="pct"/>
            <w:tcBorders>
              <w:bottom w:val="nil"/>
            </w:tcBorders>
            <w:shd w:val="clear" w:color="auto" w:fill="auto"/>
            <w:vAlign w:val="center"/>
          </w:tcPr>
          <w:p w14:paraId="0E98EF30" w14:textId="3FF69E4A" w:rsidR="00D04861" w:rsidRPr="003B0EA5" w:rsidRDefault="00E26C98" w:rsidP="003B0EA5">
            <w:pPr>
              <w:pStyle w:val="TableText"/>
              <w:jc w:val="center"/>
              <w:rPr>
                <w:b/>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c>
          <w:tcPr>
            <w:tcW w:w="628" w:type="pct"/>
            <w:tcBorders>
              <w:bottom w:val="nil"/>
            </w:tcBorders>
            <w:shd w:val="clear" w:color="auto" w:fill="auto"/>
            <w:vAlign w:val="center"/>
          </w:tcPr>
          <w:p w14:paraId="1C1CC9AC" w14:textId="5C71C368" w:rsidR="00D04861" w:rsidRPr="003B0EA5" w:rsidRDefault="00E26C98" w:rsidP="003B0EA5">
            <w:pPr>
              <w:pStyle w:val="TableText"/>
              <w:jc w:val="center"/>
              <w:rPr>
                <w:b/>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c>
          <w:tcPr>
            <w:tcW w:w="601" w:type="pct"/>
            <w:tcBorders>
              <w:bottom w:val="nil"/>
            </w:tcBorders>
            <w:vAlign w:val="center"/>
          </w:tcPr>
          <w:p w14:paraId="17719F08" w14:textId="4849918B" w:rsidR="00D04861" w:rsidRPr="003B0EA5" w:rsidRDefault="00E26C98" w:rsidP="003B0EA5">
            <w:pPr>
              <w:pStyle w:val="TableText"/>
              <w:jc w:val="center"/>
              <w:rPr>
                <w:b/>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r>
      <w:tr w:rsidR="00D04861" w:rsidRPr="003E7195" w14:paraId="31E8586A" w14:textId="77777777" w:rsidTr="00D033A5">
        <w:tc>
          <w:tcPr>
            <w:tcW w:w="1255" w:type="pct"/>
            <w:tcBorders>
              <w:bottom w:val="single" w:sz="4" w:space="0" w:color="auto"/>
            </w:tcBorders>
            <w:shd w:val="clear" w:color="auto" w:fill="auto"/>
            <w:vAlign w:val="center"/>
          </w:tcPr>
          <w:p w14:paraId="41C11B71" w14:textId="77777777" w:rsidR="00D04861" w:rsidRPr="003E7195" w:rsidRDefault="00D04861" w:rsidP="00D04861">
            <w:pPr>
              <w:pStyle w:val="TableText"/>
              <w:rPr>
                <w:color w:val="0D0D0D" w:themeColor="text1" w:themeTint="F2"/>
              </w:rPr>
            </w:pPr>
            <w:r w:rsidRPr="003E7195">
              <w:rPr>
                <w:color w:val="0D0D0D" w:themeColor="text1" w:themeTint="F2"/>
              </w:rPr>
              <w:t>Net cost to PBS/RPBS/MBS</w:t>
            </w:r>
          </w:p>
        </w:tc>
        <w:tc>
          <w:tcPr>
            <w:tcW w:w="629" w:type="pct"/>
            <w:tcBorders>
              <w:bottom w:val="single" w:sz="4" w:space="0" w:color="auto"/>
            </w:tcBorders>
            <w:shd w:val="clear" w:color="auto" w:fill="auto"/>
            <w:vAlign w:val="center"/>
          </w:tcPr>
          <w:p w14:paraId="2846956B" w14:textId="56709445" w:rsidR="00D04861" w:rsidRPr="003B0EA5" w:rsidRDefault="00E26C98" w:rsidP="003B0EA5">
            <w:pPr>
              <w:pStyle w:val="TableText"/>
              <w:jc w:val="center"/>
              <w:rPr>
                <w:bCs/>
                <w:color w:val="0D0D0D" w:themeColor="text1" w:themeTint="F2"/>
                <w:highlight w:val="lightGray"/>
              </w:rPr>
            </w:pPr>
            <w:r w:rsidRPr="00E26C98">
              <w:rPr>
                <w:color w:val="000000"/>
                <w:spacing w:val="48"/>
                <w:shd w:val="solid" w:color="000000" w:fill="000000"/>
                <w:fitText w:val="315" w:id="-893744373"/>
                <w14:textFill>
                  <w14:solidFill>
                    <w14:srgbClr w14:val="000000">
                      <w14:alpha w14:val="100000"/>
                    </w14:srgbClr>
                  </w14:solidFill>
                </w14:textFill>
              </w:rPr>
              <w:t>|||</w:t>
            </w:r>
            <w:r w:rsidRPr="00E26C98">
              <w:rPr>
                <w:color w:val="000000"/>
                <w:spacing w:val="1"/>
                <w:shd w:val="solid" w:color="000000" w:fill="000000"/>
                <w:fitText w:val="315" w:id="-893744373"/>
                <w14:textFill>
                  <w14:solidFill>
                    <w14:srgbClr w14:val="000000">
                      <w14:alpha w14:val="100000"/>
                    </w14:srgbClr>
                  </w14:solidFill>
                </w14:textFill>
              </w:rPr>
              <w:t>|</w:t>
            </w:r>
            <w:r w:rsidR="00795E0D" w:rsidRPr="007E7DCE">
              <w:rPr>
                <w:color w:val="0D0D0D" w:themeColor="text1" w:themeTint="F2"/>
                <w:vertAlign w:val="superscript"/>
              </w:rPr>
              <w:t>3</w:t>
            </w:r>
          </w:p>
        </w:tc>
        <w:tc>
          <w:tcPr>
            <w:tcW w:w="629" w:type="pct"/>
            <w:tcBorders>
              <w:bottom w:val="single" w:sz="4" w:space="0" w:color="auto"/>
            </w:tcBorders>
            <w:shd w:val="clear" w:color="auto" w:fill="auto"/>
            <w:vAlign w:val="center"/>
          </w:tcPr>
          <w:p w14:paraId="36DEFBC5" w14:textId="6B08ECAD" w:rsidR="00D04861" w:rsidRPr="003B0EA5" w:rsidRDefault="00E26C98" w:rsidP="003B0EA5">
            <w:pPr>
              <w:pStyle w:val="TableText"/>
              <w:jc w:val="center"/>
              <w:rPr>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c>
          <w:tcPr>
            <w:tcW w:w="629" w:type="pct"/>
            <w:tcBorders>
              <w:bottom w:val="single" w:sz="4" w:space="0" w:color="auto"/>
            </w:tcBorders>
            <w:shd w:val="clear" w:color="auto" w:fill="auto"/>
            <w:vAlign w:val="center"/>
          </w:tcPr>
          <w:p w14:paraId="236D7C80" w14:textId="6F07250D" w:rsidR="00D04861" w:rsidRPr="003B0EA5" w:rsidRDefault="00E26C98" w:rsidP="003B0EA5">
            <w:pPr>
              <w:pStyle w:val="TableText"/>
              <w:jc w:val="center"/>
              <w:rPr>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c>
          <w:tcPr>
            <w:tcW w:w="629" w:type="pct"/>
            <w:tcBorders>
              <w:bottom w:val="single" w:sz="4" w:space="0" w:color="auto"/>
            </w:tcBorders>
            <w:shd w:val="clear" w:color="auto" w:fill="auto"/>
            <w:vAlign w:val="center"/>
          </w:tcPr>
          <w:p w14:paraId="3A4DFC5D" w14:textId="0F967A89" w:rsidR="00D04861" w:rsidRPr="003B0EA5" w:rsidRDefault="00E26C98" w:rsidP="003B0EA5">
            <w:pPr>
              <w:pStyle w:val="TableText"/>
              <w:jc w:val="center"/>
              <w:rPr>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c>
          <w:tcPr>
            <w:tcW w:w="628" w:type="pct"/>
            <w:tcBorders>
              <w:bottom w:val="single" w:sz="4" w:space="0" w:color="auto"/>
            </w:tcBorders>
            <w:shd w:val="clear" w:color="auto" w:fill="auto"/>
            <w:vAlign w:val="center"/>
          </w:tcPr>
          <w:p w14:paraId="5CD748A9" w14:textId="161C36B2" w:rsidR="00D04861" w:rsidRPr="003B0EA5" w:rsidRDefault="00E26C98" w:rsidP="003B0EA5">
            <w:pPr>
              <w:pStyle w:val="TableText"/>
              <w:jc w:val="center"/>
              <w:rPr>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c>
          <w:tcPr>
            <w:tcW w:w="601" w:type="pct"/>
            <w:tcBorders>
              <w:bottom w:val="single" w:sz="4" w:space="0" w:color="auto"/>
            </w:tcBorders>
            <w:vAlign w:val="center"/>
          </w:tcPr>
          <w:p w14:paraId="4A0B632C" w14:textId="3E9320A0" w:rsidR="00D04861" w:rsidRPr="003B0EA5" w:rsidRDefault="00E26C98" w:rsidP="003B0EA5">
            <w:pPr>
              <w:pStyle w:val="TableText"/>
              <w:jc w:val="center"/>
              <w:rPr>
                <w:bCs/>
                <w:color w:val="0D0D0D" w:themeColor="text1" w:themeTint="F2"/>
                <w:highlight w:val="lightGray"/>
              </w:rPr>
            </w:pPr>
            <w:r w:rsidRPr="00E26C98">
              <w:rPr>
                <w:color w:val="000000"/>
                <w:shd w:val="solid" w:color="000000" w:fill="000000"/>
                <w14:textFill>
                  <w14:solidFill>
                    <w14:srgbClr w14:val="000000">
                      <w14:alpha w14:val="100000"/>
                    </w14:srgbClr>
                  </w14:solidFill>
                </w14:textFill>
              </w:rPr>
              <w:t>|</w:t>
            </w:r>
            <w:r w:rsidR="00795E0D" w:rsidRPr="007E7DCE">
              <w:rPr>
                <w:color w:val="0D0D0D" w:themeColor="text1" w:themeTint="F2"/>
                <w:vertAlign w:val="superscript"/>
              </w:rPr>
              <w:t>3</w:t>
            </w:r>
          </w:p>
        </w:tc>
      </w:tr>
    </w:tbl>
    <w:p w14:paraId="17585DCF" w14:textId="2BE08322" w:rsidR="005E79F8" w:rsidRPr="003E7195" w:rsidRDefault="005E79F8" w:rsidP="00403C4F">
      <w:pPr>
        <w:pStyle w:val="TableFigureFooter"/>
        <w:jc w:val="both"/>
        <w:rPr>
          <w:color w:val="0D0D0D" w:themeColor="text1" w:themeTint="F2"/>
        </w:rPr>
      </w:pPr>
      <w:r w:rsidRPr="003E7195">
        <w:rPr>
          <w:color w:val="0D0D0D" w:themeColor="text1" w:themeTint="F2"/>
        </w:rPr>
        <w:t>Source: Table 4-9, Table 4-14, , and Table 4-22 of the submission.</w:t>
      </w:r>
    </w:p>
    <w:p w14:paraId="34138529" w14:textId="77777777" w:rsidR="005E79F8" w:rsidRDefault="005E79F8" w:rsidP="00403C4F">
      <w:pPr>
        <w:pStyle w:val="TableFigureFooter"/>
        <w:jc w:val="both"/>
        <w:rPr>
          <w:color w:val="0D0D0D" w:themeColor="text1" w:themeTint="F2"/>
        </w:rPr>
      </w:pPr>
      <w:r w:rsidRPr="003E7195">
        <w:rPr>
          <w:color w:val="0D0D0D" w:themeColor="text1" w:themeTint="F2"/>
          <w:vertAlign w:val="superscript"/>
        </w:rPr>
        <w:t>a</w:t>
      </w:r>
      <w:r w:rsidRPr="003E7195">
        <w:rPr>
          <w:color w:val="0D0D0D" w:themeColor="text1" w:themeTint="F2"/>
        </w:rPr>
        <w:t xml:space="preserve"> Assuming 5.62 scripts per incident patients treated with ivosidenib. The number of scripts was estimated based on a treatment duration of 25.11 weeks and a compliance rate of 95.9%. The number of scripts per grandfathered patients was estimated to be 2.81 (=5.62/2). </w:t>
      </w:r>
    </w:p>
    <w:p w14:paraId="6BE84581" w14:textId="77777777" w:rsidR="005E79F8" w:rsidRDefault="005E79F8" w:rsidP="00403C4F">
      <w:pPr>
        <w:pStyle w:val="TableFigureFooter"/>
        <w:jc w:val="both"/>
        <w:rPr>
          <w:color w:val="0D0D0D" w:themeColor="text1" w:themeTint="F2"/>
        </w:rPr>
      </w:pPr>
      <w:r w:rsidRPr="00286CC1">
        <w:rPr>
          <w:color w:val="0D0D0D" w:themeColor="text1" w:themeTint="F2"/>
          <w:vertAlign w:val="superscript"/>
        </w:rPr>
        <w:t>b</w:t>
      </w:r>
      <w:r w:rsidRPr="00286CC1">
        <w:rPr>
          <w:color w:val="0D0D0D" w:themeColor="text1" w:themeTint="F2"/>
          <w:vertAlign w:val="subscript"/>
        </w:rPr>
        <w:t xml:space="preserve"> </w:t>
      </w:r>
      <w:r w:rsidRPr="00286CC1">
        <w:rPr>
          <w:color w:val="0D0D0D" w:themeColor="text1" w:themeTint="F2"/>
        </w:rPr>
        <w:t>The net financial implication to the MBS has been revised by assuming 85% benefit as for out of hospital services</w:t>
      </w:r>
    </w:p>
    <w:p w14:paraId="47BF8B80" w14:textId="77777777" w:rsidR="00A005F3" w:rsidRPr="00403C4F" w:rsidRDefault="00A005F3" w:rsidP="00403C4F">
      <w:pPr>
        <w:pStyle w:val="TableFigureFooter"/>
        <w:jc w:val="both"/>
        <w:rPr>
          <w:i/>
          <w:iCs/>
          <w:color w:val="0D0D0D" w:themeColor="text1" w:themeTint="F2"/>
        </w:rPr>
      </w:pPr>
      <w:r w:rsidRPr="00403C4F">
        <w:rPr>
          <w:i/>
          <w:iCs/>
          <w:color w:val="0D0D0D" w:themeColor="text1" w:themeTint="F2"/>
        </w:rPr>
        <w:t>The redacted values correspond to the following ranges:</w:t>
      </w:r>
    </w:p>
    <w:p w14:paraId="1A577728" w14:textId="77777777" w:rsidR="00A005F3" w:rsidRPr="00403C4F" w:rsidRDefault="00A005F3" w:rsidP="00403C4F">
      <w:pPr>
        <w:pStyle w:val="TableFigureFooter"/>
        <w:jc w:val="both"/>
        <w:rPr>
          <w:i/>
          <w:iCs/>
          <w:color w:val="0D0D0D" w:themeColor="text1" w:themeTint="F2"/>
        </w:rPr>
      </w:pPr>
      <w:r w:rsidRPr="00403C4F">
        <w:rPr>
          <w:i/>
          <w:iCs/>
          <w:color w:val="0D0D0D" w:themeColor="text1" w:themeTint="F2"/>
        </w:rPr>
        <w:t>1 &lt; 500</w:t>
      </w:r>
    </w:p>
    <w:p w14:paraId="3E365917" w14:textId="28830237" w:rsidR="00A005F3" w:rsidRPr="00403C4F" w:rsidRDefault="00A005F3" w:rsidP="00403C4F">
      <w:pPr>
        <w:pStyle w:val="TableFigureFooter"/>
        <w:jc w:val="both"/>
        <w:rPr>
          <w:i/>
          <w:iCs/>
          <w:color w:val="0D0D0D" w:themeColor="text1" w:themeTint="F2"/>
        </w:rPr>
      </w:pPr>
      <w:r w:rsidRPr="00403C4F">
        <w:rPr>
          <w:i/>
          <w:iCs/>
          <w:color w:val="0D0D0D" w:themeColor="text1" w:themeTint="F2"/>
        </w:rPr>
        <w:t>2 500 to &lt; 5,000</w:t>
      </w:r>
    </w:p>
    <w:p w14:paraId="37C44353" w14:textId="641A76A9" w:rsidR="00795E0D" w:rsidRPr="00403C4F" w:rsidRDefault="00795E0D" w:rsidP="00403C4F">
      <w:pPr>
        <w:pStyle w:val="TableFigureFooter"/>
        <w:jc w:val="both"/>
        <w:rPr>
          <w:i/>
          <w:iCs/>
          <w:color w:val="0D0D0D" w:themeColor="text1" w:themeTint="F2"/>
        </w:rPr>
      </w:pPr>
      <w:r w:rsidRPr="00403C4F">
        <w:rPr>
          <w:i/>
          <w:iCs/>
          <w:color w:val="0D0D0D" w:themeColor="text1" w:themeTint="F2"/>
        </w:rPr>
        <w:t>3 $0 to &lt; $10 million</w:t>
      </w:r>
    </w:p>
    <w:p w14:paraId="67194670" w14:textId="0BB6AC26" w:rsidR="005C05ED" w:rsidRDefault="005E79F8" w:rsidP="007E0187">
      <w:pPr>
        <w:pStyle w:val="ListParagraph"/>
      </w:pPr>
      <w:bookmarkStart w:id="81" w:name="_Hlk164021437"/>
      <w:r w:rsidRPr="003E7195">
        <w:t>The submission estimated that the total cost to the PBS/RPBS of listing ivosidenib would be $</w:t>
      </w:r>
      <w:r w:rsidR="00EA65AC" w:rsidRPr="00EA65AC">
        <w:t>0 to &lt; $10 million</w:t>
      </w:r>
      <w:r w:rsidRPr="003E7195">
        <w:t xml:space="preserve"> in Year 6, and a total of $</w:t>
      </w:r>
      <w:r w:rsidR="00EA65AC" w:rsidRPr="00EA65AC">
        <w:t>30 million to &lt; $40 million</w:t>
      </w:r>
      <w:r w:rsidR="00EA65AC" w:rsidRPr="00EA65AC" w:rsidDel="00EA65AC">
        <w:t xml:space="preserve"> </w:t>
      </w:r>
      <w:r w:rsidRPr="003E7195">
        <w:t xml:space="preserve">in the first 6 years of listing. </w:t>
      </w:r>
    </w:p>
    <w:p w14:paraId="0954348E" w14:textId="728BCE99" w:rsidR="005C05ED" w:rsidRDefault="005E79F8" w:rsidP="007E0187">
      <w:pPr>
        <w:pStyle w:val="ListParagraph"/>
      </w:pPr>
      <w:r w:rsidRPr="003E7195">
        <w:t xml:space="preserve">These estimates did not </w:t>
      </w:r>
      <w:proofErr w:type="gramStart"/>
      <w:r w:rsidRPr="003E7195">
        <w:t>take into account</w:t>
      </w:r>
      <w:proofErr w:type="gramEnd"/>
      <w:r w:rsidRPr="003E7195">
        <w:t xml:space="preserve"> the use of FOLFOX in current clinical practice. </w:t>
      </w:r>
      <w:r w:rsidR="00DB16CA">
        <w:t xml:space="preserve">The PBAC considered it would be appropriate for the financial estimates to include offsets for 45% of patients who would otherwise receive FOLFOX. </w:t>
      </w:r>
    </w:p>
    <w:p w14:paraId="489DE4A9" w14:textId="796C52E8" w:rsidR="005C05ED" w:rsidRDefault="005C05ED" w:rsidP="007E0187">
      <w:pPr>
        <w:pStyle w:val="ListParagraph"/>
      </w:pPr>
      <w:r w:rsidRPr="00A40ABB">
        <w:t xml:space="preserve">The </w:t>
      </w:r>
      <w:r>
        <w:t xml:space="preserve">commentary considered the </w:t>
      </w:r>
      <w:r w:rsidRPr="00A40ABB">
        <w:t xml:space="preserve">number of patients eligible for ivosidenib treatment has been overestimated, as the submission assumed that </w:t>
      </w:r>
      <w:r w:rsidR="007D44DA" w:rsidRPr="007D44DA">
        <w:rPr>
          <w:spacing w:val="108"/>
          <w:shd w:val="solid" w:color="000000" w:fill="000000"/>
          <w:fitText w:val="330" w:id="-890575104"/>
          <w14:textFill>
            <w14:solidFill>
              <w14:schemeClr w14:val="tx1">
                <w14:alpha w14:val="100000"/>
                <w14:lumMod w14:val="95000"/>
                <w14:lumOff w14:val="5000"/>
              </w14:schemeClr>
            </w14:solidFill>
          </w14:textFill>
        </w:rPr>
        <w:t>|</w:t>
      </w:r>
      <w:r w:rsidR="007D44DA" w:rsidRPr="007D44DA">
        <w:rPr>
          <w:spacing w:val="1"/>
          <w:shd w:val="solid" w:color="000000" w:fill="000000"/>
          <w:fitText w:val="330" w:id="-890575104"/>
          <w14:textFill>
            <w14:solidFill>
              <w14:schemeClr w14:val="tx1">
                <w14:alpha w14:val="100000"/>
                <w14:lumMod w14:val="95000"/>
                <w14:lumOff w14:val="5000"/>
              </w14:schemeClr>
            </w14:solidFill>
          </w14:textFill>
        </w:rPr>
        <w:t>|</w:t>
      </w:r>
      <w:r w:rsidRPr="00A40ABB">
        <w:t xml:space="preserve">% of patients with locally advanced or metastatic CCA would progress to receive second-line therapy and that </w:t>
      </w:r>
      <w:r w:rsidR="00E26C98" w:rsidRPr="002311C6">
        <w:rPr>
          <w:color w:val="000000" w:themeColor="text1"/>
          <w:w w:val="15"/>
          <w:shd w:val="solid" w:color="000000" w:fill="000000"/>
          <w:fitText w:val="-20" w:id="-893744372"/>
          <w14:textFill>
            <w14:solidFill>
              <w14:schemeClr w14:val="tx1">
                <w14:alpha w14:val="100000"/>
              </w14:schemeClr>
            </w14:solidFill>
          </w14:textFill>
        </w:rPr>
        <w:t xml:space="preserve">|  </w:t>
      </w:r>
      <w:r w:rsidR="00E26C98" w:rsidRPr="002311C6">
        <w:rPr>
          <w:color w:val="000000" w:themeColor="text1"/>
          <w:spacing w:val="-69"/>
          <w:w w:val="15"/>
          <w:shd w:val="solid" w:color="000000" w:fill="000000"/>
          <w:fitText w:val="-20" w:id="-893744372"/>
          <w14:textFill>
            <w14:solidFill>
              <w14:schemeClr w14:val="tx1">
                <w14:alpha w14:val="100000"/>
              </w14:schemeClr>
            </w14:solidFill>
          </w14:textFill>
        </w:rPr>
        <w:t>|</w:t>
      </w:r>
      <w:r w:rsidRPr="00A40ABB">
        <w:t>%-</w:t>
      </w:r>
      <w:r w:rsidR="00E26C98" w:rsidRPr="002311C6">
        <w:rPr>
          <w:color w:val="000000" w:themeColor="text1"/>
          <w:w w:val="15"/>
          <w:shd w:val="solid" w:color="000000" w:fill="000000"/>
          <w:fitText w:val="-20" w:id="-893744371"/>
          <w14:textFill>
            <w14:solidFill>
              <w14:schemeClr w14:val="tx1">
                <w14:alpha w14:val="100000"/>
              </w14:schemeClr>
            </w14:solidFill>
          </w14:textFill>
        </w:rPr>
        <w:t xml:space="preserve">|  </w:t>
      </w:r>
      <w:r w:rsidR="00E26C98" w:rsidRPr="002311C6">
        <w:rPr>
          <w:color w:val="000000" w:themeColor="text1"/>
          <w:spacing w:val="-69"/>
          <w:w w:val="15"/>
          <w:shd w:val="solid" w:color="000000" w:fill="000000"/>
          <w:fitText w:val="-20" w:id="-893744371"/>
          <w14:textFill>
            <w14:solidFill>
              <w14:schemeClr w14:val="tx1">
                <w14:alpha w14:val="100000"/>
              </w14:schemeClr>
            </w14:solidFill>
          </w14:textFill>
        </w:rPr>
        <w:t>|</w:t>
      </w:r>
      <w:r w:rsidRPr="00A40ABB">
        <w:t>% of these patients would be treated with ivosidenib.</w:t>
      </w:r>
      <w:r w:rsidRPr="003E7195">
        <w:t xml:space="preserve"> T</w:t>
      </w:r>
      <w:r>
        <w:t>his</w:t>
      </w:r>
      <w:r w:rsidRPr="003E7195">
        <w:t xml:space="preserve"> was not reasonable as patients with locally advanced or metastatic CCA are often frail, and their condition deteriorates as the disease progresses.</w:t>
      </w:r>
      <w:r>
        <w:t xml:space="preserve"> The PSCR revised th</w:t>
      </w:r>
      <w:r w:rsidR="00990787">
        <w:t xml:space="preserve">e proportion of eligible patients </w:t>
      </w:r>
      <w:r>
        <w:t xml:space="preserve">to </w:t>
      </w:r>
      <w:r w:rsidR="007D44DA" w:rsidRPr="007D44DA">
        <w:rPr>
          <w:spacing w:val="108"/>
          <w:shd w:val="solid" w:color="000000" w:fill="000000"/>
          <w:fitText w:val="330" w:id="-890575103"/>
          <w14:textFill>
            <w14:solidFill>
              <w14:schemeClr w14:val="tx1">
                <w14:alpha w14:val="100000"/>
                <w14:lumMod w14:val="95000"/>
                <w14:lumOff w14:val="5000"/>
              </w14:schemeClr>
            </w14:solidFill>
          </w14:textFill>
        </w:rPr>
        <w:t>|</w:t>
      </w:r>
      <w:r w:rsidR="007D44DA" w:rsidRPr="007D44DA">
        <w:rPr>
          <w:spacing w:val="1"/>
          <w:shd w:val="solid" w:color="000000" w:fill="000000"/>
          <w:fitText w:val="330" w:id="-890575103"/>
          <w14:textFill>
            <w14:solidFill>
              <w14:schemeClr w14:val="tx1">
                <w14:alpha w14:val="100000"/>
                <w14:lumMod w14:val="95000"/>
                <w14:lumOff w14:val="5000"/>
              </w14:schemeClr>
            </w14:solidFill>
          </w14:textFill>
        </w:rPr>
        <w:t>|</w:t>
      </w:r>
      <w:r>
        <w:t xml:space="preserve">%. </w:t>
      </w:r>
      <w:r w:rsidRPr="00AF0763">
        <w:t xml:space="preserve">DUSC agreed with the commentary and considered the proportion of patients progressing to </w:t>
      </w:r>
      <w:r w:rsidR="000D5435">
        <w:t>2L</w:t>
      </w:r>
      <w:r w:rsidRPr="00AF0763">
        <w:t xml:space="preserve"> treatment (</w:t>
      </w:r>
      <w:r w:rsidR="007D44DA" w:rsidRPr="007D44DA">
        <w:rPr>
          <w:spacing w:val="108"/>
          <w:shd w:val="solid" w:color="000000" w:fill="000000"/>
          <w:fitText w:val="330" w:id="-890575102"/>
          <w14:textFill>
            <w14:solidFill>
              <w14:schemeClr w14:val="tx1">
                <w14:alpha w14:val="100000"/>
                <w14:lumMod w14:val="95000"/>
                <w14:lumOff w14:val="5000"/>
              </w14:schemeClr>
            </w14:solidFill>
          </w14:textFill>
        </w:rPr>
        <w:t>|</w:t>
      </w:r>
      <w:r w:rsidR="007D44DA" w:rsidRPr="007D44DA">
        <w:rPr>
          <w:spacing w:val="1"/>
          <w:shd w:val="solid" w:color="000000" w:fill="000000"/>
          <w:fitText w:val="330" w:id="-890575102"/>
          <w14:textFill>
            <w14:solidFill>
              <w14:schemeClr w14:val="tx1">
                <w14:alpha w14:val="100000"/>
                <w14:lumMod w14:val="95000"/>
                <w14:lumOff w14:val="5000"/>
              </w14:schemeClr>
            </w14:solidFill>
          </w14:textFill>
        </w:rPr>
        <w:t>|</w:t>
      </w:r>
      <w:r w:rsidRPr="00AF0763">
        <w:t>%</w:t>
      </w:r>
      <w:r w:rsidR="00990787">
        <w:t xml:space="preserve"> in PSCR</w:t>
      </w:r>
      <w:r w:rsidRPr="00AF0763">
        <w:t xml:space="preserve">) to be overestimated. </w:t>
      </w:r>
      <w:r>
        <w:t xml:space="preserve">The PBAC </w:t>
      </w:r>
      <w:r>
        <w:lastRenderedPageBreak/>
        <w:t xml:space="preserve">noted that </w:t>
      </w:r>
      <w:r w:rsidRPr="00C30625">
        <w:rPr>
          <w:bCs/>
        </w:rPr>
        <w:t>long term follow up data from the TOPAZ-1 trial</w:t>
      </w:r>
      <w:r w:rsidRPr="00C30625">
        <w:rPr>
          <w:rStyle w:val="FootnoteReference"/>
          <w:bCs/>
        </w:rPr>
        <w:footnoteReference w:id="24"/>
      </w:r>
      <w:r w:rsidRPr="00C30625">
        <w:rPr>
          <w:bCs/>
        </w:rPr>
        <w:t xml:space="preserve"> (durvalumab or placebo plus gemcitabine + cisplatin) indicated that 51-5</w:t>
      </w:r>
      <w:r>
        <w:rPr>
          <w:bCs/>
        </w:rPr>
        <w:t>4</w:t>
      </w:r>
      <w:r w:rsidRPr="00C30625">
        <w:rPr>
          <w:bCs/>
        </w:rPr>
        <w:t>% of patients received subsequent anti</w:t>
      </w:r>
      <w:r w:rsidRPr="00C30625">
        <w:rPr>
          <w:bCs/>
        </w:rPr>
        <w:noBreakHyphen/>
        <w:t>cancer therapy</w:t>
      </w:r>
      <w:r w:rsidRPr="00AF0763">
        <w:t xml:space="preserve">. </w:t>
      </w:r>
      <w:r>
        <w:t xml:space="preserve">The PBAC considered that there may be more patients who receive 2L therapy with </w:t>
      </w:r>
      <w:r w:rsidR="00990787">
        <w:t>ivosidenib</w:t>
      </w:r>
      <w:r>
        <w:t xml:space="preserve"> compared with 2L chemotherapy, and agreed with </w:t>
      </w:r>
      <w:r w:rsidRPr="00AF0763">
        <w:t xml:space="preserve">DUSC </w:t>
      </w:r>
      <w:r>
        <w:t>that</w:t>
      </w:r>
      <w:r w:rsidRPr="00AF0763">
        <w:t xml:space="preserve"> 70% would be a more appropriate estimate of patients progressing to 2L </w:t>
      </w:r>
      <w:r>
        <w:t xml:space="preserve">ivosidenib </w:t>
      </w:r>
      <w:r w:rsidRPr="00AF0763">
        <w:t>treatment</w:t>
      </w:r>
      <w:r>
        <w:t>. The PBAC considered that this would also account for patients electing to receive ivosidenib and therefore no additional uptake step should be included.</w:t>
      </w:r>
    </w:p>
    <w:p w14:paraId="6C5A1191" w14:textId="20AACE9E" w:rsidR="005C05ED" w:rsidRPr="003E7195" w:rsidRDefault="005C05ED" w:rsidP="007E0187">
      <w:pPr>
        <w:pStyle w:val="ListParagraph"/>
      </w:pPr>
      <w:r>
        <w:t xml:space="preserve">The PBAC agreed with DUSC that the IDH1 test uptake should be increased to </w:t>
      </w:r>
      <w:r w:rsidR="007D44DA" w:rsidRPr="007D44DA">
        <w:rPr>
          <w:spacing w:val="108"/>
          <w:shd w:val="solid" w:color="000000" w:fill="000000"/>
          <w:fitText w:val="330" w:id="-890575101"/>
          <w14:textFill>
            <w14:solidFill>
              <w14:schemeClr w14:val="tx1">
                <w14:alpha w14:val="100000"/>
                <w14:lumMod w14:val="95000"/>
                <w14:lumOff w14:val="5000"/>
              </w14:schemeClr>
            </w14:solidFill>
          </w14:textFill>
        </w:rPr>
        <w:t>|</w:t>
      </w:r>
      <w:r w:rsidR="007D44DA" w:rsidRPr="007D44DA">
        <w:rPr>
          <w:spacing w:val="1"/>
          <w:shd w:val="solid" w:color="000000" w:fill="000000"/>
          <w:fitText w:val="330" w:id="-890575101"/>
          <w14:textFill>
            <w14:solidFill>
              <w14:schemeClr w14:val="tx1">
                <w14:alpha w14:val="100000"/>
                <w14:lumMod w14:val="95000"/>
                <w14:lumOff w14:val="5000"/>
              </w14:schemeClr>
            </w14:solidFill>
          </w14:textFill>
        </w:rPr>
        <w:t>|</w:t>
      </w:r>
      <w:r>
        <w:t>% as it is likely to become routine for clinicians to test all patients diagnosed with CCA.</w:t>
      </w:r>
    </w:p>
    <w:p w14:paraId="5660D046" w14:textId="0F7DD536" w:rsidR="005C05ED" w:rsidRDefault="005C05ED" w:rsidP="007E0187">
      <w:pPr>
        <w:pStyle w:val="ListParagraph"/>
      </w:pPr>
      <w:r w:rsidRPr="003E7195">
        <w:t>Given the poor prognosis of the proposed PBS</w:t>
      </w:r>
      <w:r w:rsidR="00990787">
        <w:t xml:space="preserve"> population</w:t>
      </w:r>
      <w:r w:rsidRPr="003E7195">
        <w:t xml:space="preserve">, the </w:t>
      </w:r>
      <w:r>
        <w:t xml:space="preserve">submission noted the </w:t>
      </w:r>
      <w:r w:rsidRPr="003E7195">
        <w:t xml:space="preserve">untreated prevalent population is expected to be small and will be captured by the sponsor’s patient access program. </w:t>
      </w:r>
      <w:r w:rsidRPr="00286CC1">
        <w:t xml:space="preserve">The commentary considered this was reasonable. </w:t>
      </w:r>
      <w:r w:rsidRPr="003E7195">
        <w:t xml:space="preserve">The submission estimated that, at the time of listing, </w:t>
      </w:r>
      <w:r w:rsidR="00D766B3" w:rsidRPr="00D766B3">
        <w:t>&lt; 500</w:t>
      </w:r>
      <w:r w:rsidRPr="003E7195">
        <w:t xml:space="preserve"> patients would receive treatment through the patient access program and </w:t>
      </w:r>
      <w:r w:rsidRPr="00080021">
        <w:t>100</w:t>
      </w:r>
      <w:r w:rsidRPr="003E7195">
        <w:t xml:space="preserve">% of them would meet the restriction for access to ivosidenib through the grandfathering restriction. </w:t>
      </w:r>
    </w:p>
    <w:p w14:paraId="48BF529F" w14:textId="487A9D06" w:rsidR="005E79F8" w:rsidRDefault="00303898" w:rsidP="007E0187">
      <w:pPr>
        <w:pStyle w:val="ListParagraph"/>
      </w:pPr>
      <w:r>
        <w:t>R</w:t>
      </w:r>
      <w:r w:rsidR="005C05ED">
        <w:t xml:space="preserve">evised financial estimates reducing the number of patients receiving 2L treatment to </w:t>
      </w:r>
      <w:r w:rsidR="007D44DA" w:rsidRPr="007D44DA">
        <w:rPr>
          <w:spacing w:val="108"/>
          <w:shd w:val="solid" w:color="000000" w:fill="000000"/>
          <w:fitText w:val="330" w:id="-890575100"/>
          <w14:textFill>
            <w14:solidFill>
              <w14:schemeClr w14:val="tx1">
                <w14:alpha w14:val="100000"/>
                <w14:lumMod w14:val="95000"/>
                <w14:lumOff w14:val="5000"/>
              </w14:schemeClr>
            </w14:solidFill>
          </w14:textFill>
        </w:rPr>
        <w:t>|</w:t>
      </w:r>
      <w:r w:rsidR="007D44DA" w:rsidRPr="007D44DA">
        <w:rPr>
          <w:spacing w:val="1"/>
          <w:shd w:val="solid" w:color="000000" w:fill="000000"/>
          <w:fitText w:val="330" w:id="-890575100"/>
          <w14:textFill>
            <w14:solidFill>
              <w14:schemeClr w14:val="tx1">
                <w14:alpha w14:val="100000"/>
                <w14:lumMod w14:val="95000"/>
                <w14:lumOff w14:val="5000"/>
              </w14:schemeClr>
            </w14:solidFill>
          </w14:textFill>
        </w:rPr>
        <w:t>|</w:t>
      </w:r>
      <w:r w:rsidR="005C05ED">
        <w:t xml:space="preserve">%, removing additional uptake estimates, including offsets from FOLFOX (45% of patients) and increasing </w:t>
      </w:r>
      <w:r w:rsidR="005C05ED" w:rsidRPr="00303898">
        <w:rPr>
          <w:i/>
          <w:iCs/>
        </w:rPr>
        <w:t>IDH1</w:t>
      </w:r>
      <w:r w:rsidR="005C05ED">
        <w:t xml:space="preserve"> testing to </w:t>
      </w:r>
      <w:r w:rsidR="007D44DA" w:rsidRPr="007D44DA">
        <w:rPr>
          <w:spacing w:val="108"/>
          <w:shd w:val="solid" w:color="000000" w:fill="000000"/>
          <w:fitText w:val="330" w:id="-890575099"/>
          <w14:textFill>
            <w14:solidFill>
              <w14:schemeClr w14:val="tx1">
                <w14:alpha w14:val="100000"/>
                <w14:lumMod w14:val="95000"/>
                <w14:lumOff w14:val="5000"/>
              </w14:schemeClr>
            </w14:solidFill>
          </w14:textFill>
        </w:rPr>
        <w:t>|</w:t>
      </w:r>
      <w:r w:rsidR="007D44DA" w:rsidRPr="007D44DA">
        <w:rPr>
          <w:spacing w:val="1"/>
          <w:shd w:val="solid" w:color="000000" w:fill="000000"/>
          <w:fitText w:val="330" w:id="-890575099"/>
          <w14:textFill>
            <w14:solidFill>
              <w14:schemeClr w14:val="tx1">
                <w14:alpha w14:val="100000"/>
                <w14:lumMod w14:val="95000"/>
                <w14:lumOff w14:val="5000"/>
              </w14:schemeClr>
            </w14:solidFill>
          </w14:textFill>
        </w:rPr>
        <w:t>|</w:t>
      </w:r>
      <w:r w:rsidR="005C05ED">
        <w:t xml:space="preserve">% </w:t>
      </w:r>
      <w:r>
        <w:t xml:space="preserve">are shown in </w:t>
      </w:r>
      <w:r w:rsidR="005C05ED">
        <w:fldChar w:fldCharType="begin" w:fldLock="1"/>
      </w:r>
      <w:r w:rsidR="005C05ED">
        <w:instrText xml:space="preserve"> REF _Ref166239443 \h </w:instrText>
      </w:r>
      <w:r w:rsidR="005C05ED">
        <w:fldChar w:fldCharType="separate"/>
      </w:r>
      <w:r w:rsidR="00CB6594" w:rsidRPr="00F8231E">
        <w:t xml:space="preserve">Table </w:t>
      </w:r>
      <w:r w:rsidR="00CB6594">
        <w:rPr>
          <w:noProof/>
        </w:rPr>
        <w:t>19</w:t>
      </w:r>
      <w:r w:rsidR="005C05ED">
        <w:fldChar w:fldCharType="end"/>
      </w:r>
      <w:r w:rsidR="005C05ED">
        <w:t xml:space="preserve">. The PBAC considered these changes were reasonable and noted that the net costs for </w:t>
      </w:r>
      <w:r w:rsidRPr="00303898">
        <w:rPr>
          <w:i/>
          <w:iCs/>
        </w:rPr>
        <w:t>IDH1</w:t>
      </w:r>
      <w:r>
        <w:t xml:space="preserve"> testing plus </w:t>
      </w:r>
      <w:r w:rsidR="005C05ED">
        <w:t xml:space="preserve">ivosidenib were reduced by </w:t>
      </w:r>
      <w:r>
        <w:t>17</w:t>
      </w:r>
      <w:r w:rsidR="005C05ED">
        <w:t xml:space="preserve">% compared with the submission. </w:t>
      </w:r>
    </w:p>
    <w:p w14:paraId="6ED17D71" w14:textId="2F4C7522" w:rsidR="005E79F8" w:rsidRDefault="005E79F8" w:rsidP="00D033A5">
      <w:pPr>
        <w:pStyle w:val="TableFigureHeading"/>
        <w:rPr>
          <w:color w:val="0D0D0D" w:themeColor="text1" w:themeTint="F2"/>
        </w:rPr>
      </w:pPr>
      <w:bookmarkStart w:id="82" w:name="_Ref166239443"/>
      <w:r w:rsidRPr="00F8231E">
        <w:rPr>
          <w:color w:val="0D0D0D" w:themeColor="text1" w:themeTint="F2"/>
        </w:rPr>
        <w:t xml:space="preserve">Table </w:t>
      </w:r>
      <w:r w:rsidRPr="00F8231E">
        <w:rPr>
          <w:color w:val="0D0D0D" w:themeColor="text1" w:themeTint="F2"/>
        </w:rPr>
        <w:fldChar w:fldCharType="begin" w:fldLock="1"/>
      </w:r>
      <w:r w:rsidRPr="00F8231E">
        <w:rPr>
          <w:color w:val="0D0D0D" w:themeColor="text1" w:themeTint="F2"/>
        </w:rPr>
        <w:instrText xml:space="preserve"> SEQ Table_PBAC. \* ARABIC </w:instrText>
      </w:r>
      <w:r w:rsidRPr="00F8231E">
        <w:rPr>
          <w:color w:val="0D0D0D" w:themeColor="text1" w:themeTint="F2"/>
        </w:rPr>
        <w:fldChar w:fldCharType="separate"/>
      </w:r>
      <w:r w:rsidR="00CB6594">
        <w:rPr>
          <w:noProof/>
          <w:color w:val="0D0D0D" w:themeColor="text1" w:themeTint="F2"/>
        </w:rPr>
        <w:t>19</w:t>
      </w:r>
      <w:r w:rsidRPr="00F8231E">
        <w:rPr>
          <w:color w:val="0D0D0D" w:themeColor="text1" w:themeTint="F2"/>
        </w:rPr>
        <w:fldChar w:fldCharType="end"/>
      </w:r>
      <w:bookmarkEnd w:id="82"/>
      <w:r w:rsidR="00D033A5">
        <w:rPr>
          <w:color w:val="0D0D0D" w:themeColor="text1" w:themeTint="F2"/>
        </w:rPr>
        <w:t xml:space="preserve">: </w:t>
      </w:r>
      <w:r w:rsidR="005C05ED">
        <w:rPr>
          <w:color w:val="0D0D0D" w:themeColor="text1" w:themeTint="F2"/>
        </w:rPr>
        <w:t xml:space="preserve">DUSC estimated use and financial implications </w:t>
      </w:r>
    </w:p>
    <w:tbl>
      <w:tblPr>
        <w:tblW w:w="5000" w:type="pct"/>
        <w:tblInd w:w="-5" w:type="dxa"/>
        <w:tblCellMar>
          <w:left w:w="0" w:type="dxa"/>
          <w:right w:w="0" w:type="dxa"/>
        </w:tblCellMar>
        <w:tblLook w:val="0600" w:firstRow="0" w:lastRow="0" w:firstColumn="0" w:lastColumn="0" w:noHBand="1" w:noVBand="1"/>
        <w:tblCaption w:val="Table 19: DUSC estimated use and financial implications "/>
      </w:tblPr>
      <w:tblGrid>
        <w:gridCol w:w="2451"/>
        <w:gridCol w:w="1092"/>
        <w:gridCol w:w="1093"/>
        <w:gridCol w:w="1092"/>
        <w:gridCol w:w="1093"/>
        <w:gridCol w:w="1092"/>
        <w:gridCol w:w="1093"/>
      </w:tblGrid>
      <w:tr w:rsidR="005C05ED" w:rsidRPr="00DC0AAF" w14:paraId="216491E8" w14:textId="77777777" w:rsidTr="00D033A5">
        <w:trPr>
          <w:trHeight w:val="227"/>
        </w:trPr>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213142" w14:textId="77777777" w:rsidR="005C05ED" w:rsidRPr="00D033A5" w:rsidRDefault="005C05ED" w:rsidP="00D033A5">
            <w:pPr>
              <w:pStyle w:val="Tabletext0"/>
              <w:keepNext/>
              <w:rPr>
                <w:szCs w:val="20"/>
              </w:rPr>
            </w:pPr>
            <w:r w:rsidRPr="00D033A5">
              <w:rPr>
                <w:szCs w:val="20"/>
              </w:rPr>
              <w:t> </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6B9FCB" w14:textId="77777777" w:rsidR="005C05ED" w:rsidRPr="00D033A5" w:rsidRDefault="005C05ED" w:rsidP="00D033A5">
            <w:pPr>
              <w:pStyle w:val="Tabletext0"/>
              <w:keepNext/>
              <w:jc w:val="center"/>
              <w:rPr>
                <w:b/>
                <w:bCs/>
                <w:szCs w:val="20"/>
              </w:rPr>
            </w:pPr>
            <w:r w:rsidRPr="00D033A5">
              <w:rPr>
                <w:b/>
                <w:bCs/>
                <w:szCs w:val="20"/>
              </w:rPr>
              <w:t>Year 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DE2162" w14:textId="77777777" w:rsidR="005C05ED" w:rsidRPr="00D033A5" w:rsidRDefault="005C05ED" w:rsidP="00D033A5">
            <w:pPr>
              <w:pStyle w:val="Tabletext0"/>
              <w:keepNext/>
              <w:jc w:val="center"/>
              <w:rPr>
                <w:b/>
                <w:bCs/>
                <w:szCs w:val="20"/>
              </w:rPr>
            </w:pPr>
            <w:r w:rsidRPr="00D033A5">
              <w:rPr>
                <w:b/>
                <w:bCs/>
                <w:szCs w:val="20"/>
              </w:rPr>
              <w:t>Year 2</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B3A95B" w14:textId="77777777" w:rsidR="005C05ED" w:rsidRPr="00D033A5" w:rsidRDefault="005C05ED" w:rsidP="00D033A5">
            <w:pPr>
              <w:pStyle w:val="Tabletext0"/>
              <w:keepNext/>
              <w:jc w:val="center"/>
              <w:rPr>
                <w:b/>
                <w:bCs/>
                <w:szCs w:val="20"/>
              </w:rPr>
            </w:pPr>
            <w:r w:rsidRPr="00D033A5">
              <w:rPr>
                <w:b/>
                <w:bCs/>
                <w:szCs w:val="20"/>
              </w:rPr>
              <w:t>Year 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74F275" w14:textId="77777777" w:rsidR="005C05ED" w:rsidRPr="00D033A5" w:rsidRDefault="005C05ED" w:rsidP="00D033A5">
            <w:pPr>
              <w:pStyle w:val="Tabletext0"/>
              <w:keepNext/>
              <w:jc w:val="center"/>
              <w:rPr>
                <w:b/>
                <w:bCs/>
                <w:szCs w:val="20"/>
              </w:rPr>
            </w:pPr>
            <w:r w:rsidRPr="00D033A5">
              <w:rPr>
                <w:b/>
                <w:bCs/>
                <w:szCs w:val="20"/>
              </w:rPr>
              <w:t>Year 4</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8649A6" w14:textId="77777777" w:rsidR="005C05ED" w:rsidRPr="00D033A5" w:rsidRDefault="005C05ED" w:rsidP="00D033A5">
            <w:pPr>
              <w:pStyle w:val="Tabletext0"/>
              <w:keepNext/>
              <w:jc w:val="center"/>
              <w:rPr>
                <w:b/>
                <w:bCs/>
                <w:szCs w:val="20"/>
              </w:rPr>
            </w:pPr>
            <w:r w:rsidRPr="00D033A5">
              <w:rPr>
                <w:b/>
                <w:bCs/>
                <w:szCs w:val="20"/>
              </w:rPr>
              <w:t>Year 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C4224D" w14:textId="77777777" w:rsidR="005C05ED" w:rsidRPr="00D033A5" w:rsidRDefault="005C05ED" w:rsidP="00D033A5">
            <w:pPr>
              <w:pStyle w:val="Tabletext0"/>
              <w:keepNext/>
              <w:jc w:val="center"/>
              <w:rPr>
                <w:b/>
                <w:bCs/>
                <w:szCs w:val="20"/>
              </w:rPr>
            </w:pPr>
            <w:r w:rsidRPr="00D033A5">
              <w:rPr>
                <w:b/>
                <w:bCs/>
                <w:szCs w:val="20"/>
              </w:rPr>
              <w:t>Year 6</w:t>
            </w:r>
          </w:p>
        </w:tc>
      </w:tr>
      <w:tr w:rsidR="005C05ED" w:rsidRPr="00DC0AAF" w14:paraId="57379EB5" w14:textId="77777777" w:rsidTr="00D033A5">
        <w:trPr>
          <w:trHeight w:val="227"/>
        </w:trPr>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3E3205" w14:textId="77777777" w:rsidR="005C05ED" w:rsidRPr="00D033A5" w:rsidRDefault="005C05ED" w:rsidP="00FE7D97">
            <w:pPr>
              <w:pStyle w:val="Tabletext0"/>
              <w:rPr>
                <w:szCs w:val="20"/>
              </w:rPr>
            </w:pPr>
            <w:r w:rsidRPr="00D033A5">
              <w:rPr>
                <w:szCs w:val="20"/>
                <w:lang w:val="en-US"/>
              </w:rPr>
              <w:t>No. patients likely to be treated with ivosidenib</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11C142" w14:textId="1056E55D" w:rsidR="005C05ED" w:rsidRPr="00D033A5" w:rsidRDefault="00E26C98" w:rsidP="00FE7D97">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0"/>
                <w14:textFill>
                  <w14:solidFill>
                    <w14:srgbClr w14:val="000000">
                      <w14:alpha w14:val="100000"/>
                    </w14:srgbClr>
                  </w14:solidFill>
                </w14:textFill>
              </w:rPr>
              <w:t xml:space="preserve">　</w:t>
            </w:r>
            <w:r w:rsidRPr="00D033A5">
              <w:rPr>
                <w:color w:val="000000"/>
                <w:w w:val="15"/>
                <w:szCs w:val="20"/>
                <w:shd w:val="solid" w:color="000000" w:fill="000000"/>
                <w:fitText w:val="45" w:id="-893744370"/>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0"/>
                <w14:textFill>
                  <w14:solidFill>
                    <w14:srgbClr w14:val="000000">
                      <w14:alpha w14:val="100000"/>
                    </w14:srgbClr>
                  </w14:solidFill>
                </w14:textFill>
              </w:rPr>
              <w:t xml:space="preserve">　</w:t>
            </w:r>
            <w:r w:rsidR="00EA65AC" w:rsidRPr="00D033A5">
              <w:rPr>
                <w:szCs w:val="20"/>
                <w:vertAlign w:val="superscript"/>
              </w:rPr>
              <w:t>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2FD9D7" w14:textId="07ED28AA" w:rsidR="005C05ED" w:rsidRPr="00D033A5" w:rsidRDefault="00E26C98" w:rsidP="00FE7D97">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69"/>
                <w14:textFill>
                  <w14:solidFill>
                    <w14:srgbClr w14:val="000000">
                      <w14:alpha w14:val="100000"/>
                    </w14:srgbClr>
                  </w14:solidFill>
                </w14:textFill>
              </w:rPr>
              <w:t xml:space="preserve">　</w:t>
            </w:r>
            <w:r w:rsidRPr="00D033A5">
              <w:rPr>
                <w:color w:val="000000"/>
                <w:w w:val="15"/>
                <w:szCs w:val="20"/>
                <w:shd w:val="solid" w:color="000000" w:fill="000000"/>
                <w:fitText w:val="45" w:id="-893744369"/>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69"/>
                <w14:textFill>
                  <w14:solidFill>
                    <w14:srgbClr w14:val="000000">
                      <w14:alpha w14:val="100000"/>
                    </w14:srgbClr>
                  </w14:solidFill>
                </w14:textFill>
              </w:rPr>
              <w:t xml:space="preserve">　</w:t>
            </w:r>
            <w:r w:rsidR="00EA65AC" w:rsidRPr="00D033A5">
              <w:rPr>
                <w:szCs w:val="20"/>
                <w:vertAlign w:val="superscript"/>
              </w:rPr>
              <w:t>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C4F747" w14:textId="75E32CDD" w:rsidR="005C05ED" w:rsidRPr="00D033A5" w:rsidRDefault="00E26C98" w:rsidP="00FE7D97">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68"/>
                <w14:textFill>
                  <w14:solidFill>
                    <w14:srgbClr w14:val="000000">
                      <w14:alpha w14:val="100000"/>
                    </w14:srgbClr>
                  </w14:solidFill>
                </w14:textFill>
              </w:rPr>
              <w:t xml:space="preserve">　</w:t>
            </w:r>
            <w:r w:rsidRPr="00D033A5">
              <w:rPr>
                <w:color w:val="000000"/>
                <w:w w:val="15"/>
                <w:szCs w:val="20"/>
                <w:shd w:val="solid" w:color="000000" w:fill="000000"/>
                <w:fitText w:val="45" w:id="-893744368"/>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68"/>
                <w14:textFill>
                  <w14:solidFill>
                    <w14:srgbClr w14:val="000000">
                      <w14:alpha w14:val="100000"/>
                    </w14:srgbClr>
                  </w14:solidFill>
                </w14:textFill>
              </w:rPr>
              <w:t xml:space="preserve">　</w:t>
            </w:r>
            <w:r w:rsidR="00EA65AC" w:rsidRPr="00D033A5">
              <w:rPr>
                <w:szCs w:val="20"/>
                <w:vertAlign w:val="superscript"/>
              </w:rPr>
              <w:t>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4F4764" w14:textId="2F7E2566" w:rsidR="005C05ED" w:rsidRPr="00D033A5" w:rsidRDefault="00E26C98" w:rsidP="00FE7D97">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4"/>
                <w14:textFill>
                  <w14:solidFill>
                    <w14:srgbClr w14:val="000000">
                      <w14:alpha w14:val="100000"/>
                    </w14:srgbClr>
                  </w14:solidFill>
                </w14:textFill>
              </w:rPr>
              <w:t xml:space="preserve">　</w:t>
            </w:r>
            <w:r w:rsidRPr="00D033A5">
              <w:rPr>
                <w:color w:val="000000"/>
                <w:w w:val="15"/>
                <w:szCs w:val="20"/>
                <w:shd w:val="solid" w:color="000000" w:fill="000000"/>
                <w:fitText w:val="45" w:id="-893744384"/>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4"/>
                <w14:textFill>
                  <w14:solidFill>
                    <w14:srgbClr w14:val="000000">
                      <w14:alpha w14:val="100000"/>
                    </w14:srgbClr>
                  </w14:solidFill>
                </w14:textFill>
              </w:rPr>
              <w:t xml:space="preserve">　</w:t>
            </w:r>
            <w:r w:rsidR="00EA65AC" w:rsidRPr="00D033A5">
              <w:rPr>
                <w:szCs w:val="20"/>
                <w:vertAlign w:val="superscript"/>
              </w:rPr>
              <w:t>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72B70B" w14:textId="1B2074A7" w:rsidR="005C05ED" w:rsidRPr="00D033A5" w:rsidRDefault="00E26C98" w:rsidP="00FE7D97">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3"/>
                <w14:textFill>
                  <w14:solidFill>
                    <w14:srgbClr w14:val="000000">
                      <w14:alpha w14:val="100000"/>
                    </w14:srgbClr>
                  </w14:solidFill>
                </w14:textFill>
              </w:rPr>
              <w:t xml:space="preserve">　</w:t>
            </w:r>
            <w:r w:rsidRPr="00D033A5">
              <w:rPr>
                <w:color w:val="000000"/>
                <w:w w:val="15"/>
                <w:szCs w:val="20"/>
                <w:shd w:val="solid" w:color="000000" w:fill="000000"/>
                <w:fitText w:val="45" w:id="-893744383"/>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3"/>
                <w14:textFill>
                  <w14:solidFill>
                    <w14:srgbClr w14:val="000000">
                      <w14:alpha w14:val="100000"/>
                    </w14:srgbClr>
                  </w14:solidFill>
                </w14:textFill>
              </w:rPr>
              <w:t xml:space="preserve">　</w:t>
            </w:r>
            <w:r w:rsidR="00EA65AC" w:rsidRPr="00D033A5">
              <w:rPr>
                <w:szCs w:val="20"/>
                <w:vertAlign w:val="superscript"/>
              </w:rPr>
              <w:t>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3E51A88" w14:textId="2181EA24" w:rsidR="005C05ED" w:rsidRPr="00D033A5" w:rsidRDefault="00E26C98" w:rsidP="00FE7D97">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2"/>
                <w14:textFill>
                  <w14:solidFill>
                    <w14:srgbClr w14:val="000000">
                      <w14:alpha w14:val="100000"/>
                    </w14:srgbClr>
                  </w14:solidFill>
                </w14:textFill>
              </w:rPr>
              <w:t xml:space="preserve">　</w:t>
            </w:r>
            <w:r w:rsidRPr="00D033A5">
              <w:rPr>
                <w:color w:val="000000"/>
                <w:w w:val="15"/>
                <w:szCs w:val="20"/>
                <w:shd w:val="solid" w:color="000000" w:fill="000000"/>
                <w:fitText w:val="45" w:id="-893744382"/>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2"/>
                <w14:textFill>
                  <w14:solidFill>
                    <w14:srgbClr w14:val="000000">
                      <w14:alpha w14:val="100000"/>
                    </w14:srgbClr>
                  </w14:solidFill>
                </w14:textFill>
              </w:rPr>
              <w:t xml:space="preserve">　</w:t>
            </w:r>
            <w:r w:rsidR="00EA65AC" w:rsidRPr="00D033A5">
              <w:rPr>
                <w:szCs w:val="20"/>
                <w:vertAlign w:val="superscript"/>
              </w:rPr>
              <w:t>1</w:t>
            </w:r>
          </w:p>
        </w:tc>
      </w:tr>
      <w:tr w:rsidR="00303898" w:rsidRPr="00DC0AAF" w14:paraId="27BCBC45" w14:textId="77777777" w:rsidTr="00D033A5">
        <w:trPr>
          <w:trHeight w:val="227"/>
        </w:trPr>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D074A7" w14:textId="77777777" w:rsidR="00303898" w:rsidRPr="00D033A5" w:rsidRDefault="00303898" w:rsidP="00303898">
            <w:pPr>
              <w:pStyle w:val="Tabletext0"/>
              <w:rPr>
                <w:szCs w:val="20"/>
              </w:rPr>
            </w:pPr>
            <w:r w:rsidRPr="00D033A5">
              <w:rPr>
                <w:szCs w:val="20"/>
              </w:rPr>
              <w:t>No. scripts dispensed</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17D78D" w14:textId="323C0641"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1"/>
                <w14:textFill>
                  <w14:solidFill>
                    <w14:srgbClr w14:val="000000">
                      <w14:alpha w14:val="100000"/>
                    </w14:srgbClr>
                  </w14:solidFill>
                </w14:textFill>
              </w:rPr>
              <w:t xml:space="preserve">　</w:t>
            </w:r>
            <w:r w:rsidRPr="00D033A5">
              <w:rPr>
                <w:color w:val="000000"/>
                <w:w w:val="15"/>
                <w:szCs w:val="20"/>
                <w:shd w:val="solid" w:color="000000" w:fill="000000"/>
                <w:fitText w:val="45" w:id="-893744381"/>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1"/>
                <w14:textFill>
                  <w14:solidFill>
                    <w14:srgbClr w14:val="000000">
                      <w14:alpha w14:val="100000"/>
                    </w14:srgbClr>
                  </w14:solidFill>
                </w14:textFill>
              </w:rPr>
              <w:t xml:space="preserve">　</w:t>
            </w:r>
            <w:r w:rsidR="00EA65AC" w:rsidRPr="00D033A5">
              <w:rPr>
                <w:szCs w:val="20"/>
                <w:vertAlign w:val="superscript"/>
              </w:rPr>
              <w:t>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B50E7E" w14:textId="6FB38517"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0"/>
                <w14:textFill>
                  <w14:solidFill>
                    <w14:srgbClr w14:val="000000">
                      <w14:alpha w14:val="100000"/>
                    </w14:srgbClr>
                  </w14:solidFill>
                </w14:textFill>
              </w:rPr>
              <w:t xml:space="preserve">　</w:t>
            </w:r>
            <w:r w:rsidRPr="00D033A5">
              <w:rPr>
                <w:color w:val="000000"/>
                <w:w w:val="15"/>
                <w:szCs w:val="20"/>
                <w:shd w:val="solid" w:color="000000" w:fill="000000"/>
                <w:fitText w:val="45" w:id="-893744380"/>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0"/>
                <w14:textFill>
                  <w14:solidFill>
                    <w14:srgbClr w14:val="000000">
                      <w14:alpha w14:val="100000"/>
                    </w14:srgbClr>
                  </w14:solidFill>
                </w14:textFill>
              </w:rPr>
              <w:t xml:space="preserve">　</w:t>
            </w:r>
            <w:r w:rsidR="00EA65AC" w:rsidRPr="00D033A5">
              <w:rPr>
                <w:szCs w:val="20"/>
                <w:vertAlign w:val="superscript"/>
              </w:rPr>
              <w:t>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F9E28B" w14:textId="5C03A0AD"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9"/>
                <w14:textFill>
                  <w14:solidFill>
                    <w14:srgbClr w14:val="000000">
                      <w14:alpha w14:val="100000"/>
                    </w14:srgbClr>
                  </w14:solidFill>
                </w14:textFill>
              </w:rPr>
              <w:t xml:space="preserve">　</w:t>
            </w:r>
            <w:r w:rsidRPr="00D033A5">
              <w:rPr>
                <w:color w:val="000000"/>
                <w:w w:val="15"/>
                <w:szCs w:val="20"/>
                <w:shd w:val="solid" w:color="000000" w:fill="000000"/>
                <w:fitText w:val="45" w:id="-893744379"/>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9"/>
                <w14:textFill>
                  <w14:solidFill>
                    <w14:srgbClr w14:val="000000">
                      <w14:alpha w14:val="100000"/>
                    </w14:srgbClr>
                  </w14:solidFill>
                </w14:textFill>
              </w:rPr>
              <w:t xml:space="preserve">　</w:t>
            </w:r>
            <w:r w:rsidR="00EA65AC" w:rsidRPr="00D033A5">
              <w:rPr>
                <w:szCs w:val="20"/>
                <w:vertAlign w:val="superscript"/>
              </w:rPr>
              <w:t>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74E87A" w14:textId="7D14C313"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8"/>
                <w14:textFill>
                  <w14:solidFill>
                    <w14:srgbClr w14:val="000000">
                      <w14:alpha w14:val="100000"/>
                    </w14:srgbClr>
                  </w14:solidFill>
                </w14:textFill>
              </w:rPr>
              <w:t xml:space="preserve">　</w:t>
            </w:r>
            <w:r w:rsidRPr="00D033A5">
              <w:rPr>
                <w:color w:val="000000"/>
                <w:w w:val="15"/>
                <w:szCs w:val="20"/>
                <w:shd w:val="solid" w:color="000000" w:fill="000000"/>
                <w:fitText w:val="45" w:id="-893744378"/>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8"/>
                <w14:textFill>
                  <w14:solidFill>
                    <w14:srgbClr w14:val="000000">
                      <w14:alpha w14:val="100000"/>
                    </w14:srgbClr>
                  </w14:solidFill>
                </w14:textFill>
              </w:rPr>
              <w:t xml:space="preserve">　</w:t>
            </w:r>
            <w:r w:rsidR="00EA65AC" w:rsidRPr="00D033A5">
              <w:rPr>
                <w:szCs w:val="20"/>
                <w:vertAlign w:val="superscript"/>
              </w:rPr>
              <w:t>2</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07856F" w14:textId="1B65816B"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7"/>
                <w14:textFill>
                  <w14:solidFill>
                    <w14:srgbClr w14:val="000000">
                      <w14:alpha w14:val="100000"/>
                    </w14:srgbClr>
                  </w14:solidFill>
                </w14:textFill>
              </w:rPr>
              <w:t xml:space="preserve">　</w:t>
            </w:r>
            <w:r w:rsidRPr="00D033A5">
              <w:rPr>
                <w:color w:val="000000"/>
                <w:w w:val="15"/>
                <w:szCs w:val="20"/>
                <w:shd w:val="solid" w:color="000000" w:fill="000000"/>
                <w:fitText w:val="45" w:id="-893744377"/>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7"/>
                <w14:textFill>
                  <w14:solidFill>
                    <w14:srgbClr w14:val="000000">
                      <w14:alpha w14:val="100000"/>
                    </w14:srgbClr>
                  </w14:solidFill>
                </w14:textFill>
              </w:rPr>
              <w:t xml:space="preserve">　</w:t>
            </w:r>
            <w:r w:rsidR="00EA65AC" w:rsidRPr="00D033A5">
              <w:rPr>
                <w:szCs w:val="20"/>
                <w:vertAlign w:val="superscript"/>
              </w:rPr>
              <w:t>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96C97F" w14:textId="4749D63B"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6"/>
                <w14:textFill>
                  <w14:solidFill>
                    <w14:srgbClr w14:val="000000">
                      <w14:alpha w14:val="100000"/>
                    </w14:srgbClr>
                  </w14:solidFill>
                </w14:textFill>
              </w:rPr>
              <w:t xml:space="preserve">　</w:t>
            </w:r>
            <w:r w:rsidRPr="00D033A5">
              <w:rPr>
                <w:color w:val="000000"/>
                <w:w w:val="15"/>
                <w:szCs w:val="20"/>
                <w:shd w:val="solid" w:color="000000" w:fill="000000"/>
                <w:fitText w:val="45" w:id="-893744376"/>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6"/>
                <w14:textFill>
                  <w14:solidFill>
                    <w14:srgbClr w14:val="000000">
                      <w14:alpha w14:val="100000"/>
                    </w14:srgbClr>
                  </w14:solidFill>
                </w14:textFill>
              </w:rPr>
              <w:t xml:space="preserve">　</w:t>
            </w:r>
            <w:r w:rsidR="00EA65AC" w:rsidRPr="00D033A5">
              <w:rPr>
                <w:szCs w:val="20"/>
                <w:vertAlign w:val="superscript"/>
              </w:rPr>
              <w:t>2</w:t>
            </w:r>
          </w:p>
        </w:tc>
      </w:tr>
      <w:tr w:rsidR="00303898" w:rsidRPr="00DC0AAF" w14:paraId="26199F18" w14:textId="77777777" w:rsidTr="00D033A5">
        <w:trPr>
          <w:trHeight w:val="227"/>
        </w:trPr>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8F6036" w14:textId="77777777" w:rsidR="00303898" w:rsidRPr="00D033A5" w:rsidRDefault="00303898" w:rsidP="00303898">
            <w:pPr>
              <w:pStyle w:val="Tabletext0"/>
              <w:rPr>
                <w:szCs w:val="20"/>
              </w:rPr>
            </w:pPr>
            <w:r w:rsidRPr="00D033A5">
              <w:rPr>
                <w:szCs w:val="20"/>
                <w:lang w:val="en-US"/>
              </w:rPr>
              <w:t>Cost to PBS/RPBS less copayments</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6AB37D" w14:textId="454DAC33"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5"/>
                <w14:textFill>
                  <w14:solidFill>
                    <w14:srgbClr w14:val="000000">
                      <w14:alpha w14:val="100000"/>
                    </w14:srgbClr>
                  </w14:solidFill>
                </w14:textFill>
              </w:rPr>
              <w:t xml:space="preserve">　</w:t>
            </w:r>
            <w:r w:rsidRPr="00D033A5">
              <w:rPr>
                <w:color w:val="000000"/>
                <w:w w:val="15"/>
                <w:szCs w:val="20"/>
                <w:shd w:val="solid" w:color="000000" w:fill="000000"/>
                <w:fitText w:val="45" w:id="-893744375"/>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5"/>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747AE7" w14:textId="7ABADF43"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4"/>
                <w14:textFill>
                  <w14:solidFill>
                    <w14:srgbClr w14:val="000000">
                      <w14:alpha w14:val="100000"/>
                    </w14:srgbClr>
                  </w14:solidFill>
                </w14:textFill>
              </w:rPr>
              <w:t xml:space="preserve">　</w:t>
            </w:r>
            <w:r w:rsidRPr="00D033A5">
              <w:rPr>
                <w:color w:val="000000"/>
                <w:w w:val="15"/>
                <w:szCs w:val="20"/>
                <w:shd w:val="solid" w:color="000000" w:fill="000000"/>
                <w:fitText w:val="45" w:id="-893744374"/>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4"/>
                <w14:textFill>
                  <w14:solidFill>
                    <w14:srgbClr w14:val="000000">
                      <w14:alpha w14:val="100000"/>
                    </w14:srgbClr>
                  </w14:solidFill>
                </w14:textFill>
              </w:rPr>
              <w:t xml:space="preserve">　</w:t>
            </w:r>
            <w:r w:rsidR="00EA65AC" w:rsidRPr="00D033A5">
              <w:rPr>
                <w:szCs w:val="20"/>
                <w:vertAlign w:val="superscript"/>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9BEE79" w14:textId="69A731FE"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3"/>
                <w14:textFill>
                  <w14:solidFill>
                    <w14:srgbClr w14:val="000000">
                      <w14:alpha w14:val="100000"/>
                    </w14:srgbClr>
                  </w14:solidFill>
                </w14:textFill>
              </w:rPr>
              <w:t xml:space="preserve">　</w:t>
            </w:r>
            <w:r w:rsidRPr="00D033A5">
              <w:rPr>
                <w:color w:val="000000"/>
                <w:w w:val="15"/>
                <w:szCs w:val="20"/>
                <w:shd w:val="solid" w:color="000000" w:fill="000000"/>
                <w:fitText w:val="45" w:id="-893744373"/>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3"/>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1869DB" w14:textId="47744057"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2"/>
                <w14:textFill>
                  <w14:solidFill>
                    <w14:srgbClr w14:val="000000">
                      <w14:alpha w14:val="100000"/>
                    </w14:srgbClr>
                  </w14:solidFill>
                </w14:textFill>
              </w:rPr>
              <w:t xml:space="preserve">　</w:t>
            </w:r>
            <w:r w:rsidRPr="00D033A5">
              <w:rPr>
                <w:color w:val="000000"/>
                <w:w w:val="15"/>
                <w:szCs w:val="20"/>
                <w:shd w:val="solid" w:color="000000" w:fill="000000"/>
                <w:fitText w:val="45" w:id="-893744372"/>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2"/>
                <w14:textFill>
                  <w14:solidFill>
                    <w14:srgbClr w14:val="000000">
                      <w14:alpha w14:val="100000"/>
                    </w14:srgbClr>
                  </w14:solidFill>
                </w14:textFill>
              </w:rPr>
              <w:t xml:space="preserve">　</w:t>
            </w:r>
            <w:r w:rsidR="00EA65AC" w:rsidRPr="00D033A5">
              <w:rPr>
                <w:szCs w:val="20"/>
                <w:vertAlign w:val="superscript"/>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A1BE7E" w14:textId="4FB79CF3"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1"/>
                <w14:textFill>
                  <w14:solidFill>
                    <w14:srgbClr w14:val="000000">
                      <w14:alpha w14:val="100000"/>
                    </w14:srgbClr>
                  </w14:solidFill>
                </w14:textFill>
              </w:rPr>
              <w:t xml:space="preserve">　</w:t>
            </w:r>
            <w:r w:rsidRPr="00D033A5">
              <w:rPr>
                <w:color w:val="000000"/>
                <w:w w:val="15"/>
                <w:szCs w:val="20"/>
                <w:shd w:val="solid" w:color="000000" w:fill="000000"/>
                <w:fitText w:val="45" w:id="-893744371"/>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1"/>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15A9A3" w14:textId="1DD07C42"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0"/>
                <w14:textFill>
                  <w14:solidFill>
                    <w14:srgbClr w14:val="000000">
                      <w14:alpha w14:val="100000"/>
                    </w14:srgbClr>
                  </w14:solidFill>
                </w14:textFill>
              </w:rPr>
              <w:t xml:space="preserve">　</w:t>
            </w:r>
            <w:r w:rsidRPr="00D033A5">
              <w:rPr>
                <w:color w:val="000000"/>
                <w:w w:val="15"/>
                <w:szCs w:val="20"/>
                <w:shd w:val="solid" w:color="000000" w:fill="000000"/>
                <w:fitText w:val="45" w:id="-893744370"/>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0"/>
                <w14:textFill>
                  <w14:solidFill>
                    <w14:srgbClr w14:val="000000">
                      <w14:alpha w14:val="100000"/>
                    </w14:srgbClr>
                  </w14:solidFill>
                </w14:textFill>
              </w:rPr>
              <w:t xml:space="preserve">　</w:t>
            </w:r>
            <w:r w:rsidR="00EA65AC" w:rsidRPr="00D033A5">
              <w:rPr>
                <w:szCs w:val="20"/>
                <w:vertAlign w:val="superscript"/>
              </w:rPr>
              <w:t>3</w:t>
            </w:r>
          </w:p>
        </w:tc>
      </w:tr>
      <w:tr w:rsidR="00303898" w:rsidRPr="00DC0AAF" w14:paraId="07B8E819" w14:textId="77777777" w:rsidTr="00D033A5">
        <w:trPr>
          <w:trHeight w:val="227"/>
        </w:trPr>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F91D22" w14:textId="6843B843" w:rsidR="00303898" w:rsidRPr="00D033A5" w:rsidRDefault="00303898" w:rsidP="00303898">
            <w:pPr>
              <w:pStyle w:val="Tabletext0"/>
              <w:rPr>
                <w:szCs w:val="20"/>
              </w:rPr>
            </w:pPr>
            <w:r w:rsidRPr="00D033A5">
              <w:rPr>
                <w:szCs w:val="20"/>
                <w:lang w:val="en-US"/>
              </w:rPr>
              <w:t>Estimated offset from FOLFOX (45% use)</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DF6AC8" w14:textId="0A6539EF"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69"/>
                <w14:textFill>
                  <w14:solidFill>
                    <w14:srgbClr w14:val="000000">
                      <w14:alpha w14:val="100000"/>
                    </w14:srgbClr>
                  </w14:solidFill>
                </w14:textFill>
              </w:rPr>
              <w:t xml:space="preserve">　</w:t>
            </w:r>
            <w:r w:rsidRPr="00D033A5">
              <w:rPr>
                <w:color w:val="000000"/>
                <w:w w:val="15"/>
                <w:szCs w:val="20"/>
                <w:shd w:val="solid" w:color="000000" w:fill="000000"/>
                <w:fitText w:val="45" w:id="-893744369"/>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69"/>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1054CB" w14:textId="5705076A"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68"/>
                <w14:textFill>
                  <w14:solidFill>
                    <w14:srgbClr w14:val="000000">
                      <w14:alpha w14:val="100000"/>
                    </w14:srgbClr>
                  </w14:solidFill>
                </w14:textFill>
              </w:rPr>
              <w:t xml:space="preserve">　</w:t>
            </w:r>
            <w:r w:rsidRPr="00D033A5">
              <w:rPr>
                <w:color w:val="000000"/>
                <w:w w:val="15"/>
                <w:szCs w:val="20"/>
                <w:shd w:val="solid" w:color="000000" w:fill="000000"/>
                <w:fitText w:val="45" w:id="-893744368"/>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68"/>
                <w14:textFill>
                  <w14:solidFill>
                    <w14:srgbClr w14:val="000000">
                      <w14:alpha w14:val="100000"/>
                    </w14:srgbClr>
                  </w14:solidFill>
                </w14:textFill>
              </w:rPr>
              <w:t xml:space="preserve">　</w:t>
            </w:r>
            <w:r w:rsidR="00EA65AC" w:rsidRPr="00D033A5">
              <w:rPr>
                <w:szCs w:val="20"/>
                <w:vertAlign w:val="superscript"/>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91DD4A" w14:textId="3FCD0D78"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4"/>
                <w14:textFill>
                  <w14:solidFill>
                    <w14:srgbClr w14:val="000000">
                      <w14:alpha w14:val="100000"/>
                    </w14:srgbClr>
                  </w14:solidFill>
                </w14:textFill>
              </w:rPr>
              <w:t xml:space="preserve">　</w:t>
            </w:r>
            <w:r w:rsidRPr="00D033A5">
              <w:rPr>
                <w:color w:val="000000"/>
                <w:w w:val="15"/>
                <w:szCs w:val="20"/>
                <w:shd w:val="solid" w:color="000000" w:fill="000000"/>
                <w:fitText w:val="45" w:id="-893744384"/>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4"/>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E34F28" w14:textId="32A8275C"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3"/>
                <w14:textFill>
                  <w14:solidFill>
                    <w14:srgbClr w14:val="000000">
                      <w14:alpha w14:val="100000"/>
                    </w14:srgbClr>
                  </w14:solidFill>
                </w14:textFill>
              </w:rPr>
              <w:t xml:space="preserve">　</w:t>
            </w:r>
            <w:r w:rsidRPr="00D033A5">
              <w:rPr>
                <w:color w:val="000000"/>
                <w:w w:val="15"/>
                <w:szCs w:val="20"/>
                <w:shd w:val="solid" w:color="000000" w:fill="000000"/>
                <w:fitText w:val="45" w:id="-893744383"/>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3"/>
                <w14:textFill>
                  <w14:solidFill>
                    <w14:srgbClr w14:val="000000">
                      <w14:alpha w14:val="100000"/>
                    </w14:srgbClr>
                  </w14:solidFill>
                </w14:textFill>
              </w:rPr>
              <w:t xml:space="preserve">　</w:t>
            </w:r>
            <w:r w:rsidR="00EA65AC" w:rsidRPr="00D033A5">
              <w:rPr>
                <w:szCs w:val="20"/>
                <w:vertAlign w:val="superscript"/>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605AF8" w14:textId="148F593E"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2"/>
                <w14:textFill>
                  <w14:solidFill>
                    <w14:srgbClr w14:val="000000">
                      <w14:alpha w14:val="100000"/>
                    </w14:srgbClr>
                  </w14:solidFill>
                </w14:textFill>
              </w:rPr>
              <w:t xml:space="preserve">　</w:t>
            </w:r>
            <w:r w:rsidRPr="00D033A5">
              <w:rPr>
                <w:color w:val="000000"/>
                <w:w w:val="15"/>
                <w:szCs w:val="20"/>
                <w:shd w:val="solid" w:color="000000" w:fill="000000"/>
                <w:fitText w:val="45" w:id="-893744382"/>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2"/>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8EA0BA" w14:textId="3FDC2344"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81"/>
                <w14:textFill>
                  <w14:solidFill>
                    <w14:srgbClr w14:val="000000">
                      <w14:alpha w14:val="100000"/>
                    </w14:srgbClr>
                  </w14:solidFill>
                </w14:textFill>
              </w:rPr>
              <w:t xml:space="preserve">　</w:t>
            </w:r>
            <w:r w:rsidRPr="00D033A5">
              <w:rPr>
                <w:color w:val="000000"/>
                <w:w w:val="15"/>
                <w:szCs w:val="20"/>
                <w:shd w:val="solid" w:color="000000" w:fill="000000"/>
                <w:fitText w:val="45" w:id="-893744381"/>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81"/>
                <w14:textFill>
                  <w14:solidFill>
                    <w14:srgbClr w14:val="000000">
                      <w14:alpha w14:val="100000"/>
                    </w14:srgbClr>
                  </w14:solidFill>
                </w14:textFill>
              </w:rPr>
              <w:t xml:space="preserve">　</w:t>
            </w:r>
            <w:r w:rsidR="00EA65AC" w:rsidRPr="00D033A5">
              <w:rPr>
                <w:szCs w:val="20"/>
                <w:vertAlign w:val="superscript"/>
              </w:rPr>
              <w:t>3</w:t>
            </w:r>
          </w:p>
        </w:tc>
      </w:tr>
      <w:tr w:rsidR="00303898" w:rsidRPr="00DC0AAF" w14:paraId="7F6CB4C1" w14:textId="77777777" w:rsidTr="00D033A5">
        <w:trPr>
          <w:trHeight w:val="227"/>
        </w:trPr>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ACC98B" w14:textId="77777777" w:rsidR="00303898" w:rsidRPr="00D033A5" w:rsidRDefault="00303898" w:rsidP="00303898">
            <w:pPr>
              <w:pStyle w:val="Tabletext0"/>
              <w:rPr>
                <w:b/>
                <w:bCs/>
                <w:szCs w:val="20"/>
              </w:rPr>
            </w:pPr>
            <w:r w:rsidRPr="00D033A5">
              <w:rPr>
                <w:b/>
                <w:bCs/>
                <w:szCs w:val="20"/>
                <w:lang w:val="en-US"/>
              </w:rPr>
              <w:t>Net cost to PBS/RPBS</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BCB7C2" w14:textId="4E8ECC86" w:rsidR="00303898" w:rsidRPr="00D033A5" w:rsidRDefault="00E26C98" w:rsidP="00303898">
            <w:pPr>
              <w:pStyle w:val="Tabletext0"/>
              <w:jc w:val="center"/>
              <w:rPr>
                <w:b/>
                <w:bCs/>
                <w:szCs w:val="20"/>
                <w:highlight w:val="lightGray"/>
              </w:rPr>
            </w:pPr>
            <w:r w:rsidRPr="00D033A5">
              <w:rPr>
                <w:rFonts w:ascii="MS Gothic" w:eastAsia="MS Gothic" w:hAnsi="MS Gothic" w:cs="MS Gothic" w:hint="eastAsia"/>
                <w:b/>
                <w:bCs/>
                <w:color w:val="000000"/>
                <w:w w:val="16"/>
                <w:szCs w:val="20"/>
                <w:shd w:val="solid" w:color="000000" w:fill="000000"/>
                <w:fitText w:val="75" w:id="-893744380"/>
                <w14:textFill>
                  <w14:solidFill>
                    <w14:srgbClr w14:val="000000">
                      <w14:alpha w14:val="100000"/>
                    </w14:srgbClr>
                  </w14:solidFill>
                </w14:textFill>
              </w:rPr>
              <w:t xml:space="preserve">　</w:t>
            </w:r>
            <w:r w:rsidRPr="00D033A5">
              <w:rPr>
                <w:b/>
                <w:bCs/>
                <w:color w:val="000000"/>
                <w:w w:val="16"/>
                <w:szCs w:val="20"/>
                <w:shd w:val="solid" w:color="000000" w:fill="000000"/>
                <w:fitText w:val="75" w:id="-893744380"/>
                <w14:textFill>
                  <w14:solidFill>
                    <w14:srgbClr w14:val="000000">
                      <w14:alpha w14:val="100000"/>
                    </w14:srgbClr>
                  </w14:solidFill>
                </w14:textFill>
              </w:rPr>
              <w:t>|</w:t>
            </w:r>
            <w:r w:rsidRPr="00D033A5">
              <w:rPr>
                <w:rFonts w:ascii="MS Gothic" w:eastAsia="MS Gothic" w:hAnsi="MS Gothic" w:cs="MS Gothic" w:hint="eastAsia"/>
                <w:b/>
                <w:bCs/>
                <w:color w:val="000000"/>
                <w:w w:val="16"/>
                <w:szCs w:val="20"/>
                <w:shd w:val="solid" w:color="000000" w:fill="000000"/>
                <w:fitText w:val="75" w:id="-893744380"/>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E25448" w14:textId="004A3299" w:rsidR="00303898" w:rsidRPr="00D033A5" w:rsidRDefault="00E26C98" w:rsidP="00303898">
            <w:pPr>
              <w:pStyle w:val="Tabletext0"/>
              <w:jc w:val="center"/>
              <w:rPr>
                <w:b/>
                <w:bCs/>
                <w:szCs w:val="20"/>
                <w:highlight w:val="lightGray"/>
              </w:rPr>
            </w:pPr>
            <w:r w:rsidRPr="00D033A5">
              <w:rPr>
                <w:rFonts w:ascii="MS Gothic" w:eastAsia="MS Gothic" w:hAnsi="MS Gothic" w:cs="MS Gothic" w:hint="eastAsia"/>
                <w:b/>
                <w:bCs/>
                <w:color w:val="000000"/>
                <w:w w:val="16"/>
                <w:szCs w:val="20"/>
                <w:shd w:val="solid" w:color="000000" w:fill="000000"/>
                <w:fitText w:val="75" w:id="-893744379"/>
                <w14:textFill>
                  <w14:solidFill>
                    <w14:srgbClr w14:val="000000">
                      <w14:alpha w14:val="100000"/>
                    </w14:srgbClr>
                  </w14:solidFill>
                </w14:textFill>
              </w:rPr>
              <w:t xml:space="preserve">　</w:t>
            </w:r>
            <w:r w:rsidRPr="00D033A5">
              <w:rPr>
                <w:b/>
                <w:bCs/>
                <w:color w:val="000000"/>
                <w:w w:val="16"/>
                <w:szCs w:val="20"/>
                <w:shd w:val="solid" w:color="000000" w:fill="000000"/>
                <w:fitText w:val="75" w:id="-893744379"/>
                <w14:textFill>
                  <w14:solidFill>
                    <w14:srgbClr w14:val="000000">
                      <w14:alpha w14:val="100000"/>
                    </w14:srgbClr>
                  </w14:solidFill>
                </w14:textFill>
              </w:rPr>
              <w:t>|</w:t>
            </w:r>
            <w:r w:rsidRPr="00D033A5">
              <w:rPr>
                <w:rFonts w:ascii="MS Gothic" w:eastAsia="MS Gothic" w:hAnsi="MS Gothic" w:cs="MS Gothic" w:hint="eastAsia"/>
                <w:b/>
                <w:bCs/>
                <w:color w:val="000000"/>
                <w:w w:val="16"/>
                <w:szCs w:val="20"/>
                <w:shd w:val="solid" w:color="000000" w:fill="000000"/>
                <w:fitText w:val="75" w:id="-893744379"/>
                <w14:textFill>
                  <w14:solidFill>
                    <w14:srgbClr w14:val="000000">
                      <w14:alpha w14:val="100000"/>
                    </w14:srgbClr>
                  </w14:solidFill>
                </w14:textFill>
              </w:rPr>
              <w:t xml:space="preserve">　</w:t>
            </w:r>
            <w:r w:rsidR="00EA65AC" w:rsidRPr="00D033A5">
              <w:rPr>
                <w:szCs w:val="20"/>
                <w:vertAlign w:val="superscript"/>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C840F3" w14:textId="3FB5CD4A" w:rsidR="00303898" w:rsidRPr="00D033A5" w:rsidRDefault="00E26C98" w:rsidP="00303898">
            <w:pPr>
              <w:pStyle w:val="Tabletext0"/>
              <w:jc w:val="center"/>
              <w:rPr>
                <w:b/>
                <w:bCs/>
                <w:szCs w:val="20"/>
                <w:highlight w:val="lightGray"/>
              </w:rPr>
            </w:pPr>
            <w:r w:rsidRPr="00D033A5">
              <w:rPr>
                <w:rFonts w:ascii="MS Gothic" w:eastAsia="MS Gothic" w:hAnsi="MS Gothic" w:cs="MS Gothic" w:hint="eastAsia"/>
                <w:b/>
                <w:bCs/>
                <w:color w:val="000000"/>
                <w:w w:val="16"/>
                <w:szCs w:val="20"/>
                <w:shd w:val="solid" w:color="000000" w:fill="000000"/>
                <w:fitText w:val="75" w:id="-893744378"/>
                <w14:textFill>
                  <w14:solidFill>
                    <w14:srgbClr w14:val="000000">
                      <w14:alpha w14:val="100000"/>
                    </w14:srgbClr>
                  </w14:solidFill>
                </w14:textFill>
              </w:rPr>
              <w:t xml:space="preserve">　</w:t>
            </w:r>
            <w:r w:rsidRPr="00D033A5">
              <w:rPr>
                <w:b/>
                <w:bCs/>
                <w:color w:val="000000"/>
                <w:w w:val="16"/>
                <w:szCs w:val="20"/>
                <w:shd w:val="solid" w:color="000000" w:fill="000000"/>
                <w:fitText w:val="75" w:id="-893744378"/>
                <w14:textFill>
                  <w14:solidFill>
                    <w14:srgbClr w14:val="000000">
                      <w14:alpha w14:val="100000"/>
                    </w14:srgbClr>
                  </w14:solidFill>
                </w14:textFill>
              </w:rPr>
              <w:t>|</w:t>
            </w:r>
            <w:r w:rsidRPr="00D033A5">
              <w:rPr>
                <w:rFonts w:ascii="MS Gothic" w:eastAsia="MS Gothic" w:hAnsi="MS Gothic" w:cs="MS Gothic" w:hint="eastAsia"/>
                <w:b/>
                <w:bCs/>
                <w:color w:val="000000"/>
                <w:w w:val="16"/>
                <w:szCs w:val="20"/>
                <w:shd w:val="solid" w:color="000000" w:fill="000000"/>
                <w:fitText w:val="75" w:id="-893744378"/>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70683F" w14:textId="0F10093E" w:rsidR="00303898" w:rsidRPr="00D033A5" w:rsidRDefault="00E26C98" w:rsidP="00303898">
            <w:pPr>
              <w:pStyle w:val="Tabletext0"/>
              <w:jc w:val="center"/>
              <w:rPr>
                <w:b/>
                <w:bCs/>
                <w:szCs w:val="20"/>
                <w:highlight w:val="lightGray"/>
              </w:rPr>
            </w:pPr>
            <w:r w:rsidRPr="00D033A5">
              <w:rPr>
                <w:rFonts w:ascii="MS Gothic" w:eastAsia="MS Gothic" w:hAnsi="MS Gothic" w:cs="MS Gothic" w:hint="eastAsia"/>
                <w:b/>
                <w:bCs/>
                <w:color w:val="000000"/>
                <w:w w:val="16"/>
                <w:szCs w:val="20"/>
                <w:shd w:val="solid" w:color="000000" w:fill="000000"/>
                <w:fitText w:val="75" w:id="-893744377"/>
                <w14:textFill>
                  <w14:solidFill>
                    <w14:srgbClr w14:val="000000">
                      <w14:alpha w14:val="100000"/>
                    </w14:srgbClr>
                  </w14:solidFill>
                </w14:textFill>
              </w:rPr>
              <w:t xml:space="preserve">　</w:t>
            </w:r>
            <w:r w:rsidRPr="00D033A5">
              <w:rPr>
                <w:b/>
                <w:bCs/>
                <w:color w:val="000000"/>
                <w:w w:val="16"/>
                <w:szCs w:val="20"/>
                <w:shd w:val="solid" w:color="000000" w:fill="000000"/>
                <w:fitText w:val="75" w:id="-893744377"/>
                <w14:textFill>
                  <w14:solidFill>
                    <w14:srgbClr w14:val="000000">
                      <w14:alpha w14:val="100000"/>
                    </w14:srgbClr>
                  </w14:solidFill>
                </w14:textFill>
              </w:rPr>
              <w:t>|</w:t>
            </w:r>
            <w:r w:rsidRPr="00D033A5">
              <w:rPr>
                <w:rFonts w:ascii="MS Gothic" w:eastAsia="MS Gothic" w:hAnsi="MS Gothic" w:cs="MS Gothic" w:hint="eastAsia"/>
                <w:b/>
                <w:bCs/>
                <w:color w:val="000000"/>
                <w:w w:val="16"/>
                <w:szCs w:val="20"/>
                <w:shd w:val="solid" w:color="000000" w:fill="000000"/>
                <w:fitText w:val="75" w:id="-893744377"/>
                <w14:textFill>
                  <w14:solidFill>
                    <w14:srgbClr w14:val="000000">
                      <w14:alpha w14:val="100000"/>
                    </w14:srgbClr>
                  </w14:solidFill>
                </w14:textFill>
              </w:rPr>
              <w:t xml:space="preserve">　</w:t>
            </w:r>
            <w:r w:rsidR="00EA65AC" w:rsidRPr="00D033A5">
              <w:rPr>
                <w:szCs w:val="20"/>
                <w:vertAlign w:val="superscript"/>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5BF4AE" w14:textId="5B638D79" w:rsidR="00303898" w:rsidRPr="00D033A5" w:rsidRDefault="00E26C98" w:rsidP="00303898">
            <w:pPr>
              <w:pStyle w:val="Tabletext0"/>
              <w:jc w:val="center"/>
              <w:rPr>
                <w:b/>
                <w:bCs/>
                <w:szCs w:val="20"/>
                <w:highlight w:val="lightGray"/>
              </w:rPr>
            </w:pPr>
            <w:r w:rsidRPr="00D033A5">
              <w:rPr>
                <w:rFonts w:ascii="MS Gothic" w:eastAsia="MS Gothic" w:hAnsi="MS Gothic" w:cs="MS Gothic" w:hint="eastAsia"/>
                <w:b/>
                <w:bCs/>
                <w:color w:val="000000"/>
                <w:w w:val="16"/>
                <w:szCs w:val="20"/>
                <w:shd w:val="solid" w:color="000000" w:fill="000000"/>
                <w:fitText w:val="75" w:id="-893744376"/>
                <w14:textFill>
                  <w14:solidFill>
                    <w14:srgbClr w14:val="000000">
                      <w14:alpha w14:val="100000"/>
                    </w14:srgbClr>
                  </w14:solidFill>
                </w14:textFill>
              </w:rPr>
              <w:t xml:space="preserve">　</w:t>
            </w:r>
            <w:r w:rsidRPr="00D033A5">
              <w:rPr>
                <w:b/>
                <w:bCs/>
                <w:color w:val="000000"/>
                <w:w w:val="16"/>
                <w:szCs w:val="20"/>
                <w:shd w:val="solid" w:color="000000" w:fill="000000"/>
                <w:fitText w:val="75" w:id="-893744376"/>
                <w14:textFill>
                  <w14:solidFill>
                    <w14:srgbClr w14:val="000000">
                      <w14:alpha w14:val="100000"/>
                    </w14:srgbClr>
                  </w14:solidFill>
                </w14:textFill>
              </w:rPr>
              <w:t>|</w:t>
            </w:r>
            <w:r w:rsidRPr="00D033A5">
              <w:rPr>
                <w:rFonts w:ascii="MS Gothic" w:eastAsia="MS Gothic" w:hAnsi="MS Gothic" w:cs="MS Gothic" w:hint="eastAsia"/>
                <w:b/>
                <w:bCs/>
                <w:color w:val="000000"/>
                <w:w w:val="16"/>
                <w:szCs w:val="20"/>
                <w:shd w:val="solid" w:color="000000" w:fill="000000"/>
                <w:fitText w:val="75" w:id="-893744376"/>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C68F19" w14:textId="0B2B4B12" w:rsidR="00303898" w:rsidRPr="00D033A5" w:rsidRDefault="00E26C98" w:rsidP="00303898">
            <w:pPr>
              <w:pStyle w:val="Tabletext0"/>
              <w:jc w:val="center"/>
              <w:rPr>
                <w:b/>
                <w:bCs/>
                <w:szCs w:val="20"/>
                <w:highlight w:val="lightGray"/>
              </w:rPr>
            </w:pPr>
            <w:r w:rsidRPr="00D033A5">
              <w:rPr>
                <w:rFonts w:ascii="MS Gothic" w:eastAsia="MS Gothic" w:hAnsi="MS Gothic" w:cs="MS Gothic" w:hint="eastAsia"/>
                <w:b/>
                <w:bCs/>
                <w:color w:val="000000"/>
                <w:w w:val="16"/>
                <w:szCs w:val="20"/>
                <w:shd w:val="solid" w:color="000000" w:fill="000000"/>
                <w:fitText w:val="75" w:id="-893744375"/>
                <w14:textFill>
                  <w14:solidFill>
                    <w14:srgbClr w14:val="000000">
                      <w14:alpha w14:val="100000"/>
                    </w14:srgbClr>
                  </w14:solidFill>
                </w14:textFill>
              </w:rPr>
              <w:t xml:space="preserve">　</w:t>
            </w:r>
            <w:r w:rsidRPr="00D033A5">
              <w:rPr>
                <w:b/>
                <w:bCs/>
                <w:color w:val="000000"/>
                <w:w w:val="16"/>
                <w:szCs w:val="20"/>
                <w:shd w:val="solid" w:color="000000" w:fill="000000"/>
                <w:fitText w:val="75" w:id="-893744375"/>
                <w14:textFill>
                  <w14:solidFill>
                    <w14:srgbClr w14:val="000000">
                      <w14:alpha w14:val="100000"/>
                    </w14:srgbClr>
                  </w14:solidFill>
                </w14:textFill>
              </w:rPr>
              <w:t>|</w:t>
            </w:r>
            <w:r w:rsidRPr="00D033A5">
              <w:rPr>
                <w:rFonts w:ascii="MS Gothic" w:eastAsia="MS Gothic" w:hAnsi="MS Gothic" w:cs="MS Gothic" w:hint="eastAsia"/>
                <w:b/>
                <w:bCs/>
                <w:color w:val="000000"/>
                <w:w w:val="16"/>
                <w:szCs w:val="20"/>
                <w:shd w:val="solid" w:color="000000" w:fill="000000"/>
                <w:fitText w:val="75" w:id="-893744375"/>
                <w14:textFill>
                  <w14:solidFill>
                    <w14:srgbClr w14:val="000000">
                      <w14:alpha w14:val="100000"/>
                    </w14:srgbClr>
                  </w14:solidFill>
                </w14:textFill>
              </w:rPr>
              <w:t xml:space="preserve">　</w:t>
            </w:r>
            <w:r w:rsidR="00EA65AC" w:rsidRPr="00D033A5">
              <w:rPr>
                <w:szCs w:val="20"/>
                <w:vertAlign w:val="superscript"/>
              </w:rPr>
              <w:t>3</w:t>
            </w:r>
          </w:p>
        </w:tc>
      </w:tr>
      <w:tr w:rsidR="00303898" w:rsidRPr="00DC0AAF" w14:paraId="3CCCBB2E" w14:textId="77777777" w:rsidTr="00D033A5">
        <w:trPr>
          <w:trHeight w:val="227"/>
        </w:trPr>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347A0CB" w14:textId="35063178" w:rsidR="00303898" w:rsidRPr="00D033A5" w:rsidRDefault="00303898" w:rsidP="00303898">
            <w:pPr>
              <w:pStyle w:val="Tabletext0"/>
              <w:rPr>
                <w:b/>
                <w:bCs/>
                <w:szCs w:val="20"/>
                <w:lang w:val="en-US"/>
              </w:rPr>
            </w:pPr>
            <w:r w:rsidRPr="00D033A5">
              <w:rPr>
                <w:color w:val="0D0D0D" w:themeColor="text1" w:themeTint="F2"/>
                <w:szCs w:val="20"/>
              </w:rPr>
              <w:t>Net cost to PBS/RPBS/MBS</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DF0599A" w14:textId="50B8066A"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4"/>
                <w14:textFill>
                  <w14:solidFill>
                    <w14:srgbClr w14:val="000000">
                      <w14:alpha w14:val="100000"/>
                    </w14:srgbClr>
                  </w14:solidFill>
                </w14:textFill>
              </w:rPr>
              <w:t xml:space="preserve">　</w:t>
            </w:r>
            <w:r w:rsidRPr="00D033A5">
              <w:rPr>
                <w:color w:val="000000"/>
                <w:w w:val="15"/>
                <w:szCs w:val="20"/>
                <w:shd w:val="solid" w:color="000000" w:fill="000000"/>
                <w:fitText w:val="45" w:id="-893744374"/>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4"/>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58AA11DB" w14:textId="74F0ABDD"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3"/>
                <w14:textFill>
                  <w14:solidFill>
                    <w14:srgbClr w14:val="000000">
                      <w14:alpha w14:val="100000"/>
                    </w14:srgbClr>
                  </w14:solidFill>
                </w14:textFill>
              </w:rPr>
              <w:t xml:space="preserve">　</w:t>
            </w:r>
            <w:r w:rsidRPr="00D033A5">
              <w:rPr>
                <w:color w:val="000000"/>
                <w:w w:val="15"/>
                <w:szCs w:val="20"/>
                <w:shd w:val="solid" w:color="000000" w:fill="000000"/>
                <w:fitText w:val="45" w:id="-893744373"/>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3"/>
                <w14:textFill>
                  <w14:solidFill>
                    <w14:srgbClr w14:val="000000">
                      <w14:alpha w14:val="100000"/>
                    </w14:srgbClr>
                  </w14:solidFill>
                </w14:textFill>
              </w:rPr>
              <w:t xml:space="preserve">　</w:t>
            </w:r>
            <w:r w:rsidR="00EA65AC" w:rsidRPr="00D033A5">
              <w:rPr>
                <w:szCs w:val="20"/>
                <w:vertAlign w:val="superscript"/>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F7BDF25" w14:textId="2AC151F6"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2"/>
                <w14:textFill>
                  <w14:solidFill>
                    <w14:srgbClr w14:val="000000">
                      <w14:alpha w14:val="100000"/>
                    </w14:srgbClr>
                  </w14:solidFill>
                </w14:textFill>
              </w:rPr>
              <w:t xml:space="preserve">　</w:t>
            </w:r>
            <w:r w:rsidRPr="00D033A5">
              <w:rPr>
                <w:color w:val="000000"/>
                <w:w w:val="15"/>
                <w:szCs w:val="20"/>
                <w:shd w:val="solid" w:color="000000" w:fill="000000"/>
                <w:fitText w:val="45" w:id="-893744372"/>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2"/>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E2C4717" w14:textId="426FA67F"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1"/>
                <w14:textFill>
                  <w14:solidFill>
                    <w14:srgbClr w14:val="000000">
                      <w14:alpha w14:val="100000"/>
                    </w14:srgbClr>
                  </w14:solidFill>
                </w14:textFill>
              </w:rPr>
              <w:t xml:space="preserve">　</w:t>
            </w:r>
            <w:r w:rsidRPr="00D033A5">
              <w:rPr>
                <w:color w:val="000000"/>
                <w:w w:val="15"/>
                <w:szCs w:val="20"/>
                <w:shd w:val="solid" w:color="000000" w:fill="000000"/>
                <w:fitText w:val="45" w:id="-893744371"/>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1"/>
                <w14:textFill>
                  <w14:solidFill>
                    <w14:srgbClr w14:val="000000">
                      <w14:alpha w14:val="100000"/>
                    </w14:srgbClr>
                  </w14:solidFill>
                </w14:textFill>
              </w:rPr>
              <w:t xml:space="preserve">　</w:t>
            </w:r>
            <w:r w:rsidR="00EA65AC" w:rsidRPr="00D033A5">
              <w:rPr>
                <w:szCs w:val="20"/>
                <w:vertAlign w:val="superscript"/>
              </w:rPr>
              <w:t>3</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3AFFD1F" w14:textId="2076E7D6"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70"/>
                <w14:textFill>
                  <w14:solidFill>
                    <w14:srgbClr w14:val="000000">
                      <w14:alpha w14:val="100000"/>
                    </w14:srgbClr>
                  </w14:solidFill>
                </w14:textFill>
              </w:rPr>
              <w:t xml:space="preserve">　</w:t>
            </w:r>
            <w:r w:rsidRPr="00D033A5">
              <w:rPr>
                <w:color w:val="000000"/>
                <w:w w:val="15"/>
                <w:szCs w:val="20"/>
                <w:shd w:val="solid" w:color="000000" w:fill="000000"/>
                <w:fitText w:val="45" w:id="-893744370"/>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70"/>
                <w14:textFill>
                  <w14:solidFill>
                    <w14:srgbClr w14:val="000000">
                      <w14:alpha w14:val="100000"/>
                    </w14:srgbClr>
                  </w14:solidFill>
                </w14:textFill>
              </w:rPr>
              <w:t xml:space="preserve">　</w:t>
            </w:r>
            <w:r w:rsidR="00EA65AC" w:rsidRPr="00D033A5">
              <w:rPr>
                <w:szCs w:val="20"/>
                <w:vertAlign w:val="superscript"/>
              </w:rPr>
              <w:t>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18E57D8" w14:textId="1D698797" w:rsidR="00303898" w:rsidRPr="00D033A5" w:rsidRDefault="00E26C98" w:rsidP="00303898">
            <w:pPr>
              <w:pStyle w:val="Tabletext0"/>
              <w:jc w:val="center"/>
              <w:rPr>
                <w:szCs w:val="20"/>
                <w:highlight w:val="lightGray"/>
              </w:rPr>
            </w:pPr>
            <w:r w:rsidRPr="00D033A5">
              <w:rPr>
                <w:rFonts w:ascii="MS Gothic" w:eastAsia="MS Gothic" w:hAnsi="MS Gothic" w:cs="MS Gothic" w:hint="eastAsia"/>
                <w:color w:val="000000"/>
                <w:w w:val="15"/>
                <w:szCs w:val="20"/>
                <w:shd w:val="solid" w:color="000000" w:fill="000000"/>
                <w:fitText w:val="45" w:id="-893744369"/>
                <w14:textFill>
                  <w14:solidFill>
                    <w14:srgbClr w14:val="000000">
                      <w14:alpha w14:val="100000"/>
                    </w14:srgbClr>
                  </w14:solidFill>
                </w14:textFill>
              </w:rPr>
              <w:t xml:space="preserve">　</w:t>
            </w:r>
            <w:r w:rsidRPr="00D033A5">
              <w:rPr>
                <w:color w:val="000000"/>
                <w:w w:val="15"/>
                <w:szCs w:val="20"/>
                <w:shd w:val="solid" w:color="000000" w:fill="000000"/>
                <w:fitText w:val="45" w:id="-893744369"/>
                <w14:textFill>
                  <w14:solidFill>
                    <w14:srgbClr w14:val="000000">
                      <w14:alpha w14:val="100000"/>
                    </w14:srgbClr>
                  </w14:solidFill>
                </w14:textFill>
              </w:rPr>
              <w:t>|</w:t>
            </w:r>
            <w:r w:rsidRPr="00D033A5">
              <w:rPr>
                <w:rFonts w:ascii="MS Gothic" w:eastAsia="MS Gothic" w:hAnsi="MS Gothic" w:cs="MS Gothic" w:hint="eastAsia"/>
                <w:color w:val="000000"/>
                <w:spacing w:val="-20"/>
                <w:w w:val="15"/>
                <w:szCs w:val="20"/>
                <w:shd w:val="solid" w:color="000000" w:fill="000000"/>
                <w:fitText w:val="45" w:id="-893744369"/>
                <w14:textFill>
                  <w14:solidFill>
                    <w14:srgbClr w14:val="000000">
                      <w14:alpha w14:val="100000"/>
                    </w14:srgbClr>
                  </w14:solidFill>
                </w14:textFill>
              </w:rPr>
              <w:t xml:space="preserve">　</w:t>
            </w:r>
            <w:r w:rsidR="00EA65AC" w:rsidRPr="00D033A5">
              <w:rPr>
                <w:szCs w:val="20"/>
                <w:vertAlign w:val="superscript"/>
              </w:rPr>
              <w:t>3</w:t>
            </w:r>
          </w:p>
        </w:tc>
      </w:tr>
    </w:tbl>
    <w:p w14:paraId="168B42CD" w14:textId="77777777" w:rsidR="00EA65AC" w:rsidRDefault="005E79F8" w:rsidP="005E79F8">
      <w:pPr>
        <w:pStyle w:val="TableFigureFooter"/>
      </w:pPr>
      <w:r>
        <w:t xml:space="preserve">Source: </w:t>
      </w:r>
      <w:r w:rsidR="000D5435">
        <w:t xml:space="preserve">Calculated from </w:t>
      </w:r>
      <w:r w:rsidR="008B5689">
        <w:t>ivosidenib 4.1_Budget impact model worksheet, with corrected MBS rebate.</w:t>
      </w:r>
      <w:r w:rsidR="000D5435">
        <w:t xml:space="preserve"> </w:t>
      </w:r>
    </w:p>
    <w:p w14:paraId="7CE9A81E" w14:textId="251E713B" w:rsidR="00EA65AC" w:rsidRPr="00D033A5" w:rsidRDefault="00EA65AC" w:rsidP="00EA65AC">
      <w:pPr>
        <w:pStyle w:val="TableFigureFooter"/>
        <w:rPr>
          <w:i/>
          <w:iCs/>
        </w:rPr>
      </w:pPr>
      <w:r w:rsidRPr="00D033A5">
        <w:rPr>
          <w:i/>
          <w:iCs/>
        </w:rPr>
        <w:t>The redacted values correspond to the following ranges:</w:t>
      </w:r>
    </w:p>
    <w:p w14:paraId="2AE382FB" w14:textId="77777777" w:rsidR="00EA65AC" w:rsidRPr="00D033A5" w:rsidRDefault="00EA65AC" w:rsidP="00EA65AC">
      <w:pPr>
        <w:pStyle w:val="TableFigureFooter"/>
        <w:rPr>
          <w:i/>
          <w:iCs/>
        </w:rPr>
      </w:pPr>
      <w:r w:rsidRPr="00D033A5">
        <w:rPr>
          <w:i/>
          <w:iCs/>
        </w:rPr>
        <w:t>1 &lt; 500</w:t>
      </w:r>
    </w:p>
    <w:p w14:paraId="7524A93A" w14:textId="77777777" w:rsidR="00EA65AC" w:rsidRPr="00D033A5" w:rsidRDefault="00EA65AC" w:rsidP="00EA65AC">
      <w:pPr>
        <w:pStyle w:val="TableFigureFooter"/>
        <w:rPr>
          <w:i/>
          <w:iCs/>
        </w:rPr>
      </w:pPr>
      <w:r w:rsidRPr="00D033A5">
        <w:rPr>
          <w:i/>
          <w:iCs/>
        </w:rPr>
        <w:t>2 500 to &lt; 5,000</w:t>
      </w:r>
    </w:p>
    <w:p w14:paraId="2522671C" w14:textId="1A7D124E" w:rsidR="005E79F8" w:rsidRPr="00D033A5" w:rsidRDefault="00EA65AC" w:rsidP="00EA65AC">
      <w:pPr>
        <w:pStyle w:val="TableFigureFooter"/>
        <w:rPr>
          <w:i/>
          <w:iCs/>
        </w:rPr>
      </w:pPr>
      <w:r w:rsidRPr="00D033A5">
        <w:rPr>
          <w:i/>
          <w:iCs/>
        </w:rPr>
        <w:t>3 $0 to &lt; $10 million</w:t>
      </w:r>
    </w:p>
    <w:p w14:paraId="6C1EE4FB" w14:textId="77777777" w:rsidR="005E79F8" w:rsidRPr="00AB222B" w:rsidRDefault="005E79F8" w:rsidP="00D033A5">
      <w:pPr>
        <w:pStyle w:val="PBACESHeading2"/>
        <w:numPr>
          <w:ilvl w:val="2"/>
          <w:numId w:val="0"/>
        </w:numPr>
        <w:rPr>
          <w:rFonts w:asciiTheme="minorHAnsi" w:hAnsiTheme="minorHAnsi" w:cstheme="minorHAnsi"/>
          <w:color w:val="0D0D0D" w:themeColor="text1" w:themeTint="F2"/>
        </w:rPr>
      </w:pPr>
      <w:bookmarkStart w:id="83" w:name="_Toc413139285"/>
      <w:bookmarkStart w:id="84" w:name="_Toc95298232"/>
      <w:bookmarkStart w:id="85" w:name="_Toc166763154"/>
      <w:bookmarkEnd w:id="81"/>
      <w:r w:rsidRPr="00AB222B">
        <w:rPr>
          <w:rFonts w:asciiTheme="minorHAnsi" w:hAnsiTheme="minorHAnsi" w:cstheme="minorHAnsi"/>
          <w:color w:val="0D0D0D" w:themeColor="text1" w:themeTint="F2"/>
        </w:rPr>
        <w:t>Quality use of medicines</w:t>
      </w:r>
      <w:bookmarkEnd w:id="83"/>
      <w:bookmarkEnd w:id="84"/>
      <w:bookmarkEnd w:id="85"/>
    </w:p>
    <w:p w14:paraId="7843725B" w14:textId="59CF0BC5" w:rsidR="005E79F8" w:rsidRPr="003E7195" w:rsidRDefault="005E79F8" w:rsidP="007E0187">
      <w:pPr>
        <w:pStyle w:val="ListParagraph"/>
      </w:pPr>
      <w:r w:rsidRPr="003E7195">
        <w:t xml:space="preserve">The submission stated that the sponsor will work collaboratively with health care providers to ensure that ivosidenib is used appropriately and in line with the available </w:t>
      </w:r>
      <w:r w:rsidRPr="003E7195">
        <w:lastRenderedPageBreak/>
        <w:t xml:space="preserve">clinical evidence and TGA restrictions. No quality use of medicines activities </w:t>
      </w:r>
      <w:r w:rsidR="00716937">
        <w:t>were</w:t>
      </w:r>
      <w:r w:rsidR="00716937" w:rsidRPr="003E7195">
        <w:t xml:space="preserve"> </w:t>
      </w:r>
      <w:r w:rsidRPr="003E7195">
        <w:t>specified in the submission.</w:t>
      </w:r>
    </w:p>
    <w:bookmarkEnd w:id="76"/>
    <w:bookmarkEnd w:id="77"/>
    <w:p w14:paraId="765E724E" w14:textId="1BEAAE64" w:rsidR="00181B1F" w:rsidRPr="00D033A5" w:rsidRDefault="002F327D" w:rsidP="00D033A5">
      <w:pPr>
        <w:pStyle w:val="3-BodyText"/>
        <w:ind w:firstLine="0"/>
      </w:pPr>
      <w:r w:rsidRPr="00D033A5">
        <w:rPr>
          <w:i/>
          <w:iCs/>
        </w:rPr>
        <w:t>For more detail on PBAC’s view, see section 7 PBAC outcome</w:t>
      </w:r>
      <w:r w:rsidRPr="002F327D">
        <w:t>.</w:t>
      </w:r>
    </w:p>
    <w:p w14:paraId="146B6663" w14:textId="77777777" w:rsidR="00A01A65" w:rsidRPr="00A01A65" w:rsidRDefault="00A01A65" w:rsidP="00A01A65">
      <w:pPr>
        <w:keepNext/>
        <w:numPr>
          <w:ilvl w:val="0"/>
          <w:numId w:val="1"/>
        </w:numPr>
        <w:spacing w:before="240" w:after="120"/>
        <w:jc w:val="left"/>
        <w:outlineLvl w:val="0"/>
        <w:rPr>
          <w:rFonts w:ascii="Calibri" w:eastAsia="Times New Roman" w:hAnsi="Calibri" w:cs="Arial"/>
          <w:b/>
          <w:snapToGrid w:val="0"/>
          <w:sz w:val="32"/>
          <w:szCs w:val="32"/>
          <w:lang w:eastAsia="en-AU"/>
        </w:rPr>
      </w:pPr>
      <w:bookmarkStart w:id="86" w:name="_Hlk76381249"/>
      <w:bookmarkStart w:id="87" w:name="_Toc166511339"/>
      <w:r w:rsidRPr="00A01A65">
        <w:rPr>
          <w:rFonts w:ascii="Calibri" w:eastAsia="Times New Roman" w:hAnsi="Calibri" w:cs="Arial"/>
          <w:b/>
          <w:snapToGrid w:val="0"/>
          <w:sz w:val="32"/>
          <w:szCs w:val="32"/>
          <w:lang w:eastAsia="en-AU"/>
        </w:rPr>
        <w:t>PBAC Outcome</w:t>
      </w:r>
    </w:p>
    <w:p w14:paraId="0B4A6C69" w14:textId="16EA8D25" w:rsidR="000E4FA5" w:rsidRPr="000E4FA5" w:rsidRDefault="000E4FA5" w:rsidP="007E0187">
      <w:pPr>
        <w:pStyle w:val="ListParagraph"/>
      </w:pPr>
      <w:r w:rsidRPr="000E4FA5">
        <w:t xml:space="preserve">The PBAC did not recommend ivosidenib for treatment of patients with locally advanced or metastatic cholangiocarcinoma with an IDH1 mutation, who have previously progressed on chemotherapy. The PBAC considered that there was a high clinical need for treatments for patients with locally advanced or metastatic cholangiocarcinoma, who have a very poor prognosis. The PBAC considered the clinical evidence indicated that ivosidenib had a small progression free survival and </w:t>
      </w:r>
      <w:r w:rsidR="001F42B2">
        <w:t xml:space="preserve">moderate </w:t>
      </w:r>
      <w:r w:rsidRPr="000E4FA5">
        <w:t>overall survival advantage compared with standard treatment, for the small subset of patients with IDH1 mutations. The PBAC considered that the incremental cost-effectiveness ratio (ICER) was high at the proposed price and likely to be underestimated in the submission base case due to optimistic assumptions in the economic model. The PBAC considered these issues could be addressed in an early re-entry submission.</w:t>
      </w:r>
    </w:p>
    <w:p w14:paraId="384AD81B" w14:textId="255B4344" w:rsidR="00601614" w:rsidRPr="00601614" w:rsidRDefault="000E4FA5" w:rsidP="007E0187">
      <w:pPr>
        <w:pStyle w:val="ListParagraph"/>
      </w:pPr>
      <w:r>
        <w:t>The PBAC noted that survival outcomes for patients with cholangiocarcinoma are very poor, with a 2% 5</w:t>
      </w:r>
      <w:r w:rsidR="001E319F">
        <w:t>-</w:t>
      </w:r>
      <w:r>
        <w:t xml:space="preserve">year survival rate for patients with metastatic disease. The PBAC considered there is a high clinical need for more effective therapies for cholangiocarcinoma and noted that ivosidenib is a novel medicine, targeted to the small subset of patients whose tumours have a IDH1 gene variant. </w:t>
      </w:r>
      <w:r w:rsidR="008E5B74" w:rsidRPr="005C70FC">
        <w:t xml:space="preserve">The </w:t>
      </w:r>
      <w:r w:rsidR="008E5B74">
        <w:t xml:space="preserve">PBAC noted </w:t>
      </w:r>
      <w:r w:rsidR="008E5B74" w:rsidRPr="005C70FC">
        <w:t xml:space="preserve">comments </w:t>
      </w:r>
      <w:r w:rsidR="008E5B74">
        <w:t xml:space="preserve">from health care providers </w:t>
      </w:r>
      <w:r w:rsidR="008E5B74" w:rsidRPr="005C70FC">
        <w:t>noted a range of key driver mutations have been identified as potential targets for new therapies</w:t>
      </w:r>
      <w:r w:rsidR="008E5B74">
        <w:t xml:space="preserve"> for cholangiocarcinoma</w:t>
      </w:r>
      <w:r w:rsidR="008E5B74" w:rsidRPr="005C70FC">
        <w:t>.</w:t>
      </w:r>
      <w:r w:rsidR="008E5B74">
        <w:t xml:space="preserve"> </w:t>
      </w:r>
    </w:p>
    <w:p w14:paraId="641E9C9E" w14:textId="2690C792" w:rsidR="009F6B35" w:rsidRPr="009F6B35" w:rsidRDefault="00601614" w:rsidP="007E0187">
      <w:pPr>
        <w:pStyle w:val="ListParagraph"/>
      </w:pPr>
      <w:r>
        <w:t>The PBAC noted the i</w:t>
      </w:r>
      <w:r w:rsidRPr="00AB222B">
        <w:t>ntegrated codependent submission request</w:t>
      </w:r>
      <w:r>
        <w:t>ed</w:t>
      </w:r>
      <w:r w:rsidRPr="00AB222B">
        <w:t xml:space="preserve">: 1) the MBS listing of </w:t>
      </w:r>
      <w:r w:rsidRPr="00AB222B">
        <w:rPr>
          <w:i/>
          <w:iCs/>
        </w:rPr>
        <w:t>IDH1</w:t>
      </w:r>
      <w:r w:rsidRPr="00AB222B">
        <w:t xml:space="preserve"> testing for tier I </w:t>
      </w:r>
      <w:r w:rsidRPr="00AB222B">
        <w:rPr>
          <w:i/>
          <w:iCs/>
        </w:rPr>
        <w:t>IDH1</w:t>
      </w:r>
      <w:r w:rsidRPr="00AB222B">
        <w:t xml:space="preserve"> p.R132X variants in patients with CCA to determine access to an IDH1</w:t>
      </w:r>
      <w:r w:rsidRPr="00AB222B">
        <w:rPr>
          <w:i/>
          <w:iCs/>
        </w:rPr>
        <w:t xml:space="preserve"> </w:t>
      </w:r>
      <w:r w:rsidRPr="00AB222B">
        <w:t xml:space="preserve">inhibitor under the PBS, and 2) the PBS listing of ivosidenib for the treatment of locally advanced or metastatic CCA in patients who have evidence of an </w:t>
      </w:r>
      <w:r w:rsidRPr="00AB222B">
        <w:rPr>
          <w:i/>
          <w:iCs/>
        </w:rPr>
        <w:t>IDH1</w:t>
      </w:r>
      <w:r w:rsidRPr="00AB222B">
        <w:t xml:space="preserve"> variant and whose disease has progressed on at least one prior line of systemic therapy</w:t>
      </w:r>
      <w:r>
        <w:t>. The PBAC considered i</w:t>
      </w:r>
      <w:r w:rsidRPr="00CA7D9B">
        <w:t xml:space="preserve">t </w:t>
      </w:r>
      <w:r w:rsidR="001F42B2">
        <w:t>is</w:t>
      </w:r>
      <w:r w:rsidR="001F42B2" w:rsidRPr="00CA7D9B">
        <w:t xml:space="preserve"> </w:t>
      </w:r>
      <w:r w:rsidRPr="00CA7D9B">
        <w:t xml:space="preserve">likely that there is a codependency between </w:t>
      </w:r>
      <w:r>
        <w:t>ivosidenib</w:t>
      </w:r>
      <w:r w:rsidRPr="00CA7D9B">
        <w:t xml:space="preserve"> and </w:t>
      </w:r>
      <w:r w:rsidRPr="00601614">
        <w:rPr>
          <w:i/>
          <w:iCs/>
        </w:rPr>
        <w:t>IDH1</w:t>
      </w:r>
      <w:r>
        <w:t xml:space="preserve"> testing based on the biological rationale as described in paragraph </w:t>
      </w:r>
      <w:r>
        <w:fldChar w:fldCharType="begin" w:fldLock="1"/>
      </w:r>
      <w:r>
        <w:instrText xml:space="preserve"> REF _Ref173414788 \r \h </w:instrText>
      </w:r>
      <w:r>
        <w:fldChar w:fldCharType="separate"/>
      </w:r>
      <w:r w:rsidR="00CB6594">
        <w:t>6.8</w:t>
      </w:r>
      <w:r>
        <w:fldChar w:fldCharType="end"/>
      </w:r>
      <w:r>
        <w:t xml:space="preserve"> and there is t</w:t>
      </w:r>
      <w:r w:rsidRPr="00CA7D9B">
        <w:t>here</w:t>
      </w:r>
      <w:r>
        <w:t>fore</w:t>
      </w:r>
      <w:r w:rsidRPr="00CA7D9B">
        <w:t xml:space="preserve"> a reasonable rationale for restricting the use of ivosidenib to patients with tumours with </w:t>
      </w:r>
      <w:r w:rsidRPr="00A27A23">
        <w:rPr>
          <w:i/>
          <w:iCs/>
        </w:rPr>
        <w:t>IDH1</w:t>
      </w:r>
      <w:r w:rsidRPr="00CA7D9B">
        <w:t xml:space="preserve"> gene variants. </w:t>
      </w:r>
      <w:r w:rsidR="009F6B35">
        <w:t xml:space="preserve">The PBAC noted that consideration of the proposed MBS item for </w:t>
      </w:r>
      <w:r w:rsidR="009F6B35" w:rsidRPr="00601614">
        <w:rPr>
          <w:i/>
          <w:iCs/>
        </w:rPr>
        <w:t>IDH1</w:t>
      </w:r>
      <w:r w:rsidR="009F6B35">
        <w:t xml:space="preserve"> testing for patients with CCA, to determine access to IDH1 inhibitors (including ivosidenib) was a matter for MSAC consideration. The PBAC considered the appropriate restriction wording for specifying the target population would be: “The patient must have a test of tumour tissue confirming the presence of an </w:t>
      </w:r>
      <w:r w:rsidR="009F6B35" w:rsidRPr="00601614">
        <w:rPr>
          <w:i/>
          <w:iCs/>
        </w:rPr>
        <w:t>IDH1</w:t>
      </w:r>
      <w:r w:rsidR="009F6B35">
        <w:t xml:space="preserve"> R132 variant”.</w:t>
      </w:r>
    </w:p>
    <w:p w14:paraId="5246D73A" w14:textId="77777777" w:rsidR="00601614" w:rsidRDefault="00601614" w:rsidP="007E0187">
      <w:pPr>
        <w:pStyle w:val="ListParagraph"/>
      </w:pPr>
      <w:r w:rsidRPr="009F6B35">
        <w:t xml:space="preserve">The PBAC considered a Streamlined Authority listing (as proposed) was appropriate as there is a low risk of use outside the intended population. The PBAC considered it was reasonable for the listing to allow inclusion of patients with a WHO PS of </w:t>
      </w:r>
      <w:r>
        <w:t>0-</w:t>
      </w:r>
      <w:r w:rsidRPr="009F6B35">
        <w:t xml:space="preserve">2 to enable </w:t>
      </w:r>
      <w:r w:rsidRPr="009F6B35">
        <w:lastRenderedPageBreak/>
        <w:t xml:space="preserve">clinicians to determine whether a patient is suitable for treatment. However the PBAC noted this may result in a less fit population compared with the pivotal trial and therefore the level of benefit shown in the trial may not be realised in the PBS population. </w:t>
      </w:r>
      <w:r>
        <w:t>The PBAC agreed with the ESCs that the restrictions need not stipulate the requirement for routine ECG monitoring for QT prolongation.</w:t>
      </w:r>
      <w:r w:rsidRPr="009F6B35">
        <w:t xml:space="preserve"> </w:t>
      </w:r>
    </w:p>
    <w:p w14:paraId="3B7F85C7" w14:textId="0F6DDF97" w:rsidR="00EE58E4" w:rsidRDefault="00EE58E4" w:rsidP="007E0187">
      <w:pPr>
        <w:pStyle w:val="ListParagraph"/>
        <w:numPr>
          <w:ilvl w:val="4"/>
          <w:numId w:val="23"/>
        </w:numPr>
      </w:pPr>
      <w:r>
        <w:t xml:space="preserve">The submission nominated BSC as the primary comparator and FOLFOX as the secondary comparator. The submission argued that </w:t>
      </w:r>
      <w:proofErr w:type="gramStart"/>
      <w:r>
        <w:t>the majority of</w:t>
      </w:r>
      <w:proofErr w:type="gramEnd"/>
      <w:r>
        <w:t xml:space="preserve"> patients do not receive a second line treatment, however </w:t>
      </w:r>
      <w:r w:rsidRPr="007E0187">
        <w:rPr>
          <w:bCs/>
        </w:rPr>
        <w:t>the ESCs noted that long term follow up data from the TOPAZ-1 trial</w:t>
      </w:r>
      <w:r>
        <w:rPr>
          <w:rStyle w:val="FootnoteReference"/>
          <w:bCs/>
        </w:rPr>
        <w:footnoteReference w:id="25"/>
      </w:r>
      <w:r w:rsidRPr="007E0187">
        <w:rPr>
          <w:bCs/>
        </w:rPr>
        <w:t xml:space="preserve"> (durvalumab or placebo plus gemcitabine + cisplatin) indicated that 51-5</w:t>
      </w:r>
      <w:r w:rsidR="00A85C3A" w:rsidRPr="007E0187">
        <w:rPr>
          <w:bCs/>
        </w:rPr>
        <w:t>4</w:t>
      </w:r>
      <w:r w:rsidRPr="007E0187">
        <w:rPr>
          <w:bCs/>
        </w:rPr>
        <w:t>% of patients received subsequent anti</w:t>
      </w:r>
      <w:r w:rsidRPr="007E0187">
        <w:rPr>
          <w:bCs/>
        </w:rPr>
        <w:noBreakHyphen/>
        <w:t xml:space="preserve">cancer therapy. </w:t>
      </w:r>
      <w:r>
        <w:t xml:space="preserve">The PBAC considered that FOLFOX was an important relevant comparator for a substantial proportion of patients. </w:t>
      </w:r>
      <w:r w:rsidRPr="007E0187">
        <w:rPr>
          <w:szCs w:val="24"/>
        </w:rPr>
        <w:t xml:space="preserve">The PBAC also noted that there are </w:t>
      </w:r>
      <w:proofErr w:type="gramStart"/>
      <w:r w:rsidRPr="007E0187">
        <w:rPr>
          <w:szCs w:val="24"/>
        </w:rPr>
        <w:t>a number of</w:t>
      </w:r>
      <w:proofErr w:type="gramEnd"/>
      <w:r w:rsidRPr="007E0187">
        <w:rPr>
          <w:szCs w:val="24"/>
        </w:rPr>
        <w:t xml:space="preserve"> ongoing trials of IDH inhibitors and treatments targeting other gene variants common in CCA, including FGFR inhibitors</w:t>
      </w:r>
      <w:r w:rsidR="00732B8A" w:rsidRPr="007E0187">
        <w:rPr>
          <w:szCs w:val="24"/>
        </w:rPr>
        <w:t>, however they are not currently PBS-listed in this indication</w:t>
      </w:r>
      <w:r w:rsidRPr="007E0187">
        <w:rPr>
          <w:szCs w:val="24"/>
        </w:rPr>
        <w:t>.</w:t>
      </w:r>
    </w:p>
    <w:p w14:paraId="7E97D7FE" w14:textId="0A8F3B3E" w:rsidR="00A01A65" w:rsidRPr="00E1598C" w:rsidRDefault="00732B8A" w:rsidP="007E0187">
      <w:pPr>
        <w:pStyle w:val="ListParagraph"/>
        <w:numPr>
          <w:ilvl w:val="4"/>
          <w:numId w:val="23"/>
        </w:numPr>
      </w:pPr>
      <w:r w:rsidRPr="00E1598C">
        <w:t xml:space="preserve">The submission was based on a Phase 3, multicentre, randomised, double-blind, placebo-controlled trial comparing ivosidenib with placebo in patients diagnosed with locally advanced or metastatic CCA with confirmed a </w:t>
      </w:r>
      <w:r w:rsidRPr="007E0187">
        <w:rPr>
          <w:i/>
          <w:iCs/>
        </w:rPr>
        <w:t>IDH1</w:t>
      </w:r>
      <w:r w:rsidRPr="00E1598C">
        <w:t xml:space="preserve"> p.R132X tier I variant and disease progression following at least one line of gemcitabine-based or fluorouracil-based chemotherapy</w:t>
      </w:r>
      <w:r w:rsidR="00E1598C" w:rsidRPr="00E1598C">
        <w:t xml:space="preserve"> (ClarIDHy)</w:t>
      </w:r>
      <w:r w:rsidRPr="00E1598C">
        <w:t xml:space="preserve">. The PBAC considered the trial had a low risk of bias in PFS outcomes, however a high rate of cross-over from the placebo arm at progression (70.5%) is likely to have biased overall survival outcomes </w:t>
      </w:r>
      <w:proofErr w:type="gramStart"/>
      <w:r w:rsidRPr="00E1598C">
        <w:t>and also</w:t>
      </w:r>
      <w:proofErr w:type="gramEnd"/>
      <w:r w:rsidRPr="00E1598C">
        <w:t xml:space="preserve"> HRQoL. The PBAC noted that appropriate methods for </w:t>
      </w:r>
      <w:r w:rsidRPr="00E1598C">
        <w:rPr>
          <w:lang w:eastAsia="zh-CN"/>
        </w:rPr>
        <w:t>a</w:t>
      </w:r>
      <w:r w:rsidRPr="00E1598C">
        <w:t xml:space="preserve">djustment for treatment switching were applied, </w:t>
      </w:r>
      <w:r w:rsidR="00F834C8" w:rsidRPr="00E1598C">
        <w:t>and the ESC’s preferred method led to a similar point estimate to the trial pre-specified RPFST method. H</w:t>
      </w:r>
      <w:r w:rsidRPr="00E1598C">
        <w:t>owever</w:t>
      </w:r>
      <w:r w:rsidR="00F834C8" w:rsidRPr="00E1598C">
        <w:t>, the PBAC considered that there is</w:t>
      </w:r>
      <w:r w:rsidRPr="00E1598C">
        <w:t xml:space="preserve"> </w:t>
      </w:r>
      <w:r w:rsidR="00F834C8" w:rsidRPr="00E1598C">
        <w:t>uncertainty associated with any method for adjusting for treatment switching</w:t>
      </w:r>
      <w:r w:rsidRPr="00E1598C">
        <w:t>.</w:t>
      </w:r>
      <w:r w:rsidR="00F834C8" w:rsidRPr="00E1598C">
        <w:t xml:space="preserve"> The PBAC noted that baseline characteristics, including the proportion</w:t>
      </w:r>
      <w:r w:rsidR="00E1598C" w:rsidRPr="00E1598C">
        <w:t>s</w:t>
      </w:r>
      <w:r w:rsidR="00F834C8" w:rsidRPr="00E1598C">
        <w:t xml:space="preserve"> with metastatic disease (93%), two prior lines of treatment </w:t>
      </w:r>
      <w:r w:rsidR="00E1598C" w:rsidRPr="00E1598C">
        <w:t xml:space="preserve">(47%), </w:t>
      </w:r>
      <w:r w:rsidR="00F834C8" w:rsidRPr="00E1598C">
        <w:t xml:space="preserve">and </w:t>
      </w:r>
      <w:r w:rsidR="00E1598C" w:rsidRPr="00E1598C">
        <w:t xml:space="preserve">ECOG PS 0 (31-40%) suggest that the population included in ClarIDHy were fitter than would be expected in the Australian population for the PBS listing. </w:t>
      </w:r>
      <w:r w:rsidR="00E1598C">
        <w:t xml:space="preserve">Therefore </w:t>
      </w:r>
      <w:r w:rsidR="00E1598C" w:rsidRPr="007E0187">
        <w:rPr>
          <w:rStyle w:val="cf01"/>
          <w:rFonts w:asciiTheme="minorHAnsi" w:hAnsiTheme="minorHAnsi" w:cstheme="minorHAnsi"/>
          <w:sz w:val="24"/>
          <w:szCs w:val="24"/>
        </w:rPr>
        <w:t>the level of benefit shown in the trial may not be realised in the PBS population.</w:t>
      </w:r>
    </w:p>
    <w:p w14:paraId="224622A3" w14:textId="3F389278" w:rsidR="00A01A65" w:rsidRDefault="005660E6" w:rsidP="007E0187">
      <w:pPr>
        <w:pStyle w:val="ListParagraph"/>
      </w:pPr>
      <w:r>
        <w:t>The PBAC noted that at the first data cut off (median follow up of 6.9 months)</w:t>
      </w:r>
      <w:r w:rsidR="00AD0E0E">
        <w:t xml:space="preserve"> there was a small improvement in PFS, </w:t>
      </w:r>
      <w:r w:rsidR="004A2A46">
        <w:t xml:space="preserve">with </w:t>
      </w:r>
      <w:r w:rsidR="00AD0E0E">
        <w:t xml:space="preserve">median </w:t>
      </w:r>
      <w:r>
        <w:t>PFS 1.3 months longer in the ivosidenib arm than in the placebo arm (2.7 months</w:t>
      </w:r>
      <w:r>
        <w:rPr>
          <w:i/>
          <w:iCs/>
        </w:rPr>
        <w:t xml:space="preserve"> vs. </w:t>
      </w:r>
      <w:r>
        <w:t>1.4 months)</w:t>
      </w:r>
      <w:r w:rsidR="00AD0E0E">
        <w:t xml:space="preserve"> </w:t>
      </w:r>
      <w:r w:rsidR="004A2A46">
        <w:t>and</w:t>
      </w:r>
      <w:r w:rsidR="00AD0E0E">
        <w:t xml:space="preserve"> a statistically significant HR (</w:t>
      </w:r>
      <w:r w:rsidR="00AD0E0E" w:rsidRPr="00AD0E0E">
        <w:t>0.37 (</w:t>
      </w:r>
      <w:r w:rsidR="00380F36">
        <w:t xml:space="preserve">95% CI: </w:t>
      </w:r>
      <w:r w:rsidR="00AD0E0E" w:rsidRPr="00AD0E0E">
        <w:t>0.25 – 0.54)</w:t>
      </w:r>
      <w:r w:rsidR="00AD0E0E">
        <w:t>, p&lt;0.0001)</w:t>
      </w:r>
      <w:r w:rsidR="004A2A46">
        <w:t>.</w:t>
      </w:r>
      <w:r w:rsidR="00AD0E0E" w:rsidRPr="00AD0E0E">
        <w:t xml:space="preserve"> </w:t>
      </w:r>
      <w:r w:rsidR="00AD0E0E">
        <w:t xml:space="preserve">At 12 months PFS was 22% in the ivosidenib arm and &lt;5% in the placebo arm. At the second data cut off (median follow up of 20-24 months) there was a OS benefit for ivosidenib compared with placebo (median OS </w:t>
      </w:r>
      <w:r w:rsidR="00A85C3A">
        <w:t>10.3</w:t>
      </w:r>
      <w:r w:rsidR="00AD0E0E">
        <w:t xml:space="preserve"> vs. </w:t>
      </w:r>
      <w:r w:rsidR="00A85C3A">
        <w:t>7.5</w:t>
      </w:r>
      <w:r w:rsidR="00AD0E0E">
        <w:t xml:space="preserve"> months). After adjustment for cross-over the median OS for placebo was reduced to 5.1 months and the HR was statistically significant (</w:t>
      </w:r>
      <w:r w:rsidR="00AD0E0E" w:rsidRPr="00AD0E0E">
        <w:t>HR 0.49 (</w:t>
      </w:r>
      <w:r w:rsidR="00380F36">
        <w:t xml:space="preserve">95% CI: </w:t>
      </w:r>
      <w:r w:rsidR="00AD0E0E" w:rsidRPr="00AD0E0E">
        <w:t xml:space="preserve">0.34 – 0.70), </w:t>
      </w:r>
      <w:r w:rsidR="00AD0E0E">
        <w:t>p</w:t>
      </w:r>
      <w:r w:rsidR="00AD0E0E" w:rsidRPr="00AD0E0E">
        <w:t>&lt;0.001</w:t>
      </w:r>
      <w:r w:rsidR="00AD0E0E">
        <w:t xml:space="preserve">). </w:t>
      </w:r>
      <w:r w:rsidR="004A2A46">
        <w:t xml:space="preserve">The PBAC noted that the trial also demonstrated improvements in </w:t>
      </w:r>
      <w:r w:rsidR="004A2A46">
        <w:lastRenderedPageBreak/>
        <w:t>partial response rate (2</w:t>
      </w:r>
      <w:r w:rsidR="008B5689">
        <w:t>.4</w:t>
      </w:r>
      <w:r w:rsidR="004A2A46">
        <w:t>% vs 0%)</w:t>
      </w:r>
      <w:r w:rsidR="00380F36">
        <w:t xml:space="preserve"> and</w:t>
      </w:r>
      <w:r w:rsidR="004A2A46">
        <w:t xml:space="preserve"> stable disease (5</w:t>
      </w:r>
      <w:r w:rsidR="008B5689">
        <w:t>0.8</w:t>
      </w:r>
      <w:r w:rsidR="004A2A46">
        <w:t>% vs 2</w:t>
      </w:r>
      <w:r w:rsidR="008B5689">
        <w:t>7.9</w:t>
      </w:r>
      <w:r w:rsidR="004A2A46">
        <w:t>%)</w:t>
      </w:r>
      <w:r w:rsidR="00380F36">
        <w:t>, with a reduction in</w:t>
      </w:r>
      <w:r w:rsidR="004A2A46">
        <w:t xml:space="preserve"> progressive disease (33</w:t>
      </w:r>
      <w:r w:rsidR="008B5689">
        <w:t>.1</w:t>
      </w:r>
      <w:r w:rsidR="004A2A46">
        <w:t>% vs. 57</w:t>
      </w:r>
      <w:r w:rsidR="008B5689">
        <w:t>.4</w:t>
      </w:r>
      <w:r w:rsidR="004A2A46">
        <w:t xml:space="preserve">%). The PBAC considered that the clinical claim of superiority </w:t>
      </w:r>
      <w:r w:rsidR="00D51D1D">
        <w:t>for ivosidenib compared with BSC was reasonable, with a small PFS benefit and moderate OS benefit shown after adjustment for cross-over.</w:t>
      </w:r>
      <w:r w:rsidR="00AD0E0E" w:rsidRPr="00AD0E0E">
        <w:t xml:space="preserve"> </w:t>
      </w:r>
    </w:p>
    <w:p w14:paraId="301EDD0C" w14:textId="2D690A8A" w:rsidR="00F23925" w:rsidRDefault="00F23925" w:rsidP="007E0187">
      <w:pPr>
        <w:pStyle w:val="ListParagraph"/>
      </w:pPr>
      <w:r>
        <w:t xml:space="preserve">The PBAC noted the incidence of Grade ≥ 3 TEAEs, serious TEAEs and fatal TEAEs was higher in the ivosidenib arm than in the placebo arm, however </w:t>
      </w:r>
      <w:r w:rsidRPr="00F23925">
        <w:t>the number of events reported would be impacted by the substantially longer duration o</w:t>
      </w:r>
      <w:r>
        <w:t>f</w:t>
      </w:r>
      <w:r w:rsidRPr="00F23925">
        <w:t xml:space="preserve"> treatment for patients treated with ivosidenib.</w:t>
      </w:r>
      <w:r>
        <w:t xml:space="preserve"> The PBAC agreed with the ESC that the TEAEs leading to death were most likely to be related to disease progression. The PBAC considered the clinical claim of inferior safety for ivosidenib compared with BSC was reasonable. </w:t>
      </w:r>
    </w:p>
    <w:p w14:paraId="3B2F67C7" w14:textId="2924BCBA" w:rsidR="00F23925" w:rsidRPr="00F23925" w:rsidRDefault="00F23925" w:rsidP="007E0187">
      <w:pPr>
        <w:pStyle w:val="ListParagraph"/>
      </w:pPr>
      <w:r>
        <w:t xml:space="preserve">The PBAC noted that the submission also presented an indirect treatment comparison of ivosidenib and FOLFOX based on the ClarIDHy trial and the ABC-06 trial (FOLFOX versus no active </w:t>
      </w:r>
      <w:r w:rsidRPr="0091738F">
        <w:t xml:space="preserve">treatment). The PBAC noted that there were substantial uncertainties with this comparison as </w:t>
      </w:r>
      <w:r w:rsidR="0091738F" w:rsidRPr="0091738F">
        <w:rPr>
          <w:bCs/>
        </w:rPr>
        <w:t>the trials were not sufficiently comparable to justify the conduct of ITCs, even after the matching adjustment,</w:t>
      </w:r>
      <w:r w:rsidR="0091738F">
        <w:rPr>
          <w:bCs/>
        </w:rPr>
        <w:t xml:space="preserve"> including </w:t>
      </w:r>
      <w:r>
        <w:t xml:space="preserve">differences in </w:t>
      </w:r>
      <w:r w:rsidR="0091738F">
        <w:t xml:space="preserve">frequency of </w:t>
      </w:r>
      <w:r>
        <w:t xml:space="preserve">radiological </w:t>
      </w:r>
      <w:r w:rsidR="00DC5CF3">
        <w:t>commentary</w:t>
      </w:r>
      <w:r>
        <w:t>, disease characteristics</w:t>
      </w:r>
      <w:r w:rsidR="0091738F">
        <w:t xml:space="preserve"> (including prior treatments and IDH1 status)</w:t>
      </w:r>
      <w:r>
        <w:t>, trial design, and follow-up duration.</w:t>
      </w:r>
      <w:r w:rsidR="0091738F">
        <w:t xml:space="preserve"> </w:t>
      </w:r>
      <w:r w:rsidR="001E319F" w:rsidRPr="003E7195">
        <w:t>The OS HR from the anchored MAIC was 0.62 (95% CI: 0.33, 1.19),</w:t>
      </w:r>
      <w:r w:rsidR="001E319F">
        <w:t xml:space="preserve"> however the result was not statistically significant and t</w:t>
      </w:r>
      <w:r w:rsidR="0091738F">
        <w:t>he PBAC noted that even after matching the median PFS for FOLFOX was longer than for ivosidenib and the PFS HR was not interpretable as the PFS curves crossed. Overall</w:t>
      </w:r>
      <w:r w:rsidR="001E319F">
        <w:t>,</w:t>
      </w:r>
      <w:r w:rsidR="0091738F">
        <w:t xml:space="preserve"> </w:t>
      </w:r>
      <w:r w:rsidR="001F42B2">
        <w:t xml:space="preserve">based on the </w:t>
      </w:r>
      <w:r w:rsidR="001F42B2" w:rsidRPr="003E7195">
        <w:t>OS HR from the anchored MAIC</w:t>
      </w:r>
      <w:r w:rsidR="001F42B2">
        <w:t>,</w:t>
      </w:r>
      <w:r w:rsidR="001F42B2" w:rsidRPr="003E7195">
        <w:t xml:space="preserve"> </w:t>
      </w:r>
      <w:r w:rsidR="0091738F">
        <w:t xml:space="preserve">the PBAC considered </w:t>
      </w:r>
      <w:r w:rsidR="001E319F">
        <w:t>it is likely that ivosidenib is superior to FOLFOX, however there is a high level of uncertainty due to the limitations of the ITC</w:t>
      </w:r>
      <w:r w:rsidR="0091738F">
        <w:t>.</w:t>
      </w:r>
      <w:r w:rsidR="001E319F">
        <w:t xml:space="preserve"> </w:t>
      </w:r>
      <w:r w:rsidR="001E319F" w:rsidRPr="003E7195">
        <w:t>The submission did not present a formal ITC for safety between ivosidenib and FOLFOX</w:t>
      </w:r>
      <w:r w:rsidR="001E319F">
        <w:t xml:space="preserve"> due to</w:t>
      </w:r>
      <w:r w:rsidR="001E319F" w:rsidRPr="00181B1F">
        <w:rPr>
          <w:iCs/>
        </w:rPr>
        <w:t xml:space="preserve"> limited safety data from the FOLFOX trial</w:t>
      </w:r>
      <w:r w:rsidR="001E319F">
        <w:rPr>
          <w:iCs/>
        </w:rPr>
        <w:t>.</w:t>
      </w:r>
    </w:p>
    <w:p w14:paraId="01495707" w14:textId="0FEC4F04" w:rsidR="00BB50A5" w:rsidRPr="00BB50A5" w:rsidRDefault="00D23B6A" w:rsidP="007E0187">
      <w:pPr>
        <w:pStyle w:val="ListParagraph"/>
        <w:numPr>
          <w:ilvl w:val="4"/>
          <w:numId w:val="23"/>
        </w:numPr>
      </w:pPr>
      <w:r>
        <w:t xml:space="preserve">The submission presented a cost-utility analysis, based on the ClarIDHy trial which compared ivosidenib with placebo in locally advanced or metastatic CCA with </w:t>
      </w:r>
      <w:r w:rsidRPr="007E0187">
        <w:rPr>
          <w:i/>
          <w:iCs/>
        </w:rPr>
        <w:t>IDH1</w:t>
      </w:r>
      <w:r>
        <w:t xml:space="preserve"> variants who had disease progression following at least one line of chemotherapy. The economic analysis compared testing plus ivosidenib with no testing plus BSC in the proposed target population</w:t>
      </w:r>
      <w:r w:rsidR="00E8537F">
        <w:t>.</w:t>
      </w:r>
      <w:r>
        <w:t xml:space="preserve"> </w:t>
      </w:r>
    </w:p>
    <w:p w14:paraId="07AF1E34" w14:textId="480EF7E8" w:rsidR="00E8537F" w:rsidRDefault="00E8537F" w:rsidP="007E0187">
      <w:pPr>
        <w:pStyle w:val="ListParagraph"/>
        <w:numPr>
          <w:ilvl w:val="4"/>
          <w:numId w:val="23"/>
        </w:numPr>
      </w:pPr>
      <w:bookmarkStart w:id="88" w:name="_Ref173751094"/>
      <w:r>
        <w:t>The PBAC considered that the time horizon in the base case (10 years), and the pre-PBAC response (7.5 years) was not justified g</w:t>
      </w:r>
      <w:r w:rsidR="00D23B6A">
        <w:t>iven the patients in the proposed targeted population have advanced disease</w:t>
      </w:r>
      <w:r>
        <w:t xml:space="preserve"> and a poor prognosis. </w:t>
      </w:r>
      <w:r w:rsidR="00D23B6A">
        <w:t xml:space="preserve">The </w:t>
      </w:r>
      <w:r>
        <w:t>PBAC</w:t>
      </w:r>
      <w:r w:rsidR="00D23B6A">
        <w:t xml:space="preserve"> considered a 5-year time horizon </w:t>
      </w:r>
      <w:r>
        <w:t>would appropriately capture the benefits of ivosidenib</w:t>
      </w:r>
      <w:r w:rsidR="00D23B6A">
        <w:t xml:space="preserve">, </w:t>
      </w:r>
      <w:r>
        <w:t>as</w:t>
      </w:r>
      <w:r w:rsidR="00D23B6A">
        <w:t xml:space="preserve"> very few second-line patients expected to survive to 5 years, with or without ivosidenib treatment</w:t>
      </w:r>
      <w:r>
        <w:t xml:space="preserve"> and a high proportion in the ivosidenib arm had progressed as early as 12 months. Further, </w:t>
      </w:r>
      <w:r w:rsidR="00BB50A5">
        <w:t xml:space="preserve">the PBAC considered the reduced time horizon was appropriate </w:t>
      </w:r>
      <w:r>
        <w:t xml:space="preserve">in the context of uncertain magnitude of clinical benefit (given the </w:t>
      </w:r>
      <w:r w:rsidR="00BB50A5">
        <w:t xml:space="preserve">inherent uncertainty in the </w:t>
      </w:r>
      <w:r>
        <w:t>adjustment for cross-over and a potentially fitter population than expected in clinical practice)</w:t>
      </w:r>
      <w:r w:rsidR="00BB50A5">
        <w:t>.</w:t>
      </w:r>
      <w:bookmarkEnd w:id="88"/>
    </w:p>
    <w:p w14:paraId="0A6BF255" w14:textId="2A638DB1" w:rsidR="00D23B6A" w:rsidRPr="00303F40" w:rsidRDefault="00D23B6A" w:rsidP="007E0187">
      <w:pPr>
        <w:pStyle w:val="ListParagraph"/>
        <w:numPr>
          <w:ilvl w:val="4"/>
          <w:numId w:val="23"/>
        </w:numPr>
      </w:pPr>
      <w:r w:rsidRPr="00303F40">
        <w:lastRenderedPageBreak/>
        <w:t xml:space="preserve">The PBAC noted that there was uncertainty associated with the extrapolated benefit </w:t>
      </w:r>
      <w:r w:rsidR="00BB50A5" w:rsidRPr="00303F40">
        <w:t xml:space="preserve">in the base case </w:t>
      </w:r>
      <w:r w:rsidRPr="00303F40">
        <w:t xml:space="preserve">as the chosen functional forms appeared optimistic in terms of survival and </w:t>
      </w:r>
      <w:r w:rsidR="00BB50A5" w:rsidRPr="00303F40">
        <w:t xml:space="preserve">were </w:t>
      </w:r>
      <w:r w:rsidRPr="00303F40">
        <w:t>not clinically plausible. In addition, extrapolations of the BSC arm relied on outcomes adjusted for cross-over, which are associated with inherent uncertainty.</w:t>
      </w:r>
      <w:r w:rsidR="00BB50A5" w:rsidRPr="00303F40">
        <w:t xml:space="preserve"> The PBAC noted that most of the functions resulted in extrapolated curves that appeared similarly reasonable based on visual fit and differences in statistical measures of goodness of fit were small. Although the pre-PBAC response argued that </w:t>
      </w:r>
      <w:r w:rsidR="00303F40" w:rsidRPr="00303F40">
        <w:t>the exponential function underestimated the observed data from the ivosidenib arm</w:t>
      </w:r>
      <w:r w:rsidR="00303F40">
        <w:t>,</w:t>
      </w:r>
      <w:r w:rsidR="00303F40" w:rsidRPr="00303F40">
        <w:t xml:space="preserve"> </w:t>
      </w:r>
      <w:r w:rsidR="00303F40">
        <w:t>t</w:t>
      </w:r>
      <w:r w:rsidR="00BB50A5" w:rsidRPr="00303F40">
        <w:t>he PBAC agreed with the ESCs that the extrapolations based on the exponential function were reasonable for both treatment arm</w:t>
      </w:r>
      <w:r w:rsidR="008B5689">
        <w:t>s</w:t>
      </w:r>
      <w:r w:rsidR="00A85C3A">
        <w:t xml:space="preserve">. </w:t>
      </w:r>
      <w:r w:rsidR="002241CD">
        <w:t xml:space="preserve">In addition, the PBAC considered </w:t>
      </w:r>
      <w:r w:rsidR="002241CD" w:rsidRPr="00303F40">
        <w:t>extrapolations based on the exponential function</w:t>
      </w:r>
      <w:r w:rsidR="002241CD">
        <w:t xml:space="preserve"> were clinically plausible and</w:t>
      </w:r>
      <w:r w:rsidR="002241CD" w:rsidRPr="00303F40">
        <w:t xml:space="preserve"> </w:t>
      </w:r>
      <w:r w:rsidR="002241CD">
        <w:t xml:space="preserve">appropriately conservative in the context of the uncertainties in the clinical data applied in the model. </w:t>
      </w:r>
    </w:p>
    <w:p w14:paraId="74B4186C" w14:textId="1A02C554" w:rsidR="00E72B6B" w:rsidRDefault="00E72B6B" w:rsidP="007E0187">
      <w:pPr>
        <w:pStyle w:val="ListParagraph"/>
        <w:numPr>
          <w:ilvl w:val="4"/>
          <w:numId w:val="23"/>
        </w:numPr>
      </w:pPr>
      <w:r w:rsidRPr="00E72B6B">
        <w:t xml:space="preserve">The </w:t>
      </w:r>
      <w:r>
        <w:t xml:space="preserve">PBAC noted the </w:t>
      </w:r>
      <w:r w:rsidRPr="00E72B6B">
        <w:t>utility weights used in the submission</w:t>
      </w:r>
      <w:r>
        <w:t>,</w:t>
      </w:r>
      <w:r w:rsidRPr="00E72B6B">
        <w:t xml:space="preserve"> derived from the HRQoL assessments in the ClarIDHy trial, were high </w:t>
      </w:r>
      <w:r>
        <w:t xml:space="preserve">(at or close to population norms) </w:t>
      </w:r>
      <w:r w:rsidRPr="00E72B6B">
        <w:t xml:space="preserve">and appeared clinically implausible, especially in the PD health state. The applied utility weights were higher than those previously considered by the PBAC for the first-line treatment of advanced biliary tract cancer and hepatocellular carcinoma. </w:t>
      </w:r>
      <w:r w:rsidR="00A46B50">
        <w:t xml:space="preserve">The PBAC noted that </w:t>
      </w:r>
      <w:r w:rsidR="006D4804">
        <w:t xml:space="preserve">application of the trial-based </w:t>
      </w:r>
      <w:r w:rsidR="00A46B50">
        <w:t xml:space="preserve">values favoured ivosidenib. </w:t>
      </w:r>
      <w:r>
        <w:t xml:space="preserve">The PBAC noted that utility values in the PD state may be impacted by the point at which </w:t>
      </w:r>
      <w:r w:rsidR="00A46B50">
        <w:t>HR</w:t>
      </w:r>
      <w:r>
        <w:t xml:space="preserve">QoL was measured in the ClarIDy trial (prior to cross-over) and the small number of patients with data to inform the values. Although </w:t>
      </w:r>
      <w:r w:rsidR="00A46B50">
        <w:t xml:space="preserve">utility weights based on trial outcomes are </w:t>
      </w:r>
      <w:r w:rsidR="00A26049">
        <w:t xml:space="preserve">generally </w:t>
      </w:r>
      <w:r w:rsidR="00A46B50">
        <w:t>preferred, the PBAC considered that, given the lack of face validity and likely impact of limited trial QoL data,</w:t>
      </w:r>
      <w:r>
        <w:t xml:space="preserve"> </w:t>
      </w:r>
      <w:r w:rsidR="00A46B50">
        <w:t xml:space="preserve">in this case </w:t>
      </w:r>
      <w:r>
        <w:t xml:space="preserve">the values used in the durvalumab submission (PF=0.857, PD=0.766) would be </w:t>
      </w:r>
      <w:r w:rsidR="00A26049">
        <w:t xml:space="preserve">more </w:t>
      </w:r>
      <w:r>
        <w:t>reasonable.</w:t>
      </w:r>
    </w:p>
    <w:p w14:paraId="43E71B0B" w14:textId="2F92BE11" w:rsidR="00A46B50" w:rsidRPr="00A46B50" w:rsidRDefault="00A46B50" w:rsidP="007E0187">
      <w:pPr>
        <w:pStyle w:val="ListParagraph"/>
        <w:numPr>
          <w:ilvl w:val="4"/>
          <w:numId w:val="23"/>
        </w:numPr>
      </w:pPr>
      <w:bookmarkStart w:id="89" w:name="_Ref173751108"/>
      <w:r>
        <w:t xml:space="preserve">The PBAC noted that in ClarIDHy patients were allowed to continue treatment with ivosidenib on disease progression, whereas this would not be allowed </w:t>
      </w:r>
      <w:r w:rsidR="00A26049">
        <w:t>through the PBS</w:t>
      </w:r>
      <w:r>
        <w:t xml:space="preserve"> based on the proposed restrictions. The trial-based ToT curve was adjusted in the </w:t>
      </w:r>
      <w:r w:rsidR="00DB474A">
        <w:t>economic evaluation</w:t>
      </w:r>
      <w:r>
        <w:t xml:space="preserve"> to reflect the restrictions, however, no adjustment for health outcomes associated with ivosidenib treatment was made in the economic model which would favour ivosidenib. In the absence of any adjustment in outcomes, the PBAC considered it was reasonable for the ToT to be based on the trial data without being capped by the PFS curve.</w:t>
      </w:r>
      <w:bookmarkEnd w:id="89"/>
    </w:p>
    <w:p w14:paraId="070BD634" w14:textId="12F4C4A9" w:rsidR="00D23B6A" w:rsidRDefault="00E8537F" w:rsidP="007E0187">
      <w:pPr>
        <w:pStyle w:val="ListParagraph"/>
        <w:numPr>
          <w:ilvl w:val="4"/>
          <w:numId w:val="23"/>
        </w:numPr>
      </w:pPr>
      <w:r>
        <w:t xml:space="preserve">The </w:t>
      </w:r>
      <w:r w:rsidR="006D4804">
        <w:t xml:space="preserve">economic </w:t>
      </w:r>
      <w:r w:rsidR="00E3328E">
        <w:t>model</w:t>
      </w:r>
      <w:r>
        <w:t xml:space="preserve"> allowed inclusion of FOLFOX as an additional comparator.</w:t>
      </w:r>
      <w:r w:rsidR="00A46B50">
        <w:t xml:space="preserve"> However, the PBAC noted that there was a high level of uncertainty in the </w:t>
      </w:r>
      <w:r w:rsidR="006D4804">
        <w:t xml:space="preserve">OS </w:t>
      </w:r>
      <w:r w:rsidR="00A46B50">
        <w:t>outcomes from the ITC that were applied in the</w:t>
      </w:r>
      <w:r w:rsidR="006D4804">
        <w:t xml:space="preserve"> sensitivity analyses including </w:t>
      </w:r>
      <w:r w:rsidR="00A46B50">
        <w:t xml:space="preserve"> model and limitations with the economic model structure that </w:t>
      </w:r>
      <w:r w:rsidR="006D4804">
        <w:t xml:space="preserve">meant that application of FOLFOX in the modelled </w:t>
      </w:r>
      <w:r w:rsidR="00DC5CF3">
        <w:t>commentary</w:t>
      </w:r>
      <w:r w:rsidR="006D4804">
        <w:t xml:space="preserve"> potentially introduced additional uncertainty</w:t>
      </w:r>
      <w:r w:rsidR="00E3328E">
        <w:t xml:space="preserve"> in the modelled outcomes</w:t>
      </w:r>
      <w:r w:rsidR="006D4804">
        <w:t xml:space="preserve">. </w:t>
      </w:r>
      <w:r w:rsidR="006D4804" w:rsidRPr="007E0187">
        <w:rPr>
          <w:szCs w:val="24"/>
        </w:rPr>
        <w:t xml:space="preserve">The pre-PBAC response argued that </w:t>
      </w:r>
      <w:r w:rsidR="006D4804" w:rsidRPr="007E0187">
        <w:rPr>
          <w:bCs/>
        </w:rPr>
        <w:t xml:space="preserve">the submission base case approach, which did not include FOLFOX, was reasonable to reduce the uncertainty in the model, given the identified limitations in the data. However, the PBAC noted that </w:t>
      </w:r>
      <w:r w:rsidR="006D4804" w:rsidRPr="007E0187">
        <w:rPr>
          <w:bCs/>
        </w:rPr>
        <w:lastRenderedPageBreak/>
        <w:t>excluding FOLFOX as a comparator was not necessarily conservative and is likely to overestimate the modelled benefit for ivosidenib in Australian practice.</w:t>
      </w:r>
      <w:r w:rsidR="000E1CCE" w:rsidRPr="007E0187">
        <w:rPr>
          <w:bCs/>
        </w:rPr>
        <w:t xml:space="preserve"> </w:t>
      </w:r>
    </w:p>
    <w:p w14:paraId="7FF0F7B2" w14:textId="5C15759E" w:rsidR="001124CE" w:rsidRPr="00237760" w:rsidRDefault="00E97604" w:rsidP="007E0187">
      <w:pPr>
        <w:pStyle w:val="ListParagraph"/>
        <w:numPr>
          <w:ilvl w:val="4"/>
          <w:numId w:val="23"/>
        </w:numPr>
      </w:pPr>
      <w:r>
        <w:t>Overall, the PBAC considered that the structure of the base case economic model</w:t>
      </w:r>
      <w:r w:rsidR="001F42B2">
        <w:t xml:space="preserve"> for ivosidenib versus placebo</w:t>
      </w:r>
      <w:r>
        <w:t xml:space="preserve"> was reasonable, but that the base case presented in the submission included </w:t>
      </w:r>
      <w:proofErr w:type="gramStart"/>
      <w:r>
        <w:t>a number of</w:t>
      </w:r>
      <w:proofErr w:type="gramEnd"/>
      <w:r>
        <w:t xml:space="preserve"> optimistic assumptions that favoured ivosidenib and the ICER was therefore likely to be underestimated. </w:t>
      </w:r>
      <w:r w:rsidR="006D4804" w:rsidRPr="00E97604">
        <w:t>The PBAC noted that the base case ICER of $</w:t>
      </w:r>
      <w:r w:rsidR="00D56747" w:rsidRPr="00D56747">
        <w:t>95,000 to &lt; $115,000</w:t>
      </w:r>
      <w:r w:rsidR="006D4804" w:rsidRPr="00E97604">
        <w:t xml:space="preserve">/QALY increased to </w:t>
      </w:r>
      <w:r w:rsidR="001124CE" w:rsidRPr="007E0187">
        <w:rPr>
          <w:szCs w:val="24"/>
        </w:rPr>
        <w:t>$</w:t>
      </w:r>
      <w:r w:rsidR="00D56747" w:rsidRPr="007E0187">
        <w:rPr>
          <w:szCs w:val="24"/>
        </w:rPr>
        <w:t>135,000 to &lt; $155,000</w:t>
      </w:r>
      <w:r w:rsidR="001124CE" w:rsidRPr="007E0187">
        <w:rPr>
          <w:szCs w:val="24"/>
        </w:rPr>
        <w:t>/QALY</w:t>
      </w:r>
      <w:r w:rsidR="001124CE" w:rsidRPr="00E97604">
        <w:t xml:space="preserve"> </w:t>
      </w:r>
      <w:r w:rsidR="006D4804" w:rsidRPr="00E97604">
        <w:t xml:space="preserve">when </w:t>
      </w:r>
      <w:r w:rsidR="001124CE" w:rsidRPr="007E0187">
        <w:rPr>
          <w:szCs w:val="20"/>
        </w:rPr>
        <w:t xml:space="preserve">the </w:t>
      </w:r>
      <w:r w:rsidR="001124CE" w:rsidRPr="00E97604">
        <w:t xml:space="preserve">time horizon was reduced to 5 years, the extrapolation function for OS for both treatment arms was changed to exponential, </w:t>
      </w:r>
      <w:r w:rsidR="006D4804" w:rsidRPr="00E97604">
        <w:t>durvalumab utilities were applied, and</w:t>
      </w:r>
      <w:r w:rsidR="001124CE" w:rsidRPr="00E97604">
        <w:t xml:space="preserve"> ToT was not limited to PFS</w:t>
      </w:r>
      <w:r w:rsidR="006D4804" w:rsidRPr="00E97604">
        <w:t xml:space="preserve">. </w:t>
      </w:r>
      <w:r w:rsidR="000E1CCE" w:rsidRPr="007E0187">
        <w:rPr>
          <w:bCs/>
        </w:rPr>
        <w:t xml:space="preserve">The PBAC noted that inclusion of FOLFOX as a comparator had little impact on the ICER after adjusting these assumptions in the model. </w:t>
      </w:r>
      <w:r w:rsidR="001124CE" w:rsidRPr="00E97604">
        <w:t xml:space="preserve">The PBAC considered the ICER was high at the proposed price and likely to be underestimated in the submission base case due to optimistic assumptions in the economic model. The PBAC considered that ivosidenib would be </w:t>
      </w:r>
      <w:r>
        <w:t>acceptably</w:t>
      </w:r>
      <w:r w:rsidR="001124CE" w:rsidRPr="00E97604">
        <w:t xml:space="preserve"> cost-effective </w:t>
      </w:r>
      <w:r w:rsidR="00A85C3A">
        <w:t>with</w:t>
      </w:r>
      <w:r w:rsidR="001124CE" w:rsidRPr="00E97604">
        <w:t xml:space="preserve"> an ICER </w:t>
      </w:r>
      <w:r w:rsidR="00A85C3A">
        <w:t>no more than</w:t>
      </w:r>
      <w:r w:rsidR="001124CE" w:rsidRPr="00E97604">
        <w:t xml:space="preserve"> $</w:t>
      </w:r>
      <w:r w:rsidR="00D56747" w:rsidRPr="00D56747">
        <w:t>55,000 to &lt; $75,000</w:t>
      </w:r>
      <w:r w:rsidR="001124CE" w:rsidRPr="00E97604">
        <w:t>/QALY, which would reflect the clinical need in this indication but also the level of uncertainty in the clinical benefit.</w:t>
      </w:r>
    </w:p>
    <w:p w14:paraId="532A374A" w14:textId="67D2EDFC" w:rsidR="00237760" w:rsidRPr="001124CE" w:rsidRDefault="00237760" w:rsidP="007E0187">
      <w:pPr>
        <w:pStyle w:val="ListParagraph"/>
        <w:numPr>
          <w:ilvl w:val="4"/>
          <w:numId w:val="23"/>
        </w:numPr>
      </w:pPr>
      <w:bookmarkStart w:id="90" w:name="_Ref173751190"/>
      <w:r>
        <w:t xml:space="preserve">The PBAC noted an </w:t>
      </w:r>
      <w:r w:rsidRPr="003E7195">
        <w:t xml:space="preserve">epidemiological approach was used to estimate the use and costs of </w:t>
      </w:r>
      <w:r w:rsidRPr="007E0187">
        <w:rPr>
          <w:i/>
          <w:iCs/>
        </w:rPr>
        <w:t>IDH1</w:t>
      </w:r>
      <w:r w:rsidRPr="00237760">
        <w:t xml:space="preserve"> </w:t>
      </w:r>
      <w:r w:rsidRPr="003E7195">
        <w:t>testing and ivosidenib treatment</w:t>
      </w:r>
      <w:r>
        <w:t xml:space="preserve">. The PBAC considered the number of patients eligible for ivosidenib treatment was overestimated, as the submission assumed that </w:t>
      </w:r>
      <w:r w:rsidR="007D44DA" w:rsidRPr="007D44DA">
        <w:rPr>
          <w:spacing w:val="108"/>
          <w:shd w:val="solid" w:color="000000" w:fill="000000"/>
          <w:fitText w:val="330" w:id="-890575098"/>
          <w14:textFill>
            <w14:solidFill>
              <w14:schemeClr w14:val="tx1">
                <w14:alpha w14:val="100000"/>
                <w14:lumMod w14:val="95000"/>
                <w14:lumOff w14:val="5000"/>
              </w14:schemeClr>
            </w14:solidFill>
          </w14:textFill>
        </w:rPr>
        <w:t>|</w:t>
      </w:r>
      <w:r w:rsidR="007D44DA" w:rsidRPr="007D44DA">
        <w:rPr>
          <w:spacing w:val="1"/>
          <w:shd w:val="solid" w:color="000000" w:fill="000000"/>
          <w:fitText w:val="330" w:id="-890575098"/>
          <w14:textFill>
            <w14:solidFill>
              <w14:schemeClr w14:val="tx1">
                <w14:alpha w14:val="100000"/>
                <w14:lumMod w14:val="95000"/>
                <w14:lumOff w14:val="5000"/>
              </w14:schemeClr>
            </w14:solidFill>
          </w14:textFill>
        </w:rPr>
        <w:t>|</w:t>
      </w:r>
      <w:r>
        <w:t xml:space="preserve">% of patients with locally advanced or metastatic CCA would progress to receive second-line therapy and that </w:t>
      </w:r>
      <w:r w:rsidR="00E26C98" w:rsidRPr="002311C6">
        <w:rPr>
          <w:color w:val="000000" w:themeColor="text1"/>
          <w:w w:val="15"/>
          <w:shd w:val="solid" w:color="000000" w:fill="000000"/>
          <w:fitText w:val="-20" w:id="-893744368"/>
          <w14:textFill>
            <w14:solidFill>
              <w14:schemeClr w14:val="tx1">
                <w14:alpha w14:val="100000"/>
              </w14:schemeClr>
            </w14:solidFill>
          </w14:textFill>
        </w:rPr>
        <w:t xml:space="preserve">|  </w:t>
      </w:r>
      <w:r w:rsidR="00E26C98" w:rsidRPr="002311C6">
        <w:rPr>
          <w:color w:val="000000" w:themeColor="text1"/>
          <w:spacing w:val="-69"/>
          <w:w w:val="15"/>
          <w:shd w:val="solid" w:color="000000" w:fill="000000"/>
          <w:fitText w:val="-20" w:id="-893744368"/>
          <w14:textFill>
            <w14:solidFill>
              <w14:schemeClr w14:val="tx1">
                <w14:alpha w14:val="100000"/>
              </w14:schemeClr>
            </w14:solidFill>
          </w14:textFill>
        </w:rPr>
        <w:t>|</w:t>
      </w:r>
      <w:r>
        <w:t>%-</w:t>
      </w:r>
      <w:r w:rsidR="00E26C98" w:rsidRPr="002311C6">
        <w:rPr>
          <w:color w:val="000000" w:themeColor="text1"/>
          <w:w w:val="15"/>
          <w:shd w:val="solid" w:color="000000" w:fill="000000"/>
          <w:fitText w:val="-20" w:id="-893744384"/>
          <w14:textFill>
            <w14:solidFill>
              <w14:schemeClr w14:val="tx1">
                <w14:alpha w14:val="100000"/>
              </w14:schemeClr>
            </w14:solidFill>
          </w14:textFill>
        </w:rPr>
        <w:t xml:space="preserve">|  </w:t>
      </w:r>
      <w:r w:rsidR="00E26C98" w:rsidRPr="002311C6">
        <w:rPr>
          <w:color w:val="000000" w:themeColor="text1"/>
          <w:spacing w:val="-69"/>
          <w:w w:val="15"/>
          <w:shd w:val="solid" w:color="000000" w:fill="000000"/>
          <w:fitText w:val="-20" w:id="-893744384"/>
          <w14:textFill>
            <w14:solidFill>
              <w14:schemeClr w14:val="tx1">
                <w14:alpha w14:val="100000"/>
              </w14:schemeClr>
            </w14:solidFill>
          </w14:textFill>
        </w:rPr>
        <w:t>|</w:t>
      </w:r>
      <w:r>
        <w:t xml:space="preserve">% of these patients would be treated with ivosidenib. The PBAC noted that </w:t>
      </w:r>
      <w:r w:rsidRPr="00237760">
        <w:t>long term follow up data from the TOPAZ-1 trial indicated that 51-54% of patients received subsequent anti</w:t>
      </w:r>
      <w:r w:rsidRPr="00237760">
        <w:noBreakHyphen/>
        <w:t>cancer therapy</w:t>
      </w:r>
      <w:r>
        <w:t xml:space="preserve">, however considered that there may be more patients who receive 2L therapy with </w:t>
      </w:r>
      <w:r w:rsidR="00A85C3A">
        <w:t>ivosidenib</w:t>
      </w:r>
      <w:r>
        <w:t xml:space="preserve"> compared with 2L chemotherapy. The PBAC considered that </w:t>
      </w:r>
      <w:r w:rsidR="007D44DA" w:rsidRPr="007D44DA">
        <w:rPr>
          <w:spacing w:val="108"/>
          <w:shd w:val="solid" w:color="000000" w:fill="000000"/>
          <w:fitText w:val="330" w:id="-890575097"/>
          <w14:textFill>
            <w14:solidFill>
              <w14:schemeClr w14:val="tx1">
                <w14:alpha w14:val="100000"/>
                <w14:lumMod w14:val="95000"/>
                <w14:lumOff w14:val="5000"/>
              </w14:schemeClr>
            </w14:solidFill>
          </w14:textFill>
        </w:rPr>
        <w:t>|</w:t>
      </w:r>
      <w:r w:rsidR="007D44DA" w:rsidRPr="007D44DA">
        <w:rPr>
          <w:shd w:val="solid" w:color="000000" w:fill="000000"/>
          <w:fitText w:val="330" w:id="-890575097"/>
          <w14:textFill>
            <w14:solidFill>
              <w14:schemeClr w14:val="tx1">
                <w14:alpha w14:val="100000"/>
                <w14:lumMod w14:val="95000"/>
                <w14:lumOff w14:val="5000"/>
              </w14:schemeClr>
            </w14:solidFill>
          </w14:textFill>
        </w:rPr>
        <w:t>|</w:t>
      </w:r>
      <w:r>
        <w:t>% would be a more appropriate estimate of patients progressing to 2L ivosidenib treatment. The PBAC considered that this would also account for patients electing to receive ivosidenib</w:t>
      </w:r>
      <w:r w:rsidR="005307EA">
        <w:t xml:space="preserve"> so no additional adjustment for </w:t>
      </w:r>
      <w:r w:rsidR="001F42B2">
        <w:t xml:space="preserve">ivosidenib </w:t>
      </w:r>
      <w:r w:rsidR="005307EA">
        <w:t>uptake is required</w:t>
      </w:r>
      <w:r>
        <w:t>.</w:t>
      </w:r>
      <w:r w:rsidRPr="00237760">
        <w:t xml:space="preserve"> </w:t>
      </w:r>
      <w:r w:rsidR="005307EA">
        <w:t>The PBAC agreed with DUSC that t</w:t>
      </w:r>
      <w:r w:rsidR="005307EA" w:rsidRPr="00080021">
        <w:t xml:space="preserve">he </w:t>
      </w:r>
      <w:r w:rsidR="005307EA" w:rsidRPr="00080021">
        <w:rPr>
          <w:i/>
          <w:iCs/>
        </w:rPr>
        <w:t>IDH1</w:t>
      </w:r>
      <w:r w:rsidR="005307EA" w:rsidRPr="00080021">
        <w:t xml:space="preserve"> test uptake should be increased from </w:t>
      </w:r>
      <w:r w:rsidR="007D44DA" w:rsidRPr="007D44DA">
        <w:rPr>
          <w:spacing w:val="108"/>
          <w:shd w:val="solid" w:color="000000" w:fill="000000"/>
          <w:fitText w:val="330" w:id="-890574848"/>
          <w14:textFill>
            <w14:solidFill>
              <w14:schemeClr w14:val="tx1">
                <w14:alpha w14:val="100000"/>
                <w14:lumMod w14:val="95000"/>
                <w14:lumOff w14:val="5000"/>
              </w14:schemeClr>
            </w14:solidFill>
          </w14:textFill>
        </w:rPr>
        <w:t>|</w:t>
      </w:r>
      <w:r w:rsidR="007D44DA" w:rsidRPr="007D44DA">
        <w:rPr>
          <w:shd w:val="solid" w:color="000000" w:fill="000000"/>
          <w:fitText w:val="330" w:id="-890574848"/>
          <w14:textFill>
            <w14:solidFill>
              <w14:schemeClr w14:val="tx1">
                <w14:alpha w14:val="100000"/>
                <w14:lumMod w14:val="95000"/>
                <w14:lumOff w14:val="5000"/>
              </w14:schemeClr>
            </w14:solidFill>
          </w14:textFill>
        </w:rPr>
        <w:t>|</w:t>
      </w:r>
      <w:r w:rsidR="005307EA" w:rsidRPr="00080021">
        <w:t xml:space="preserve">% to </w:t>
      </w:r>
      <w:r w:rsidR="007D44DA" w:rsidRPr="00F26931">
        <w:rPr>
          <w:spacing w:val="108"/>
          <w:shd w:val="solid" w:color="000000" w:fill="000000"/>
          <w:fitText w:val="330" w:id="-890574847"/>
          <w14:textFill>
            <w14:solidFill>
              <w14:schemeClr w14:val="tx1">
                <w14:alpha w14:val="100000"/>
                <w14:lumMod w14:val="95000"/>
                <w14:lumOff w14:val="5000"/>
              </w14:schemeClr>
            </w14:solidFill>
          </w14:textFill>
        </w:rPr>
        <w:t>|</w:t>
      </w:r>
      <w:r w:rsidR="007D44DA" w:rsidRPr="00F26931">
        <w:rPr>
          <w:shd w:val="solid" w:color="000000" w:fill="000000"/>
          <w:fitText w:val="330" w:id="-890574847"/>
          <w14:textFill>
            <w14:solidFill>
              <w14:schemeClr w14:val="tx1">
                <w14:alpha w14:val="100000"/>
                <w14:lumMod w14:val="95000"/>
                <w14:lumOff w14:val="5000"/>
              </w14:schemeClr>
            </w14:solidFill>
          </w14:textFill>
        </w:rPr>
        <w:t>|</w:t>
      </w:r>
      <w:r w:rsidR="005307EA" w:rsidRPr="00080021">
        <w:t>% as it is likely to become routine</w:t>
      </w:r>
      <w:r w:rsidR="005307EA">
        <w:t xml:space="preserve"> for clinicians to test all patients diagnosed with CCA. The PBAC considered that with these revisions the financial estimates are likely reasonable. </w:t>
      </w:r>
      <w:r w:rsidR="00E84C72">
        <w:t>The PBAC noted that the submission assumed that the untreated prevalent population is expected to be small and will be captured by the sponsor’s patient access program and considered this was reasonable.</w:t>
      </w:r>
      <w:bookmarkEnd w:id="90"/>
      <w:r w:rsidR="00E84C72">
        <w:t xml:space="preserve"> </w:t>
      </w:r>
    </w:p>
    <w:p w14:paraId="5263D229" w14:textId="35814133" w:rsidR="005307EA" w:rsidRDefault="00A01A65" w:rsidP="007E0187">
      <w:pPr>
        <w:pStyle w:val="ListParagraph"/>
      </w:pPr>
      <w:r w:rsidRPr="00A01A65">
        <w:t xml:space="preserve">The PBAC considered the outstanding issues could be easily resolved in a simple resubmission for </w:t>
      </w:r>
      <w:r w:rsidR="005307EA">
        <w:t>ivosidenib</w:t>
      </w:r>
      <w:r w:rsidRPr="00A01A65">
        <w:t xml:space="preserve"> using the early re-entry pathway. If the sponsor accepts this pathway, the following changes may address these outstanding issues without requiring further re-</w:t>
      </w:r>
      <w:r w:rsidR="00DC5CF3">
        <w:t>commentary</w:t>
      </w:r>
      <w:r w:rsidR="005307EA">
        <w:t>:</w:t>
      </w:r>
    </w:p>
    <w:p w14:paraId="55356E8F" w14:textId="1001A773" w:rsidR="005307EA" w:rsidRDefault="005307EA" w:rsidP="00D033A5">
      <w:pPr>
        <w:pStyle w:val="ListParagraph"/>
        <w:numPr>
          <w:ilvl w:val="0"/>
          <w:numId w:val="51"/>
        </w:numPr>
        <w:ind w:left="1134"/>
      </w:pPr>
      <w:r>
        <w:t xml:space="preserve">Revision of the economic model as per paragraphs </w:t>
      </w:r>
      <w:r>
        <w:fldChar w:fldCharType="begin" w:fldLock="1"/>
      </w:r>
      <w:r>
        <w:instrText xml:space="preserve"> REF _Ref173751094 \r \h </w:instrText>
      </w:r>
      <w:r>
        <w:fldChar w:fldCharType="separate"/>
      </w:r>
      <w:r w:rsidR="00CB6594">
        <w:t>7.11</w:t>
      </w:r>
      <w:r>
        <w:fldChar w:fldCharType="end"/>
      </w:r>
      <w:r w:rsidR="0006103F">
        <w:t xml:space="preserve"> to </w:t>
      </w:r>
      <w:r w:rsidR="0006103F">
        <w:fldChar w:fldCharType="begin" w:fldLock="1"/>
      </w:r>
      <w:r w:rsidR="0006103F">
        <w:instrText xml:space="preserve"> REF _Ref173751108 \r \h </w:instrText>
      </w:r>
      <w:r w:rsidR="0006103F">
        <w:fldChar w:fldCharType="separate"/>
      </w:r>
      <w:r w:rsidR="00CB6594">
        <w:t>7.14</w:t>
      </w:r>
      <w:r w:rsidR="0006103F">
        <w:fldChar w:fldCharType="end"/>
      </w:r>
      <w:r w:rsidR="00D42D80">
        <w:t>, without inclusion of FOLFOX as a comparator</w:t>
      </w:r>
      <w:r w:rsidR="0006103F">
        <w:t>.</w:t>
      </w:r>
    </w:p>
    <w:p w14:paraId="5C5C1948" w14:textId="303EF3E6" w:rsidR="0006103F" w:rsidRDefault="0006103F" w:rsidP="00D033A5">
      <w:pPr>
        <w:pStyle w:val="ListParagraph"/>
        <w:numPr>
          <w:ilvl w:val="0"/>
          <w:numId w:val="51"/>
        </w:numPr>
        <w:ind w:left="1134"/>
      </w:pPr>
      <w:r>
        <w:lastRenderedPageBreak/>
        <w:t xml:space="preserve">Reduced price to give an ICER of no more than </w:t>
      </w:r>
      <w:r w:rsidRPr="00E97604">
        <w:t>$</w:t>
      </w:r>
      <w:r w:rsidR="00D56747" w:rsidRPr="00D56747">
        <w:t>55,000 to &lt; $75,000</w:t>
      </w:r>
      <w:r w:rsidRPr="00E97604">
        <w:t>/QALY</w:t>
      </w:r>
      <w:r>
        <w:t xml:space="preserve"> using the revised model.</w:t>
      </w:r>
    </w:p>
    <w:p w14:paraId="199E2C54" w14:textId="4A2CB418" w:rsidR="0006103F" w:rsidRDefault="0006103F" w:rsidP="00D033A5">
      <w:pPr>
        <w:pStyle w:val="ListParagraph"/>
        <w:numPr>
          <w:ilvl w:val="0"/>
          <w:numId w:val="51"/>
        </w:numPr>
        <w:ind w:left="1134"/>
      </w:pPr>
      <w:r>
        <w:t xml:space="preserve">Revision of the financial estimates as per paragraph </w:t>
      </w:r>
      <w:r>
        <w:fldChar w:fldCharType="begin" w:fldLock="1"/>
      </w:r>
      <w:r>
        <w:instrText xml:space="preserve"> REF _Ref173751190 \r \h </w:instrText>
      </w:r>
      <w:r>
        <w:fldChar w:fldCharType="separate"/>
      </w:r>
      <w:r w:rsidR="00CB6594">
        <w:t>7.17</w:t>
      </w:r>
      <w:r>
        <w:fldChar w:fldCharType="end"/>
      </w:r>
      <w:r>
        <w:t>.</w:t>
      </w:r>
    </w:p>
    <w:p w14:paraId="5294BB55" w14:textId="259799D0" w:rsidR="00A01A65" w:rsidRPr="0006103F" w:rsidRDefault="005307EA" w:rsidP="007E0187">
      <w:pPr>
        <w:pStyle w:val="ListParagraph"/>
      </w:pPr>
      <w:r w:rsidRPr="0006103F">
        <w:t xml:space="preserve">The PBAC noted that if MSAC </w:t>
      </w:r>
      <w:r w:rsidR="00017BB3">
        <w:t>is not of a mind to</w:t>
      </w:r>
      <w:r w:rsidR="00496BA8">
        <w:t xml:space="preserve"> recommend</w:t>
      </w:r>
      <w:r w:rsidRPr="0006103F">
        <w:t xml:space="preserve"> the proposed testing component, an integrated resubmission would be required</w:t>
      </w:r>
      <w:r w:rsidR="0006103F" w:rsidRPr="0006103F">
        <w:t>, which would not be suitable for the early re-entry pathway</w:t>
      </w:r>
      <w:r w:rsidRPr="0006103F">
        <w:t xml:space="preserve">. </w:t>
      </w:r>
      <w:r w:rsidR="00A01A65" w:rsidRPr="0006103F">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60A9826E" w14:textId="4B0A50CE" w:rsidR="0006103F" w:rsidRPr="00D033A5" w:rsidRDefault="00A01A65" w:rsidP="0006103F">
      <w:pPr>
        <w:pStyle w:val="ListParagraph"/>
        <w:rPr>
          <w:b/>
          <w:snapToGrid w:val="0"/>
          <w:lang w:val="en-GB"/>
        </w:rPr>
      </w:pPr>
      <w:r w:rsidRPr="00A01A65">
        <w:rPr>
          <w:snapToGrid w:val="0"/>
          <w:lang w:val="en-GB"/>
        </w:rPr>
        <w:t xml:space="preserve">The PBAC noted that this submission is eligible for an Independent Review. </w:t>
      </w:r>
    </w:p>
    <w:p w14:paraId="3AC3CD4D" w14:textId="402B8566" w:rsidR="00A01A65" w:rsidRPr="0006103F" w:rsidRDefault="00A01A65" w:rsidP="00D033A5">
      <w:pPr>
        <w:spacing w:after="0"/>
        <w:rPr>
          <w:rFonts w:ascii="Calibri" w:eastAsia="Times New Roman" w:hAnsi="Calibri" w:cs="Arial"/>
          <w:b/>
          <w:bCs/>
          <w:snapToGrid w:val="0"/>
          <w:szCs w:val="24"/>
          <w:lang w:val="en-GB"/>
        </w:rPr>
      </w:pPr>
      <w:r w:rsidRPr="0006103F">
        <w:rPr>
          <w:rFonts w:ascii="Calibri" w:eastAsia="Times New Roman" w:hAnsi="Calibri" w:cs="Arial"/>
          <w:b/>
          <w:bCs/>
          <w:snapToGrid w:val="0"/>
          <w:szCs w:val="24"/>
          <w:lang w:val="en-GB"/>
        </w:rPr>
        <w:t>Outcome:</w:t>
      </w:r>
    </w:p>
    <w:p w14:paraId="1B4FC30E" w14:textId="7E0A4D87" w:rsidR="00BD221D" w:rsidRPr="00D033A5" w:rsidRDefault="00A01A65" w:rsidP="00D033A5">
      <w:pPr>
        <w:spacing w:before="0" w:after="120"/>
        <w:rPr>
          <w:rFonts w:ascii="Calibri" w:eastAsia="Times New Roman" w:hAnsi="Calibri" w:cs="Arial"/>
          <w:bCs/>
          <w:snapToGrid w:val="0"/>
          <w:szCs w:val="24"/>
          <w:lang w:val="en-GB"/>
        </w:rPr>
      </w:pPr>
      <w:r w:rsidRPr="00A01A65">
        <w:rPr>
          <w:rFonts w:ascii="Calibri" w:eastAsia="Times New Roman" w:hAnsi="Calibri" w:cs="Arial"/>
          <w:bCs/>
          <w:snapToGrid w:val="0"/>
          <w:szCs w:val="24"/>
          <w:lang w:val="en-GB"/>
        </w:rPr>
        <w:t>Not recommended</w:t>
      </w:r>
      <w:bookmarkStart w:id="91" w:name="_Hlk175730821"/>
      <w:bookmarkEnd w:id="86"/>
      <w:bookmarkEnd w:id="87"/>
    </w:p>
    <w:p w14:paraId="5DFAA1B0" w14:textId="46B49D0B" w:rsidR="00BD221D" w:rsidRPr="00BD221D" w:rsidRDefault="00BD221D" w:rsidP="00BD221D">
      <w:pPr>
        <w:keepNext/>
        <w:numPr>
          <w:ilvl w:val="0"/>
          <w:numId w:val="1"/>
        </w:numPr>
        <w:spacing w:before="240" w:after="120"/>
        <w:jc w:val="left"/>
        <w:outlineLvl w:val="0"/>
        <w:rPr>
          <w:rFonts w:ascii="Calibri" w:eastAsia="Times New Roman" w:hAnsi="Calibri" w:cs="Arial"/>
          <w:b/>
          <w:bCs/>
          <w:snapToGrid w:val="0"/>
          <w:sz w:val="32"/>
          <w:szCs w:val="32"/>
          <w:lang w:val="en-GB" w:eastAsia="en-AU"/>
        </w:rPr>
      </w:pPr>
      <w:r w:rsidRPr="00BD221D">
        <w:rPr>
          <w:rFonts w:ascii="Calibri" w:eastAsia="Times New Roman" w:hAnsi="Calibri" w:cs="Arial"/>
          <w:b/>
          <w:bCs/>
          <w:snapToGrid w:val="0"/>
          <w:sz w:val="32"/>
          <w:szCs w:val="32"/>
          <w:lang w:eastAsia="en-AU"/>
        </w:rPr>
        <w:t>Context for Decision</w:t>
      </w:r>
    </w:p>
    <w:p w14:paraId="7319C037" w14:textId="77777777" w:rsidR="00BD221D" w:rsidRPr="00BD221D" w:rsidRDefault="00BD221D" w:rsidP="00BD221D">
      <w:pPr>
        <w:spacing w:before="0" w:after="120"/>
        <w:ind w:left="720"/>
        <w:rPr>
          <w:rFonts w:ascii="Calibri" w:eastAsia="Times New Roman" w:hAnsi="Calibri" w:cs="Arial"/>
          <w:bCs/>
          <w:szCs w:val="24"/>
          <w:lang w:val="en-GB" w:eastAsia="en-AU"/>
        </w:rPr>
      </w:pPr>
      <w:r w:rsidRPr="00BD221D">
        <w:rPr>
          <w:rFonts w:ascii="Calibri" w:eastAsia="Times New Roman" w:hAnsi="Calibri" w:cs="Arial"/>
          <w:bCs/>
          <w:szCs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DEFF1AC" w14:textId="77777777" w:rsidR="00BD221D" w:rsidRPr="00BD221D" w:rsidRDefault="00BD221D" w:rsidP="00BD221D">
      <w:pPr>
        <w:keepNext/>
        <w:numPr>
          <w:ilvl w:val="0"/>
          <w:numId w:val="1"/>
        </w:numPr>
        <w:spacing w:before="240" w:after="120"/>
        <w:jc w:val="left"/>
        <w:outlineLvl w:val="0"/>
        <w:rPr>
          <w:rFonts w:ascii="Calibri" w:eastAsia="Times New Roman" w:hAnsi="Calibri" w:cs="Arial"/>
          <w:b/>
          <w:snapToGrid w:val="0"/>
          <w:sz w:val="32"/>
          <w:szCs w:val="32"/>
          <w:lang w:eastAsia="en-AU"/>
        </w:rPr>
      </w:pPr>
      <w:r w:rsidRPr="00BD221D">
        <w:rPr>
          <w:rFonts w:ascii="Calibri" w:eastAsia="Times New Roman" w:hAnsi="Calibri" w:cs="Arial"/>
          <w:b/>
          <w:snapToGrid w:val="0"/>
          <w:sz w:val="32"/>
          <w:szCs w:val="32"/>
          <w:lang w:eastAsia="en-AU"/>
        </w:rPr>
        <w:t>Sponsor’s Comment</w:t>
      </w:r>
    </w:p>
    <w:p w14:paraId="681B42B4" w14:textId="30F715B5" w:rsidR="00102D9B" w:rsidRDefault="00BD221D" w:rsidP="00D033A5">
      <w:pPr>
        <w:spacing w:before="0" w:after="120" w:line="276" w:lineRule="auto"/>
        <w:ind w:left="720"/>
        <w:rPr>
          <w:rFonts w:eastAsia="Times New Roman" w:cs="Arial"/>
          <w:b/>
          <w:snapToGrid w:val="0"/>
          <w:sz w:val="32"/>
          <w:szCs w:val="32"/>
          <w:lang w:eastAsia="en-AU"/>
        </w:rPr>
      </w:pPr>
      <w:r w:rsidRPr="00BD221D">
        <w:rPr>
          <w:rFonts w:ascii="Calibri" w:eastAsia="Calibri" w:hAnsi="Calibri" w:cs="Arial"/>
          <w:bCs/>
        </w:rPr>
        <w:t>The sponsor had no comment.</w:t>
      </w:r>
      <w:bookmarkEnd w:id="91"/>
    </w:p>
    <w:sectPr w:rsidR="00102D9B" w:rsidSect="007E0187">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2103" w14:textId="77777777" w:rsidR="00365048" w:rsidRPr="009467C0" w:rsidRDefault="00365048" w:rsidP="00BA3306">
      <w:pPr>
        <w:spacing w:before="0" w:after="0"/>
      </w:pPr>
      <w:r w:rsidRPr="009467C0">
        <w:separator/>
      </w:r>
    </w:p>
    <w:p w14:paraId="018E47C3" w14:textId="77777777" w:rsidR="00365048" w:rsidRPr="009467C0" w:rsidRDefault="00365048"/>
  </w:endnote>
  <w:endnote w:type="continuationSeparator" w:id="0">
    <w:p w14:paraId="6BB94FE9" w14:textId="77777777" w:rsidR="00365048" w:rsidRPr="009467C0" w:rsidRDefault="00365048" w:rsidP="00BA3306">
      <w:pPr>
        <w:spacing w:before="0" w:after="0"/>
      </w:pPr>
      <w:r w:rsidRPr="009467C0">
        <w:continuationSeparator/>
      </w:r>
    </w:p>
    <w:p w14:paraId="3F3B92D5" w14:textId="77777777" w:rsidR="00365048" w:rsidRPr="009467C0" w:rsidRDefault="00365048"/>
  </w:endnote>
  <w:endnote w:type="continuationNotice" w:id="1">
    <w:p w14:paraId="2EA4E354" w14:textId="77777777" w:rsidR="00365048" w:rsidRPr="009467C0" w:rsidRDefault="0036504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 (Body)">
    <w:altName w:val="Calibri"/>
    <w:charset w:val="00"/>
    <w:family w:val="roman"/>
    <w:pitch w:val="default"/>
  </w:font>
  <w:font w:name="Sitka Text">
    <w:panose1 w:val="02000505000000020004"/>
    <w:charset w:val="00"/>
    <w:family w:val="auto"/>
    <w:pitch w:val="variable"/>
    <w:sig w:usb0="A00002EF" w:usb1="4000204B" w:usb2="00000000" w:usb3="00000000" w:csb0="0000019F" w:csb1="00000000"/>
  </w:font>
  <w:font w:name="Helvetica">
    <w:panose1 w:val="020B0604020202020204"/>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3880" w14:textId="77777777" w:rsidR="00E26C98" w:rsidRDefault="00E26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A133" w14:textId="77777777" w:rsidR="007E0187" w:rsidRDefault="007E0187" w:rsidP="00C317F3">
    <w:pPr>
      <w:pStyle w:val="Footer"/>
      <w:jc w:val="center"/>
      <w:rPr>
        <w:b/>
        <w:bCs/>
      </w:rPr>
    </w:pPr>
  </w:p>
  <w:p w14:paraId="2C09C107" w14:textId="6616686A" w:rsidR="00181B1F" w:rsidRPr="00C30625" w:rsidRDefault="00C30625" w:rsidP="00C317F3">
    <w:pPr>
      <w:pStyle w:val="Footer"/>
      <w:jc w:val="center"/>
      <w:rPr>
        <w:b/>
        <w:bCs/>
      </w:rPr>
    </w:pPr>
    <w:r w:rsidRPr="00C30625">
      <w:rPr>
        <w:b/>
        <w:bCs/>
      </w:rPr>
      <w:fldChar w:fldCharType="begin"/>
    </w:r>
    <w:r w:rsidRPr="00C30625">
      <w:rPr>
        <w:b/>
        <w:bCs/>
      </w:rPr>
      <w:instrText xml:space="preserve"> PAGE   \* MERGEFORMAT </w:instrText>
    </w:r>
    <w:r w:rsidRPr="00C30625">
      <w:rPr>
        <w:b/>
        <w:bCs/>
      </w:rPr>
      <w:fldChar w:fldCharType="separate"/>
    </w:r>
    <w:r w:rsidRPr="00C30625">
      <w:rPr>
        <w:b/>
        <w:bCs/>
        <w:noProof/>
      </w:rPr>
      <w:t>1</w:t>
    </w:r>
    <w:r w:rsidRPr="00C30625">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4ACA" w14:textId="77777777" w:rsidR="00E26C98" w:rsidRDefault="00E26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94B32" w14:textId="77777777" w:rsidR="00365048" w:rsidRPr="009467C0" w:rsidRDefault="00365048" w:rsidP="00890334">
      <w:pPr>
        <w:spacing w:before="0" w:after="0"/>
      </w:pPr>
      <w:r w:rsidRPr="009467C0">
        <w:separator/>
      </w:r>
    </w:p>
  </w:footnote>
  <w:footnote w:type="continuationSeparator" w:id="0">
    <w:p w14:paraId="4B09F213" w14:textId="77777777" w:rsidR="00365048" w:rsidRPr="009467C0" w:rsidRDefault="00365048" w:rsidP="00BA3306">
      <w:pPr>
        <w:spacing w:before="0" w:after="0"/>
      </w:pPr>
      <w:r w:rsidRPr="009467C0">
        <w:continuationSeparator/>
      </w:r>
    </w:p>
    <w:p w14:paraId="5798940C" w14:textId="77777777" w:rsidR="00365048" w:rsidRPr="009467C0" w:rsidRDefault="00365048"/>
  </w:footnote>
  <w:footnote w:type="continuationNotice" w:id="1">
    <w:p w14:paraId="7839E8BC" w14:textId="77777777" w:rsidR="00365048" w:rsidRPr="009467C0" w:rsidRDefault="00365048">
      <w:pPr>
        <w:spacing w:before="0" w:after="0"/>
      </w:pPr>
    </w:p>
  </w:footnote>
  <w:footnote w:id="2">
    <w:p w14:paraId="3EC1308C" w14:textId="77777777" w:rsidR="00B6220E" w:rsidRPr="009467C0" w:rsidRDefault="00B6220E" w:rsidP="00D97A0F">
      <w:pPr>
        <w:pStyle w:val="FootnoteText"/>
      </w:pPr>
      <w:r w:rsidRPr="009467C0">
        <w:rPr>
          <w:rStyle w:val="FootnoteReference"/>
        </w:rPr>
        <w:footnoteRef/>
      </w:r>
      <w:r w:rsidRPr="009467C0">
        <w:t xml:space="preserve"> Banales JM et al. Expert consensus documents: Cholangiocarcinoma: current knowledge and future perspectives consensus statement from the European Network for the Study of Cholangiocarcinoma (ENS-CCA). Nature Reviews Gastroenterology &amp; Hepatology. 2016; 13(5): 261-280.</w:t>
      </w:r>
    </w:p>
  </w:footnote>
  <w:footnote w:id="3">
    <w:p w14:paraId="14704500" w14:textId="77777777" w:rsidR="00B6220E" w:rsidRPr="003B0EA5" w:rsidRDefault="00B6220E" w:rsidP="00D97A0F">
      <w:pPr>
        <w:pStyle w:val="FootnoteText"/>
        <w:rPr>
          <w:lang w:val="pt-PT"/>
        </w:rPr>
      </w:pPr>
      <w:r w:rsidRPr="009467C0">
        <w:rPr>
          <w:rStyle w:val="FootnoteReference"/>
        </w:rPr>
        <w:footnoteRef/>
      </w:r>
      <w:r w:rsidRPr="009467C0">
        <w:t xml:space="preserve">Australian Institute of Health and Welfare. </w:t>
      </w:r>
      <w:r w:rsidRPr="003B0EA5">
        <w:rPr>
          <w:lang w:val="pt-PT"/>
        </w:rPr>
        <w:t>Cancer data in Australia. Canberra: AIHW; 2022.</w:t>
      </w:r>
    </w:p>
  </w:footnote>
  <w:footnote w:id="4">
    <w:p w14:paraId="3F9624A7" w14:textId="22F7060D" w:rsidR="00CD7385" w:rsidRPr="009467C0" w:rsidRDefault="00CD7385" w:rsidP="00D97A0F">
      <w:pPr>
        <w:pStyle w:val="FootnoteText"/>
      </w:pPr>
      <w:r w:rsidRPr="009467C0">
        <w:rPr>
          <w:rStyle w:val="FootnoteReference"/>
        </w:rPr>
        <w:footnoteRef/>
      </w:r>
      <w:r w:rsidRPr="009467C0">
        <w:t xml:space="preserve"> Forner A et al. Clinical presentation, diagnosis and staging of cholangiocarcinoma. Liver International. 2019; 39(S1): 98-107.</w:t>
      </w:r>
    </w:p>
  </w:footnote>
  <w:footnote w:id="5">
    <w:p w14:paraId="479351DD" w14:textId="779D4C05" w:rsidR="00CD7385" w:rsidRPr="009467C0" w:rsidRDefault="00CD7385" w:rsidP="00D97A0F">
      <w:pPr>
        <w:pStyle w:val="FootnoteText"/>
      </w:pPr>
      <w:r w:rsidRPr="009467C0">
        <w:rPr>
          <w:rStyle w:val="FootnoteReference"/>
        </w:rPr>
        <w:footnoteRef/>
      </w:r>
      <w:r w:rsidRPr="009467C0">
        <w:t xml:space="preserve"> Li Y, Song Y &amp; Liu S. The new insight of treatment in cholangiocarcinoma. Journal of Cancer. 2022; 13(2): 450-464.</w:t>
      </w:r>
    </w:p>
  </w:footnote>
  <w:footnote w:id="6">
    <w:p w14:paraId="5714DD32" w14:textId="2F320798" w:rsidR="00C51369" w:rsidRPr="009467C0" w:rsidRDefault="00C51369" w:rsidP="00D97A0F">
      <w:pPr>
        <w:autoSpaceDE w:val="0"/>
        <w:autoSpaceDN w:val="0"/>
        <w:adjustRightInd w:val="0"/>
        <w:spacing w:before="0" w:after="0"/>
        <w:rPr>
          <w:rFonts w:cstheme="minorHAnsi"/>
          <w:sz w:val="18"/>
          <w:szCs w:val="18"/>
        </w:rPr>
      </w:pPr>
      <w:r w:rsidRPr="009467C0">
        <w:rPr>
          <w:rStyle w:val="FootnoteReference"/>
          <w:sz w:val="18"/>
          <w:szCs w:val="18"/>
        </w:rPr>
        <w:footnoteRef/>
      </w:r>
      <w:r w:rsidRPr="009467C0">
        <w:t xml:space="preserve"> </w:t>
      </w:r>
      <w:r w:rsidRPr="009467C0">
        <w:rPr>
          <w:rFonts w:cstheme="minorHAnsi"/>
          <w:sz w:val="18"/>
          <w:szCs w:val="18"/>
        </w:rPr>
        <w:t xml:space="preserve">Neoptolemos JP et al. </w:t>
      </w:r>
      <w:r w:rsidR="00E11D20" w:rsidRPr="009467C0">
        <w:rPr>
          <w:rFonts w:cstheme="minorHAnsi"/>
          <w:sz w:val="18"/>
          <w:szCs w:val="18"/>
        </w:rPr>
        <w:t>Effect of adjuvant chemotherapy with fluorouracil plus folinic acid or gemcitabine vs observation on survival in patients with resected periampullary adenocarcinoma: the ESPAC-3 periampullary cancer randomized trial. JAMA. 2012; 308(2): 147-156.</w:t>
      </w:r>
    </w:p>
    <w:p w14:paraId="50DCC533" w14:textId="11310453" w:rsidR="004F3A92" w:rsidRPr="009467C0" w:rsidRDefault="004F3A92" w:rsidP="00D97A0F">
      <w:pPr>
        <w:autoSpaceDE w:val="0"/>
        <w:autoSpaceDN w:val="0"/>
        <w:adjustRightInd w:val="0"/>
        <w:spacing w:before="0" w:after="0"/>
        <w:rPr>
          <w:rFonts w:cstheme="minorHAnsi"/>
          <w:sz w:val="18"/>
          <w:szCs w:val="18"/>
        </w:rPr>
      </w:pPr>
      <w:r w:rsidRPr="009467C0">
        <w:rPr>
          <w:rFonts w:cstheme="minorHAnsi"/>
          <w:sz w:val="18"/>
          <w:szCs w:val="18"/>
        </w:rPr>
        <w:t>Primrose JN et al. Capecitabine compared with observation in resected biliary tract cancer (BILCAP): a randomised, controlled, multicentre, phase 3 study. Lancet Oncology. 2019; 20(5): 663-673.</w:t>
      </w:r>
    </w:p>
  </w:footnote>
  <w:footnote w:id="7">
    <w:p w14:paraId="0F62E33F" w14:textId="2BA36AE8" w:rsidR="00A74E0E" w:rsidRPr="009467C0" w:rsidRDefault="00A74E0E" w:rsidP="00320B85">
      <w:pPr>
        <w:pStyle w:val="FootnoteText"/>
        <w:jc w:val="left"/>
      </w:pPr>
      <w:r w:rsidRPr="009467C0">
        <w:rPr>
          <w:rStyle w:val="FootnoteReference"/>
        </w:rPr>
        <w:footnoteRef/>
      </w:r>
      <w:r w:rsidRPr="009467C0">
        <w:t xml:space="preserve"> Groot Koerkamp B et al. Recurrence rate and pattern of perihilar cholangiocarcinoma after curative intent resection. Journal of the American College of Surgeons. 2015; 221(6): 1041-1049.</w:t>
      </w:r>
    </w:p>
  </w:footnote>
  <w:footnote w:id="8">
    <w:p w14:paraId="7E4BA3BD" w14:textId="1E1E59CD" w:rsidR="00A74E0E" w:rsidRPr="009467C0" w:rsidRDefault="00A74E0E" w:rsidP="00320B85">
      <w:pPr>
        <w:pStyle w:val="FootnoteText"/>
        <w:jc w:val="left"/>
      </w:pPr>
      <w:r w:rsidRPr="009467C0">
        <w:rPr>
          <w:rStyle w:val="FootnoteReference"/>
        </w:rPr>
        <w:footnoteRef/>
      </w:r>
      <w:r w:rsidRPr="009467C0">
        <w:t xml:space="preserve"> Horgan AM et al. Adjuvant therapy in the treatment of biliary tract cancer: a systemic review and meta-analysis. Journal of Clinical Oncology. 30(16): 1934-1940.</w:t>
      </w:r>
    </w:p>
  </w:footnote>
  <w:footnote w:id="9">
    <w:p w14:paraId="3213D82F" w14:textId="77777777" w:rsidR="00B6220E" w:rsidRPr="009467C0" w:rsidRDefault="00B6220E" w:rsidP="00320B85">
      <w:pPr>
        <w:pStyle w:val="FootnoteText"/>
        <w:jc w:val="left"/>
      </w:pPr>
      <w:r w:rsidRPr="009467C0">
        <w:rPr>
          <w:rStyle w:val="FootnoteReference"/>
        </w:rPr>
        <w:footnoteRef/>
      </w:r>
      <w:r w:rsidRPr="009467C0">
        <w:t>American Cancer Society: Survival Rates for Bile Duct Cancer. Available from URL: https://www.cancer.org/cancer/types/bile-duct-cancer/detection-diagnosis-staging/survival-by-stage.html [Accessed 5 March 2024]</w:t>
      </w:r>
    </w:p>
  </w:footnote>
  <w:footnote w:id="10">
    <w:p w14:paraId="55688AED" w14:textId="77777777" w:rsidR="0002135E" w:rsidRPr="009467C0" w:rsidRDefault="0002135E" w:rsidP="00320B85">
      <w:pPr>
        <w:pStyle w:val="FootnoteText"/>
        <w:jc w:val="left"/>
      </w:pPr>
      <w:r w:rsidRPr="009467C0">
        <w:rPr>
          <w:rStyle w:val="FootnoteReference"/>
        </w:rPr>
        <w:footnoteRef/>
      </w:r>
      <w:r w:rsidRPr="009467C0">
        <w:t xml:space="preserve"> American Cancer Society: Survival Rates for Bile Duct Cancer. Available from URL: https://www.cancer.org/cancer/types/bile-duct-cancer/detection-diagnosis-staging/survival-by-stage.html [Accessed 5 March 2024].</w:t>
      </w:r>
    </w:p>
  </w:footnote>
  <w:footnote w:id="11">
    <w:p w14:paraId="3BB05602" w14:textId="77777777" w:rsidR="004F3A92" w:rsidRPr="009467C0" w:rsidRDefault="0002135E" w:rsidP="00320B85">
      <w:pPr>
        <w:pStyle w:val="FootnoteText"/>
        <w:jc w:val="left"/>
        <w:rPr>
          <w:rFonts w:cstheme="minorHAnsi"/>
          <w:szCs w:val="18"/>
        </w:rPr>
      </w:pPr>
      <w:r w:rsidRPr="009467C0">
        <w:rPr>
          <w:rStyle w:val="FootnoteReference"/>
        </w:rPr>
        <w:footnoteRef/>
      </w:r>
      <w:r w:rsidRPr="009467C0">
        <w:t xml:space="preserve"> </w:t>
      </w:r>
      <w:r w:rsidR="004F3A92" w:rsidRPr="009467C0">
        <w:rPr>
          <w:rFonts w:cstheme="minorHAnsi"/>
          <w:szCs w:val="18"/>
        </w:rPr>
        <w:t>National Comprehensive Cancer Network. Biliary Tract Cancers (Version 2.2023). https://www.nccn.org/professionals/physician_gls/pdf//btc.pdf. Accessed 17 April 2024.</w:t>
      </w:r>
    </w:p>
    <w:p w14:paraId="4597601F" w14:textId="77777777" w:rsidR="004F3A92" w:rsidRPr="009467C0" w:rsidRDefault="004F3A92" w:rsidP="00320B85">
      <w:pPr>
        <w:pStyle w:val="FootnoteText"/>
        <w:jc w:val="left"/>
      </w:pPr>
      <w:r w:rsidRPr="009467C0">
        <w:t>Vogel A et al. Biliary tract cancer: ESMO clinical practice guideline for diagnosis, treatment and follow-up. Annals of Oncology. 2023; 34(2): 127-140.</w:t>
      </w:r>
    </w:p>
    <w:p w14:paraId="0DD7617E" w14:textId="12FE6C8F" w:rsidR="0002135E" w:rsidRPr="009467C0" w:rsidRDefault="0002135E" w:rsidP="00320B85">
      <w:pPr>
        <w:pStyle w:val="FootnoteText"/>
        <w:jc w:val="left"/>
      </w:pPr>
      <w:r w:rsidRPr="009467C0">
        <w:t>Cancer Institute NSW, eviQ, Biliary and gallbladder advanced cisplatin and gemcitabine. Available from URL: https://www.eviq.org.au/medical-oncology/upper-gastrointestinal/pancreas-and-biliary/4301-biliary-and-gallbladder-advanced-cisplatin-g [Accessed 7 April 2024]</w:t>
      </w:r>
    </w:p>
  </w:footnote>
  <w:footnote w:id="12">
    <w:p w14:paraId="1AC3E49C" w14:textId="1C2A6376" w:rsidR="0002135E" w:rsidRPr="009467C0" w:rsidRDefault="0002135E" w:rsidP="00320B85">
      <w:pPr>
        <w:pStyle w:val="FootnoteText"/>
        <w:jc w:val="left"/>
      </w:pPr>
      <w:r w:rsidRPr="009467C0">
        <w:rPr>
          <w:rStyle w:val="FootnoteReference"/>
        </w:rPr>
        <w:footnoteRef/>
      </w:r>
      <w:r w:rsidRPr="009467C0">
        <w:t xml:space="preserve"> Cancer Institute NSW, eviQ, Biliary and gallbladder advanced FOLFOX6 (modified)(fluorouracil leucovorin oxaliplatin). Available from URL: https://www.eviq.org.au/medical-oncology/upper-gastrointestinal/pancreas-and-biliary/3875-biliary-and-gallbladder-advanced-folfox6-mod</w:t>
      </w:r>
    </w:p>
  </w:footnote>
  <w:footnote w:id="13">
    <w:p w14:paraId="09BD5830" w14:textId="53180979" w:rsidR="00C85687" w:rsidRPr="009467C0" w:rsidRDefault="00C85687" w:rsidP="00E24D47">
      <w:pPr>
        <w:pStyle w:val="FootnoteText"/>
        <w:ind w:left="142" w:hanging="142"/>
      </w:pPr>
      <w:r w:rsidRPr="009467C0">
        <w:rPr>
          <w:rStyle w:val="FootnoteReference"/>
        </w:rPr>
        <w:footnoteRef/>
      </w:r>
      <w:r w:rsidRPr="009467C0">
        <w:t xml:space="preserve"> Valle J et al. Cisplatin plus Gemcitabine versus Gemcitabine for Biliary Tract Cancer. The New England Journal of Medicine. 2010; 362(14): 1273-1281.</w:t>
      </w:r>
    </w:p>
    <w:p w14:paraId="3FECCD8E" w14:textId="77777777" w:rsidR="00C85687" w:rsidRPr="009467C0" w:rsidRDefault="00C85687" w:rsidP="00E24D47">
      <w:pPr>
        <w:pStyle w:val="FootnoteText"/>
        <w:ind w:left="142"/>
      </w:pPr>
      <w:r w:rsidRPr="009467C0">
        <w:t>Cassier PA. Outcome of patients receiving chemotherapy for advanced biliary tract or gallbladder carcinoma. European Journal of Gastroenterology &amp; Hepatology. 2010; 22(9): 1111-1117.</w:t>
      </w:r>
    </w:p>
    <w:p w14:paraId="7A968930" w14:textId="77777777" w:rsidR="00C85687" w:rsidRPr="009467C0" w:rsidRDefault="00C85687" w:rsidP="00E24D47">
      <w:pPr>
        <w:pStyle w:val="FootnoteText"/>
        <w:ind w:left="142"/>
      </w:pPr>
      <w:r w:rsidRPr="009467C0">
        <w:t>Walter T et al. Feasibility and benefits of second-line chemotherapy in advanced biliary tract cancer: A large retrospective study. European Journal of Cancer. 2013; 49(2): 329-335.</w:t>
      </w:r>
    </w:p>
    <w:p w14:paraId="7C19F703" w14:textId="77777777" w:rsidR="00C85687" w:rsidRPr="009467C0" w:rsidRDefault="00C85687" w:rsidP="00E24D47">
      <w:pPr>
        <w:pStyle w:val="FootnoteText"/>
        <w:ind w:left="142"/>
      </w:pPr>
      <w:r w:rsidRPr="009467C0">
        <w:t>Malka D et al. Gemcitabine and oxaliplatin with or without cetuximab in advanced biliary-tract cancer (BINGO): a randomised, open-label, non-comparative phase 2 trial. Lancet Oncology. 2014; 15: 819-828.</w:t>
      </w:r>
    </w:p>
    <w:p w14:paraId="0B26229B" w14:textId="77777777" w:rsidR="00C85687" w:rsidRPr="009467C0" w:rsidRDefault="00C85687" w:rsidP="00E24D47">
      <w:pPr>
        <w:pStyle w:val="FootnoteText"/>
        <w:ind w:left="142"/>
      </w:pPr>
      <w:r w:rsidRPr="009467C0">
        <w:t>Möhring C et al. First Line and Second Line Chemotherapy in Advanced Cholangiocarcinoma and Impact of Dose Reduction of Chemotherapy: A Retrospective Analysis. Frontiers in Oncology. 2021; 11: 717397.</w:t>
      </w:r>
    </w:p>
    <w:p w14:paraId="1684AC32" w14:textId="099BA7D0" w:rsidR="00C85687" w:rsidRPr="009467C0" w:rsidRDefault="00C85687" w:rsidP="00E24D47">
      <w:pPr>
        <w:pStyle w:val="FootnoteText"/>
        <w:ind w:left="142"/>
      </w:pPr>
      <w:r w:rsidRPr="009467C0">
        <w:t>Oh et al. Durvalumab plus gemcitabine and cisplatin and advanced biliary tract cancer. The New England Journal of Medicine. 2022; 1(8): EVIDoa2200015</w:t>
      </w:r>
      <w:r w:rsidR="00607317" w:rsidRPr="009467C0">
        <w:t>.</w:t>
      </w:r>
    </w:p>
  </w:footnote>
  <w:footnote w:id="14">
    <w:p w14:paraId="75B61973" w14:textId="1A308D15" w:rsidR="00C64C0B" w:rsidRDefault="00C64C0B" w:rsidP="00AB0371">
      <w:pPr>
        <w:pStyle w:val="FootnoteText"/>
        <w:ind w:left="142" w:hanging="142"/>
      </w:pPr>
      <w:r>
        <w:rPr>
          <w:rStyle w:val="FootnoteReference"/>
        </w:rPr>
        <w:footnoteRef/>
      </w:r>
      <w:r w:rsidR="00036951">
        <w:t>Bouattour</w:t>
      </w:r>
      <w:r w:rsidR="00BD01A3">
        <w:t xml:space="preserve">, M. et al Characterisation of long-term survivors in the TOPAZ-1 study of durvalumab or placebo plus gemcitabine and cisplatin in advanced biliary tract cancer. </w:t>
      </w:r>
      <w:r w:rsidR="00C76062" w:rsidRPr="00203E8F">
        <w:rPr>
          <w:i/>
          <w:iCs/>
        </w:rPr>
        <w:t>American Society of Clinical Oncology 2023</w:t>
      </w:r>
      <w:r w:rsidR="00C64D07">
        <w:t xml:space="preserve">. </w:t>
      </w:r>
      <w:r w:rsidR="00C64D07" w:rsidRPr="00C64D07">
        <w:t>https://ascopubs.org/doi/pdfdirect/10.1200/JCO.2023.41.4_suppl.531</w:t>
      </w:r>
      <w:r w:rsidR="00C76062">
        <w:t xml:space="preserve"> </w:t>
      </w:r>
    </w:p>
  </w:footnote>
  <w:footnote w:id="15">
    <w:p w14:paraId="4777C77A" w14:textId="77777777" w:rsidR="00497E26" w:rsidRPr="00497E26" w:rsidRDefault="00497E26" w:rsidP="00497E26">
      <w:pPr>
        <w:pStyle w:val="FootnoteText"/>
        <w:rPr>
          <w:sz w:val="20"/>
        </w:rPr>
      </w:pPr>
      <w:r w:rsidRPr="00497E26">
        <w:rPr>
          <w:rStyle w:val="FootnoteReference"/>
          <w:sz w:val="20"/>
        </w:rPr>
        <w:footnoteRef/>
      </w:r>
      <w:r w:rsidRPr="00497E26">
        <w:rPr>
          <w:sz w:val="20"/>
        </w:rPr>
        <w:t xml:space="preserve"> </w:t>
      </w:r>
      <w:r w:rsidRPr="00497E26">
        <w:rPr>
          <w:rFonts w:cs="Arial"/>
          <w:bCs/>
          <w:snapToGrid w:val="0"/>
          <w:sz w:val="20"/>
        </w:rPr>
        <w:t>Cherny NI, Dafni U, Bogaerts J, et al: ESMO-Magnitude of Clinical Benefit Scale version 1.1. Annals of Oncology 28:2340-2366, 2017]</w:t>
      </w:r>
    </w:p>
  </w:footnote>
  <w:footnote w:id="16">
    <w:p w14:paraId="2D6B0734" w14:textId="30E4E7B3" w:rsidR="00B02479" w:rsidRPr="009467C0" w:rsidRDefault="00B02479">
      <w:pPr>
        <w:pStyle w:val="FootnoteText"/>
      </w:pPr>
      <w:r w:rsidRPr="009467C0">
        <w:rPr>
          <w:rStyle w:val="FootnoteReference"/>
        </w:rPr>
        <w:footnoteRef/>
      </w:r>
      <w:r w:rsidRPr="009467C0">
        <w:t xml:space="preserve"> Zhu et al. </w:t>
      </w:r>
      <w:r w:rsidRPr="009467C0">
        <w:rPr>
          <w:rStyle w:val="cf01"/>
        </w:rPr>
        <w:t>Final overall survival efficacy results of ivosidenib for patients with advanced cholangiocarcinoma with IDH1 mutation: The Phase 3 randomized clinical ClarIDHy trial. JAMA Oncology. 2021; 7(11): 1669-1677.</w:t>
      </w:r>
    </w:p>
  </w:footnote>
  <w:footnote w:id="17">
    <w:p w14:paraId="72A79AD7" w14:textId="3DC3F4CC" w:rsidR="00A02171" w:rsidRDefault="00A02171">
      <w:pPr>
        <w:pStyle w:val="FootnoteText"/>
      </w:pPr>
      <w:r>
        <w:rPr>
          <w:rStyle w:val="FootnoteReference"/>
        </w:rPr>
        <w:footnoteRef/>
      </w:r>
      <w:r>
        <w:t xml:space="preserve"> In the ClarIDHy trial, the length of cycle was </w:t>
      </w:r>
      <w:r w:rsidRPr="00A02171">
        <w:t>28 days (± 2 days)</w:t>
      </w:r>
      <w:r>
        <w:t>.</w:t>
      </w:r>
    </w:p>
  </w:footnote>
  <w:footnote w:id="18">
    <w:p w14:paraId="391A9160" w14:textId="64452E4B" w:rsidR="004A497E" w:rsidRPr="009467C0" w:rsidRDefault="004A497E">
      <w:pPr>
        <w:pStyle w:val="FootnoteText"/>
      </w:pPr>
      <w:r w:rsidRPr="009467C0">
        <w:rPr>
          <w:rStyle w:val="FootnoteReference"/>
        </w:rPr>
        <w:footnoteRef/>
      </w:r>
      <w:r w:rsidRPr="009467C0">
        <w:t xml:space="preserve"> Defined as a 10- point difference from baseline</w:t>
      </w:r>
    </w:p>
  </w:footnote>
  <w:footnote w:id="19">
    <w:p w14:paraId="1B8ECC6F" w14:textId="2D4CDB09" w:rsidR="007F04BA" w:rsidRPr="009467C0" w:rsidRDefault="007F04BA">
      <w:pPr>
        <w:pStyle w:val="FootnoteText"/>
      </w:pPr>
      <w:r w:rsidRPr="009467C0">
        <w:rPr>
          <w:rStyle w:val="FootnoteReference"/>
        </w:rPr>
        <w:footnoteRef/>
      </w:r>
      <w:r w:rsidRPr="009467C0">
        <w:t xml:space="preserve"> Wang DY et al. Fatal toxic effects associated with immune checkpoint inhibitors: A systemic review and meta-analysis. JAMA Oncology. 2018; 4(12): 1721-1728.</w:t>
      </w:r>
    </w:p>
  </w:footnote>
  <w:footnote w:id="20">
    <w:p w14:paraId="3B64F8AE" w14:textId="5A488863" w:rsidR="0078462C" w:rsidRPr="009467C0" w:rsidRDefault="0078462C">
      <w:pPr>
        <w:pStyle w:val="FootnoteText"/>
      </w:pPr>
      <w:r w:rsidRPr="009467C0">
        <w:rPr>
          <w:rStyle w:val="FootnoteReference"/>
        </w:rPr>
        <w:footnoteRef/>
      </w:r>
      <w:r w:rsidRPr="009467C0">
        <w:t xml:space="preserve"> Inno A et al. Cardiovascular effects of immune checkpoint inhibitors: More than just myocarditis. Current Oncology Reports. 2023; 25(7): 743-751.</w:t>
      </w:r>
    </w:p>
  </w:footnote>
  <w:footnote w:id="21">
    <w:p w14:paraId="170ACE85" w14:textId="62B2055C" w:rsidR="00660942" w:rsidRPr="0068086C" w:rsidRDefault="004D1A12" w:rsidP="004D1A12">
      <w:pPr>
        <w:pStyle w:val="FootnoteText"/>
        <w:rPr>
          <w:rFonts w:ascii="Arial Narrow" w:hAnsi="Arial Narrow" w:cs="Arial"/>
          <w:snapToGrid w:val="0"/>
          <w:lang w:eastAsia="en-AU"/>
        </w:rPr>
      </w:pPr>
      <w:r>
        <w:rPr>
          <w:rStyle w:val="FootnoteReference"/>
        </w:rPr>
        <w:footnoteRef/>
      </w:r>
      <w:r>
        <w:t xml:space="preserve"> </w:t>
      </w:r>
      <w:r w:rsidRPr="006A7C74">
        <w:rPr>
          <w:rStyle w:val="TableFigureFooterChar"/>
          <w:rFonts w:eastAsiaTheme="minorHAnsi"/>
        </w:rPr>
        <w:t>Zheng Z, Fang L, Cai H.</w:t>
      </w:r>
      <w:r>
        <w:rPr>
          <w:rStyle w:val="TableFigureFooterChar"/>
          <w:rFonts w:eastAsiaTheme="minorHAnsi"/>
        </w:rPr>
        <w:t xml:space="preserve"> (2023). </w:t>
      </w:r>
      <w:r w:rsidRPr="006A7C74">
        <w:rPr>
          <w:rStyle w:val="TableFigureFooterChar"/>
          <w:rFonts w:eastAsiaTheme="minorHAnsi"/>
        </w:rPr>
        <w:t>Cost-effectiveness analysis of pembrolizumab in combination with chemotherapy compared with chemotherapy alone as first-line treatment for patients with advanced biliary tract cancer in China. BMC Cancer. 2023;23(1):823.</w:t>
      </w:r>
    </w:p>
  </w:footnote>
  <w:footnote w:id="22">
    <w:p w14:paraId="5AE92838" w14:textId="618C7C2D" w:rsidR="005E79F8" w:rsidRPr="00777D6A" w:rsidRDefault="005E79F8" w:rsidP="005E79F8">
      <w:pPr>
        <w:pStyle w:val="Tabletext0"/>
      </w:pPr>
      <w:r w:rsidRPr="00777D6A">
        <w:rPr>
          <w:rStyle w:val="FootnoteReference"/>
        </w:rPr>
        <w:footnoteRef/>
      </w:r>
      <w:r w:rsidRPr="00777D6A">
        <w:t xml:space="preserve"> </w:t>
      </w:r>
      <w:r w:rsidRPr="00777D6A">
        <w:rPr>
          <w:lang w:val="en-US"/>
        </w:rPr>
        <w:t>Valle JW, et al. 2016, Rizvi S, Gores GJ. 2013, Razumilava N, Gores GJ et al 2014</w:t>
      </w:r>
      <w:r w:rsidRPr="00777D6A">
        <w:t>.</w:t>
      </w:r>
    </w:p>
  </w:footnote>
  <w:footnote w:id="23">
    <w:p w14:paraId="2CB442B5" w14:textId="1E6E4B75" w:rsidR="005E79F8" w:rsidRDefault="005E79F8" w:rsidP="00403C4F">
      <w:pPr>
        <w:pStyle w:val="Tabletext0"/>
      </w:pPr>
      <w:r w:rsidRPr="00777D6A">
        <w:rPr>
          <w:rStyle w:val="FootnoteReference"/>
        </w:rPr>
        <w:footnoteRef/>
      </w:r>
      <w:r w:rsidRPr="00777D6A">
        <w:t xml:space="preserve"> </w:t>
      </w:r>
      <w:r w:rsidRPr="00777D6A">
        <w:rPr>
          <w:lang w:val="en-US"/>
        </w:rPr>
        <w:t>RWE studies – references (percent receiving second-line therapy): Cassier et al 2010 72/410 (17.6%), Walter et al 2013 31/76 (40.8%), Malka et al 2014 96/378 (25.4%)</w:t>
      </w:r>
      <w:r w:rsidR="00DC3763" w:rsidRPr="00777D6A">
        <w:rPr>
          <w:lang w:val="en-US"/>
        </w:rPr>
        <w:t xml:space="preserve">, </w:t>
      </w:r>
      <w:r w:rsidRPr="00777D6A">
        <w:rPr>
          <w:lang w:val="en-US"/>
        </w:rPr>
        <w:t>Möhring et al 2021 60/150 (40%)</w:t>
      </w:r>
      <w:r w:rsidR="00DC3763" w:rsidRPr="00777D6A">
        <w:rPr>
          <w:lang w:val="en-US"/>
        </w:rPr>
        <w:t xml:space="preserve">, </w:t>
      </w:r>
      <w:r w:rsidRPr="00777D6A">
        <w:rPr>
          <w:lang w:val="en-US"/>
        </w:rPr>
        <w:t>Oh et al 2022 21/58 (36.2%)</w:t>
      </w:r>
    </w:p>
  </w:footnote>
  <w:footnote w:id="24">
    <w:p w14:paraId="56C5DB1F" w14:textId="77777777" w:rsidR="005C05ED" w:rsidRDefault="005C05ED" w:rsidP="005C05ED">
      <w:pPr>
        <w:pStyle w:val="FootnoteText"/>
        <w:ind w:left="142" w:hanging="142"/>
      </w:pPr>
      <w:r>
        <w:rPr>
          <w:rStyle w:val="FootnoteReference"/>
        </w:rPr>
        <w:footnoteRef/>
      </w:r>
      <w:r>
        <w:t xml:space="preserve">Bouattour, M. et al Characterisation of long-term survivors in the TOPAZ-1 study of durvalumab or placebo plus gemcitabine and cisplatin in advanced biliary tract cancer. </w:t>
      </w:r>
      <w:r w:rsidRPr="00203E8F">
        <w:rPr>
          <w:i/>
          <w:iCs/>
        </w:rPr>
        <w:t>American Society of Clinical Oncology 2023</w:t>
      </w:r>
      <w:r>
        <w:t xml:space="preserve">. </w:t>
      </w:r>
      <w:r w:rsidRPr="00C64D07">
        <w:t>https://ascopubs.org/doi/pdfdirect/10.1200/JCO.2023.41.4_suppl.531</w:t>
      </w:r>
      <w:r>
        <w:t xml:space="preserve"> </w:t>
      </w:r>
    </w:p>
  </w:footnote>
  <w:footnote w:id="25">
    <w:p w14:paraId="73FDBADB" w14:textId="77777777" w:rsidR="00EE58E4" w:rsidRDefault="00EE58E4" w:rsidP="00EE58E4">
      <w:pPr>
        <w:pStyle w:val="FootnoteText"/>
        <w:ind w:left="142" w:hanging="142"/>
      </w:pPr>
      <w:r>
        <w:rPr>
          <w:rStyle w:val="FootnoteReference"/>
        </w:rPr>
        <w:footnoteRef/>
      </w:r>
      <w:r>
        <w:t xml:space="preserve">Bouattour, M. et al Characterisation of long-term survivors in the TOPAZ-1 study of durvalumab or placebo plus gemcitabine and cisplatin in advanced biliary tract cancer. </w:t>
      </w:r>
      <w:r>
        <w:rPr>
          <w:i/>
          <w:iCs/>
        </w:rPr>
        <w:t>American Society of Clinical Oncology 2023</w:t>
      </w:r>
      <w:r>
        <w:t xml:space="preserve">. https://ascopubs.org/doi/pdfdirect/10.1200/JCO.2023.41.4_suppl.531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D82B" w14:textId="77777777" w:rsidR="00E26C98" w:rsidRDefault="00E26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B55C" w14:textId="635C46D6" w:rsidR="00181B1F" w:rsidRPr="00C30625" w:rsidRDefault="007E0187" w:rsidP="00C30625">
    <w:pPr>
      <w:pStyle w:val="Header"/>
      <w:jc w:val="center"/>
      <w:rPr>
        <w:i/>
        <w:iCs/>
      </w:rPr>
    </w:pPr>
    <w:r>
      <w:rPr>
        <w:i/>
        <w:iCs/>
      </w:rPr>
      <w:t>P</w:t>
    </w:r>
    <w:r w:rsidR="00BD221D" w:rsidRPr="00BD221D">
      <w:rPr>
        <w:i/>
        <w:iCs/>
      </w:rPr>
      <w:t xml:space="preserve">ublic Summary Document </w:t>
    </w:r>
    <w:r w:rsidR="00C30625" w:rsidRPr="00C30625">
      <w:rPr>
        <w:i/>
        <w:iCs/>
      </w:rPr>
      <w:t>– July 2024 PBAC Meeting</w:t>
    </w:r>
  </w:p>
  <w:p w14:paraId="30358769" w14:textId="77777777" w:rsidR="00C30625" w:rsidRPr="00C30625" w:rsidRDefault="00C30625" w:rsidP="00C30625">
    <w:pPr>
      <w:pStyle w:val="Heade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6D91" w14:textId="77777777" w:rsidR="00E26C98" w:rsidRDefault="00E26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AC5EE6"/>
    <w:multiLevelType w:val="hybridMultilevel"/>
    <w:tmpl w:val="135028DE"/>
    <w:lvl w:ilvl="0" w:tplc="C19AA3C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C22106"/>
    <w:multiLevelType w:val="hybridMultilevel"/>
    <w:tmpl w:val="18083A6C"/>
    <w:lvl w:ilvl="0" w:tplc="F2BCADCC">
      <w:start w:val="1"/>
      <w:numFmt w:val="decimal"/>
      <w:pStyle w:val="1Tablelist"/>
      <w:lvlText w:val="%1."/>
      <w:lvlJc w:val="left"/>
      <w:pPr>
        <w:ind w:left="522" w:hanging="360"/>
      </w:pPr>
      <w:rPr>
        <w:rFonts w:ascii="Calibri" w:hAnsi="Calibri" w:hint="default"/>
        <w:sz w:val="17"/>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4"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F935A7"/>
    <w:multiLevelType w:val="hybridMultilevel"/>
    <w:tmpl w:val="8C82C8A0"/>
    <w:lvl w:ilvl="0" w:tplc="5F9EC3C6">
      <w:start w:val="1"/>
      <w:numFmt w:val="bullet"/>
      <w:pStyle w:val="Bullet1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176E1B2C"/>
    <w:multiLevelType w:val="hybridMultilevel"/>
    <w:tmpl w:val="3252ED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D53387F"/>
    <w:multiLevelType w:val="hybridMultilevel"/>
    <w:tmpl w:val="365E299A"/>
    <w:lvl w:ilvl="0" w:tplc="68D29D4A">
      <w:start w:val="5"/>
      <w:numFmt w:val="bullet"/>
      <w:lvlText w:val="-"/>
      <w:lvlJc w:val="left"/>
      <w:pPr>
        <w:ind w:left="720" w:hanging="360"/>
      </w:pPr>
      <w:rPr>
        <w:rFonts w:ascii="Calibri" w:eastAsia="Times New Roman"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E63FE6"/>
    <w:multiLevelType w:val="hybridMultilevel"/>
    <w:tmpl w:val="15DABFC8"/>
    <w:lvl w:ilvl="0" w:tplc="40B85570">
      <w:start w:val="1"/>
      <w:numFmt w:val="bullet"/>
      <w:pStyle w:val="Dash12"/>
      <w:lvlText w:val="-"/>
      <w:lvlJc w:val="left"/>
      <w:pPr>
        <w:ind w:left="1074" w:hanging="360"/>
      </w:pPr>
      <w:rPr>
        <w:rFonts w:ascii="Calibri" w:hAnsi="Calibri"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13"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5270F0"/>
    <w:multiLevelType w:val="hybridMultilevel"/>
    <w:tmpl w:val="DB4480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7E60A2"/>
    <w:multiLevelType w:val="hybridMultilevel"/>
    <w:tmpl w:val="4E7C5508"/>
    <w:lvl w:ilvl="0" w:tplc="83605EF4">
      <w:start w:val="1"/>
      <w:numFmt w:val="decimal"/>
      <w:pStyle w:val="ListNos12"/>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1D0184"/>
    <w:multiLevelType w:val="hybridMultilevel"/>
    <w:tmpl w:val="A424859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AA741F"/>
    <w:multiLevelType w:val="multilevel"/>
    <w:tmpl w:val="7C8CA8C4"/>
    <w:lvl w:ilvl="0">
      <w:start w:val="1"/>
      <w:numFmt w:val="decimal"/>
      <w:pStyle w:val="ES1"/>
      <w:lvlText w:val="ES.%1"/>
      <w:lvlJc w:val="left"/>
      <w:pPr>
        <w:tabs>
          <w:tab w:val="num" w:pos="397"/>
        </w:tabs>
        <w:ind w:left="357" w:hanging="357"/>
      </w:pPr>
      <w:rPr>
        <w:rFonts w:hint="default"/>
      </w:rPr>
    </w:lvl>
    <w:lvl w:ilvl="1">
      <w:start w:val="1"/>
      <w:numFmt w:val="decimal"/>
      <w:pStyle w:val="ES2"/>
      <w:lvlText w:val="ES.%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0A2872"/>
    <w:multiLevelType w:val="hybridMultilevel"/>
    <w:tmpl w:val="21C6FD1E"/>
    <w:lvl w:ilvl="0" w:tplc="6362FD4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65045D"/>
    <w:multiLevelType w:val="hybridMultilevel"/>
    <w:tmpl w:val="0F1867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095746"/>
    <w:multiLevelType w:val="hybridMultilevel"/>
    <w:tmpl w:val="28BC0FCE"/>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8470A18"/>
    <w:multiLevelType w:val="hybridMultilevel"/>
    <w:tmpl w:val="BC72D8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9251F8"/>
    <w:multiLevelType w:val="hybridMultilevel"/>
    <w:tmpl w:val="B18003F4"/>
    <w:lvl w:ilvl="0" w:tplc="68D29D4A">
      <w:start w:val="5"/>
      <w:numFmt w:val="bullet"/>
      <w:lvlText w:val="-"/>
      <w:lvlJc w:val="left"/>
      <w:pPr>
        <w:ind w:left="720" w:hanging="360"/>
      </w:pPr>
      <w:rPr>
        <w:rFonts w:ascii="Calibri" w:eastAsia="Times New Roman" w:hAnsi="Calibri" w:cs="Calibri"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546332AF"/>
    <w:multiLevelType w:val="hybridMultilevel"/>
    <w:tmpl w:val="47285D50"/>
    <w:lvl w:ilvl="0" w:tplc="1A52FD5C">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4DD34C2"/>
    <w:multiLevelType w:val="hybridMultilevel"/>
    <w:tmpl w:val="756C0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337DEC"/>
    <w:multiLevelType w:val="hybridMultilevel"/>
    <w:tmpl w:val="C7CA4236"/>
    <w:lvl w:ilvl="0" w:tplc="8430A1B6">
      <w:start w:val="1"/>
      <w:numFmt w:val="decimal"/>
      <w:pStyle w:val="TableListNos"/>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84D033C"/>
    <w:multiLevelType w:val="multilevel"/>
    <w:tmpl w:val="40F6A00A"/>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b w:val="0"/>
        <w:bCs w:val="0"/>
        <w:i w:val="0"/>
        <w:iCs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DB67C63"/>
    <w:multiLevelType w:val="hybridMultilevel"/>
    <w:tmpl w:val="9B5A7674"/>
    <w:lvl w:ilvl="0" w:tplc="C1F6AB02">
      <w:start w:val="1"/>
      <w:numFmt w:val="bullet"/>
      <w:pStyle w:val="Tabledash"/>
      <w:lvlText w:val="-"/>
      <w:lvlJc w:val="left"/>
      <w:pPr>
        <w:ind w:left="786"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5516679">
    <w:abstractNumId w:val="37"/>
  </w:num>
  <w:num w:numId="2" w16cid:durableId="2110541149">
    <w:abstractNumId w:val="17"/>
  </w:num>
  <w:num w:numId="3" w16cid:durableId="1681812077">
    <w:abstractNumId w:val="10"/>
  </w:num>
  <w:num w:numId="4" w16cid:durableId="1198811326">
    <w:abstractNumId w:val="8"/>
  </w:num>
  <w:num w:numId="5" w16cid:durableId="2080788433">
    <w:abstractNumId w:val="37"/>
  </w:num>
  <w:num w:numId="6" w16cid:durableId="1819692181">
    <w:abstractNumId w:val="29"/>
  </w:num>
  <w:num w:numId="7" w16cid:durableId="2030569456">
    <w:abstractNumId w:val="4"/>
  </w:num>
  <w:num w:numId="8" w16cid:durableId="499466125">
    <w:abstractNumId w:val="32"/>
  </w:num>
  <w:num w:numId="9" w16cid:durableId="1961838637">
    <w:abstractNumId w:val="1"/>
  </w:num>
  <w:num w:numId="10" w16cid:durableId="2143114026">
    <w:abstractNumId w:val="3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16cid:durableId="528177636">
    <w:abstractNumId w:val="38"/>
  </w:num>
  <w:num w:numId="12" w16cid:durableId="1095322613">
    <w:abstractNumId w:val="21"/>
  </w:num>
  <w:num w:numId="13" w16cid:durableId="1609042985">
    <w:abstractNumId w:val="26"/>
  </w:num>
  <w:num w:numId="14" w16cid:durableId="984118874">
    <w:abstractNumId w:val="13"/>
  </w:num>
  <w:num w:numId="15" w16cid:durableId="1990134668">
    <w:abstractNumId w:val="6"/>
  </w:num>
  <w:num w:numId="16" w16cid:durableId="945650938">
    <w:abstractNumId w:val="25"/>
  </w:num>
  <w:num w:numId="17" w16cid:durableId="1017081959">
    <w:abstractNumId w:val="24"/>
  </w:num>
  <w:num w:numId="18" w16cid:durableId="357512205">
    <w:abstractNumId w:val="20"/>
  </w:num>
  <w:num w:numId="19" w16cid:durableId="1192380918">
    <w:abstractNumId w:val="23"/>
  </w:num>
  <w:num w:numId="20" w16cid:durableId="1593659760">
    <w:abstractNumId w:val="9"/>
  </w:num>
  <w:num w:numId="21" w16cid:durableId="738747160">
    <w:abstractNumId w:val="27"/>
  </w:num>
  <w:num w:numId="22" w16cid:durableId="1799953115">
    <w:abstractNumId w:val="30"/>
  </w:num>
  <w:num w:numId="23" w16cid:durableId="21288931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0311765">
    <w:abstractNumId w:val="2"/>
  </w:num>
  <w:num w:numId="25" w16cid:durableId="348265896">
    <w:abstractNumId w:val="7"/>
  </w:num>
  <w:num w:numId="26" w16cid:durableId="969089863">
    <w:abstractNumId w:val="19"/>
  </w:num>
  <w:num w:numId="27" w16cid:durableId="1221592201">
    <w:abstractNumId w:val="35"/>
  </w:num>
  <w:num w:numId="28" w16cid:durableId="1105727925">
    <w:abstractNumId w:val="12"/>
  </w:num>
  <w:num w:numId="29" w16cid:durableId="338432132">
    <w:abstractNumId w:val="39"/>
  </w:num>
  <w:num w:numId="30" w16cid:durableId="927345097">
    <w:abstractNumId w:val="3"/>
  </w:num>
  <w:num w:numId="31" w16cid:durableId="1606385355">
    <w:abstractNumId w:val="22"/>
  </w:num>
  <w:num w:numId="32" w16cid:durableId="1513033236">
    <w:abstractNumId w:val="34"/>
  </w:num>
  <w:num w:numId="33" w16cid:durableId="1810590165">
    <w:abstractNumId w:val="31"/>
  </w:num>
  <w:num w:numId="34" w16cid:durableId="1902716962">
    <w:abstractNumId w:val="5"/>
  </w:num>
  <w:num w:numId="35" w16cid:durableId="1508669564">
    <w:abstractNumId w:val="0"/>
  </w:num>
  <w:num w:numId="36" w16cid:durableId="140079036">
    <w:abstractNumId w:val="16"/>
  </w:num>
  <w:num w:numId="37" w16cid:durableId="659886726">
    <w:abstractNumId w:val="18"/>
  </w:num>
  <w:num w:numId="38" w16cid:durableId="2135322600">
    <w:abstractNumId w:val="15"/>
  </w:num>
  <w:num w:numId="39" w16cid:durableId="135596173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9212256">
    <w:abstractNumId w:val="36"/>
  </w:num>
  <w:num w:numId="41" w16cid:durableId="1298342780">
    <w:abstractNumId w:val="28"/>
  </w:num>
  <w:num w:numId="42" w16cid:durableId="1088117178">
    <w:abstractNumId w:val="11"/>
  </w:num>
  <w:num w:numId="43" w16cid:durableId="1500656157">
    <w:abstractNumId w:val="37"/>
  </w:num>
  <w:num w:numId="44" w16cid:durableId="986858861">
    <w:abstractNumId w:val="37"/>
  </w:num>
  <w:num w:numId="45" w16cid:durableId="1186290005">
    <w:abstractNumId w:val="37"/>
  </w:num>
  <w:num w:numId="46" w16cid:durableId="611284042">
    <w:abstractNumId w:val="37"/>
  </w:num>
  <w:num w:numId="47" w16cid:durableId="2029915603">
    <w:abstractNumId w:val="23"/>
  </w:num>
  <w:num w:numId="48" w16cid:durableId="1519394481">
    <w:abstractNumId w:val="37"/>
  </w:num>
  <w:num w:numId="49" w16cid:durableId="1097336081">
    <w:abstractNumId w:val="37"/>
  </w:num>
  <w:num w:numId="50" w16cid:durableId="1546525843">
    <w:abstractNumId w:val="37"/>
  </w:num>
  <w:num w:numId="51" w16cid:durableId="722750226">
    <w:abstractNumId w:val="14"/>
  </w:num>
  <w:num w:numId="52" w16cid:durableId="1096943727">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d9tfa96d9rw9ep50i5a0feaz5appf95d2s&quot;&gt;1750 codep_OC_SN&lt;record-ids&gt;&lt;item&gt;1&lt;/item&gt;&lt;item&gt;5&lt;/item&gt;&lt;item&gt;6&lt;/item&gt;&lt;item&gt;7&lt;/item&gt;&lt;item&gt;8&lt;/item&gt;&lt;item&gt;9&lt;/item&gt;&lt;item&gt;10&lt;/item&gt;&lt;item&gt;11&lt;/item&gt;&lt;item&gt;12&lt;/item&gt;&lt;item&gt;13&lt;/item&gt;&lt;item&gt;14&lt;/item&gt;&lt;item&gt;15&lt;/item&gt;&lt;item&gt;18&lt;/item&gt;&lt;item&gt;19&lt;/item&gt;&lt;item&gt;20&lt;/item&gt;&lt;item&gt;21&lt;/item&gt;&lt;item&gt;22&lt;/item&gt;&lt;item&gt;23&lt;/item&gt;&lt;item&gt;28&lt;/item&gt;&lt;item&gt;30&lt;/item&gt;&lt;item&gt;31&lt;/item&gt;&lt;item&gt;33&lt;/item&gt;&lt;item&gt;36&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record-ids&gt;&lt;/item&gt;&lt;/Libraries&gt;"/>
    <w:docVar w:name="EN.UseJSCitationFormat" w:val="False"/>
  </w:docVars>
  <w:rsids>
    <w:rsidRoot w:val="00AB2274"/>
    <w:rsid w:val="00000B37"/>
    <w:rsid w:val="00000B3D"/>
    <w:rsid w:val="00000B5F"/>
    <w:rsid w:val="00001563"/>
    <w:rsid w:val="00001682"/>
    <w:rsid w:val="000017B1"/>
    <w:rsid w:val="0000186C"/>
    <w:rsid w:val="0000196F"/>
    <w:rsid w:val="00001A41"/>
    <w:rsid w:val="00001AB4"/>
    <w:rsid w:val="00001DC1"/>
    <w:rsid w:val="00001EEA"/>
    <w:rsid w:val="0000202D"/>
    <w:rsid w:val="0000212C"/>
    <w:rsid w:val="00002BEA"/>
    <w:rsid w:val="00002DB7"/>
    <w:rsid w:val="00003116"/>
    <w:rsid w:val="000031F6"/>
    <w:rsid w:val="000032A4"/>
    <w:rsid w:val="000035B9"/>
    <w:rsid w:val="000040FB"/>
    <w:rsid w:val="000042E7"/>
    <w:rsid w:val="00004646"/>
    <w:rsid w:val="0000472D"/>
    <w:rsid w:val="00004C86"/>
    <w:rsid w:val="00004DB1"/>
    <w:rsid w:val="00005D58"/>
    <w:rsid w:val="00005FF0"/>
    <w:rsid w:val="00006057"/>
    <w:rsid w:val="000062E0"/>
    <w:rsid w:val="000070AB"/>
    <w:rsid w:val="000071B1"/>
    <w:rsid w:val="00007321"/>
    <w:rsid w:val="0001066F"/>
    <w:rsid w:val="0001072C"/>
    <w:rsid w:val="00010ED1"/>
    <w:rsid w:val="000118ED"/>
    <w:rsid w:val="00011A94"/>
    <w:rsid w:val="00012055"/>
    <w:rsid w:val="0001281E"/>
    <w:rsid w:val="00012991"/>
    <w:rsid w:val="00012F74"/>
    <w:rsid w:val="00013016"/>
    <w:rsid w:val="000131C9"/>
    <w:rsid w:val="00013222"/>
    <w:rsid w:val="0001369A"/>
    <w:rsid w:val="00013927"/>
    <w:rsid w:val="00013E19"/>
    <w:rsid w:val="000142C1"/>
    <w:rsid w:val="000147DF"/>
    <w:rsid w:val="0001491A"/>
    <w:rsid w:val="00014978"/>
    <w:rsid w:val="000149EC"/>
    <w:rsid w:val="00014EC4"/>
    <w:rsid w:val="00015263"/>
    <w:rsid w:val="00015290"/>
    <w:rsid w:val="0001548D"/>
    <w:rsid w:val="000158C9"/>
    <w:rsid w:val="00016752"/>
    <w:rsid w:val="000168CB"/>
    <w:rsid w:val="00016BCB"/>
    <w:rsid w:val="00016E29"/>
    <w:rsid w:val="000170E1"/>
    <w:rsid w:val="0001716E"/>
    <w:rsid w:val="000171F4"/>
    <w:rsid w:val="00017775"/>
    <w:rsid w:val="00017883"/>
    <w:rsid w:val="000179CD"/>
    <w:rsid w:val="00017BB3"/>
    <w:rsid w:val="000200E4"/>
    <w:rsid w:val="0002095B"/>
    <w:rsid w:val="00020A1C"/>
    <w:rsid w:val="00020DA2"/>
    <w:rsid w:val="000210A3"/>
    <w:rsid w:val="0002135E"/>
    <w:rsid w:val="00021378"/>
    <w:rsid w:val="000215E2"/>
    <w:rsid w:val="00021606"/>
    <w:rsid w:val="0002166E"/>
    <w:rsid w:val="00021844"/>
    <w:rsid w:val="00021C2E"/>
    <w:rsid w:val="00022029"/>
    <w:rsid w:val="000224E3"/>
    <w:rsid w:val="000225D3"/>
    <w:rsid w:val="00022A3F"/>
    <w:rsid w:val="00023139"/>
    <w:rsid w:val="0002332E"/>
    <w:rsid w:val="00023606"/>
    <w:rsid w:val="000239BE"/>
    <w:rsid w:val="00023D04"/>
    <w:rsid w:val="0002425F"/>
    <w:rsid w:val="0002501A"/>
    <w:rsid w:val="000252D1"/>
    <w:rsid w:val="00025347"/>
    <w:rsid w:val="000255EF"/>
    <w:rsid w:val="00025735"/>
    <w:rsid w:val="000258DD"/>
    <w:rsid w:val="0002598A"/>
    <w:rsid w:val="00025AEE"/>
    <w:rsid w:val="00025B1B"/>
    <w:rsid w:val="00025BAE"/>
    <w:rsid w:val="00025DAD"/>
    <w:rsid w:val="0002606D"/>
    <w:rsid w:val="000260CE"/>
    <w:rsid w:val="000261F8"/>
    <w:rsid w:val="000264CB"/>
    <w:rsid w:val="0002650A"/>
    <w:rsid w:val="00026BC6"/>
    <w:rsid w:val="00026CB8"/>
    <w:rsid w:val="00027625"/>
    <w:rsid w:val="00027AC5"/>
    <w:rsid w:val="00027ED2"/>
    <w:rsid w:val="00027F11"/>
    <w:rsid w:val="00030258"/>
    <w:rsid w:val="0003029F"/>
    <w:rsid w:val="0003087B"/>
    <w:rsid w:val="00030D9F"/>
    <w:rsid w:val="00030DC1"/>
    <w:rsid w:val="00031108"/>
    <w:rsid w:val="000319E9"/>
    <w:rsid w:val="0003201A"/>
    <w:rsid w:val="000325C3"/>
    <w:rsid w:val="00033626"/>
    <w:rsid w:val="00033744"/>
    <w:rsid w:val="000337A3"/>
    <w:rsid w:val="00033CE1"/>
    <w:rsid w:val="00034404"/>
    <w:rsid w:val="00034949"/>
    <w:rsid w:val="0003497C"/>
    <w:rsid w:val="00035673"/>
    <w:rsid w:val="000359BA"/>
    <w:rsid w:val="00035BE6"/>
    <w:rsid w:val="00035F6C"/>
    <w:rsid w:val="00036004"/>
    <w:rsid w:val="00036051"/>
    <w:rsid w:val="000363B8"/>
    <w:rsid w:val="00036951"/>
    <w:rsid w:val="0003764D"/>
    <w:rsid w:val="00037F3F"/>
    <w:rsid w:val="00040603"/>
    <w:rsid w:val="00041EC5"/>
    <w:rsid w:val="00041EDF"/>
    <w:rsid w:val="00042544"/>
    <w:rsid w:val="000436BC"/>
    <w:rsid w:val="000438AF"/>
    <w:rsid w:val="00044409"/>
    <w:rsid w:val="0004441D"/>
    <w:rsid w:val="000449E3"/>
    <w:rsid w:val="00045171"/>
    <w:rsid w:val="0004565A"/>
    <w:rsid w:val="000456F5"/>
    <w:rsid w:val="000459EE"/>
    <w:rsid w:val="00045D47"/>
    <w:rsid w:val="000461CF"/>
    <w:rsid w:val="00046A58"/>
    <w:rsid w:val="00046AAA"/>
    <w:rsid w:val="00046EA0"/>
    <w:rsid w:val="0004758F"/>
    <w:rsid w:val="00047867"/>
    <w:rsid w:val="00047A90"/>
    <w:rsid w:val="00050647"/>
    <w:rsid w:val="00050BA4"/>
    <w:rsid w:val="000513FE"/>
    <w:rsid w:val="00051DCF"/>
    <w:rsid w:val="00051E0E"/>
    <w:rsid w:val="000521F3"/>
    <w:rsid w:val="000522EE"/>
    <w:rsid w:val="00052BCD"/>
    <w:rsid w:val="00053327"/>
    <w:rsid w:val="000538AF"/>
    <w:rsid w:val="00053E32"/>
    <w:rsid w:val="00053F06"/>
    <w:rsid w:val="00053F94"/>
    <w:rsid w:val="00054171"/>
    <w:rsid w:val="00054A23"/>
    <w:rsid w:val="00054C63"/>
    <w:rsid w:val="00054C98"/>
    <w:rsid w:val="000552BC"/>
    <w:rsid w:val="00055575"/>
    <w:rsid w:val="0005566C"/>
    <w:rsid w:val="0005590E"/>
    <w:rsid w:val="00055DCD"/>
    <w:rsid w:val="0005730B"/>
    <w:rsid w:val="000575F1"/>
    <w:rsid w:val="000578D9"/>
    <w:rsid w:val="00057A8C"/>
    <w:rsid w:val="00057B1E"/>
    <w:rsid w:val="00057F71"/>
    <w:rsid w:val="0006103F"/>
    <w:rsid w:val="00061070"/>
    <w:rsid w:val="000610CE"/>
    <w:rsid w:val="00062018"/>
    <w:rsid w:val="00062067"/>
    <w:rsid w:val="000624D5"/>
    <w:rsid w:val="0006287B"/>
    <w:rsid w:val="00062882"/>
    <w:rsid w:val="00062944"/>
    <w:rsid w:val="00062C6F"/>
    <w:rsid w:val="00062DD6"/>
    <w:rsid w:val="00062FA7"/>
    <w:rsid w:val="00063478"/>
    <w:rsid w:val="0006421B"/>
    <w:rsid w:val="000643FA"/>
    <w:rsid w:val="0006442F"/>
    <w:rsid w:val="0006444E"/>
    <w:rsid w:val="00064D04"/>
    <w:rsid w:val="00064E7A"/>
    <w:rsid w:val="00064E95"/>
    <w:rsid w:val="00064F41"/>
    <w:rsid w:val="0006562D"/>
    <w:rsid w:val="00065C29"/>
    <w:rsid w:val="00065C62"/>
    <w:rsid w:val="00065CDE"/>
    <w:rsid w:val="00065E8E"/>
    <w:rsid w:val="00065F4A"/>
    <w:rsid w:val="000676E5"/>
    <w:rsid w:val="000677DE"/>
    <w:rsid w:val="00067DD0"/>
    <w:rsid w:val="0007028F"/>
    <w:rsid w:val="00070332"/>
    <w:rsid w:val="0007063B"/>
    <w:rsid w:val="000708AA"/>
    <w:rsid w:val="00070D75"/>
    <w:rsid w:val="00070F13"/>
    <w:rsid w:val="00070F2E"/>
    <w:rsid w:val="0007101F"/>
    <w:rsid w:val="000718A5"/>
    <w:rsid w:val="00071FCE"/>
    <w:rsid w:val="000721FB"/>
    <w:rsid w:val="000723F8"/>
    <w:rsid w:val="00072690"/>
    <w:rsid w:val="00072EA4"/>
    <w:rsid w:val="000730C1"/>
    <w:rsid w:val="0007323C"/>
    <w:rsid w:val="00073278"/>
    <w:rsid w:val="0007394A"/>
    <w:rsid w:val="000739F5"/>
    <w:rsid w:val="00073FA7"/>
    <w:rsid w:val="00074365"/>
    <w:rsid w:val="00074AE6"/>
    <w:rsid w:val="00075239"/>
    <w:rsid w:val="0007566C"/>
    <w:rsid w:val="000758A9"/>
    <w:rsid w:val="00075B88"/>
    <w:rsid w:val="00075D99"/>
    <w:rsid w:val="00075FB7"/>
    <w:rsid w:val="00076294"/>
    <w:rsid w:val="00076825"/>
    <w:rsid w:val="000779AF"/>
    <w:rsid w:val="00077C19"/>
    <w:rsid w:val="00077F1E"/>
    <w:rsid w:val="00077FE1"/>
    <w:rsid w:val="00080021"/>
    <w:rsid w:val="00080023"/>
    <w:rsid w:val="0008049F"/>
    <w:rsid w:val="00080570"/>
    <w:rsid w:val="00080813"/>
    <w:rsid w:val="0008088B"/>
    <w:rsid w:val="00080FF3"/>
    <w:rsid w:val="000816DF"/>
    <w:rsid w:val="00081717"/>
    <w:rsid w:val="00082099"/>
    <w:rsid w:val="00082422"/>
    <w:rsid w:val="000825CE"/>
    <w:rsid w:val="000825EF"/>
    <w:rsid w:val="00082652"/>
    <w:rsid w:val="00082696"/>
    <w:rsid w:val="0008269E"/>
    <w:rsid w:val="00082868"/>
    <w:rsid w:val="000829F7"/>
    <w:rsid w:val="00082CF1"/>
    <w:rsid w:val="0008352B"/>
    <w:rsid w:val="0008379A"/>
    <w:rsid w:val="00083E6F"/>
    <w:rsid w:val="00083F6A"/>
    <w:rsid w:val="000843DE"/>
    <w:rsid w:val="00084412"/>
    <w:rsid w:val="00084626"/>
    <w:rsid w:val="00084655"/>
    <w:rsid w:val="000847FE"/>
    <w:rsid w:val="0008493E"/>
    <w:rsid w:val="00084B18"/>
    <w:rsid w:val="00085A7A"/>
    <w:rsid w:val="00085C2F"/>
    <w:rsid w:val="00086133"/>
    <w:rsid w:val="00086318"/>
    <w:rsid w:val="0008633B"/>
    <w:rsid w:val="000865A7"/>
    <w:rsid w:val="00086969"/>
    <w:rsid w:val="000872F5"/>
    <w:rsid w:val="0008757D"/>
    <w:rsid w:val="000876F3"/>
    <w:rsid w:val="00090395"/>
    <w:rsid w:val="000906E8"/>
    <w:rsid w:val="00090CAC"/>
    <w:rsid w:val="000911A2"/>
    <w:rsid w:val="00091481"/>
    <w:rsid w:val="000917F3"/>
    <w:rsid w:val="00091995"/>
    <w:rsid w:val="000919C2"/>
    <w:rsid w:val="00091A43"/>
    <w:rsid w:val="00091BC3"/>
    <w:rsid w:val="0009237C"/>
    <w:rsid w:val="00092727"/>
    <w:rsid w:val="00092940"/>
    <w:rsid w:val="00092945"/>
    <w:rsid w:val="00092DD7"/>
    <w:rsid w:val="000930E2"/>
    <w:rsid w:val="0009390D"/>
    <w:rsid w:val="00093E6C"/>
    <w:rsid w:val="000942DA"/>
    <w:rsid w:val="00094450"/>
    <w:rsid w:val="000944DD"/>
    <w:rsid w:val="00094AC3"/>
    <w:rsid w:val="00094B1B"/>
    <w:rsid w:val="00094CDE"/>
    <w:rsid w:val="00094D72"/>
    <w:rsid w:val="00094FDD"/>
    <w:rsid w:val="000955E6"/>
    <w:rsid w:val="00095DD8"/>
    <w:rsid w:val="00096099"/>
    <w:rsid w:val="00096359"/>
    <w:rsid w:val="000965EC"/>
    <w:rsid w:val="000966C8"/>
    <w:rsid w:val="0009688E"/>
    <w:rsid w:val="00096905"/>
    <w:rsid w:val="00096BCD"/>
    <w:rsid w:val="0009714A"/>
    <w:rsid w:val="00097E47"/>
    <w:rsid w:val="000A027E"/>
    <w:rsid w:val="000A0CF1"/>
    <w:rsid w:val="000A0ED9"/>
    <w:rsid w:val="000A10F9"/>
    <w:rsid w:val="000A1426"/>
    <w:rsid w:val="000A170D"/>
    <w:rsid w:val="000A1831"/>
    <w:rsid w:val="000A1F7B"/>
    <w:rsid w:val="000A24EC"/>
    <w:rsid w:val="000A259B"/>
    <w:rsid w:val="000A2694"/>
    <w:rsid w:val="000A26DE"/>
    <w:rsid w:val="000A2BBC"/>
    <w:rsid w:val="000A2DFD"/>
    <w:rsid w:val="000A2EF1"/>
    <w:rsid w:val="000A331B"/>
    <w:rsid w:val="000A3BE8"/>
    <w:rsid w:val="000A3D99"/>
    <w:rsid w:val="000A3F4C"/>
    <w:rsid w:val="000A49D8"/>
    <w:rsid w:val="000A4ABE"/>
    <w:rsid w:val="000A4C52"/>
    <w:rsid w:val="000A5153"/>
    <w:rsid w:val="000A5757"/>
    <w:rsid w:val="000A58C0"/>
    <w:rsid w:val="000A5D44"/>
    <w:rsid w:val="000A5E79"/>
    <w:rsid w:val="000A648D"/>
    <w:rsid w:val="000A6A5B"/>
    <w:rsid w:val="000A6D37"/>
    <w:rsid w:val="000A6FBD"/>
    <w:rsid w:val="000A7333"/>
    <w:rsid w:val="000A75A7"/>
    <w:rsid w:val="000A78B1"/>
    <w:rsid w:val="000A7EA5"/>
    <w:rsid w:val="000B003E"/>
    <w:rsid w:val="000B0073"/>
    <w:rsid w:val="000B1194"/>
    <w:rsid w:val="000B124A"/>
    <w:rsid w:val="000B13B7"/>
    <w:rsid w:val="000B178A"/>
    <w:rsid w:val="000B1950"/>
    <w:rsid w:val="000B229E"/>
    <w:rsid w:val="000B2995"/>
    <w:rsid w:val="000B2AC7"/>
    <w:rsid w:val="000B2BE3"/>
    <w:rsid w:val="000B35EA"/>
    <w:rsid w:val="000B38C0"/>
    <w:rsid w:val="000B3A71"/>
    <w:rsid w:val="000B3A9F"/>
    <w:rsid w:val="000B3EDE"/>
    <w:rsid w:val="000B414F"/>
    <w:rsid w:val="000B4AE7"/>
    <w:rsid w:val="000B4AEF"/>
    <w:rsid w:val="000B4B0F"/>
    <w:rsid w:val="000B4D4B"/>
    <w:rsid w:val="000B56CD"/>
    <w:rsid w:val="000B5B18"/>
    <w:rsid w:val="000B5F4A"/>
    <w:rsid w:val="000B626D"/>
    <w:rsid w:val="000B627C"/>
    <w:rsid w:val="000B62B8"/>
    <w:rsid w:val="000B6B69"/>
    <w:rsid w:val="000B6C30"/>
    <w:rsid w:val="000B6D86"/>
    <w:rsid w:val="000B7AED"/>
    <w:rsid w:val="000B7D9A"/>
    <w:rsid w:val="000B7F4D"/>
    <w:rsid w:val="000C00CD"/>
    <w:rsid w:val="000C0142"/>
    <w:rsid w:val="000C0601"/>
    <w:rsid w:val="000C11CC"/>
    <w:rsid w:val="000C28B9"/>
    <w:rsid w:val="000C2A21"/>
    <w:rsid w:val="000C3227"/>
    <w:rsid w:val="000C39A5"/>
    <w:rsid w:val="000C3CC1"/>
    <w:rsid w:val="000C3DD3"/>
    <w:rsid w:val="000C3EE4"/>
    <w:rsid w:val="000C4027"/>
    <w:rsid w:val="000C406D"/>
    <w:rsid w:val="000C42CA"/>
    <w:rsid w:val="000C44E2"/>
    <w:rsid w:val="000C4D49"/>
    <w:rsid w:val="000C4E91"/>
    <w:rsid w:val="000C52BE"/>
    <w:rsid w:val="000C570C"/>
    <w:rsid w:val="000C57F2"/>
    <w:rsid w:val="000C580E"/>
    <w:rsid w:val="000C58AD"/>
    <w:rsid w:val="000C5B68"/>
    <w:rsid w:val="000C5EE4"/>
    <w:rsid w:val="000C668E"/>
    <w:rsid w:val="000C6A40"/>
    <w:rsid w:val="000C6CB4"/>
    <w:rsid w:val="000C6DB2"/>
    <w:rsid w:val="000C7883"/>
    <w:rsid w:val="000C793A"/>
    <w:rsid w:val="000C7B1E"/>
    <w:rsid w:val="000D0002"/>
    <w:rsid w:val="000D0023"/>
    <w:rsid w:val="000D03C9"/>
    <w:rsid w:val="000D0478"/>
    <w:rsid w:val="000D05BB"/>
    <w:rsid w:val="000D0A81"/>
    <w:rsid w:val="000D0CCD"/>
    <w:rsid w:val="000D1401"/>
    <w:rsid w:val="000D169F"/>
    <w:rsid w:val="000D1749"/>
    <w:rsid w:val="000D1AB4"/>
    <w:rsid w:val="000D1B42"/>
    <w:rsid w:val="000D2313"/>
    <w:rsid w:val="000D2417"/>
    <w:rsid w:val="000D282D"/>
    <w:rsid w:val="000D2942"/>
    <w:rsid w:val="000D2978"/>
    <w:rsid w:val="000D37D8"/>
    <w:rsid w:val="000D3865"/>
    <w:rsid w:val="000D39EF"/>
    <w:rsid w:val="000D406A"/>
    <w:rsid w:val="000D4490"/>
    <w:rsid w:val="000D45DE"/>
    <w:rsid w:val="000D46D7"/>
    <w:rsid w:val="000D4793"/>
    <w:rsid w:val="000D4B89"/>
    <w:rsid w:val="000D5375"/>
    <w:rsid w:val="000D5435"/>
    <w:rsid w:val="000D5C50"/>
    <w:rsid w:val="000D5F91"/>
    <w:rsid w:val="000D5FF6"/>
    <w:rsid w:val="000D6822"/>
    <w:rsid w:val="000D6A35"/>
    <w:rsid w:val="000D6A50"/>
    <w:rsid w:val="000D6B21"/>
    <w:rsid w:val="000D7063"/>
    <w:rsid w:val="000D7358"/>
    <w:rsid w:val="000D749B"/>
    <w:rsid w:val="000D7581"/>
    <w:rsid w:val="000D7724"/>
    <w:rsid w:val="000D7729"/>
    <w:rsid w:val="000D7914"/>
    <w:rsid w:val="000D7A9C"/>
    <w:rsid w:val="000D7C19"/>
    <w:rsid w:val="000D7CB5"/>
    <w:rsid w:val="000D7FE2"/>
    <w:rsid w:val="000E0135"/>
    <w:rsid w:val="000E0162"/>
    <w:rsid w:val="000E07CD"/>
    <w:rsid w:val="000E08F8"/>
    <w:rsid w:val="000E0CFD"/>
    <w:rsid w:val="000E0E6C"/>
    <w:rsid w:val="000E0EC5"/>
    <w:rsid w:val="000E1470"/>
    <w:rsid w:val="000E1CCE"/>
    <w:rsid w:val="000E477D"/>
    <w:rsid w:val="000E496A"/>
    <w:rsid w:val="000E4FA5"/>
    <w:rsid w:val="000E5493"/>
    <w:rsid w:val="000E5C82"/>
    <w:rsid w:val="000E6352"/>
    <w:rsid w:val="000E663E"/>
    <w:rsid w:val="000E6AC2"/>
    <w:rsid w:val="000E6DB0"/>
    <w:rsid w:val="000E6E20"/>
    <w:rsid w:val="000E7019"/>
    <w:rsid w:val="000E79E0"/>
    <w:rsid w:val="000E7B14"/>
    <w:rsid w:val="000E7D76"/>
    <w:rsid w:val="000E7ECD"/>
    <w:rsid w:val="000F0148"/>
    <w:rsid w:val="000F015A"/>
    <w:rsid w:val="000F08AD"/>
    <w:rsid w:val="000F114A"/>
    <w:rsid w:val="000F1B2A"/>
    <w:rsid w:val="000F1EC6"/>
    <w:rsid w:val="000F1F6A"/>
    <w:rsid w:val="000F2340"/>
    <w:rsid w:val="000F243A"/>
    <w:rsid w:val="000F2534"/>
    <w:rsid w:val="000F313A"/>
    <w:rsid w:val="000F3652"/>
    <w:rsid w:val="000F3AD3"/>
    <w:rsid w:val="000F3B06"/>
    <w:rsid w:val="000F414E"/>
    <w:rsid w:val="000F4C0C"/>
    <w:rsid w:val="000F4C3A"/>
    <w:rsid w:val="000F4EDE"/>
    <w:rsid w:val="000F58C1"/>
    <w:rsid w:val="000F66A1"/>
    <w:rsid w:val="000F724D"/>
    <w:rsid w:val="0010002A"/>
    <w:rsid w:val="00100448"/>
    <w:rsid w:val="0010086D"/>
    <w:rsid w:val="00100AB0"/>
    <w:rsid w:val="00100F7D"/>
    <w:rsid w:val="00101412"/>
    <w:rsid w:val="001018A8"/>
    <w:rsid w:val="00101C7C"/>
    <w:rsid w:val="00101C8F"/>
    <w:rsid w:val="00101D25"/>
    <w:rsid w:val="00102D9B"/>
    <w:rsid w:val="00102DD6"/>
    <w:rsid w:val="00102F68"/>
    <w:rsid w:val="00103555"/>
    <w:rsid w:val="00103689"/>
    <w:rsid w:val="00103EDA"/>
    <w:rsid w:val="00104A1D"/>
    <w:rsid w:val="00104DA8"/>
    <w:rsid w:val="00104EF6"/>
    <w:rsid w:val="00104F65"/>
    <w:rsid w:val="00105149"/>
    <w:rsid w:val="001054F7"/>
    <w:rsid w:val="00105751"/>
    <w:rsid w:val="001059D6"/>
    <w:rsid w:val="00105C72"/>
    <w:rsid w:val="001069A7"/>
    <w:rsid w:val="0011036D"/>
    <w:rsid w:val="001105C2"/>
    <w:rsid w:val="00110E1A"/>
    <w:rsid w:val="00110F22"/>
    <w:rsid w:val="001110B6"/>
    <w:rsid w:val="0011115E"/>
    <w:rsid w:val="00111667"/>
    <w:rsid w:val="00111951"/>
    <w:rsid w:val="00111E42"/>
    <w:rsid w:val="00111E4F"/>
    <w:rsid w:val="001124CE"/>
    <w:rsid w:val="00112849"/>
    <w:rsid w:val="00112D9C"/>
    <w:rsid w:val="00112E3E"/>
    <w:rsid w:val="00112F1A"/>
    <w:rsid w:val="00113379"/>
    <w:rsid w:val="00113419"/>
    <w:rsid w:val="001136A7"/>
    <w:rsid w:val="00113A9A"/>
    <w:rsid w:val="00113F5C"/>
    <w:rsid w:val="00113FAA"/>
    <w:rsid w:val="0011459E"/>
    <w:rsid w:val="001148DF"/>
    <w:rsid w:val="00114AD5"/>
    <w:rsid w:val="00114E33"/>
    <w:rsid w:val="00115000"/>
    <w:rsid w:val="00115D20"/>
    <w:rsid w:val="001167BB"/>
    <w:rsid w:val="0011686E"/>
    <w:rsid w:val="00116FEE"/>
    <w:rsid w:val="001175AC"/>
    <w:rsid w:val="00120537"/>
    <w:rsid w:val="00120600"/>
    <w:rsid w:val="00120C20"/>
    <w:rsid w:val="00120CFF"/>
    <w:rsid w:val="0012176C"/>
    <w:rsid w:val="00122C04"/>
    <w:rsid w:val="00123C35"/>
    <w:rsid w:val="00123C63"/>
    <w:rsid w:val="0012417D"/>
    <w:rsid w:val="001244BB"/>
    <w:rsid w:val="0012457E"/>
    <w:rsid w:val="0012508B"/>
    <w:rsid w:val="0012523C"/>
    <w:rsid w:val="00125673"/>
    <w:rsid w:val="001258F8"/>
    <w:rsid w:val="001265A3"/>
    <w:rsid w:val="001266FC"/>
    <w:rsid w:val="0012684C"/>
    <w:rsid w:val="0012701F"/>
    <w:rsid w:val="00127290"/>
    <w:rsid w:val="0012777E"/>
    <w:rsid w:val="001279AE"/>
    <w:rsid w:val="00127FBD"/>
    <w:rsid w:val="001305E8"/>
    <w:rsid w:val="001307F0"/>
    <w:rsid w:val="00130E4F"/>
    <w:rsid w:val="00131CB1"/>
    <w:rsid w:val="00131E0F"/>
    <w:rsid w:val="001323D6"/>
    <w:rsid w:val="00132402"/>
    <w:rsid w:val="001332A6"/>
    <w:rsid w:val="00133437"/>
    <w:rsid w:val="00133B1C"/>
    <w:rsid w:val="00133B54"/>
    <w:rsid w:val="00133D9F"/>
    <w:rsid w:val="0013420E"/>
    <w:rsid w:val="0013456D"/>
    <w:rsid w:val="00134762"/>
    <w:rsid w:val="001349D0"/>
    <w:rsid w:val="00134A3E"/>
    <w:rsid w:val="00134C30"/>
    <w:rsid w:val="00135050"/>
    <w:rsid w:val="0013554C"/>
    <w:rsid w:val="00135C09"/>
    <w:rsid w:val="00135D65"/>
    <w:rsid w:val="00136399"/>
    <w:rsid w:val="00136597"/>
    <w:rsid w:val="00136E76"/>
    <w:rsid w:val="00136F0F"/>
    <w:rsid w:val="001371BB"/>
    <w:rsid w:val="00137B30"/>
    <w:rsid w:val="00137FB4"/>
    <w:rsid w:val="001402F7"/>
    <w:rsid w:val="0014035D"/>
    <w:rsid w:val="0014042F"/>
    <w:rsid w:val="00140534"/>
    <w:rsid w:val="00140A20"/>
    <w:rsid w:val="00140D6D"/>
    <w:rsid w:val="00140F5C"/>
    <w:rsid w:val="00141580"/>
    <w:rsid w:val="00141A95"/>
    <w:rsid w:val="00141B8C"/>
    <w:rsid w:val="00141EFB"/>
    <w:rsid w:val="00142A34"/>
    <w:rsid w:val="00142D1D"/>
    <w:rsid w:val="00143583"/>
    <w:rsid w:val="00143B06"/>
    <w:rsid w:val="00144BFB"/>
    <w:rsid w:val="00145457"/>
    <w:rsid w:val="00145B4D"/>
    <w:rsid w:val="00146008"/>
    <w:rsid w:val="001467A7"/>
    <w:rsid w:val="001468C6"/>
    <w:rsid w:val="00146C47"/>
    <w:rsid w:val="0014731A"/>
    <w:rsid w:val="001477F1"/>
    <w:rsid w:val="00147F8C"/>
    <w:rsid w:val="00150743"/>
    <w:rsid w:val="00150B22"/>
    <w:rsid w:val="00150BFB"/>
    <w:rsid w:val="00150D1B"/>
    <w:rsid w:val="00150DAA"/>
    <w:rsid w:val="00151010"/>
    <w:rsid w:val="001511F2"/>
    <w:rsid w:val="0015150F"/>
    <w:rsid w:val="00151A21"/>
    <w:rsid w:val="00152130"/>
    <w:rsid w:val="0015218E"/>
    <w:rsid w:val="0015247C"/>
    <w:rsid w:val="00152635"/>
    <w:rsid w:val="00153A3C"/>
    <w:rsid w:val="00153E0E"/>
    <w:rsid w:val="0015419A"/>
    <w:rsid w:val="0015427F"/>
    <w:rsid w:val="00154735"/>
    <w:rsid w:val="00154F1C"/>
    <w:rsid w:val="00156108"/>
    <w:rsid w:val="00156260"/>
    <w:rsid w:val="001563C1"/>
    <w:rsid w:val="001568A9"/>
    <w:rsid w:val="0015692C"/>
    <w:rsid w:val="00156AE0"/>
    <w:rsid w:val="00156D31"/>
    <w:rsid w:val="00156D95"/>
    <w:rsid w:val="00156FC5"/>
    <w:rsid w:val="00157470"/>
    <w:rsid w:val="00157CFF"/>
    <w:rsid w:val="00157FB2"/>
    <w:rsid w:val="00160176"/>
    <w:rsid w:val="001609A4"/>
    <w:rsid w:val="0016139D"/>
    <w:rsid w:val="001613EF"/>
    <w:rsid w:val="00161C16"/>
    <w:rsid w:val="0016322D"/>
    <w:rsid w:val="00163598"/>
    <w:rsid w:val="001639E9"/>
    <w:rsid w:val="001640D9"/>
    <w:rsid w:val="001646D3"/>
    <w:rsid w:val="00164FDA"/>
    <w:rsid w:val="00165405"/>
    <w:rsid w:val="00165A49"/>
    <w:rsid w:val="00165C9C"/>
    <w:rsid w:val="00165CE4"/>
    <w:rsid w:val="00165CF8"/>
    <w:rsid w:val="001667A9"/>
    <w:rsid w:val="00166F90"/>
    <w:rsid w:val="00167629"/>
    <w:rsid w:val="001678EE"/>
    <w:rsid w:val="001703A3"/>
    <w:rsid w:val="001709D4"/>
    <w:rsid w:val="00170F6A"/>
    <w:rsid w:val="00171C68"/>
    <w:rsid w:val="00171D35"/>
    <w:rsid w:val="00172309"/>
    <w:rsid w:val="00172612"/>
    <w:rsid w:val="00172C74"/>
    <w:rsid w:val="0017311A"/>
    <w:rsid w:val="00173577"/>
    <w:rsid w:val="0017366F"/>
    <w:rsid w:val="0017394D"/>
    <w:rsid w:val="00173B7E"/>
    <w:rsid w:val="00173DEE"/>
    <w:rsid w:val="00173E55"/>
    <w:rsid w:val="00174058"/>
    <w:rsid w:val="001741C7"/>
    <w:rsid w:val="00174E01"/>
    <w:rsid w:val="00175B6E"/>
    <w:rsid w:val="00176581"/>
    <w:rsid w:val="001765D8"/>
    <w:rsid w:val="00176658"/>
    <w:rsid w:val="001767AB"/>
    <w:rsid w:val="00176AA5"/>
    <w:rsid w:val="00176BB1"/>
    <w:rsid w:val="001770A7"/>
    <w:rsid w:val="001770E4"/>
    <w:rsid w:val="0017720E"/>
    <w:rsid w:val="001772CC"/>
    <w:rsid w:val="00177893"/>
    <w:rsid w:val="00177F50"/>
    <w:rsid w:val="00180193"/>
    <w:rsid w:val="00180217"/>
    <w:rsid w:val="00180A36"/>
    <w:rsid w:val="00180FB9"/>
    <w:rsid w:val="0018141A"/>
    <w:rsid w:val="00181AD0"/>
    <w:rsid w:val="00181B1F"/>
    <w:rsid w:val="00181E03"/>
    <w:rsid w:val="00182CBB"/>
    <w:rsid w:val="001832A3"/>
    <w:rsid w:val="001834D7"/>
    <w:rsid w:val="0018373E"/>
    <w:rsid w:val="001838D4"/>
    <w:rsid w:val="00183988"/>
    <w:rsid w:val="001839C0"/>
    <w:rsid w:val="00183A1A"/>
    <w:rsid w:val="00183A87"/>
    <w:rsid w:val="00183E62"/>
    <w:rsid w:val="00184221"/>
    <w:rsid w:val="0018443E"/>
    <w:rsid w:val="00184565"/>
    <w:rsid w:val="00185481"/>
    <w:rsid w:val="001854C0"/>
    <w:rsid w:val="00185C35"/>
    <w:rsid w:val="00185E7C"/>
    <w:rsid w:val="00185F33"/>
    <w:rsid w:val="001861AD"/>
    <w:rsid w:val="00186307"/>
    <w:rsid w:val="001863F7"/>
    <w:rsid w:val="001865E4"/>
    <w:rsid w:val="0018675E"/>
    <w:rsid w:val="00186EBC"/>
    <w:rsid w:val="00187569"/>
    <w:rsid w:val="001902B0"/>
    <w:rsid w:val="00190323"/>
    <w:rsid w:val="00190BE2"/>
    <w:rsid w:val="00190CBF"/>
    <w:rsid w:val="00191334"/>
    <w:rsid w:val="001914DF"/>
    <w:rsid w:val="001916C0"/>
    <w:rsid w:val="0019173B"/>
    <w:rsid w:val="00191A15"/>
    <w:rsid w:val="00191B1A"/>
    <w:rsid w:val="00192AFB"/>
    <w:rsid w:val="00193417"/>
    <w:rsid w:val="00193872"/>
    <w:rsid w:val="00193A8C"/>
    <w:rsid w:val="00193BD7"/>
    <w:rsid w:val="00193C2A"/>
    <w:rsid w:val="00194082"/>
    <w:rsid w:val="0019465B"/>
    <w:rsid w:val="00194A4E"/>
    <w:rsid w:val="00194DA1"/>
    <w:rsid w:val="001952BB"/>
    <w:rsid w:val="0019597A"/>
    <w:rsid w:val="00195CEA"/>
    <w:rsid w:val="00195DA4"/>
    <w:rsid w:val="0019611E"/>
    <w:rsid w:val="00196E51"/>
    <w:rsid w:val="00196F93"/>
    <w:rsid w:val="0019736F"/>
    <w:rsid w:val="001976EB"/>
    <w:rsid w:val="001977F7"/>
    <w:rsid w:val="00197D31"/>
    <w:rsid w:val="001A0142"/>
    <w:rsid w:val="001A0425"/>
    <w:rsid w:val="001A0687"/>
    <w:rsid w:val="001A0AC8"/>
    <w:rsid w:val="001A0ACC"/>
    <w:rsid w:val="001A0C01"/>
    <w:rsid w:val="001A0D5A"/>
    <w:rsid w:val="001A1935"/>
    <w:rsid w:val="001A1BB2"/>
    <w:rsid w:val="001A1C2D"/>
    <w:rsid w:val="001A2049"/>
    <w:rsid w:val="001A20DC"/>
    <w:rsid w:val="001A2AB6"/>
    <w:rsid w:val="001A2D7B"/>
    <w:rsid w:val="001A3DC9"/>
    <w:rsid w:val="001A4320"/>
    <w:rsid w:val="001A44CD"/>
    <w:rsid w:val="001A4505"/>
    <w:rsid w:val="001A45B9"/>
    <w:rsid w:val="001A4866"/>
    <w:rsid w:val="001A48ED"/>
    <w:rsid w:val="001A4BA0"/>
    <w:rsid w:val="001A4C76"/>
    <w:rsid w:val="001A5072"/>
    <w:rsid w:val="001A5CCB"/>
    <w:rsid w:val="001A5D70"/>
    <w:rsid w:val="001A6CE4"/>
    <w:rsid w:val="001A6ECF"/>
    <w:rsid w:val="001A6FEF"/>
    <w:rsid w:val="001A720A"/>
    <w:rsid w:val="001A7250"/>
    <w:rsid w:val="001A7332"/>
    <w:rsid w:val="001A757A"/>
    <w:rsid w:val="001A7699"/>
    <w:rsid w:val="001B0013"/>
    <w:rsid w:val="001B00CE"/>
    <w:rsid w:val="001B0140"/>
    <w:rsid w:val="001B065D"/>
    <w:rsid w:val="001B081F"/>
    <w:rsid w:val="001B12A9"/>
    <w:rsid w:val="001B1C91"/>
    <w:rsid w:val="001B1D3E"/>
    <w:rsid w:val="001B2427"/>
    <w:rsid w:val="001B2429"/>
    <w:rsid w:val="001B259E"/>
    <w:rsid w:val="001B25C0"/>
    <w:rsid w:val="001B338F"/>
    <w:rsid w:val="001B342C"/>
    <w:rsid w:val="001B3B34"/>
    <w:rsid w:val="001B40B5"/>
    <w:rsid w:val="001B49A8"/>
    <w:rsid w:val="001B4FA7"/>
    <w:rsid w:val="001B5B6B"/>
    <w:rsid w:val="001B5CA0"/>
    <w:rsid w:val="001B5D05"/>
    <w:rsid w:val="001B636D"/>
    <w:rsid w:val="001B6389"/>
    <w:rsid w:val="001B74B7"/>
    <w:rsid w:val="001B7CE8"/>
    <w:rsid w:val="001B7D43"/>
    <w:rsid w:val="001C04CC"/>
    <w:rsid w:val="001C051E"/>
    <w:rsid w:val="001C06AA"/>
    <w:rsid w:val="001C1183"/>
    <w:rsid w:val="001C15F6"/>
    <w:rsid w:val="001C17DB"/>
    <w:rsid w:val="001C1F50"/>
    <w:rsid w:val="001C2213"/>
    <w:rsid w:val="001C2325"/>
    <w:rsid w:val="001C2616"/>
    <w:rsid w:val="001C28FD"/>
    <w:rsid w:val="001C3386"/>
    <w:rsid w:val="001C3532"/>
    <w:rsid w:val="001C3593"/>
    <w:rsid w:val="001C37B1"/>
    <w:rsid w:val="001C3AD4"/>
    <w:rsid w:val="001C3BF7"/>
    <w:rsid w:val="001C3C96"/>
    <w:rsid w:val="001C3D46"/>
    <w:rsid w:val="001C40A1"/>
    <w:rsid w:val="001C41CB"/>
    <w:rsid w:val="001C42F7"/>
    <w:rsid w:val="001C46D8"/>
    <w:rsid w:val="001C5473"/>
    <w:rsid w:val="001C5869"/>
    <w:rsid w:val="001C69D7"/>
    <w:rsid w:val="001C6CEC"/>
    <w:rsid w:val="001C6DA4"/>
    <w:rsid w:val="001C7497"/>
    <w:rsid w:val="001C7587"/>
    <w:rsid w:val="001C7705"/>
    <w:rsid w:val="001C796E"/>
    <w:rsid w:val="001C7B60"/>
    <w:rsid w:val="001C7BD7"/>
    <w:rsid w:val="001C7D17"/>
    <w:rsid w:val="001C7D1B"/>
    <w:rsid w:val="001D02F4"/>
    <w:rsid w:val="001D03B6"/>
    <w:rsid w:val="001D0CD7"/>
    <w:rsid w:val="001D0E72"/>
    <w:rsid w:val="001D161C"/>
    <w:rsid w:val="001D19DE"/>
    <w:rsid w:val="001D1C20"/>
    <w:rsid w:val="001D1CAE"/>
    <w:rsid w:val="001D2089"/>
    <w:rsid w:val="001D2107"/>
    <w:rsid w:val="001D268B"/>
    <w:rsid w:val="001D2A34"/>
    <w:rsid w:val="001D2AB4"/>
    <w:rsid w:val="001D31B3"/>
    <w:rsid w:val="001D33AB"/>
    <w:rsid w:val="001D3530"/>
    <w:rsid w:val="001D40D5"/>
    <w:rsid w:val="001D411B"/>
    <w:rsid w:val="001D4181"/>
    <w:rsid w:val="001D4603"/>
    <w:rsid w:val="001D54C9"/>
    <w:rsid w:val="001D556E"/>
    <w:rsid w:val="001D5D47"/>
    <w:rsid w:val="001D5DE3"/>
    <w:rsid w:val="001D6209"/>
    <w:rsid w:val="001D640F"/>
    <w:rsid w:val="001D6553"/>
    <w:rsid w:val="001D6BF3"/>
    <w:rsid w:val="001D6F1D"/>
    <w:rsid w:val="001D7324"/>
    <w:rsid w:val="001D7CF1"/>
    <w:rsid w:val="001E0622"/>
    <w:rsid w:val="001E079E"/>
    <w:rsid w:val="001E0994"/>
    <w:rsid w:val="001E0A82"/>
    <w:rsid w:val="001E0B0D"/>
    <w:rsid w:val="001E1378"/>
    <w:rsid w:val="001E1827"/>
    <w:rsid w:val="001E25EC"/>
    <w:rsid w:val="001E26E2"/>
    <w:rsid w:val="001E2E10"/>
    <w:rsid w:val="001E3023"/>
    <w:rsid w:val="001E319F"/>
    <w:rsid w:val="001E3256"/>
    <w:rsid w:val="001E3939"/>
    <w:rsid w:val="001E3D77"/>
    <w:rsid w:val="001E4457"/>
    <w:rsid w:val="001E4E98"/>
    <w:rsid w:val="001E5442"/>
    <w:rsid w:val="001E5896"/>
    <w:rsid w:val="001E5918"/>
    <w:rsid w:val="001E594E"/>
    <w:rsid w:val="001E59BC"/>
    <w:rsid w:val="001E5EBF"/>
    <w:rsid w:val="001E6852"/>
    <w:rsid w:val="001E6C6D"/>
    <w:rsid w:val="001E6F2A"/>
    <w:rsid w:val="001E6FB7"/>
    <w:rsid w:val="001E7962"/>
    <w:rsid w:val="001E7EE0"/>
    <w:rsid w:val="001F0488"/>
    <w:rsid w:val="001F073C"/>
    <w:rsid w:val="001F0A6B"/>
    <w:rsid w:val="001F0D0A"/>
    <w:rsid w:val="001F1471"/>
    <w:rsid w:val="001F16AC"/>
    <w:rsid w:val="001F1726"/>
    <w:rsid w:val="001F206D"/>
    <w:rsid w:val="001F20EF"/>
    <w:rsid w:val="001F229E"/>
    <w:rsid w:val="001F2779"/>
    <w:rsid w:val="001F277C"/>
    <w:rsid w:val="001F2912"/>
    <w:rsid w:val="001F2C1C"/>
    <w:rsid w:val="001F2CE4"/>
    <w:rsid w:val="001F2D08"/>
    <w:rsid w:val="001F2F47"/>
    <w:rsid w:val="001F3208"/>
    <w:rsid w:val="001F3652"/>
    <w:rsid w:val="001F3796"/>
    <w:rsid w:val="001F3D42"/>
    <w:rsid w:val="001F42B2"/>
    <w:rsid w:val="001F475D"/>
    <w:rsid w:val="001F47E5"/>
    <w:rsid w:val="001F4E81"/>
    <w:rsid w:val="001F4FC8"/>
    <w:rsid w:val="001F5016"/>
    <w:rsid w:val="001F65A7"/>
    <w:rsid w:val="001F6896"/>
    <w:rsid w:val="001F68D2"/>
    <w:rsid w:val="001F6D90"/>
    <w:rsid w:val="001F70C9"/>
    <w:rsid w:val="001F71D8"/>
    <w:rsid w:val="002001B1"/>
    <w:rsid w:val="00200296"/>
    <w:rsid w:val="0020059D"/>
    <w:rsid w:val="00200B96"/>
    <w:rsid w:val="0020183A"/>
    <w:rsid w:val="00201ADB"/>
    <w:rsid w:val="00201B89"/>
    <w:rsid w:val="002022ED"/>
    <w:rsid w:val="00202906"/>
    <w:rsid w:val="00202C2F"/>
    <w:rsid w:val="00202D3B"/>
    <w:rsid w:val="002032AF"/>
    <w:rsid w:val="00203679"/>
    <w:rsid w:val="002036A4"/>
    <w:rsid w:val="0020383D"/>
    <w:rsid w:val="00203D3F"/>
    <w:rsid w:val="00203D8B"/>
    <w:rsid w:val="00203DD3"/>
    <w:rsid w:val="00203DEA"/>
    <w:rsid w:val="00203E8F"/>
    <w:rsid w:val="00204B6C"/>
    <w:rsid w:val="00204D5B"/>
    <w:rsid w:val="00204EC5"/>
    <w:rsid w:val="002058E5"/>
    <w:rsid w:val="0020617C"/>
    <w:rsid w:val="00206BAF"/>
    <w:rsid w:val="00206EC3"/>
    <w:rsid w:val="00207009"/>
    <w:rsid w:val="0020775A"/>
    <w:rsid w:val="002079CD"/>
    <w:rsid w:val="00207DC1"/>
    <w:rsid w:val="00207EC3"/>
    <w:rsid w:val="00207F85"/>
    <w:rsid w:val="002102F1"/>
    <w:rsid w:val="002104D2"/>
    <w:rsid w:val="00210747"/>
    <w:rsid w:val="00210DBA"/>
    <w:rsid w:val="00210FAA"/>
    <w:rsid w:val="0021128B"/>
    <w:rsid w:val="00211340"/>
    <w:rsid w:val="00211F51"/>
    <w:rsid w:val="002126F3"/>
    <w:rsid w:val="002128B3"/>
    <w:rsid w:val="00212903"/>
    <w:rsid w:val="00212D4B"/>
    <w:rsid w:val="0021313E"/>
    <w:rsid w:val="0021331C"/>
    <w:rsid w:val="00213394"/>
    <w:rsid w:val="002134FB"/>
    <w:rsid w:val="00213821"/>
    <w:rsid w:val="002139A9"/>
    <w:rsid w:val="002139FC"/>
    <w:rsid w:val="00213F30"/>
    <w:rsid w:val="00214438"/>
    <w:rsid w:val="002149AE"/>
    <w:rsid w:val="00214C3E"/>
    <w:rsid w:val="00214C53"/>
    <w:rsid w:val="00214CFF"/>
    <w:rsid w:val="0021540F"/>
    <w:rsid w:val="002155D7"/>
    <w:rsid w:val="00215787"/>
    <w:rsid w:val="00216816"/>
    <w:rsid w:val="00217A70"/>
    <w:rsid w:val="00217FF1"/>
    <w:rsid w:val="002205EB"/>
    <w:rsid w:val="0022095B"/>
    <w:rsid w:val="00220B54"/>
    <w:rsid w:val="00220C10"/>
    <w:rsid w:val="00220F67"/>
    <w:rsid w:val="00220FE5"/>
    <w:rsid w:val="0022112C"/>
    <w:rsid w:val="002214A9"/>
    <w:rsid w:val="0022190D"/>
    <w:rsid w:val="00222047"/>
    <w:rsid w:val="0022222A"/>
    <w:rsid w:val="002224DB"/>
    <w:rsid w:val="0022254D"/>
    <w:rsid w:val="00222C06"/>
    <w:rsid w:val="002234A6"/>
    <w:rsid w:val="0022386E"/>
    <w:rsid w:val="00223CC6"/>
    <w:rsid w:val="00223E68"/>
    <w:rsid w:val="002241CD"/>
    <w:rsid w:val="002248EC"/>
    <w:rsid w:val="002250C2"/>
    <w:rsid w:val="002253D3"/>
    <w:rsid w:val="0022571D"/>
    <w:rsid w:val="00225E37"/>
    <w:rsid w:val="00225FCB"/>
    <w:rsid w:val="0022624F"/>
    <w:rsid w:val="00226531"/>
    <w:rsid w:val="00226E45"/>
    <w:rsid w:val="00227BB7"/>
    <w:rsid w:val="00227D10"/>
    <w:rsid w:val="00230533"/>
    <w:rsid w:val="00230841"/>
    <w:rsid w:val="00230AF0"/>
    <w:rsid w:val="00230FDB"/>
    <w:rsid w:val="002311C6"/>
    <w:rsid w:val="002319E9"/>
    <w:rsid w:val="002324DC"/>
    <w:rsid w:val="00232AC7"/>
    <w:rsid w:val="00232CDE"/>
    <w:rsid w:val="00232E31"/>
    <w:rsid w:val="0023325F"/>
    <w:rsid w:val="00233296"/>
    <w:rsid w:val="002333F3"/>
    <w:rsid w:val="00233714"/>
    <w:rsid w:val="00233B8E"/>
    <w:rsid w:val="00233E53"/>
    <w:rsid w:val="00233F95"/>
    <w:rsid w:val="00234259"/>
    <w:rsid w:val="002342E1"/>
    <w:rsid w:val="002347C7"/>
    <w:rsid w:val="00235E69"/>
    <w:rsid w:val="00235F43"/>
    <w:rsid w:val="00236156"/>
    <w:rsid w:val="00236A99"/>
    <w:rsid w:val="0023741E"/>
    <w:rsid w:val="00237760"/>
    <w:rsid w:val="00237980"/>
    <w:rsid w:val="00237C1A"/>
    <w:rsid w:val="00240D91"/>
    <w:rsid w:val="002418BD"/>
    <w:rsid w:val="002419A6"/>
    <w:rsid w:val="002425EA"/>
    <w:rsid w:val="00242A25"/>
    <w:rsid w:val="00242E24"/>
    <w:rsid w:val="00242EA0"/>
    <w:rsid w:val="00242ED5"/>
    <w:rsid w:val="00243685"/>
    <w:rsid w:val="00243694"/>
    <w:rsid w:val="00243951"/>
    <w:rsid w:val="00243E2D"/>
    <w:rsid w:val="00243EC7"/>
    <w:rsid w:val="00243F24"/>
    <w:rsid w:val="002442F8"/>
    <w:rsid w:val="0024459C"/>
    <w:rsid w:val="00244652"/>
    <w:rsid w:val="00244676"/>
    <w:rsid w:val="00244C1C"/>
    <w:rsid w:val="00244CAC"/>
    <w:rsid w:val="00245535"/>
    <w:rsid w:val="002456A1"/>
    <w:rsid w:val="0024583B"/>
    <w:rsid w:val="00245AD1"/>
    <w:rsid w:val="00245AD9"/>
    <w:rsid w:val="00245E87"/>
    <w:rsid w:val="00246300"/>
    <w:rsid w:val="00246724"/>
    <w:rsid w:val="00246BDF"/>
    <w:rsid w:val="00246C0A"/>
    <w:rsid w:val="00246E58"/>
    <w:rsid w:val="002470BB"/>
    <w:rsid w:val="00247A7A"/>
    <w:rsid w:val="002507D7"/>
    <w:rsid w:val="00250992"/>
    <w:rsid w:val="00250C27"/>
    <w:rsid w:val="00250DA0"/>
    <w:rsid w:val="00250F41"/>
    <w:rsid w:val="0025192A"/>
    <w:rsid w:val="00251CE7"/>
    <w:rsid w:val="0025237B"/>
    <w:rsid w:val="002525E6"/>
    <w:rsid w:val="00252A14"/>
    <w:rsid w:val="00252C35"/>
    <w:rsid w:val="00252D61"/>
    <w:rsid w:val="002530E7"/>
    <w:rsid w:val="002532B4"/>
    <w:rsid w:val="00253FFF"/>
    <w:rsid w:val="00254637"/>
    <w:rsid w:val="00254791"/>
    <w:rsid w:val="0025487C"/>
    <w:rsid w:val="00254AE2"/>
    <w:rsid w:val="00254EEB"/>
    <w:rsid w:val="0025553E"/>
    <w:rsid w:val="00255766"/>
    <w:rsid w:val="0025613F"/>
    <w:rsid w:val="002563A0"/>
    <w:rsid w:val="00256B2A"/>
    <w:rsid w:val="00256DA6"/>
    <w:rsid w:val="00257645"/>
    <w:rsid w:val="0025769C"/>
    <w:rsid w:val="00257C43"/>
    <w:rsid w:val="00257E25"/>
    <w:rsid w:val="00257F57"/>
    <w:rsid w:val="00257F91"/>
    <w:rsid w:val="00260284"/>
    <w:rsid w:val="00260795"/>
    <w:rsid w:val="002607AA"/>
    <w:rsid w:val="00260B21"/>
    <w:rsid w:val="00260B9D"/>
    <w:rsid w:val="002619BF"/>
    <w:rsid w:val="00261CCD"/>
    <w:rsid w:val="00261D30"/>
    <w:rsid w:val="00261DC6"/>
    <w:rsid w:val="00262836"/>
    <w:rsid w:val="00262C13"/>
    <w:rsid w:val="00263A45"/>
    <w:rsid w:val="00263B1A"/>
    <w:rsid w:val="00264623"/>
    <w:rsid w:val="00264773"/>
    <w:rsid w:val="002647D9"/>
    <w:rsid w:val="002649C2"/>
    <w:rsid w:val="00264E52"/>
    <w:rsid w:val="002653DB"/>
    <w:rsid w:val="0026670E"/>
    <w:rsid w:val="00266C5F"/>
    <w:rsid w:val="00266E1B"/>
    <w:rsid w:val="00267036"/>
    <w:rsid w:val="00267C73"/>
    <w:rsid w:val="00267D57"/>
    <w:rsid w:val="00270BBC"/>
    <w:rsid w:val="00270DCA"/>
    <w:rsid w:val="00271F20"/>
    <w:rsid w:val="00272486"/>
    <w:rsid w:val="002725C6"/>
    <w:rsid w:val="002726A3"/>
    <w:rsid w:val="0027288C"/>
    <w:rsid w:val="002730C0"/>
    <w:rsid w:val="0027331C"/>
    <w:rsid w:val="00275684"/>
    <w:rsid w:val="0027575E"/>
    <w:rsid w:val="00275799"/>
    <w:rsid w:val="00275F67"/>
    <w:rsid w:val="00276C8A"/>
    <w:rsid w:val="00276C8F"/>
    <w:rsid w:val="00276FA4"/>
    <w:rsid w:val="00276FE3"/>
    <w:rsid w:val="00276FE8"/>
    <w:rsid w:val="00277A3D"/>
    <w:rsid w:val="00277D40"/>
    <w:rsid w:val="00280092"/>
    <w:rsid w:val="002801F4"/>
    <w:rsid w:val="00280B5B"/>
    <w:rsid w:val="00280D8D"/>
    <w:rsid w:val="00281079"/>
    <w:rsid w:val="002816E4"/>
    <w:rsid w:val="00281708"/>
    <w:rsid w:val="00281CD2"/>
    <w:rsid w:val="00281D2A"/>
    <w:rsid w:val="00281DCF"/>
    <w:rsid w:val="002822D5"/>
    <w:rsid w:val="00282AE7"/>
    <w:rsid w:val="00282B65"/>
    <w:rsid w:val="00282D34"/>
    <w:rsid w:val="00282D4C"/>
    <w:rsid w:val="002833C1"/>
    <w:rsid w:val="002836DF"/>
    <w:rsid w:val="00283A6E"/>
    <w:rsid w:val="0028462D"/>
    <w:rsid w:val="00284D06"/>
    <w:rsid w:val="00284D2A"/>
    <w:rsid w:val="00285A55"/>
    <w:rsid w:val="00285ACB"/>
    <w:rsid w:val="002861AB"/>
    <w:rsid w:val="00286264"/>
    <w:rsid w:val="0028643B"/>
    <w:rsid w:val="002866D8"/>
    <w:rsid w:val="00286957"/>
    <w:rsid w:val="00286C3A"/>
    <w:rsid w:val="00286CC1"/>
    <w:rsid w:val="0028723C"/>
    <w:rsid w:val="0028752E"/>
    <w:rsid w:val="00287596"/>
    <w:rsid w:val="002875DF"/>
    <w:rsid w:val="00287716"/>
    <w:rsid w:val="0028777E"/>
    <w:rsid w:val="00287E1E"/>
    <w:rsid w:val="0029000F"/>
    <w:rsid w:val="002910E4"/>
    <w:rsid w:val="00291838"/>
    <w:rsid w:val="002918EF"/>
    <w:rsid w:val="00291928"/>
    <w:rsid w:val="0029194F"/>
    <w:rsid w:val="00291C26"/>
    <w:rsid w:val="002923DF"/>
    <w:rsid w:val="0029289C"/>
    <w:rsid w:val="002928F4"/>
    <w:rsid w:val="002929E8"/>
    <w:rsid w:val="002929F2"/>
    <w:rsid w:val="00292B97"/>
    <w:rsid w:val="00292C42"/>
    <w:rsid w:val="00292E99"/>
    <w:rsid w:val="002930A0"/>
    <w:rsid w:val="0029330B"/>
    <w:rsid w:val="00293426"/>
    <w:rsid w:val="00293A1D"/>
    <w:rsid w:val="00293CEC"/>
    <w:rsid w:val="002945E4"/>
    <w:rsid w:val="00294A22"/>
    <w:rsid w:val="002954E4"/>
    <w:rsid w:val="002955D7"/>
    <w:rsid w:val="00295796"/>
    <w:rsid w:val="002957A0"/>
    <w:rsid w:val="00295F1A"/>
    <w:rsid w:val="0029642F"/>
    <w:rsid w:val="002968A9"/>
    <w:rsid w:val="00296FFE"/>
    <w:rsid w:val="00297DDD"/>
    <w:rsid w:val="00297E94"/>
    <w:rsid w:val="002A00B0"/>
    <w:rsid w:val="002A069B"/>
    <w:rsid w:val="002A0E16"/>
    <w:rsid w:val="002A0E66"/>
    <w:rsid w:val="002A107F"/>
    <w:rsid w:val="002A10D5"/>
    <w:rsid w:val="002A1699"/>
    <w:rsid w:val="002A1D9D"/>
    <w:rsid w:val="002A1DA9"/>
    <w:rsid w:val="002A291F"/>
    <w:rsid w:val="002A2C50"/>
    <w:rsid w:val="002A2D05"/>
    <w:rsid w:val="002A2D5C"/>
    <w:rsid w:val="002A391F"/>
    <w:rsid w:val="002A3D3A"/>
    <w:rsid w:val="002A3F02"/>
    <w:rsid w:val="002A4503"/>
    <w:rsid w:val="002A4552"/>
    <w:rsid w:val="002A46D7"/>
    <w:rsid w:val="002A46E3"/>
    <w:rsid w:val="002A49CF"/>
    <w:rsid w:val="002A5066"/>
    <w:rsid w:val="002A538F"/>
    <w:rsid w:val="002A53E0"/>
    <w:rsid w:val="002A5465"/>
    <w:rsid w:val="002A5A12"/>
    <w:rsid w:val="002A5A23"/>
    <w:rsid w:val="002A6017"/>
    <w:rsid w:val="002A6A61"/>
    <w:rsid w:val="002A6B61"/>
    <w:rsid w:val="002A78B9"/>
    <w:rsid w:val="002A7EEB"/>
    <w:rsid w:val="002B01A5"/>
    <w:rsid w:val="002B02F9"/>
    <w:rsid w:val="002B05B8"/>
    <w:rsid w:val="002B0A2C"/>
    <w:rsid w:val="002B1A0F"/>
    <w:rsid w:val="002B1BD6"/>
    <w:rsid w:val="002B237B"/>
    <w:rsid w:val="002B23E0"/>
    <w:rsid w:val="002B2842"/>
    <w:rsid w:val="002B29B5"/>
    <w:rsid w:val="002B2C3A"/>
    <w:rsid w:val="002B2E4E"/>
    <w:rsid w:val="002B3BB7"/>
    <w:rsid w:val="002B43B2"/>
    <w:rsid w:val="002B4842"/>
    <w:rsid w:val="002B48E5"/>
    <w:rsid w:val="002B4941"/>
    <w:rsid w:val="002B4FAA"/>
    <w:rsid w:val="002B5108"/>
    <w:rsid w:val="002B51E2"/>
    <w:rsid w:val="002B5D74"/>
    <w:rsid w:val="002B5F2E"/>
    <w:rsid w:val="002B6292"/>
    <w:rsid w:val="002B67CA"/>
    <w:rsid w:val="002B6817"/>
    <w:rsid w:val="002B7ADB"/>
    <w:rsid w:val="002B7ED2"/>
    <w:rsid w:val="002C00F5"/>
    <w:rsid w:val="002C071D"/>
    <w:rsid w:val="002C0D2A"/>
    <w:rsid w:val="002C14D7"/>
    <w:rsid w:val="002C14F6"/>
    <w:rsid w:val="002C1543"/>
    <w:rsid w:val="002C17C7"/>
    <w:rsid w:val="002C1B23"/>
    <w:rsid w:val="002C1D1D"/>
    <w:rsid w:val="002C1D2F"/>
    <w:rsid w:val="002C206E"/>
    <w:rsid w:val="002C2123"/>
    <w:rsid w:val="002C2710"/>
    <w:rsid w:val="002C28BA"/>
    <w:rsid w:val="002C33EC"/>
    <w:rsid w:val="002C349E"/>
    <w:rsid w:val="002C37E8"/>
    <w:rsid w:val="002C43CE"/>
    <w:rsid w:val="002C4522"/>
    <w:rsid w:val="002C4524"/>
    <w:rsid w:val="002C4647"/>
    <w:rsid w:val="002C4F2E"/>
    <w:rsid w:val="002C4F71"/>
    <w:rsid w:val="002C50BD"/>
    <w:rsid w:val="002C54A6"/>
    <w:rsid w:val="002C5A14"/>
    <w:rsid w:val="002C5F23"/>
    <w:rsid w:val="002C63F7"/>
    <w:rsid w:val="002C66B0"/>
    <w:rsid w:val="002C6917"/>
    <w:rsid w:val="002C693B"/>
    <w:rsid w:val="002C6C6E"/>
    <w:rsid w:val="002C6CF1"/>
    <w:rsid w:val="002C6E7A"/>
    <w:rsid w:val="002C6F79"/>
    <w:rsid w:val="002C719E"/>
    <w:rsid w:val="002C7C13"/>
    <w:rsid w:val="002D01AA"/>
    <w:rsid w:val="002D0B35"/>
    <w:rsid w:val="002D0C9F"/>
    <w:rsid w:val="002D0D89"/>
    <w:rsid w:val="002D0EF2"/>
    <w:rsid w:val="002D1242"/>
    <w:rsid w:val="002D125F"/>
    <w:rsid w:val="002D23E6"/>
    <w:rsid w:val="002D24AC"/>
    <w:rsid w:val="002D25B5"/>
    <w:rsid w:val="002D2CCA"/>
    <w:rsid w:val="002D2F82"/>
    <w:rsid w:val="002D2FCA"/>
    <w:rsid w:val="002D320F"/>
    <w:rsid w:val="002D366F"/>
    <w:rsid w:val="002D37CF"/>
    <w:rsid w:val="002D381E"/>
    <w:rsid w:val="002D3B05"/>
    <w:rsid w:val="002D3EBE"/>
    <w:rsid w:val="002D3F40"/>
    <w:rsid w:val="002D493E"/>
    <w:rsid w:val="002D4A9B"/>
    <w:rsid w:val="002D5D0A"/>
    <w:rsid w:val="002D657C"/>
    <w:rsid w:val="002D6CCD"/>
    <w:rsid w:val="002D7207"/>
    <w:rsid w:val="002D7823"/>
    <w:rsid w:val="002D7C00"/>
    <w:rsid w:val="002E00BC"/>
    <w:rsid w:val="002E0126"/>
    <w:rsid w:val="002E0138"/>
    <w:rsid w:val="002E13B5"/>
    <w:rsid w:val="002E14F7"/>
    <w:rsid w:val="002E1AA2"/>
    <w:rsid w:val="002E1C51"/>
    <w:rsid w:val="002E34A8"/>
    <w:rsid w:val="002E389F"/>
    <w:rsid w:val="002E3DB5"/>
    <w:rsid w:val="002E3DDE"/>
    <w:rsid w:val="002E4293"/>
    <w:rsid w:val="002E473E"/>
    <w:rsid w:val="002E4A18"/>
    <w:rsid w:val="002E4C2D"/>
    <w:rsid w:val="002E4F58"/>
    <w:rsid w:val="002E5285"/>
    <w:rsid w:val="002E52BB"/>
    <w:rsid w:val="002E5DEA"/>
    <w:rsid w:val="002E5E94"/>
    <w:rsid w:val="002E6B22"/>
    <w:rsid w:val="002E6FCA"/>
    <w:rsid w:val="002E724A"/>
    <w:rsid w:val="002E77F0"/>
    <w:rsid w:val="002E78EB"/>
    <w:rsid w:val="002F078A"/>
    <w:rsid w:val="002F153D"/>
    <w:rsid w:val="002F1AF4"/>
    <w:rsid w:val="002F26E6"/>
    <w:rsid w:val="002F28EC"/>
    <w:rsid w:val="002F311E"/>
    <w:rsid w:val="002F313A"/>
    <w:rsid w:val="002F31E7"/>
    <w:rsid w:val="002F327D"/>
    <w:rsid w:val="002F345B"/>
    <w:rsid w:val="002F3ABA"/>
    <w:rsid w:val="002F3D7A"/>
    <w:rsid w:val="002F4515"/>
    <w:rsid w:val="002F4F83"/>
    <w:rsid w:val="002F5AF4"/>
    <w:rsid w:val="002F5CEF"/>
    <w:rsid w:val="002F5FEC"/>
    <w:rsid w:val="002F6680"/>
    <w:rsid w:val="002F683D"/>
    <w:rsid w:val="002F71B8"/>
    <w:rsid w:val="002F71F4"/>
    <w:rsid w:val="002F7BB3"/>
    <w:rsid w:val="00300718"/>
    <w:rsid w:val="00300EEC"/>
    <w:rsid w:val="003013D7"/>
    <w:rsid w:val="003019A6"/>
    <w:rsid w:val="00301A36"/>
    <w:rsid w:val="00301E2F"/>
    <w:rsid w:val="00301E9D"/>
    <w:rsid w:val="00301EA1"/>
    <w:rsid w:val="00301F26"/>
    <w:rsid w:val="00301F5B"/>
    <w:rsid w:val="0030213E"/>
    <w:rsid w:val="00302A6A"/>
    <w:rsid w:val="00302C93"/>
    <w:rsid w:val="00302CC1"/>
    <w:rsid w:val="00302FCC"/>
    <w:rsid w:val="00303807"/>
    <w:rsid w:val="00303898"/>
    <w:rsid w:val="00303C26"/>
    <w:rsid w:val="00303F40"/>
    <w:rsid w:val="00304886"/>
    <w:rsid w:val="00305238"/>
    <w:rsid w:val="003058E8"/>
    <w:rsid w:val="003062AE"/>
    <w:rsid w:val="00306590"/>
    <w:rsid w:val="00306FD7"/>
    <w:rsid w:val="003073E1"/>
    <w:rsid w:val="0030750F"/>
    <w:rsid w:val="003075C6"/>
    <w:rsid w:val="00307AB7"/>
    <w:rsid w:val="00307B95"/>
    <w:rsid w:val="0031033B"/>
    <w:rsid w:val="00310844"/>
    <w:rsid w:val="00310894"/>
    <w:rsid w:val="00310B1E"/>
    <w:rsid w:val="00310E37"/>
    <w:rsid w:val="003114CA"/>
    <w:rsid w:val="003120FD"/>
    <w:rsid w:val="0031217F"/>
    <w:rsid w:val="0031241B"/>
    <w:rsid w:val="00312491"/>
    <w:rsid w:val="003128BF"/>
    <w:rsid w:val="00312933"/>
    <w:rsid w:val="00312CAE"/>
    <w:rsid w:val="00312FE2"/>
    <w:rsid w:val="003131AA"/>
    <w:rsid w:val="003131EE"/>
    <w:rsid w:val="00313EB1"/>
    <w:rsid w:val="003140B9"/>
    <w:rsid w:val="0031458D"/>
    <w:rsid w:val="0031480D"/>
    <w:rsid w:val="00314993"/>
    <w:rsid w:val="00314BFC"/>
    <w:rsid w:val="00314F55"/>
    <w:rsid w:val="003154F9"/>
    <w:rsid w:val="00315514"/>
    <w:rsid w:val="00315719"/>
    <w:rsid w:val="0031587F"/>
    <w:rsid w:val="00316016"/>
    <w:rsid w:val="003162EB"/>
    <w:rsid w:val="003175B1"/>
    <w:rsid w:val="00317E18"/>
    <w:rsid w:val="00320688"/>
    <w:rsid w:val="003208AE"/>
    <w:rsid w:val="00320B85"/>
    <w:rsid w:val="00321C9D"/>
    <w:rsid w:val="0032220E"/>
    <w:rsid w:val="003223E0"/>
    <w:rsid w:val="00322612"/>
    <w:rsid w:val="003226E9"/>
    <w:rsid w:val="003229D8"/>
    <w:rsid w:val="0032307B"/>
    <w:rsid w:val="003236D9"/>
    <w:rsid w:val="00323CDD"/>
    <w:rsid w:val="00324141"/>
    <w:rsid w:val="0032465E"/>
    <w:rsid w:val="0032490A"/>
    <w:rsid w:val="00324B79"/>
    <w:rsid w:val="003250CA"/>
    <w:rsid w:val="00325219"/>
    <w:rsid w:val="003254DD"/>
    <w:rsid w:val="00325739"/>
    <w:rsid w:val="00325DA1"/>
    <w:rsid w:val="00325DAC"/>
    <w:rsid w:val="003270E4"/>
    <w:rsid w:val="00327C33"/>
    <w:rsid w:val="00327F75"/>
    <w:rsid w:val="00330770"/>
    <w:rsid w:val="00331556"/>
    <w:rsid w:val="003315DC"/>
    <w:rsid w:val="00331805"/>
    <w:rsid w:val="00331A16"/>
    <w:rsid w:val="00331BA6"/>
    <w:rsid w:val="00331FEC"/>
    <w:rsid w:val="0033245C"/>
    <w:rsid w:val="003327F2"/>
    <w:rsid w:val="003328F9"/>
    <w:rsid w:val="0033297A"/>
    <w:rsid w:val="00333C84"/>
    <w:rsid w:val="00333CE4"/>
    <w:rsid w:val="00333DDD"/>
    <w:rsid w:val="003344D4"/>
    <w:rsid w:val="00334677"/>
    <w:rsid w:val="0033491A"/>
    <w:rsid w:val="00334ACF"/>
    <w:rsid w:val="003350E5"/>
    <w:rsid w:val="00335423"/>
    <w:rsid w:val="003354A6"/>
    <w:rsid w:val="003354BC"/>
    <w:rsid w:val="00335D4A"/>
    <w:rsid w:val="003364DA"/>
    <w:rsid w:val="00336E4D"/>
    <w:rsid w:val="00336E9E"/>
    <w:rsid w:val="003374D6"/>
    <w:rsid w:val="00337A6B"/>
    <w:rsid w:val="00337AB3"/>
    <w:rsid w:val="00340377"/>
    <w:rsid w:val="003404BC"/>
    <w:rsid w:val="003405D8"/>
    <w:rsid w:val="00341046"/>
    <w:rsid w:val="003415E1"/>
    <w:rsid w:val="00341907"/>
    <w:rsid w:val="00341A14"/>
    <w:rsid w:val="0034260A"/>
    <w:rsid w:val="003427C2"/>
    <w:rsid w:val="003429D1"/>
    <w:rsid w:val="0034384C"/>
    <w:rsid w:val="00343C53"/>
    <w:rsid w:val="00343E9F"/>
    <w:rsid w:val="00343FB7"/>
    <w:rsid w:val="0034429B"/>
    <w:rsid w:val="003444D0"/>
    <w:rsid w:val="0034458E"/>
    <w:rsid w:val="00344F14"/>
    <w:rsid w:val="00345864"/>
    <w:rsid w:val="00345E01"/>
    <w:rsid w:val="003461D7"/>
    <w:rsid w:val="0034660C"/>
    <w:rsid w:val="00346F3F"/>
    <w:rsid w:val="0035045D"/>
    <w:rsid w:val="0035096F"/>
    <w:rsid w:val="00350DF1"/>
    <w:rsid w:val="00350E2F"/>
    <w:rsid w:val="00351381"/>
    <w:rsid w:val="0035213C"/>
    <w:rsid w:val="0035224F"/>
    <w:rsid w:val="0035228D"/>
    <w:rsid w:val="003522B1"/>
    <w:rsid w:val="003523D8"/>
    <w:rsid w:val="003530A6"/>
    <w:rsid w:val="00353627"/>
    <w:rsid w:val="0035363F"/>
    <w:rsid w:val="00354589"/>
    <w:rsid w:val="00354851"/>
    <w:rsid w:val="00354868"/>
    <w:rsid w:val="0035495E"/>
    <w:rsid w:val="0035538A"/>
    <w:rsid w:val="00355773"/>
    <w:rsid w:val="00355CDE"/>
    <w:rsid w:val="00355DF6"/>
    <w:rsid w:val="00355F15"/>
    <w:rsid w:val="00355F72"/>
    <w:rsid w:val="00356127"/>
    <w:rsid w:val="00356422"/>
    <w:rsid w:val="00356EEE"/>
    <w:rsid w:val="003571C3"/>
    <w:rsid w:val="003575A2"/>
    <w:rsid w:val="00357657"/>
    <w:rsid w:val="003579D6"/>
    <w:rsid w:val="00357A52"/>
    <w:rsid w:val="00357AD9"/>
    <w:rsid w:val="00357E32"/>
    <w:rsid w:val="0036003A"/>
    <w:rsid w:val="00360326"/>
    <w:rsid w:val="003608FE"/>
    <w:rsid w:val="00360A77"/>
    <w:rsid w:val="00360AB4"/>
    <w:rsid w:val="00360BD5"/>
    <w:rsid w:val="003618EF"/>
    <w:rsid w:val="00362882"/>
    <w:rsid w:val="00362C7B"/>
    <w:rsid w:val="0036300D"/>
    <w:rsid w:val="00363067"/>
    <w:rsid w:val="00363487"/>
    <w:rsid w:val="003635C1"/>
    <w:rsid w:val="003639A6"/>
    <w:rsid w:val="00364270"/>
    <w:rsid w:val="00364330"/>
    <w:rsid w:val="003645D5"/>
    <w:rsid w:val="00364B3F"/>
    <w:rsid w:val="00364CE0"/>
    <w:rsid w:val="00364D3B"/>
    <w:rsid w:val="00365048"/>
    <w:rsid w:val="0036545A"/>
    <w:rsid w:val="00365833"/>
    <w:rsid w:val="00366624"/>
    <w:rsid w:val="00366755"/>
    <w:rsid w:val="00366E23"/>
    <w:rsid w:val="003672B0"/>
    <w:rsid w:val="003679AE"/>
    <w:rsid w:val="00367CF7"/>
    <w:rsid w:val="00367F6C"/>
    <w:rsid w:val="00370688"/>
    <w:rsid w:val="00370AA6"/>
    <w:rsid w:val="003714BA"/>
    <w:rsid w:val="003714E3"/>
    <w:rsid w:val="00371C14"/>
    <w:rsid w:val="00371FDC"/>
    <w:rsid w:val="003728B9"/>
    <w:rsid w:val="003730AD"/>
    <w:rsid w:val="003735B4"/>
    <w:rsid w:val="00374123"/>
    <w:rsid w:val="0037425F"/>
    <w:rsid w:val="003746AA"/>
    <w:rsid w:val="003747ED"/>
    <w:rsid w:val="00374F79"/>
    <w:rsid w:val="00375145"/>
    <w:rsid w:val="0037516A"/>
    <w:rsid w:val="00376304"/>
    <w:rsid w:val="00376372"/>
    <w:rsid w:val="00376732"/>
    <w:rsid w:val="00376946"/>
    <w:rsid w:val="00376CE2"/>
    <w:rsid w:val="00376D4C"/>
    <w:rsid w:val="00376F46"/>
    <w:rsid w:val="003771B5"/>
    <w:rsid w:val="003772AC"/>
    <w:rsid w:val="0037797F"/>
    <w:rsid w:val="00377A2A"/>
    <w:rsid w:val="00377EF4"/>
    <w:rsid w:val="003802AE"/>
    <w:rsid w:val="003802CE"/>
    <w:rsid w:val="0038045A"/>
    <w:rsid w:val="00380D79"/>
    <w:rsid w:val="00380E71"/>
    <w:rsid w:val="00380E9A"/>
    <w:rsid w:val="00380EA7"/>
    <w:rsid w:val="00380F36"/>
    <w:rsid w:val="00381E78"/>
    <w:rsid w:val="003821DA"/>
    <w:rsid w:val="00382458"/>
    <w:rsid w:val="0038281C"/>
    <w:rsid w:val="00382C39"/>
    <w:rsid w:val="0038315B"/>
    <w:rsid w:val="00383816"/>
    <w:rsid w:val="00383A6A"/>
    <w:rsid w:val="0038438B"/>
    <w:rsid w:val="00385059"/>
    <w:rsid w:val="003850C6"/>
    <w:rsid w:val="0038516B"/>
    <w:rsid w:val="00385A64"/>
    <w:rsid w:val="00385F52"/>
    <w:rsid w:val="00386256"/>
    <w:rsid w:val="0038663C"/>
    <w:rsid w:val="0038686D"/>
    <w:rsid w:val="00386D1A"/>
    <w:rsid w:val="00387A2E"/>
    <w:rsid w:val="00387BA4"/>
    <w:rsid w:val="003901BE"/>
    <w:rsid w:val="00390300"/>
    <w:rsid w:val="0039045D"/>
    <w:rsid w:val="00390C7D"/>
    <w:rsid w:val="00390F8F"/>
    <w:rsid w:val="00391198"/>
    <w:rsid w:val="00391479"/>
    <w:rsid w:val="00391513"/>
    <w:rsid w:val="00391717"/>
    <w:rsid w:val="0039182E"/>
    <w:rsid w:val="00391872"/>
    <w:rsid w:val="00392455"/>
    <w:rsid w:val="00392699"/>
    <w:rsid w:val="00392826"/>
    <w:rsid w:val="00392E4B"/>
    <w:rsid w:val="00392F34"/>
    <w:rsid w:val="0039342B"/>
    <w:rsid w:val="00393832"/>
    <w:rsid w:val="00393C77"/>
    <w:rsid w:val="00394636"/>
    <w:rsid w:val="00394B86"/>
    <w:rsid w:val="00394BA7"/>
    <w:rsid w:val="00394C83"/>
    <w:rsid w:val="00394F07"/>
    <w:rsid w:val="003958A6"/>
    <w:rsid w:val="003959AF"/>
    <w:rsid w:val="00396339"/>
    <w:rsid w:val="00396404"/>
    <w:rsid w:val="00396D17"/>
    <w:rsid w:val="00397170"/>
    <w:rsid w:val="0039738C"/>
    <w:rsid w:val="00397CAB"/>
    <w:rsid w:val="00397D69"/>
    <w:rsid w:val="00397F0D"/>
    <w:rsid w:val="003A04B8"/>
    <w:rsid w:val="003A096A"/>
    <w:rsid w:val="003A09C7"/>
    <w:rsid w:val="003A0D8C"/>
    <w:rsid w:val="003A2801"/>
    <w:rsid w:val="003A292D"/>
    <w:rsid w:val="003A2B24"/>
    <w:rsid w:val="003A31C5"/>
    <w:rsid w:val="003A322A"/>
    <w:rsid w:val="003A3433"/>
    <w:rsid w:val="003A3436"/>
    <w:rsid w:val="003A389A"/>
    <w:rsid w:val="003A4110"/>
    <w:rsid w:val="003A4193"/>
    <w:rsid w:val="003A46C2"/>
    <w:rsid w:val="003A537E"/>
    <w:rsid w:val="003A5456"/>
    <w:rsid w:val="003A56B5"/>
    <w:rsid w:val="003A56BA"/>
    <w:rsid w:val="003A57CD"/>
    <w:rsid w:val="003A5D43"/>
    <w:rsid w:val="003A5DA5"/>
    <w:rsid w:val="003A618E"/>
    <w:rsid w:val="003A6209"/>
    <w:rsid w:val="003A660F"/>
    <w:rsid w:val="003A693E"/>
    <w:rsid w:val="003A74CD"/>
    <w:rsid w:val="003A7539"/>
    <w:rsid w:val="003A7595"/>
    <w:rsid w:val="003A79A4"/>
    <w:rsid w:val="003B006B"/>
    <w:rsid w:val="003B0305"/>
    <w:rsid w:val="003B0341"/>
    <w:rsid w:val="003B095E"/>
    <w:rsid w:val="003B0EA5"/>
    <w:rsid w:val="003B1661"/>
    <w:rsid w:val="003B1DBE"/>
    <w:rsid w:val="003B2769"/>
    <w:rsid w:val="003B2858"/>
    <w:rsid w:val="003B28EF"/>
    <w:rsid w:val="003B2930"/>
    <w:rsid w:val="003B2941"/>
    <w:rsid w:val="003B2C70"/>
    <w:rsid w:val="003B2F38"/>
    <w:rsid w:val="003B3834"/>
    <w:rsid w:val="003B3C35"/>
    <w:rsid w:val="003B3DCC"/>
    <w:rsid w:val="003B4143"/>
    <w:rsid w:val="003B4714"/>
    <w:rsid w:val="003B4872"/>
    <w:rsid w:val="003B4DEB"/>
    <w:rsid w:val="003B55CB"/>
    <w:rsid w:val="003B606C"/>
    <w:rsid w:val="003B6906"/>
    <w:rsid w:val="003B6DFD"/>
    <w:rsid w:val="003B718F"/>
    <w:rsid w:val="003B7303"/>
    <w:rsid w:val="003B74D9"/>
    <w:rsid w:val="003B7519"/>
    <w:rsid w:val="003B7656"/>
    <w:rsid w:val="003B772F"/>
    <w:rsid w:val="003B77FC"/>
    <w:rsid w:val="003C0127"/>
    <w:rsid w:val="003C0314"/>
    <w:rsid w:val="003C055D"/>
    <w:rsid w:val="003C05A9"/>
    <w:rsid w:val="003C0690"/>
    <w:rsid w:val="003C0D06"/>
    <w:rsid w:val="003C0EAF"/>
    <w:rsid w:val="003C10D8"/>
    <w:rsid w:val="003C15DB"/>
    <w:rsid w:val="003C1700"/>
    <w:rsid w:val="003C18E0"/>
    <w:rsid w:val="003C1A9F"/>
    <w:rsid w:val="003C1AD2"/>
    <w:rsid w:val="003C217B"/>
    <w:rsid w:val="003C268E"/>
    <w:rsid w:val="003C2902"/>
    <w:rsid w:val="003C3342"/>
    <w:rsid w:val="003C342C"/>
    <w:rsid w:val="003C3A86"/>
    <w:rsid w:val="003C3EB7"/>
    <w:rsid w:val="003C3EED"/>
    <w:rsid w:val="003C4BF2"/>
    <w:rsid w:val="003C4D97"/>
    <w:rsid w:val="003C547F"/>
    <w:rsid w:val="003C549A"/>
    <w:rsid w:val="003C54D2"/>
    <w:rsid w:val="003C56A9"/>
    <w:rsid w:val="003C5D46"/>
    <w:rsid w:val="003C5E6D"/>
    <w:rsid w:val="003C696A"/>
    <w:rsid w:val="003C6A73"/>
    <w:rsid w:val="003C6B93"/>
    <w:rsid w:val="003C768B"/>
    <w:rsid w:val="003C777E"/>
    <w:rsid w:val="003C77FE"/>
    <w:rsid w:val="003C7DC2"/>
    <w:rsid w:val="003C7E44"/>
    <w:rsid w:val="003C7ED8"/>
    <w:rsid w:val="003D01AB"/>
    <w:rsid w:val="003D050A"/>
    <w:rsid w:val="003D06AF"/>
    <w:rsid w:val="003D0BF6"/>
    <w:rsid w:val="003D11A9"/>
    <w:rsid w:val="003D1451"/>
    <w:rsid w:val="003D14FC"/>
    <w:rsid w:val="003D1B8B"/>
    <w:rsid w:val="003D1FB3"/>
    <w:rsid w:val="003D2A23"/>
    <w:rsid w:val="003D2A37"/>
    <w:rsid w:val="003D3337"/>
    <w:rsid w:val="003D3E6A"/>
    <w:rsid w:val="003D3EFE"/>
    <w:rsid w:val="003D4F8D"/>
    <w:rsid w:val="003D501B"/>
    <w:rsid w:val="003D5658"/>
    <w:rsid w:val="003D5800"/>
    <w:rsid w:val="003D6100"/>
    <w:rsid w:val="003D69AA"/>
    <w:rsid w:val="003D69EF"/>
    <w:rsid w:val="003D69FF"/>
    <w:rsid w:val="003D6A6D"/>
    <w:rsid w:val="003D6AE9"/>
    <w:rsid w:val="003D7D91"/>
    <w:rsid w:val="003D9066"/>
    <w:rsid w:val="003E0089"/>
    <w:rsid w:val="003E03CA"/>
    <w:rsid w:val="003E0910"/>
    <w:rsid w:val="003E0D10"/>
    <w:rsid w:val="003E0EDB"/>
    <w:rsid w:val="003E1A63"/>
    <w:rsid w:val="003E1A87"/>
    <w:rsid w:val="003E24F8"/>
    <w:rsid w:val="003E27E3"/>
    <w:rsid w:val="003E2843"/>
    <w:rsid w:val="003E29E8"/>
    <w:rsid w:val="003E3B7B"/>
    <w:rsid w:val="003E3D21"/>
    <w:rsid w:val="003E4126"/>
    <w:rsid w:val="003E49B7"/>
    <w:rsid w:val="003E4A7A"/>
    <w:rsid w:val="003E4DC9"/>
    <w:rsid w:val="003E4E4A"/>
    <w:rsid w:val="003E561B"/>
    <w:rsid w:val="003E57E4"/>
    <w:rsid w:val="003E582E"/>
    <w:rsid w:val="003E5858"/>
    <w:rsid w:val="003E5905"/>
    <w:rsid w:val="003E5ACE"/>
    <w:rsid w:val="003E6196"/>
    <w:rsid w:val="003E6475"/>
    <w:rsid w:val="003E6597"/>
    <w:rsid w:val="003E668E"/>
    <w:rsid w:val="003E69FD"/>
    <w:rsid w:val="003E70E4"/>
    <w:rsid w:val="003E7195"/>
    <w:rsid w:val="003E749D"/>
    <w:rsid w:val="003E7758"/>
    <w:rsid w:val="003E797D"/>
    <w:rsid w:val="003E7A79"/>
    <w:rsid w:val="003E7D4E"/>
    <w:rsid w:val="003E7E1A"/>
    <w:rsid w:val="003F0615"/>
    <w:rsid w:val="003F08BD"/>
    <w:rsid w:val="003F105A"/>
    <w:rsid w:val="003F1213"/>
    <w:rsid w:val="003F14B5"/>
    <w:rsid w:val="003F204B"/>
    <w:rsid w:val="003F2101"/>
    <w:rsid w:val="003F2344"/>
    <w:rsid w:val="003F25DC"/>
    <w:rsid w:val="003F2BC4"/>
    <w:rsid w:val="003F2CC6"/>
    <w:rsid w:val="003F2F6D"/>
    <w:rsid w:val="003F2FA7"/>
    <w:rsid w:val="003F330E"/>
    <w:rsid w:val="003F41B5"/>
    <w:rsid w:val="003F4238"/>
    <w:rsid w:val="003F485C"/>
    <w:rsid w:val="003F54E9"/>
    <w:rsid w:val="003F569E"/>
    <w:rsid w:val="003F5787"/>
    <w:rsid w:val="003F57E6"/>
    <w:rsid w:val="003F5B4D"/>
    <w:rsid w:val="003F6199"/>
    <w:rsid w:val="003F6458"/>
    <w:rsid w:val="003F660E"/>
    <w:rsid w:val="003F67E3"/>
    <w:rsid w:val="003F6819"/>
    <w:rsid w:val="003F6B3E"/>
    <w:rsid w:val="003F7E1D"/>
    <w:rsid w:val="004001BD"/>
    <w:rsid w:val="004004ED"/>
    <w:rsid w:val="00400BFE"/>
    <w:rsid w:val="00400CDC"/>
    <w:rsid w:val="00400F45"/>
    <w:rsid w:val="00401140"/>
    <w:rsid w:val="00401226"/>
    <w:rsid w:val="00401482"/>
    <w:rsid w:val="00401AD4"/>
    <w:rsid w:val="00401E77"/>
    <w:rsid w:val="00401F14"/>
    <w:rsid w:val="00402A56"/>
    <w:rsid w:val="004031A9"/>
    <w:rsid w:val="004033BF"/>
    <w:rsid w:val="004035A6"/>
    <w:rsid w:val="004038DD"/>
    <w:rsid w:val="00403C05"/>
    <w:rsid w:val="00403C4F"/>
    <w:rsid w:val="004044F2"/>
    <w:rsid w:val="00404517"/>
    <w:rsid w:val="00404A63"/>
    <w:rsid w:val="00404B7C"/>
    <w:rsid w:val="00404C3E"/>
    <w:rsid w:val="004050B3"/>
    <w:rsid w:val="004050D2"/>
    <w:rsid w:val="0040562C"/>
    <w:rsid w:val="00405D25"/>
    <w:rsid w:val="00405D5B"/>
    <w:rsid w:val="00405E2C"/>
    <w:rsid w:val="0040607B"/>
    <w:rsid w:val="004066C2"/>
    <w:rsid w:val="004067E0"/>
    <w:rsid w:val="00406870"/>
    <w:rsid w:val="00406921"/>
    <w:rsid w:val="00406C0F"/>
    <w:rsid w:val="00407262"/>
    <w:rsid w:val="004073DC"/>
    <w:rsid w:val="004102DF"/>
    <w:rsid w:val="004111D8"/>
    <w:rsid w:val="004112C2"/>
    <w:rsid w:val="00411ADB"/>
    <w:rsid w:val="00411D0E"/>
    <w:rsid w:val="00411F2D"/>
    <w:rsid w:val="0041202D"/>
    <w:rsid w:val="0041277E"/>
    <w:rsid w:val="0041307B"/>
    <w:rsid w:val="004135DA"/>
    <w:rsid w:val="00413FE6"/>
    <w:rsid w:val="00414755"/>
    <w:rsid w:val="0041484A"/>
    <w:rsid w:val="0041498A"/>
    <w:rsid w:val="004149FC"/>
    <w:rsid w:val="00414FDC"/>
    <w:rsid w:val="004150E3"/>
    <w:rsid w:val="004157D2"/>
    <w:rsid w:val="00416479"/>
    <w:rsid w:val="00416761"/>
    <w:rsid w:val="0041685C"/>
    <w:rsid w:val="004168AE"/>
    <w:rsid w:val="00416F0B"/>
    <w:rsid w:val="0041703B"/>
    <w:rsid w:val="004200C2"/>
    <w:rsid w:val="00420540"/>
    <w:rsid w:val="00420869"/>
    <w:rsid w:val="00421450"/>
    <w:rsid w:val="004221EF"/>
    <w:rsid w:val="00422B3A"/>
    <w:rsid w:val="00422CB8"/>
    <w:rsid w:val="00422F23"/>
    <w:rsid w:val="00423F3A"/>
    <w:rsid w:val="00423F92"/>
    <w:rsid w:val="00423FC5"/>
    <w:rsid w:val="00424088"/>
    <w:rsid w:val="00424BC8"/>
    <w:rsid w:val="00425029"/>
    <w:rsid w:val="00425894"/>
    <w:rsid w:val="00425956"/>
    <w:rsid w:val="00426090"/>
    <w:rsid w:val="0042664D"/>
    <w:rsid w:val="004266E1"/>
    <w:rsid w:val="00426C29"/>
    <w:rsid w:val="00426CD0"/>
    <w:rsid w:val="00426CF2"/>
    <w:rsid w:val="00426DEF"/>
    <w:rsid w:val="004273AD"/>
    <w:rsid w:val="004274C8"/>
    <w:rsid w:val="00427E55"/>
    <w:rsid w:val="004301F4"/>
    <w:rsid w:val="0043037A"/>
    <w:rsid w:val="00430CB1"/>
    <w:rsid w:val="0043129D"/>
    <w:rsid w:val="0043178C"/>
    <w:rsid w:val="00431969"/>
    <w:rsid w:val="0043224E"/>
    <w:rsid w:val="004323B6"/>
    <w:rsid w:val="004325D3"/>
    <w:rsid w:val="00432AFF"/>
    <w:rsid w:val="00432CD2"/>
    <w:rsid w:val="0043305D"/>
    <w:rsid w:val="00433236"/>
    <w:rsid w:val="004339F3"/>
    <w:rsid w:val="00433E30"/>
    <w:rsid w:val="00433FEF"/>
    <w:rsid w:val="004340E7"/>
    <w:rsid w:val="004354F7"/>
    <w:rsid w:val="00435542"/>
    <w:rsid w:val="004364A8"/>
    <w:rsid w:val="00436A0D"/>
    <w:rsid w:val="00437052"/>
    <w:rsid w:val="00437548"/>
    <w:rsid w:val="004376F3"/>
    <w:rsid w:val="00437984"/>
    <w:rsid w:val="00437BB5"/>
    <w:rsid w:val="00440142"/>
    <w:rsid w:val="00440C32"/>
    <w:rsid w:val="00440D57"/>
    <w:rsid w:val="00441460"/>
    <w:rsid w:val="0044163A"/>
    <w:rsid w:val="00441962"/>
    <w:rsid w:val="00441FEB"/>
    <w:rsid w:val="004428CA"/>
    <w:rsid w:val="00442E59"/>
    <w:rsid w:val="0044317E"/>
    <w:rsid w:val="00443439"/>
    <w:rsid w:val="00443AF8"/>
    <w:rsid w:val="0044566E"/>
    <w:rsid w:val="0044591C"/>
    <w:rsid w:val="00445CA2"/>
    <w:rsid w:val="00445CCC"/>
    <w:rsid w:val="00446358"/>
    <w:rsid w:val="00446421"/>
    <w:rsid w:val="00446551"/>
    <w:rsid w:val="00446653"/>
    <w:rsid w:val="00446FBF"/>
    <w:rsid w:val="00447026"/>
    <w:rsid w:val="00447243"/>
    <w:rsid w:val="004475B2"/>
    <w:rsid w:val="00447873"/>
    <w:rsid w:val="004501F2"/>
    <w:rsid w:val="00450486"/>
    <w:rsid w:val="004504BA"/>
    <w:rsid w:val="004506DF"/>
    <w:rsid w:val="004507D3"/>
    <w:rsid w:val="00450DFB"/>
    <w:rsid w:val="00451150"/>
    <w:rsid w:val="004511AA"/>
    <w:rsid w:val="0045143E"/>
    <w:rsid w:val="00451449"/>
    <w:rsid w:val="00451D8C"/>
    <w:rsid w:val="00451DFE"/>
    <w:rsid w:val="0045210E"/>
    <w:rsid w:val="0045225F"/>
    <w:rsid w:val="004526FE"/>
    <w:rsid w:val="00452AAF"/>
    <w:rsid w:val="00452E68"/>
    <w:rsid w:val="004536A1"/>
    <w:rsid w:val="00453743"/>
    <w:rsid w:val="0045389C"/>
    <w:rsid w:val="00453BAE"/>
    <w:rsid w:val="00453D59"/>
    <w:rsid w:val="004541CB"/>
    <w:rsid w:val="004548E9"/>
    <w:rsid w:val="00454945"/>
    <w:rsid w:val="00454B7E"/>
    <w:rsid w:val="00454E49"/>
    <w:rsid w:val="00455147"/>
    <w:rsid w:val="00455209"/>
    <w:rsid w:val="00455430"/>
    <w:rsid w:val="00455A32"/>
    <w:rsid w:val="00455F43"/>
    <w:rsid w:val="00456087"/>
    <w:rsid w:val="00456242"/>
    <w:rsid w:val="00456420"/>
    <w:rsid w:val="00456665"/>
    <w:rsid w:val="00456BBE"/>
    <w:rsid w:val="00456C99"/>
    <w:rsid w:val="00457516"/>
    <w:rsid w:val="00457C18"/>
    <w:rsid w:val="00457F14"/>
    <w:rsid w:val="0046005E"/>
    <w:rsid w:val="004606DD"/>
    <w:rsid w:val="00460B6A"/>
    <w:rsid w:val="00460B94"/>
    <w:rsid w:val="00460D64"/>
    <w:rsid w:val="00460DDB"/>
    <w:rsid w:val="004619BB"/>
    <w:rsid w:val="00461B49"/>
    <w:rsid w:val="00462043"/>
    <w:rsid w:val="004631F8"/>
    <w:rsid w:val="004636F1"/>
    <w:rsid w:val="00464548"/>
    <w:rsid w:val="00465862"/>
    <w:rsid w:val="0046592A"/>
    <w:rsid w:val="00465D3F"/>
    <w:rsid w:val="0046600B"/>
    <w:rsid w:val="0046621E"/>
    <w:rsid w:val="0046629F"/>
    <w:rsid w:val="004664D8"/>
    <w:rsid w:val="00466612"/>
    <w:rsid w:val="004667FB"/>
    <w:rsid w:val="00466853"/>
    <w:rsid w:val="004668D8"/>
    <w:rsid w:val="004670CF"/>
    <w:rsid w:val="004673FD"/>
    <w:rsid w:val="004674DF"/>
    <w:rsid w:val="00470A1C"/>
    <w:rsid w:val="00471661"/>
    <w:rsid w:val="004726AF"/>
    <w:rsid w:val="00472726"/>
    <w:rsid w:val="00472C05"/>
    <w:rsid w:val="00472D4D"/>
    <w:rsid w:val="00473128"/>
    <w:rsid w:val="00473668"/>
    <w:rsid w:val="004738A4"/>
    <w:rsid w:val="00473949"/>
    <w:rsid w:val="00473C2C"/>
    <w:rsid w:val="004741E4"/>
    <w:rsid w:val="00474B6B"/>
    <w:rsid w:val="00474D08"/>
    <w:rsid w:val="004754BF"/>
    <w:rsid w:val="00475722"/>
    <w:rsid w:val="004757C0"/>
    <w:rsid w:val="00475C4C"/>
    <w:rsid w:val="00475CEF"/>
    <w:rsid w:val="004762F8"/>
    <w:rsid w:val="00476A4F"/>
    <w:rsid w:val="00476AD4"/>
    <w:rsid w:val="00476C6D"/>
    <w:rsid w:val="00476E08"/>
    <w:rsid w:val="004777FD"/>
    <w:rsid w:val="00477B77"/>
    <w:rsid w:val="00480008"/>
    <w:rsid w:val="0048074D"/>
    <w:rsid w:val="00480A1A"/>
    <w:rsid w:val="00480A39"/>
    <w:rsid w:val="00480A5D"/>
    <w:rsid w:val="00480BD0"/>
    <w:rsid w:val="00481248"/>
    <w:rsid w:val="00481549"/>
    <w:rsid w:val="00481712"/>
    <w:rsid w:val="004821E8"/>
    <w:rsid w:val="004822FA"/>
    <w:rsid w:val="0048231C"/>
    <w:rsid w:val="00482AA8"/>
    <w:rsid w:val="00482B3D"/>
    <w:rsid w:val="00482E37"/>
    <w:rsid w:val="00483079"/>
    <w:rsid w:val="00484424"/>
    <w:rsid w:val="0048451F"/>
    <w:rsid w:val="0048478C"/>
    <w:rsid w:val="0048486C"/>
    <w:rsid w:val="00484E51"/>
    <w:rsid w:val="00484F53"/>
    <w:rsid w:val="00485226"/>
    <w:rsid w:val="00485252"/>
    <w:rsid w:val="0048598F"/>
    <w:rsid w:val="00486A02"/>
    <w:rsid w:val="0048761C"/>
    <w:rsid w:val="00487831"/>
    <w:rsid w:val="004878AA"/>
    <w:rsid w:val="00487EF1"/>
    <w:rsid w:val="004902F9"/>
    <w:rsid w:val="0049058A"/>
    <w:rsid w:val="00490666"/>
    <w:rsid w:val="004908B7"/>
    <w:rsid w:val="00490A71"/>
    <w:rsid w:val="00490B98"/>
    <w:rsid w:val="00491130"/>
    <w:rsid w:val="004911B0"/>
    <w:rsid w:val="00491410"/>
    <w:rsid w:val="0049141C"/>
    <w:rsid w:val="004919DD"/>
    <w:rsid w:val="00491DC9"/>
    <w:rsid w:val="00492156"/>
    <w:rsid w:val="00492305"/>
    <w:rsid w:val="0049249C"/>
    <w:rsid w:val="00492B58"/>
    <w:rsid w:val="00492F86"/>
    <w:rsid w:val="0049315C"/>
    <w:rsid w:val="004933D9"/>
    <w:rsid w:val="0049348E"/>
    <w:rsid w:val="004935EF"/>
    <w:rsid w:val="00493D3D"/>
    <w:rsid w:val="00493E58"/>
    <w:rsid w:val="00493EE5"/>
    <w:rsid w:val="004943A5"/>
    <w:rsid w:val="00494C8D"/>
    <w:rsid w:val="00494F7C"/>
    <w:rsid w:val="004953C7"/>
    <w:rsid w:val="00495D13"/>
    <w:rsid w:val="0049657F"/>
    <w:rsid w:val="00496AA3"/>
    <w:rsid w:val="00496BA8"/>
    <w:rsid w:val="00496F76"/>
    <w:rsid w:val="00496FAB"/>
    <w:rsid w:val="004971D4"/>
    <w:rsid w:val="004975F2"/>
    <w:rsid w:val="00497DC9"/>
    <w:rsid w:val="00497E26"/>
    <w:rsid w:val="00497EA6"/>
    <w:rsid w:val="00497EDE"/>
    <w:rsid w:val="004A0C6D"/>
    <w:rsid w:val="004A1AB5"/>
    <w:rsid w:val="004A1E0D"/>
    <w:rsid w:val="004A20A4"/>
    <w:rsid w:val="004A2819"/>
    <w:rsid w:val="004A28D5"/>
    <w:rsid w:val="004A2A46"/>
    <w:rsid w:val="004A2DCA"/>
    <w:rsid w:val="004A2DF5"/>
    <w:rsid w:val="004A3A07"/>
    <w:rsid w:val="004A45CF"/>
    <w:rsid w:val="004A478F"/>
    <w:rsid w:val="004A497E"/>
    <w:rsid w:val="004A4EF3"/>
    <w:rsid w:val="004A522A"/>
    <w:rsid w:val="004A54AC"/>
    <w:rsid w:val="004A5746"/>
    <w:rsid w:val="004A5989"/>
    <w:rsid w:val="004A5A64"/>
    <w:rsid w:val="004A5D5A"/>
    <w:rsid w:val="004A6350"/>
    <w:rsid w:val="004A6587"/>
    <w:rsid w:val="004A7C34"/>
    <w:rsid w:val="004A7D36"/>
    <w:rsid w:val="004B010F"/>
    <w:rsid w:val="004B0273"/>
    <w:rsid w:val="004B039B"/>
    <w:rsid w:val="004B0570"/>
    <w:rsid w:val="004B0FD3"/>
    <w:rsid w:val="004B1787"/>
    <w:rsid w:val="004B181B"/>
    <w:rsid w:val="004B1F2A"/>
    <w:rsid w:val="004B2983"/>
    <w:rsid w:val="004B2CC0"/>
    <w:rsid w:val="004B3006"/>
    <w:rsid w:val="004B3018"/>
    <w:rsid w:val="004B3061"/>
    <w:rsid w:val="004B32C4"/>
    <w:rsid w:val="004B386E"/>
    <w:rsid w:val="004B3C00"/>
    <w:rsid w:val="004B3FF2"/>
    <w:rsid w:val="004B5048"/>
    <w:rsid w:val="004B545F"/>
    <w:rsid w:val="004B664F"/>
    <w:rsid w:val="004B6891"/>
    <w:rsid w:val="004B6AB2"/>
    <w:rsid w:val="004B6E79"/>
    <w:rsid w:val="004B7423"/>
    <w:rsid w:val="004B790A"/>
    <w:rsid w:val="004B7D80"/>
    <w:rsid w:val="004C000E"/>
    <w:rsid w:val="004C02FA"/>
    <w:rsid w:val="004C0777"/>
    <w:rsid w:val="004C0DF5"/>
    <w:rsid w:val="004C1D0C"/>
    <w:rsid w:val="004C1E2B"/>
    <w:rsid w:val="004C2FF3"/>
    <w:rsid w:val="004C3013"/>
    <w:rsid w:val="004C34E8"/>
    <w:rsid w:val="004C352B"/>
    <w:rsid w:val="004C37B3"/>
    <w:rsid w:val="004C3B63"/>
    <w:rsid w:val="004C3E37"/>
    <w:rsid w:val="004C41BC"/>
    <w:rsid w:val="004C4451"/>
    <w:rsid w:val="004C445C"/>
    <w:rsid w:val="004C495D"/>
    <w:rsid w:val="004C4A1D"/>
    <w:rsid w:val="004C4A28"/>
    <w:rsid w:val="004C4DBA"/>
    <w:rsid w:val="004C53DC"/>
    <w:rsid w:val="004C559B"/>
    <w:rsid w:val="004C5A75"/>
    <w:rsid w:val="004C5C5E"/>
    <w:rsid w:val="004C5EAD"/>
    <w:rsid w:val="004C5F62"/>
    <w:rsid w:val="004C6700"/>
    <w:rsid w:val="004C6906"/>
    <w:rsid w:val="004C6990"/>
    <w:rsid w:val="004C6F43"/>
    <w:rsid w:val="004C7917"/>
    <w:rsid w:val="004C7940"/>
    <w:rsid w:val="004D0B59"/>
    <w:rsid w:val="004D0D99"/>
    <w:rsid w:val="004D1006"/>
    <w:rsid w:val="004D1A12"/>
    <w:rsid w:val="004D1A4F"/>
    <w:rsid w:val="004D21A6"/>
    <w:rsid w:val="004D35B9"/>
    <w:rsid w:val="004D3B15"/>
    <w:rsid w:val="004D3E9B"/>
    <w:rsid w:val="004D3F5F"/>
    <w:rsid w:val="004D45DF"/>
    <w:rsid w:val="004D4A9C"/>
    <w:rsid w:val="004D4D0E"/>
    <w:rsid w:val="004D51FF"/>
    <w:rsid w:val="004D5202"/>
    <w:rsid w:val="004D52E0"/>
    <w:rsid w:val="004D5428"/>
    <w:rsid w:val="004D5466"/>
    <w:rsid w:val="004D64AF"/>
    <w:rsid w:val="004D6B08"/>
    <w:rsid w:val="004D6C41"/>
    <w:rsid w:val="004D6C6C"/>
    <w:rsid w:val="004D6DEE"/>
    <w:rsid w:val="004D7406"/>
    <w:rsid w:val="004D7A2A"/>
    <w:rsid w:val="004D7B81"/>
    <w:rsid w:val="004D7F30"/>
    <w:rsid w:val="004E013F"/>
    <w:rsid w:val="004E058E"/>
    <w:rsid w:val="004E06ED"/>
    <w:rsid w:val="004E08D8"/>
    <w:rsid w:val="004E0A79"/>
    <w:rsid w:val="004E0BCD"/>
    <w:rsid w:val="004E0C0B"/>
    <w:rsid w:val="004E10AA"/>
    <w:rsid w:val="004E1239"/>
    <w:rsid w:val="004E1780"/>
    <w:rsid w:val="004E1C35"/>
    <w:rsid w:val="004E1C4F"/>
    <w:rsid w:val="004E1CD4"/>
    <w:rsid w:val="004E2059"/>
    <w:rsid w:val="004E2125"/>
    <w:rsid w:val="004E2C90"/>
    <w:rsid w:val="004E3292"/>
    <w:rsid w:val="004E346E"/>
    <w:rsid w:val="004E422C"/>
    <w:rsid w:val="004E4467"/>
    <w:rsid w:val="004E53EF"/>
    <w:rsid w:val="004E54EB"/>
    <w:rsid w:val="004E5502"/>
    <w:rsid w:val="004E5587"/>
    <w:rsid w:val="004E56EE"/>
    <w:rsid w:val="004E578F"/>
    <w:rsid w:val="004E5D09"/>
    <w:rsid w:val="004E5DAC"/>
    <w:rsid w:val="004E5F8F"/>
    <w:rsid w:val="004E63AE"/>
    <w:rsid w:val="004E641C"/>
    <w:rsid w:val="004E677C"/>
    <w:rsid w:val="004E6CFF"/>
    <w:rsid w:val="004E6D75"/>
    <w:rsid w:val="004E6E90"/>
    <w:rsid w:val="004E6FC2"/>
    <w:rsid w:val="004E7232"/>
    <w:rsid w:val="004E723C"/>
    <w:rsid w:val="004E7921"/>
    <w:rsid w:val="004E7A1B"/>
    <w:rsid w:val="004E7AD4"/>
    <w:rsid w:val="004F1802"/>
    <w:rsid w:val="004F2248"/>
    <w:rsid w:val="004F2608"/>
    <w:rsid w:val="004F2D84"/>
    <w:rsid w:val="004F3232"/>
    <w:rsid w:val="004F337E"/>
    <w:rsid w:val="004F3688"/>
    <w:rsid w:val="004F3A92"/>
    <w:rsid w:val="004F3AAE"/>
    <w:rsid w:val="004F3CAC"/>
    <w:rsid w:val="004F3DD0"/>
    <w:rsid w:val="004F40ED"/>
    <w:rsid w:val="004F4253"/>
    <w:rsid w:val="004F4794"/>
    <w:rsid w:val="004F4849"/>
    <w:rsid w:val="004F4875"/>
    <w:rsid w:val="004F4BDE"/>
    <w:rsid w:val="004F67F3"/>
    <w:rsid w:val="004F6A75"/>
    <w:rsid w:val="004F71E3"/>
    <w:rsid w:val="004F7326"/>
    <w:rsid w:val="004F7AEB"/>
    <w:rsid w:val="004F7CAC"/>
    <w:rsid w:val="004F7E57"/>
    <w:rsid w:val="004F7E81"/>
    <w:rsid w:val="00500376"/>
    <w:rsid w:val="005005DB"/>
    <w:rsid w:val="005007C3"/>
    <w:rsid w:val="0050086B"/>
    <w:rsid w:val="00500A09"/>
    <w:rsid w:val="00501047"/>
    <w:rsid w:val="00501108"/>
    <w:rsid w:val="0050175A"/>
    <w:rsid w:val="00501B54"/>
    <w:rsid w:val="00501F76"/>
    <w:rsid w:val="00502229"/>
    <w:rsid w:val="00502A5F"/>
    <w:rsid w:val="00502D6C"/>
    <w:rsid w:val="00502F93"/>
    <w:rsid w:val="00503200"/>
    <w:rsid w:val="005033BE"/>
    <w:rsid w:val="0050376D"/>
    <w:rsid w:val="00503A66"/>
    <w:rsid w:val="00503E77"/>
    <w:rsid w:val="0050405D"/>
    <w:rsid w:val="00504DA3"/>
    <w:rsid w:val="00504E76"/>
    <w:rsid w:val="00504E7C"/>
    <w:rsid w:val="0050531A"/>
    <w:rsid w:val="005054DF"/>
    <w:rsid w:val="005056E8"/>
    <w:rsid w:val="005059F7"/>
    <w:rsid w:val="00505CF5"/>
    <w:rsid w:val="00506512"/>
    <w:rsid w:val="00506717"/>
    <w:rsid w:val="0050680A"/>
    <w:rsid w:val="00506D46"/>
    <w:rsid w:val="005073EC"/>
    <w:rsid w:val="0050764E"/>
    <w:rsid w:val="0050790E"/>
    <w:rsid w:val="005079A2"/>
    <w:rsid w:val="00507C48"/>
    <w:rsid w:val="0051055F"/>
    <w:rsid w:val="00511101"/>
    <w:rsid w:val="00511320"/>
    <w:rsid w:val="005119C9"/>
    <w:rsid w:val="005119E0"/>
    <w:rsid w:val="0051225E"/>
    <w:rsid w:val="0051283A"/>
    <w:rsid w:val="0051304B"/>
    <w:rsid w:val="005131B3"/>
    <w:rsid w:val="00513692"/>
    <w:rsid w:val="00513762"/>
    <w:rsid w:val="00513B6F"/>
    <w:rsid w:val="005143F9"/>
    <w:rsid w:val="00514E56"/>
    <w:rsid w:val="00514F53"/>
    <w:rsid w:val="0051546E"/>
    <w:rsid w:val="00515AEE"/>
    <w:rsid w:val="005163BE"/>
    <w:rsid w:val="00516566"/>
    <w:rsid w:val="00517B35"/>
    <w:rsid w:val="00517D5E"/>
    <w:rsid w:val="00517EA2"/>
    <w:rsid w:val="00520423"/>
    <w:rsid w:val="00520C14"/>
    <w:rsid w:val="00520D42"/>
    <w:rsid w:val="00521070"/>
    <w:rsid w:val="00521109"/>
    <w:rsid w:val="00521828"/>
    <w:rsid w:val="005218C3"/>
    <w:rsid w:val="00522193"/>
    <w:rsid w:val="00522AA4"/>
    <w:rsid w:val="00523462"/>
    <w:rsid w:val="0052366E"/>
    <w:rsid w:val="00523BA4"/>
    <w:rsid w:val="00523FA6"/>
    <w:rsid w:val="00524070"/>
    <w:rsid w:val="005240DF"/>
    <w:rsid w:val="005243D6"/>
    <w:rsid w:val="005249C5"/>
    <w:rsid w:val="00524A3B"/>
    <w:rsid w:val="00524D8F"/>
    <w:rsid w:val="00525182"/>
    <w:rsid w:val="00525265"/>
    <w:rsid w:val="00525BB2"/>
    <w:rsid w:val="00526059"/>
    <w:rsid w:val="00526085"/>
    <w:rsid w:val="0052612B"/>
    <w:rsid w:val="00526494"/>
    <w:rsid w:val="005269FF"/>
    <w:rsid w:val="00526AF7"/>
    <w:rsid w:val="00526C79"/>
    <w:rsid w:val="00526FD8"/>
    <w:rsid w:val="005270A4"/>
    <w:rsid w:val="0052758B"/>
    <w:rsid w:val="00527920"/>
    <w:rsid w:val="00530303"/>
    <w:rsid w:val="005307EA"/>
    <w:rsid w:val="00531214"/>
    <w:rsid w:val="0053136B"/>
    <w:rsid w:val="0053193D"/>
    <w:rsid w:val="00531C11"/>
    <w:rsid w:val="00531CAB"/>
    <w:rsid w:val="0053211C"/>
    <w:rsid w:val="0053244B"/>
    <w:rsid w:val="005324A1"/>
    <w:rsid w:val="00532698"/>
    <w:rsid w:val="005327AE"/>
    <w:rsid w:val="0053299F"/>
    <w:rsid w:val="005329FE"/>
    <w:rsid w:val="00532AA5"/>
    <w:rsid w:val="0053350B"/>
    <w:rsid w:val="00533F66"/>
    <w:rsid w:val="00533FB2"/>
    <w:rsid w:val="00535187"/>
    <w:rsid w:val="00535282"/>
    <w:rsid w:val="00535585"/>
    <w:rsid w:val="00535C74"/>
    <w:rsid w:val="00535E53"/>
    <w:rsid w:val="0053618E"/>
    <w:rsid w:val="005361AB"/>
    <w:rsid w:val="00536BA2"/>
    <w:rsid w:val="00537173"/>
    <w:rsid w:val="0053759C"/>
    <w:rsid w:val="005378CA"/>
    <w:rsid w:val="005379D9"/>
    <w:rsid w:val="0054026C"/>
    <w:rsid w:val="0054091A"/>
    <w:rsid w:val="005415DF"/>
    <w:rsid w:val="005416CF"/>
    <w:rsid w:val="00541D43"/>
    <w:rsid w:val="00541EDD"/>
    <w:rsid w:val="00542068"/>
    <w:rsid w:val="0054214B"/>
    <w:rsid w:val="0054222E"/>
    <w:rsid w:val="005423E7"/>
    <w:rsid w:val="005423FC"/>
    <w:rsid w:val="0054259D"/>
    <w:rsid w:val="005426F0"/>
    <w:rsid w:val="00542BBA"/>
    <w:rsid w:val="00542BF2"/>
    <w:rsid w:val="00542CCC"/>
    <w:rsid w:val="00543131"/>
    <w:rsid w:val="005434CD"/>
    <w:rsid w:val="00543643"/>
    <w:rsid w:val="005439E5"/>
    <w:rsid w:val="00543AF9"/>
    <w:rsid w:val="00543C73"/>
    <w:rsid w:val="0054408D"/>
    <w:rsid w:val="00544662"/>
    <w:rsid w:val="00544791"/>
    <w:rsid w:val="00544B0C"/>
    <w:rsid w:val="00544C74"/>
    <w:rsid w:val="00544C91"/>
    <w:rsid w:val="00544DB2"/>
    <w:rsid w:val="00544DE1"/>
    <w:rsid w:val="00544DF5"/>
    <w:rsid w:val="005457B2"/>
    <w:rsid w:val="00545978"/>
    <w:rsid w:val="00546701"/>
    <w:rsid w:val="005469B9"/>
    <w:rsid w:val="00546AE9"/>
    <w:rsid w:val="00547732"/>
    <w:rsid w:val="00547738"/>
    <w:rsid w:val="00547C8D"/>
    <w:rsid w:val="00547CD2"/>
    <w:rsid w:val="00547FC0"/>
    <w:rsid w:val="005503E0"/>
    <w:rsid w:val="0055072B"/>
    <w:rsid w:val="00550E95"/>
    <w:rsid w:val="00550FCF"/>
    <w:rsid w:val="00551046"/>
    <w:rsid w:val="00551DCF"/>
    <w:rsid w:val="00551EFF"/>
    <w:rsid w:val="0055202D"/>
    <w:rsid w:val="00552033"/>
    <w:rsid w:val="00552A90"/>
    <w:rsid w:val="00552E23"/>
    <w:rsid w:val="0055323C"/>
    <w:rsid w:val="005532FE"/>
    <w:rsid w:val="005535A0"/>
    <w:rsid w:val="00553730"/>
    <w:rsid w:val="00554077"/>
    <w:rsid w:val="005542EB"/>
    <w:rsid w:val="00554EBC"/>
    <w:rsid w:val="00554F4D"/>
    <w:rsid w:val="0055532F"/>
    <w:rsid w:val="005553A1"/>
    <w:rsid w:val="005558A9"/>
    <w:rsid w:val="00555CB0"/>
    <w:rsid w:val="00555FC4"/>
    <w:rsid w:val="0055645A"/>
    <w:rsid w:val="0055672C"/>
    <w:rsid w:val="0055683B"/>
    <w:rsid w:val="00556915"/>
    <w:rsid w:val="00556C1D"/>
    <w:rsid w:val="005575C5"/>
    <w:rsid w:val="00557628"/>
    <w:rsid w:val="0055780A"/>
    <w:rsid w:val="00557A2A"/>
    <w:rsid w:val="00560033"/>
    <w:rsid w:val="005602B1"/>
    <w:rsid w:val="00560B4A"/>
    <w:rsid w:val="00560BC3"/>
    <w:rsid w:val="00560D73"/>
    <w:rsid w:val="00560EA3"/>
    <w:rsid w:val="005612F3"/>
    <w:rsid w:val="005617DF"/>
    <w:rsid w:val="00561D24"/>
    <w:rsid w:val="00561E1C"/>
    <w:rsid w:val="00561E9B"/>
    <w:rsid w:val="005622C5"/>
    <w:rsid w:val="0056281B"/>
    <w:rsid w:val="005632E9"/>
    <w:rsid w:val="005634F3"/>
    <w:rsid w:val="0056350C"/>
    <w:rsid w:val="005635E0"/>
    <w:rsid w:val="005637F6"/>
    <w:rsid w:val="00563AC8"/>
    <w:rsid w:val="0056429D"/>
    <w:rsid w:val="005642DF"/>
    <w:rsid w:val="0056455B"/>
    <w:rsid w:val="00564718"/>
    <w:rsid w:val="005649CF"/>
    <w:rsid w:val="00564F72"/>
    <w:rsid w:val="0056509D"/>
    <w:rsid w:val="005651B4"/>
    <w:rsid w:val="0056545C"/>
    <w:rsid w:val="005654F4"/>
    <w:rsid w:val="00565598"/>
    <w:rsid w:val="00565A06"/>
    <w:rsid w:val="005660E6"/>
    <w:rsid w:val="00566442"/>
    <w:rsid w:val="00566926"/>
    <w:rsid w:val="00566AA9"/>
    <w:rsid w:val="00566BB4"/>
    <w:rsid w:val="0056762B"/>
    <w:rsid w:val="0056772B"/>
    <w:rsid w:val="00567CB1"/>
    <w:rsid w:val="00567D03"/>
    <w:rsid w:val="00567D35"/>
    <w:rsid w:val="005702A9"/>
    <w:rsid w:val="0057079E"/>
    <w:rsid w:val="00570841"/>
    <w:rsid w:val="00570936"/>
    <w:rsid w:val="005709B1"/>
    <w:rsid w:val="00570F4A"/>
    <w:rsid w:val="0057143B"/>
    <w:rsid w:val="00571D72"/>
    <w:rsid w:val="00572934"/>
    <w:rsid w:val="00572C75"/>
    <w:rsid w:val="00572FC3"/>
    <w:rsid w:val="0057324A"/>
    <w:rsid w:val="005738A6"/>
    <w:rsid w:val="005739BE"/>
    <w:rsid w:val="005747BE"/>
    <w:rsid w:val="00574941"/>
    <w:rsid w:val="00575488"/>
    <w:rsid w:val="00575B51"/>
    <w:rsid w:val="00575C12"/>
    <w:rsid w:val="005769ED"/>
    <w:rsid w:val="00576ADE"/>
    <w:rsid w:val="00576B3C"/>
    <w:rsid w:val="005770BA"/>
    <w:rsid w:val="00577112"/>
    <w:rsid w:val="005771C9"/>
    <w:rsid w:val="0057748A"/>
    <w:rsid w:val="00577726"/>
    <w:rsid w:val="00577941"/>
    <w:rsid w:val="00577C63"/>
    <w:rsid w:val="00577CD9"/>
    <w:rsid w:val="00577CE2"/>
    <w:rsid w:val="00577CFD"/>
    <w:rsid w:val="00577DEF"/>
    <w:rsid w:val="00581343"/>
    <w:rsid w:val="005816FD"/>
    <w:rsid w:val="0058197A"/>
    <w:rsid w:val="005824F0"/>
    <w:rsid w:val="0058298D"/>
    <w:rsid w:val="005836B5"/>
    <w:rsid w:val="00584190"/>
    <w:rsid w:val="005841B8"/>
    <w:rsid w:val="00584A91"/>
    <w:rsid w:val="00584ED8"/>
    <w:rsid w:val="00584EF8"/>
    <w:rsid w:val="00585415"/>
    <w:rsid w:val="00585DA3"/>
    <w:rsid w:val="00585F2D"/>
    <w:rsid w:val="0058605C"/>
    <w:rsid w:val="0058692E"/>
    <w:rsid w:val="00586C6C"/>
    <w:rsid w:val="005870B5"/>
    <w:rsid w:val="005874CD"/>
    <w:rsid w:val="005875AF"/>
    <w:rsid w:val="00587E21"/>
    <w:rsid w:val="0058CD50"/>
    <w:rsid w:val="00590386"/>
    <w:rsid w:val="00590555"/>
    <w:rsid w:val="00590BB5"/>
    <w:rsid w:val="00590C3E"/>
    <w:rsid w:val="00592442"/>
    <w:rsid w:val="0059287C"/>
    <w:rsid w:val="00592978"/>
    <w:rsid w:val="00592FC3"/>
    <w:rsid w:val="00593217"/>
    <w:rsid w:val="0059330B"/>
    <w:rsid w:val="00593FCE"/>
    <w:rsid w:val="00594609"/>
    <w:rsid w:val="00594688"/>
    <w:rsid w:val="005947DC"/>
    <w:rsid w:val="00594B5E"/>
    <w:rsid w:val="005952FF"/>
    <w:rsid w:val="005953C2"/>
    <w:rsid w:val="0059562E"/>
    <w:rsid w:val="0059592F"/>
    <w:rsid w:val="00595C9E"/>
    <w:rsid w:val="00595D59"/>
    <w:rsid w:val="00595FB5"/>
    <w:rsid w:val="005961B7"/>
    <w:rsid w:val="00596666"/>
    <w:rsid w:val="00596BB4"/>
    <w:rsid w:val="00596EF8"/>
    <w:rsid w:val="00597972"/>
    <w:rsid w:val="00597B4C"/>
    <w:rsid w:val="00597DCC"/>
    <w:rsid w:val="00597FAB"/>
    <w:rsid w:val="005A064B"/>
    <w:rsid w:val="005A08FA"/>
    <w:rsid w:val="005A09A0"/>
    <w:rsid w:val="005A121C"/>
    <w:rsid w:val="005A148D"/>
    <w:rsid w:val="005A1622"/>
    <w:rsid w:val="005A1719"/>
    <w:rsid w:val="005A1C69"/>
    <w:rsid w:val="005A1D9F"/>
    <w:rsid w:val="005A2D38"/>
    <w:rsid w:val="005A2FCF"/>
    <w:rsid w:val="005A3281"/>
    <w:rsid w:val="005A4203"/>
    <w:rsid w:val="005A4627"/>
    <w:rsid w:val="005A4AF2"/>
    <w:rsid w:val="005A4C43"/>
    <w:rsid w:val="005A5E7E"/>
    <w:rsid w:val="005A612E"/>
    <w:rsid w:val="005A61E2"/>
    <w:rsid w:val="005A62E0"/>
    <w:rsid w:val="005A6461"/>
    <w:rsid w:val="005A73ED"/>
    <w:rsid w:val="005A777F"/>
    <w:rsid w:val="005A79C3"/>
    <w:rsid w:val="005B01E8"/>
    <w:rsid w:val="005B06C9"/>
    <w:rsid w:val="005B0D21"/>
    <w:rsid w:val="005B0D49"/>
    <w:rsid w:val="005B0D65"/>
    <w:rsid w:val="005B104C"/>
    <w:rsid w:val="005B2375"/>
    <w:rsid w:val="005B24E8"/>
    <w:rsid w:val="005B3495"/>
    <w:rsid w:val="005B3934"/>
    <w:rsid w:val="005B3A24"/>
    <w:rsid w:val="005B3D18"/>
    <w:rsid w:val="005B3D70"/>
    <w:rsid w:val="005B435C"/>
    <w:rsid w:val="005B43F3"/>
    <w:rsid w:val="005B4780"/>
    <w:rsid w:val="005B4C56"/>
    <w:rsid w:val="005B4CD3"/>
    <w:rsid w:val="005B5336"/>
    <w:rsid w:val="005B546C"/>
    <w:rsid w:val="005B5498"/>
    <w:rsid w:val="005B5505"/>
    <w:rsid w:val="005B5944"/>
    <w:rsid w:val="005B5D4F"/>
    <w:rsid w:val="005B5DED"/>
    <w:rsid w:val="005B61EA"/>
    <w:rsid w:val="005B724B"/>
    <w:rsid w:val="005B74D3"/>
    <w:rsid w:val="005B7989"/>
    <w:rsid w:val="005B7A71"/>
    <w:rsid w:val="005B7BB1"/>
    <w:rsid w:val="005C05ED"/>
    <w:rsid w:val="005C0C21"/>
    <w:rsid w:val="005C0CDF"/>
    <w:rsid w:val="005C14C3"/>
    <w:rsid w:val="005C2085"/>
    <w:rsid w:val="005C20E2"/>
    <w:rsid w:val="005C2D50"/>
    <w:rsid w:val="005C34AB"/>
    <w:rsid w:val="005C35BD"/>
    <w:rsid w:val="005C3846"/>
    <w:rsid w:val="005C3A10"/>
    <w:rsid w:val="005C3C73"/>
    <w:rsid w:val="005C3D40"/>
    <w:rsid w:val="005C407E"/>
    <w:rsid w:val="005C40D6"/>
    <w:rsid w:val="005C4817"/>
    <w:rsid w:val="005C60EF"/>
    <w:rsid w:val="005C6325"/>
    <w:rsid w:val="005C6A66"/>
    <w:rsid w:val="005C6AA8"/>
    <w:rsid w:val="005C6C16"/>
    <w:rsid w:val="005C6C45"/>
    <w:rsid w:val="005C6C85"/>
    <w:rsid w:val="005C6CA0"/>
    <w:rsid w:val="005C6CFC"/>
    <w:rsid w:val="005C70FC"/>
    <w:rsid w:val="005C741A"/>
    <w:rsid w:val="005C7936"/>
    <w:rsid w:val="005C793C"/>
    <w:rsid w:val="005C7FA5"/>
    <w:rsid w:val="005D0044"/>
    <w:rsid w:val="005D05E9"/>
    <w:rsid w:val="005D0BC0"/>
    <w:rsid w:val="005D0F0C"/>
    <w:rsid w:val="005D121F"/>
    <w:rsid w:val="005D17F2"/>
    <w:rsid w:val="005D1948"/>
    <w:rsid w:val="005D1CE4"/>
    <w:rsid w:val="005D1D61"/>
    <w:rsid w:val="005D1F5B"/>
    <w:rsid w:val="005D2320"/>
    <w:rsid w:val="005D3257"/>
    <w:rsid w:val="005D453C"/>
    <w:rsid w:val="005D52F1"/>
    <w:rsid w:val="005D5510"/>
    <w:rsid w:val="005D5BA1"/>
    <w:rsid w:val="005D5E6E"/>
    <w:rsid w:val="005D6948"/>
    <w:rsid w:val="005D697E"/>
    <w:rsid w:val="005D6EAF"/>
    <w:rsid w:val="005D75BB"/>
    <w:rsid w:val="005D7786"/>
    <w:rsid w:val="005E01A0"/>
    <w:rsid w:val="005E09C9"/>
    <w:rsid w:val="005E133C"/>
    <w:rsid w:val="005E140C"/>
    <w:rsid w:val="005E1696"/>
    <w:rsid w:val="005E1BC7"/>
    <w:rsid w:val="005E1F50"/>
    <w:rsid w:val="005E208B"/>
    <w:rsid w:val="005E25C3"/>
    <w:rsid w:val="005E2EB0"/>
    <w:rsid w:val="005E39E0"/>
    <w:rsid w:val="005E3B27"/>
    <w:rsid w:val="005E433A"/>
    <w:rsid w:val="005E4489"/>
    <w:rsid w:val="005E4821"/>
    <w:rsid w:val="005E49B2"/>
    <w:rsid w:val="005E4A24"/>
    <w:rsid w:val="005E4B6B"/>
    <w:rsid w:val="005E4C1B"/>
    <w:rsid w:val="005E4E50"/>
    <w:rsid w:val="005E5099"/>
    <w:rsid w:val="005E5615"/>
    <w:rsid w:val="005E5673"/>
    <w:rsid w:val="005E589A"/>
    <w:rsid w:val="005E6358"/>
    <w:rsid w:val="005E64BF"/>
    <w:rsid w:val="005E6A87"/>
    <w:rsid w:val="005E6C9C"/>
    <w:rsid w:val="005E6F55"/>
    <w:rsid w:val="005E6FCA"/>
    <w:rsid w:val="005E79F8"/>
    <w:rsid w:val="005F0118"/>
    <w:rsid w:val="005F0527"/>
    <w:rsid w:val="005F0836"/>
    <w:rsid w:val="005F0AAF"/>
    <w:rsid w:val="005F0AE8"/>
    <w:rsid w:val="005F1A32"/>
    <w:rsid w:val="005F1BD7"/>
    <w:rsid w:val="005F1C55"/>
    <w:rsid w:val="005F1FD6"/>
    <w:rsid w:val="005F21E0"/>
    <w:rsid w:val="005F233D"/>
    <w:rsid w:val="005F2515"/>
    <w:rsid w:val="005F2616"/>
    <w:rsid w:val="005F2A6B"/>
    <w:rsid w:val="005F3366"/>
    <w:rsid w:val="005F3389"/>
    <w:rsid w:val="005F3A06"/>
    <w:rsid w:val="005F405B"/>
    <w:rsid w:val="005F40C1"/>
    <w:rsid w:val="005F43E4"/>
    <w:rsid w:val="005F4586"/>
    <w:rsid w:val="005F4A60"/>
    <w:rsid w:val="005F4C7C"/>
    <w:rsid w:val="005F4DAB"/>
    <w:rsid w:val="005F5928"/>
    <w:rsid w:val="005F59B5"/>
    <w:rsid w:val="005F5B71"/>
    <w:rsid w:val="005F6207"/>
    <w:rsid w:val="005F6724"/>
    <w:rsid w:val="005F67E0"/>
    <w:rsid w:val="005F6E3D"/>
    <w:rsid w:val="005F7173"/>
    <w:rsid w:val="005F730F"/>
    <w:rsid w:val="005F73A4"/>
    <w:rsid w:val="005F7E33"/>
    <w:rsid w:val="0060008A"/>
    <w:rsid w:val="0060017A"/>
    <w:rsid w:val="00600715"/>
    <w:rsid w:val="006008E0"/>
    <w:rsid w:val="00600A39"/>
    <w:rsid w:val="00600CB1"/>
    <w:rsid w:val="00600D6D"/>
    <w:rsid w:val="00601614"/>
    <w:rsid w:val="006018B6"/>
    <w:rsid w:val="00601A3E"/>
    <w:rsid w:val="00601AD1"/>
    <w:rsid w:val="00601B28"/>
    <w:rsid w:val="00601BDC"/>
    <w:rsid w:val="00601CF5"/>
    <w:rsid w:val="00601D85"/>
    <w:rsid w:val="00601E5B"/>
    <w:rsid w:val="006024D3"/>
    <w:rsid w:val="006027A3"/>
    <w:rsid w:val="00603926"/>
    <w:rsid w:val="00603A49"/>
    <w:rsid w:val="00603B6F"/>
    <w:rsid w:val="00603E6D"/>
    <w:rsid w:val="00603EE7"/>
    <w:rsid w:val="00604524"/>
    <w:rsid w:val="0060498F"/>
    <w:rsid w:val="00605C9F"/>
    <w:rsid w:val="006067B5"/>
    <w:rsid w:val="00606C09"/>
    <w:rsid w:val="00606C1E"/>
    <w:rsid w:val="00606EF9"/>
    <w:rsid w:val="0060701A"/>
    <w:rsid w:val="0060706A"/>
    <w:rsid w:val="00607317"/>
    <w:rsid w:val="00607758"/>
    <w:rsid w:val="00607B6E"/>
    <w:rsid w:val="006100C9"/>
    <w:rsid w:val="00610582"/>
    <w:rsid w:val="00610674"/>
    <w:rsid w:val="00610D5E"/>
    <w:rsid w:val="006110E8"/>
    <w:rsid w:val="00611187"/>
    <w:rsid w:val="006112E3"/>
    <w:rsid w:val="00611A1D"/>
    <w:rsid w:val="00611A67"/>
    <w:rsid w:val="00612656"/>
    <w:rsid w:val="00612EA9"/>
    <w:rsid w:val="00613101"/>
    <w:rsid w:val="00613467"/>
    <w:rsid w:val="00613512"/>
    <w:rsid w:val="006141AB"/>
    <w:rsid w:val="00614BAE"/>
    <w:rsid w:val="00614D26"/>
    <w:rsid w:val="00614FB4"/>
    <w:rsid w:val="006154EE"/>
    <w:rsid w:val="006158BB"/>
    <w:rsid w:val="00615CB9"/>
    <w:rsid w:val="00616C56"/>
    <w:rsid w:val="00616E11"/>
    <w:rsid w:val="006171E3"/>
    <w:rsid w:val="006171E8"/>
    <w:rsid w:val="00617A87"/>
    <w:rsid w:val="0062027A"/>
    <w:rsid w:val="0062047E"/>
    <w:rsid w:val="00620E16"/>
    <w:rsid w:val="0062129E"/>
    <w:rsid w:val="006212A9"/>
    <w:rsid w:val="006213E3"/>
    <w:rsid w:val="006213F2"/>
    <w:rsid w:val="0062190C"/>
    <w:rsid w:val="00621DA4"/>
    <w:rsid w:val="00621E91"/>
    <w:rsid w:val="00622C26"/>
    <w:rsid w:val="00622DC0"/>
    <w:rsid w:val="00623092"/>
    <w:rsid w:val="0062337C"/>
    <w:rsid w:val="00623454"/>
    <w:rsid w:val="00623694"/>
    <w:rsid w:val="0062398E"/>
    <w:rsid w:val="00623A83"/>
    <w:rsid w:val="00623E3A"/>
    <w:rsid w:val="00624315"/>
    <w:rsid w:val="00624328"/>
    <w:rsid w:val="0062446D"/>
    <w:rsid w:val="006245AB"/>
    <w:rsid w:val="00624672"/>
    <w:rsid w:val="00624778"/>
    <w:rsid w:val="00624897"/>
    <w:rsid w:val="006253A1"/>
    <w:rsid w:val="0062545B"/>
    <w:rsid w:val="0062552A"/>
    <w:rsid w:val="00625CCA"/>
    <w:rsid w:val="006261E9"/>
    <w:rsid w:val="00626393"/>
    <w:rsid w:val="0062660A"/>
    <w:rsid w:val="00626781"/>
    <w:rsid w:val="00626A02"/>
    <w:rsid w:val="0062724A"/>
    <w:rsid w:val="00627255"/>
    <w:rsid w:val="0062726F"/>
    <w:rsid w:val="006273EE"/>
    <w:rsid w:val="0062756C"/>
    <w:rsid w:val="00627625"/>
    <w:rsid w:val="00627CBD"/>
    <w:rsid w:val="00627E1D"/>
    <w:rsid w:val="00630295"/>
    <w:rsid w:val="00630496"/>
    <w:rsid w:val="00630552"/>
    <w:rsid w:val="006308E8"/>
    <w:rsid w:val="00631486"/>
    <w:rsid w:val="00631A24"/>
    <w:rsid w:val="0063222D"/>
    <w:rsid w:val="00632A38"/>
    <w:rsid w:val="00633246"/>
    <w:rsid w:val="006332BE"/>
    <w:rsid w:val="006333C5"/>
    <w:rsid w:val="0063353E"/>
    <w:rsid w:val="00633A39"/>
    <w:rsid w:val="006340EC"/>
    <w:rsid w:val="0063429B"/>
    <w:rsid w:val="00634AC5"/>
    <w:rsid w:val="00635042"/>
    <w:rsid w:val="0063554C"/>
    <w:rsid w:val="0063614D"/>
    <w:rsid w:val="006365C7"/>
    <w:rsid w:val="006368F8"/>
    <w:rsid w:val="00636933"/>
    <w:rsid w:val="00636ACB"/>
    <w:rsid w:val="00636D93"/>
    <w:rsid w:val="0063759B"/>
    <w:rsid w:val="00637659"/>
    <w:rsid w:val="00637C5B"/>
    <w:rsid w:val="00640144"/>
    <w:rsid w:val="006408C3"/>
    <w:rsid w:val="00640E65"/>
    <w:rsid w:val="00640F90"/>
    <w:rsid w:val="006416E4"/>
    <w:rsid w:val="00641F9D"/>
    <w:rsid w:val="006420E1"/>
    <w:rsid w:val="006428AF"/>
    <w:rsid w:val="0064290C"/>
    <w:rsid w:val="0064344A"/>
    <w:rsid w:val="006436B7"/>
    <w:rsid w:val="00643736"/>
    <w:rsid w:val="00643A6F"/>
    <w:rsid w:val="00643DC2"/>
    <w:rsid w:val="0064406D"/>
    <w:rsid w:val="006448C0"/>
    <w:rsid w:val="00644B1E"/>
    <w:rsid w:val="00644BB9"/>
    <w:rsid w:val="00644D2A"/>
    <w:rsid w:val="006454BB"/>
    <w:rsid w:val="00645AB3"/>
    <w:rsid w:val="00645C21"/>
    <w:rsid w:val="006460BB"/>
    <w:rsid w:val="0064620D"/>
    <w:rsid w:val="00646E76"/>
    <w:rsid w:val="00646F56"/>
    <w:rsid w:val="0064715D"/>
    <w:rsid w:val="0064719A"/>
    <w:rsid w:val="00650584"/>
    <w:rsid w:val="006505D1"/>
    <w:rsid w:val="00651445"/>
    <w:rsid w:val="006519DF"/>
    <w:rsid w:val="00651ACF"/>
    <w:rsid w:val="00651D87"/>
    <w:rsid w:val="006521B8"/>
    <w:rsid w:val="0065226B"/>
    <w:rsid w:val="006526F1"/>
    <w:rsid w:val="00652A39"/>
    <w:rsid w:val="00652C69"/>
    <w:rsid w:val="00652C8F"/>
    <w:rsid w:val="00652EE6"/>
    <w:rsid w:val="006537B5"/>
    <w:rsid w:val="00653CE3"/>
    <w:rsid w:val="00653DDF"/>
    <w:rsid w:val="00653EB7"/>
    <w:rsid w:val="00653FDE"/>
    <w:rsid w:val="006540F8"/>
    <w:rsid w:val="006545E6"/>
    <w:rsid w:val="00654AAB"/>
    <w:rsid w:val="00654E86"/>
    <w:rsid w:val="00655158"/>
    <w:rsid w:val="00655760"/>
    <w:rsid w:val="00655A53"/>
    <w:rsid w:val="00655E7E"/>
    <w:rsid w:val="00656159"/>
    <w:rsid w:val="006567D4"/>
    <w:rsid w:val="006568AF"/>
    <w:rsid w:val="00656A27"/>
    <w:rsid w:val="006572B9"/>
    <w:rsid w:val="00657754"/>
    <w:rsid w:val="00660942"/>
    <w:rsid w:val="0066184F"/>
    <w:rsid w:val="006618AA"/>
    <w:rsid w:val="006626E6"/>
    <w:rsid w:val="00662B8C"/>
    <w:rsid w:val="00662D80"/>
    <w:rsid w:val="00662DFF"/>
    <w:rsid w:val="006631D9"/>
    <w:rsid w:val="00663705"/>
    <w:rsid w:val="00663770"/>
    <w:rsid w:val="00663C52"/>
    <w:rsid w:val="00663E86"/>
    <w:rsid w:val="0066404A"/>
    <w:rsid w:val="00664297"/>
    <w:rsid w:val="00664356"/>
    <w:rsid w:val="00664929"/>
    <w:rsid w:val="00664A44"/>
    <w:rsid w:val="00664AC8"/>
    <w:rsid w:val="00664D0B"/>
    <w:rsid w:val="00664E44"/>
    <w:rsid w:val="006654AE"/>
    <w:rsid w:val="006654C7"/>
    <w:rsid w:val="00665770"/>
    <w:rsid w:val="00665772"/>
    <w:rsid w:val="006659C4"/>
    <w:rsid w:val="00665FC6"/>
    <w:rsid w:val="006660E8"/>
    <w:rsid w:val="006665AB"/>
    <w:rsid w:val="00666DE4"/>
    <w:rsid w:val="00667104"/>
    <w:rsid w:val="006672C4"/>
    <w:rsid w:val="006675B7"/>
    <w:rsid w:val="00667993"/>
    <w:rsid w:val="00667A7B"/>
    <w:rsid w:val="00667B00"/>
    <w:rsid w:val="00667BC5"/>
    <w:rsid w:val="00667CBF"/>
    <w:rsid w:val="00667D95"/>
    <w:rsid w:val="00670F2C"/>
    <w:rsid w:val="006716CD"/>
    <w:rsid w:val="006718A3"/>
    <w:rsid w:val="00671E88"/>
    <w:rsid w:val="00672120"/>
    <w:rsid w:val="00672285"/>
    <w:rsid w:val="0067247C"/>
    <w:rsid w:val="006729FE"/>
    <w:rsid w:val="00672C43"/>
    <w:rsid w:val="006731D9"/>
    <w:rsid w:val="0067327D"/>
    <w:rsid w:val="00673312"/>
    <w:rsid w:val="00673352"/>
    <w:rsid w:val="00673843"/>
    <w:rsid w:val="00674199"/>
    <w:rsid w:val="006746B0"/>
    <w:rsid w:val="00674731"/>
    <w:rsid w:val="006748C5"/>
    <w:rsid w:val="00675883"/>
    <w:rsid w:val="00675901"/>
    <w:rsid w:val="0067620F"/>
    <w:rsid w:val="006762CE"/>
    <w:rsid w:val="00676E15"/>
    <w:rsid w:val="00676FCC"/>
    <w:rsid w:val="006770D5"/>
    <w:rsid w:val="006775EC"/>
    <w:rsid w:val="006776F1"/>
    <w:rsid w:val="006777E5"/>
    <w:rsid w:val="00677E9F"/>
    <w:rsid w:val="00677F4F"/>
    <w:rsid w:val="00680133"/>
    <w:rsid w:val="006803FC"/>
    <w:rsid w:val="0068086C"/>
    <w:rsid w:val="00680E8C"/>
    <w:rsid w:val="006816A3"/>
    <w:rsid w:val="006818DF"/>
    <w:rsid w:val="00681A7D"/>
    <w:rsid w:val="00681C5B"/>
    <w:rsid w:val="0068205B"/>
    <w:rsid w:val="006821E7"/>
    <w:rsid w:val="00682278"/>
    <w:rsid w:val="00682324"/>
    <w:rsid w:val="00682964"/>
    <w:rsid w:val="0068368C"/>
    <w:rsid w:val="00683AD6"/>
    <w:rsid w:val="00684159"/>
    <w:rsid w:val="0068446B"/>
    <w:rsid w:val="00684995"/>
    <w:rsid w:val="00684F01"/>
    <w:rsid w:val="00685142"/>
    <w:rsid w:val="00685D09"/>
    <w:rsid w:val="00685FB0"/>
    <w:rsid w:val="0068650C"/>
    <w:rsid w:val="00686731"/>
    <w:rsid w:val="00686A20"/>
    <w:rsid w:val="00686A71"/>
    <w:rsid w:val="00686B12"/>
    <w:rsid w:val="006871A1"/>
    <w:rsid w:val="006878F2"/>
    <w:rsid w:val="00687970"/>
    <w:rsid w:val="00687997"/>
    <w:rsid w:val="0069123E"/>
    <w:rsid w:val="00691913"/>
    <w:rsid w:val="00691969"/>
    <w:rsid w:val="00691D27"/>
    <w:rsid w:val="00692479"/>
    <w:rsid w:val="0069249B"/>
    <w:rsid w:val="00692509"/>
    <w:rsid w:val="00692768"/>
    <w:rsid w:val="00692C87"/>
    <w:rsid w:val="00693399"/>
    <w:rsid w:val="00693605"/>
    <w:rsid w:val="0069363C"/>
    <w:rsid w:val="0069404C"/>
    <w:rsid w:val="00694434"/>
    <w:rsid w:val="00694555"/>
    <w:rsid w:val="0069459C"/>
    <w:rsid w:val="006946EC"/>
    <w:rsid w:val="00694790"/>
    <w:rsid w:val="006951E0"/>
    <w:rsid w:val="00695C65"/>
    <w:rsid w:val="00695C80"/>
    <w:rsid w:val="00695E07"/>
    <w:rsid w:val="006963A8"/>
    <w:rsid w:val="00696927"/>
    <w:rsid w:val="00696EDE"/>
    <w:rsid w:val="0069725F"/>
    <w:rsid w:val="006972FB"/>
    <w:rsid w:val="006978FA"/>
    <w:rsid w:val="00697DC4"/>
    <w:rsid w:val="00697F74"/>
    <w:rsid w:val="006A0220"/>
    <w:rsid w:val="006A027A"/>
    <w:rsid w:val="006A0DD1"/>
    <w:rsid w:val="006A0EAE"/>
    <w:rsid w:val="006A138B"/>
    <w:rsid w:val="006A1569"/>
    <w:rsid w:val="006A15B9"/>
    <w:rsid w:val="006A19AD"/>
    <w:rsid w:val="006A1BD8"/>
    <w:rsid w:val="006A1C0C"/>
    <w:rsid w:val="006A1F59"/>
    <w:rsid w:val="006A239A"/>
    <w:rsid w:val="006A23E5"/>
    <w:rsid w:val="006A2EE1"/>
    <w:rsid w:val="006A31EC"/>
    <w:rsid w:val="006A3BED"/>
    <w:rsid w:val="006A4218"/>
    <w:rsid w:val="006A4B94"/>
    <w:rsid w:val="006A4BE6"/>
    <w:rsid w:val="006A54C2"/>
    <w:rsid w:val="006A58BC"/>
    <w:rsid w:val="006A5E9B"/>
    <w:rsid w:val="006A6568"/>
    <w:rsid w:val="006A70B8"/>
    <w:rsid w:val="006A78E0"/>
    <w:rsid w:val="006A7AF4"/>
    <w:rsid w:val="006A7E16"/>
    <w:rsid w:val="006A7EC3"/>
    <w:rsid w:val="006A7EC7"/>
    <w:rsid w:val="006B0480"/>
    <w:rsid w:val="006B07B1"/>
    <w:rsid w:val="006B0B2B"/>
    <w:rsid w:val="006B1124"/>
    <w:rsid w:val="006B140A"/>
    <w:rsid w:val="006B1EF1"/>
    <w:rsid w:val="006B2413"/>
    <w:rsid w:val="006B2CE2"/>
    <w:rsid w:val="006B304C"/>
    <w:rsid w:val="006B32AD"/>
    <w:rsid w:val="006B37AA"/>
    <w:rsid w:val="006B43FC"/>
    <w:rsid w:val="006B4492"/>
    <w:rsid w:val="006B4C06"/>
    <w:rsid w:val="006B4D6E"/>
    <w:rsid w:val="006B5142"/>
    <w:rsid w:val="006B53A7"/>
    <w:rsid w:val="006B5476"/>
    <w:rsid w:val="006B5856"/>
    <w:rsid w:val="006B5D01"/>
    <w:rsid w:val="006B5D29"/>
    <w:rsid w:val="006B5D5A"/>
    <w:rsid w:val="006B5E86"/>
    <w:rsid w:val="006B5F97"/>
    <w:rsid w:val="006B6044"/>
    <w:rsid w:val="006B6336"/>
    <w:rsid w:val="006B63BD"/>
    <w:rsid w:val="006B6801"/>
    <w:rsid w:val="006B6DE4"/>
    <w:rsid w:val="006B7471"/>
    <w:rsid w:val="006B7877"/>
    <w:rsid w:val="006B7FCF"/>
    <w:rsid w:val="006C014A"/>
    <w:rsid w:val="006C0312"/>
    <w:rsid w:val="006C0598"/>
    <w:rsid w:val="006C086E"/>
    <w:rsid w:val="006C0974"/>
    <w:rsid w:val="006C0C50"/>
    <w:rsid w:val="006C2633"/>
    <w:rsid w:val="006C3761"/>
    <w:rsid w:val="006C444A"/>
    <w:rsid w:val="006C4906"/>
    <w:rsid w:val="006C504B"/>
    <w:rsid w:val="006C5837"/>
    <w:rsid w:val="006C5D4C"/>
    <w:rsid w:val="006C6AA6"/>
    <w:rsid w:val="006C7455"/>
    <w:rsid w:val="006C748A"/>
    <w:rsid w:val="006C75ED"/>
    <w:rsid w:val="006C7824"/>
    <w:rsid w:val="006C7B56"/>
    <w:rsid w:val="006D005E"/>
    <w:rsid w:val="006D00D1"/>
    <w:rsid w:val="006D0173"/>
    <w:rsid w:val="006D0240"/>
    <w:rsid w:val="006D042D"/>
    <w:rsid w:val="006D052E"/>
    <w:rsid w:val="006D09EE"/>
    <w:rsid w:val="006D0DE6"/>
    <w:rsid w:val="006D1204"/>
    <w:rsid w:val="006D1234"/>
    <w:rsid w:val="006D128B"/>
    <w:rsid w:val="006D14E5"/>
    <w:rsid w:val="006D1EE9"/>
    <w:rsid w:val="006D235C"/>
    <w:rsid w:val="006D2565"/>
    <w:rsid w:val="006D25D6"/>
    <w:rsid w:val="006D2651"/>
    <w:rsid w:val="006D2FE9"/>
    <w:rsid w:val="006D3135"/>
    <w:rsid w:val="006D3271"/>
    <w:rsid w:val="006D33C5"/>
    <w:rsid w:val="006D3609"/>
    <w:rsid w:val="006D3797"/>
    <w:rsid w:val="006D3933"/>
    <w:rsid w:val="006D3B35"/>
    <w:rsid w:val="006D3ED7"/>
    <w:rsid w:val="006D47E4"/>
    <w:rsid w:val="006D4804"/>
    <w:rsid w:val="006D4A59"/>
    <w:rsid w:val="006D4BF2"/>
    <w:rsid w:val="006D4E1F"/>
    <w:rsid w:val="006D5A96"/>
    <w:rsid w:val="006D5B82"/>
    <w:rsid w:val="006D5D03"/>
    <w:rsid w:val="006D5D09"/>
    <w:rsid w:val="006D5F43"/>
    <w:rsid w:val="006D5FFE"/>
    <w:rsid w:val="006D6238"/>
    <w:rsid w:val="006D68B4"/>
    <w:rsid w:val="006D690A"/>
    <w:rsid w:val="006D7D25"/>
    <w:rsid w:val="006D7DDB"/>
    <w:rsid w:val="006E05CC"/>
    <w:rsid w:val="006E1477"/>
    <w:rsid w:val="006E14C9"/>
    <w:rsid w:val="006E1B4C"/>
    <w:rsid w:val="006E247A"/>
    <w:rsid w:val="006E273F"/>
    <w:rsid w:val="006E277E"/>
    <w:rsid w:val="006E2832"/>
    <w:rsid w:val="006E2993"/>
    <w:rsid w:val="006E329F"/>
    <w:rsid w:val="006E3B7D"/>
    <w:rsid w:val="006E4B3F"/>
    <w:rsid w:val="006E4C75"/>
    <w:rsid w:val="006E4DDC"/>
    <w:rsid w:val="006E4FE7"/>
    <w:rsid w:val="006E5396"/>
    <w:rsid w:val="006E567F"/>
    <w:rsid w:val="006E59C7"/>
    <w:rsid w:val="006E5D51"/>
    <w:rsid w:val="006E6110"/>
    <w:rsid w:val="006E613C"/>
    <w:rsid w:val="006E67BA"/>
    <w:rsid w:val="006E6998"/>
    <w:rsid w:val="006E6E89"/>
    <w:rsid w:val="006E7302"/>
    <w:rsid w:val="006E7604"/>
    <w:rsid w:val="006E7A92"/>
    <w:rsid w:val="006E7FDB"/>
    <w:rsid w:val="006F00ED"/>
    <w:rsid w:val="006F0295"/>
    <w:rsid w:val="006F077F"/>
    <w:rsid w:val="006F0B32"/>
    <w:rsid w:val="006F132A"/>
    <w:rsid w:val="006F157D"/>
    <w:rsid w:val="006F1602"/>
    <w:rsid w:val="006F161E"/>
    <w:rsid w:val="006F18B6"/>
    <w:rsid w:val="006F18EF"/>
    <w:rsid w:val="006F1BB3"/>
    <w:rsid w:val="006F1DCB"/>
    <w:rsid w:val="006F201E"/>
    <w:rsid w:val="006F21CC"/>
    <w:rsid w:val="006F240F"/>
    <w:rsid w:val="006F2547"/>
    <w:rsid w:val="006F260A"/>
    <w:rsid w:val="006F2998"/>
    <w:rsid w:val="006F2BC3"/>
    <w:rsid w:val="006F306C"/>
    <w:rsid w:val="006F350A"/>
    <w:rsid w:val="006F3589"/>
    <w:rsid w:val="006F359B"/>
    <w:rsid w:val="006F3814"/>
    <w:rsid w:val="006F39AC"/>
    <w:rsid w:val="006F3E4B"/>
    <w:rsid w:val="006F42CA"/>
    <w:rsid w:val="006F49C8"/>
    <w:rsid w:val="006F4D37"/>
    <w:rsid w:val="006F518A"/>
    <w:rsid w:val="006F53E8"/>
    <w:rsid w:val="006F6150"/>
    <w:rsid w:val="006F6737"/>
    <w:rsid w:val="006F67B2"/>
    <w:rsid w:val="006F6908"/>
    <w:rsid w:val="006F6A28"/>
    <w:rsid w:val="006F6A8E"/>
    <w:rsid w:val="006F7038"/>
    <w:rsid w:val="006F7160"/>
    <w:rsid w:val="006F76DF"/>
    <w:rsid w:val="006F7B3D"/>
    <w:rsid w:val="006F7ED1"/>
    <w:rsid w:val="007004E7"/>
    <w:rsid w:val="0070089C"/>
    <w:rsid w:val="0070093E"/>
    <w:rsid w:val="00700FE7"/>
    <w:rsid w:val="007010F2"/>
    <w:rsid w:val="007014C4"/>
    <w:rsid w:val="007017EB"/>
    <w:rsid w:val="00701F01"/>
    <w:rsid w:val="007021BA"/>
    <w:rsid w:val="007026C6"/>
    <w:rsid w:val="00703027"/>
    <w:rsid w:val="00703371"/>
    <w:rsid w:val="00703401"/>
    <w:rsid w:val="00703418"/>
    <w:rsid w:val="0070369A"/>
    <w:rsid w:val="007039E6"/>
    <w:rsid w:val="00703E1C"/>
    <w:rsid w:val="00704323"/>
    <w:rsid w:val="0070437D"/>
    <w:rsid w:val="0070466B"/>
    <w:rsid w:val="007048E8"/>
    <w:rsid w:val="00704B64"/>
    <w:rsid w:val="007050E4"/>
    <w:rsid w:val="007051F1"/>
    <w:rsid w:val="0070587C"/>
    <w:rsid w:val="00705B4D"/>
    <w:rsid w:val="0070619F"/>
    <w:rsid w:val="007061AA"/>
    <w:rsid w:val="00706307"/>
    <w:rsid w:val="007063D3"/>
    <w:rsid w:val="00706CB4"/>
    <w:rsid w:val="00706CFC"/>
    <w:rsid w:val="00706F01"/>
    <w:rsid w:val="0070714C"/>
    <w:rsid w:val="0070736A"/>
    <w:rsid w:val="007076FC"/>
    <w:rsid w:val="0070775A"/>
    <w:rsid w:val="00707E20"/>
    <w:rsid w:val="00707F62"/>
    <w:rsid w:val="00707F64"/>
    <w:rsid w:val="007100C8"/>
    <w:rsid w:val="00710485"/>
    <w:rsid w:val="00710991"/>
    <w:rsid w:val="007109D8"/>
    <w:rsid w:val="00710AE0"/>
    <w:rsid w:val="00711515"/>
    <w:rsid w:val="007115E8"/>
    <w:rsid w:val="007115FA"/>
    <w:rsid w:val="007116F4"/>
    <w:rsid w:val="00711855"/>
    <w:rsid w:val="007119E4"/>
    <w:rsid w:val="00711E0D"/>
    <w:rsid w:val="00712055"/>
    <w:rsid w:val="00712C73"/>
    <w:rsid w:val="0071303D"/>
    <w:rsid w:val="00713074"/>
    <w:rsid w:val="0071362E"/>
    <w:rsid w:val="007136F9"/>
    <w:rsid w:val="007147AA"/>
    <w:rsid w:val="0071495A"/>
    <w:rsid w:val="00714E0D"/>
    <w:rsid w:val="00715033"/>
    <w:rsid w:val="00715551"/>
    <w:rsid w:val="00716000"/>
    <w:rsid w:val="00716040"/>
    <w:rsid w:val="00716937"/>
    <w:rsid w:val="00716F0F"/>
    <w:rsid w:val="00716F6C"/>
    <w:rsid w:val="0071719A"/>
    <w:rsid w:val="007176D4"/>
    <w:rsid w:val="00717955"/>
    <w:rsid w:val="00717B30"/>
    <w:rsid w:val="00717C8E"/>
    <w:rsid w:val="00717CD0"/>
    <w:rsid w:val="007202B2"/>
    <w:rsid w:val="00720E59"/>
    <w:rsid w:val="00720EF0"/>
    <w:rsid w:val="00721551"/>
    <w:rsid w:val="00721831"/>
    <w:rsid w:val="00721B35"/>
    <w:rsid w:val="00722107"/>
    <w:rsid w:val="00722446"/>
    <w:rsid w:val="00723075"/>
    <w:rsid w:val="007231BA"/>
    <w:rsid w:val="007233D8"/>
    <w:rsid w:val="00723E1E"/>
    <w:rsid w:val="00723E93"/>
    <w:rsid w:val="00724B00"/>
    <w:rsid w:val="00724B30"/>
    <w:rsid w:val="007251B6"/>
    <w:rsid w:val="00725B55"/>
    <w:rsid w:val="00725B65"/>
    <w:rsid w:val="00725E28"/>
    <w:rsid w:val="007262C3"/>
    <w:rsid w:val="0072630F"/>
    <w:rsid w:val="0072682D"/>
    <w:rsid w:val="0072685C"/>
    <w:rsid w:val="00726AAE"/>
    <w:rsid w:val="00726AD5"/>
    <w:rsid w:val="00726AED"/>
    <w:rsid w:val="0072761F"/>
    <w:rsid w:val="00727640"/>
    <w:rsid w:val="00727785"/>
    <w:rsid w:val="00727FE9"/>
    <w:rsid w:val="007302E3"/>
    <w:rsid w:val="00730621"/>
    <w:rsid w:val="00730D7F"/>
    <w:rsid w:val="00731021"/>
    <w:rsid w:val="00731064"/>
    <w:rsid w:val="00731A0D"/>
    <w:rsid w:val="0073204A"/>
    <w:rsid w:val="00732B8A"/>
    <w:rsid w:val="00732E0B"/>
    <w:rsid w:val="00733247"/>
    <w:rsid w:val="007338BA"/>
    <w:rsid w:val="00733B5F"/>
    <w:rsid w:val="00733B9F"/>
    <w:rsid w:val="00733C60"/>
    <w:rsid w:val="007344D5"/>
    <w:rsid w:val="00734B0C"/>
    <w:rsid w:val="00735846"/>
    <w:rsid w:val="00735AF8"/>
    <w:rsid w:val="00735CF7"/>
    <w:rsid w:val="00735D15"/>
    <w:rsid w:val="00736286"/>
    <w:rsid w:val="007362FF"/>
    <w:rsid w:val="007365B9"/>
    <w:rsid w:val="0073693A"/>
    <w:rsid w:val="00736EC4"/>
    <w:rsid w:val="00736F40"/>
    <w:rsid w:val="00736F62"/>
    <w:rsid w:val="0073711C"/>
    <w:rsid w:val="0073736A"/>
    <w:rsid w:val="00737525"/>
    <w:rsid w:val="0074029C"/>
    <w:rsid w:val="007408F2"/>
    <w:rsid w:val="00741182"/>
    <w:rsid w:val="0074128B"/>
    <w:rsid w:val="00741BD7"/>
    <w:rsid w:val="00741C60"/>
    <w:rsid w:val="00741F54"/>
    <w:rsid w:val="00742619"/>
    <w:rsid w:val="00742C65"/>
    <w:rsid w:val="00742C91"/>
    <w:rsid w:val="00742D01"/>
    <w:rsid w:val="007430F8"/>
    <w:rsid w:val="007431E2"/>
    <w:rsid w:val="007432AD"/>
    <w:rsid w:val="007439D0"/>
    <w:rsid w:val="00743B80"/>
    <w:rsid w:val="00743BE7"/>
    <w:rsid w:val="00744331"/>
    <w:rsid w:val="00744443"/>
    <w:rsid w:val="007444D4"/>
    <w:rsid w:val="0074465D"/>
    <w:rsid w:val="00744A57"/>
    <w:rsid w:val="00744ACA"/>
    <w:rsid w:val="00744C85"/>
    <w:rsid w:val="00744CEF"/>
    <w:rsid w:val="00744F67"/>
    <w:rsid w:val="00744F7C"/>
    <w:rsid w:val="00745110"/>
    <w:rsid w:val="0074650E"/>
    <w:rsid w:val="00746844"/>
    <w:rsid w:val="007471F5"/>
    <w:rsid w:val="00747380"/>
    <w:rsid w:val="0074799C"/>
    <w:rsid w:val="00747C80"/>
    <w:rsid w:val="00747E10"/>
    <w:rsid w:val="007503C5"/>
    <w:rsid w:val="00750420"/>
    <w:rsid w:val="00750683"/>
    <w:rsid w:val="0075082C"/>
    <w:rsid w:val="007509A6"/>
    <w:rsid w:val="00750B5A"/>
    <w:rsid w:val="00750BC9"/>
    <w:rsid w:val="00750D32"/>
    <w:rsid w:val="00750EA8"/>
    <w:rsid w:val="00750EFF"/>
    <w:rsid w:val="00750F9F"/>
    <w:rsid w:val="007515A2"/>
    <w:rsid w:val="0075172F"/>
    <w:rsid w:val="0075183E"/>
    <w:rsid w:val="00751C6B"/>
    <w:rsid w:val="00751D3D"/>
    <w:rsid w:val="00751E53"/>
    <w:rsid w:val="00751F15"/>
    <w:rsid w:val="00752309"/>
    <w:rsid w:val="007530FD"/>
    <w:rsid w:val="007533BF"/>
    <w:rsid w:val="007534E1"/>
    <w:rsid w:val="007537C5"/>
    <w:rsid w:val="0075435B"/>
    <w:rsid w:val="00754946"/>
    <w:rsid w:val="00754E85"/>
    <w:rsid w:val="0075501F"/>
    <w:rsid w:val="007553F6"/>
    <w:rsid w:val="007558FA"/>
    <w:rsid w:val="00755C13"/>
    <w:rsid w:val="00756AD4"/>
    <w:rsid w:val="00756CB5"/>
    <w:rsid w:val="007570A8"/>
    <w:rsid w:val="007573C3"/>
    <w:rsid w:val="00757AAD"/>
    <w:rsid w:val="00757DA1"/>
    <w:rsid w:val="007601A2"/>
    <w:rsid w:val="007601D7"/>
    <w:rsid w:val="0076069F"/>
    <w:rsid w:val="00760776"/>
    <w:rsid w:val="007607E4"/>
    <w:rsid w:val="00761A4F"/>
    <w:rsid w:val="00761C00"/>
    <w:rsid w:val="00761EAD"/>
    <w:rsid w:val="007620EF"/>
    <w:rsid w:val="00762373"/>
    <w:rsid w:val="00762857"/>
    <w:rsid w:val="00762A9A"/>
    <w:rsid w:val="00762E9D"/>
    <w:rsid w:val="007631CA"/>
    <w:rsid w:val="00763452"/>
    <w:rsid w:val="00763A9E"/>
    <w:rsid w:val="00763B87"/>
    <w:rsid w:val="00763F19"/>
    <w:rsid w:val="00764468"/>
    <w:rsid w:val="0076446C"/>
    <w:rsid w:val="007654A4"/>
    <w:rsid w:val="007656F5"/>
    <w:rsid w:val="00765848"/>
    <w:rsid w:val="00765B81"/>
    <w:rsid w:val="00765DCD"/>
    <w:rsid w:val="00765EA3"/>
    <w:rsid w:val="00766169"/>
    <w:rsid w:val="00766415"/>
    <w:rsid w:val="007665F5"/>
    <w:rsid w:val="00766E07"/>
    <w:rsid w:val="00767721"/>
    <w:rsid w:val="007707BE"/>
    <w:rsid w:val="00770966"/>
    <w:rsid w:val="00770BE5"/>
    <w:rsid w:val="00771684"/>
    <w:rsid w:val="00771C28"/>
    <w:rsid w:val="00771D09"/>
    <w:rsid w:val="00771DB9"/>
    <w:rsid w:val="007725AB"/>
    <w:rsid w:val="00772C70"/>
    <w:rsid w:val="00772CE3"/>
    <w:rsid w:val="00772D45"/>
    <w:rsid w:val="00772DCB"/>
    <w:rsid w:val="00773613"/>
    <w:rsid w:val="00773A91"/>
    <w:rsid w:val="00773EA6"/>
    <w:rsid w:val="00773EAD"/>
    <w:rsid w:val="007740C5"/>
    <w:rsid w:val="00774461"/>
    <w:rsid w:val="0077448E"/>
    <w:rsid w:val="0077461A"/>
    <w:rsid w:val="007748FF"/>
    <w:rsid w:val="00774EFC"/>
    <w:rsid w:val="0077548D"/>
    <w:rsid w:val="00775490"/>
    <w:rsid w:val="007758C4"/>
    <w:rsid w:val="00775BBE"/>
    <w:rsid w:val="00775E36"/>
    <w:rsid w:val="00775F6F"/>
    <w:rsid w:val="007769E0"/>
    <w:rsid w:val="00776D79"/>
    <w:rsid w:val="00777118"/>
    <w:rsid w:val="007773E7"/>
    <w:rsid w:val="00777812"/>
    <w:rsid w:val="00777868"/>
    <w:rsid w:val="00777ADA"/>
    <w:rsid w:val="00777D6A"/>
    <w:rsid w:val="007800D3"/>
    <w:rsid w:val="00780107"/>
    <w:rsid w:val="00780146"/>
    <w:rsid w:val="007803B2"/>
    <w:rsid w:val="00780731"/>
    <w:rsid w:val="00781455"/>
    <w:rsid w:val="00781777"/>
    <w:rsid w:val="007817CB"/>
    <w:rsid w:val="00781EC7"/>
    <w:rsid w:val="00781F4B"/>
    <w:rsid w:val="0078218C"/>
    <w:rsid w:val="007825BF"/>
    <w:rsid w:val="00782750"/>
    <w:rsid w:val="00782B8C"/>
    <w:rsid w:val="00782E3F"/>
    <w:rsid w:val="00783A96"/>
    <w:rsid w:val="00783AF4"/>
    <w:rsid w:val="0078462C"/>
    <w:rsid w:val="007847FA"/>
    <w:rsid w:val="00784C34"/>
    <w:rsid w:val="00784D0A"/>
    <w:rsid w:val="00785BBE"/>
    <w:rsid w:val="00785C2F"/>
    <w:rsid w:val="00786243"/>
    <w:rsid w:val="00786669"/>
    <w:rsid w:val="00786B16"/>
    <w:rsid w:val="00786E18"/>
    <w:rsid w:val="00787060"/>
    <w:rsid w:val="00787107"/>
    <w:rsid w:val="00787332"/>
    <w:rsid w:val="007902B0"/>
    <w:rsid w:val="007902CE"/>
    <w:rsid w:val="00790414"/>
    <w:rsid w:val="00790868"/>
    <w:rsid w:val="00790910"/>
    <w:rsid w:val="00790C20"/>
    <w:rsid w:val="00791480"/>
    <w:rsid w:val="00791DE1"/>
    <w:rsid w:val="0079293E"/>
    <w:rsid w:val="007929B0"/>
    <w:rsid w:val="00793389"/>
    <w:rsid w:val="007934EC"/>
    <w:rsid w:val="0079375E"/>
    <w:rsid w:val="00793B0E"/>
    <w:rsid w:val="00793F58"/>
    <w:rsid w:val="0079428D"/>
    <w:rsid w:val="00794BF1"/>
    <w:rsid w:val="00794DDD"/>
    <w:rsid w:val="0079515E"/>
    <w:rsid w:val="00795405"/>
    <w:rsid w:val="0079593E"/>
    <w:rsid w:val="00795C52"/>
    <w:rsid w:val="00795E0D"/>
    <w:rsid w:val="00796507"/>
    <w:rsid w:val="00796B98"/>
    <w:rsid w:val="00796F72"/>
    <w:rsid w:val="007971F3"/>
    <w:rsid w:val="00797BB2"/>
    <w:rsid w:val="00797D22"/>
    <w:rsid w:val="00797D36"/>
    <w:rsid w:val="00797FD1"/>
    <w:rsid w:val="007A0218"/>
    <w:rsid w:val="007A0658"/>
    <w:rsid w:val="007A0667"/>
    <w:rsid w:val="007A070D"/>
    <w:rsid w:val="007A072E"/>
    <w:rsid w:val="007A0942"/>
    <w:rsid w:val="007A098B"/>
    <w:rsid w:val="007A0BCB"/>
    <w:rsid w:val="007A0C94"/>
    <w:rsid w:val="007A117E"/>
    <w:rsid w:val="007A15B8"/>
    <w:rsid w:val="007A1AEB"/>
    <w:rsid w:val="007A1D2B"/>
    <w:rsid w:val="007A21F5"/>
    <w:rsid w:val="007A286F"/>
    <w:rsid w:val="007A2961"/>
    <w:rsid w:val="007A2EAC"/>
    <w:rsid w:val="007A2F3D"/>
    <w:rsid w:val="007A321D"/>
    <w:rsid w:val="007A33D1"/>
    <w:rsid w:val="007A37CF"/>
    <w:rsid w:val="007A37EA"/>
    <w:rsid w:val="007A3A8C"/>
    <w:rsid w:val="007A4500"/>
    <w:rsid w:val="007A4E83"/>
    <w:rsid w:val="007A4EC3"/>
    <w:rsid w:val="007A5EC2"/>
    <w:rsid w:val="007A5FB6"/>
    <w:rsid w:val="007A6254"/>
    <w:rsid w:val="007A6435"/>
    <w:rsid w:val="007A6A93"/>
    <w:rsid w:val="007A6DBD"/>
    <w:rsid w:val="007A6EEE"/>
    <w:rsid w:val="007A782A"/>
    <w:rsid w:val="007B0A5B"/>
    <w:rsid w:val="007B0D0F"/>
    <w:rsid w:val="007B0E0C"/>
    <w:rsid w:val="007B0E40"/>
    <w:rsid w:val="007B14A5"/>
    <w:rsid w:val="007B1720"/>
    <w:rsid w:val="007B17BC"/>
    <w:rsid w:val="007B1CB8"/>
    <w:rsid w:val="007B20D7"/>
    <w:rsid w:val="007B23AF"/>
    <w:rsid w:val="007B29A3"/>
    <w:rsid w:val="007B2AF8"/>
    <w:rsid w:val="007B3135"/>
    <w:rsid w:val="007B3537"/>
    <w:rsid w:val="007B3555"/>
    <w:rsid w:val="007B41C9"/>
    <w:rsid w:val="007B4865"/>
    <w:rsid w:val="007B4A3C"/>
    <w:rsid w:val="007B597B"/>
    <w:rsid w:val="007B6825"/>
    <w:rsid w:val="007B7D63"/>
    <w:rsid w:val="007C018F"/>
    <w:rsid w:val="007C06A1"/>
    <w:rsid w:val="007C07A7"/>
    <w:rsid w:val="007C090F"/>
    <w:rsid w:val="007C0941"/>
    <w:rsid w:val="007C0D0E"/>
    <w:rsid w:val="007C0F10"/>
    <w:rsid w:val="007C106E"/>
    <w:rsid w:val="007C1165"/>
    <w:rsid w:val="007C1A19"/>
    <w:rsid w:val="007C1CFA"/>
    <w:rsid w:val="007C22D3"/>
    <w:rsid w:val="007C249F"/>
    <w:rsid w:val="007C26E5"/>
    <w:rsid w:val="007C3348"/>
    <w:rsid w:val="007C4424"/>
    <w:rsid w:val="007C53CB"/>
    <w:rsid w:val="007C5A99"/>
    <w:rsid w:val="007C5DEC"/>
    <w:rsid w:val="007C6311"/>
    <w:rsid w:val="007C6346"/>
    <w:rsid w:val="007C6B1D"/>
    <w:rsid w:val="007C720A"/>
    <w:rsid w:val="007C7499"/>
    <w:rsid w:val="007C7903"/>
    <w:rsid w:val="007C7A8E"/>
    <w:rsid w:val="007C7CB5"/>
    <w:rsid w:val="007D1092"/>
    <w:rsid w:val="007D118C"/>
    <w:rsid w:val="007D12AA"/>
    <w:rsid w:val="007D1924"/>
    <w:rsid w:val="007D23AF"/>
    <w:rsid w:val="007D2621"/>
    <w:rsid w:val="007D276D"/>
    <w:rsid w:val="007D2935"/>
    <w:rsid w:val="007D30B0"/>
    <w:rsid w:val="007D3155"/>
    <w:rsid w:val="007D34A6"/>
    <w:rsid w:val="007D356F"/>
    <w:rsid w:val="007D3BFB"/>
    <w:rsid w:val="007D3D48"/>
    <w:rsid w:val="007D41A2"/>
    <w:rsid w:val="007D42C6"/>
    <w:rsid w:val="007D44DA"/>
    <w:rsid w:val="007D46F7"/>
    <w:rsid w:val="007D49A1"/>
    <w:rsid w:val="007D4DE0"/>
    <w:rsid w:val="007D4ECE"/>
    <w:rsid w:val="007D5576"/>
    <w:rsid w:val="007D557A"/>
    <w:rsid w:val="007D5C63"/>
    <w:rsid w:val="007D5CA8"/>
    <w:rsid w:val="007D6298"/>
    <w:rsid w:val="007D6B9E"/>
    <w:rsid w:val="007D6BDD"/>
    <w:rsid w:val="007D6F6F"/>
    <w:rsid w:val="007D6F71"/>
    <w:rsid w:val="007D7553"/>
    <w:rsid w:val="007D76D1"/>
    <w:rsid w:val="007D7F3E"/>
    <w:rsid w:val="007E004A"/>
    <w:rsid w:val="007E0187"/>
    <w:rsid w:val="007E0727"/>
    <w:rsid w:val="007E0CAF"/>
    <w:rsid w:val="007E1193"/>
    <w:rsid w:val="007E1238"/>
    <w:rsid w:val="007E1676"/>
    <w:rsid w:val="007E1A43"/>
    <w:rsid w:val="007E1DAC"/>
    <w:rsid w:val="007E2198"/>
    <w:rsid w:val="007E2D8C"/>
    <w:rsid w:val="007E2F09"/>
    <w:rsid w:val="007E2FBF"/>
    <w:rsid w:val="007E3100"/>
    <w:rsid w:val="007E3253"/>
    <w:rsid w:val="007E3409"/>
    <w:rsid w:val="007E376D"/>
    <w:rsid w:val="007E3EDE"/>
    <w:rsid w:val="007E3F9B"/>
    <w:rsid w:val="007E42A4"/>
    <w:rsid w:val="007E495D"/>
    <w:rsid w:val="007E5023"/>
    <w:rsid w:val="007E519A"/>
    <w:rsid w:val="007E52FE"/>
    <w:rsid w:val="007E5312"/>
    <w:rsid w:val="007E58EB"/>
    <w:rsid w:val="007E58F5"/>
    <w:rsid w:val="007E5C23"/>
    <w:rsid w:val="007E5D9A"/>
    <w:rsid w:val="007E61D5"/>
    <w:rsid w:val="007E69E4"/>
    <w:rsid w:val="007E711E"/>
    <w:rsid w:val="007E74F5"/>
    <w:rsid w:val="007E76F3"/>
    <w:rsid w:val="007E7AAF"/>
    <w:rsid w:val="007F04BA"/>
    <w:rsid w:val="007F050D"/>
    <w:rsid w:val="007F0554"/>
    <w:rsid w:val="007F08CA"/>
    <w:rsid w:val="007F0CE5"/>
    <w:rsid w:val="007F1399"/>
    <w:rsid w:val="007F1F9E"/>
    <w:rsid w:val="007F23FB"/>
    <w:rsid w:val="007F2A98"/>
    <w:rsid w:val="007F2FBE"/>
    <w:rsid w:val="007F301F"/>
    <w:rsid w:val="007F32BB"/>
    <w:rsid w:val="007F39BE"/>
    <w:rsid w:val="007F3B67"/>
    <w:rsid w:val="007F3B6E"/>
    <w:rsid w:val="007F465A"/>
    <w:rsid w:val="007F48E1"/>
    <w:rsid w:val="007F4DBD"/>
    <w:rsid w:val="007F5E76"/>
    <w:rsid w:val="007F6C6A"/>
    <w:rsid w:val="007F7158"/>
    <w:rsid w:val="007F7AC2"/>
    <w:rsid w:val="008009B2"/>
    <w:rsid w:val="008013F6"/>
    <w:rsid w:val="008015AD"/>
    <w:rsid w:val="008023F2"/>
    <w:rsid w:val="00802418"/>
    <w:rsid w:val="00802A55"/>
    <w:rsid w:val="00802B63"/>
    <w:rsid w:val="00802CBC"/>
    <w:rsid w:val="00803C98"/>
    <w:rsid w:val="008041BF"/>
    <w:rsid w:val="008044AA"/>
    <w:rsid w:val="00804C63"/>
    <w:rsid w:val="008051D9"/>
    <w:rsid w:val="00805582"/>
    <w:rsid w:val="008055A6"/>
    <w:rsid w:val="00805902"/>
    <w:rsid w:val="00805F5D"/>
    <w:rsid w:val="00806434"/>
    <w:rsid w:val="00806600"/>
    <w:rsid w:val="00806F68"/>
    <w:rsid w:val="00807559"/>
    <w:rsid w:val="00807F46"/>
    <w:rsid w:val="008100D6"/>
    <w:rsid w:val="00810DEE"/>
    <w:rsid w:val="008115C2"/>
    <w:rsid w:val="0081169D"/>
    <w:rsid w:val="008117BF"/>
    <w:rsid w:val="008118AB"/>
    <w:rsid w:val="0081192D"/>
    <w:rsid w:val="0081223A"/>
    <w:rsid w:val="008127AA"/>
    <w:rsid w:val="00813288"/>
    <w:rsid w:val="008133DE"/>
    <w:rsid w:val="0081362C"/>
    <w:rsid w:val="00813A04"/>
    <w:rsid w:val="0081523F"/>
    <w:rsid w:val="00815411"/>
    <w:rsid w:val="0081573E"/>
    <w:rsid w:val="00815CB1"/>
    <w:rsid w:val="00817447"/>
    <w:rsid w:val="008174AF"/>
    <w:rsid w:val="0082026B"/>
    <w:rsid w:val="008209DA"/>
    <w:rsid w:val="008212F5"/>
    <w:rsid w:val="008213E6"/>
    <w:rsid w:val="008214CA"/>
    <w:rsid w:val="00821553"/>
    <w:rsid w:val="00821A29"/>
    <w:rsid w:val="00821EB7"/>
    <w:rsid w:val="00822AE8"/>
    <w:rsid w:val="00822F44"/>
    <w:rsid w:val="00823233"/>
    <w:rsid w:val="008239B8"/>
    <w:rsid w:val="00824426"/>
    <w:rsid w:val="008246D7"/>
    <w:rsid w:val="00824981"/>
    <w:rsid w:val="00824B0E"/>
    <w:rsid w:val="00824C9D"/>
    <w:rsid w:val="00824E76"/>
    <w:rsid w:val="00825399"/>
    <w:rsid w:val="00825553"/>
    <w:rsid w:val="00825B7D"/>
    <w:rsid w:val="008260B8"/>
    <w:rsid w:val="00826580"/>
    <w:rsid w:val="0082677D"/>
    <w:rsid w:val="00826B87"/>
    <w:rsid w:val="00826EAE"/>
    <w:rsid w:val="00827126"/>
    <w:rsid w:val="008271D7"/>
    <w:rsid w:val="00827344"/>
    <w:rsid w:val="0082751C"/>
    <w:rsid w:val="00827595"/>
    <w:rsid w:val="00827A37"/>
    <w:rsid w:val="00827F91"/>
    <w:rsid w:val="0083045F"/>
    <w:rsid w:val="0083050A"/>
    <w:rsid w:val="0083057D"/>
    <w:rsid w:val="00830597"/>
    <w:rsid w:val="0083063A"/>
    <w:rsid w:val="008307F7"/>
    <w:rsid w:val="00830E52"/>
    <w:rsid w:val="00830EE1"/>
    <w:rsid w:val="00831ABE"/>
    <w:rsid w:val="00831F7A"/>
    <w:rsid w:val="00831FCC"/>
    <w:rsid w:val="0083233F"/>
    <w:rsid w:val="008324E3"/>
    <w:rsid w:val="0083280E"/>
    <w:rsid w:val="00832AE3"/>
    <w:rsid w:val="00832DA7"/>
    <w:rsid w:val="00833533"/>
    <w:rsid w:val="00833B9F"/>
    <w:rsid w:val="00833E59"/>
    <w:rsid w:val="00833F3D"/>
    <w:rsid w:val="00834226"/>
    <w:rsid w:val="00834368"/>
    <w:rsid w:val="00834B99"/>
    <w:rsid w:val="00834F39"/>
    <w:rsid w:val="008352B2"/>
    <w:rsid w:val="008354B5"/>
    <w:rsid w:val="00835B16"/>
    <w:rsid w:val="00835EB8"/>
    <w:rsid w:val="008361E5"/>
    <w:rsid w:val="008366F0"/>
    <w:rsid w:val="0083672A"/>
    <w:rsid w:val="0083698D"/>
    <w:rsid w:val="00836BE3"/>
    <w:rsid w:val="00836E8D"/>
    <w:rsid w:val="0083737C"/>
    <w:rsid w:val="00837565"/>
    <w:rsid w:val="008378F0"/>
    <w:rsid w:val="00837CD9"/>
    <w:rsid w:val="00837E7A"/>
    <w:rsid w:val="008404C6"/>
    <w:rsid w:val="00840BEB"/>
    <w:rsid w:val="00840CB8"/>
    <w:rsid w:val="00840F92"/>
    <w:rsid w:val="00841035"/>
    <w:rsid w:val="0084115A"/>
    <w:rsid w:val="008417FD"/>
    <w:rsid w:val="00841FC2"/>
    <w:rsid w:val="00842475"/>
    <w:rsid w:val="00842AAE"/>
    <w:rsid w:val="00842FC4"/>
    <w:rsid w:val="008435B7"/>
    <w:rsid w:val="00843824"/>
    <w:rsid w:val="00843AAD"/>
    <w:rsid w:val="00844223"/>
    <w:rsid w:val="00844347"/>
    <w:rsid w:val="0084437F"/>
    <w:rsid w:val="00844BDF"/>
    <w:rsid w:val="008450F3"/>
    <w:rsid w:val="008452C7"/>
    <w:rsid w:val="0084551C"/>
    <w:rsid w:val="008456D8"/>
    <w:rsid w:val="00845946"/>
    <w:rsid w:val="0084688A"/>
    <w:rsid w:val="00846960"/>
    <w:rsid w:val="00846D57"/>
    <w:rsid w:val="00846EF2"/>
    <w:rsid w:val="008476A0"/>
    <w:rsid w:val="00847AD5"/>
    <w:rsid w:val="00850067"/>
    <w:rsid w:val="0085028E"/>
    <w:rsid w:val="0085031A"/>
    <w:rsid w:val="0085041B"/>
    <w:rsid w:val="0085081E"/>
    <w:rsid w:val="008509E0"/>
    <w:rsid w:val="00850AAE"/>
    <w:rsid w:val="00850B7F"/>
    <w:rsid w:val="008510AB"/>
    <w:rsid w:val="00851993"/>
    <w:rsid w:val="00851C5E"/>
    <w:rsid w:val="00851D91"/>
    <w:rsid w:val="008520F5"/>
    <w:rsid w:val="0085242A"/>
    <w:rsid w:val="00852AE9"/>
    <w:rsid w:val="00852F38"/>
    <w:rsid w:val="00852F57"/>
    <w:rsid w:val="00853665"/>
    <w:rsid w:val="00853C0C"/>
    <w:rsid w:val="00854444"/>
    <w:rsid w:val="008545CF"/>
    <w:rsid w:val="00854B43"/>
    <w:rsid w:val="00854C12"/>
    <w:rsid w:val="00854EF0"/>
    <w:rsid w:val="008550FA"/>
    <w:rsid w:val="008554C0"/>
    <w:rsid w:val="008555EB"/>
    <w:rsid w:val="00856976"/>
    <w:rsid w:val="00856C34"/>
    <w:rsid w:val="008572AD"/>
    <w:rsid w:val="00857718"/>
    <w:rsid w:val="00857B80"/>
    <w:rsid w:val="00857ED0"/>
    <w:rsid w:val="008601B4"/>
    <w:rsid w:val="00860B59"/>
    <w:rsid w:val="0086103B"/>
    <w:rsid w:val="008621C6"/>
    <w:rsid w:val="00862B69"/>
    <w:rsid w:val="00862D68"/>
    <w:rsid w:val="00863045"/>
    <w:rsid w:val="008631B5"/>
    <w:rsid w:val="00863AAE"/>
    <w:rsid w:val="00863E95"/>
    <w:rsid w:val="00864244"/>
    <w:rsid w:val="008647B8"/>
    <w:rsid w:val="00864ADF"/>
    <w:rsid w:val="008650FC"/>
    <w:rsid w:val="00865546"/>
    <w:rsid w:val="00865DC1"/>
    <w:rsid w:val="0086651A"/>
    <w:rsid w:val="00866E61"/>
    <w:rsid w:val="00866F1C"/>
    <w:rsid w:val="00866F59"/>
    <w:rsid w:val="00866FDD"/>
    <w:rsid w:val="008671C1"/>
    <w:rsid w:val="00867E67"/>
    <w:rsid w:val="00867F77"/>
    <w:rsid w:val="00870112"/>
    <w:rsid w:val="008702BA"/>
    <w:rsid w:val="00870C8E"/>
    <w:rsid w:val="008710A7"/>
    <w:rsid w:val="008710CA"/>
    <w:rsid w:val="00871A3E"/>
    <w:rsid w:val="008728FA"/>
    <w:rsid w:val="00872A37"/>
    <w:rsid w:val="0087365A"/>
    <w:rsid w:val="0087372B"/>
    <w:rsid w:val="008743C7"/>
    <w:rsid w:val="008749C0"/>
    <w:rsid w:val="00874F1F"/>
    <w:rsid w:val="008750F9"/>
    <w:rsid w:val="00875341"/>
    <w:rsid w:val="0087536F"/>
    <w:rsid w:val="008754AF"/>
    <w:rsid w:val="00875AB6"/>
    <w:rsid w:val="00876247"/>
    <w:rsid w:val="00876E01"/>
    <w:rsid w:val="008773CC"/>
    <w:rsid w:val="00877F9C"/>
    <w:rsid w:val="008800B0"/>
    <w:rsid w:val="00880A40"/>
    <w:rsid w:val="008810DB"/>
    <w:rsid w:val="0088146D"/>
    <w:rsid w:val="00881C81"/>
    <w:rsid w:val="008822D5"/>
    <w:rsid w:val="008826FF"/>
    <w:rsid w:val="00882C06"/>
    <w:rsid w:val="00882CC7"/>
    <w:rsid w:val="00882DEC"/>
    <w:rsid w:val="00883066"/>
    <w:rsid w:val="00883170"/>
    <w:rsid w:val="00883332"/>
    <w:rsid w:val="0088346E"/>
    <w:rsid w:val="00883CC3"/>
    <w:rsid w:val="00884013"/>
    <w:rsid w:val="00884355"/>
    <w:rsid w:val="008849D7"/>
    <w:rsid w:val="00884F99"/>
    <w:rsid w:val="00885E3F"/>
    <w:rsid w:val="008869F4"/>
    <w:rsid w:val="00887035"/>
    <w:rsid w:val="0088765B"/>
    <w:rsid w:val="008902A2"/>
    <w:rsid w:val="00890334"/>
    <w:rsid w:val="0089041F"/>
    <w:rsid w:val="00890F48"/>
    <w:rsid w:val="00890F95"/>
    <w:rsid w:val="0089101B"/>
    <w:rsid w:val="008911CB"/>
    <w:rsid w:val="00891EFB"/>
    <w:rsid w:val="008923F8"/>
    <w:rsid w:val="00892CD1"/>
    <w:rsid w:val="0089315F"/>
    <w:rsid w:val="008938EA"/>
    <w:rsid w:val="00893A0F"/>
    <w:rsid w:val="00893DFB"/>
    <w:rsid w:val="00893EEF"/>
    <w:rsid w:val="0089425C"/>
    <w:rsid w:val="008947C9"/>
    <w:rsid w:val="00894B58"/>
    <w:rsid w:val="00895199"/>
    <w:rsid w:val="00895513"/>
    <w:rsid w:val="0089554E"/>
    <w:rsid w:val="008955EC"/>
    <w:rsid w:val="00895A9B"/>
    <w:rsid w:val="00896360"/>
    <w:rsid w:val="00896AD7"/>
    <w:rsid w:val="00896F23"/>
    <w:rsid w:val="008970F6"/>
    <w:rsid w:val="00897489"/>
    <w:rsid w:val="008975A2"/>
    <w:rsid w:val="00897B51"/>
    <w:rsid w:val="00897C52"/>
    <w:rsid w:val="00897E51"/>
    <w:rsid w:val="00897E7C"/>
    <w:rsid w:val="00897F83"/>
    <w:rsid w:val="008A0638"/>
    <w:rsid w:val="008A106C"/>
    <w:rsid w:val="008A121F"/>
    <w:rsid w:val="008A12B3"/>
    <w:rsid w:val="008A14CB"/>
    <w:rsid w:val="008A184F"/>
    <w:rsid w:val="008A1A13"/>
    <w:rsid w:val="008A21EF"/>
    <w:rsid w:val="008A25D8"/>
    <w:rsid w:val="008A2820"/>
    <w:rsid w:val="008A29AE"/>
    <w:rsid w:val="008A2C24"/>
    <w:rsid w:val="008A2C57"/>
    <w:rsid w:val="008A2C5C"/>
    <w:rsid w:val="008A2C72"/>
    <w:rsid w:val="008A341D"/>
    <w:rsid w:val="008A3425"/>
    <w:rsid w:val="008A38B9"/>
    <w:rsid w:val="008A3932"/>
    <w:rsid w:val="008A3ADD"/>
    <w:rsid w:val="008A40BC"/>
    <w:rsid w:val="008A40DD"/>
    <w:rsid w:val="008A415B"/>
    <w:rsid w:val="008A41CD"/>
    <w:rsid w:val="008A4880"/>
    <w:rsid w:val="008A4CBA"/>
    <w:rsid w:val="008A52B1"/>
    <w:rsid w:val="008A556E"/>
    <w:rsid w:val="008A5754"/>
    <w:rsid w:val="008A5B29"/>
    <w:rsid w:val="008A5E0E"/>
    <w:rsid w:val="008A650A"/>
    <w:rsid w:val="008A7303"/>
    <w:rsid w:val="008A735F"/>
    <w:rsid w:val="008A76E1"/>
    <w:rsid w:val="008A7F82"/>
    <w:rsid w:val="008B0138"/>
    <w:rsid w:val="008B050C"/>
    <w:rsid w:val="008B0C53"/>
    <w:rsid w:val="008B0E46"/>
    <w:rsid w:val="008B0FF1"/>
    <w:rsid w:val="008B1D72"/>
    <w:rsid w:val="008B1FFD"/>
    <w:rsid w:val="008B2287"/>
    <w:rsid w:val="008B23CA"/>
    <w:rsid w:val="008B2B48"/>
    <w:rsid w:val="008B2C31"/>
    <w:rsid w:val="008B2E71"/>
    <w:rsid w:val="008B3786"/>
    <w:rsid w:val="008B474F"/>
    <w:rsid w:val="008B4EA4"/>
    <w:rsid w:val="008B5689"/>
    <w:rsid w:val="008B56A2"/>
    <w:rsid w:val="008B5B32"/>
    <w:rsid w:val="008B621D"/>
    <w:rsid w:val="008B622F"/>
    <w:rsid w:val="008B6359"/>
    <w:rsid w:val="008B639A"/>
    <w:rsid w:val="008B646A"/>
    <w:rsid w:val="008B6AA7"/>
    <w:rsid w:val="008B6D06"/>
    <w:rsid w:val="008B725E"/>
    <w:rsid w:val="008B7703"/>
    <w:rsid w:val="008B79FA"/>
    <w:rsid w:val="008C063E"/>
    <w:rsid w:val="008C161E"/>
    <w:rsid w:val="008C19AA"/>
    <w:rsid w:val="008C19C7"/>
    <w:rsid w:val="008C1ADA"/>
    <w:rsid w:val="008C2094"/>
    <w:rsid w:val="008C22D5"/>
    <w:rsid w:val="008C2989"/>
    <w:rsid w:val="008C2D74"/>
    <w:rsid w:val="008C32FC"/>
    <w:rsid w:val="008C3447"/>
    <w:rsid w:val="008C34E0"/>
    <w:rsid w:val="008C3552"/>
    <w:rsid w:val="008C3D0F"/>
    <w:rsid w:val="008C41AB"/>
    <w:rsid w:val="008C4429"/>
    <w:rsid w:val="008C460D"/>
    <w:rsid w:val="008C49A7"/>
    <w:rsid w:val="008C4A64"/>
    <w:rsid w:val="008C4E47"/>
    <w:rsid w:val="008C5043"/>
    <w:rsid w:val="008C519A"/>
    <w:rsid w:val="008C5BA1"/>
    <w:rsid w:val="008C5D48"/>
    <w:rsid w:val="008C6339"/>
    <w:rsid w:val="008C67E8"/>
    <w:rsid w:val="008C69C5"/>
    <w:rsid w:val="008C6B00"/>
    <w:rsid w:val="008C6BA0"/>
    <w:rsid w:val="008C73F2"/>
    <w:rsid w:val="008C75CC"/>
    <w:rsid w:val="008C7725"/>
    <w:rsid w:val="008C7E98"/>
    <w:rsid w:val="008C7FCA"/>
    <w:rsid w:val="008D09DD"/>
    <w:rsid w:val="008D0B9C"/>
    <w:rsid w:val="008D1784"/>
    <w:rsid w:val="008D184D"/>
    <w:rsid w:val="008D1AE0"/>
    <w:rsid w:val="008D24B3"/>
    <w:rsid w:val="008D269A"/>
    <w:rsid w:val="008D2B73"/>
    <w:rsid w:val="008D306B"/>
    <w:rsid w:val="008D3168"/>
    <w:rsid w:val="008D32E3"/>
    <w:rsid w:val="008D3CE1"/>
    <w:rsid w:val="008D3E21"/>
    <w:rsid w:val="008D412A"/>
    <w:rsid w:val="008D4204"/>
    <w:rsid w:val="008D4426"/>
    <w:rsid w:val="008D475B"/>
    <w:rsid w:val="008D47B3"/>
    <w:rsid w:val="008D573A"/>
    <w:rsid w:val="008D5CC1"/>
    <w:rsid w:val="008D6DD9"/>
    <w:rsid w:val="008D7164"/>
    <w:rsid w:val="008D723D"/>
    <w:rsid w:val="008D78FF"/>
    <w:rsid w:val="008D7BF5"/>
    <w:rsid w:val="008E00BD"/>
    <w:rsid w:val="008E0FD6"/>
    <w:rsid w:val="008E107A"/>
    <w:rsid w:val="008E112E"/>
    <w:rsid w:val="008E1594"/>
    <w:rsid w:val="008E1862"/>
    <w:rsid w:val="008E19DE"/>
    <w:rsid w:val="008E1B71"/>
    <w:rsid w:val="008E2AD7"/>
    <w:rsid w:val="008E2B10"/>
    <w:rsid w:val="008E2E09"/>
    <w:rsid w:val="008E320A"/>
    <w:rsid w:val="008E3601"/>
    <w:rsid w:val="008E3722"/>
    <w:rsid w:val="008E3AA2"/>
    <w:rsid w:val="008E3E91"/>
    <w:rsid w:val="008E4399"/>
    <w:rsid w:val="008E4E1B"/>
    <w:rsid w:val="008E5081"/>
    <w:rsid w:val="008E561E"/>
    <w:rsid w:val="008E5656"/>
    <w:rsid w:val="008E5A7D"/>
    <w:rsid w:val="008E5AB1"/>
    <w:rsid w:val="008E5B74"/>
    <w:rsid w:val="008E642C"/>
    <w:rsid w:val="008E671F"/>
    <w:rsid w:val="008E7763"/>
    <w:rsid w:val="008E7779"/>
    <w:rsid w:val="008E7BA7"/>
    <w:rsid w:val="008E7C15"/>
    <w:rsid w:val="008F01C9"/>
    <w:rsid w:val="008F01FB"/>
    <w:rsid w:val="008F07FC"/>
    <w:rsid w:val="008F09F1"/>
    <w:rsid w:val="008F0AB4"/>
    <w:rsid w:val="008F0B9C"/>
    <w:rsid w:val="008F0EF9"/>
    <w:rsid w:val="008F102A"/>
    <w:rsid w:val="008F1804"/>
    <w:rsid w:val="008F18FD"/>
    <w:rsid w:val="008F21C2"/>
    <w:rsid w:val="008F2AC8"/>
    <w:rsid w:val="008F3260"/>
    <w:rsid w:val="008F340E"/>
    <w:rsid w:val="008F3519"/>
    <w:rsid w:val="008F36C0"/>
    <w:rsid w:val="008F3797"/>
    <w:rsid w:val="008F4273"/>
    <w:rsid w:val="008F4A7E"/>
    <w:rsid w:val="008F4B02"/>
    <w:rsid w:val="008F4B86"/>
    <w:rsid w:val="008F5299"/>
    <w:rsid w:val="008F57B6"/>
    <w:rsid w:val="008F5C5A"/>
    <w:rsid w:val="008F5D93"/>
    <w:rsid w:val="008F5E12"/>
    <w:rsid w:val="008F5E79"/>
    <w:rsid w:val="008F5EDC"/>
    <w:rsid w:val="008F607B"/>
    <w:rsid w:val="008F6081"/>
    <w:rsid w:val="008F703E"/>
    <w:rsid w:val="00900174"/>
    <w:rsid w:val="00900387"/>
    <w:rsid w:val="009003BE"/>
    <w:rsid w:val="0090062C"/>
    <w:rsid w:val="00900948"/>
    <w:rsid w:val="009010FB"/>
    <w:rsid w:val="009015E1"/>
    <w:rsid w:val="00901C26"/>
    <w:rsid w:val="0090239D"/>
    <w:rsid w:val="009023B3"/>
    <w:rsid w:val="00902EA4"/>
    <w:rsid w:val="009038F3"/>
    <w:rsid w:val="00903AD7"/>
    <w:rsid w:val="00903F33"/>
    <w:rsid w:val="00903F6A"/>
    <w:rsid w:val="009041A3"/>
    <w:rsid w:val="00904276"/>
    <w:rsid w:val="009044AA"/>
    <w:rsid w:val="00904E8B"/>
    <w:rsid w:val="009051DA"/>
    <w:rsid w:val="00905278"/>
    <w:rsid w:val="00905532"/>
    <w:rsid w:val="00905766"/>
    <w:rsid w:val="00905A66"/>
    <w:rsid w:val="00905B31"/>
    <w:rsid w:val="00905DEA"/>
    <w:rsid w:val="00906103"/>
    <w:rsid w:val="0090682F"/>
    <w:rsid w:val="009069A7"/>
    <w:rsid w:val="009069BF"/>
    <w:rsid w:val="00906C2F"/>
    <w:rsid w:val="0090734D"/>
    <w:rsid w:val="00907899"/>
    <w:rsid w:val="0091053C"/>
    <w:rsid w:val="00910C6D"/>
    <w:rsid w:val="00910D69"/>
    <w:rsid w:val="00911194"/>
    <w:rsid w:val="0091164E"/>
    <w:rsid w:val="00911924"/>
    <w:rsid w:val="00911D4C"/>
    <w:rsid w:val="0091206B"/>
    <w:rsid w:val="0091238F"/>
    <w:rsid w:val="009124A4"/>
    <w:rsid w:val="009124ED"/>
    <w:rsid w:val="00912867"/>
    <w:rsid w:val="00912A67"/>
    <w:rsid w:val="00912B8D"/>
    <w:rsid w:val="00912D67"/>
    <w:rsid w:val="00912E3E"/>
    <w:rsid w:val="00912E67"/>
    <w:rsid w:val="0091392B"/>
    <w:rsid w:val="00914156"/>
    <w:rsid w:val="00914779"/>
    <w:rsid w:val="009147F0"/>
    <w:rsid w:val="00914BD7"/>
    <w:rsid w:val="00914CF8"/>
    <w:rsid w:val="00914DA7"/>
    <w:rsid w:val="00915D60"/>
    <w:rsid w:val="00915E2C"/>
    <w:rsid w:val="00915F63"/>
    <w:rsid w:val="00916126"/>
    <w:rsid w:val="00916634"/>
    <w:rsid w:val="00916AFA"/>
    <w:rsid w:val="00916B00"/>
    <w:rsid w:val="00916EDA"/>
    <w:rsid w:val="00916F62"/>
    <w:rsid w:val="009170B8"/>
    <w:rsid w:val="0091738F"/>
    <w:rsid w:val="00917540"/>
    <w:rsid w:val="009177E9"/>
    <w:rsid w:val="009178F7"/>
    <w:rsid w:val="00917904"/>
    <w:rsid w:val="00917AA8"/>
    <w:rsid w:val="00917F2E"/>
    <w:rsid w:val="0092124B"/>
    <w:rsid w:val="00921475"/>
    <w:rsid w:val="00921F47"/>
    <w:rsid w:val="009221AD"/>
    <w:rsid w:val="00922A50"/>
    <w:rsid w:val="00922A8B"/>
    <w:rsid w:val="00922B6B"/>
    <w:rsid w:val="00922C6C"/>
    <w:rsid w:val="00923366"/>
    <w:rsid w:val="00923941"/>
    <w:rsid w:val="00923C92"/>
    <w:rsid w:val="00923E5F"/>
    <w:rsid w:val="00923FE0"/>
    <w:rsid w:val="009240B7"/>
    <w:rsid w:val="00924262"/>
    <w:rsid w:val="00924362"/>
    <w:rsid w:val="009245DB"/>
    <w:rsid w:val="00924774"/>
    <w:rsid w:val="00924988"/>
    <w:rsid w:val="00924EB6"/>
    <w:rsid w:val="00925559"/>
    <w:rsid w:val="00925663"/>
    <w:rsid w:val="0092600B"/>
    <w:rsid w:val="0092600F"/>
    <w:rsid w:val="00926072"/>
    <w:rsid w:val="0092642B"/>
    <w:rsid w:val="009265C7"/>
    <w:rsid w:val="009268C2"/>
    <w:rsid w:val="00926DD5"/>
    <w:rsid w:val="00926DD7"/>
    <w:rsid w:val="00926F12"/>
    <w:rsid w:val="00927C10"/>
    <w:rsid w:val="00927F5A"/>
    <w:rsid w:val="009308E1"/>
    <w:rsid w:val="00930947"/>
    <w:rsid w:val="00930B71"/>
    <w:rsid w:val="00930C9C"/>
    <w:rsid w:val="00930D09"/>
    <w:rsid w:val="009311C2"/>
    <w:rsid w:val="009314B6"/>
    <w:rsid w:val="00931BE7"/>
    <w:rsid w:val="00932332"/>
    <w:rsid w:val="009328C9"/>
    <w:rsid w:val="00932D70"/>
    <w:rsid w:val="009331CF"/>
    <w:rsid w:val="009331D0"/>
    <w:rsid w:val="009334AC"/>
    <w:rsid w:val="00934060"/>
    <w:rsid w:val="009340A5"/>
    <w:rsid w:val="00934564"/>
    <w:rsid w:val="00934A69"/>
    <w:rsid w:val="00935130"/>
    <w:rsid w:val="00935704"/>
    <w:rsid w:val="00935828"/>
    <w:rsid w:val="0093582B"/>
    <w:rsid w:val="00935E03"/>
    <w:rsid w:val="009364E3"/>
    <w:rsid w:val="009365EE"/>
    <w:rsid w:val="009376AE"/>
    <w:rsid w:val="00937A58"/>
    <w:rsid w:val="00937E04"/>
    <w:rsid w:val="00937E53"/>
    <w:rsid w:val="0094061F"/>
    <w:rsid w:val="00940847"/>
    <w:rsid w:val="009408EF"/>
    <w:rsid w:val="00940C69"/>
    <w:rsid w:val="00941293"/>
    <w:rsid w:val="0094134D"/>
    <w:rsid w:val="0094146D"/>
    <w:rsid w:val="009414B5"/>
    <w:rsid w:val="009416E1"/>
    <w:rsid w:val="009419AF"/>
    <w:rsid w:val="00941A22"/>
    <w:rsid w:val="00941BE2"/>
    <w:rsid w:val="00941ED9"/>
    <w:rsid w:val="00942010"/>
    <w:rsid w:val="009421CF"/>
    <w:rsid w:val="009423B6"/>
    <w:rsid w:val="009424BD"/>
    <w:rsid w:val="0094257A"/>
    <w:rsid w:val="00942700"/>
    <w:rsid w:val="00942922"/>
    <w:rsid w:val="00942DFB"/>
    <w:rsid w:val="00942F53"/>
    <w:rsid w:val="00942F9A"/>
    <w:rsid w:val="0094320A"/>
    <w:rsid w:val="00943911"/>
    <w:rsid w:val="00943B34"/>
    <w:rsid w:val="00943DAA"/>
    <w:rsid w:val="009443F4"/>
    <w:rsid w:val="009447C5"/>
    <w:rsid w:val="00944DD5"/>
    <w:rsid w:val="00944E4A"/>
    <w:rsid w:val="00944F91"/>
    <w:rsid w:val="00945600"/>
    <w:rsid w:val="0094562C"/>
    <w:rsid w:val="009457FF"/>
    <w:rsid w:val="00945A89"/>
    <w:rsid w:val="009467C0"/>
    <w:rsid w:val="009474DD"/>
    <w:rsid w:val="00947582"/>
    <w:rsid w:val="00947A0E"/>
    <w:rsid w:val="00947BE1"/>
    <w:rsid w:val="0095085F"/>
    <w:rsid w:val="00950B44"/>
    <w:rsid w:val="00950C62"/>
    <w:rsid w:val="0095170D"/>
    <w:rsid w:val="009518BD"/>
    <w:rsid w:val="00951AF4"/>
    <w:rsid w:val="00951BF6"/>
    <w:rsid w:val="00952079"/>
    <w:rsid w:val="00952294"/>
    <w:rsid w:val="009522B5"/>
    <w:rsid w:val="00952632"/>
    <w:rsid w:val="00952959"/>
    <w:rsid w:val="009529ED"/>
    <w:rsid w:val="0095307F"/>
    <w:rsid w:val="00953632"/>
    <w:rsid w:val="00953A32"/>
    <w:rsid w:val="00953B61"/>
    <w:rsid w:val="00954308"/>
    <w:rsid w:val="00954616"/>
    <w:rsid w:val="009548FF"/>
    <w:rsid w:val="00954B3B"/>
    <w:rsid w:val="00955526"/>
    <w:rsid w:val="009557D5"/>
    <w:rsid w:val="00955FFB"/>
    <w:rsid w:val="00956BD8"/>
    <w:rsid w:val="009572E9"/>
    <w:rsid w:val="00957B43"/>
    <w:rsid w:val="00957B98"/>
    <w:rsid w:val="00957D86"/>
    <w:rsid w:val="00957FD5"/>
    <w:rsid w:val="009608CA"/>
    <w:rsid w:val="00960CD5"/>
    <w:rsid w:val="0096134F"/>
    <w:rsid w:val="00961475"/>
    <w:rsid w:val="009618DE"/>
    <w:rsid w:val="0096213A"/>
    <w:rsid w:val="009624F6"/>
    <w:rsid w:val="00962538"/>
    <w:rsid w:val="00962790"/>
    <w:rsid w:val="009629D7"/>
    <w:rsid w:val="00963057"/>
    <w:rsid w:val="009630A1"/>
    <w:rsid w:val="00963511"/>
    <w:rsid w:val="009636EC"/>
    <w:rsid w:val="00963701"/>
    <w:rsid w:val="00963791"/>
    <w:rsid w:val="00963F8A"/>
    <w:rsid w:val="0096405D"/>
    <w:rsid w:val="00965269"/>
    <w:rsid w:val="009655CE"/>
    <w:rsid w:val="00965CD5"/>
    <w:rsid w:val="0096609B"/>
    <w:rsid w:val="00966219"/>
    <w:rsid w:val="0096631D"/>
    <w:rsid w:val="00966389"/>
    <w:rsid w:val="009667AB"/>
    <w:rsid w:val="00966C09"/>
    <w:rsid w:val="00967116"/>
    <w:rsid w:val="00967CE3"/>
    <w:rsid w:val="0097007A"/>
    <w:rsid w:val="009700A1"/>
    <w:rsid w:val="00970BCC"/>
    <w:rsid w:val="00970C65"/>
    <w:rsid w:val="00970D2E"/>
    <w:rsid w:val="00971451"/>
    <w:rsid w:val="0097187B"/>
    <w:rsid w:val="00971F4E"/>
    <w:rsid w:val="0097219F"/>
    <w:rsid w:val="0097232F"/>
    <w:rsid w:val="009732E6"/>
    <w:rsid w:val="00973E9B"/>
    <w:rsid w:val="00973FDA"/>
    <w:rsid w:val="00974095"/>
    <w:rsid w:val="00974104"/>
    <w:rsid w:val="00974DD3"/>
    <w:rsid w:val="00974E5F"/>
    <w:rsid w:val="0097529C"/>
    <w:rsid w:val="00975A73"/>
    <w:rsid w:val="00975CD7"/>
    <w:rsid w:val="009766DB"/>
    <w:rsid w:val="0097670E"/>
    <w:rsid w:val="00976C7F"/>
    <w:rsid w:val="00977440"/>
    <w:rsid w:val="00977E1A"/>
    <w:rsid w:val="00980F87"/>
    <w:rsid w:val="009810BB"/>
    <w:rsid w:val="00981427"/>
    <w:rsid w:val="00981467"/>
    <w:rsid w:val="0098146C"/>
    <w:rsid w:val="009818EC"/>
    <w:rsid w:val="00981B61"/>
    <w:rsid w:val="00981F72"/>
    <w:rsid w:val="0098206B"/>
    <w:rsid w:val="00982542"/>
    <w:rsid w:val="0098271A"/>
    <w:rsid w:val="009829C2"/>
    <w:rsid w:val="00983016"/>
    <w:rsid w:val="00983478"/>
    <w:rsid w:val="00983668"/>
    <w:rsid w:val="00983EDD"/>
    <w:rsid w:val="00983F06"/>
    <w:rsid w:val="00984387"/>
    <w:rsid w:val="00984441"/>
    <w:rsid w:val="009844CF"/>
    <w:rsid w:val="00984527"/>
    <w:rsid w:val="00984916"/>
    <w:rsid w:val="00984DD8"/>
    <w:rsid w:val="00984E5F"/>
    <w:rsid w:val="009850A1"/>
    <w:rsid w:val="009851C1"/>
    <w:rsid w:val="009855DC"/>
    <w:rsid w:val="00985C81"/>
    <w:rsid w:val="0098630F"/>
    <w:rsid w:val="009863CE"/>
    <w:rsid w:val="0098697A"/>
    <w:rsid w:val="00986C3E"/>
    <w:rsid w:val="00987AD5"/>
    <w:rsid w:val="00990787"/>
    <w:rsid w:val="0099085F"/>
    <w:rsid w:val="00990BAE"/>
    <w:rsid w:val="00990EDF"/>
    <w:rsid w:val="00991604"/>
    <w:rsid w:val="00991915"/>
    <w:rsid w:val="00991B92"/>
    <w:rsid w:val="00991BCD"/>
    <w:rsid w:val="00991D86"/>
    <w:rsid w:val="0099247B"/>
    <w:rsid w:val="009925DB"/>
    <w:rsid w:val="009925DF"/>
    <w:rsid w:val="00992B9E"/>
    <w:rsid w:val="0099300F"/>
    <w:rsid w:val="00993114"/>
    <w:rsid w:val="00993AF0"/>
    <w:rsid w:val="00993B18"/>
    <w:rsid w:val="00993B36"/>
    <w:rsid w:val="00993B4F"/>
    <w:rsid w:val="00993B72"/>
    <w:rsid w:val="00993B88"/>
    <w:rsid w:val="00993C7A"/>
    <w:rsid w:val="00993CC9"/>
    <w:rsid w:val="00993EA9"/>
    <w:rsid w:val="009940A4"/>
    <w:rsid w:val="009940FF"/>
    <w:rsid w:val="00994224"/>
    <w:rsid w:val="00994B53"/>
    <w:rsid w:val="00994FB0"/>
    <w:rsid w:val="00995127"/>
    <w:rsid w:val="009951ED"/>
    <w:rsid w:val="00995AD7"/>
    <w:rsid w:val="00995C98"/>
    <w:rsid w:val="00995CA9"/>
    <w:rsid w:val="0099652E"/>
    <w:rsid w:val="00996679"/>
    <w:rsid w:val="009968D1"/>
    <w:rsid w:val="00996BBE"/>
    <w:rsid w:val="00996D5F"/>
    <w:rsid w:val="00997AC5"/>
    <w:rsid w:val="009A006D"/>
    <w:rsid w:val="009A02A0"/>
    <w:rsid w:val="009A072C"/>
    <w:rsid w:val="009A0884"/>
    <w:rsid w:val="009A09BD"/>
    <w:rsid w:val="009A0B78"/>
    <w:rsid w:val="009A0C91"/>
    <w:rsid w:val="009A0D27"/>
    <w:rsid w:val="009A1166"/>
    <w:rsid w:val="009A147C"/>
    <w:rsid w:val="009A1605"/>
    <w:rsid w:val="009A1740"/>
    <w:rsid w:val="009A2003"/>
    <w:rsid w:val="009A20F8"/>
    <w:rsid w:val="009A2132"/>
    <w:rsid w:val="009A2266"/>
    <w:rsid w:val="009A23F4"/>
    <w:rsid w:val="009A2406"/>
    <w:rsid w:val="009A2548"/>
    <w:rsid w:val="009A261A"/>
    <w:rsid w:val="009A27A9"/>
    <w:rsid w:val="009A2902"/>
    <w:rsid w:val="009A3550"/>
    <w:rsid w:val="009A3A07"/>
    <w:rsid w:val="009A3ACA"/>
    <w:rsid w:val="009A3C92"/>
    <w:rsid w:val="009A3E7C"/>
    <w:rsid w:val="009A4305"/>
    <w:rsid w:val="009A436C"/>
    <w:rsid w:val="009A479B"/>
    <w:rsid w:val="009A4976"/>
    <w:rsid w:val="009A4C56"/>
    <w:rsid w:val="009A4EAE"/>
    <w:rsid w:val="009A54C0"/>
    <w:rsid w:val="009A580E"/>
    <w:rsid w:val="009A5979"/>
    <w:rsid w:val="009A5CE7"/>
    <w:rsid w:val="009A6717"/>
    <w:rsid w:val="009A6A4D"/>
    <w:rsid w:val="009A6E8E"/>
    <w:rsid w:val="009A6F74"/>
    <w:rsid w:val="009A76CC"/>
    <w:rsid w:val="009B04A9"/>
    <w:rsid w:val="009B0768"/>
    <w:rsid w:val="009B1170"/>
    <w:rsid w:val="009B1751"/>
    <w:rsid w:val="009B2138"/>
    <w:rsid w:val="009B23D0"/>
    <w:rsid w:val="009B25F6"/>
    <w:rsid w:val="009B2B6B"/>
    <w:rsid w:val="009B2C39"/>
    <w:rsid w:val="009B32F1"/>
    <w:rsid w:val="009B3567"/>
    <w:rsid w:val="009B361C"/>
    <w:rsid w:val="009B3FF1"/>
    <w:rsid w:val="009B40C0"/>
    <w:rsid w:val="009B46A2"/>
    <w:rsid w:val="009B5591"/>
    <w:rsid w:val="009B56C8"/>
    <w:rsid w:val="009B56F6"/>
    <w:rsid w:val="009B5AC4"/>
    <w:rsid w:val="009B5E7F"/>
    <w:rsid w:val="009B65DA"/>
    <w:rsid w:val="009B714D"/>
    <w:rsid w:val="009B7525"/>
    <w:rsid w:val="009B7AE5"/>
    <w:rsid w:val="009B7DC8"/>
    <w:rsid w:val="009B7E6A"/>
    <w:rsid w:val="009C0202"/>
    <w:rsid w:val="009C0CC4"/>
    <w:rsid w:val="009C0F03"/>
    <w:rsid w:val="009C1203"/>
    <w:rsid w:val="009C293A"/>
    <w:rsid w:val="009C3553"/>
    <w:rsid w:val="009C3837"/>
    <w:rsid w:val="009C3866"/>
    <w:rsid w:val="009C3CF7"/>
    <w:rsid w:val="009C3E5E"/>
    <w:rsid w:val="009C43C0"/>
    <w:rsid w:val="009C44F3"/>
    <w:rsid w:val="009C4D08"/>
    <w:rsid w:val="009C4E04"/>
    <w:rsid w:val="009C4F22"/>
    <w:rsid w:val="009C5068"/>
    <w:rsid w:val="009C5241"/>
    <w:rsid w:val="009C54F5"/>
    <w:rsid w:val="009C56BF"/>
    <w:rsid w:val="009C5A94"/>
    <w:rsid w:val="009C68D5"/>
    <w:rsid w:val="009C6BFD"/>
    <w:rsid w:val="009C6C4F"/>
    <w:rsid w:val="009C6C64"/>
    <w:rsid w:val="009C7710"/>
    <w:rsid w:val="009C7D6A"/>
    <w:rsid w:val="009D03E9"/>
    <w:rsid w:val="009D0493"/>
    <w:rsid w:val="009D05E6"/>
    <w:rsid w:val="009D06E2"/>
    <w:rsid w:val="009D0A54"/>
    <w:rsid w:val="009D0BD1"/>
    <w:rsid w:val="009D12DC"/>
    <w:rsid w:val="009D166F"/>
    <w:rsid w:val="009D178B"/>
    <w:rsid w:val="009D1B9E"/>
    <w:rsid w:val="009D1D2E"/>
    <w:rsid w:val="009D23D6"/>
    <w:rsid w:val="009D2770"/>
    <w:rsid w:val="009D2798"/>
    <w:rsid w:val="009D2D82"/>
    <w:rsid w:val="009D2ED8"/>
    <w:rsid w:val="009D320D"/>
    <w:rsid w:val="009D3237"/>
    <w:rsid w:val="009D3310"/>
    <w:rsid w:val="009D341C"/>
    <w:rsid w:val="009D360C"/>
    <w:rsid w:val="009D3628"/>
    <w:rsid w:val="009D4C14"/>
    <w:rsid w:val="009D4C2A"/>
    <w:rsid w:val="009D4D1C"/>
    <w:rsid w:val="009D5632"/>
    <w:rsid w:val="009D5F2D"/>
    <w:rsid w:val="009D6914"/>
    <w:rsid w:val="009D6B12"/>
    <w:rsid w:val="009D6C36"/>
    <w:rsid w:val="009D6F7F"/>
    <w:rsid w:val="009D7326"/>
    <w:rsid w:val="009D75F9"/>
    <w:rsid w:val="009D775E"/>
    <w:rsid w:val="009D796F"/>
    <w:rsid w:val="009D7D9A"/>
    <w:rsid w:val="009D7DB1"/>
    <w:rsid w:val="009E0B07"/>
    <w:rsid w:val="009E0EFF"/>
    <w:rsid w:val="009E17AF"/>
    <w:rsid w:val="009E17D9"/>
    <w:rsid w:val="009E1A3C"/>
    <w:rsid w:val="009E1C22"/>
    <w:rsid w:val="009E1D52"/>
    <w:rsid w:val="009E1ECA"/>
    <w:rsid w:val="009E2239"/>
    <w:rsid w:val="009E236C"/>
    <w:rsid w:val="009E2481"/>
    <w:rsid w:val="009E2636"/>
    <w:rsid w:val="009E3403"/>
    <w:rsid w:val="009E34F6"/>
    <w:rsid w:val="009E37E4"/>
    <w:rsid w:val="009E3C7E"/>
    <w:rsid w:val="009E3D44"/>
    <w:rsid w:val="009E3EC3"/>
    <w:rsid w:val="009E40D7"/>
    <w:rsid w:val="009E43E8"/>
    <w:rsid w:val="009E454F"/>
    <w:rsid w:val="009E46CD"/>
    <w:rsid w:val="009E47F2"/>
    <w:rsid w:val="009E4C70"/>
    <w:rsid w:val="009E4D21"/>
    <w:rsid w:val="009E4DB0"/>
    <w:rsid w:val="009E5132"/>
    <w:rsid w:val="009E51F6"/>
    <w:rsid w:val="009E52D4"/>
    <w:rsid w:val="009E5AEE"/>
    <w:rsid w:val="009E63D5"/>
    <w:rsid w:val="009E65AD"/>
    <w:rsid w:val="009E6E04"/>
    <w:rsid w:val="009E7059"/>
    <w:rsid w:val="009E7696"/>
    <w:rsid w:val="009E7A04"/>
    <w:rsid w:val="009E7DEE"/>
    <w:rsid w:val="009E7F5B"/>
    <w:rsid w:val="009F0381"/>
    <w:rsid w:val="009F0C7D"/>
    <w:rsid w:val="009F0CAA"/>
    <w:rsid w:val="009F193A"/>
    <w:rsid w:val="009F1CFD"/>
    <w:rsid w:val="009F2041"/>
    <w:rsid w:val="009F2509"/>
    <w:rsid w:val="009F2A6E"/>
    <w:rsid w:val="009F2B71"/>
    <w:rsid w:val="009F300D"/>
    <w:rsid w:val="009F3631"/>
    <w:rsid w:val="009F363C"/>
    <w:rsid w:val="009F3790"/>
    <w:rsid w:val="009F441E"/>
    <w:rsid w:val="009F476C"/>
    <w:rsid w:val="009F4E74"/>
    <w:rsid w:val="009F514C"/>
    <w:rsid w:val="009F54B1"/>
    <w:rsid w:val="009F586C"/>
    <w:rsid w:val="009F5B31"/>
    <w:rsid w:val="009F5C8B"/>
    <w:rsid w:val="009F5D30"/>
    <w:rsid w:val="009F6182"/>
    <w:rsid w:val="009F619B"/>
    <w:rsid w:val="009F623E"/>
    <w:rsid w:val="009F62B0"/>
    <w:rsid w:val="009F62B1"/>
    <w:rsid w:val="009F6724"/>
    <w:rsid w:val="009F685A"/>
    <w:rsid w:val="009F6B2D"/>
    <w:rsid w:val="009F6B35"/>
    <w:rsid w:val="009F6D44"/>
    <w:rsid w:val="009F6DB2"/>
    <w:rsid w:val="009F75A5"/>
    <w:rsid w:val="009F7814"/>
    <w:rsid w:val="009F7A90"/>
    <w:rsid w:val="009F7CEB"/>
    <w:rsid w:val="009F7E6E"/>
    <w:rsid w:val="009F7E95"/>
    <w:rsid w:val="00A00313"/>
    <w:rsid w:val="00A0043D"/>
    <w:rsid w:val="00A005C5"/>
    <w:rsid w:val="00A005F3"/>
    <w:rsid w:val="00A00D48"/>
    <w:rsid w:val="00A01543"/>
    <w:rsid w:val="00A01A65"/>
    <w:rsid w:val="00A02171"/>
    <w:rsid w:val="00A0262C"/>
    <w:rsid w:val="00A027F2"/>
    <w:rsid w:val="00A02878"/>
    <w:rsid w:val="00A03256"/>
    <w:rsid w:val="00A03258"/>
    <w:rsid w:val="00A0371B"/>
    <w:rsid w:val="00A040FD"/>
    <w:rsid w:val="00A0426A"/>
    <w:rsid w:val="00A04290"/>
    <w:rsid w:val="00A04B6A"/>
    <w:rsid w:val="00A04C0D"/>
    <w:rsid w:val="00A04C26"/>
    <w:rsid w:val="00A05676"/>
    <w:rsid w:val="00A0583C"/>
    <w:rsid w:val="00A06263"/>
    <w:rsid w:val="00A066BD"/>
    <w:rsid w:val="00A0679B"/>
    <w:rsid w:val="00A07109"/>
    <w:rsid w:val="00A0719E"/>
    <w:rsid w:val="00A071DE"/>
    <w:rsid w:val="00A07327"/>
    <w:rsid w:val="00A073FB"/>
    <w:rsid w:val="00A1015A"/>
    <w:rsid w:val="00A103D7"/>
    <w:rsid w:val="00A10422"/>
    <w:rsid w:val="00A10FBF"/>
    <w:rsid w:val="00A11368"/>
    <w:rsid w:val="00A118B0"/>
    <w:rsid w:val="00A12A44"/>
    <w:rsid w:val="00A13423"/>
    <w:rsid w:val="00A13447"/>
    <w:rsid w:val="00A14859"/>
    <w:rsid w:val="00A14A9C"/>
    <w:rsid w:val="00A14ED7"/>
    <w:rsid w:val="00A16638"/>
    <w:rsid w:val="00A16752"/>
    <w:rsid w:val="00A17490"/>
    <w:rsid w:val="00A17543"/>
    <w:rsid w:val="00A17960"/>
    <w:rsid w:val="00A179C8"/>
    <w:rsid w:val="00A17EB5"/>
    <w:rsid w:val="00A20B1A"/>
    <w:rsid w:val="00A216F9"/>
    <w:rsid w:val="00A2185E"/>
    <w:rsid w:val="00A21A6E"/>
    <w:rsid w:val="00A21BE6"/>
    <w:rsid w:val="00A224AC"/>
    <w:rsid w:val="00A22A39"/>
    <w:rsid w:val="00A22B17"/>
    <w:rsid w:val="00A22E70"/>
    <w:rsid w:val="00A2315A"/>
    <w:rsid w:val="00A23410"/>
    <w:rsid w:val="00A23F64"/>
    <w:rsid w:val="00A24224"/>
    <w:rsid w:val="00A2513E"/>
    <w:rsid w:val="00A25208"/>
    <w:rsid w:val="00A25D07"/>
    <w:rsid w:val="00A26049"/>
    <w:rsid w:val="00A2672F"/>
    <w:rsid w:val="00A26E4A"/>
    <w:rsid w:val="00A2722B"/>
    <w:rsid w:val="00A27A23"/>
    <w:rsid w:val="00A27A5F"/>
    <w:rsid w:val="00A27C22"/>
    <w:rsid w:val="00A305B5"/>
    <w:rsid w:val="00A3062B"/>
    <w:rsid w:val="00A3086E"/>
    <w:rsid w:val="00A311BB"/>
    <w:rsid w:val="00A3143C"/>
    <w:rsid w:val="00A32BCC"/>
    <w:rsid w:val="00A3338F"/>
    <w:rsid w:val="00A34031"/>
    <w:rsid w:val="00A34222"/>
    <w:rsid w:val="00A343EE"/>
    <w:rsid w:val="00A34436"/>
    <w:rsid w:val="00A3464C"/>
    <w:rsid w:val="00A34670"/>
    <w:rsid w:val="00A34B18"/>
    <w:rsid w:val="00A34C98"/>
    <w:rsid w:val="00A35527"/>
    <w:rsid w:val="00A3658D"/>
    <w:rsid w:val="00A36703"/>
    <w:rsid w:val="00A370F3"/>
    <w:rsid w:val="00A371D8"/>
    <w:rsid w:val="00A376BA"/>
    <w:rsid w:val="00A40440"/>
    <w:rsid w:val="00A40599"/>
    <w:rsid w:val="00A40ABB"/>
    <w:rsid w:val="00A40CB9"/>
    <w:rsid w:val="00A40EED"/>
    <w:rsid w:val="00A41083"/>
    <w:rsid w:val="00A41951"/>
    <w:rsid w:val="00A41E5D"/>
    <w:rsid w:val="00A42031"/>
    <w:rsid w:val="00A42145"/>
    <w:rsid w:val="00A425A8"/>
    <w:rsid w:val="00A42DB9"/>
    <w:rsid w:val="00A42E5E"/>
    <w:rsid w:val="00A435F2"/>
    <w:rsid w:val="00A4361A"/>
    <w:rsid w:val="00A43ED9"/>
    <w:rsid w:val="00A45200"/>
    <w:rsid w:val="00A45378"/>
    <w:rsid w:val="00A4541E"/>
    <w:rsid w:val="00A45A0A"/>
    <w:rsid w:val="00A464B6"/>
    <w:rsid w:val="00A4663F"/>
    <w:rsid w:val="00A46A74"/>
    <w:rsid w:val="00A46B4C"/>
    <w:rsid w:val="00A46B50"/>
    <w:rsid w:val="00A47365"/>
    <w:rsid w:val="00A5043A"/>
    <w:rsid w:val="00A50A89"/>
    <w:rsid w:val="00A50B1D"/>
    <w:rsid w:val="00A514BE"/>
    <w:rsid w:val="00A51560"/>
    <w:rsid w:val="00A522B8"/>
    <w:rsid w:val="00A52D84"/>
    <w:rsid w:val="00A535FB"/>
    <w:rsid w:val="00A53686"/>
    <w:rsid w:val="00A5372B"/>
    <w:rsid w:val="00A53F36"/>
    <w:rsid w:val="00A53FA8"/>
    <w:rsid w:val="00A53FD7"/>
    <w:rsid w:val="00A541F8"/>
    <w:rsid w:val="00A5453C"/>
    <w:rsid w:val="00A548C8"/>
    <w:rsid w:val="00A54B2D"/>
    <w:rsid w:val="00A54C48"/>
    <w:rsid w:val="00A54C50"/>
    <w:rsid w:val="00A54DB9"/>
    <w:rsid w:val="00A54DD5"/>
    <w:rsid w:val="00A54FC4"/>
    <w:rsid w:val="00A550AE"/>
    <w:rsid w:val="00A5537F"/>
    <w:rsid w:val="00A55999"/>
    <w:rsid w:val="00A559FB"/>
    <w:rsid w:val="00A55A8A"/>
    <w:rsid w:val="00A55F59"/>
    <w:rsid w:val="00A56A13"/>
    <w:rsid w:val="00A56AAB"/>
    <w:rsid w:val="00A56D33"/>
    <w:rsid w:val="00A56F3E"/>
    <w:rsid w:val="00A57EBE"/>
    <w:rsid w:val="00A60929"/>
    <w:rsid w:val="00A61328"/>
    <w:rsid w:val="00A6138B"/>
    <w:rsid w:val="00A61B06"/>
    <w:rsid w:val="00A625E9"/>
    <w:rsid w:val="00A62942"/>
    <w:rsid w:val="00A62978"/>
    <w:rsid w:val="00A62E60"/>
    <w:rsid w:val="00A63591"/>
    <w:rsid w:val="00A63630"/>
    <w:rsid w:val="00A6374D"/>
    <w:rsid w:val="00A64348"/>
    <w:rsid w:val="00A64CBB"/>
    <w:rsid w:val="00A65070"/>
    <w:rsid w:val="00A6517D"/>
    <w:rsid w:val="00A65211"/>
    <w:rsid w:val="00A65323"/>
    <w:rsid w:val="00A658C3"/>
    <w:rsid w:val="00A65C1F"/>
    <w:rsid w:val="00A65ECE"/>
    <w:rsid w:val="00A66588"/>
    <w:rsid w:val="00A66FF6"/>
    <w:rsid w:val="00A6707F"/>
    <w:rsid w:val="00A67A08"/>
    <w:rsid w:val="00A67A68"/>
    <w:rsid w:val="00A7006B"/>
    <w:rsid w:val="00A7011B"/>
    <w:rsid w:val="00A707D6"/>
    <w:rsid w:val="00A708B9"/>
    <w:rsid w:val="00A70998"/>
    <w:rsid w:val="00A70D35"/>
    <w:rsid w:val="00A71110"/>
    <w:rsid w:val="00A71207"/>
    <w:rsid w:val="00A712C7"/>
    <w:rsid w:val="00A72654"/>
    <w:rsid w:val="00A72B7D"/>
    <w:rsid w:val="00A73A9C"/>
    <w:rsid w:val="00A73F3F"/>
    <w:rsid w:val="00A73FC6"/>
    <w:rsid w:val="00A74E0E"/>
    <w:rsid w:val="00A75112"/>
    <w:rsid w:val="00A752F5"/>
    <w:rsid w:val="00A752FD"/>
    <w:rsid w:val="00A75851"/>
    <w:rsid w:val="00A75B6A"/>
    <w:rsid w:val="00A75DA1"/>
    <w:rsid w:val="00A75DD6"/>
    <w:rsid w:val="00A762AD"/>
    <w:rsid w:val="00A76927"/>
    <w:rsid w:val="00A76EA4"/>
    <w:rsid w:val="00A779F6"/>
    <w:rsid w:val="00A77BDE"/>
    <w:rsid w:val="00A77CBB"/>
    <w:rsid w:val="00A77E41"/>
    <w:rsid w:val="00A77F64"/>
    <w:rsid w:val="00A808C1"/>
    <w:rsid w:val="00A80951"/>
    <w:rsid w:val="00A80B4C"/>
    <w:rsid w:val="00A8101F"/>
    <w:rsid w:val="00A8140B"/>
    <w:rsid w:val="00A81E5A"/>
    <w:rsid w:val="00A81F82"/>
    <w:rsid w:val="00A82437"/>
    <w:rsid w:val="00A841B0"/>
    <w:rsid w:val="00A843C4"/>
    <w:rsid w:val="00A84D4E"/>
    <w:rsid w:val="00A84EAA"/>
    <w:rsid w:val="00A85377"/>
    <w:rsid w:val="00A853B5"/>
    <w:rsid w:val="00A85790"/>
    <w:rsid w:val="00A85A2B"/>
    <w:rsid w:val="00A85C18"/>
    <w:rsid w:val="00A85C2C"/>
    <w:rsid w:val="00A85C3A"/>
    <w:rsid w:val="00A85D38"/>
    <w:rsid w:val="00A85FCE"/>
    <w:rsid w:val="00A86148"/>
    <w:rsid w:val="00A8632E"/>
    <w:rsid w:val="00A867C4"/>
    <w:rsid w:val="00A86C2F"/>
    <w:rsid w:val="00A87916"/>
    <w:rsid w:val="00A9012E"/>
    <w:rsid w:val="00A906AF"/>
    <w:rsid w:val="00A912FA"/>
    <w:rsid w:val="00A91A7F"/>
    <w:rsid w:val="00A91EF2"/>
    <w:rsid w:val="00A91F81"/>
    <w:rsid w:val="00A9222B"/>
    <w:rsid w:val="00A9345C"/>
    <w:rsid w:val="00A93543"/>
    <w:rsid w:val="00A93982"/>
    <w:rsid w:val="00A93F16"/>
    <w:rsid w:val="00A93F6B"/>
    <w:rsid w:val="00A9406E"/>
    <w:rsid w:val="00A942D9"/>
    <w:rsid w:val="00A94A13"/>
    <w:rsid w:val="00A94E97"/>
    <w:rsid w:val="00A94EC9"/>
    <w:rsid w:val="00A94EFC"/>
    <w:rsid w:val="00A95184"/>
    <w:rsid w:val="00A956D0"/>
    <w:rsid w:val="00A95CC8"/>
    <w:rsid w:val="00A9603A"/>
    <w:rsid w:val="00A9639F"/>
    <w:rsid w:val="00A963DD"/>
    <w:rsid w:val="00A9644D"/>
    <w:rsid w:val="00A96D89"/>
    <w:rsid w:val="00A97395"/>
    <w:rsid w:val="00AA0062"/>
    <w:rsid w:val="00AA01B2"/>
    <w:rsid w:val="00AA053C"/>
    <w:rsid w:val="00AA07C1"/>
    <w:rsid w:val="00AA0BAE"/>
    <w:rsid w:val="00AA0EA4"/>
    <w:rsid w:val="00AA1044"/>
    <w:rsid w:val="00AA1681"/>
    <w:rsid w:val="00AA171B"/>
    <w:rsid w:val="00AA1CEE"/>
    <w:rsid w:val="00AA1E9F"/>
    <w:rsid w:val="00AA2000"/>
    <w:rsid w:val="00AA225C"/>
    <w:rsid w:val="00AA2C07"/>
    <w:rsid w:val="00AA2FA1"/>
    <w:rsid w:val="00AA3AB9"/>
    <w:rsid w:val="00AA3B73"/>
    <w:rsid w:val="00AA3F53"/>
    <w:rsid w:val="00AA43ED"/>
    <w:rsid w:val="00AA458F"/>
    <w:rsid w:val="00AA47B7"/>
    <w:rsid w:val="00AA51C1"/>
    <w:rsid w:val="00AA5A5D"/>
    <w:rsid w:val="00AA5B87"/>
    <w:rsid w:val="00AA612F"/>
    <w:rsid w:val="00AA6156"/>
    <w:rsid w:val="00AA6D62"/>
    <w:rsid w:val="00AA6E4E"/>
    <w:rsid w:val="00AA73AC"/>
    <w:rsid w:val="00AA75D9"/>
    <w:rsid w:val="00AA75DD"/>
    <w:rsid w:val="00AA7B77"/>
    <w:rsid w:val="00AA7EEC"/>
    <w:rsid w:val="00AA7FA1"/>
    <w:rsid w:val="00AB0371"/>
    <w:rsid w:val="00AB0583"/>
    <w:rsid w:val="00AB07C1"/>
    <w:rsid w:val="00AB11A8"/>
    <w:rsid w:val="00AB138F"/>
    <w:rsid w:val="00AB1837"/>
    <w:rsid w:val="00AB187A"/>
    <w:rsid w:val="00AB19C0"/>
    <w:rsid w:val="00AB1A19"/>
    <w:rsid w:val="00AB1AA5"/>
    <w:rsid w:val="00AB1BA9"/>
    <w:rsid w:val="00AB1E76"/>
    <w:rsid w:val="00AB1EB6"/>
    <w:rsid w:val="00AB222B"/>
    <w:rsid w:val="00AB2274"/>
    <w:rsid w:val="00AB287D"/>
    <w:rsid w:val="00AB2883"/>
    <w:rsid w:val="00AB2C16"/>
    <w:rsid w:val="00AB2D2E"/>
    <w:rsid w:val="00AB2D8C"/>
    <w:rsid w:val="00AB2E2F"/>
    <w:rsid w:val="00AB2F6D"/>
    <w:rsid w:val="00AB3422"/>
    <w:rsid w:val="00AB3456"/>
    <w:rsid w:val="00AB3721"/>
    <w:rsid w:val="00AB38E3"/>
    <w:rsid w:val="00AB3CE7"/>
    <w:rsid w:val="00AB44B0"/>
    <w:rsid w:val="00AB4746"/>
    <w:rsid w:val="00AB4D02"/>
    <w:rsid w:val="00AB514A"/>
    <w:rsid w:val="00AB51F6"/>
    <w:rsid w:val="00AB534F"/>
    <w:rsid w:val="00AB5374"/>
    <w:rsid w:val="00AB58EC"/>
    <w:rsid w:val="00AB616D"/>
    <w:rsid w:val="00AB6758"/>
    <w:rsid w:val="00AB6EAA"/>
    <w:rsid w:val="00AB6EEF"/>
    <w:rsid w:val="00AB712C"/>
    <w:rsid w:val="00AB7573"/>
    <w:rsid w:val="00AB7646"/>
    <w:rsid w:val="00AC000C"/>
    <w:rsid w:val="00AC0168"/>
    <w:rsid w:val="00AC0929"/>
    <w:rsid w:val="00AC0968"/>
    <w:rsid w:val="00AC0DCD"/>
    <w:rsid w:val="00AC11BD"/>
    <w:rsid w:val="00AC198D"/>
    <w:rsid w:val="00AC19D3"/>
    <w:rsid w:val="00AC1E12"/>
    <w:rsid w:val="00AC1FDF"/>
    <w:rsid w:val="00AC22A6"/>
    <w:rsid w:val="00AC2D2E"/>
    <w:rsid w:val="00AC363D"/>
    <w:rsid w:val="00AC3A8C"/>
    <w:rsid w:val="00AC50E3"/>
    <w:rsid w:val="00AC512D"/>
    <w:rsid w:val="00AC52D9"/>
    <w:rsid w:val="00AC5360"/>
    <w:rsid w:val="00AC58E7"/>
    <w:rsid w:val="00AC59CF"/>
    <w:rsid w:val="00AC5DB0"/>
    <w:rsid w:val="00AC5E6A"/>
    <w:rsid w:val="00AC5F3C"/>
    <w:rsid w:val="00AC6253"/>
    <w:rsid w:val="00AC62C6"/>
    <w:rsid w:val="00AC6E3B"/>
    <w:rsid w:val="00AC6F1E"/>
    <w:rsid w:val="00AC758E"/>
    <w:rsid w:val="00AC75BF"/>
    <w:rsid w:val="00AD01D0"/>
    <w:rsid w:val="00AD043E"/>
    <w:rsid w:val="00AD0776"/>
    <w:rsid w:val="00AD0B0A"/>
    <w:rsid w:val="00AD0BC3"/>
    <w:rsid w:val="00AD0E0E"/>
    <w:rsid w:val="00AD1051"/>
    <w:rsid w:val="00AD1D8D"/>
    <w:rsid w:val="00AD260C"/>
    <w:rsid w:val="00AD2C83"/>
    <w:rsid w:val="00AD35BC"/>
    <w:rsid w:val="00AD3651"/>
    <w:rsid w:val="00AD36D4"/>
    <w:rsid w:val="00AD4161"/>
    <w:rsid w:val="00AD454C"/>
    <w:rsid w:val="00AD45D5"/>
    <w:rsid w:val="00AD4613"/>
    <w:rsid w:val="00AD4FB2"/>
    <w:rsid w:val="00AD51C9"/>
    <w:rsid w:val="00AD52B5"/>
    <w:rsid w:val="00AD542F"/>
    <w:rsid w:val="00AD5620"/>
    <w:rsid w:val="00AD57D2"/>
    <w:rsid w:val="00AD64CD"/>
    <w:rsid w:val="00AD670C"/>
    <w:rsid w:val="00AD6823"/>
    <w:rsid w:val="00AD6D89"/>
    <w:rsid w:val="00AD7C68"/>
    <w:rsid w:val="00AD7E09"/>
    <w:rsid w:val="00AD7FFD"/>
    <w:rsid w:val="00AE06C7"/>
    <w:rsid w:val="00AE074A"/>
    <w:rsid w:val="00AE0AE4"/>
    <w:rsid w:val="00AE0F01"/>
    <w:rsid w:val="00AE1385"/>
    <w:rsid w:val="00AE2135"/>
    <w:rsid w:val="00AE2182"/>
    <w:rsid w:val="00AE2A68"/>
    <w:rsid w:val="00AE34ED"/>
    <w:rsid w:val="00AE36AC"/>
    <w:rsid w:val="00AE3A5A"/>
    <w:rsid w:val="00AE3C3F"/>
    <w:rsid w:val="00AE43FA"/>
    <w:rsid w:val="00AE45DD"/>
    <w:rsid w:val="00AE469B"/>
    <w:rsid w:val="00AE4757"/>
    <w:rsid w:val="00AE4881"/>
    <w:rsid w:val="00AE4BCA"/>
    <w:rsid w:val="00AE4BF6"/>
    <w:rsid w:val="00AE4E43"/>
    <w:rsid w:val="00AE4EBB"/>
    <w:rsid w:val="00AE544E"/>
    <w:rsid w:val="00AE5749"/>
    <w:rsid w:val="00AE59F7"/>
    <w:rsid w:val="00AE65CA"/>
    <w:rsid w:val="00AE6759"/>
    <w:rsid w:val="00AE69D4"/>
    <w:rsid w:val="00AE772D"/>
    <w:rsid w:val="00AE7BDA"/>
    <w:rsid w:val="00AF04E2"/>
    <w:rsid w:val="00AF0763"/>
    <w:rsid w:val="00AF0A0D"/>
    <w:rsid w:val="00AF0DF9"/>
    <w:rsid w:val="00AF12EA"/>
    <w:rsid w:val="00AF1836"/>
    <w:rsid w:val="00AF1A88"/>
    <w:rsid w:val="00AF1F79"/>
    <w:rsid w:val="00AF2CE1"/>
    <w:rsid w:val="00AF2F92"/>
    <w:rsid w:val="00AF31C1"/>
    <w:rsid w:val="00AF4412"/>
    <w:rsid w:val="00AF44B5"/>
    <w:rsid w:val="00AF49A2"/>
    <w:rsid w:val="00AF4BE4"/>
    <w:rsid w:val="00AF4C16"/>
    <w:rsid w:val="00AF4DD9"/>
    <w:rsid w:val="00AF5DE6"/>
    <w:rsid w:val="00AF61C0"/>
    <w:rsid w:val="00AF6656"/>
    <w:rsid w:val="00AF7178"/>
    <w:rsid w:val="00AF72DE"/>
    <w:rsid w:val="00AF7AD4"/>
    <w:rsid w:val="00AF7E3C"/>
    <w:rsid w:val="00B009E3"/>
    <w:rsid w:val="00B00DC9"/>
    <w:rsid w:val="00B00F2F"/>
    <w:rsid w:val="00B012A1"/>
    <w:rsid w:val="00B01B8D"/>
    <w:rsid w:val="00B01F5D"/>
    <w:rsid w:val="00B020A5"/>
    <w:rsid w:val="00B02189"/>
    <w:rsid w:val="00B0230D"/>
    <w:rsid w:val="00B02479"/>
    <w:rsid w:val="00B02906"/>
    <w:rsid w:val="00B02EC9"/>
    <w:rsid w:val="00B0338F"/>
    <w:rsid w:val="00B03F1A"/>
    <w:rsid w:val="00B04788"/>
    <w:rsid w:val="00B0529B"/>
    <w:rsid w:val="00B05A6C"/>
    <w:rsid w:val="00B05B76"/>
    <w:rsid w:val="00B05CD6"/>
    <w:rsid w:val="00B05E21"/>
    <w:rsid w:val="00B05FD4"/>
    <w:rsid w:val="00B06293"/>
    <w:rsid w:val="00B06BFC"/>
    <w:rsid w:val="00B06CF4"/>
    <w:rsid w:val="00B07553"/>
    <w:rsid w:val="00B07685"/>
    <w:rsid w:val="00B07DD9"/>
    <w:rsid w:val="00B10316"/>
    <w:rsid w:val="00B104BF"/>
    <w:rsid w:val="00B1069C"/>
    <w:rsid w:val="00B10E1D"/>
    <w:rsid w:val="00B117D3"/>
    <w:rsid w:val="00B11C83"/>
    <w:rsid w:val="00B11E12"/>
    <w:rsid w:val="00B11EA0"/>
    <w:rsid w:val="00B12553"/>
    <w:rsid w:val="00B12F2A"/>
    <w:rsid w:val="00B13003"/>
    <w:rsid w:val="00B13338"/>
    <w:rsid w:val="00B13CF6"/>
    <w:rsid w:val="00B143FF"/>
    <w:rsid w:val="00B14402"/>
    <w:rsid w:val="00B145D5"/>
    <w:rsid w:val="00B14E0D"/>
    <w:rsid w:val="00B1542E"/>
    <w:rsid w:val="00B15948"/>
    <w:rsid w:val="00B15B97"/>
    <w:rsid w:val="00B15EA6"/>
    <w:rsid w:val="00B16F9E"/>
    <w:rsid w:val="00B17131"/>
    <w:rsid w:val="00B172E7"/>
    <w:rsid w:val="00B1731B"/>
    <w:rsid w:val="00B17840"/>
    <w:rsid w:val="00B1794B"/>
    <w:rsid w:val="00B17FDB"/>
    <w:rsid w:val="00B204D4"/>
    <w:rsid w:val="00B2138A"/>
    <w:rsid w:val="00B2189F"/>
    <w:rsid w:val="00B21BB1"/>
    <w:rsid w:val="00B21C4A"/>
    <w:rsid w:val="00B2240A"/>
    <w:rsid w:val="00B225D0"/>
    <w:rsid w:val="00B22DB9"/>
    <w:rsid w:val="00B22EA7"/>
    <w:rsid w:val="00B231D6"/>
    <w:rsid w:val="00B235C9"/>
    <w:rsid w:val="00B23AF6"/>
    <w:rsid w:val="00B23CBD"/>
    <w:rsid w:val="00B2447F"/>
    <w:rsid w:val="00B24658"/>
    <w:rsid w:val="00B259DF"/>
    <w:rsid w:val="00B25B36"/>
    <w:rsid w:val="00B25BC2"/>
    <w:rsid w:val="00B25BD3"/>
    <w:rsid w:val="00B25D68"/>
    <w:rsid w:val="00B25F57"/>
    <w:rsid w:val="00B266F3"/>
    <w:rsid w:val="00B26BF6"/>
    <w:rsid w:val="00B27059"/>
    <w:rsid w:val="00B2777B"/>
    <w:rsid w:val="00B27A69"/>
    <w:rsid w:val="00B30120"/>
    <w:rsid w:val="00B301F0"/>
    <w:rsid w:val="00B30448"/>
    <w:rsid w:val="00B30D73"/>
    <w:rsid w:val="00B32234"/>
    <w:rsid w:val="00B32554"/>
    <w:rsid w:val="00B32AC6"/>
    <w:rsid w:val="00B33189"/>
    <w:rsid w:val="00B33914"/>
    <w:rsid w:val="00B33A0E"/>
    <w:rsid w:val="00B34021"/>
    <w:rsid w:val="00B344E3"/>
    <w:rsid w:val="00B35413"/>
    <w:rsid w:val="00B357BC"/>
    <w:rsid w:val="00B36384"/>
    <w:rsid w:val="00B367E2"/>
    <w:rsid w:val="00B3772E"/>
    <w:rsid w:val="00B3795A"/>
    <w:rsid w:val="00B37AB2"/>
    <w:rsid w:val="00B37C81"/>
    <w:rsid w:val="00B37FE0"/>
    <w:rsid w:val="00B4041C"/>
    <w:rsid w:val="00B406D7"/>
    <w:rsid w:val="00B407F3"/>
    <w:rsid w:val="00B40E6F"/>
    <w:rsid w:val="00B416F4"/>
    <w:rsid w:val="00B41734"/>
    <w:rsid w:val="00B4182D"/>
    <w:rsid w:val="00B41B4F"/>
    <w:rsid w:val="00B4220C"/>
    <w:rsid w:val="00B429AB"/>
    <w:rsid w:val="00B4316D"/>
    <w:rsid w:val="00B4402F"/>
    <w:rsid w:val="00B446C2"/>
    <w:rsid w:val="00B448B0"/>
    <w:rsid w:val="00B44C7C"/>
    <w:rsid w:val="00B45305"/>
    <w:rsid w:val="00B45321"/>
    <w:rsid w:val="00B453B0"/>
    <w:rsid w:val="00B454EA"/>
    <w:rsid w:val="00B4559E"/>
    <w:rsid w:val="00B45AB6"/>
    <w:rsid w:val="00B45BD5"/>
    <w:rsid w:val="00B46092"/>
    <w:rsid w:val="00B4656A"/>
    <w:rsid w:val="00B469D9"/>
    <w:rsid w:val="00B46B74"/>
    <w:rsid w:val="00B46C63"/>
    <w:rsid w:val="00B470ED"/>
    <w:rsid w:val="00B4792A"/>
    <w:rsid w:val="00B47D94"/>
    <w:rsid w:val="00B47E51"/>
    <w:rsid w:val="00B50495"/>
    <w:rsid w:val="00B507BE"/>
    <w:rsid w:val="00B512E3"/>
    <w:rsid w:val="00B51D02"/>
    <w:rsid w:val="00B51E22"/>
    <w:rsid w:val="00B52021"/>
    <w:rsid w:val="00B520CE"/>
    <w:rsid w:val="00B523A5"/>
    <w:rsid w:val="00B529E9"/>
    <w:rsid w:val="00B52B28"/>
    <w:rsid w:val="00B536E1"/>
    <w:rsid w:val="00B5390C"/>
    <w:rsid w:val="00B5481E"/>
    <w:rsid w:val="00B5592C"/>
    <w:rsid w:val="00B55CAC"/>
    <w:rsid w:val="00B55EB2"/>
    <w:rsid w:val="00B56195"/>
    <w:rsid w:val="00B56B32"/>
    <w:rsid w:val="00B56BE2"/>
    <w:rsid w:val="00B56D6A"/>
    <w:rsid w:val="00B5768D"/>
    <w:rsid w:val="00B6070F"/>
    <w:rsid w:val="00B60915"/>
    <w:rsid w:val="00B60C6B"/>
    <w:rsid w:val="00B60CEE"/>
    <w:rsid w:val="00B60D03"/>
    <w:rsid w:val="00B60F2C"/>
    <w:rsid w:val="00B611D9"/>
    <w:rsid w:val="00B61448"/>
    <w:rsid w:val="00B614BE"/>
    <w:rsid w:val="00B615C6"/>
    <w:rsid w:val="00B6207D"/>
    <w:rsid w:val="00B6220E"/>
    <w:rsid w:val="00B62302"/>
    <w:rsid w:val="00B62727"/>
    <w:rsid w:val="00B629A8"/>
    <w:rsid w:val="00B62B99"/>
    <w:rsid w:val="00B6302D"/>
    <w:rsid w:val="00B63460"/>
    <w:rsid w:val="00B63555"/>
    <w:rsid w:val="00B64002"/>
    <w:rsid w:val="00B6434A"/>
    <w:rsid w:val="00B643E7"/>
    <w:rsid w:val="00B648ED"/>
    <w:rsid w:val="00B64C39"/>
    <w:rsid w:val="00B64EFF"/>
    <w:rsid w:val="00B663CA"/>
    <w:rsid w:val="00B66B50"/>
    <w:rsid w:val="00B66C04"/>
    <w:rsid w:val="00B66C37"/>
    <w:rsid w:val="00B67119"/>
    <w:rsid w:val="00B700E3"/>
    <w:rsid w:val="00B70522"/>
    <w:rsid w:val="00B70F1B"/>
    <w:rsid w:val="00B713A7"/>
    <w:rsid w:val="00B71675"/>
    <w:rsid w:val="00B71AC2"/>
    <w:rsid w:val="00B71B62"/>
    <w:rsid w:val="00B71F04"/>
    <w:rsid w:val="00B721CA"/>
    <w:rsid w:val="00B723BD"/>
    <w:rsid w:val="00B7286C"/>
    <w:rsid w:val="00B7287E"/>
    <w:rsid w:val="00B72A67"/>
    <w:rsid w:val="00B72CBF"/>
    <w:rsid w:val="00B737DF"/>
    <w:rsid w:val="00B73987"/>
    <w:rsid w:val="00B744DB"/>
    <w:rsid w:val="00B745F1"/>
    <w:rsid w:val="00B748F5"/>
    <w:rsid w:val="00B74F6A"/>
    <w:rsid w:val="00B75286"/>
    <w:rsid w:val="00B75869"/>
    <w:rsid w:val="00B75BC0"/>
    <w:rsid w:val="00B75E9B"/>
    <w:rsid w:val="00B76056"/>
    <w:rsid w:val="00B760B8"/>
    <w:rsid w:val="00B7636B"/>
    <w:rsid w:val="00B7645E"/>
    <w:rsid w:val="00B76492"/>
    <w:rsid w:val="00B7679C"/>
    <w:rsid w:val="00B769A2"/>
    <w:rsid w:val="00B76DB9"/>
    <w:rsid w:val="00B77211"/>
    <w:rsid w:val="00B77445"/>
    <w:rsid w:val="00B77612"/>
    <w:rsid w:val="00B7796D"/>
    <w:rsid w:val="00B77BE3"/>
    <w:rsid w:val="00B77D67"/>
    <w:rsid w:val="00B77E70"/>
    <w:rsid w:val="00B80B83"/>
    <w:rsid w:val="00B81014"/>
    <w:rsid w:val="00B8152E"/>
    <w:rsid w:val="00B81A66"/>
    <w:rsid w:val="00B81DD6"/>
    <w:rsid w:val="00B82171"/>
    <w:rsid w:val="00B8254D"/>
    <w:rsid w:val="00B827FF"/>
    <w:rsid w:val="00B82CB2"/>
    <w:rsid w:val="00B830B5"/>
    <w:rsid w:val="00B832EA"/>
    <w:rsid w:val="00B83300"/>
    <w:rsid w:val="00B8479E"/>
    <w:rsid w:val="00B847CA"/>
    <w:rsid w:val="00B84AE5"/>
    <w:rsid w:val="00B84B48"/>
    <w:rsid w:val="00B84C0B"/>
    <w:rsid w:val="00B84FBF"/>
    <w:rsid w:val="00B85013"/>
    <w:rsid w:val="00B8560C"/>
    <w:rsid w:val="00B85E9C"/>
    <w:rsid w:val="00B863A0"/>
    <w:rsid w:val="00B866A4"/>
    <w:rsid w:val="00B866EE"/>
    <w:rsid w:val="00B87361"/>
    <w:rsid w:val="00B8778B"/>
    <w:rsid w:val="00B87BAB"/>
    <w:rsid w:val="00B90BC7"/>
    <w:rsid w:val="00B90C99"/>
    <w:rsid w:val="00B91151"/>
    <w:rsid w:val="00B911C2"/>
    <w:rsid w:val="00B9172C"/>
    <w:rsid w:val="00B9189F"/>
    <w:rsid w:val="00B919CC"/>
    <w:rsid w:val="00B91CE9"/>
    <w:rsid w:val="00B91CF1"/>
    <w:rsid w:val="00B926D1"/>
    <w:rsid w:val="00B92A3D"/>
    <w:rsid w:val="00B92F9B"/>
    <w:rsid w:val="00B93103"/>
    <w:rsid w:val="00B93567"/>
    <w:rsid w:val="00B93A75"/>
    <w:rsid w:val="00B93CCD"/>
    <w:rsid w:val="00B940F0"/>
    <w:rsid w:val="00B94D7C"/>
    <w:rsid w:val="00B94E70"/>
    <w:rsid w:val="00B94F88"/>
    <w:rsid w:val="00B955B6"/>
    <w:rsid w:val="00B95BEF"/>
    <w:rsid w:val="00B964FB"/>
    <w:rsid w:val="00BA006D"/>
    <w:rsid w:val="00BA01AB"/>
    <w:rsid w:val="00BA0443"/>
    <w:rsid w:val="00BA0C3D"/>
    <w:rsid w:val="00BA0FED"/>
    <w:rsid w:val="00BA105D"/>
    <w:rsid w:val="00BA1302"/>
    <w:rsid w:val="00BA1368"/>
    <w:rsid w:val="00BA1487"/>
    <w:rsid w:val="00BA1965"/>
    <w:rsid w:val="00BA1C95"/>
    <w:rsid w:val="00BA2804"/>
    <w:rsid w:val="00BA2FC7"/>
    <w:rsid w:val="00BA3272"/>
    <w:rsid w:val="00BA3306"/>
    <w:rsid w:val="00BA3B68"/>
    <w:rsid w:val="00BA3D70"/>
    <w:rsid w:val="00BA3FC4"/>
    <w:rsid w:val="00BA41E2"/>
    <w:rsid w:val="00BA4368"/>
    <w:rsid w:val="00BA4B08"/>
    <w:rsid w:val="00BA4C96"/>
    <w:rsid w:val="00BA4FD6"/>
    <w:rsid w:val="00BA53AD"/>
    <w:rsid w:val="00BA5724"/>
    <w:rsid w:val="00BA5A60"/>
    <w:rsid w:val="00BA60A7"/>
    <w:rsid w:val="00BA674F"/>
    <w:rsid w:val="00BA6D97"/>
    <w:rsid w:val="00BA6F23"/>
    <w:rsid w:val="00BA73EE"/>
    <w:rsid w:val="00BA7A49"/>
    <w:rsid w:val="00BB006F"/>
    <w:rsid w:val="00BB0C7A"/>
    <w:rsid w:val="00BB0E85"/>
    <w:rsid w:val="00BB1487"/>
    <w:rsid w:val="00BB201E"/>
    <w:rsid w:val="00BB2329"/>
    <w:rsid w:val="00BB2687"/>
    <w:rsid w:val="00BB270F"/>
    <w:rsid w:val="00BB27E6"/>
    <w:rsid w:val="00BB2A81"/>
    <w:rsid w:val="00BB2D92"/>
    <w:rsid w:val="00BB3110"/>
    <w:rsid w:val="00BB3804"/>
    <w:rsid w:val="00BB4519"/>
    <w:rsid w:val="00BB4B34"/>
    <w:rsid w:val="00BB4C24"/>
    <w:rsid w:val="00BB4C2B"/>
    <w:rsid w:val="00BB4F4F"/>
    <w:rsid w:val="00BB50A5"/>
    <w:rsid w:val="00BB5135"/>
    <w:rsid w:val="00BB54A6"/>
    <w:rsid w:val="00BB54C4"/>
    <w:rsid w:val="00BB5A34"/>
    <w:rsid w:val="00BB5FF9"/>
    <w:rsid w:val="00BB621C"/>
    <w:rsid w:val="00BB6423"/>
    <w:rsid w:val="00BB6875"/>
    <w:rsid w:val="00BB6C6D"/>
    <w:rsid w:val="00BB7354"/>
    <w:rsid w:val="00BB7358"/>
    <w:rsid w:val="00BB7717"/>
    <w:rsid w:val="00BC0703"/>
    <w:rsid w:val="00BC0A5B"/>
    <w:rsid w:val="00BC145F"/>
    <w:rsid w:val="00BC19B1"/>
    <w:rsid w:val="00BC1C72"/>
    <w:rsid w:val="00BC1CAF"/>
    <w:rsid w:val="00BC1DD2"/>
    <w:rsid w:val="00BC1ECD"/>
    <w:rsid w:val="00BC2197"/>
    <w:rsid w:val="00BC233E"/>
    <w:rsid w:val="00BC26F2"/>
    <w:rsid w:val="00BC2DA0"/>
    <w:rsid w:val="00BC2EC9"/>
    <w:rsid w:val="00BC357C"/>
    <w:rsid w:val="00BC3791"/>
    <w:rsid w:val="00BC3798"/>
    <w:rsid w:val="00BC3EE0"/>
    <w:rsid w:val="00BC40F7"/>
    <w:rsid w:val="00BC5086"/>
    <w:rsid w:val="00BC542F"/>
    <w:rsid w:val="00BC5965"/>
    <w:rsid w:val="00BC59AA"/>
    <w:rsid w:val="00BC5AF0"/>
    <w:rsid w:val="00BC5B69"/>
    <w:rsid w:val="00BC6351"/>
    <w:rsid w:val="00BC6669"/>
    <w:rsid w:val="00BC68C9"/>
    <w:rsid w:val="00BC6BD3"/>
    <w:rsid w:val="00BC71DA"/>
    <w:rsid w:val="00BC7242"/>
    <w:rsid w:val="00BC7C1C"/>
    <w:rsid w:val="00BD01A3"/>
    <w:rsid w:val="00BD01F9"/>
    <w:rsid w:val="00BD0330"/>
    <w:rsid w:val="00BD03EC"/>
    <w:rsid w:val="00BD0424"/>
    <w:rsid w:val="00BD043B"/>
    <w:rsid w:val="00BD0851"/>
    <w:rsid w:val="00BD1540"/>
    <w:rsid w:val="00BD155B"/>
    <w:rsid w:val="00BD1ABA"/>
    <w:rsid w:val="00BD1E97"/>
    <w:rsid w:val="00BD221D"/>
    <w:rsid w:val="00BD227E"/>
    <w:rsid w:val="00BD25DF"/>
    <w:rsid w:val="00BD275E"/>
    <w:rsid w:val="00BD2C63"/>
    <w:rsid w:val="00BD3167"/>
    <w:rsid w:val="00BD3631"/>
    <w:rsid w:val="00BD3914"/>
    <w:rsid w:val="00BD5012"/>
    <w:rsid w:val="00BD52F7"/>
    <w:rsid w:val="00BD533D"/>
    <w:rsid w:val="00BD53AA"/>
    <w:rsid w:val="00BD590A"/>
    <w:rsid w:val="00BD599C"/>
    <w:rsid w:val="00BD61C9"/>
    <w:rsid w:val="00BD670B"/>
    <w:rsid w:val="00BD681D"/>
    <w:rsid w:val="00BD686D"/>
    <w:rsid w:val="00BD6970"/>
    <w:rsid w:val="00BD79AD"/>
    <w:rsid w:val="00BD7AB9"/>
    <w:rsid w:val="00BD7C11"/>
    <w:rsid w:val="00BE012E"/>
    <w:rsid w:val="00BE07C5"/>
    <w:rsid w:val="00BE0EDE"/>
    <w:rsid w:val="00BE1516"/>
    <w:rsid w:val="00BE172A"/>
    <w:rsid w:val="00BE18C4"/>
    <w:rsid w:val="00BE1A3D"/>
    <w:rsid w:val="00BE1B99"/>
    <w:rsid w:val="00BE212F"/>
    <w:rsid w:val="00BE23D9"/>
    <w:rsid w:val="00BE24F6"/>
    <w:rsid w:val="00BE2685"/>
    <w:rsid w:val="00BE359A"/>
    <w:rsid w:val="00BE371F"/>
    <w:rsid w:val="00BE37E9"/>
    <w:rsid w:val="00BE37F1"/>
    <w:rsid w:val="00BE3A11"/>
    <w:rsid w:val="00BE3CAA"/>
    <w:rsid w:val="00BE3CDC"/>
    <w:rsid w:val="00BE3D49"/>
    <w:rsid w:val="00BE3E5F"/>
    <w:rsid w:val="00BE40BF"/>
    <w:rsid w:val="00BE4F57"/>
    <w:rsid w:val="00BE5772"/>
    <w:rsid w:val="00BE583A"/>
    <w:rsid w:val="00BE5B78"/>
    <w:rsid w:val="00BE5E2B"/>
    <w:rsid w:val="00BE6325"/>
    <w:rsid w:val="00BE64BB"/>
    <w:rsid w:val="00BE6C75"/>
    <w:rsid w:val="00BE70A4"/>
    <w:rsid w:val="00BE77DB"/>
    <w:rsid w:val="00BE7A11"/>
    <w:rsid w:val="00BE7BBD"/>
    <w:rsid w:val="00BF08E6"/>
    <w:rsid w:val="00BF0ABA"/>
    <w:rsid w:val="00BF10F5"/>
    <w:rsid w:val="00BF11CB"/>
    <w:rsid w:val="00BF1A98"/>
    <w:rsid w:val="00BF1D69"/>
    <w:rsid w:val="00BF21F7"/>
    <w:rsid w:val="00BF23A8"/>
    <w:rsid w:val="00BF25D9"/>
    <w:rsid w:val="00BF2B59"/>
    <w:rsid w:val="00BF2FF5"/>
    <w:rsid w:val="00BF329F"/>
    <w:rsid w:val="00BF3515"/>
    <w:rsid w:val="00BF3E00"/>
    <w:rsid w:val="00BF4173"/>
    <w:rsid w:val="00BF4188"/>
    <w:rsid w:val="00BF4C2C"/>
    <w:rsid w:val="00BF537B"/>
    <w:rsid w:val="00BF5643"/>
    <w:rsid w:val="00BF57F0"/>
    <w:rsid w:val="00BF5B93"/>
    <w:rsid w:val="00BF62B4"/>
    <w:rsid w:val="00BF64CC"/>
    <w:rsid w:val="00BF693C"/>
    <w:rsid w:val="00BF6BD1"/>
    <w:rsid w:val="00BF7431"/>
    <w:rsid w:val="00BF7A17"/>
    <w:rsid w:val="00BF7D77"/>
    <w:rsid w:val="00BF7D96"/>
    <w:rsid w:val="00BF7E30"/>
    <w:rsid w:val="00C000F9"/>
    <w:rsid w:val="00C00A26"/>
    <w:rsid w:val="00C01353"/>
    <w:rsid w:val="00C01561"/>
    <w:rsid w:val="00C01614"/>
    <w:rsid w:val="00C016C6"/>
    <w:rsid w:val="00C01817"/>
    <w:rsid w:val="00C01C59"/>
    <w:rsid w:val="00C01F14"/>
    <w:rsid w:val="00C025B2"/>
    <w:rsid w:val="00C02E7D"/>
    <w:rsid w:val="00C02FC6"/>
    <w:rsid w:val="00C031FA"/>
    <w:rsid w:val="00C0342C"/>
    <w:rsid w:val="00C03AE7"/>
    <w:rsid w:val="00C03B03"/>
    <w:rsid w:val="00C03B5E"/>
    <w:rsid w:val="00C03E8C"/>
    <w:rsid w:val="00C03F05"/>
    <w:rsid w:val="00C0408D"/>
    <w:rsid w:val="00C04322"/>
    <w:rsid w:val="00C0466E"/>
    <w:rsid w:val="00C04DBA"/>
    <w:rsid w:val="00C04F13"/>
    <w:rsid w:val="00C053BC"/>
    <w:rsid w:val="00C05835"/>
    <w:rsid w:val="00C05E71"/>
    <w:rsid w:val="00C05EB4"/>
    <w:rsid w:val="00C06045"/>
    <w:rsid w:val="00C06354"/>
    <w:rsid w:val="00C06459"/>
    <w:rsid w:val="00C06468"/>
    <w:rsid w:val="00C064CB"/>
    <w:rsid w:val="00C064D9"/>
    <w:rsid w:val="00C070D5"/>
    <w:rsid w:val="00C07417"/>
    <w:rsid w:val="00C078D1"/>
    <w:rsid w:val="00C07BBA"/>
    <w:rsid w:val="00C07C84"/>
    <w:rsid w:val="00C10407"/>
    <w:rsid w:val="00C10833"/>
    <w:rsid w:val="00C10B20"/>
    <w:rsid w:val="00C10B79"/>
    <w:rsid w:val="00C10CAE"/>
    <w:rsid w:val="00C115F0"/>
    <w:rsid w:val="00C11A01"/>
    <w:rsid w:val="00C11A8C"/>
    <w:rsid w:val="00C11C12"/>
    <w:rsid w:val="00C12102"/>
    <w:rsid w:val="00C12870"/>
    <w:rsid w:val="00C12A48"/>
    <w:rsid w:val="00C12AEB"/>
    <w:rsid w:val="00C12F38"/>
    <w:rsid w:val="00C12F94"/>
    <w:rsid w:val="00C139B1"/>
    <w:rsid w:val="00C13BD0"/>
    <w:rsid w:val="00C13E36"/>
    <w:rsid w:val="00C13EF8"/>
    <w:rsid w:val="00C14703"/>
    <w:rsid w:val="00C15216"/>
    <w:rsid w:val="00C15791"/>
    <w:rsid w:val="00C15EDC"/>
    <w:rsid w:val="00C164A4"/>
    <w:rsid w:val="00C169CD"/>
    <w:rsid w:val="00C16ACC"/>
    <w:rsid w:val="00C17105"/>
    <w:rsid w:val="00C1717B"/>
    <w:rsid w:val="00C204F8"/>
    <w:rsid w:val="00C20528"/>
    <w:rsid w:val="00C2162A"/>
    <w:rsid w:val="00C21653"/>
    <w:rsid w:val="00C2177C"/>
    <w:rsid w:val="00C21DB1"/>
    <w:rsid w:val="00C21FA3"/>
    <w:rsid w:val="00C221BF"/>
    <w:rsid w:val="00C222C3"/>
    <w:rsid w:val="00C2292A"/>
    <w:rsid w:val="00C22C26"/>
    <w:rsid w:val="00C2368F"/>
    <w:rsid w:val="00C23FEA"/>
    <w:rsid w:val="00C240D9"/>
    <w:rsid w:val="00C2411E"/>
    <w:rsid w:val="00C251D1"/>
    <w:rsid w:val="00C25A8B"/>
    <w:rsid w:val="00C262DC"/>
    <w:rsid w:val="00C26397"/>
    <w:rsid w:val="00C264A8"/>
    <w:rsid w:val="00C268CF"/>
    <w:rsid w:val="00C26983"/>
    <w:rsid w:val="00C26AA5"/>
    <w:rsid w:val="00C26F8A"/>
    <w:rsid w:val="00C271CE"/>
    <w:rsid w:val="00C2736E"/>
    <w:rsid w:val="00C30625"/>
    <w:rsid w:val="00C30D55"/>
    <w:rsid w:val="00C30DDC"/>
    <w:rsid w:val="00C311AF"/>
    <w:rsid w:val="00C315E4"/>
    <w:rsid w:val="00C317F3"/>
    <w:rsid w:val="00C318BA"/>
    <w:rsid w:val="00C319BF"/>
    <w:rsid w:val="00C32157"/>
    <w:rsid w:val="00C32226"/>
    <w:rsid w:val="00C322BD"/>
    <w:rsid w:val="00C322EA"/>
    <w:rsid w:val="00C32343"/>
    <w:rsid w:val="00C326A9"/>
    <w:rsid w:val="00C326B4"/>
    <w:rsid w:val="00C32A1F"/>
    <w:rsid w:val="00C32ABF"/>
    <w:rsid w:val="00C32B5B"/>
    <w:rsid w:val="00C32CB1"/>
    <w:rsid w:val="00C32E48"/>
    <w:rsid w:val="00C33649"/>
    <w:rsid w:val="00C3388F"/>
    <w:rsid w:val="00C338BD"/>
    <w:rsid w:val="00C339CC"/>
    <w:rsid w:val="00C33F95"/>
    <w:rsid w:val="00C341E1"/>
    <w:rsid w:val="00C34494"/>
    <w:rsid w:val="00C349C2"/>
    <w:rsid w:val="00C35A28"/>
    <w:rsid w:val="00C35DA2"/>
    <w:rsid w:val="00C3604A"/>
    <w:rsid w:val="00C361F4"/>
    <w:rsid w:val="00C363C0"/>
    <w:rsid w:val="00C36B6F"/>
    <w:rsid w:val="00C36B94"/>
    <w:rsid w:val="00C36E1F"/>
    <w:rsid w:val="00C3705F"/>
    <w:rsid w:val="00C3730E"/>
    <w:rsid w:val="00C379B7"/>
    <w:rsid w:val="00C379BD"/>
    <w:rsid w:val="00C37E1A"/>
    <w:rsid w:val="00C40282"/>
    <w:rsid w:val="00C4049F"/>
    <w:rsid w:val="00C40B02"/>
    <w:rsid w:val="00C40E9A"/>
    <w:rsid w:val="00C411C6"/>
    <w:rsid w:val="00C420A6"/>
    <w:rsid w:val="00C42422"/>
    <w:rsid w:val="00C42D1A"/>
    <w:rsid w:val="00C4365E"/>
    <w:rsid w:val="00C4397F"/>
    <w:rsid w:val="00C439E3"/>
    <w:rsid w:val="00C44709"/>
    <w:rsid w:val="00C44A34"/>
    <w:rsid w:val="00C44C37"/>
    <w:rsid w:val="00C44DDB"/>
    <w:rsid w:val="00C457C8"/>
    <w:rsid w:val="00C4626D"/>
    <w:rsid w:val="00C46ABB"/>
    <w:rsid w:val="00C46AE5"/>
    <w:rsid w:val="00C4733D"/>
    <w:rsid w:val="00C47472"/>
    <w:rsid w:val="00C4752D"/>
    <w:rsid w:val="00C4753F"/>
    <w:rsid w:val="00C47654"/>
    <w:rsid w:val="00C476CC"/>
    <w:rsid w:val="00C47E70"/>
    <w:rsid w:val="00C50B74"/>
    <w:rsid w:val="00C50D8A"/>
    <w:rsid w:val="00C51369"/>
    <w:rsid w:val="00C51799"/>
    <w:rsid w:val="00C51BD3"/>
    <w:rsid w:val="00C51CB0"/>
    <w:rsid w:val="00C51EB3"/>
    <w:rsid w:val="00C52624"/>
    <w:rsid w:val="00C52BE0"/>
    <w:rsid w:val="00C53440"/>
    <w:rsid w:val="00C5364C"/>
    <w:rsid w:val="00C556E7"/>
    <w:rsid w:val="00C557C4"/>
    <w:rsid w:val="00C55949"/>
    <w:rsid w:val="00C55BA3"/>
    <w:rsid w:val="00C56093"/>
    <w:rsid w:val="00C5632F"/>
    <w:rsid w:val="00C56E1F"/>
    <w:rsid w:val="00C57146"/>
    <w:rsid w:val="00C57669"/>
    <w:rsid w:val="00C576C7"/>
    <w:rsid w:val="00C57E4D"/>
    <w:rsid w:val="00C606DA"/>
    <w:rsid w:val="00C60D47"/>
    <w:rsid w:val="00C610E3"/>
    <w:rsid w:val="00C614B0"/>
    <w:rsid w:val="00C616B4"/>
    <w:rsid w:val="00C6191D"/>
    <w:rsid w:val="00C6215F"/>
    <w:rsid w:val="00C622A3"/>
    <w:rsid w:val="00C623FD"/>
    <w:rsid w:val="00C626E2"/>
    <w:rsid w:val="00C628C8"/>
    <w:rsid w:val="00C62A56"/>
    <w:rsid w:val="00C62C40"/>
    <w:rsid w:val="00C62D3E"/>
    <w:rsid w:val="00C62E49"/>
    <w:rsid w:val="00C633FD"/>
    <w:rsid w:val="00C63577"/>
    <w:rsid w:val="00C6362A"/>
    <w:rsid w:val="00C64271"/>
    <w:rsid w:val="00C6499E"/>
    <w:rsid w:val="00C64C0B"/>
    <w:rsid w:val="00C64D07"/>
    <w:rsid w:val="00C64DFC"/>
    <w:rsid w:val="00C65334"/>
    <w:rsid w:val="00C65A38"/>
    <w:rsid w:val="00C65D7B"/>
    <w:rsid w:val="00C6609F"/>
    <w:rsid w:val="00C660A6"/>
    <w:rsid w:val="00C665E7"/>
    <w:rsid w:val="00C66867"/>
    <w:rsid w:val="00C66B2D"/>
    <w:rsid w:val="00C673F8"/>
    <w:rsid w:val="00C67430"/>
    <w:rsid w:val="00C67C4B"/>
    <w:rsid w:val="00C67F27"/>
    <w:rsid w:val="00C7026F"/>
    <w:rsid w:val="00C70918"/>
    <w:rsid w:val="00C70EC5"/>
    <w:rsid w:val="00C7100E"/>
    <w:rsid w:val="00C711B7"/>
    <w:rsid w:val="00C71952"/>
    <w:rsid w:val="00C71A5D"/>
    <w:rsid w:val="00C721CC"/>
    <w:rsid w:val="00C72494"/>
    <w:rsid w:val="00C727EE"/>
    <w:rsid w:val="00C728DF"/>
    <w:rsid w:val="00C72947"/>
    <w:rsid w:val="00C72B9B"/>
    <w:rsid w:val="00C72EAE"/>
    <w:rsid w:val="00C731DD"/>
    <w:rsid w:val="00C73340"/>
    <w:rsid w:val="00C7357B"/>
    <w:rsid w:val="00C73624"/>
    <w:rsid w:val="00C736A8"/>
    <w:rsid w:val="00C736E7"/>
    <w:rsid w:val="00C738EF"/>
    <w:rsid w:val="00C73940"/>
    <w:rsid w:val="00C73DE5"/>
    <w:rsid w:val="00C74E0B"/>
    <w:rsid w:val="00C7519E"/>
    <w:rsid w:val="00C751C4"/>
    <w:rsid w:val="00C758B5"/>
    <w:rsid w:val="00C76062"/>
    <w:rsid w:val="00C768DB"/>
    <w:rsid w:val="00C771EE"/>
    <w:rsid w:val="00C77BF4"/>
    <w:rsid w:val="00C80AA2"/>
    <w:rsid w:val="00C810D1"/>
    <w:rsid w:val="00C810E1"/>
    <w:rsid w:val="00C81A12"/>
    <w:rsid w:val="00C82261"/>
    <w:rsid w:val="00C824E4"/>
    <w:rsid w:val="00C8296F"/>
    <w:rsid w:val="00C829C7"/>
    <w:rsid w:val="00C82D6D"/>
    <w:rsid w:val="00C830A8"/>
    <w:rsid w:val="00C83408"/>
    <w:rsid w:val="00C8369D"/>
    <w:rsid w:val="00C83828"/>
    <w:rsid w:val="00C83A9E"/>
    <w:rsid w:val="00C8401D"/>
    <w:rsid w:val="00C84229"/>
    <w:rsid w:val="00C84388"/>
    <w:rsid w:val="00C844AB"/>
    <w:rsid w:val="00C84661"/>
    <w:rsid w:val="00C846BE"/>
    <w:rsid w:val="00C84796"/>
    <w:rsid w:val="00C84C02"/>
    <w:rsid w:val="00C84EF7"/>
    <w:rsid w:val="00C8533A"/>
    <w:rsid w:val="00C8557F"/>
    <w:rsid w:val="00C85687"/>
    <w:rsid w:val="00C858D2"/>
    <w:rsid w:val="00C85F65"/>
    <w:rsid w:val="00C862CC"/>
    <w:rsid w:val="00C86474"/>
    <w:rsid w:val="00C86D42"/>
    <w:rsid w:val="00C86D76"/>
    <w:rsid w:val="00C87120"/>
    <w:rsid w:val="00C871FF"/>
    <w:rsid w:val="00C87744"/>
    <w:rsid w:val="00C87F5E"/>
    <w:rsid w:val="00C87FDF"/>
    <w:rsid w:val="00C90336"/>
    <w:rsid w:val="00C90CA0"/>
    <w:rsid w:val="00C910C2"/>
    <w:rsid w:val="00C911C0"/>
    <w:rsid w:val="00C9153B"/>
    <w:rsid w:val="00C9161F"/>
    <w:rsid w:val="00C918A6"/>
    <w:rsid w:val="00C920A1"/>
    <w:rsid w:val="00C926B8"/>
    <w:rsid w:val="00C92B1E"/>
    <w:rsid w:val="00C92D49"/>
    <w:rsid w:val="00C931DE"/>
    <w:rsid w:val="00C93488"/>
    <w:rsid w:val="00C934DC"/>
    <w:rsid w:val="00C93787"/>
    <w:rsid w:val="00C939C9"/>
    <w:rsid w:val="00C94967"/>
    <w:rsid w:val="00C94B6B"/>
    <w:rsid w:val="00C958C1"/>
    <w:rsid w:val="00C958F0"/>
    <w:rsid w:val="00C963DE"/>
    <w:rsid w:val="00C968F3"/>
    <w:rsid w:val="00C97189"/>
    <w:rsid w:val="00C972D0"/>
    <w:rsid w:val="00C97B81"/>
    <w:rsid w:val="00CA06E7"/>
    <w:rsid w:val="00CA09CB"/>
    <w:rsid w:val="00CA0C26"/>
    <w:rsid w:val="00CA16A3"/>
    <w:rsid w:val="00CA1BA1"/>
    <w:rsid w:val="00CA20AF"/>
    <w:rsid w:val="00CA2137"/>
    <w:rsid w:val="00CA26B5"/>
    <w:rsid w:val="00CA2B9C"/>
    <w:rsid w:val="00CA2CFF"/>
    <w:rsid w:val="00CA31B3"/>
    <w:rsid w:val="00CA3888"/>
    <w:rsid w:val="00CA44FC"/>
    <w:rsid w:val="00CA4A1C"/>
    <w:rsid w:val="00CA4C8D"/>
    <w:rsid w:val="00CA4CFB"/>
    <w:rsid w:val="00CA54B8"/>
    <w:rsid w:val="00CA63CB"/>
    <w:rsid w:val="00CA69AC"/>
    <w:rsid w:val="00CA71F1"/>
    <w:rsid w:val="00CA741B"/>
    <w:rsid w:val="00CA75B3"/>
    <w:rsid w:val="00CA767C"/>
    <w:rsid w:val="00CA7884"/>
    <w:rsid w:val="00CA79DF"/>
    <w:rsid w:val="00CA7D9B"/>
    <w:rsid w:val="00CB006B"/>
    <w:rsid w:val="00CB04D1"/>
    <w:rsid w:val="00CB0619"/>
    <w:rsid w:val="00CB0764"/>
    <w:rsid w:val="00CB07A8"/>
    <w:rsid w:val="00CB0A82"/>
    <w:rsid w:val="00CB0BA5"/>
    <w:rsid w:val="00CB0C64"/>
    <w:rsid w:val="00CB126F"/>
    <w:rsid w:val="00CB141E"/>
    <w:rsid w:val="00CB14F7"/>
    <w:rsid w:val="00CB1811"/>
    <w:rsid w:val="00CB1831"/>
    <w:rsid w:val="00CB196A"/>
    <w:rsid w:val="00CB1D34"/>
    <w:rsid w:val="00CB2072"/>
    <w:rsid w:val="00CB280E"/>
    <w:rsid w:val="00CB28DB"/>
    <w:rsid w:val="00CB2C1D"/>
    <w:rsid w:val="00CB3009"/>
    <w:rsid w:val="00CB3268"/>
    <w:rsid w:val="00CB39BD"/>
    <w:rsid w:val="00CB3CF2"/>
    <w:rsid w:val="00CB4014"/>
    <w:rsid w:val="00CB40D6"/>
    <w:rsid w:val="00CB5389"/>
    <w:rsid w:val="00CB55A7"/>
    <w:rsid w:val="00CB6594"/>
    <w:rsid w:val="00CB6C28"/>
    <w:rsid w:val="00CB759C"/>
    <w:rsid w:val="00CB7F52"/>
    <w:rsid w:val="00CC046F"/>
    <w:rsid w:val="00CC0811"/>
    <w:rsid w:val="00CC0B3B"/>
    <w:rsid w:val="00CC10E1"/>
    <w:rsid w:val="00CC162F"/>
    <w:rsid w:val="00CC16C3"/>
    <w:rsid w:val="00CC2217"/>
    <w:rsid w:val="00CC2D60"/>
    <w:rsid w:val="00CC2F05"/>
    <w:rsid w:val="00CC2F86"/>
    <w:rsid w:val="00CC336F"/>
    <w:rsid w:val="00CC3543"/>
    <w:rsid w:val="00CC38E7"/>
    <w:rsid w:val="00CC3EAB"/>
    <w:rsid w:val="00CC3FE6"/>
    <w:rsid w:val="00CC48D3"/>
    <w:rsid w:val="00CC49E7"/>
    <w:rsid w:val="00CC5910"/>
    <w:rsid w:val="00CC5999"/>
    <w:rsid w:val="00CC603D"/>
    <w:rsid w:val="00CC63BA"/>
    <w:rsid w:val="00CC6585"/>
    <w:rsid w:val="00CC665A"/>
    <w:rsid w:val="00CC6886"/>
    <w:rsid w:val="00CC757C"/>
    <w:rsid w:val="00CC77AB"/>
    <w:rsid w:val="00CC78E6"/>
    <w:rsid w:val="00CC79A7"/>
    <w:rsid w:val="00CC7A25"/>
    <w:rsid w:val="00CC7F13"/>
    <w:rsid w:val="00CD044C"/>
    <w:rsid w:val="00CD0586"/>
    <w:rsid w:val="00CD05BD"/>
    <w:rsid w:val="00CD12E3"/>
    <w:rsid w:val="00CD1473"/>
    <w:rsid w:val="00CD154F"/>
    <w:rsid w:val="00CD168D"/>
    <w:rsid w:val="00CD1D70"/>
    <w:rsid w:val="00CD1EC4"/>
    <w:rsid w:val="00CD20D7"/>
    <w:rsid w:val="00CD210F"/>
    <w:rsid w:val="00CD2268"/>
    <w:rsid w:val="00CD228E"/>
    <w:rsid w:val="00CD2376"/>
    <w:rsid w:val="00CD24E6"/>
    <w:rsid w:val="00CD2EC1"/>
    <w:rsid w:val="00CD35D5"/>
    <w:rsid w:val="00CD38F6"/>
    <w:rsid w:val="00CD3934"/>
    <w:rsid w:val="00CD42C1"/>
    <w:rsid w:val="00CD4CCA"/>
    <w:rsid w:val="00CD5119"/>
    <w:rsid w:val="00CD5849"/>
    <w:rsid w:val="00CD5BEE"/>
    <w:rsid w:val="00CD5CF3"/>
    <w:rsid w:val="00CD617E"/>
    <w:rsid w:val="00CD6327"/>
    <w:rsid w:val="00CD6742"/>
    <w:rsid w:val="00CD6A45"/>
    <w:rsid w:val="00CD6E62"/>
    <w:rsid w:val="00CD6F90"/>
    <w:rsid w:val="00CD70C6"/>
    <w:rsid w:val="00CD7135"/>
    <w:rsid w:val="00CD7377"/>
    <w:rsid w:val="00CD7385"/>
    <w:rsid w:val="00CD7445"/>
    <w:rsid w:val="00CD7847"/>
    <w:rsid w:val="00CD78EA"/>
    <w:rsid w:val="00CD7A48"/>
    <w:rsid w:val="00CD7EB4"/>
    <w:rsid w:val="00CE03B7"/>
    <w:rsid w:val="00CE080D"/>
    <w:rsid w:val="00CE0A3D"/>
    <w:rsid w:val="00CE0F6C"/>
    <w:rsid w:val="00CE119E"/>
    <w:rsid w:val="00CE2018"/>
    <w:rsid w:val="00CE2987"/>
    <w:rsid w:val="00CE2B78"/>
    <w:rsid w:val="00CE2BED"/>
    <w:rsid w:val="00CE3013"/>
    <w:rsid w:val="00CE353B"/>
    <w:rsid w:val="00CE3861"/>
    <w:rsid w:val="00CE39A5"/>
    <w:rsid w:val="00CE3B08"/>
    <w:rsid w:val="00CE3B19"/>
    <w:rsid w:val="00CE4842"/>
    <w:rsid w:val="00CE4885"/>
    <w:rsid w:val="00CE4CCE"/>
    <w:rsid w:val="00CE50C4"/>
    <w:rsid w:val="00CE5717"/>
    <w:rsid w:val="00CE5848"/>
    <w:rsid w:val="00CE607F"/>
    <w:rsid w:val="00CE647D"/>
    <w:rsid w:val="00CE6CD2"/>
    <w:rsid w:val="00CE702F"/>
    <w:rsid w:val="00CE7141"/>
    <w:rsid w:val="00CE7280"/>
    <w:rsid w:val="00CE74A3"/>
    <w:rsid w:val="00CE7A3F"/>
    <w:rsid w:val="00CF0130"/>
    <w:rsid w:val="00CF1245"/>
    <w:rsid w:val="00CF147C"/>
    <w:rsid w:val="00CF15B1"/>
    <w:rsid w:val="00CF1902"/>
    <w:rsid w:val="00CF257C"/>
    <w:rsid w:val="00CF261E"/>
    <w:rsid w:val="00CF288E"/>
    <w:rsid w:val="00CF2AA5"/>
    <w:rsid w:val="00CF2B76"/>
    <w:rsid w:val="00CF3095"/>
    <w:rsid w:val="00CF347C"/>
    <w:rsid w:val="00CF3881"/>
    <w:rsid w:val="00CF40B4"/>
    <w:rsid w:val="00CF41A8"/>
    <w:rsid w:val="00CF4240"/>
    <w:rsid w:val="00CF437B"/>
    <w:rsid w:val="00CF45E5"/>
    <w:rsid w:val="00CF483E"/>
    <w:rsid w:val="00CF49A7"/>
    <w:rsid w:val="00CF4BAE"/>
    <w:rsid w:val="00CF53B7"/>
    <w:rsid w:val="00CF545F"/>
    <w:rsid w:val="00CF56DC"/>
    <w:rsid w:val="00CF5CDE"/>
    <w:rsid w:val="00CF6112"/>
    <w:rsid w:val="00CF61DE"/>
    <w:rsid w:val="00CF676D"/>
    <w:rsid w:val="00CF6CA7"/>
    <w:rsid w:val="00CF7090"/>
    <w:rsid w:val="00CF74CE"/>
    <w:rsid w:val="00D00996"/>
    <w:rsid w:val="00D015A9"/>
    <w:rsid w:val="00D01B4E"/>
    <w:rsid w:val="00D01CC1"/>
    <w:rsid w:val="00D026F7"/>
    <w:rsid w:val="00D026FB"/>
    <w:rsid w:val="00D02F9E"/>
    <w:rsid w:val="00D033A5"/>
    <w:rsid w:val="00D034DD"/>
    <w:rsid w:val="00D037AF"/>
    <w:rsid w:val="00D037BC"/>
    <w:rsid w:val="00D042C7"/>
    <w:rsid w:val="00D04742"/>
    <w:rsid w:val="00D04861"/>
    <w:rsid w:val="00D04952"/>
    <w:rsid w:val="00D04D26"/>
    <w:rsid w:val="00D04E5A"/>
    <w:rsid w:val="00D05500"/>
    <w:rsid w:val="00D05BB9"/>
    <w:rsid w:val="00D05CEE"/>
    <w:rsid w:val="00D060ED"/>
    <w:rsid w:val="00D0616D"/>
    <w:rsid w:val="00D062FA"/>
    <w:rsid w:val="00D06301"/>
    <w:rsid w:val="00D066B9"/>
    <w:rsid w:val="00D06761"/>
    <w:rsid w:val="00D06A16"/>
    <w:rsid w:val="00D06DB7"/>
    <w:rsid w:val="00D076D9"/>
    <w:rsid w:val="00D07706"/>
    <w:rsid w:val="00D07A59"/>
    <w:rsid w:val="00D07C64"/>
    <w:rsid w:val="00D07D11"/>
    <w:rsid w:val="00D104F8"/>
    <w:rsid w:val="00D1054E"/>
    <w:rsid w:val="00D1078F"/>
    <w:rsid w:val="00D10E60"/>
    <w:rsid w:val="00D10F6C"/>
    <w:rsid w:val="00D110DF"/>
    <w:rsid w:val="00D11C13"/>
    <w:rsid w:val="00D12362"/>
    <w:rsid w:val="00D124F0"/>
    <w:rsid w:val="00D12550"/>
    <w:rsid w:val="00D128E3"/>
    <w:rsid w:val="00D12CD2"/>
    <w:rsid w:val="00D12F22"/>
    <w:rsid w:val="00D13204"/>
    <w:rsid w:val="00D13505"/>
    <w:rsid w:val="00D13583"/>
    <w:rsid w:val="00D136A4"/>
    <w:rsid w:val="00D13D0D"/>
    <w:rsid w:val="00D14577"/>
    <w:rsid w:val="00D14649"/>
    <w:rsid w:val="00D14A3E"/>
    <w:rsid w:val="00D14D23"/>
    <w:rsid w:val="00D1527C"/>
    <w:rsid w:val="00D15558"/>
    <w:rsid w:val="00D15755"/>
    <w:rsid w:val="00D159C8"/>
    <w:rsid w:val="00D159EC"/>
    <w:rsid w:val="00D15C52"/>
    <w:rsid w:val="00D15D8B"/>
    <w:rsid w:val="00D15D8C"/>
    <w:rsid w:val="00D17565"/>
    <w:rsid w:val="00D17984"/>
    <w:rsid w:val="00D205E4"/>
    <w:rsid w:val="00D20B1C"/>
    <w:rsid w:val="00D211AA"/>
    <w:rsid w:val="00D21551"/>
    <w:rsid w:val="00D21766"/>
    <w:rsid w:val="00D217EA"/>
    <w:rsid w:val="00D21977"/>
    <w:rsid w:val="00D21A7F"/>
    <w:rsid w:val="00D21CE1"/>
    <w:rsid w:val="00D222A2"/>
    <w:rsid w:val="00D2272E"/>
    <w:rsid w:val="00D22926"/>
    <w:rsid w:val="00D22F3D"/>
    <w:rsid w:val="00D22F94"/>
    <w:rsid w:val="00D23207"/>
    <w:rsid w:val="00D232AB"/>
    <w:rsid w:val="00D23353"/>
    <w:rsid w:val="00D2373A"/>
    <w:rsid w:val="00D23A71"/>
    <w:rsid w:val="00D23ADA"/>
    <w:rsid w:val="00D23B6A"/>
    <w:rsid w:val="00D242F1"/>
    <w:rsid w:val="00D244C2"/>
    <w:rsid w:val="00D2452D"/>
    <w:rsid w:val="00D24638"/>
    <w:rsid w:val="00D24D4B"/>
    <w:rsid w:val="00D24DAD"/>
    <w:rsid w:val="00D2538C"/>
    <w:rsid w:val="00D25719"/>
    <w:rsid w:val="00D25916"/>
    <w:rsid w:val="00D25A0F"/>
    <w:rsid w:val="00D2613C"/>
    <w:rsid w:val="00D265B1"/>
    <w:rsid w:val="00D269B9"/>
    <w:rsid w:val="00D26D97"/>
    <w:rsid w:val="00D26E87"/>
    <w:rsid w:val="00D26F4A"/>
    <w:rsid w:val="00D27A3C"/>
    <w:rsid w:val="00D3047E"/>
    <w:rsid w:val="00D30AA5"/>
    <w:rsid w:val="00D311D0"/>
    <w:rsid w:val="00D31645"/>
    <w:rsid w:val="00D3167B"/>
    <w:rsid w:val="00D316F9"/>
    <w:rsid w:val="00D31A17"/>
    <w:rsid w:val="00D31DB9"/>
    <w:rsid w:val="00D31EF8"/>
    <w:rsid w:val="00D31F26"/>
    <w:rsid w:val="00D31F57"/>
    <w:rsid w:val="00D32734"/>
    <w:rsid w:val="00D32841"/>
    <w:rsid w:val="00D3299C"/>
    <w:rsid w:val="00D329E6"/>
    <w:rsid w:val="00D33005"/>
    <w:rsid w:val="00D3319B"/>
    <w:rsid w:val="00D3321B"/>
    <w:rsid w:val="00D333FF"/>
    <w:rsid w:val="00D340C0"/>
    <w:rsid w:val="00D3417B"/>
    <w:rsid w:val="00D34436"/>
    <w:rsid w:val="00D34C11"/>
    <w:rsid w:val="00D35333"/>
    <w:rsid w:val="00D35BE9"/>
    <w:rsid w:val="00D35C65"/>
    <w:rsid w:val="00D36099"/>
    <w:rsid w:val="00D36294"/>
    <w:rsid w:val="00D363E1"/>
    <w:rsid w:val="00D3666A"/>
    <w:rsid w:val="00D3696A"/>
    <w:rsid w:val="00D36A22"/>
    <w:rsid w:val="00D374D6"/>
    <w:rsid w:val="00D37972"/>
    <w:rsid w:val="00D37B4A"/>
    <w:rsid w:val="00D4024B"/>
    <w:rsid w:val="00D40425"/>
    <w:rsid w:val="00D40896"/>
    <w:rsid w:val="00D40D02"/>
    <w:rsid w:val="00D41534"/>
    <w:rsid w:val="00D4155F"/>
    <w:rsid w:val="00D41569"/>
    <w:rsid w:val="00D41743"/>
    <w:rsid w:val="00D4177A"/>
    <w:rsid w:val="00D417A0"/>
    <w:rsid w:val="00D41855"/>
    <w:rsid w:val="00D419C3"/>
    <w:rsid w:val="00D41CC5"/>
    <w:rsid w:val="00D41FC4"/>
    <w:rsid w:val="00D42476"/>
    <w:rsid w:val="00D42713"/>
    <w:rsid w:val="00D428AF"/>
    <w:rsid w:val="00D42CE3"/>
    <w:rsid w:val="00D42D80"/>
    <w:rsid w:val="00D42F46"/>
    <w:rsid w:val="00D43369"/>
    <w:rsid w:val="00D437CB"/>
    <w:rsid w:val="00D44253"/>
    <w:rsid w:val="00D448A3"/>
    <w:rsid w:val="00D44C22"/>
    <w:rsid w:val="00D44D78"/>
    <w:rsid w:val="00D44DF5"/>
    <w:rsid w:val="00D44F9D"/>
    <w:rsid w:val="00D451FC"/>
    <w:rsid w:val="00D45C3D"/>
    <w:rsid w:val="00D45E32"/>
    <w:rsid w:val="00D464CD"/>
    <w:rsid w:val="00D46B97"/>
    <w:rsid w:val="00D473B2"/>
    <w:rsid w:val="00D47411"/>
    <w:rsid w:val="00D502B9"/>
    <w:rsid w:val="00D5033E"/>
    <w:rsid w:val="00D505D4"/>
    <w:rsid w:val="00D50B4F"/>
    <w:rsid w:val="00D50F47"/>
    <w:rsid w:val="00D51664"/>
    <w:rsid w:val="00D51D1D"/>
    <w:rsid w:val="00D52207"/>
    <w:rsid w:val="00D5238F"/>
    <w:rsid w:val="00D52D1B"/>
    <w:rsid w:val="00D53073"/>
    <w:rsid w:val="00D535CF"/>
    <w:rsid w:val="00D53E4F"/>
    <w:rsid w:val="00D53F67"/>
    <w:rsid w:val="00D53F99"/>
    <w:rsid w:val="00D5467F"/>
    <w:rsid w:val="00D55DA3"/>
    <w:rsid w:val="00D55E0F"/>
    <w:rsid w:val="00D55EDD"/>
    <w:rsid w:val="00D55F55"/>
    <w:rsid w:val="00D56747"/>
    <w:rsid w:val="00D56A07"/>
    <w:rsid w:val="00D56DFF"/>
    <w:rsid w:val="00D579FE"/>
    <w:rsid w:val="00D57D43"/>
    <w:rsid w:val="00D60338"/>
    <w:rsid w:val="00D60424"/>
    <w:rsid w:val="00D6060D"/>
    <w:rsid w:val="00D60C88"/>
    <w:rsid w:val="00D60E1B"/>
    <w:rsid w:val="00D60F0B"/>
    <w:rsid w:val="00D610B3"/>
    <w:rsid w:val="00D6114C"/>
    <w:rsid w:val="00D618AD"/>
    <w:rsid w:val="00D61F15"/>
    <w:rsid w:val="00D621ED"/>
    <w:rsid w:val="00D622FF"/>
    <w:rsid w:val="00D6238A"/>
    <w:rsid w:val="00D624C9"/>
    <w:rsid w:val="00D629C9"/>
    <w:rsid w:val="00D62AB2"/>
    <w:rsid w:val="00D62AC4"/>
    <w:rsid w:val="00D62B94"/>
    <w:rsid w:val="00D63936"/>
    <w:rsid w:val="00D63B43"/>
    <w:rsid w:val="00D63C31"/>
    <w:rsid w:val="00D63C48"/>
    <w:rsid w:val="00D64289"/>
    <w:rsid w:val="00D644DE"/>
    <w:rsid w:val="00D64772"/>
    <w:rsid w:val="00D64BE7"/>
    <w:rsid w:val="00D65178"/>
    <w:rsid w:val="00D65B02"/>
    <w:rsid w:val="00D65FA0"/>
    <w:rsid w:val="00D662B5"/>
    <w:rsid w:val="00D6667B"/>
    <w:rsid w:val="00D66790"/>
    <w:rsid w:val="00D667BE"/>
    <w:rsid w:val="00D669D6"/>
    <w:rsid w:val="00D674C8"/>
    <w:rsid w:val="00D67F86"/>
    <w:rsid w:val="00D70497"/>
    <w:rsid w:val="00D70DD2"/>
    <w:rsid w:val="00D70DDB"/>
    <w:rsid w:val="00D70EC0"/>
    <w:rsid w:val="00D71194"/>
    <w:rsid w:val="00D711B6"/>
    <w:rsid w:val="00D7134D"/>
    <w:rsid w:val="00D71400"/>
    <w:rsid w:val="00D7174E"/>
    <w:rsid w:val="00D71ACF"/>
    <w:rsid w:val="00D71CF7"/>
    <w:rsid w:val="00D721DA"/>
    <w:rsid w:val="00D7296B"/>
    <w:rsid w:val="00D732A7"/>
    <w:rsid w:val="00D73505"/>
    <w:rsid w:val="00D73EAD"/>
    <w:rsid w:val="00D74167"/>
    <w:rsid w:val="00D742BD"/>
    <w:rsid w:val="00D7489E"/>
    <w:rsid w:val="00D74A49"/>
    <w:rsid w:val="00D74C1B"/>
    <w:rsid w:val="00D7507C"/>
    <w:rsid w:val="00D75ED3"/>
    <w:rsid w:val="00D766B3"/>
    <w:rsid w:val="00D766C1"/>
    <w:rsid w:val="00D769CA"/>
    <w:rsid w:val="00D7747A"/>
    <w:rsid w:val="00D77A34"/>
    <w:rsid w:val="00D77B52"/>
    <w:rsid w:val="00D77C52"/>
    <w:rsid w:val="00D77E5C"/>
    <w:rsid w:val="00D801C5"/>
    <w:rsid w:val="00D80278"/>
    <w:rsid w:val="00D813B8"/>
    <w:rsid w:val="00D81711"/>
    <w:rsid w:val="00D818F3"/>
    <w:rsid w:val="00D81E38"/>
    <w:rsid w:val="00D826CE"/>
    <w:rsid w:val="00D829A7"/>
    <w:rsid w:val="00D82AF4"/>
    <w:rsid w:val="00D82BEA"/>
    <w:rsid w:val="00D82D12"/>
    <w:rsid w:val="00D82F89"/>
    <w:rsid w:val="00D83574"/>
    <w:rsid w:val="00D83633"/>
    <w:rsid w:val="00D8366C"/>
    <w:rsid w:val="00D836DA"/>
    <w:rsid w:val="00D83CE3"/>
    <w:rsid w:val="00D8441F"/>
    <w:rsid w:val="00D84B6C"/>
    <w:rsid w:val="00D84BD4"/>
    <w:rsid w:val="00D84C29"/>
    <w:rsid w:val="00D84E54"/>
    <w:rsid w:val="00D84EAF"/>
    <w:rsid w:val="00D8521C"/>
    <w:rsid w:val="00D855C1"/>
    <w:rsid w:val="00D862BD"/>
    <w:rsid w:val="00D8631D"/>
    <w:rsid w:val="00D864F8"/>
    <w:rsid w:val="00D86D99"/>
    <w:rsid w:val="00D87141"/>
    <w:rsid w:val="00D874E3"/>
    <w:rsid w:val="00D87686"/>
    <w:rsid w:val="00D87E74"/>
    <w:rsid w:val="00D90080"/>
    <w:rsid w:val="00D902F2"/>
    <w:rsid w:val="00D9060E"/>
    <w:rsid w:val="00D908F3"/>
    <w:rsid w:val="00D90D1F"/>
    <w:rsid w:val="00D90D4D"/>
    <w:rsid w:val="00D90E9D"/>
    <w:rsid w:val="00D9135D"/>
    <w:rsid w:val="00D914C8"/>
    <w:rsid w:val="00D91848"/>
    <w:rsid w:val="00D91C77"/>
    <w:rsid w:val="00D92653"/>
    <w:rsid w:val="00D92680"/>
    <w:rsid w:val="00D92866"/>
    <w:rsid w:val="00D932C5"/>
    <w:rsid w:val="00D93874"/>
    <w:rsid w:val="00D93937"/>
    <w:rsid w:val="00D93B10"/>
    <w:rsid w:val="00D93B51"/>
    <w:rsid w:val="00D93BA0"/>
    <w:rsid w:val="00D93D75"/>
    <w:rsid w:val="00D9435A"/>
    <w:rsid w:val="00D94AAB"/>
    <w:rsid w:val="00D951C3"/>
    <w:rsid w:val="00D95394"/>
    <w:rsid w:val="00D95564"/>
    <w:rsid w:val="00D957FB"/>
    <w:rsid w:val="00D960DA"/>
    <w:rsid w:val="00D962F4"/>
    <w:rsid w:val="00D96DF9"/>
    <w:rsid w:val="00D97047"/>
    <w:rsid w:val="00D970E7"/>
    <w:rsid w:val="00D970E8"/>
    <w:rsid w:val="00D976AC"/>
    <w:rsid w:val="00D9799C"/>
    <w:rsid w:val="00D97A0F"/>
    <w:rsid w:val="00D97B9E"/>
    <w:rsid w:val="00D97BBC"/>
    <w:rsid w:val="00D97D6D"/>
    <w:rsid w:val="00DA003C"/>
    <w:rsid w:val="00DA01E5"/>
    <w:rsid w:val="00DA023B"/>
    <w:rsid w:val="00DA032B"/>
    <w:rsid w:val="00DA0456"/>
    <w:rsid w:val="00DA0587"/>
    <w:rsid w:val="00DA05A4"/>
    <w:rsid w:val="00DA0655"/>
    <w:rsid w:val="00DA07D3"/>
    <w:rsid w:val="00DA09AC"/>
    <w:rsid w:val="00DA1BB7"/>
    <w:rsid w:val="00DA1DE8"/>
    <w:rsid w:val="00DA210D"/>
    <w:rsid w:val="00DA2E69"/>
    <w:rsid w:val="00DA2F8F"/>
    <w:rsid w:val="00DA3328"/>
    <w:rsid w:val="00DA3565"/>
    <w:rsid w:val="00DA3691"/>
    <w:rsid w:val="00DA3792"/>
    <w:rsid w:val="00DA39A3"/>
    <w:rsid w:val="00DA4B0F"/>
    <w:rsid w:val="00DA55BB"/>
    <w:rsid w:val="00DA59E8"/>
    <w:rsid w:val="00DA6316"/>
    <w:rsid w:val="00DA6A70"/>
    <w:rsid w:val="00DA6BC9"/>
    <w:rsid w:val="00DA70D4"/>
    <w:rsid w:val="00DA73EE"/>
    <w:rsid w:val="00DA7767"/>
    <w:rsid w:val="00DA7C67"/>
    <w:rsid w:val="00DA7EA2"/>
    <w:rsid w:val="00DB00A2"/>
    <w:rsid w:val="00DB0361"/>
    <w:rsid w:val="00DB07AA"/>
    <w:rsid w:val="00DB15B1"/>
    <w:rsid w:val="00DB167A"/>
    <w:rsid w:val="00DB16CA"/>
    <w:rsid w:val="00DB1AE8"/>
    <w:rsid w:val="00DB1C09"/>
    <w:rsid w:val="00DB22AD"/>
    <w:rsid w:val="00DB23B5"/>
    <w:rsid w:val="00DB26E0"/>
    <w:rsid w:val="00DB2777"/>
    <w:rsid w:val="00DB2A0F"/>
    <w:rsid w:val="00DB2F4B"/>
    <w:rsid w:val="00DB34DA"/>
    <w:rsid w:val="00DB401A"/>
    <w:rsid w:val="00DB43A2"/>
    <w:rsid w:val="00DB46D0"/>
    <w:rsid w:val="00DB474A"/>
    <w:rsid w:val="00DB4F52"/>
    <w:rsid w:val="00DB59DB"/>
    <w:rsid w:val="00DB59E4"/>
    <w:rsid w:val="00DB5CAB"/>
    <w:rsid w:val="00DB6218"/>
    <w:rsid w:val="00DB64BA"/>
    <w:rsid w:val="00DB6987"/>
    <w:rsid w:val="00DB6BC4"/>
    <w:rsid w:val="00DB713E"/>
    <w:rsid w:val="00DB7211"/>
    <w:rsid w:val="00DB7B28"/>
    <w:rsid w:val="00DB7B2B"/>
    <w:rsid w:val="00DB7B87"/>
    <w:rsid w:val="00DB7F14"/>
    <w:rsid w:val="00DB7F65"/>
    <w:rsid w:val="00DC099D"/>
    <w:rsid w:val="00DC09BB"/>
    <w:rsid w:val="00DC0BB0"/>
    <w:rsid w:val="00DC1743"/>
    <w:rsid w:val="00DC1929"/>
    <w:rsid w:val="00DC1BF4"/>
    <w:rsid w:val="00DC273B"/>
    <w:rsid w:val="00DC27CF"/>
    <w:rsid w:val="00DC2A4D"/>
    <w:rsid w:val="00DC307E"/>
    <w:rsid w:val="00DC335E"/>
    <w:rsid w:val="00DC3689"/>
    <w:rsid w:val="00DC3763"/>
    <w:rsid w:val="00DC4661"/>
    <w:rsid w:val="00DC46BA"/>
    <w:rsid w:val="00DC4B33"/>
    <w:rsid w:val="00DC4CC9"/>
    <w:rsid w:val="00DC55E4"/>
    <w:rsid w:val="00DC5B82"/>
    <w:rsid w:val="00DC5CF3"/>
    <w:rsid w:val="00DC5E60"/>
    <w:rsid w:val="00DC6150"/>
    <w:rsid w:val="00DC62BB"/>
    <w:rsid w:val="00DC6806"/>
    <w:rsid w:val="00DC6F32"/>
    <w:rsid w:val="00DC7746"/>
    <w:rsid w:val="00DD053B"/>
    <w:rsid w:val="00DD15EA"/>
    <w:rsid w:val="00DD1765"/>
    <w:rsid w:val="00DD1823"/>
    <w:rsid w:val="00DD210D"/>
    <w:rsid w:val="00DD2365"/>
    <w:rsid w:val="00DD2374"/>
    <w:rsid w:val="00DD2409"/>
    <w:rsid w:val="00DD2E6C"/>
    <w:rsid w:val="00DD3049"/>
    <w:rsid w:val="00DD30CC"/>
    <w:rsid w:val="00DD373C"/>
    <w:rsid w:val="00DD3A12"/>
    <w:rsid w:val="00DD3BA5"/>
    <w:rsid w:val="00DD3EB6"/>
    <w:rsid w:val="00DD48F3"/>
    <w:rsid w:val="00DD4AB8"/>
    <w:rsid w:val="00DD4B67"/>
    <w:rsid w:val="00DD55AB"/>
    <w:rsid w:val="00DD5714"/>
    <w:rsid w:val="00DD59AD"/>
    <w:rsid w:val="00DD5C56"/>
    <w:rsid w:val="00DD5C60"/>
    <w:rsid w:val="00DD5CB6"/>
    <w:rsid w:val="00DD624A"/>
    <w:rsid w:val="00DD6B39"/>
    <w:rsid w:val="00DD70BF"/>
    <w:rsid w:val="00DD716C"/>
    <w:rsid w:val="00DD73CD"/>
    <w:rsid w:val="00DD7812"/>
    <w:rsid w:val="00DD7E93"/>
    <w:rsid w:val="00DE073D"/>
    <w:rsid w:val="00DE0ADC"/>
    <w:rsid w:val="00DE1201"/>
    <w:rsid w:val="00DE1236"/>
    <w:rsid w:val="00DE16BC"/>
    <w:rsid w:val="00DE16ED"/>
    <w:rsid w:val="00DE1F52"/>
    <w:rsid w:val="00DE29DA"/>
    <w:rsid w:val="00DE30E2"/>
    <w:rsid w:val="00DE3158"/>
    <w:rsid w:val="00DE33BF"/>
    <w:rsid w:val="00DE3A9A"/>
    <w:rsid w:val="00DE429F"/>
    <w:rsid w:val="00DE4D93"/>
    <w:rsid w:val="00DE4E6E"/>
    <w:rsid w:val="00DE5087"/>
    <w:rsid w:val="00DE6421"/>
    <w:rsid w:val="00DE6C5B"/>
    <w:rsid w:val="00DE7004"/>
    <w:rsid w:val="00DE706B"/>
    <w:rsid w:val="00DE72F3"/>
    <w:rsid w:val="00DE74A7"/>
    <w:rsid w:val="00DE7C0F"/>
    <w:rsid w:val="00DE7CE2"/>
    <w:rsid w:val="00DF0202"/>
    <w:rsid w:val="00DF0235"/>
    <w:rsid w:val="00DF02C1"/>
    <w:rsid w:val="00DF0689"/>
    <w:rsid w:val="00DF0D12"/>
    <w:rsid w:val="00DF0F10"/>
    <w:rsid w:val="00DF1102"/>
    <w:rsid w:val="00DF150E"/>
    <w:rsid w:val="00DF16C0"/>
    <w:rsid w:val="00DF1A90"/>
    <w:rsid w:val="00DF1F63"/>
    <w:rsid w:val="00DF2084"/>
    <w:rsid w:val="00DF2744"/>
    <w:rsid w:val="00DF2D1A"/>
    <w:rsid w:val="00DF2D46"/>
    <w:rsid w:val="00DF3109"/>
    <w:rsid w:val="00DF3593"/>
    <w:rsid w:val="00DF38F3"/>
    <w:rsid w:val="00DF39F8"/>
    <w:rsid w:val="00DF3A42"/>
    <w:rsid w:val="00DF3A75"/>
    <w:rsid w:val="00DF3B53"/>
    <w:rsid w:val="00DF3B71"/>
    <w:rsid w:val="00DF4695"/>
    <w:rsid w:val="00DF5224"/>
    <w:rsid w:val="00DF548B"/>
    <w:rsid w:val="00DF67D2"/>
    <w:rsid w:val="00DF68A4"/>
    <w:rsid w:val="00DF6957"/>
    <w:rsid w:val="00DF70CC"/>
    <w:rsid w:val="00DF7133"/>
    <w:rsid w:val="00DF7153"/>
    <w:rsid w:val="00DF7427"/>
    <w:rsid w:val="00DF769A"/>
    <w:rsid w:val="00E00088"/>
    <w:rsid w:val="00E009A0"/>
    <w:rsid w:val="00E00D64"/>
    <w:rsid w:val="00E013C0"/>
    <w:rsid w:val="00E01465"/>
    <w:rsid w:val="00E0182C"/>
    <w:rsid w:val="00E018B1"/>
    <w:rsid w:val="00E01D22"/>
    <w:rsid w:val="00E01DD8"/>
    <w:rsid w:val="00E020D6"/>
    <w:rsid w:val="00E02243"/>
    <w:rsid w:val="00E0244A"/>
    <w:rsid w:val="00E02AAB"/>
    <w:rsid w:val="00E02F2B"/>
    <w:rsid w:val="00E03877"/>
    <w:rsid w:val="00E03D23"/>
    <w:rsid w:val="00E041E4"/>
    <w:rsid w:val="00E0425A"/>
    <w:rsid w:val="00E0455C"/>
    <w:rsid w:val="00E048DD"/>
    <w:rsid w:val="00E05114"/>
    <w:rsid w:val="00E0550A"/>
    <w:rsid w:val="00E05FBC"/>
    <w:rsid w:val="00E06776"/>
    <w:rsid w:val="00E06B94"/>
    <w:rsid w:val="00E06BEE"/>
    <w:rsid w:val="00E06F48"/>
    <w:rsid w:val="00E06FAE"/>
    <w:rsid w:val="00E07DBE"/>
    <w:rsid w:val="00E07DC7"/>
    <w:rsid w:val="00E10B7D"/>
    <w:rsid w:val="00E115A7"/>
    <w:rsid w:val="00E115F3"/>
    <w:rsid w:val="00E119ED"/>
    <w:rsid w:val="00E11C6F"/>
    <w:rsid w:val="00E11D20"/>
    <w:rsid w:val="00E11F22"/>
    <w:rsid w:val="00E127D9"/>
    <w:rsid w:val="00E12A60"/>
    <w:rsid w:val="00E133FA"/>
    <w:rsid w:val="00E135A9"/>
    <w:rsid w:val="00E14055"/>
    <w:rsid w:val="00E1437B"/>
    <w:rsid w:val="00E146E6"/>
    <w:rsid w:val="00E147EC"/>
    <w:rsid w:val="00E149EA"/>
    <w:rsid w:val="00E14CD3"/>
    <w:rsid w:val="00E1558B"/>
    <w:rsid w:val="00E1598C"/>
    <w:rsid w:val="00E16675"/>
    <w:rsid w:val="00E16D85"/>
    <w:rsid w:val="00E16E89"/>
    <w:rsid w:val="00E16E93"/>
    <w:rsid w:val="00E16F88"/>
    <w:rsid w:val="00E17115"/>
    <w:rsid w:val="00E1728F"/>
    <w:rsid w:val="00E17508"/>
    <w:rsid w:val="00E1783A"/>
    <w:rsid w:val="00E178B0"/>
    <w:rsid w:val="00E206D1"/>
    <w:rsid w:val="00E20705"/>
    <w:rsid w:val="00E207FC"/>
    <w:rsid w:val="00E211A7"/>
    <w:rsid w:val="00E21483"/>
    <w:rsid w:val="00E21D6C"/>
    <w:rsid w:val="00E223FF"/>
    <w:rsid w:val="00E22447"/>
    <w:rsid w:val="00E22615"/>
    <w:rsid w:val="00E2267B"/>
    <w:rsid w:val="00E227EA"/>
    <w:rsid w:val="00E2311A"/>
    <w:rsid w:val="00E23349"/>
    <w:rsid w:val="00E23426"/>
    <w:rsid w:val="00E23660"/>
    <w:rsid w:val="00E236E3"/>
    <w:rsid w:val="00E23C32"/>
    <w:rsid w:val="00E24688"/>
    <w:rsid w:val="00E24D47"/>
    <w:rsid w:val="00E252A8"/>
    <w:rsid w:val="00E25BDB"/>
    <w:rsid w:val="00E25F0C"/>
    <w:rsid w:val="00E260D2"/>
    <w:rsid w:val="00E261E7"/>
    <w:rsid w:val="00E261EE"/>
    <w:rsid w:val="00E264A6"/>
    <w:rsid w:val="00E26C98"/>
    <w:rsid w:val="00E26D31"/>
    <w:rsid w:val="00E27342"/>
    <w:rsid w:val="00E2761D"/>
    <w:rsid w:val="00E27C0E"/>
    <w:rsid w:val="00E30900"/>
    <w:rsid w:val="00E30C2E"/>
    <w:rsid w:val="00E30E7F"/>
    <w:rsid w:val="00E310F6"/>
    <w:rsid w:val="00E312D5"/>
    <w:rsid w:val="00E31326"/>
    <w:rsid w:val="00E31A1E"/>
    <w:rsid w:val="00E31B9C"/>
    <w:rsid w:val="00E320F4"/>
    <w:rsid w:val="00E32406"/>
    <w:rsid w:val="00E32416"/>
    <w:rsid w:val="00E32C18"/>
    <w:rsid w:val="00E32D01"/>
    <w:rsid w:val="00E32F42"/>
    <w:rsid w:val="00E3328E"/>
    <w:rsid w:val="00E33731"/>
    <w:rsid w:val="00E34484"/>
    <w:rsid w:val="00E34718"/>
    <w:rsid w:val="00E3506D"/>
    <w:rsid w:val="00E360E9"/>
    <w:rsid w:val="00E36373"/>
    <w:rsid w:val="00E368AF"/>
    <w:rsid w:val="00E37424"/>
    <w:rsid w:val="00E378BF"/>
    <w:rsid w:val="00E37FA9"/>
    <w:rsid w:val="00E40541"/>
    <w:rsid w:val="00E40A43"/>
    <w:rsid w:val="00E411EE"/>
    <w:rsid w:val="00E41295"/>
    <w:rsid w:val="00E412CC"/>
    <w:rsid w:val="00E4182B"/>
    <w:rsid w:val="00E4237C"/>
    <w:rsid w:val="00E4242D"/>
    <w:rsid w:val="00E4350E"/>
    <w:rsid w:val="00E436AB"/>
    <w:rsid w:val="00E43AC1"/>
    <w:rsid w:val="00E43FD2"/>
    <w:rsid w:val="00E4427A"/>
    <w:rsid w:val="00E4493A"/>
    <w:rsid w:val="00E44A26"/>
    <w:rsid w:val="00E44C0B"/>
    <w:rsid w:val="00E44ECB"/>
    <w:rsid w:val="00E45180"/>
    <w:rsid w:val="00E45305"/>
    <w:rsid w:val="00E45391"/>
    <w:rsid w:val="00E45AAA"/>
    <w:rsid w:val="00E45E7E"/>
    <w:rsid w:val="00E4694B"/>
    <w:rsid w:val="00E46AC9"/>
    <w:rsid w:val="00E46BDC"/>
    <w:rsid w:val="00E47022"/>
    <w:rsid w:val="00E4718D"/>
    <w:rsid w:val="00E4727E"/>
    <w:rsid w:val="00E47761"/>
    <w:rsid w:val="00E47DD6"/>
    <w:rsid w:val="00E47EB9"/>
    <w:rsid w:val="00E5082A"/>
    <w:rsid w:val="00E509FD"/>
    <w:rsid w:val="00E50E63"/>
    <w:rsid w:val="00E50E6A"/>
    <w:rsid w:val="00E51AC5"/>
    <w:rsid w:val="00E51D65"/>
    <w:rsid w:val="00E51F3B"/>
    <w:rsid w:val="00E52028"/>
    <w:rsid w:val="00E5322F"/>
    <w:rsid w:val="00E53407"/>
    <w:rsid w:val="00E53DB6"/>
    <w:rsid w:val="00E53E47"/>
    <w:rsid w:val="00E54ACA"/>
    <w:rsid w:val="00E54D24"/>
    <w:rsid w:val="00E54D85"/>
    <w:rsid w:val="00E54FB3"/>
    <w:rsid w:val="00E5518B"/>
    <w:rsid w:val="00E5520D"/>
    <w:rsid w:val="00E554FD"/>
    <w:rsid w:val="00E55904"/>
    <w:rsid w:val="00E55E72"/>
    <w:rsid w:val="00E55FD1"/>
    <w:rsid w:val="00E56009"/>
    <w:rsid w:val="00E560F2"/>
    <w:rsid w:val="00E5642D"/>
    <w:rsid w:val="00E569BD"/>
    <w:rsid w:val="00E57021"/>
    <w:rsid w:val="00E570DE"/>
    <w:rsid w:val="00E574B6"/>
    <w:rsid w:val="00E57521"/>
    <w:rsid w:val="00E57AD3"/>
    <w:rsid w:val="00E57C46"/>
    <w:rsid w:val="00E60005"/>
    <w:rsid w:val="00E6031F"/>
    <w:rsid w:val="00E6034E"/>
    <w:rsid w:val="00E604CD"/>
    <w:rsid w:val="00E604ED"/>
    <w:rsid w:val="00E60616"/>
    <w:rsid w:val="00E60C19"/>
    <w:rsid w:val="00E60C9C"/>
    <w:rsid w:val="00E6157A"/>
    <w:rsid w:val="00E617F4"/>
    <w:rsid w:val="00E61BB1"/>
    <w:rsid w:val="00E62185"/>
    <w:rsid w:val="00E628DC"/>
    <w:rsid w:val="00E62A32"/>
    <w:rsid w:val="00E62BEB"/>
    <w:rsid w:val="00E62D06"/>
    <w:rsid w:val="00E6346D"/>
    <w:rsid w:val="00E6397D"/>
    <w:rsid w:val="00E64002"/>
    <w:rsid w:val="00E64005"/>
    <w:rsid w:val="00E640AA"/>
    <w:rsid w:val="00E64A31"/>
    <w:rsid w:val="00E64ABA"/>
    <w:rsid w:val="00E65AD8"/>
    <w:rsid w:val="00E65E10"/>
    <w:rsid w:val="00E66115"/>
    <w:rsid w:val="00E662A7"/>
    <w:rsid w:val="00E66614"/>
    <w:rsid w:val="00E6675A"/>
    <w:rsid w:val="00E66924"/>
    <w:rsid w:val="00E673BA"/>
    <w:rsid w:val="00E67C6F"/>
    <w:rsid w:val="00E70127"/>
    <w:rsid w:val="00E70282"/>
    <w:rsid w:val="00E70344"/>
    <w:rsid w:val="00E70771"/>
    <w:rsid w:val="00E70978"/>
    <w:rsid w:val="00E7176C"/>
    <w:rsid w:val="00E71836"/>
    <w:rsid w:val="00E7199D"/>
    <w:rsid w:val="00E71CEB"/>
    <w:rsid w:val="00E722AF"/>
    <w:rsid w:val="00E72502"/>
    <w:rsid w:val="00E72B6B"/>
    <w:rsid w:val="00E72CCC"/>
    <w:rsid w:val="00E72F93"/>
    <w:rsid w:val="00E731C6"/>
    <w:rsid w:val="00E7359D"/>
    <w:rsid w:val="00E7398B"/>
    <w:rsid w:val="00E73D12"/>
    <w:rsid w:val="00E74154"/>
    <w:rsid w:val="00E747D7"/>
    <w:rsid w:val="00E74B15"/>
    <w:rsid w:val="00E74BE7"/>
    <w:rsid w:val="00E750FA"/>
    <w:rsid w:val="00E75C25"/>
    <w:rsid w:val="00E76381"/>
    <w:rsid w:val="00E76A74"/>
    <w:rsid w:val="00E76ABB"/>
    <w:rsid w:val="00E76B0B"/>
    <w:rsid w:val="00E80035"/>
    <w:rsid w:val="00E80311"/>
    <w:rsid w:val="00E8043B"/>
    <w:rsid w:val="00E81615"/>
    <w:rsid w:val="00E81A34"/>
    <w:rsid w:val="00E81E54"/>
    <w:rsid w:val="00E823A1"/>
    <w:rsid w:val="00E8269B"/>
    <w:rsid w:val="00E83093"/>
    <w:rsid w:val="00E83417"/>
    <w:rsid w:val="00E83875"/>
    <w:rsid w:val="00E84065"/>
    <w:rsid w:val="00E840E1"/>
    <w:rsid w:val="00E84563"/>
    <w:rsid w:val="00E84C72"/>
    <w:rsid w:val="00E8537F"/>
    <w:rsid w:val="00E85860"/>
    <w:rsid w:val="00E85E13"/>
    <w:rsid w:val="00E86123"/>
    <w:rsid w:val="00E872DB"/>
    <w:rsid w:val="00E8752B"/>
    <w:rsid w:val="00E87847"/>
    <w:rsid w:val="00E87C8E"/>
    <w:rsid w:val="00E87FC2"/>
    <w:rsid w:val="00E90ADC"/>
    <w:rsid w:val="00E90EE7"/>
    <w:rsid w:val="00E911DF"/>
    <w:rsid w:val="00E914AE"/>
    <w:rsid w:val="00E91DCE"/>
    <w:rsid w:val="00E91EBE"/>
    <w:rsid w:val="00E92926"/>
    <w:rsid w:val="00E92B30"/>
    <w:rsid w:val="00E92DCF"/>
    <w:rsid w:val="00E9309E"/>
    <w:rsid w:val="00E930FA"/>
    <w:rsid w:val="00E93170"/>
    <w:rsid w:val="00E93202"/>
    <w:rsid w:val="00E932D5"/>
    <w:rsid w:val="00E93601"/>
    <w:rsid w:val="00E93801"/>
    <w:rsid w:val="00E94248"/>
    <w:rsid w:val="00E94301"/>
    <w:rsid w:val="00E9457E"/>
    <w:rsid w:val="00E94A66"/>
    <w:rsid w:val="00E94E74"/>
    <w:rsid w:val="00E94E8B"/>
    <w:rsid w:val="00E9596B"/>
    <w:rsid w:val="00E960FD"/>
    <w:rsid w:val="00E96143"/>
    <w:rsid w:val="00E9628F"/>
    <w:rsid w:val="00E96615"/>
    <w:rsid w:val="00E96F6A"/>
    <w:rsid w:val="00E971C3"/>
    <w:rsid w:val="00E97604"/>
    <w:rsid w:val="00E976DF"/>
    <w:rsid w:val="00E97A0B"/>
    <w:rsid w:val="00E97BD3"/>
    <w:rsid w:val="00E97EEF"/>
    <w:rsid w:val="00EA008F"/>
    <w:rsid w:val="00EA07C0"/>
    <w:rsid w:val="00EA0D94"/>
    <w:rsid w:val="00EA1417"/>
    <w:rsid w:val="00EA1668"/>
    <w:rsid w:val="00EA1B29"/>
    <w:rsid w:val="00EA1F7F"/>
    <w:rsid w:val="00EA2851"/>
    <w:rsid w:val="00EA2B07"/>
    <w:rsid w:val="00EA2E94"/>
    <w:rsid w:val="00EA3015"/>
    <w:rsid w:val="00EA30C0"/>
    <w:rsid w:val="00EA344A"/>
    <w:rsid w:val="00EA351C"/>
    <w:rsid w:val="00EA3720"/>
    <w:rsid w:val="00EA3C0F"/>
    <w:rsid w:val="00EA450C"/>
    <w:rsid w:val="00EA467D"/>
    <w:rsid w:val="00EA488D"/>
    <w:rsid w:val="00EA4CAB"/>
    <w:rsid w:val="00EA5552"/>
    <w:rsid w:val="00EA55C0"/>
    <w:rsid w:val="00EA591E"/>
    <w:rsid w:val="00EA5C7C"/>
    <w:rsid w:val="00EA5F60"/>
    <w:rsid w:val="00EA655D"/>
    <w:rsid w:val="00EA65AC"/>
    <w:rsid w:val="00EA66E6"/>
    <w:rsid w:val="00EA6BA8"/>
    <w:rsid w:val="00EA6D94"/>
    <w:rsid w:val="00EA701D"/>
    <w:rsid w:val="00EA7144"/>
    <w:rsid w:val="00EA72B2"/>
    <w:rsid w:val="00EA7DEA"/>
    <w:rsid w:val="00EB0AD9"/>
    <w:rsid w:val="00EB22EA"/>
    <w:rsid w:val="00EB295A"/>
    <w:rsid w:val="00EB3003"/>
    <w:rsid w:val="00EB360C"/>
    <w:rsid w:val="00EB426B"/>
    <w:rsid w:val="00EB46C3"/>
    <w:rsid w:val="00EB4778"/>
    <w:rsid w:val="00EB47B0"/>
    <w:rsid w:val="00EB4B96"/>
    <w:rsid w:val="00EB4E02"/>
    <w:rsid w:val="00EB4F9F"/>
    <w:rsid w:val="00EB51A6"/>
    <w:rsid w:val="00EB5242"/>
    <w:rsid w:val="00EB5355"/>
    <w:rsid w:val="00EB538B"/>
    <w:rsid w:val="00EB5E6D"/>
    <w:rsid w:val="00EB7D92"/>
    <w:rsid w:val="00EB7E88"/>
    <w:rsid w:val="00EC05A2"/>
    <w:rsid w:val="00EC05CF"/>
    <w:rsid w:val="00EC0662"/>
    <w:rsid w:val="00EC07D9"/>
    <w:rsid w:val="00EC0FDD"/>
    <w:rsid w:val="00EC1219"/>
    <w:rsid w:val="00EC128E"/>
    <w:rsid w:val="00EC1458"/>
    <w:rsid w:val="00EC1535"/>
    <w:rsid w:val="00EC1AC8"/>
    <w:rsid w:val="00EC2610"/>
    <w:rsid w:val="00EC2E20"/>
    <w:rsid w:val="00EC300D"/>
    <w:rsid w:val="00EC32A5"/>
    <w:rsid w:val="00EC3649"/>
    <w:rsid w:val="00EC366B"/>
    <w:rsid w:val="00EC3B49"/>
    <w:rsid w:val="00EC4758"/>
    <w:rsid w:val="00EC4915"/>
    <w:rsid w:val="00EC57D3"/>
    <w:rsid w:val="00EC5A54"/>
    <w:rsid w:val="00EC5EB6"/>
    <w:rsid w:val="00EC6741"/>
    <w:rsid w:val="00EC6B5C"/>
    <w:rsid w:val="00EC757D"/>
    <w:rsid w:val="00EC7E7E"/>
    <w:rsid w:val="00EC7F0F"/>
    <w:rsid w:val="00ED01B0"/>
    <w:rsid w:val="00ED0202"/>
    <w:rsid w:val="00ED0A3F"/>
    <w:rsid w:val="00ED0EF9"/>
    <w:rsid w:val="00ED0FA2"/>
    <w:rsid w:val="00ED1174"/>
    <w:rsid w:val="00ED13F4"/>
    <w:rsid w:val="00ED1831"/>
    <w:rsid w:val="00ED1E76"/>
    <w:rsid w:val="00ED293C"/>
    <w:rsid w:val="00ED29A2"/>
    <w:rsid w:val="00ED2F72"/>
    <w:rsid w:val="00ED36EC"/>
    <w:rsid w:val="00ED3ACC"/>
    <w:rsid w:val="00ED471B"/>
    <w:rsid w:val="00ED5042"/>
    <w:rsid w:val="00ED50F3"/>
    <w:rsid w:val="00ED5B3F"/>
    <w:rsid w:val="00ED5B85"/>
    <w:rsid w:val="00ED5BB3"/>
    <w:rsid w:val="00ED5D08"/>
    <w:rsid w:val="00ED5D4B"/>
    <w:rsid w:val="00ED5E38"/>
    <w:rsid w:val="00ED630B"/>
    <w:rsid w:val="00ED6762"/>
    <w:rsid w:val="00ED68E5"/>
    <w:rsid w:val="00ED68EC"/>
    <w:rsid w:val="00ED6BC3"/>
    <w:rsid w:val="00ED7366"/>
    <w:rsid w:val="00ED7509"/>
    <w:rsid w:val="00ED75B9"/>
    <w:rsid w:val="00ED778D"/>
    <w:rsid w:val="00ED7997"/>
    <w:rsid w:val="00EE04CE"/>
    <w:rsid w:val="00EE1BC4"/>
    <w:rsid w:val="00EE1BEE"/>
    <w:rsid w:val="00EE223E"/>
    <w:rsid w:val="00EE23E0"/>
    <w:rsid w:val="00EE2852"/>
    <w:rsid w:val="00EE2867"/>
    <w:rsid w:val="00EE2AC8"/>
    <w:rsid w:val="00EE2AE8"/>
    <w:rsid w:val="00EE2B53"/>
    <w:rsid w:val="00EE2FDE"/>
    <w:rsid w:val="00EE35E8"/>
    <w:rsid w:val="00EE3652"/>
    <w:rsid w:val="00EE380A"/>
    <w:rsid w:val="00EE3AE7"/>
    <w:rsid w:val="00EE3E02"/>
    <w:rsid w:val="00EE442D"/>
    <w:rsid w:val="00EE4796"/>
    <w:rsid w:val="00EE5014"/>
    <w:rsid w:val="00EE58E4"/>
    <w:rsid w:val="00EE5921"/>
    <w:rsid w:val="00EE5A28"/>
    <w:rsid w:val="00EE65F2"/>
    <w:rsid w:val="00EE6E59"/>
    <w:rsid w:val="00EE7208"/>
    <w:rsid w:val="00EE75EA"/>
    <w:rsid w:val="00EE79CC"/>
    <w:rsid w:val="00EF0646"/>
    <w:rsid w:val="00EF0F6E"/>
    <w:rsid w:val="00EF1E97"/>
    <w:rsid w:val="00EF1E9D"/>
    <w:rsid w:val="00EF202D"/>
    <w:rsid w:val="00EF207E"/>
    <w:rsid w:val="00EF2639"/>
    <w:rsid w:val="00EF267F"/>
    <w:rsid w:val="00EF2DBA"/>
    <w:rsid w:val="00EF3237"/>
    <w:rsid w:val="00EF3278"/>
    <w:rsid w:val="00EF334D"/>
    <w:rsid w:val="00EF3C8B"/>
    <w:rsid w:val="00EF3E8B"/>
    <w:rsid w:val="00EF4178"/>
    <w:rsid w:val="00EF44F8"/>
    <w:rsid w:val="00EF53A6"/>
    <w:rsid w:val="00EF5743"/>
    <w:rsid w:val="00EF58AD"/>
    <w:rsid w:val="00EF61E0"/>
    <w:rsid w:val="00EF71CE"/>
    <w:rsid w:val="00EF795C"/>
    <w:rsid w:val="00EF7AEE"/>
    <w:rsid w:val="00EF7BB3"/>
    <w:rsid w:val="00F00678"/>
    <w:rsid w:val="00F0119B"/>
    <w:rsid w:val="00F0152D"/>
    <w:rsid w:val="00F01723"/>
    <w:rsid w:val="00F01E55"/>
    <w:rsid w:val="00F02140"/>
    <w:rsid w:val="00F02FF6"/>
    <w:rsid w:val="00F03559"/>
    <w:rsid w:val="00F03602"/>
    <w:rsid w:val="00F0394F"/>
    <w:rsid w:val="00F040BA"/>
    <w:rsid w:val="00F043FC"/>
    <w:rsid w:val="00F04509"/>
    <w:rsid w:val="00F0487D"/>
    <w:rsid w:val="00F049EC"/>
    <w:rsid w:val="00F04ED0"/>
    <w:rsid w:val="00F04F1F"/>
    <w:rsid w:val="00F052DF"/>
    <w:rsid w:val="00F0542E"/>
    <w:rsid w:val="00F058B4"/>
    <w:rsid w:val="00F05B01"/>
    <w:rsid w:val="00F05CCB"/>
    <w:rsid w:val="00F05EAE"/>
    <w:rsid w:val="00F05F09"/>
    <w:rsid w:val="00F06019"/>
    <w:rsid w:val="00F0645B"/>
    <w:rsid w:val="00F06509"/>
    <w:rsid w:val="00F06849"/>
    <w:rsid w:val="00F06CAD"/>
    <w:rsid w:val="00F06CD3"/>
    <w:rsid w:val="00F07156"/>
    <w:rsid w:val="00F0735A"/>
    <w:rsid w:val="00F07903"/>
    <w:rsid w:val="00F0799A"/>
    <w:rsid w:val="00F07ECB"/>
    <w:rsid w:val="00F07F53"/>
    <w:rsid w:val="00F07FE7"/>
    <w:rsid w:val="00F100B1"/>
    <w:rsid w:val="00F10159"/>
    <w:rsid w:val="00F1025A"/>
    <w:rsid w:val="00F105DE"/>
    <w:rsid w:val="00F106B1"/>
    <w:rsid w:val="00F106E6"/>
    <w:rsid w:val="00F10FE2"/>
    <w:rsid w:val="00F1131A"/>
    <w:rsid w:val="00F117E1"/>
    <w:rsid w:val="00F11C78"/>
    <w:rsid w:val="00F125CB"/>
    <w:rsid w:val="00F128F2"/>
    <w:rsid w:val="00F12ED0"/>
    <w:rsid w:val="00F134F8"/>
    <w:rsid w:val="00F13CFE"/>
    <w:rsid w:val="00F13D03"/>
    <w:rsid w:val="00F13FA6"/>
    <w:rsid w:val="00F14040"/>
    <w:rsid w:val="00F145A6"/>
    <w:rsid w:val="00F14CEF"/>
    <w:rsid w:val="00F1546C"/>
    <w:rsid w:val="00F1547C"/>
    <w:rsid w:val="00F15A89"/>
    <w:rsid w:val="00F1661A"/>
    <w:rsid w:val="00F1670A"/>
    <w:rsid w:val="00F1680C"/>
    <w:rsid w:val="00F16853"/>
    <w:rsid w:val="00F1759B"/>
    <w:rsid w:val="00F17922"/>
    <w:rsid w:val="00F17A3F"/>
    <w:rsid w:val="00F17E8D"/>
    <w:rsid w:val="00F205EE"/>
    <w:rsid w:val="00F20AFF"/>
    <w:rsid w:val="00F21192"/>
    <w:rsid w:val="00F21AF1"/>
    <w:rsid w:val="00F21BAC"/>
    <w:rsid w:val="00F21CFF"/>
    <w:rsid w:val="00F226A1"/>
    <w:rsid w:val="00F226B0"/>
    <w:rsid w:val="00F22A91"/>
    <w:rsid w:val="00F22AD8"/>
    <w:rsid w:val="00F22BF0"/>
    <w:rsid w:val="00F22C87"/>
    <w:rsid w:val="00F233AA"/>
    <w:rsid w:val="00F234A1"/>
    <w:rsid w:val="00F23925"/>
    <w:rsid w:val="00F23AAE"/>
    <w:rsid w:val="00F23AD7"/>
    <w:rsid w:val="00F24CB2"/>
    <w:rsid w:val="00F24D0D"/>
    <w:rsid w:val="00F25369"/>
    <w:rsid w:val="00F25862"/>
    <w:rsid w:val="00F26024"/>
    <w:rsid w:val="00F260B3"/>
    <w:rsid w:val="00F26931"/>
    <w:rsid w:val="00F26B4B"/>
    <w:rsid w:val="00F26BF8"/>
    <w:rsid w:val="00F26C70"/>
    <w:rsid w:val="00F26DFE"/>
    <w:rsid w:val="00F26EBD"/>
    <w:rsid w:val="00F26F37"/>
    <w:rsid w:val="00F2706C"/>
    <w:rsid w:val="00F2707B"/>
    <w:rsid w:val="00F2733E"/>
    <w:rsid w:val="00F2779B"/>
    <w:rsid w:val="00F27CDA"/>
    <w:rsid w:val="00F30020"/>
    <w:rsid w:val="00F30248"/>
    <w:rsid w:val="00F30372"/>
    <w:rsid w:val="00F3093B"/>
    <w:rsid w:val="00F3094A"/>
    <w:rsid w:val="00F31FD5"/>
    <w:rsid w:val="00F31FEB"/>
    <w:rsid w:val="00F324CB"/>
    <w:rsid w:val="00F32E15"/>
    <w:rsid w:val="00F32E2B"/>
    <w:rsid w:val="00F32F0C"/>
    <w:rsid w:val="00F335E5"/>
    <w:rsid w:val="00F33A49"/>
    <w:rsid w:val="00F345E6"/>
    <w:rsid w:val="00F3473B"/>
    <w:rsid w:val="00F34DF3"/>
    <w:rsid w:val="00F35158"/>
    <w:rsid w:val="00F35447"/>
    <w:rsid w:val="00F35C45"/>
    <w:rsid w:val="00F35D29"/>
    <w:rsid w:val="00F35DEB"/>
    <w:rsid w:val="00F35F84"/>
    <w:rsid w:val="00F36331"/>
    <w:rsid w:val="00F365A2"/>
    <w:rsid w:val="00F3660D"/>
    <w:rsid w:val="00F369FE"/>
    <w:rsid w:val="00F36E0C"/>
    <w:rsid w:val="00F36FE3"/>
    <w:rsid w:val="00F370C2"/>
    <w:rsid w:val="00F37659"/>
    <w:rsid w:val="00F37706"/>
    <w:rsid w:val="00F37864"/>
    <w:rsid w:val="00F37935"/>
    <w:rsid w:val="00F37A01"/>
    <w:rsid w:val="00F40291"/>
    <w:rsid w:val="00F40635"/>
    <w:rsid w:val="00F40E1B"/>
    <w:rsid w:val="00F413ED"/>
    <w:rsid w:val="00F42095"/>
    <w:rsid w:val="00F420DB"/>
    <w:rsid w:val="00F42663"/>
    <w:rsid w:val="00F42D66"/>
    <w:rsid w:val="00F42F7C"/>
    <w:rsid w:val="00F432FC"/>
    <w:rsid w:val="00F4333B"/>
    <w:rsid w:val="00F43C9E"/>
    <w:rsid w:val="00F44296"/>
    <w:rsid w:val="00F4445A"/>
    <w:rsid w:val="00F44664"/>
    <w:rsid w:val="00F44744"/>
    <w:rsid w:val="00F44DA3"/>
    <w:rsid w:val="00F452BF"/>
    <w:rsid w:val="00F45718"/>
    <w:rsid w:val="00F4595F"/>
    <w:rsid w:val="00F46127"/>
    <w:rsid w:val="00F4691D"/>
    <w:rsid w:val="00F4699F"/>
    <w:rsid w:val="00F46C7C"/>
    <w:rsid w:val="00F46FCD"/>
    <w:rsid w:val="00F477A6"/>
    <w:rsid w:val="00F47B2B"/>
    <w:rsid w:val="00F47DC5"/>
    <w:rsid w:val="00F47DFC"/>
    <w:rsid w:val="00F500E8"/>
    <w:rsid w:val="00F50C67"/>
    <w:rsid w:val="00F51274"/>
    <w:rsid w:val="00F512F7"/>
    <w:rsid w:val="00F51396"/>
    <w:rsid w:val="00F51C65"/>
    <w:rsid w:val="00F52E0E"/>
    <w:rsid w:val="00F52FAD"/>
    <w:rsid w:val="00F53C45"/>
    <w:rsid w:val="00F54D86"/>
    <w:rsid w:val="00F55068"/>
    <w:rsid w:val="00F55095"/>
    <w:rsid w:val="00F5526D"/>
    <w:rsid w:val="00F556DA"/>
    <w:rsid w:val="00F5576D"/>
    <w:rsid w:val="00F55A24"/>
    <w:rsid w:val="00F55A45"/>
    <w:rsid w:val="00F56314"/>
    <w:rsid w:val="00F56832"/>
    <w:rsid w:val="00F56C65"/>
    <w:rsid w:val="00F56D50"/>
    <w:rsid w:val="00F57308"/>
    <w:rsid w:val="00F573E3"/>
    <w:rsid w:val="00F574A4"/>
    <w:rsid w:val="00F574AD"/>
    <w:rsid w:val="00F57679"/>
    <w:rsid w:val="00F5785E"/>
    <w:rsid w:val="00F57948"/>
    <w:rsid w:val="00F57E97"/>
    <w:rsid w:val="00F60222"/>
    <w:rsid w:val="00F6103F"/>
    <w:rsid w:val="00F61201"/>
    <w:rsid w:val="00F6165C"/>
    <w:rsid w:val="00F616E4"/>
    <w:rsid w:val="00F6177B"/>
    <w:rsid w:val="00F61E14"/>
    <w:rsid w:val="00F61E38"/>
    <w:rsid w:val="00F61F28"/>
    <w:rsid w:val="00F62572"/>
    <w:rsid w:val="00F625F2"/>
    <w:rsid w:val="00F630C9"/>
    <w:rsid w:val="00F632AD"/>
    <w:rsid w:val="00F636DF"/>
    <w:rsid w:val="00F63A00"/>
    <w:rsid w:val="00F63DE1"/>
    <w:rsid w:val="00F63FE1"/>
    <w:rsid w:val="00F64E48"/>
    <w:rsid w:val="00F6529F"/>
    <w:rsid w:val="00F65327"/>
    <w:rsid w:val="00F65B73"/>
    <w:rsid w:val="00F65F50"/>
    <w:rsid w:val="00F663F9"/>
    <w:rsid w:val="00F66EF8"/>
    <w:rsid w:val="00F66F12"/>
    <w:rsid w:val="00F672C1"/>
    <w:rsid w:val="00F672D6"/>
    <w:rsid w:val="00F6739D"/>
    <w:rsid w:val="00F677D9"/>
    <w:rsid w:val="00F67AFA"/>
    <w:rsid w:val="00F67B3C"/>
    <w:rsid w:val="00F67B8C"/>
    <w:rsid w:val="00F67BDF"/>
    <w:rsid w:val="00F67F38"/>
    <w:rsid w:val="00F70B26"/>
    <w:rsid w:val="00F71565"/>
    <w:rsid w:val="00F71602"/>
    <w:rsid w:val="00F71A83"/>
    <w:rsid w:val="00F71AA4"/>
    <w:rsid w:val="00F71E0A"/>
    <w:rsid w:val="00F71E4C"/>
    <w:rsid w:val="00F72669"/>
    <w:rsid w:val="00F72736"/>
    <w:rsid w:val="00F72808"/>
    <w:rsid w:val="00F72B42"/>
    <w:rsid w:val="00F72BB2"/>
    <w:rsid w:val="00F72BF2"/>
    <w:rsid w:val="00F730C9"/>
    <w:rsid w:val="00F733E9"/>
    <w:rsid w:val="00F733F3"/>
    <w:rsid w:val="00F735A6"/>
    <w:rsid w:val="00F7385C"/>
    <w:rsid w:val="00F73A39"/>
    <w:rsid w:val="00F73B15"/>
    <w:rsid w:val="00F73E47"/>
    <w:rsid w:val="00F74FA0"/>
    <w:rsid w:val="00F74FCF"/>
    <w:rsid w:val="00F75033"/>
    <w:rsid w:val="00F751D6"/>
    <w:rsid w:val="00F758FF"/>
    <w:rsid w:val="00F75D3A"/>
    <w:rsid w:val="00F75D4D"/>
    <w:rsid w:val="00F7777F"/>
    <w:rsid w:val="00F77B95"/>
    <w:rsid w:val="00F77E41"/>
    <w:rsid w:val="00F80139"/>
    <w:rsid w:val="00F80360"/>
    <w:rsid w:val="00F805FC"/>
    <w:rsid w:val="00F80B87"/>
    <w:rsid w:val="00F8142F"/>
    <w:rsid w:val="00F814D5"/>
    <w:rsid w:val="00F815C5"/>
    <w:rsid w:val="00F8231E"/>
    <w:rsid w:val="00F825B5"/>
    <w:rsid w:val="00F82848"/>
    <w:rsid w:val="00F82EA5"/>
    <w:rsid w:val="00F834C8"/>
    <w:rsid w:val="00F83B5D"/>
    <w:rsid w:val="00F840ED"/>
    <w:rsid w:val="00F841CA"/>
    <w:rsid w:val="00F84787"/>
    <w:rsid w:val="00F84BF2"/>
    <w:rsid w:val="00F84E5C"/>
    <w:rsid w:val="00F853C7"/>
    <w:rsid w:val="00F86053"/>
    <w:rsid w:val="00F86902"/>
    <w:rsid w:val="00F86F6C"/>
    <w:rsid w:val="00F876B9"/>
    <w:rsid w:val="00F87B93"/>
    <w:rsid w:val="00F87C31"/>
    <w:rsid w:val="00F87F22"/>
    <w:rsid w:val="00F902B7"/>
    <w:rsid w:val="00F903E4"/>
    <w:rsid w:val="00F907EA"/>
    <w:rsid w:val="00F908E2"/>
    <w:rsid w:val="00F9133C"/>
    <w:rsid w:val="00F916D0"/>
    <w:rsid w:val="00F9212E"/>
    <w:rsid w:val="00F9241F"/>
    <w:rsid w:val="00F928C9"/>
    <w:rsid w:val="00F9296E"/>
    <w:rsid w:val="00F929CC"/>
    <w:rsid w:val="00F929FB"/>
    <w:rsid w:val="00F935BB"/>
    <w:rsid w:val="00F937C3"/>
    <w:rsid w:val="00F93BA5"/>
    <w:rsid w:val="00F94016"/>
    <w:rsid w:val="00F940AD"/>
    <w:rsid w:val="00F941F8"/>
    <w:rsid w:val="00F9445F"/>
    <w:rsid w:val="00F94945"/>
    <w:rsid w:val="00F95055"/>
    <w:rsid w:val="00F954CC"/>
    <w:rsid w:val="00F95696"/>
    <w:rsid w:val="00F95E04"/>
    <w:rsid w:val="00F95F0A"/>
    <w:rsid w:val="00F960C3"/>
    <w:rsid w:val="00F9687B"/>
    <w:rsid w:val="00F96B87"/>
    <w:rsid w:val="00F96E21"/>
    <w:rsid w:val="00F973FE"/>
    <w:rsid w:val="00F97453"/>
    <w:rsid w:val="00F9752D"/>
    <w:rsid w:val="00F977EF"/>
    <w:rsid w:val="00F97818"/>
    <w:rsid w:val="00F9786F"/>
    <w:rsid w:val="00F97BA7"/>
    <w:rsid w:val="00FA0329"/>
    <w:rsid w:val="00FA0481"/>
    <w:rsid w:val="00FA087C"/>
    <w:rsid w:val="00FA1087"/>
    <w:rsid w:val="00FA1462"/>
    <w:rsid w:val="00FA1878"/>
    <w:rsid w:val="00FA1A77"/>
    <w:rsid w:val="00FA27B6"/>
    <w:rsid w:val="00FA27F7"/>
    <w:rsid w:val="00FA2BA5"/>
    <w:rsid w:val="00FA2D75"/>
    <w:rsid w:val="00FA30B2"/>
    <w:rsid w:val="00FA3738"/>
    <w:rsid w:val="00FA3906"/>
    <w:rsid w:val="00FA39F2"/>
    <w:rsid w:val="00FA3A45"/>
    <w:rsid w:val="00FA3A7E"/>
    <w:rsid w:val="00FA3E24"/>
    <w:rsid w:val="00FA45DB"/>
    <w:rsid w:val="00FA49E4"/>
    <w:rsid w:val="00FA500A"/>
    <w:rsid w:val="00FA5106"/>
    <w:rsid w:val="00FA5504"/>
    <w:rsid w:val="00FA5721"/>
    <w:rsid w:val="00FA6B7E"/>
    <w:rsid w:val="00FA7560"/>
    <w:rsid w:val="00FA780C"/>
    <w:rsid w:val="00FA7AF8"/>
    <w:rsid w:val="00FB08DA"/>
    <w:rsid w:val="00FB0BC0"/>
    <w:rsid w:val="00FB0EA8"/>
    <w:rsid w:val="00FB11B0"/>
    <w:rsid w:val="00FB1446"/>
    <w:rsid w:val="00FB16B6"/>
    <w:rsid w:val="00FB1AEB"/>
    <w:rsid w:val="00FB1CA5"/>
    <w:rsid w:val="00FB1DAA"/>
    <w:rsid w:val="00FB1F42"/>
    <w:rsid w:val="00FB30C1"/>
    <w:rsid w:val="00FB361A"/>
    <w:rsid w:val="00FB3957"/>
    <w:rsid w:val="00FB4286"/>
    <w:rsid w:val="00FB466F"/>
    <w:rsid w:val="00FB495B"/>
    <w:rsid w:val="00FB4FC6"/>
    <w:rsid w:val="00FB545E"/>
    <w:rsid w:val="00FB57DB"/>
    <w:rsid w:val="00FB6321"/>
    <w:rsid w:val="00FB6669"/>
    <w:rsid w:val="00FB66B1"/>
    <w:rsid w:val="00FB6976"/>
    <w:rsid w:val="00FB6F38"/>
    <w:rsid w:val="00FB717B"/>
    <w:rsid w:val="00FB76C0"/>
    <w:rsid w:val="00FB7864"/>
    <w:rsid w:val="00FB78CF"/>
    <w:rsid w:val="00FB7A19"/>
    <w:rsid w:val="00FB7B63"/>
    <w:rsid w:val="00FC0074"/>
    <w:rsid w:val="00FC0556"/>
    <w:rsid w:val="00FC06E3"/>
    <w:rsid w:val="00FC0C40"/>
    <w:rsid w:val="00FC0E64"/>
    <w:rsid w:val="00FC0F4A"/>
    <w:rsid w:val="00FC14B0"/>
    <w:rsid w:val="00FC1AE9"/>
    <w:rsid w:val="00FC213C"/>
    <w:rsid w:val="00FC22AB"/>
    <w:rsid w:val="00FC272E"/>
    <w:rsid w:val="00FC294A"/>
    <w:rsid w:val="00FC2B62"/>
    <w:rsid w:val="00FC30A6"/>
    <w:rsid w:val="00FC30F3"/>
    <w:rsid w:val="00FC329C"/>
    <w:rsid w:val="00FC3479"/>
    <w:rsid w:val="00FC35EB"/>
    <w:rsid w:val="00FC409C"/>
    <w:rsid w:val="00FC4403"/>
    <w:rsid w:val="00FC48E5"/>
    <w:rsid w:val="00FC4DBD"/>
    <w:rsid w:val="00FC4ED2"/>
    <w:rsid w:val="00FC512B"/>
    <w:rsid w:val="00FC5150"/>
    <w:rsid w:val="00FC54B5"/>
    <w:rsid w:val="00FC56BE"/>
    <w:rsid w:val="00FC5700"/>
    <w:rsid w:val="00FC594B"/>
    <w:rsid w:val="00FC5D79"/>
    <w:rsid w:val="00FC5FAF"/>
    <w:rsid w:val="00FC6068"/>
    <w:rsid w:val="00FC6238"/>
    <w:rsid w:val="00FC6AED"/>
    <w:rsid w:val="00FC6C6B"/>
    <w:rsid w:val="00FC7119"/>
    <w:rsid w:val="00FC7DDB"/>
    <w:rsid w:val="00FC7E42"/>
    <w:rsid w:val="00FC7EF4"/>
    <w:rsid w:val="00FD05C0"/>
    <w:rsid w:val="00FD05CD"/>
    <w:rsid w:val="00FD06DE"/>
    <w:rsid w:val="00FD07C6"/>
    <w:rsid w:val="00FD0AAD"/>
    <w:rsid w:val="00FD0DA5"/>
    <w:rsid w:val="00FD1088"/>
    <w:rsid w:val="00FD141D"/>
    <w:rsid w:val="00FD19C9"/>
    <w:rsid w:val="00FD1D54"/>
    <w:rsid w:val="00FD2394"/>
    <w:rsid w:val="00FD2DBA"/>
    <w:rsid w:val="00FD2DE0"/>
    <w:rsid w:val="00FD2E62"/>
    <w:rsid w:val="00FD304D"/>
    <w:rsid w:val="00FD32E1"/>
    <w:rsid w:val="00FD3578"/>
    <w:rsid w:val="00FD35D7"/>
    <w:rsid w:val="00FD3A0A"/>
    <w:rsid w:val="00FD4211"/>
    <w:rsid w:val="00FD4505"/>
    <w:rsid w:val="00FD46EA"/>
    <w:rsid w:val="00FD4B66"/>
    <w:rsid w:val="00FD513E"/>
    <w:rsid w:val="00FD5726"/>
    <w:rsid w:val="00FD5A76"/>
    <w:rsid w:val="00FD5FAA"/>
    <w:rsid w:val="00FD626D"/>
    <w:rsid w:val="00FD64CF"/>
    <w:rsid w:val="00FD69E4"/>
    <w:rsid w:val="00FD6CDD"/>
    <w:rsid w:val="00FD6CF2"/>
    <w:rsid w:val="00FD6F99"/>
    <w:rsid w:val="00FD7280"/>
    <w:rsid w:val="00FD7841"/>
    <w:rsid w:val="00FE066A"/>
    <w:rsid w:val="00FE104B"/>
    <w:rsid w:val="00FE152D"/>
    <w:rsid w:val="00FE17C6"/>
    <w:rsid w:val="00FE1B08"/>
    <w:rsid w:val="00FE1E9E"/>
    <w:rsid w:val="00FE2412"/>
    <w:rsid w:val="00FE2431"/>
    <w:rsid w:val="00FE25CA"/>
    <w:rsid w:val="00FE30AE"/>
    <w:rsid w:val="00FE3937"/>
    <w:rsid w:val="00FE43B3"/>
    <w:rsid w:val="00FE47AC"/>
    <w:rsid w:val="00FE4BF4"/>
    <w:rsid w:val="00FE4C58"/>
    <w:rsid w:val="00FE51BC"/>
    <w:rsid w:val="00FE55EF"/>
    <w:rsid w:val="00FE58A4"/>
    <w:rsid w:val="00FE6114"/>
    <w:rsid w:val="00FE6746"/>
    <w:rsid w:val="00FE67AB"/>
    <w:rsid w:val="00FE6A1D"/>
    <w:rsid w:val="00FE74F4"/>
    <w:rsid w:val="00FE775C"/>
    <w:rsid w:val="00FE7D97"/>
    <w:rsid w:val="00FE7DA6"/>
    <w:rsid w:val="00FE7EE9"/>
    <w:rsid w:val="00FE7F8A"/>
    <w:rsid w:val="00FF0350"/>
    <w:rsid w:val="00FF03E3"/>
    <w:rsid w:val="00FF0405"/>
    <w:rsid w:val="00FF0B31"/>
    <w:rsid w:val="00FF0D4D"/>
    <w:rsid w:val="00FF19C1"/>
    <w:rsid w:val="00FF1AE1"/>
    <w:rsid w:val="00FF2293"/>
    <w:rsid w:val="00FF2550"/>
    <w:rsid w:val="00FF28BB"/>
    <w:rsid w:val="00FF2D71"/>
    <w:rsid w:val="00FF321A"/>
    <w:rsid w:val="00FF3592"/>
    <w:rsid w:val="00FF3D90"/>
    <w:rsid w:val="00FF41D7"/>
    <w:rsid w:val="00FF47A7"/>
    <w:rsid w:val="00FF5299"/>
    <w:rsid w:val="00FF5547"/>
    <w:rsid w:val="00FF57C4"/>
    <w:rsid w:val="00FF5B47"/>
    <w:rsid w:val="00FF610D"/>
    <w:rsid w:val="00FF686F"/>
    <w:rsid w:val="00FF6B2B"/>
    <w:rsid w:val="00FF6F84"/>
    <w:rsid w:val="00FF6F8B"/>
    <w:rsid w:val="00FF70BD"/>
    <w:rsid w:val="00FF73D9"/>
    <w:rsid w:val="00FF74DE"/>
    <w:rsid w:val="00FF75D2"/>
    <w:rsid w:val="00FF7704"/>
    <w:rsid w:val="00FF7BFC"/>
    <w:rsid w:val="00FF7E34"/>
    <w:rsid w:val="01ADC506"/>
    <w:rsid w:val="029F91A1"/>
    <w:rsid w:val="0364ABFA"/>
    <w:rsid w:val="039DC650"/>
    <w:rsid w:val="03A4C210"/>
    <w:rsid w:val="03F579FD"/>
    <w:rsid w:val="0469ECF5"/>
    <w:rsid w:val="0527E643"/>
    <w:rsid w:val="0745CD32"/>
    <w:rsid w:val="0765366F"/>
    <w:rsid w:val="083D4D92"/>
    <w:rsid w:val="0AB71D1E"/>
    <w:rsid w:val="0AE28926"/>
    <w:rsid w:val="0C317E71"/>
    <w:rsid w:val="0C8FD635"/>
    <w:rsid w:val="10734C41"/>
    <w:rsid w:val="10BE1225"/>
    <w:rsid w:val="12CEE167"/>
    <w:rsid w:val="13FDB8D6"/>
    <w:rsid w:val="144CEC92"/>
    <w:rsid w:val="147B697D"/>
    <w:rsid w:val="147E1D74"/>
    <w:rsid w:val="14C1D8AA"/>
    <w:rsid w:val="159664ED"/>
    <w:rsid w:val="15E8B55B"/>
    <w:rsid w:val="17116E3F"/>
    <w:rsid w:val="18D79CC3"/>
    <w:rsid w:val="1E6591E7"/>
    <w:rsid w:val="22DE3016"/>
    <w:rsid w:val="24075563"/>
    <w:rsid w:val="240E2D64"/>
    <w:rsid w:val="243CC9DC"/>
    <w:rsid w:val="2493B8A7"/>
    <w:rsid w:val="24EFF52C"/>
    <w:rsid w:val="28296423"/>
    <w:rsid w:val="28C38E6E"/>
    <w:rsid w:val="297CCD5E"/>
    <w:rsid w:val="2AE7B637"/>
    <w:rsid w:val="2CDE1437"/>
    <w:rsid w:val="2DFD17E0"/>
    <w:rsid w:val="2E9CB88B"/>
    <w:rsid w:val="2FB3933C"/>
    <w:rsid w:val="325BACED"/>
    <w:rsid w:val="333A808F"/>
    <w:rsid w:val="33B3F1AD"/>
    <w:rsid w:val="348BEF5E"/>
    <w:rsid w:val="3514827C"/>
    <w:rsid w:val="356DD71C"/>
    <w:rsid w:val="35A1A68C"/>
    <w:rsid w:val="35C69A99"/>
    <w:rsid w:val="35EFFA60"/>
    <w:rsid w:val="35FD09C3"/>
    <w:rsid w:val="36813605"/>
    <w:rsid w:val="379859F2"/>
    <w:rsid w:val="38B53A75"/>
    <w:rsid w:val="3A61A8EE"/>
    <w:rsid w:val="3AE7EB72"/>
    <w:rsid w:val="3B1A5689"/>
    <w:rsid w:val="3B21C475"/>
    <w:rsid w:val="3B93DFE9"/>
    <w:rsid w:val="3C27845D"/>
    <w:rsid w:val="3D8C3BC7"/>
    <w:rsid w:val="3DE0D46E"/>
    <w:rsid w:val="3DF9064E"/>
    <w:rsid w:val="3F683420"/>
    <w:rsid w:val="407EEDFF"/>
    <w:rsid w:val="432D9F6D"/>
    <w:rsid w:val="43C2808B"/>
    <w:rsid w:val="474657B6"/>
    <w:rsid w:val="483FFD7E"/>
    <w:rsid w:val="49F81007"/>
    <w:rsid w:val="4AEB62D2"/>
    <w:rsid w:val="4B6EA114"/>
    <w:rsid w:val="4CD903F3"/>
    <w:rsid w:val="4F56CE5A"/>
    <w:rsid w:val="4F841791"/>
    <w:rsid w:val="501CF7BB"/>
    <w:rsid w:val="518125A7"/>
    <w:rsid w:val="526CF4CF"/>
    <w:rsid w:val="529876B3"/>
    <w:rsid w:val="533DC82F"/>
    <w:rsid w:val="53A85286"/>
    <w:rsid w:val="53A94CAC"/>
    <w:rsid w:val="557E8A50"/>
    <w:rsid w:val="564BA250"/>
    <w:rsid w:val="590DAAE1"/>
    <w:rsid w:val="5B37F72E"/>
    <w:rsid w:val="5C7786F2"/>
    <w:rsid w:val="5E50F0AE"/>
    <w:rsid w:val="5F319C2C"/>
    <w:rsid w:val="611D1A0F"/>
    <w:rsid w:val="61AB49DD"/>
    <w:rsid w:val="62E0246A"/>
    <w:rsid w:val="6323EC69"/>
    <w:rsid w:val="640FDD21"/>
    <w:rsid w:val="65B44F80"/>
    <w:rsid w:val="674BA522"/>
    <w:rsid w:val="68272032"/>
    <w:rsid w:val="6AC13218"/>
    <w:rsid w:val="6B3D51AE"/>
    <w:rsid w:val="6BB2EED6"/>
    <w:rsid w:val="6E3A3932"/>
    <w:rsid w:val="6F0F1220"/>
    <w:rsid w:val="71BF619C"/>
    <w:rsid w:val="752CFA39"/>
    <w:rsid w:val="75FF4A80"/>
    <w:rsid w:val="774EE0BE"/>
    <w:rsid w:val="7936D699"/>
    <w:rsid w:val="79C6582A"/>
    <w:rsid w:val="7A9AFFEE"/>
    <w:rsid w:val="7CB3DFD1"/>
    <w:rsid w:val="7D3B779D"/>
    <w:rsid w:val="7D8CDA2D"/>
    <w:rsid w:val="7E0AF3A7"/>
    <w:rsid w:val="7E3695CD"/>
    <w:rsid w:val="7EC20252"/>
    <w:rsid w:val="7F18D2A5"/>
    <w:rsid w:val="7F531B0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2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uiPriority="8"/>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qFormat="1"/>
    <w:lsdException w:name="Closing" w:semiHidden="1"/>
    <w:lsdException w:name="Signature" w:semiHidden="1"/>
    <w:lsdException w:name="Default Paragraph Font" w:semiHidden="1" w:uiPriority="1" w:unhideWhenUsed="1"/>
    <w:lsdException w:name="Body Text" w:semiHidden="1" w:uiPriority="4"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iPriority="0"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6"/>
    <w:lsdException w:name="Bibliography" w:semiHidden="1" w:uiPriority="37" w:unhideWhenUsed="1"/>
    <w:lsdException w:name="TOC Heading" w:semiHidden="1" w:uiPriority="4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4CD"/>
    <w:pPr>
      <w:spacing w:before="120" w:line="240" w:lineRule="auto"/>
      <w:jc w:val="both"/>
    </w:pPr>
    <w:rPr>
      <w:sz w:val="24"/>
    </w:rPr>
  </w:style>
  <w:style w:type="paragraph" w:styleId="Heading1">
    <w:name w:val="heading 1"/>
    <w:next w:val="MSACESParagraph"/>
    <w:link w:val="Heading1Char"/>
    <w:uiPriority w:val="2"/>
    <w:qFormat/>
    <w:rsid w:val="005C2085"/>
    <w:pPr>
      <w:keepNext/>
      <w:keepLines/>
      <w:numPr>
        <w:numId w:val="3"/>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3"/>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numPr>
        <w:ilvl w:val="5"/>
        <w:numId w:val="3"/>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rsid w:val="003B095E"/>
    <w:pPr>
      <w:numPr>
        <w:ilvl w:val="0"/>
        <w:numId w:val="0"/>
      </w:numPr>
      <w:outlineLvl w:val="4"/>
    </w:pPr>
  </w:style>
  <w:style w:type="paragraph" w:styleId="Heading6">
    <w:name w:val="heading 6"/>
    <w:aliases w:val="Heading 3 - Body"/>
    <w:basedOn w:val="Heading3"/>
    <w:next w:val="Normal"/>
    <w:link w:val="Heading6Char"/>
    <w:uiPriority w:val="12"/>
    <w:rsid w:val="00624315"/>
    <w:pPr>
      <w:outlineLvl w:val="5"/>
    </w:pPr>
    <w:rPr>
      <w:sz w:val="24"/>
    </w:rPr>
  </w:style>
  <w:style w:type="paragraph" w:styleId="Heading7">
    <w:name w:val="heading 7"/>
    <w:basedOn w:val="Heading1"/>
    <w:next w:val="Normal"/>
    <w:link w:val="Heading7Char"/>
    <w:uiPriority w:val="12"/>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qFormat/>
    <w:rsid w:val="002B5D74"/>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qFormat/>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Styl moj,Akapit z listą11,ES Paragraph,PBAC normal points,Bullet List,Figure_name"/>
    <w:basedOn w:val="Normal"/>
    <w:link w:val="ListParagraphChar"/>
    <w:uiPriority w:val="34"/>
    <w:qFormat/>
    <w:rsid w:val="00013016"/>
    <w:pPr>
      <w:numPr>
        <w:ilvl w:val="4"/>
        <w:numId w:val="5"/>
      </w:numPr>
      <w:spacing w:before="0" w:after="120"/>
    </w:pPr>
    <w:rPr>
      <w:color w:val="0D0D0D" w:themeColor="text1" w:themeTint="F2"/>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rsid w:val="00481549"/>
    <w:rPr>
      <w:rFonts w:eastAsiaTheme="majorEastAsia" w:cstheme="majorBidi"/>
      <w:b/>
      <w:sz w:val="24"/>
      <w:szCs w:val="28"/>
    </w:rPr>
  </w:style>
  <w:style w:type="character" w:customStyle="1" w:styleId="Heading7Char">
    <w:name w:val="Heading 7 Char"/>
    <w:basedOn w:val="DefaultParagraphFont"/>
    <w:link w:val="Heading7"/>
    <w:rsid w:val="00481549"/>
    <w:rPr>
      <w:rFonts w:eastAsiaTheme="majorEastAsia" w:cstheme="majorBidi"/>
      <w:b/>
      <w:i/>
      <w:sz w:val="24"/>
      <w:szCs w:val="24"/>
    </w:rPr>
  </w:style>
  <w:style w:type="character" w:customStyle="1" w:styleId="Heading8Char">
    <w:name w:val="Heading 8 Char"/>
    <w:basedOn w:val="DefaultParagraphFont"/>
    <w:link w:val="Heading8"/>
    <w:uiPriority w:val="7"/>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PBAC table,Legemiddelverket 3,HTAtableplain,Table Grid nm,Dossier table,Summary Table,HealthConsult"/>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
    <w:next w:val="Normal"/>
    <w:link w:val="CaptionChar"/>
    <w:autoRedefine/>
    <w:uiPriority w:val="99"/>
    <w:qFormat/>
    <w:rsid w:val="00013016"/>
    <w:pPr>
      <w:keepNext/>
      <w:keepLines/>
      <w:tabs>
        <w:tab w:val="left" w:pos="851"/>
      </w:tabs>
      <w:spacing w:after="0"/>
      <w:contextualSpacing/>
      <w:jc w:val="both"/>
    </w:pPr>
    <w:rPr>
      <w:rFonts w:ascii="Arial Narrow" w:hAnsi="Arial Narrow"/>
      <w:b/>
      <w:iCs/>
      <w:sz w:val="20"/>
      <w:szCs w:val="18"/>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basedOn w:val="DefaultParagraphFont"/>
    <w:uiPriority w:val="99"/>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link w:val="Caption"/>
    <w:uiPriority w:val="99"/>
    <w:qFormat/>
    <w:rsid w:val="00013016"/>
    <w:rPr>
      <w:rFonts w:ascii="Arial Narrow" w:hAnsi="Arial Narrow"/>
      <w:b/>
      <w:iCs/>
      <w:sz w:val="20"/>
      <w:szCs w:val="18"/>
    </w:rPr>
  </w:style>
  <w:style w:type="paragraph" w:customStyle="1" w:styleId="TableFooter">
    <w:name w:val="Table Footer"/>
    <w:basedOn w:val="Normal"/>
    <w:link w:val="TableFooterChar"/>
    <w:qFormat/>
    <w:rsid w:val="00CB55A7"/>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B55A7"/>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rsid w:val="00481549"/>
    <w:rPr>
      <w:sz w:val="24"/>
    </w:rPr>
  </w:style>
  <w:style w:type="paragraph" w:styleId="Footer">
    <w:name w:val="footer"/>
    <w:basedOn w:val="Normal"/>
    <w:link w:val="FooterChar"/>
    <w:uiPriority w:val="99"/>
    <w:qFormat/>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A27F7"/>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A27F7"/>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0"/>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qFormat/>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Styl moj Char"/>
    <w:basedOn w:val="DefaultParagraphFont"/>
    <w:link w:val="ListParagraph"/>
    <w:uiPriority w:val="34"/>
    <w:qFormat/>
    <w:locked/>
    <w:rsid w:val="00013016"/>
    <w:rPr>
      <w:color w:val="0D0D0D" w:themeColor="text1" w:themeTint="F2"/>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imSun" w:hAnsi="@SimSun"/>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imSun" w:hAnsi="@SimSun"/>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imSun" w:hAnsi="@SimSun"/>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spacing w:after="120"/>
      <w:jc w:val="left"/>
    </w:pPr>
    <w:rPr>
      <w:rFonts w:ascii="Calibri" w:hAnsi="Calibri"/>
    </w:rPr>
  </w:style>
  <w:style w:type="paragraph" w:customStyle="1" w:styleId="PBACESHeading2">
    <w:name w:val="PBAC ES Heading 2"/>
    <w:basedOn w:val="Heading2"/>
    <w:link w:val="PBACESHeading2Char"/>
    <w:uiPriority w:val="1"/>
    <w:qFormat/>
    <w:rsid w:val="00013016"/>
    <w:pPr>
      <w:numPr>
        <w:ilvl w:val="2"/>
        <w:numId w:val="5"/>
      </w:numPr>
      <w:spacing w:before="120"/>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013016"/>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Id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Id w:val="1"/>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8"/>
      </w:numPr>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ind w:left="1008" w:hanging="1008"/>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5"/>
      </w:numPr>
      <w:spacing w:before="160" w:after="240"/>
    </w:pPr>
    <w:rPr>
      <w:rFonts w:ascii="Arial" w:hAnsi="Arial"/>
      <w:sz w:val="24"/>
    </w:rPr>
  </w:style>
  <w:style w:type="paragraph" w:customStyle="1" w:styleId="MSACESParagraph">
    <w:name w:val="MSAC ES Paragraph"/>
    <w:link w:val="MSACESParagraphChar"/>
    <w:uiPriority w:val="1"/>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5"/>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4"/>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6"/>
      </w:numPr>
    </w:pPr>
  </w:style>
  <w:style w:type="paragraph" w:customStyle="1" w:styleId="MainBodyBulletPoint">
    <w:name w:val="MainBody Bullet Point"/>
    <w:basedOn w:val="InstructionBulletpoint"/>
    <w:link w:val="MainBodyBulletPointChar"/>
    <w:uiPriority w:val="1"/>
    <w:qFormat/>
    <w:rsid w:val="002532B4"/>
    <w:pPr>
      <w:numPr>
        <w:numId w:val="7"/>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9"/>
      </w:numPr>
    </w:pPr>
  </w:style>
  <w:style w:type="numbering" w:customStyle="1" w:styleId="Style2">
    <w:name w:val="Style2"/>
    <w:uiPriority w:val="99"/>
    <w:rsid w:val="002A391F"/>
    <w:pPr>
      <w:numPr>
        <w:numId w:val="11"/>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rsid w:val="003D1FB3"/>
    <w:rPr>
      <w:i/>
      <w:iCs/>
    </w:rPr>
  </w:style>
  <w:style w:type="numbering" w:customStyle="1" w:styleId="Style3">
    <w:name w:val="Style3"/>
    <w:uiPriority w:val="99"/>
    <w:rsid w:val="0076446C"/>
    <w:pPr>
      <w:numPr>
        <w:numId w:val="12"/>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basedOn w:val="Normal"/>
    <w:link w:val="CommentTextChar"/>
    <w:unhideWhenUsed/>
    <w:rsid w:val="001952BB"/>
    <w:rPr>
      <w:sz w:val="20"/>
      <w:szCs w:val="20"/>
    </w:rPr>
  </w:style>
  <w:style w:type="character" w:customStyle="1" w:styleId="CommentTextChar">
    <w:name w:val="Comment Text Char"/>
    <w:basedOn w:val="DefaultParagraphFont"/>
    <w:link w:val="CommentText"/>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rsid w:val="008A41CD"/>
    <w:pPr>
      <w:spacing w:before="360"/>
    </w:pPr>
  </w:style>
  <w:style w:type="paragraph" w:customStyle="1" w:styleId="Instructionaltext-bullet">
    <w:name w:val="Instructional text - bullet"/>
    <w:basedOn w:val="Instructionaltext0"/>
    <w:qFormat/>
    <w:rsid w:val="00FD07C6"/>
    <w:pPr>
      <w:numPr>
        <w:numId w:val="13"/>
      </w:numPr>
      <w:spacing w:before="0" w:after="0"/>
    </w:pPr>
  </w:style>
  <w:style w:type="paragraph" w:customStyle="1" w:styleId="TableFigureFooter">
    <w:name w:val="Table/Figure Footer"/>
    <w:basedOn w:val="Normal"/>
    <w:link w:val="TableFigureFooterChar"/>
    <w:qFormat/>
    <w:rsid w:val="00B416F4"/>
    <w:pPr>
      <w:tabs>
        <w:tab w:val="left" w:pos="284"/>
      </w:tabs>
      <w:spacing w:before="0" w:after="120"/>
      <w:contextualSpacing/>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B416F4"/>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15"/>
      </w:numPr>
      <w:spacing w:after="120"/>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qFormat/>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ilvl w:val="0"/>
        <w:numId w:val="16"/>
      </w:numPr>
      <w:contextualSpacing/>
    </w:pPr>
    <w:rPr>
      <w:rFonts w:eastAsia="Times New Roman" w:cs="Arial"/>
      <w:snapToGrid w:val="0"/>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numPr>
        <w:ilvl w:val="0"/>
        <w:numId w:val="0"/>
      </w:numPr>
      <w:ind w:left="720" w:hanging="720"/>
    </w:pPr>
    <w:rPr>
      <w:rFonts w:eastAsia="Times New Roman" w:cs="Arial"/>
      <w:snapToGrid w:val="0"/>
      <w:color w:val="auto"/>
      <w:szCs w:val="24"/>
      <w:lang w:eastAsia="en-AU"/>
    </w:rPr>
  </w:style>
  <w:style w:type="character" w:customStyle="1" w:styleId="3-BodyTextChar">
    <w:name w:val="3-Body Text Char"/>
    <w:basedOn w:val="ListParagraphChar"/>
    <w:link w:val="3-BodyText"/>
    <w:rsid w:val="009E2636"/>
    <w:rPr>
      <w:rFonts w:eastAsia="Times New Roman" w:cs="Arial"/>
      <w:snapToGrid w:val="0"/>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basedOn w:val="Normal"/>
    <w:link w:val="BodyTextChar"/>
    <w:uiPriority w:val="4"/>
    <w:unhideWhenUsed/>
    <w:qFormat/>
    <w:rsid w:val="009E2636"/>
    <w:pPr>
      <w:spacing w:after="120"/>
    </w:pPr>
  </w:style>
  <w:style w:type="character" w:customStyle="1" w:styleId="BodyTextChar">
    <w:name w:val="Body Text Char"/>
    <w:basedOn w:val="DefaultParagraphFont"/>
    <w:link w:val="BodyText"/>
    <w:uiPriority w:val="4"/>
    <w:rsid w:val="009E2636"/>
    <w:rPr>
      <w:sz w:val="24"/>
    </w:rPr>
  </w:style>
  <w:style w:type="paragraph" w:customStyle="1" w:styleId="4-SubsectionHeading">
    <w:name w:val="4-Subsection Heading"/>
    <w:basedOn w:val="Heading2"/>
    <w:next w:val="3-BodyText"/>
    <w:link w:val="4-SubsectionHeadingChar"/>
    <w:qFormat/>
    <w:rsid w:val="00C15EDC"/>
    <w:pPr>
      <w:keepLines w:val="0"/>
      <w:numPr>
        <w:ilvl w:val="0"/>
        <w:numId w:val="0"/>
      </w:numPr>
      <w:spacing w:before="120"/>
      <w:jc w:val="both"/>
    </w:pPr>
    <w:rPr>
      <w:snapToGrid/>
      <w:spacing w:val="5"/>
      <w:kern w:val="28"/>
      <w:szCs w:val="36"/>
      <w:lang w:eastAsia="en-AU"/>
    </w:rPr>
  </w:style>
  <w:style w:type="character" w:customStyle="1" w:styleId="4-SubsectionHeadingChar">
    <w:name w:val="4-Subsection Heading Char"/>
    <w:basedOn w:val="Heading2Char"/>
    <w:link w:val="4-SubsectionHeading"/>
    <w:rsid w:val="00C15EDC"/>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paragraph" w:customStyle="1" w:styleId="Tabletext8pt">
    <w:name w:val="Table text 8pt"/>
    <w:basedOn w:val="Tabletext0"/>
    <w:qFormat/>
    <w:rsid w:val="00306590"/>
    <w:pPr>
      <w:keepNext/>
      <w:keepLines/>
      <w:spacing w:before="20" w:after="20"/>
    </w:pPr>
    <w:rPr>
      <w:rFonts w:ascii="Montserrat" w:eastAsia="Calibri" w:hAnsi="Montserrat" w:cs="Calibri"/>
      <w:snapToGrid/>
      <w:sz w:val="16"/>
      <w:szCs w:val="16"/>
      <w:lang w:eastAsia="en-US"/>
    </w:rPr>
  </w:style>
  <w:style w:type="paragraph" w:customStyle="1" w:styleId="Tablenotes">
    <w:name w:val="Tablenotes"/>
    <w:basedOn w:val="Normal"/>
    <w:link w:val="TablenotesChar"/>
    <w:qFormat/>
    <w:rsid w:val="00D82BEA"/>
    <w:pPr>
      <w:widowControl w:val="0"/>
      <w:spacing w:before="40" w:after="240"/>
      <w:contextualSpacing/>
    </w:pPr>
    <w:rPr>
      <w:rFonts w:ascii="Arial Narrow" w:eastAsia="Times New Roman" w:hAnsi="Arial Narrow" w:cs="Arial"/>
      <w:snapToGrid w:val="0"/>
      <w:color w:val="000000" w:themeColor="text1"/>
      <w:sz w:val="20"/>
    </w:rPr>
  </w:style>
  <w:style w:type="character" w:customStyle="1" w:styleId="TablenotesChar">
    <w:name w:val="Tablenotes Char"/>
    <w:basedOn w:val="DefaultParagraphFont"/>
    <w:link w:val="Tablenotes"/>
    <w:rsid w:val="00D82BEA"/>
    <w:rPr>
      <w:rFonts w:ascii="Arial Narrow" w:eastAsia="Times New Roman" w:hAnsi="Arial Narrow" w:cs="Arial"/>
      <w:snapToGrid w:val="0"/>
      <w:color w:val="000000" w:themeColor="text1"/>
      <w:sz w:val="20"/>
    </w:rPr>
  </w:style>
  <w:style w:type="paragraph" w:styleId="EndnoteText">
    <w:name w:val="endnote text"/>
    <w:basedOn w:val="Normal"/>
    <w:link w:val="EndnoteTextChar"/>
    <w:uiPriority w:val="99"/>
    <w:semiHidden/>
    <w:rsid w:val="006212A9"/>
    <w:pPr>
      <w:spacing w:before="0" w:after="0"/>
    </w:pPr>
    <w:rPr>
      <w:sz w:val="20"/>
      <w:szCs w:val="20"/>
    </w:rPr>
  </w:style>
  <w:style w:type="character" w:customStyle="1" w:styleId="EndnoteTextChar">
    <w:name w:val="Endnote Text Char"/>
    <w:basedOn w:val="DefaultParagraphFont"/>
    <w:link w:val="EndnoteText"/>
    <w:uiPriority w:val="99"/>
    <w:semiHidden/>
    <w:rsid w:val="006212A9"/>
    <w:rPr>
      <w:sz w:val="20"/>
      <w:szCs w:val="20"/>
    </w:rPr>
  </w:style>
  <w:style w:type="character" w:styleId="EndnoteReference">
    <w:name w:val="endnote reference"/>
    <w:basedOn w:val="DefaultParagraphFont"/>
    <w:uiPriority w:val="99"/>
    <w:semiHidden/>
    <w:rsid w:val="006212A9"/>
    <w:rPr>
      <w:vertAlign w:val="superscript"/>
    </w:rPr>
  </w:style>
  <w:style w:type="character" w:styleId="UnresolvedMention">
    <w:name w:val="Unresolved Mention"/>
    <w:basedOn w:val="DefaultParagraphFont"/>
    <w:uiPriority w:val="99"/>
    <w:semiHidden/>
    <w:unhideWhenUsed/>
    <w:rsid w:val="00DE0ADC"/>
    <w:rPr>
      <w:color w:val="605E5C"/>
      <w:shd w:val="clear" w:color="auto" w:fill="E1DFDD"/>
    </w:rPr>
  </w:style>
  <w:style w:type="paragraph" w:customStyle="1" w:styleId="TableH28pt">
    <w:name w:val="Table H2 8pt"/>
    <w:basedOn w:val="Normal"/>
    <w:qFormat/>
    <w:rsid w:val="00E260D2"/>
    <w:pPr>
      <w:keepNext/>
      <w:keepLines/>
      <w:spacing w:before="20" w:after="20"/>
      <w:contextualSpacing/>
      <w:jc w:val="left"/>
    </w:pPr>
    <w:rPr>
      <w:rFonts w:ascii="Montserrat" w:eastAsia="Calibri" w:hAnsi="Montserrat" w:cs="Calibri"/>
      <w:b/>
      <w:sz w:val="16"/>
      <w:szCs w:val="20"/>
    </w:rPr>
  </w:style>
  <w:style w:type="paragraph" w:customStyle="1" w:styleId="TableFigNotes18">
    <w:name w:val="TableFigNotes+18"/>
    <w:basedOn w:val="ListParagraph"/>
    <w:next w:val="BodyText"/>
    <w:link w:val="TableFigNotes18Char"/>
    <w:uiPriority w:val="4"/>
    <w:qFormat/>
    <w:rsid w:val="007601A2"/>
    <w:pPr>
      <w:numPr>
        <w:ilvl w:val="0"/>
        <w:numId w:val="0"/>
      </w:numPr>
      <w:spacing w:before="60" w:after="360" w:line="276" w:lineRule="auto"/>
      <w:contextualSpacing/>
      <w:jc w:val="left"/>
    </w:pPr>
    <w:rPr>
      <w:rFonts w:ascii="Montserrat" w:eastAsia="Calibri" w:hAnsi="Montserrat" w:cs="Calibri"/>
      <w:color w:val="auto"/>
      <w:sz w:val="15"/>
      <w:szCs w:val="20"/>
    </w:rPr>
  </w:style>
  <w:style w:type="character" w:customStyle="1" w:styleId="TableFigNotes18Char">
    <w:name w:val="TableFigNotes+18 Char"/>
    <w:basedOn w:val="DefaultParagraphFont"/>
    <w:link w:val="TableFigNotes18"/>
    <w:uiPriority w:val="4"/>
    <w:locked/>
    <w:rsid w:val="007601A2"/>
    <w:rPr>
      <w:rFonts w:ascii="Montserrat" w:eastAsia="Calibri" w:hAnsi="Montserrat" w:cs="Calibri"/>
      <w:sz w:val="15"/>
      <w:szCs w:val="20"/>
    </w:rPr>
  </w:style>
  <w:style w:type="table" w:styleId="TableSimple1">
    <w:name w:val="Table Simple 1"/>
    <w:basedOn w:val="TableNormal"/>
    <w:rsid w:val="00DA7767"/>
    <w:pPr>
      <w:spacing w:after="0" w:line="240" w:lineRule="auto"/>
    </w:pPr>
    <w:rPr>
      <w:rFonts w:ascii="Arial Narrow" w:eastAsia="MS Mincho" w:hAnsi="Arial Narrow" w:cs="Times New Roman"/>
      <w:sz w:val="18"/>
      <w:szCs w:val="20"/>
      <w:lang w:eastAsia="en-AU"/>
    </w:rPr>
    <w:tblPr>
      <w:tblBorders>
        <w:top w:val="single" w:sz="4" w:space="0" w:color="auto"/>
        <w:bottom w:val="single" w:sz="4" w:space="0" w:color="auto"/>
        <w:insideH w:val="single" w:sz="4" w:space="0" w:color="auto"/>
      </w:tblBorders>
    </w:tblPr>
    <w:tcPr>
      <w:shd w:val="clear" w:color="auto" w:fill="auto"/>
    </w:tcPr>
    <w:tblStylePr w:type="firstRow">
      <w:tblPr/>
      <w:tcPr>
        <w:tcBorders>
          <w:bottom w:val="nil"/>
        </w:tcBorders>
        <w:shd w:val="clear" w:color="auto" w:fill="auto"/>
      </w:tcPr>
    </w:tblStylePr>
    <w:tblStylePr w:type="lastRow">
      <w:tblPr/>
      <w:tcPr>
        <w:tcBorders>
          <w:top w:val="single" w:sz="6" w:space="0" w:color="008000"/>
          <w:tl2br w:val="none" w:sz="0" w:space="0" w:color="auto"/>
          <w:tr2bl w:val="none" w:sz="0" w:space="0" w:color="auto"/>
        </w:tcBorders>
      </w:tcPr>
    </w:tblStylePr>
  </w:style>
  <w:style w:type="table" w:customStyle="1" w:styleId="Evideratable">
    <w:name w:val="Evidera table"/>
    <w:basedOn w:val="TableNormal"/>
    <w:rsid w:val="00E76B0B"/>
    <w:pPr>
      <w:spacing w:before="40" w:after="40" w:line="240" w:lineRule="auto"/>
    </w:pPr>
    <w:rPr>
      <w:rFonts w:eastAsia="Times New Roman" w:cs="Times New Roman"/>
      <w:sz w:val="20"/>
      <w:szCs w:val="20"/>
      <w:lang w:val="en-GB" w:eastAsia="en-GB"/>
    </w:rPr>
    <w:tblPr>
      <w:tblStyleRowBandSize w:val="1"/>
      <w:tblInd w:w="0" w:type="nil"/>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8" w:space="0" w:color="E7E6E6" w:themeColor="background2"/>
        <w:insideV w:val="dotted" w:sz="8" w:space="0" w:color="E7E6E6" w:themeColor="background2"/>
      </w:tblBorders>
    </w:tblPr>
    <w:tblStylePr w:type="firstRow">
      <w:rPr>
        <w:rFonts w:asciiTheme="majorHAnsi" w:hAnsiTheme="majorHAnsi" w:cs="Calibri Light" w:hint="default"/>
        <w:b/>
        <w:sz w:val="18"/>
        <w:szCs w:val="18"/>
      </w:rPr>
      <w:tblPr/>
      <w:tcPr>
        <w:tcBorders>
          <w:top w:val="single" w:sz="4" w:space="0" w:color="E7E6E6" w:themeColor="background2"/>
          <w:left w:val="single" w:sz="4" w:space="0" w:color="E7E6E6" w:themeColor="background2"/>
          <w:bottom w:val="single" w:sz="18" w:space="0" w:color="4472C4" w:themeColor="accent5"/>
          <w:right w:val="single" w:sz="4" w:space="0" w:color="E7E6E6" w:themeColor="background2"/>
          <w:insideH w:val="single" w:sz="18" w:space="0" w:color="4472C4" w:themeColor="accent5"/>
          <w:insideV w:val="dotted" w:sz="4" w:space="0" w:color="E7E6E6" w:themeColor="background2"/>
          <w:tl2br w:val="nil"/>
          <w:tr2bl w:val="nil"/>
        </w:tcBorders>
        <w:shd w:val="clear" w:color="auto" w:fill="D9D9D9"/>
      </w:tcPr>
    </w:tblStylePr>
    <w:tblStylePr w:type="lastRow">
      <w:pPr>
        <w:wordWrap/>
        <w:spacing w:beforeLines="0" w:before="100" w:beforeAutospacing="1" w:afterLines="0" w:after="100" w:afterAutospacing="1" w:line="240" w:lineRule="auto"/>
      </w:pPr>
      <w:rPr>
        <w:rFonts w:ascii="Arial" w:hAnsi="Arial" w:cs="Arial" w:hint="default"/>
      </w:rPr>
      <w:tblPr/>
      <w:tcPr>
        <w:tcBorders>
          <w:top w:val="nil"/>
          <w:left w:val="nil"/>
          <w:bottom w:val="single" w:sz="18" w:space="0" w:color="C00000"/>
          <w:right w:val="nil"/>
          <w:insideH w:val="nil"/>
          <w:insideV w:val="nil"/>
          <w:tl2br w:val="nil"/>
          <w:tr2bl w:val="nil"/>
        </w:tcBorders>
      </w:tcPr>
    </w:tblStylePr>
    <w:tblStylePr w:type="firstCol">
      <w:tblPr/>
      <w:tcPr>
        <w:tcBorders>
          <w:left w:val="single" w:sz="4" w:space="0" w:color="E7E6E6" w:themeColor="background2"/>
        </w:tcBorders>
      </w:tcPr>
    </w:tblStylePr>
    <w:tblStylePr w:type="lastCol">
      <w:tblPr/>
      <w:tcPr>
        <w:tcBorders>
          <w:left w:val="nil"/>
          <w:right w:val="single" w:sz="4" w:space="0" w:color="E7E6E6" w:themeColor="background2"/>
        </w:tcBorders>
      </w:tcPr>
    </w:tblStylePr>
    <w:tblStylePr w:type="band1Horz">
      <w:tblPr/>
      <w:tcPr>
        <w:tcBorders>
          <w:insideV w:val="dotted" w:sz="4" w:space="0" w:color="E7E6E6" w:themeColor="background2"/>
        </w:tcBorders>
      </w:tcPr>
    </w:tblStylePr>
    <w:tblStylePr w:type="seCell">
      <w:tblPr/>
      <w:tcPr>
        <w:tcBorders>
          <w:right w:val="single" w:sz="4" w:space="0" w:color="E7E6E6" w:themeColor="background2"/>
        </w:tcBorders>
      </w:tcPr>
    </w:tblStylePr>
    <w:tblStylePr w:type="swCell">
      <w:tblPr/>
      <w:tcPr>
        <w:tcBorders>
          <w:left w:val="single" w:sz="4" w:space="0" w:color="E7E6E6" w:themeColor="background2"/>
        </w:tcBorders>
      </w:tcPr>
    </w:tblStylePr>
  </w:style>
  <w:style w:type="table" w:customStyle="1" w:styleId="RTIAMCPTable3">
    <w:name w:val="RTI AMCP Table3"/>
    <w:basedOn w:val="TableNormal"/>
    <w:next w:val="TableGrid"/>
    <w:uiPriority w:val="39"/>
    <w:rsid w:val="0002166E"/>
    <w:pPr>
      <w:spacing w:after="0" w:line="240" w:lineRule="auto"/>
    </w:pPr>
    <w:rPr>
      <w:rFonts w:cs="Calibri (Body)"/>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cf01">
    <w:name w:val="cf01"/>
    <w:basedOn w:val="DefaultParagraphFont"/>
    <w:rsid w:val="00DE33BF"/>
    <w:rPr>
      <w:rFonts w:ascii="Segoe UI" w:hAnsi="Segoe UI" w:cs="Segoe UI" w:hint="default"/>
      <w:sz w:val="18"/>
      <w:szCs w:val="18"/>
    </w:rPr>
  </w:style>
  <w:style w:type="paragraph" w:customStyle="1" w:styleId="COMH3">
    <w:name w:val="COM H3"/>
    <w:basedOn w:val="Normal"/>
    <w:next w:val="Normal"/>
    <w:link w:val="COMH3Char"/>
    <w:qFormat/>
    <w:rsid w:val="00EF3237"/>
    <w:pPr>
      <w:keepNext/>
      <w:spacing w:before="0" w:after="240"/>
    </w:pPr>
    <w:rPr>
      <w:rFonts w:ascii="Calibri" w:eastAsia="Times New Roman" w:hAnsi="Calibri" w:cs="Arial"/>
      <w:b/>
      <w:iCs/>
      <w:sz w:val="28"/>
      <w:szCs w:val="24"/>
      <w:lang w:eastAsia="en-AU"/>
    </w:rPr>
  </w:style>
  <w:style w:type="character" w:customStyle="1" w:styleId="COMH3Char">
    <w:name w:val="COM H3 Char"/>
    <w:basedOn w:val="DefaultParagraphFont"/>
    <w:link w:val="COMH3"/>
    <w:rsid w:val="00EF3237"/>
    <w:rPr>
      <w:rFonts w:ascii="Calibri" w:eastAsia="Times New Roman" w:hAnsi="Calibri" w:cs="Arial"/>
      <w:b/>
      <w:iCs/>
      <w:sz w:val="28"/>
      <w:szCs w:val="24"/>
      <w:lang w:eastAsia="en-AU"/>
    </w:rPr>
  </w:style>
  <w:style w:type="table" w:customStyle="1" w:styleId="RTIAMCPTable1">
    <w:name w:val="RTI AMCP Table1"/>
    <w:basedOn w:val="TableNormal"/>
    <w:next w:val="TableGrid"/>
    <w:uiPriority w:val="39"/>
    <w:rsid w:val="00F04ED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28ptCentered">
    <w:name w:val="Table H2 8pt + Centered"/>
    <w:basedOn w:val="Normal"/>
    <w:qFormat/>
    <w:rsid w:val="00F67F38"/>
    <w:pPr>
      <w:keepNext/>
      <w:keepLines/>
      <w:spacing w:before="20" w:after="20"/>
      <w:contextualSpacing/>
      <w:jc w:val="center"/>
    </w:pPr>
    <w:rPr>
      <w:rFonts w:ascii="Montserrat" w:eastAsia="Calibri" w:hAnsi="Montserrat" w:cs="Calibri"/>
      <w:b/>
      <w:sz w:val="16"/>
      <w:szCs w:val="20"/>
    </w:rPr>
  </w:style>
  <w:style w:type="paragraph" w:customStyle="1" w:styleId="Tabletext8ptCentered">
    <w:name w:val="Table text 8pt + Centered"/>
    <w:basedOn w:val="Tabletext8pt"/>
    <w:qFormat/>
    <w:rsid w:val="00F67F38"/>
    <w:pPr>
      <w:jc w:val="center"/>
    </w:pPr>
  </w:style>
  <w:style w:type="paragraph" w:customStyle="1" w:styleId="Tablebullet">
    <w:name w:val="Table bullet"/>
    <w:uiPriority w:val="4"/>
    <w:rsid w:val="009170B8"/>
    <w:pPr>
      <w:numPr>
        <w:numId w:val="22"/>
      </w:numPr>
      <w:spacing w:before="40" w:after="60" w:line="240" w:lineRule="auto"/>
    </w:pPr>
    <w:rPr>
      <w:rFonts w:ascii="Montserrat" w:eastAsia="Times New Roman" w:hAnsi="Montserrat" w:cs="Calibri"/>
      <w:bCs/>
      <w:color w:val="000000"/>
      <w:sz w:val="16"/>
      <w:szCs w:val="26"/>
    </w:rPr>
  </w:style>
  <w:style w:type="table" w:customStyle="1" w:styleId="PBACTableStyle1">
    <w:name w:val="PBAC Table Style1"/>
    <w:basedOn w:val="TableGrid1"/>
    <w:uiPriority w:val="99"/>
    <w:rsid w:val="00C46ABB"/>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itka Text" w:hAnsi="Sitka Tex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itka Text" w:hAnsi="Sitka Tex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itka Text" w:hAnsi="Sitka Tex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EndNoteBibliographyTitle">
    <w:name w:val="EndNote Bibliography Title"/>
    <w:basedOn w:val="Normal"/>
    <w:link w:val="EndNoteBibliographyTitleChar"/>
    <w:rsid w:val="00A762A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762AD"/>
    <w:rPr>
      <w:rFonts w:ascii="Calibri" w:hAnsi="Calibri" w:cs="Calibri"/>
      <w:noProof/>
      <w:sz w:val="24"/>
      <w:lang w:val="en-US"/>
    </w:rPr>
  </w:style>
  <w:style w:type="paragraph" w:customStyle="1" w:styleId="EndNoteBibliography">
    <w:name w:val="EndNote Bibliography"/>
    <w:basedOn w:val="Normal"/>
    <w:link w:val="EndNoteBibliographyChar"/>
    <w:rsid w:val="00A762AD"/>
    <w:rPr>
      <w:rFonts w:ascii="Calibri" w:hAnsi="Calibri" w:cs="Calibri"/>
      <w:noProof/>
      <w:lang w:val="en-US"/>
    </w:rPr>
  </w:style>
  <w:style w:type="character" w:customStyle="1" w:styleId="EndNoteBibliographyChar">
    <w:name w:val="EndNote Bibliography Char"/>
    <w:basedOn w:val="DefaultParagraphFont"/>
    <w:link w:val="EndNoteBibliography"/>
    <w:rsid w:val="00A762AD"/>
    <w:rPr>
      <w:rFonts w:ascii="Calibri" w:hAnsi="Calibri" w:cs="Calibri"/>
      <w:noProof/>
      <w:sz w:val="24"/>
      <w:lang w:val="en-US"/>
    </w:rPr>
  </w:style>
  <w:style w:type="character" w:styleId="Mention">
    <w:name w:val="Mention"/>
    <w:basedOn w:val="DefaultParagraphFont"/>
    <w:uiPriority w:val="99"/>
    <w:unhideWhenUsed/>
    <w:rsid w:val="0062190C"/>
    <w:rPr>
      <w:color w:val="2B579A"/>
      <w:shd w:val="clear" w:color="auto" w:fill="E1DFDD"/>
    </w:rPr>
  </w:style>
  <w:style w:type="paragraph" w:customStyle="1" w:styleId="1-MainHeading">
    <w:name w:val="1-Main Heading"/>
    <w:link w:val="1-MainHeadingChar"/>
    <w:qFormat/>
    <w:rsid w:val="00181B1F"/>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181B1F"/>
    <w:rPr>
      <w:rFonts w:eastAsiaTheme="majorEastAsia" w:cstheme="majorBidi"/>
      <w:b/>
      <w:spacing w:val="5"/>
      <w:kern w:val="28"/>
      <w:sz w:val="36"/>
      <w:szCs w:val="36"/>
      <w:lang w:eastAsia="en-AU"/>
    </w:rPr>
  </w:style>
  <w:style w:type="paragraph" w:customStyle="1" w:styleId="Checklist">
    <w:name w:val="Checklist"/>
    <w:basedOn w:val="Normal"/>
    <w:qFormat/>
    <w:rsid w:val="00785C2F"/>
    <w:pPr>
      <w:spacing w:before="0" w:after="120"/>
      <w:ind w:left="709" w:hanging="709"/>
      <w:jc w:val="left"/>
    </w:pPr>
    <w:rPr>
      <w:rFonts w:ascii="Montserrat" w:eastAsia="Times New Roman" w:hAnsi="Montserrat" w:cs="Times New Roman"/>
      <w:color w:val="333333"/>
      <w:sz w:val="16"/>
    </w:rPr>
  </w:style>
  <w:style w:type="paragraph" w:styleId="DocumentMap">
    <w:name w:val="Document Map"/>
    <w:basedOn w:val="Normal"/>
    <w:link w:val="DocumentMapChar"/>
    <w:uiPriority w:val="99"/>
    <w:semiHidden/>
    <w:rsid w:val="00785C2F"/>
    <w:pPr>
      <w:spacing w:before="0" w:after="120" w:line="276" w:lineRule="auto"/>
      <w:jc w:val="left"/>
    </w:pPr>
    <w:rPr>
      <w:rFonts w:ascii="Tahoma" w:eastAsia="Calibri" w:hAnsi="Tahoma" w:cs="Tahoma"/>
      <w:sz w:val="20"/>
      <w:szCs w:val="16"/>
    </w:rPr>
  </w:style>
  <w:style w:type="character" w:customStyle="1" w:styleId="DocumentMapChar">
    <w:name w:val="Document Map Char"/>
    <w:basedOn w:val="DefaultParagraphFont"/>
    <w:link w:val="DocumentMap"/>
    <w:uiPriority w:val="99"/>
    <w:semiHidden/>
    <w:rsid w:val="00785C2F"/>
    <w:rPr>
      <w:rFonts w:ascii="Tahoma" w:eastAsia="Calibri" w:hAnsi="Tahoma" w:cs="Tahoma"/>
      <w:sz w:val="20"/>
      <w:szCs w:val="16"/>
    </w:rPr>
  </w:style>
  <w:style w:type="paragraph" w:customStyle="1" w:styleId="Pic">
    <w:name w:val="Pic"/>
    <w:next w:val="ListParagraph"/>
    <w:uiPriority w:val="9"/>
    <w:rsid w:val="00785C2F"/>
    <w:pPr>
      <w:keepNext/>
      <w:spacing w:after="0" w:line="240" w:lineRule="auto"/>
    </w:pPr>
    <w:rPr>
      <w:rFonts w:ascii="Montserrat" w:eastAsia="Calibri" w:hAnsi="Montserrat" w:cs="Calibri"/>
      <w:sz w:val="20"/>
      <w:szCs w:val="20"/>
    </w:rPr>
  </w:style>
  <w:style w:type="character" w:styleId="PlaceholderText">
    <w:name w:val="Placeholder Text"/>
    <w:basedOn w:val="DefaultParagraphFont"/>
    <w:uiPriority w:val="99"/>
    <w:semiHidden/>
    <w:rsid w:val="00785C2F"/>
    <w:rPr>
      <w:rFonts w:cs="Times New Roman"/>
      <w:color w:val="808080"/>
    </w:rPr>
  </w:style>
  <w:style w:type="paragraph" w:customStyle="1" w:styleId="References">
    <w:name w:val="References"/>
    <w:uiPriority w:val="9"/>
    <w:qFormat/>
    <w:rsid w:val="00785C2F"/>
    <w:pPr>
      <w:spacing w:before="120" w:after="0" w:line="240" w:lineRule="auto"/>
      <w:ind w:left="425" w:hanging="425"/>
    </w:pPr>
    <w:rPr>
      <w:rFonts w:ascii="Montserrat" w:eastAsia="Calibri" w:hAnsi="Montserrat" w:cs="Calibri"/>
      <w:sz w:val="16"/>
      <w:szCs w:val="12"/>
    </w:rPr>
  </w:style>
  <w:style w:type="paragraph" w:customStyle="1" w:styleId="1Tablelist">
    <w:name w:val="1. Table list"/>
    <w:basedOn w:val="BodyText"/>
    <w:qFormat/>
    <w:rsid w:val="00785C2F"/>
    <w:pPr>
      <w:keepLines/>
      <w:numPr>
        <w:numId w:val="30"/>
      </w:numPr>
      <w:spacing w:before="20"/>
      <w:ind w:right="113"/>
      <w:jc w:val="left"/>
    </w:pPr>
    <w:rPr>
      <w:rFonts w:ascii="Montserrat" w:eastAsia="Calibri" w:hAnsi="Montserrat" w:cs="Calibri"/>
      <w:sz w:val="18"/>
      <w:szCs w:val="20"/>
    </w:rPr>
  </w:style>
  <w:style w:type="paragraph" w:styleId="TableofFigures">
    <w:name w:val="table of figures"/>
    <w:basedOn w:val="BodyText"/>
    <w:next w:val="BodyText"/>
    <w:uiPriority w:val="99"/>
    <w:unhideWhenUsed/>
    <w:rsid w:val="00785C2F"/>
    <w:pPr>
      <w:keepLines/>
      <w:spacing w:before="0" w:line="288" w:lineRule="auto"/>
      <w:ind w:left="442" w:hanging="442"/>
      <w:jc w:val="left"/>
    </w:pPr>
    <w:rPr>
      <w:rFonts w:ascii="Montserrat" w:eastAsia="Calibri" w:hAnsi="Montserrat" w:cs="Calibri"/>
      <w:sz w:val="18"/>
      <w:szCs w:val="20"/>
    </w:rPr>
  </w:style>
  <w:style w:type="paragraph" w:customStyle="1" w:styleId="AbbreviationsList">
    <w:name w:val="Abbreviations List"/>
    <w:uiPriority w:val="9"/>
    <w:rsid w:val="00785C2F"/>
    <w:pPr>
      <w:tabs>
        <w:tab w:val="left" w:pos="2268"/>
      </w:tabs>
      <w:spacing w:before="2" w:after="0" w:line="240" w:lineRule="auto"/>
      <w:ind w:left="851"/>
    </w:pPr>
    <w:rPr>
      <w:rFonts w:ascii="Montserrat" w:eastAsia="Calibri" w:hAnsi="Montserrat" w:cs="Calibri"/>
      <w:sz w:val="18"/>
      <w:szCs w:val="20"/>
    </w:rPr>
  </w:style>
  <w:style w:type="paragraph" w:styleId="Title">
    <w:name w:val="Title"/>
    <w:basedOn w:val="BodyText"/>
    <w:next w:val="BodyText"/>
    <w:link w:val="TitleChar"/>
    <w:uiPriority w:val="10"/>
    <w:qFormat/>
    <w:rsid w:val="00785C2F"/>
    <w:pPr>
      <w:keepLines/>
      <w:spacing w:before="0" w:line="500" w:lineRule="auto"/>
      <w:jc w:val="left"/>
    </w:pPr>
    <w:rPr>
      <w:rFonts w:ascii="Montserrat" w:eastAsia="Calibri" w:hAnsi="Montserrat" w:cs="Tahoma"/>
      <w:sz w:val="40"/>
      <w:szCs w:val="20"/>
      <w:lang w:val="en-US"/>
    </w:rPr>
  </w:style>
  <w:style w:type="character" w:customStyle="1" w:styleId="TitleChar">
    <w:name w:val="Title Char"/>
    <w:basedOn w:val="DefaultParagraphFont"/>
    <w:link w:val="Title"/>
    <w:uiPriority w:val="10"/>
    <w:rsid w:val="00785C2F"/>
    <w:rPr>
      <w:rFonts w:ascii="Montserrat" w:eastAsia="Calibri" w:hAnsi="Montserrat" w:cs="Tahoma"/>
      <w:sz w:val="40"/>
      <w:szCs w:val="20"/>
      <w:lang w:val="en-US"/>
    </w:rPr>
  </w:style>
  <w:style w:type="paragraph" w:styleId="Date">
    <w:name w:val="Date"/>
    <w:aliases w:val="Front page text"/>
    <w:basedOn w:val="Normal"/>
    <w:next w:val="BodyText"/>
    <w:link w:val="DateChar"/>
    <w:uiPriority w:val="99"/>
    <w:unhideWhenUsed/>
    <w:rsid w:val="00785C2F"/>
    <w:pPr>
      <w:keepNext/>
      <w:spacing w:before="0" w:after="240" w:line="276" w:lineRule="auto"/>
      <w:jc w:val="left"/>
    </w:pPr>
    <w:rPr>
      <w:rFonts w:ascii="Montserrat" w:eastAsia="Calibri" w:hAnsi="Montserrat" w:cs="Tahoma"/>
      <w:sz w:val="32"/>
      <w:szCs w:val="28"/>
    </w:rPr>
  </w:style>
  <w:style w:type="character" w:customStyle="1" w:styleId="DateChar">
    <w:name w:val="Date Char"/>
    <w:aliases w:val="Front page text Char"/>
    <w:basedOn w:val="DefaultParagraphFont"/>
    <w:link w:val="Date"/>
    <w:uiPriority w:val="99"/>
    <w:rsid w:val="00785C2F"/>
    <w:rPr>
      <w:rFonts w:ascii="Montserrat" w:eastAsia="Calibri" w:hAnsi="Montserrat" w:cs="Tahoma"/>
      <w:sz w:val="32"/>
      <w:szCs w:val="28"/>
    </w:rPr>
  </w:style>
  <w:style w:type="paragraph" w:customStyle="1" w:styleId="BoxHeading">
    <w:name w:val="BoxHeading"/>
    <w:basedOn w:val="BodyText"/>
    <w:uiPriority w:val="3"/>
    <w:rsid w:val="00785C2F"/>
    <w:pPr>
      <w:keepLines/>
      <w:pBdr>
        <w:top w:val="single" w:sz="6" w:space="1" w:color="000000"/>
        <w:left w:val="single" w:sz="6" w:space="4" w:color="000000"/>
        <w:bottom w:val="single" w:sz="6" w:space="1" w:color="000000"/>
        <w:right w:val="single" w:sz="6" w:space="4" w:color="000000"/>
      </w:pBdr>
      <w:tabs>
        <w:tab w:val="left" w:pos="1418"/>
      </w:tabs>
      <w:spacing w:before="0"/>
      <w:jc w:val="left"/>
    </w:pPr>
    <w:rPr>
      <w:rFonts w:ascii="Montserrat" w:eastAsia="Times New Roman" w:hAnsi="Montserrat" w:cs="Calibri"/>
      <w:b/>
      <w:bCs/>
      <w:sz w:val="18"/>
      <w:szCs w:val="20"/>
      <w:lang w:val="en-US"/>
    </w:rPr>
  </w:style>
  <w:style w:type="paragraph" w:customStyle="1" w:styleId="BoxText">
    <w:name w:val="BoxText"/>
    <w:basedOn w:val="BodyText"/>
    <w:uiPriority w:val="3"/>
    <w:rsid w:val="00785C2F"/>
    <w:pPr>
      <w:keepLines/>
      <w:pBdr>
        <w:top w:val="single" w:sz="6" w:space="1" w:color="000000"/>
        <w:left w:val="single" w:sz="6" w:space="4" w:color="000000"/>
        <w:bottom w:val="single" w:sz="6" w:space="1" w:color="000000"/>
        <w:right w:val="single" w:sz="6" w:space="4" w:color="000000"/>
      </w:pBdr>
      <w:spacing w:before="0" w:after="240"/>
      <w:jc w:val="left"/>
    </w:pPr>
    <w:rPr>
      <w:rFonts w:ascii="Montserrat" w:eastAsia="Times New Roman" w:hAnsi="Montserrat" w:cs="Calibri"/>
      <w:sz w:val="18"/>
      <w:szCs w:val="24"/>
      <w:lang w:val="en-US"/>
    </w:rPr>
  </w:style>
  <w:style w:type="paragraph" w:customStyle="1" w:styleId="BoxName">
    <w:name w:val="BoxName"/>
    <w:basedOn w:val="BoxText"/>
    <w:uiPriority w:val="3"/>
    <w:rsid w:val="00785C2F"/>
    <w:pPr>
      <w:keepNext/>
      <w:pBdr>
        <w:top w:val="none" w:sz="0" w:space="0" w:color="auto"/>
        <w:left w:val="none" w:sz="0" w:space="0" w:color="auto"/>
        <w:bottom w:val="none" w:sz="0" w:space="0" w:color="auto"/>
        <w:right w:val="none" w:sz="0" w:space="0" w:color="auto"/>
      </w:pBdr>
      <w:spacing w:before="180"/>
      <w:ind w:left="1886" w:hanging="1080"/>
    </w:pPr>
    <w:rPr>
      <w:rFonts w:asciiTheme="minorHAnsi" w:hAnsiTheme="minorHAnsi"/>
      <w:b/>
      <w:bCs/>
    </w:rPr>
  </w:style>
  <w:style w:type="paragraph" w:customStyle="1" w:styleId="Bulletintro">
    <w:name w:val="Bullet intro"/>
    <w:basedOn w:val="BodyText"/>
    <w:uiPriority w:val="2"/>
    <w:rsid w:val="00785C2F"/>
    <w:pPr>
      <w:keepLines/>
      <w:spacing w:before="0"/>
      <w:jc w:val="left"/>
    </w:pPr>
    <w:rPr>
      <w:rFonts w:ascii="Montserrat" w:eastAsia="Times New Roman" w:hAnsi="Montserrat" w:cs="Arial"/>
      <w:sz w:val="18"/>
      <w:szCs w:val="24"/>
      <w:lang w:val="en-US"/>
    </w:rPr>
  </w:style>
  <w:style w:type="paragraph" w:customStyle="1" w:styleId="Bullet12">
    <w:name w:val="Bullet+12"/>
    <w:basedOn w:val="Normal"/>
    <w:uiPriority w:val="2"/>
    <w:qFormat/>
    <w:rsid w:val="00785C2F"/>
    <w:pPr>
      <w:keepLines/>
      <w:numPr>
        <w:numId w:val="25"/>
      </w:numPr>
      <w:tabs>
        <w:tab w:val="left" w:pos="765"/>
      </w:tabs>
      <w:spacing w:before="0" w:after="120" w:line="288" w:lineRule="auto"/>
      <w:contextualSpacing/>
      <w:jc w:val="left"/>
    </w:pPr>
    <w:rPr>
      <w:rFonts w:ascii="Montserrat" w:eastAsia="Calibri" w:hAnsi="Montserrat" w:cs="Calibri"/>
      <w:sz w:val="18"/>
      <w:szCs w:val="20"/>
    </w:rPr>
  </w:style>
  <w:style w:type="paragraph" w:customStyle="1" w:styleId="Company">
    <w:name w:val="Company"/>
    <w:basedOn w:val="Subtitle"/>
    <w:uiPriority w:val="8"/>
    <w:rsid w:val="00785C2F"/>
    <w:pPr>
      <w:spacing w:line="240" w:lineRule="auto"/>
      <w:jc w:val="right"/>
    </w:pPr>
    <w:rPr>
      <w:rFonts w:eastAsia="Times New Roman" w:cs="Times New Roman"/>
      <w:bCs/>
      <w:szCs w:val="28"/>
      <w:lang w:eastAsia="en-GB"/>
    </w:rPr>
  </w:style>
  <w:style w:type="paragraph" w:styleId="Subtitle">
    <w:name w:val="Subtitle"/>
    <w:basedOn w:val="Normal"/>
    <w:next w:val="BodyText"/>
    <w:link w:val="SubtitleChar"/>
    <w:uiPriority w:val="11"/>
    <w:qFormat/>
    <w:rsid w:val="00785C2F"/>
    <w:pPr>
      <w:spacing w:before="0" w:after="0" w:line="270" w:lineRule="auto"/>
      <w:jc w:val="left"/>
    </w:pPr>
    <w:rPr>
      <w:rFonts w:ascii="Montserrat" w:eastAsia="Calibri" w:hAnsi="Montserrat" w:cs="Tahoma"/>
      <w:b/>
      <w:sz w:val="28"/>
      <w:szCs w:val="20"/>
      <w:lang w:val="en-US"/>
    </w:rPr>
  </w:style>
  <w:style w:type="character" w:customStyle="1" w:styleId="SubtitleChar">
    <w:name w:val="Subtitle Char"/>
    <w:basedOn w:val="DefaultParagraphFont"/>
    <w:link w:val="Subtitle"/>
    <w:uiPriority w:val="11"/>
    <w:rsid w:val="00785C2F"/>
    <w:rPr>
      <w:rFonts w:ascii="Montserrat" w:eastAsia="Calibri" w:hAnsi="Montserrat" w:cs="Tahoma"/>
      <w:b/>
      <w:sz w:val="28"/>
      <w:szCs w:val="20"/>
      <w:lang w:val="en-US"/>
    </w:rPr>
  </w:style>
  <w:style w:type="paragraph" w:customStyle="1" w:styleId="CompanyAddress">
    <w:name w:val="CompanyAddress"/>
    <w:basedOn w:val="Company"/>
    <w:uiPriority w:val="8"/>
    <w:qFormat/>
    <w:rsid w:val="00785C2F"/>
    <w:rPr>
      <w:b w:val="0"/>
    </w:rPr>
  </w:style>
  <w:style w:type="paragraph" w:customStyle="1" w:styleId="Dash12">
    <w:name w:val="Dash+12"/>
    <w:basedOn w:val="Normal"/>
    <w:uiPriority w:val="2"/>
    <w:rsid w:val="00785C2F"/>
    <w:pPr>
      <w:keepLines/>
      <w:numPr>
        <w:numId w:val="28"/>
      </w:numPr>
      <w:tabs>
        <w:tab w:val="left" w:pos="765"/>
      </w:tabs>
      <w:spacing w:before="0" w:after="240" w:line="288" w:lineRule="auto"/>
      <w:jc w:val="left"/>
    </w:pPr>
    <w:rPr>
      <w:rFonts w:ascii="Montserrat" w:eastAsia="Calibri" w:hAnsi="Montserrat" w:cs="Calibri"/>
      <w:sz w:val="20"/>
      <w:szCs w:val="20"/>
    </w:rPr>
  </w:style>
  <w:style w:type="paragraph" w:customStyle="1" w:styleId="Drugname">
    <w:name w:val="Drug name"/>
    <w:basedOn w:val="Normal"/>
    <w:next w:val="Normal"/>
    <w:semiHidden/>
    <w:qFormat/>
    <w:rsid w:val="00785C2F"/>
    <w:pPr>
      <w:spacing w:before="0" w:after="0"/>
      <w:jc w:val="right"/>
    </w:pPr>
    <w:rPr>
      <w:rFonts w:ascii="Helvetica" w:eastAsia="Times New Roman" w:hAnsi="Helvetica" w:cs="Calibri"/>
      <w:b/>
      <w:bCs/>
      <w:caps/>
      <w:sz w:val="36"/>
      <w:szCs w:val="36"/>
      <w:lang w:eastAsia="en-GB"/>
    </w:rPr>
  </w:style>
  <w:style w:type="paragraph" w:customStyle="1" w:styleId="Figurename">
    <w:name w:val="Figure name"/>
    <w:basedOn w:val="BodyText"/>
    <w:next w:val="BodyText"/>
    <w:uiPriority w:val="5"/>
    <w:rsid w:val="00785C2F"/>
    <w:pPr>
      <w:keepNext/>
      <w:keepLines/>
      <w:tabs>
        <w:tab w:val="left" w:pos="1418"/>
      </w:tabs>
      <w:spacing w:before="0"/>
      <w:ind w:left="1418" w:hanging="1418"/>
      <w:jc w:val="left"/>
    </w:pPr>
    <w:rPr>
      <w:rFonts w:ascii="Montserrat" w:eastAsia="Times New Roman" w:hAnsi="Montserrat" w:cs="Calibri"/>
      <w:b/>
      <w:bCs/>
      <w:sz w:val="18"/>
      <w:szCs w:val="20"/>
      <w:lang w:val="en-US"/>
    </w:rPr>
  </w:style>
  <w:style w:type="paragraph" w:customStyle="1" w:styleId="H1no">
    <w:name w:val="H1 no#"/>
    <w:basedOn w:val="Heading1"/>
    <w:next w:val="BodyText"/>
    <w:uiPriority w:val="1"/>
    <w:rsid w:val="00785C2F"/>
    <w:pPr>
      <w:pageBreakBefore/>
      <w:numPr>
        <w:numId w:val="0"/>
      </w:numPr>
      <w:spacing w:before="0" w:after="360" w:line="288" w:lineRule="auto"/>
    </w:pPr>
    <w:rPr>
      <w:rFonts w:ascii="Montserrat" w:hAnsi="Montserrat" w:cs="Calibri"/>
      <w:b w:val="0"/>
      <w:bCs/>
      <w:color w:val="053341"/>
    </w:rPr>
  </w:style>
  <w:style w:type="paragraph" w:customStyle="1" w:styleId="H1notoc">
    <w:name w:val="H1 no toc"/>
    <w:basedOn w:val="Heading1"/>
    <w:next w:val="BodyText"/>
    <w:uiPriority w:val="1"/>
    <w:rsid w:val="00785C2F"/>
    <w:pPr>
      <w:pageBreakBefore/>
      <w:numPr>
        <w:numId w:val="0"/>
      </w:numPr>
      <w:spacing w:before="20" w:after="20" w:line="288" w:lineRule="auto"/>
      <w:ind w:left="431" w:hanging="431"/>
    </w:pPr>
    <w:rPr>
      <w:rFonts w:ascii="Montserrat" w:hAnsi="Montserrat" w:cstheme="minorHAnsi"/>
      <w:b w:val="0"/>
      <w:bCs/>
      <w:color w:val="053341"/>
    </w:rPr>
  </w:style>
  <w:style w:type="paragraph" w:customStyle="1" w:styleId="H2notoc">
    <w:name w:val="H2 no toc"/>
    <w:basedOn w:val="Heading2"/>
    <w:next w:val="BodyText"/>
    <w:link w:val="H2notocChar"/>
    <w:uiPriority w:val="1"/>
    <w:rsid w:val="00785C2F"/>
    <w:pPr>
      <w:numPr>
        <w:ilvl w:val="0"/>
        <w:numId w:val="0"/>
      </w:numPr>
      <w:spacing w:before="240" w:line="288" w:lineRule="auto"/>
      <w:outlineLvl w:val="9"/>
    </w:pPr>
    <w:rPr>
      <w:rFonts w:ascii="Montserrat" w:eastAsia="Times New Roman" w:hAnsi="Montserrat" w:cs="Calibri"/>
      <w:b w:val="0"/>
      <w:bCs/>
      <w:i w:val="0"/>
      <w:snapToGrid/>
      <w:color w:val="006579"/>
      <w:szCs w:val="26"/>
    </w:rPr>
  </w:style>
  <w:style w:type="paragraph" w:customStyle="1" w:styleId="H3notoc">
    <w:name w:val="H3 no toc"/>
    <w:basedOn w:val="Heading3"/>
    <w:next w:val="BodyText"/>
    <w:link w:val="H3notocChar"/>
    <w:uiPriority w:val="1"/>
    <w:rsid w:val="00785C2F"/>
    <w:pPr>
      <w:numPr>
        <w:ilvl w:val="0"/>
        <w:numId w:val="0"/>
      </w:numPr>
      <w:spacing w:before="200" w:line="288" w:lineRule="auto"/>
      <w:jc w:val="left"/>
      <w:outlineLvl w:val="9"/>
    </w:pPr>
    <w:rPr>
      <w:rFonts w:ascii="Montserrat" w:eastAsia="Times New Roman" w:hAnsi="Montserrat" w:cs="Calibri"/>
      <w:b w:val="0"/>
      <w:bCs/>
      <w:color w:val="00968F"/>
      <w:sz w:val="24"/>
      <w:szCs w:val="20"/>
    </w:rPr>
  </w:style>
  <w:style w:type="paragraph" w:customStyle="1" w:styleId="QuoteBodyText">
    <w:name w:val="QuoteBodyText"/>
    <w:basedOn w:val="BodyText"/>
    <w:next w:val="BodyText"/>
    <w:uiPriority w:val="6"/>
    <w:rsid w:val="00785C2F"/>
    <w:pPr>
      <w:keepLines/>
      <w:spacing w:before="0" w:after="0"/>
      <w:ind w:left="567" w:right="662"/>
      <w:jc w:val="left"/>
    </w:pPr>
    <w:rPr>
      <w:rFonts w:ascii="Montserrat" w:eastAsia="Calibri" w:hAnsi="Montserrat" w:cs="Calibri"/>
      <w:i/>
      <w:sz w:val="18"/>
      <w:szCs w:val="18"/>
    </w:rPr>
  </w:style>
  <w:style w:type="paragraph" w:customStyle="1" w:styleId="QuoteSmallText">
    <w:name w:val="QuoteSmallText"/>
    <w:basedOn w:val="QuoteBodyText"/>
    <w:next w:val="BodyText"/>
    <w:uiPriority w:val="6"/>
    <w:rsid w:val="00785C2F"/>
    <w:pPr>
      <w:spacing w:before="120"/>
    </w:pPr>
  </w:style>
  <w:style w:type="paragraph" w:customStyle="1" w:styleId="Tabledash">
    <w:name w:val="Table dash"/>
    <w:basedOn w:val="BodyText"/>
    <w:uiPriority w:val="4"/>
    <w:qFormat/>
    <w:rsid w:val="00785C2F"/>
    <w:pPr>
      <w:keepNext/>
      <w:keepLines/>
      <w:numPr>
        <w:numId w:val="29"/>
      </w:numPr>
      <w:tabs>
        <w:tab w:val="left" w:pos="993"/>
      </w:tabs>
      <w:spacing w:before="20" w:after="20"/>
      <w:jc w:val="left"/>
    </w:pPr>
    <w:rPr>
      <w:rFonts w:ascii="Montserrat" w:eastAsia="Times New Roman" w:hAnsi="Montserrat" w:cs="Calibri"/>
      <w:bCs/>
      <w:color w:val="000000"/>
      <w:sz w:val="18"/>
      <w:szCs w:val="26"/>
    </w:rPr>
  </w:style>
  <w:style w:type="paragraph" w:customStyle="1" w:styleId="TableH1">
    <w:name w:val="Table H1"/>
    <w:basedOn w:val="BodyText"/>
    <w:uiPriority w:val="4"/>
    <w:qFormat/>
    <w:rsid w:val="00785C2F"/>
    <w:pPr>
      <w:keepNext/>
      <w:keepLines/>
      <w:spacing w:before="20" w:after="20"/>
      <w:jc w:val="left"/>
    </w:pPr>
    <w:rPr>
      <w:rFonts w:ascii="Montserrat" w:eastAsia="Calibri" w:hAnsi="Montserrat" w:cs="Calibri"/>
      <w:b/>
      <w:sz w:val="18"/>
      <w:szCs w:val="16"/>
      <w:lang w:val="en-US"/>
    </w:rPr>
  </w:style>
  <w:style w:type="paragraph" w:customStyle="1" w:styleId="TableH29pt">
    <w:name w:val="Table H2 9pt"/>
    <w:basedOn w:val="BodyText"/>
    <w:next w:val="Tabletext0"/>
    <w:uiPriority w:val="4"/>
    <w:qFormat/>
    <w:rsid w:val="00785C2F"/>
    <w:pPr>
      <w:keepNext/>
      <w:keepLines/>
      <w:spacing w:before="20" w:after="20"/>
      <w:contextualSpacing/>
      <w:jc w:val="left"/>
    </w:pPr>
    <w:rPr>
      <w:rFonts w:ascii="Montserrat" w:eastAsia="Calibri" w:hAnsi="Montserrat" w:cs="Calibri"/>
      <w:b/>
      <w:sz w:val="18"/>
      <w:szCs w:val="20"/>
    </w:rPr>
  </w:style>
  <w:style w:type="paragraph" w:customStyle="1" w:styleId="TableH3italic">
    <w:name w:val="Table H3 italic"/>
    <w:basedOn w:val="TableH29pt"/>
    <w:next w:val="Tabletext0"/>
    <w:uiPriority w:val="4"/>
    <w:rsid w:val="00785C2F"/>
    <w:rPr>
      <w:i/>
      <w:color w:val="595959" w:themeColor="text1" w:themeTint="A6"/>
      <w:sz w:val="16"/>
      <w:szCs w:val="16"/>
    </w:rPr>
  </w:style>
  <w:style w:type="paragraph" w:customStyle="1" w:styleId="H2no">
    <w:name w:val="H2 no#"/>
    <w:basedOn w:val="H2notoc"/>
    <w:rsid w:val="00785C2F"/>
    <w:rPr>
      <w:bCs w:val="0"/>
      <w:color w:val="ED7D31" w:themeColor="accent2"/>
    </w:rPr>
  </w:style>
  <w:style w:type="paragraph" w:customStyle="1" w:styleId="ListNos12">
    <w:name w:val="ListNos+12"/>
    <w:basedOn w:val="Normal"/>
    <w:next w:val="BodyText"/>
    <w:uiPriority w:val="2"/>
    <w:qFormat/>
    <w:rsid w:val="00785C2F"/>
    <w:pPr>
      <w:keepLines/>
      <w:numPr>
        <w:numId w:val="26"/>
      </w:numPr>
      <w:spacing w:before="0" w:after="240" w:line="288" w:lineRule="auto"/>
      <w:jc w:val="left"/>
    </w:pPr>
    <w:rPr>
      <w:rFonts w:ascii="Montserrat" w:eastAsia="Calibri" w:hAnsi="Montserrat" w:cs="Calibri"/>
      <w:sz w:val="18"/>
      <w:szCs w:val="20"/>
    </w:rPr>
  </w:style>
  <w:style w:type="paragraph" w:customStyle="1" w:styleId="Notes">
    <w:name w:val="Notes"/>
    <w:next w:val="BodyText"/>
    <w:uiPriority w:val="6"/>
    <w:qFormat/>
    <w:rsid w:val="00785C2F"/>
    <w:pPr>
      <w:spacing w:after="120" w:line="240" w:lineRule="auto"/>
    </w:pPr>
    <w:rPr>
      <w:rFonts w:ascii="Montserrat" w:eastAsia="Times New Roman" w:hAnsi="Montserrat" w:cs="Times New Roman"/>
      <w:color w:val="C00000"/>
      <w:szCs w:val="24"/>
    </w:rPr>
  </w:style>
  <w:style w:type="character" w:styleId="PageNumber">
    <w:name w:val="page number"/>
    <w:basedOn w:val="DefaultParagraphFont"/>
    <w:uiPriority w:val="8"/>
    <w:rsid w:val="00785C2F"/>
    <w:rPr>
      <w:rFonts w:ascii="Calibri" w:hAnsi="Calibri"/>
      <w:b w:val="0"/>
      <w:color w:val="808080" w:themeColor="background1" w:themeShade="80"/>
      <w:sz w:val="18"/>
    </w:rPr>
  </w:style>
  <w:style w:type="table" w:customStyle="1" w:styleId="StandardTable">
    <w:name w:val="Standard Table"/>
    <w:basedOn w:val="TableNormal"/>
    <w:semiHidden/>
    <w:rsid w:val="00785C2F"/>
    <w:pPr>
      <w:spacing w:after="0" w:line="240" w:lineRule="auto"/>
    </w:pPr>
    <w:rPr>
      <w:rFonts w:ascii="Garamond" w:eastAsia="Times New Roman" w:hAnsi="Garamond" w:cs="Times New Roman"/>
      <w:sz w:val="18"/>
      <w:szCs w:val="20"/>
      <w:lang w:eastAsia="en-AU"/>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contextualSpacing w:val="0"/>
      </w:pPr>
      <w:rPr>
        <w:rFonts w:ascii="Arial Unicode MS" w:hAnsi="Arial Unicode MS"/>
        <w:b/>
        <w:sz w:val="18"/>
      </w:rPr>
      <w:tblPr/>
      <w:tcPr>
        <w:tcBorders>
          <w:top w:val="single" w:sz="12" w:space="0" w:color="auto"/>
          <w:bottom w:val="single" w:sz="12" w:space="0" w:color="auto"/>
        </w:tcBorders>
      </w:tcPr>
    </w:tblStylePr>
  </w:style>
  <w:style w:type="paragraph" w:customStyle="1" w:styleId="Table-columnheadings">
    <w:name w:val="Table - column headings"/>
    <w:basedOn w:val="Normal"/>
    <w:semiHidden/>
    <w:unhideWhenUsed/>
    <w:rsid w:val="00785C2F"/>
    <w:pPr>
      <w:spacing w:before="0" w:after="240"/>
      <w:ind w:left="720"/>
      <w:jc w:val="center"/>
    </w:pPr>
    <w:rPr>
      <w:rFonts w:ascii="Montserrat" w:eastAsia="Times New Roman" w:hAnsi="Montserrat" w:cs="Arial"/>
      <w:b/>
      <w:color w:val="000000"/>
      <w:sz w:val="20"/>
      <w:szCs w:val="24"/>
      <w:lang w:val="en-US" w:eastAsia="en-AU"/>
    </w:rPr>
  </w:style>
  <w:style w:type="table" w:customStyle="1" w:styleId="TableNoBorders">
    <w:name w:val="Table No Borders"/>
    <w:basedOn w:val="TableNormal"/>
    <w:rsid w:val="00785C2F"/>
    <w:pPr>
      <w:spacing w:before="40" w:after="20" w:line="240" w:lineRule="auto"/>
    </w:pPr>
    <w:rPr>
      <w:rFonts w:ascii="Garamond" w:eastAsia="Times New Roman" w:hAnsi="Garamond" w:cs="Times New Roman"/>
      <w:lang w:eastAsia="en-AU"/>
    </w:rPr>
    <w:tblPr/>
  </w:style>
  <w:style w:type="table" w:customStyle="1" w:styleId="TableHTAStandard">
    <w:name w:val="Table HTA Standard"/>
    <w:basedOn w:val="TableNoBorders"/>
    <w:rsid w:val="00785C2F"/>
    <w:pPr>
      <w:tabs>
        <w:tab w:val="left" w:pos="416"/>
        <w:tab w:val="left" w:pos="582"/>
      </w:tabs>
    </w:pPr>
    <w:rPr>
      <w:sz w:val="18"/>
      <w:szCs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vAlign w:val="center"/>
    </w:tcPr>
    <w:tblStylePr w:type="firstRow">
      <w:pPr>
        <w:wordWrap/>
        <w:spacing w:beforeLines="0" w:beforeAutospacing="0" w:afterLines="0" w:afterAutospacing="0" w:line="240" w:lineRule="auto"/>
        <w:contextualSpacing w:val="0"/>
        <w:outlineLvl w:val="9"/>
      </w:pPr>
      <w:tblPr/>
      <w:tcPr>
        <w:tcBorders>
          <w:top w:val="single" w:sz="12" w:space="0" w:color="auto"/>
          <w:left w:val="single" w:sz="2" w:space="0" w:color="auto"/>
          <w:bottom w:val="single" w:sz="12" w:space="0" w:color="auto"/>
          <w:right w:val="single" w:sz="2" w:space="0" w:color="auto"/>
          <w:insideH w:val="single" w:sz="2" w:space="0" w:color="auto"/>
          <w:insideV w:val="single" w:sz="2" w:space="0" w:color="auto"/>
          <w:tl2br w:val="nil"/>
          <w:tr2bl w:val="nil"/>
        </w:tcBorders>
        <w:shd w:val="clear" w:color="auto" w:fill="auto"/>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paragraph" w:customStyle="1" w:styleId="TableListNos">
    <w:name w:val="Table ListNos"/>
    <w:basedOn w:val="BodyText"/>
    <w:uiPriority w:val="4"/>
    <w:qFormat/>
    <w:rsid w:val="00785C2F"/>
    <w:pPr>
      <w:keepLines/>
      <w:numPr>
        <w:numId w:val="27"/>
      </w:numPr>
      <w:spacing w:before="0" w:line="288" w:lineRule="auto"/>
      <w:jc w:val="left"/>
    </w:pPr>
    <w:rPr>
      <w:rFonts w:ascii="Montserrat" w:eastAsia="Calibri" w:hAnsi="Montserrat" w:cs="Calibri"/>
      <w:sz w:val="18"/>
      <w:szCs w:val="20"/>
    </w:rPr>
  </w:style>
  <w:style w:type="paragraph" w:customStyle="1" w:styleId="Tabletextindent">
    <w:name w:val="Table text indent"/>
    <w:basedOn w:val="Tabletext0"/>
    <w:uiPriority w:val="4"/>
    <w:qFormat/>
    <w:rsid w:val="00785C2F"/>
    <w:pPr>
      <w:keepNext/>
      <w:keepLines/>
      <w:spacing w:before="20" w:after="20"/>
      <w:ind w:left="284"/>
    </w:pPr>
    <w:rPr>
      <w:rFonts w:ascii="Montserrat" w:eastAsia="Calibri" w:hAnsi="Montserrat" w:cs="Calibri"/>
      <w:snapToGrid/>
      <w:sz w:val="18"/>
      <w:szCs w:val="16"/>
      <w:lang w:eastAsia="en-US"/>
    </w:rPr>
  </w:style>
  <w:style w:type="table" w:styleId="TableTheme">
    <w:name w:val="Table Theme"/>
    <w:basedOn w:val="TableNormal"/>
    <w:semiHidden/>
    <w:rsid w:val="00785C2F"/>
    <w:pPr>
      <w:spacing w:after="0" w:line="240" w:lineRule="auto"/>
    </w:pPr>
    <w:rPr>
      <w:rFonts w:ascii="Garamond" w:eastAsia="Times New Roman" w:hAnsi="Garamond"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nonocol">
    <w:name w:val="H2 no#nocol"/>
    <w:basedOn w:val="Heading2"/>
    <w:next w:val="BodyText"/>
    <w:link w:val="H2nonocolChar"/>
    <w:uiPriority w:val="1"/>
    <w:rsid w:val="00785C2F"/>
    <w:pPr>
      <w:numPr>
        <w:ilvl w:val="0"/>
        <w:numId w:val="0"/>
      </w:numPr>
      <w:spacing w:before="240" w:line="288" w:lineRule="auto"/>
    </w:pPr>
    <w:rPr>
      <w:rFonts w:ascii="Montserrat" w:eastAsia="Times New Roman" w:hAnsi="Montserrat" w:cs="Calibri"/>
      <w:b w:val="0"/>
      <w:bCs/>
      <w:i w:val="0"/>
      <w:snapToGrid/>
      <w:color w:val="7F7F7F" w:themeColor="text1" w:themeTint="80"/>
      <w:szCs w:val="26"/>
    </w:rPr>
  </w:style>
  <w:style w:type="paragraph" w:customStyle="1" w:styleId="H3-nonocol">
    <w:name w:val="H3-no#nocol"/>
    <w:basedOn w:val="Heading3"/>
    <w:next w:val="BodyText"/>
    <w:link w:val="H3-nonocolChar"/>
    <w:uiPriority w:val="1"/>
    <w:rsid w:val="00785C2F"/>
    <w:pPr>
      <w:numPr>
        <w:ilvl w:val="0"/>
        <w:numId w:val="0"/>
      </w:numPr>
      <w:spacing w:before="200" w:line="288" w:lineRule="auto"/>
      <w:jc w:val="left"/>
    </w:pPr>
    <w:rPr>
      <w:rFonts w:ascii="Montserrat" w:eastAsia="Times New Roman" w:hAnsi="Montserrat" w:cs="Calibri"/>
      <w:b w:val="0"/>
      <w:bCs/>
      <w:color w:val="808080" w:themeColor="background1" w:themeShade="80"/>
      <w:sz w:val="24"/>
      <w:szCs w:val="20"/>
    </w:rPr>
  </w:style>
  <w:style w:type="paragraph" w:customStyle="1" w:styleId="H4-nonocol">
    <w:name w:val="H4-no#nocol"/>
    <w:basedOn w:val="Heading4"/>
    <w:next w:val="BodyText"/>
    <w:uiPriority w:val="1"/>
    <w:rsid w:val="00785C2F"/>
    <w:pPr>
      <w:numPr>
        <w:ilvl w:val="0"/>
        <w:numId w:val="0"/>
      </w:numPr>
      <w:spacing w:before="200" w:line="288" w:lineRule="auto"/>
    </w:pPr>
    <w:rPr>
      <w:rFonts w:ascii="Montserrat" w:eastAsia="Times New Roman" w:hAnsi="Montserrat" w:cs="Calibri"/>
      <w:b w:val="0"/>
      <w:bCs/>
      <w:iCs/>
      <w:color w:val="BFBFBF" w:themeColor="background1" w:themeShade="BF"/>
      <w:szCs w:val="20"/>
    </w:rPr>
  </w:style>
  <w:style w:type="character" w:styleId="IntenseEmphasis">
    <w:name w:val="Intense Emphasis"/>
    <w:basedOn w:val="DefaultParagraphFont"/>
    <w:uiPriority w:val="21"/>
    <w:rsid w:val="00785C2F"/>
    <w:rPr>
      <w:rFonts w:ascii="Montserrat" w:hAnsi="Montserrat"/>
      <w:i/>
      <w:iCs/>
      <w:color w:val="595959" w:themeColor="text1" w:themeTint="A6"/>
      <w:sz w:val="18"/>
    </w:rPr>
  </w:style>
  <w:style w:type="character" w:customStyle="1" w:styleId="H2notocChar">
    <w:name w:val="H2 no toc Char"/>
    <w:basedOn w:val="Heading2Char"/>
    <w:link w:val="H2notoc"/>
    <w:uiPriority w:val="1"/>
    <w:rsid w:val="00785C2F"/>
    <w:rPr>
      <w:rFonts w:ascii="Montserrat" w:eastAsia="Times New Roman" w:hAnsi="Montserrat" w:cs="Calibri"/>
      <w:b w:val="0"/>
      <w:bCs/>
      <w:i w:val="0"/>
      <w:snapToGrid/>
      <w:color w:val="006579"/>
      <w:sz w:val="28"/>
      <w:szCs w:val="26"/>
    </w:rPr>
  </w:style>
  <w:style w:type="character" w:customStyle="1" w:styleId="H2nonocolChar">
    <w:name w:val="H2 no#nocol Char"/>
    <w:basedOn w:val="Heading2Char"/>
    <w:link w:val="H2nonocol"/>
    <w:uiPriority w:val="1"/>
    <w:rsid w:val="00785C2F"/>
    <w:rPr>
      <w:rFonts w:ascii="Montserrat" w:eastAsia="Times New Roman" w:hAnsi="Montserrat" w:cs="Calibri"/>
      <w:b w:val="0"/>
      <w:bCs/>
      <w:i w:val="0"/>
      <w:snapToGrid/>
      <w:color w:val="7F7F7F" w:themeColor="text1" w:themeTint="80"/>
      <w:sz w:val="28"/>
      <w:szCs w:val="26"/>
    </w:rPr>
  </w:style>
  <w:style w:type="character" w:customStyle="1" w:styleId="H3notocChar">
    <w:name w:val="H3 no toc Char"/>
    <w:basedOn w:val="Heading3Char"/>
    <w:link w:val="H3notoc"/>
    <w:uiPriority w:val="1"/>
    <w:rsid w:val="00785C2F"/>
    <w:rPr>
      <w:rFonts w:ascii="Montserrat" w:eastAsia="Times New Roman" w:hAnsi="Montserrat" w:cs="Calibri"/>
      <w:b w:val="0"/>
      <w:bCs/>
      <w:color w:val="00968F"/>
      <w:sz w:val="24"/>
      <w:szCs w:val="20"/>
    </w:rPr>
  </w:style>
  <w:style w:type="character" w:customStyle="1" w:styleId="H3-nonocolChar">
    <w:name w:val="H3-no#nocol Char"/>
    <w:basedOn w:val="Heading3Char"/>
    <w:link w:val="H3-nonocol"/>
    <w:uiPriority w:val="1"/>
    <w:rsid w:val="00785C2F"/>
    <w:rPr>
      <w:rFonts w:ascii="Montserrat" w:eastAsia="Times New Roman" w:hAnsi="Montserrat" w:cs="Calibri"/>
      <w:b w:val="0"/>
      <w:bCs/>
      <w:color w:val="808080" w:themeColor="background1" w:themeShade="80"/>
      <w:sz w:val="24"/>
      <w:szCs w:val="20"/>
    </w:rPr>
  </w:style>
  <w:style w:type="character" w:styleId="SubtleEmphasis">
    <w:name w:val="Subtle Emphasis"/>
    <w:basedOn w:val="DefaultParagraphFont"/>
    <w:uiPriority w:val="19"/>
    <w:rsid w:val="00785C2F"/>
    <w:rPr>
      <w:rFonts w:ascii="Montserrat" w:hAnsi="Montserrat"/>
      <w:i/>
      <w:iCs/>
      <w:color w:val="404040" w:themeColor="text1" w:themeTint="BF"/>
      <w:sz w:val="18"/>
    </w:rPr>
  </w:style>
  <w:style w:type="character" w:styleId="Strong">
    <w:name w:val="Strong"/>
    <w:uiPriority w:val="22"/>
    <w:rsid w:val="00785C2F"/>
    <w:rPr>
      <w:rFonts w:ascii="Montserrat" w:hAnsi="Montserrat"/>
    </w:rPr>
  </w:style>
  <w:style w:type="paragraph" w:customStyle="1" w:styleId="H1nonocol">
    <w:name w:val="H1 no#nocol"/>
    <w:basedOn w:val="H1no"/>
    <w:rsid w:val="00785C2F"/>
    <w:rPr>
      <w:color w:val="404040" w:themeColor="text1" w:themeTint="BF"/>
    </w:rPr>
  </w:style>
  <w:style w:type="paragraph" w:customStyle="1" w:styleId="TableH29ptCentered">
    <w:name w:val="Table H2 9pt + Centered"/>
    <w:basedOn w:val="TableH29pt"/>
    <w:rsid w:val="00785C2F"/>
    <w:pPr>
      <w:jc w:val="center"/>
    </w:pPr>
  </w:style>
  <w:style w:type="paragraph" w:styleId="IntenseQuote">
    <w:name w:val="Intense Quote"/>
    <w:basedOn w:val="Normal"/>
    <w:next w:val="Normal"/>
    <w:link w:val="IntenseQuoteChar"/>
    <w:uiPriority w:val="30"/>
    <w:qFormat/>
    <w:rsid w:val="00785C2F"/>
    <w:pPr>
      <w:pBdr>
        <w:top w:val="single" w:sz="4" w:space="10" w:color="5B9BD5" w:themeColor="accent1"/>
        <w:bottom w:val="single" w:sz="4" w:space="10" w:color="5B9BD5" w:themeColor="accent1"/>
      </w:pBdr>
      <w:spacing w:before="360" w:after="360" w:line="276" w:lineRule="auto"/>
      <w:ind w:left="864" w:right="864"/>
      <w:jc w:val="center"/>
    </w:pPr>
    <w:rPr>
      <w:rFonts w:ascii="Montserrat" w:eastAsia="Calibri" w:hAnsi="Montserrat" w:cs="Calibri"/>
      <w:i/>
      <w:iCs/>
      <w:color w:val="5B9BD5" w:themeColor="accent1"/>
      <w:sz w:val="18"/>
      <w:szCs w:val="20"/>
    </w:rPr>
  </w:style>
  <w:style w:type="character" w:customStyle="1" w:styleId="IntenseQuoteChar">
    <w:name w:val="Intense Quote Char"/>
    <w:basedOn w:val="DefaultParagraphFont"/>
    <w:link w:val="IntenseQuote"/>
    <w:uiPriority w:val="30"/>
    <w:rsid w:val="00785C2F"/>
    <w:rPr>
      <w:rFonts w:ascii="Montserrat" w:eastAsia="Calibri" w:hAnsi="Montserrat" w:cs="Calibri"/>
      <w:i/>
      <w:iCs/>
      <w:color w:val="5B9BD5" w:themeColor="accent1"/>
      <w:sz w:val="18"/>
      <w:szCs w:val="20"/>
    </w:rPr>
  </w:style>
  <w:style w:type="paragraph" w:customStyle="1" w:styleId="Tabletext9pt">
    <w:name w:val="Table text 9pt"/>
    <w:basedOn w:val="Tabletext0"/>
    <w:rsid w:val="00785C2F"/>
    <w:pPr>
      <w:keepNext/>
      <w:keepLines/>
      <w:spacing w:before="20" w:after="20"/>
    </w:pPr>
    <w:rPr>
      <w:rFonts w:ascii="Montserrat" w:eastAsia="Calibri" w:hAnsi="Montserrat" w:cs="Calibri"/>
      <w:snapToGrid/>
      <w:sz w:val="18"/>
      <w:szCs w:val="16"/>
      <w:lang w:eastAsia="en-US"/>
    </w:rPr>
  </w:style>
  <w:style w:type="table" w:styleId="PlainTable1">
    <w:name w:val="Plain Table 1"/>
    <w:basedOn w:val="TableNormal"/>
    <w:uiPriority w:val="41"/>
    <w:rsid w:val="00785C2F"/>
    <w:pPr>
      <w:spacing w:after="0" w:line="240" w:lineRule="auto"/>
    </w:pPr>
    <w:rPr>
      <w:rFonts w:eastAsia="Calibri"/>
      <w:lang w:val="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85C2F"/>
    <w:pPr>
      <w:spacing w:after="0" w:line="240" w:lineRule="auto"/>
    </w:pPr>
    <w:rPr>
      <w:rFonts w:eastAsia="Calibri"/>
      <w:lang w:val="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85C2F"/>
    <w:pPr>
      <w:spacing w:after="0" w:line="240" w:lineRule="auto"/>
    </w:pPr>
    <w:rPr>
      <w:rFonts w:eastAsia="Calibri"/>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85C2F"/>
    <w:pPr>
      <w:spacing w:after="0" w:line="240" w:lineRule="auto"/>
    </w:pPr>
    <w:rPr>
      <w:rFonts w:eastAsia="Calibri"/>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ing1caps">
    <w:name w:val="Heading 1 caps"/>
    <w:basedOn w:val="Heading1"/>
    <w:link w:val="Heading1capsChar"/>
    <w:qFormat/>
    <w:rsid w:val="00785C2F"/>
    <w:pPr>
      <w:pageBreakBefore/>
      <w:numPr>
        <w:numId w:val="0"/>
      </w:numPr>
      <w:spacing w:before="0" w:after="360" w:line="288" w:lineRule="auto"/>
    </w:pPr>
    <w:rPr>
      <w:rFonts w:ascii="Montserrat" w:eastAsia="Times New Roman" w:hAnsi="Montserrat" w:cs="Calibri"/>
      <w:b w:val="0"/>
      <w:bCs/>
      <w:caps/>
      <w:color w:val="053341"/>
    </w:rPr>
  </w:style>
  <w:style w:type="paragraph" w:customStyle="1" w:styleId="Heading2caps">
    <w:name w:val="Heading 2 caps"/>
    <w:basedOn w:val="Heading2"/>
    <w:qFormat/>
    <w:rsid w:val="00785C2F"/>
    <w:pPr>
      <w:numPr>
        <w:ilvl w:val="0"/>
        <w:numId w:val="0"/>
      </w:numPr>
      <w:spacing w:before="240" w:line="288" w:lineRule="auto"/>
    </w:pPr>
    <w:rPr>
      <w:rFonts w:ascii="Montserrat" w:eastAsia="Times New Roman" w:hAnsi="Montserrat" w:cs="Calibri"/>
      <w:b w:val="0"/>
      <w:bCs/>
      <w:i w:val="0"/>
      <w:caps/>
      <w:snapToGrid/>
      <w:color w:val="006579"/>
      <w:szCs w:val="26"/>
    </w:rPr>
  </w:style>
  <w:style w:type="character" w:customStyle="1" w:styleId="Heading1capsChar">
    <w:name w:val="Heading 1 caps Char"/>
    <w:basedOn w:val="Heading1Char"/>
    <w:link w:val="Heading1caps"/>
    <w:rsid w:val="00785C2F"/>
    <w:rPr>
      <w:rFonts w:ascii="Montserrat" w:eastAsia="Times New Roman" w:hAnsi="Montserrat" w:cs="Calibri"/>
      <w:b w:val="0"/>
      <w:bCs/>
      <w:caps/>
      <w:color w:val="053341"/>
      <w:sz w:val="32"/>
      <w:szCs w:val="28"/>
    </w:rPr>
  </w:style>
  <w:style w:type="paragraph" w:customStyle="1" w:styleId="Heading3caps">
    <w:name w:val="Heading 3 caps"/>
    <w:basedOn w:val="Heading3"/>
    <w:qFormat/>
    <w:rsid w:val="00785C2F"/>
    <w:pPr>
      <w:numPr>
        <w:ilvl w:val="0"/>
        <w:numId w:val="0"/>
      </w:numPr>
      <w:spacing w:before="200" w:line="288" w:lineRule="auto"/>
      <w:jc w:val="left"/>
    </w:pPr>
    <w:rPr>
      <w:rFonts w:ascii="Montserrat" w:eastAsia="Times New Roman" w:hAnsi="Montserrat" w:cs="Calibri"/>
      <w:b w:val="0"/>
      <w:bCs/>
      <w:caps/>
      <w:color w:val="00968F"/>
      <w:sz w:val="24"/>
      <w:szCs w:val="20"/>
    </w:rPr>
  </w:style>
  <w:style w:type="paragraph" w:styleId="Quote">
    <w:name w:val="Quote"/>
    <w:basedOn w:val="Normal"/>
    <w:next w:val="Normal"/>
    <w:link w:val="QuoteChar"/>
    <w:uiPriority w:val="29"/>
    <w:qFormat/>
    <w:rsid w:val="00785C2F"/>
    <w:pPr>
      <w:spacing w:before="200" w:line="276" w:lineRule="auto"/>
      <w:ind w:left="864" w:right="864"/>
      <w:jc w:val="center"/>
    </w:pPr>
    <w:rPr>
      <w:rFonts w:ascii="Montserrat" w:eastAsia="Calibri" w:hAnsi="Montserrat" w:cs="Calibri"/>
      <w:i/>
      <w:iCs/>
      <w:color w:val="404040" w:themeColor="text1" w:themeTint="BF"/>
      <w:sz w:val="18"/>
      <w:szCs w:val="20"/>
    </w:rPr>
  </w:style>
  <w:style w:type="character" w:customStyle="1" w:styleId="QuoteChar">
    <w:name w:val="Quote Char"/>
    <w:basedOn w:val="DefaultParagraphFont"/>
    <w:link w:val="Quote"/>
    <w:uiPriority w:val="29"/>
    <w:rsid w:val="00785C2F"/>
    <w:rPr>
      <w:rFonts w:ascii="Montserrat" w:eastAsia="Calibri" w:hAnsi="Montserrat" w:cs="Calibri"/>
      <w:i/>
      <w:iCs/>
      <w:color w:val="404040" w:themeColor="text1" w:themeTint="BF"/>
      <w:sz w:val="18"/>
      <w:szCs w:val="20"/>
    </w:rPr>
  </w:style>
  <w:style w:type="character" w:styleId="IntenseReference">
    <w:name w:val="Intense Reference"/>
    <w:basedOn w:val="DefaultParagraphFont"/>
    <w:uiPriority w:val="32"/>
    <w:qFormat/>
    <w:rsid w:val="00785C2F"/>
    <w:rPr>
      <w:b/>
      <w:bCs/>
      <w:smallCaps/>
      <w:color w:val="5B9BD5" w:themeColor="accent1"/>
      <w:spacing w:val="5"/>
    </w:rPr>
  </w:style>
  <w:style w:type="character" w:styleId="SubtleReference">
    <w:name w:val="Subtle Reference"/>
    <w:basedOn w:val="DefaultParagraphFont"/>
    <w:uiPriority w:val="31"/>
    <w:rsid w:val="00785C2F"/>
    <w:rPr>
      <w:smallCaps/>
      <w:color w:val="5A5A5A" w:themeColor="text1" w:themeTint="A5"/>
    </w:rPr>
  </w:style>
  <w:style w:type="paragraph" w:customStyle="1" w:styleId="ES1">
    <w:name w:val="ES 1"/>
    <w:basedOn w:val="Heading1caps"/>
    <w:next w:val="BodyText"/>
    <w:rsid w:val="00785C2F"/>
    <w:pPr>
      <w:pageBreakBefore w:val="0"/>
      <w:numPr>
        <w:numId w:val="31"/>
      </w:numPr>
      <w:tabs>
        <w:tab w:val="clear" w:pos="397"/>
      </w:tabs>
      <w:spacing w:after="120"/>
      <w:ind w:left="717" w:hanging="360"/>
    </w:pPr>
    <w:rPr>
      <w:color w:val="auto"/>
      <w:sz w:val="24"/>
    </w:rPr>
  </w:style>
  <w:style w:type="paragraph" w:customStyle="1" w:styleId="ES2">
    <w:name w:val="ES 2"/>
    <w:basedOn w:val="Heading2"/>
    <w:next w:val="BodyText"/>
    <w:rsid w:val="00785C2F"/>
    <w:pPr>
      <w:numPr>
        <w:ilvl w:val="1"/>
        <w:numId w:val="31"/>
      </w:numPr>
      <w:spacing w:before="0" w:line="288" w:lineRule="auto"/>
    </w:pPr>
    <w:rPr>
      <w:rFonts w:ascii="Montserrat" w:eastAsia="Times New Roman" w:hAnsi="Montserrat" w:cs="Calibri"/>
      <w:b w:val="0"/>
      <w:bCs/>
      <w:i w:val="0"/>
      <w:snapToGrid/>
      <w:sz w:val="22"/>
      <w:szCs w:val="26"/>
    </w:rPr>
  </w:style>
  <w:style w:type="paragraph" w:customStyle="1" w:styleId="pf0">
    <w:name w:val="pf0"/>
    <w:basedOn w:val="Normal"/>
    <w:rsid w:val="00785C2F"/>
    <w:pPr>
      <w:spacing w:before="100" w:beforeAutospacing="1" w:after="100" w:afterAutospacing="1"/>
      <w:jc w:val="left"/>
    </w:pPr>
    <w:rPr>
      <w:rFonts w:ascii="Times New Roman" w:eastAsia="Times New Roman" w:hAnsi="Times New Roman" w:cs="Times New Roman"/>
      <w:szCs w:val="24"/>
      <w:lang w:eastAsia="en-AU"/>
    </w:rPr>
  </w:style>
  <w:style w:type="character" w:customStyle="1" w:styleId="cf11">
    <w:name w:val="cf11"/>
    <w:basedOn w:val="DefaultParagraphFont"/>
    <w:rsid w:val="00785C2F"/>
    <w:rPr>
      <w:rFonts w:ascii="Segoe UI" w:hAnsi="Segoe UI" w:cs="Segoe UI" w:hint="default"/>
      <w:i/>
      <w:iCs/>
      <w:sz w:val="18"/>
      <w:szCs w:val="18"/>
    </w:rPr>
  </w:style>
  <w:style w:type="numbering" w:customStyle="1" w:styleId="Style11">
    <w:name w:val="Style11"/>
    <w:uiPriority w:val="99"/>
    <w:rsid w:val="00785C2F"/>
  </w:style>
  <w:style w:type="numbering" w:customStyle="1" w:styleId="NoList1">
    <w:name w:val="No List1"/>
    <w:next w:val="NoList"/>
    <w:uiPriority w:val="99"/>
    <w:semiHidden/>
    <w:unhideWhenUsed/>
    <w:rsid w:val="00785C2F"/>
  </w:style>
  <w:style w:type="table" w:customStyle="1" w:styleId="SummaryTable1">
    <w:name w:val="Summary Table1"/>
    <w:basedOn w:val="TableNormal"/>
    <w:next w:val="TableGrid"/>
    <w:uiPriority w:val="59"/>
    <w:rsid w:val="00785C2F"/>
    <w:pPr>
      <w:spacing w:after="0" w:line="240" w:lineRule="auto"/>
    </w:pPr>
    <w:rPr>
      <w:rFonts w:eastAsia="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1">
    <w:name w:val="Table Grid 11"/>
    <w:basedOn w:val="TableNormal"/>
    <w:next w:val="TableGrid1"/>
    <w:uiPriority w:val="99"/>
    <w:semiHidden/>
    <w:unhideWhenUsed/>
    <w:rsid w:val="00785C2F"/>
    <w:pPr>
      <w:spacing w:before="120" w:line="240" w:lineRule="auto"/>
      <w:jc w:val="both"/>
    </w:pPr>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EndnoteText1">
    <w:name w:val="Endnote Text1"/>
    <w:basedOn w:val="Normal"/>
    <w:next w:val="EndnoteText"/>
    <w:uiPriority w:val="99"/>
    <w:semiHidden/>
    <w:rsid w:val="00785C2F"/>
    <w:pPr>
      <w:spacing w:before="0" w:after="0"/>
    </w:pPr>
    <w:rPr>
      <w:rFonts w:eastAsia="Calibri"/>
      <w:sz w:val="20"/>
      <w:szCs w:val="20"/>
      <w:lang w:val="de-DE"/>
    </w:rPr>
  </w:style>
  <w:style w:type="table" w:customStyle="1" w:styleId="TableSimple11">
    <w:name w:val="Table Simple 11"/>
    <w:basedOn w:val="TableNormal"/>
    <w:next w:val="TableSimple1"/>
    <w:rsid w:val="00785C2F"/>
    <w:pPr>
      <w:spacing w:after="0" w:line="240" w:lineRule="auto"/>
    </w:pPr>
    <w:rPr>
      <w:rFonts w:ascii="Arial Narrow" w:eastAsia="MS Mincho" w:hAnsi="Arial Narrow" w:cs="Times New Roman"/>
      <w:sz w:val="18"/>
      <w:szCs w:val="20"/>
      <w:lang w:eastAsia="en-AU"/>
    </w:rPr>
    <w:tblPr>
      <w:tblBorders>
        <w:top w:val="single" w:sz="4" w:space="0" w:color="auto"/>
        <w:bottom w:val="single" w:sz="4" w:space="0" w:color="auto"/>
        <w:insideH w:val="single" w:sz="4" w:space="0" w:color="auto"/>
      </w:tblBorders>
    </w:tblPr>
    <w:tcPr>
      <w:shd w:val="clear" w:color="auto" w:fill="auto"/>
    </w:tcPr>
    <w:tblStylePr w:type="firstRow">
      <w:tblPr/>
      <w:tcPr>
        <w:tcBorders>
          <w:bottom w:val="nil"/>
        </w:tcBorders>
        <w:shd w:val="clear" w:color="auto" w:fill="auto"/>
      </w:tcPr>
    </w:tblStylePr>
    <w:tblStylePr w:type="lastRow">
      <w:tblPr/>
      <w:tcPr>
        <w:tcBorders>
          <w:top w:val="single" w:sz="6" w:space="0" w:color="008000"/>
          <w:tl2br w:val="none" w:sz="0" w:space="0" w:color="auto"/>
          <w:tr2bl w:val="none" w:sz="0" w:space="0" w:color="auto"/>
        </w:tcBorders>
      </w:tcPr>
    </w:tblStylePr>
  </w:style>
  <w:style w:type="character" w:customStyle="1" w:styleId="EndnoteTextChar1">
    <w:name w:val="Endnote Text Char1"/>
    <w:basedOn w:val="DefaultParagraphFont"/>
    <w:uiPriority w:val="99"/>
    <w:semiHidden/>
    <w:rsid w:val="00785C2F"/>
    <w:rPr>
      <w:rFonts w:ascii="Montserrat" w:hAnsi="Montserrat" w:cs="Calibri"/>
      <w:sz w:val="20"/>
      <w:szCs w:val="20"/>
      <w:lang w:val="en-AU"/>
    </w:rPr>
  </w:style>
  <w:style w:type="paragraph" w:customStyle="1" w:styleId="3-SubsectionHeading">
    <w:name w:val="3-Subsection Heading"/>
    <w:basedOn w:val="Heading2"/>
    <w:next w:val="Normal"/>
    <w:link w:val="3-SubsectionHeadingChar"/>
    <w:qFormat/>
    <w:rsid w:val="002F327D"/>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2F327D"/>
    <w:rPr>
      <w:rFonts w:ascii="Arial" w:eastAsiaTheme="majorEastAsia" w:hAnsi="Arial" w:cstheme="majorBidi"/>
      <w:b/>
      <w:i/>
      <w:snapToGrid/>
      <w:spacing w:val="5"/>
      <w:kern w:val="28"/>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0397910">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50661338">
      <w:bodyDiv w:val="1"/>
      <w:marLeft w:val="0"/>
      <w:marRight w:val="0"/>
      <w:marTop w:val="0"/>
      <w:marBottom w:val="0"/>
      <w:divBdr>
        <w:top w:val="none" w:sz="0" w:space="0" w:color="auto"/>
        <w:left w:val="none" w:sz="0" w:space="0" w:color="auto"/>
        <w:bottom w:val="none" w:sz="0" w:space="0" w:color="auto"/>
        <w:right w:val="none" w:sz="0" w:space="0" w:color="auto"/>
      </w:divBdr>
    </w:div>
    <w:div w:id="7413556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96044182">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41912637">
      <w:bodyDiv w:val="1"/>
      <w:marLeft w:val="0"/>
      <w:marRight w:val="0"/>
      <w:marTop w:val="0"/>
      <w:marBottom w:val="0"/>
      <w:divBdr>
        <w:top w:val="none" w:sz="0" w:space="0" w:color="auto"/>
        <w:left w:val="none" w:sz="0" w:space="0" w:color="auto"/>
        <w:bottom w:val="none" w:sz="0" w:space="0" w:color="auto"/>
        <w:right w:val="none" w:sz="0" w:space="0" w:color="auto"/>
      </w:divBdr>
    </w:div>
    <w:div w:id="269975294">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49796128">
      <w:bodyDiv w:val="1"/>
      <w:marLeft w:val="0"/>
      <w:marRight w:val="0"/>
      <w:marTop w:val="0"/>
      <w:marBottom w:val="0"/>
      <w:divBdr>
        <w:top w:val="none" w:sz="0" w:space="0" w:color="auto"/>
        <w:left w:val="none" w:sz="0" w:space="0" w:color="auto"/>
        <w:bottom w:val="none" w:sz="0" w:space="0" w:color="auto"/>
        <w:right w:val="none" w:sz="0" w:space="0" w:color="auto"/>
      </w:divBdr>
    </w:div>
    <w:div w:id="395444248">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17750546">
      <w:bodyDiv w:val="1"/>
      <w:marLeft w:val="0"/>
      <w:marRight w:val="0"/>
      <w:marTop w:val="0"/>
      <w:marBottom w:val="0"/>
      <w:divBdr>
        <w:top w:val="none" w:sz="0" w:space="0" w:color="auto"/>
        <w:left w:val="none" w:sz="0" w:space="0" w:color="auto"/>
        <w:bottom w:val="none" w:sz="0" w:space="0" w:color="auto"/>
        <w:right w:val="none" w:sz="0" w:space="0" w:color="auto"/>
      </w:divBdr>
    </w:div>
    <w:div w:id="421529487">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28828102">
      <w:bodyDiv w:val="1"/>
      <w:marLeft w:val="0"/>
      <w:marRight w:val="0"/>
      <w:marTop w:val="0"/>
      <w:marBottom w:val="0"/>
      <w:divBdr>
        <w:top w:val="none" w:sz="0" w:space="0" w:color="auto"/>
        <w:left w:val="none" w:sz="0" w:space="0" w:color="auto"/>
        <w:bottom w:val="none" w:sz="0" w:space="0" w:color="auto"/>
        <w:right w:val="none" w:sz="0" w:space="0" w:color="auto"/>
      </w:divBdr>
    </w:div>
    <w:div w:id="640885607">
      <w:bodyDiv w:val="1"/>
      <w:marLeft w:val="0"/>
      <w:marRight w:val="0"/>
      <w:marTop w:val="0"/>
      <w:marBottom w:val="0"/>
      <w:divBdr>
        <w:top w:val="none" w:sz="0" w:space="0" w:color="auto"/>
        <w:left w:val="none" w:sz="0" w:space="0" w:color="auto"/>
        <w:bottom w:val="none" w:sz="0" w:space="0" w:color="auto"/>
        <w:right w:val="none" w:sz="0" w:space="0" w:color="auto"/>
      </w:divBdr>
      <w:divsChild>
        <w:div w:id="508060360">
          <w:marLeft w:val="288"/>
          <w:marRight w:val="0"/>
          <w:marTop w:val="96"/>
          <w:marBottom w:val="0"/>
          <w:divBdr>
            <w:top w:val="none" w:sz="0" w:space="0" w:color="auto"/>
            <w:left w:val="none" w:sz="0" w:space="0" w:color="auto"/>
            <w:bottom w:val="none" w:sz="0" w:space="0" w:color="auto"/>
            <w:right w:val="none" w:sz="0" w:space="0" w:color="auto"/>
          </w:divBdr>
        </w:div>
      </w:divsChild>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75979">
      <w:bodyDiv w:val="1"/>
      <w:marLeft w:val="0"/>
      <w:marRight w:val="0"/>
      <w:marTop w:val="0"/>
      <w:marBottom w:val="0"/>
      <w:divBdr>
        <w:top w:val="none" w:sz="0" w:space="0" w:color="auto"/>
        <w:left w:val="none" w:sz="0" w:space="0" w:color="auto"/>
        <w:bottom w:val="none" w:sz="0" w:space="0" w:color="auto"/>
        <w:right w:val="none" w:sz="0" w:space="0" w:color="auto"/>
      </w:divBdr>
      <w:divsChild>
        <w:div w:id="1836189594">
          <w:marLeft w:val="288"/>
          <w:marRight w:val="0"/>
          <w:marTop w:val="96"/>
          <w:marBottom w:val="0"/>
          <w:divBdr>
            <w:top w:val="none" w:sz="0" w:space="0" w:color="auto"/>
            <w:left w:val="none" w:sz="0" w:space="0" w:color="auto"/>
            <w:bottom w:val="none" w:sz="0" w:space="0" w:color="auto"/>
            <w:right w:val="none" w:sz="0" w:space="0" w:color="auto"/>
          </w:divBdr>
        </w:div>
      </w:divsChild>
    </w:div>
    <w:div w:id="741411018">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891189701">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2381">
      <w:bodyDiv w:val="1"/>
      <w:marLeft w:val="0"/>
      <w:marRight w:val="0"/>
      <w:marTop w:val="0"/>
      <w:marBottom w:val="0"/>
      <w:divBdr>
        <w:top w:val="none" w:sz="0" w:space="0" w:color="auto"/>
        <w:left w:val="none" w:sz="0" w:space="0" w:color="auto"/>
        <w:bottom w:val="none" w:sz="0" w:space="0" w:color="auto"/>
        <w:right w:val="none" w:sz="0" w:space="0" w:color="auto"/>
      </w:divBdr>
    </w:div>
    <w:div w:id="1114521259">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1936264">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32424673">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5160987">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15290257">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80430962">
      <w:bodyDiv w:val="1"/>
      <w:marLeft w:val="0"/>
      <w:marRight w:val="0"/>
      <w:marTop w:val="0"/>
      <w:marBottom w:val="0"/>
      <w:divBdr>
        <w:top w:val="none" w:sz="0" w:space="0" w:color="auto"/>
        <w:left w:val="none" w:sz="0" w:space="0" w:color="auto"/>
        <w:bottom w:val="none" w:sz="0" w:space="0" w:color="auto"/>
        <w:right w:val="none" w:sz="0" w:space="0" w:color="auto"/>
      </w:divBdr>
      <w:divsChild>
        <w:div w:id="915630487">
          <w:marLeft w:val="720"/>
          <w:marRight w:val="0"/>
          <w:marTop w:val="96"/>
          <w:marBottom w:val="0"/>
          <w:divBdr>
            <w:top w:val="none" w:sz="0" w:space="0" w:color="auto"/>
            <w:left w:val="none" w:sz="0" w:space="0" w:color="auto"/>
            <w:bottom w:val="none" w:sz="0" w:space="0" w:color="auto"/>
            <w:right w:val="none" w:sz="0" w:space="0" w:color="auto"/>
          </w:divBdr>
        </w:div>
      </w:divsChild>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1469786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1946">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77780665">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61173-532F-4707-9DC3-67C0BC59853C}">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18109</Words>
  <Characters>103222</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2024-10-28T22:04:00Z</dcterms:created>
  <dcterms:modified xsi:type="dcterms:W3CDTF">2025-02-04T04:45:00Z</dcterms:modified>
</cp:coreProperties>
</file>