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4DB5D" w14:textId="77777777" w:rsidR="006F175E" w:rsidRPr="00AD4EFC" w:rsidRDefault="006F175E" w:rsidP="006F175E">
      <w:pPr>
        <w:rPr>
          <w:color w:val="FF0000"/>
        </w:rPr>
      </w:pPr>
      <w:bookmarkStart w:id="0" w:name="_Toc167277623"/>
      <w:r w:rsidRPr="00AD4EFC">
        <w:rPr>
          <w:color w:val="FF0000"/>
        </w:rPr>
        <w:t>Changes have been made to this item. Details of the corrigendum are at the end of this document.</w:t>
      </w:r>
    </w:p>
    <w:p w14:paraId="51C6701A" w14:textId="5B4D9ADC" w:rsidR="00B60939" w:rsidRPr="0049394D" w:rsidRDefault="00A06233" w:rsidP="001265A3">
      <w:pPr>
        <w:pStyle w:val="1-MainHeading"/>
        <w:ind w:left="851" w:hanging="851"/>
      </w:pPr>
      <w:r w:rsidRPr="0049394D">
        <w:t>5.02</w:t>
      </w:r>
      <w:r w:rsidR="00163F66" w:rsidRPr="0049394D">
        <w:tab/>
      </w:r>
      <w:r w:rsidR="0088249D" w:rsidRPr="0049394D">
        <w:t>BELZUTIFAN,</w:t>
      </w:r>
      <w:r w:rsidR="0088249D" w:rsidRPr="0049394D">
        <w:br/>
        <w:t>Tablet</w:t>
      </w:r>
      <w:r w:rsidR="00D42439" w:rsidRPr="0049394D">
        <w:t xml:space="preserve"> </w:t>
      </w:r>
      <w:r w:rsidR="0088249D" w:rsidRPr="0049394D">
        <w:t>40mg,</w:t>
      </w:r>
      <w:r w:rsidR="0088249D" w:rsidRPr="0049394D">
        <w:br/>
        <w:t>Welireg</w:t>
      </w:r>
      <w:r w:rsidR="0088249D" w:rsidRPr="0049394D">
        <w:rPr>
          <w:vertAlign w:val="superscript"/>
        </w:rPr>
        <w:t>®</w:t>
      </w:r>
      <w:r w:rsidR="0088249D" w:rsidRPr="0049394D">
        <w:t>,</w:t>
      </w:r>
      <w:r w:rsidR="0088249D" w:rsidRPr="0049394D">
        <w:br/>
      </w:r>
      <w:r w:rsidR="00D42439" w:rsidRPr="0049394D">
        <w:t>Merck Sharp &amp; Dohme (Australia) Pty Limited</w:t>
      </w:r>
      <w:bookmarkEnd w:id="0"/>
      <w:r w:rsidR="00D42439" w:rsidRPr="0049394D">
        <w:rPr>
          <w:rFonts w:ascii="Calibri" w:eastAsia="Times New Roman" w:hAnsi="Calibri" w:cs="Arial"/>
          <w:b w:val="0"/>
          <w:color w:val="0066FF"/>
          <w:spacing w:val="0"/>
          <w:kern w:val="0"/>
          <w:sz w:val="24"/>
          <w:szCs w:val="24"/>
        </w:rPr>
        <w:t xml:space="preserve"> </w:t>
      </w:r>
    </w:p>
    <w:p w14:paraId="11C00795" w14:textId="3DFB6D23" w:rsidR="00B50DB8" w:rsidRPr="0049394D" w:rsidRDefault="00B50DB8" w:rsidP="004A6040">
      <w:pPr>
        <w:pStyle w:val="2-SectionHeading"/>
      </w:pPr>
      <w:bookmarkStart w:id="1" w:name="_Toc167277625"/>
      <w:r w:rsidRPr="0049394D">
        <w:t xml:space="preserve">Purpose of </w:t>
      </w:r>
      <w:r w:rsidR="00CD7193" w:rsidRPr="0049394D">
        <w:t>s</w:t>
      </w:r>
      <w:r w:rsidR="00BB3A45" w:rsidRPr="0049394D">
        <w:t>ubmission</w:t>
      </w:r>
      <w:bookmarkEnd w:id="1"/>
    </w:p>
    <w:p w14:paraId="4FE4E1F2" w14:textId="243E381C" w:rsidR="0088249D" w:rsidRPr="0049394D" w:rsidRDefault="0088249D" w:rsidP="0088249D">
      <w:pPr>
        <w:pStyle w:val="3-BodyText"/>
      </w:pPr>
      <w:r w:rsidRPr="0049394D">
        <w:t xml:space="preserve">The Category 1 submission requested a General Schedule Authority Required (Telephone/Online) listing for the treatment of patients with </w:t>
      </w:r>
      <w:r w:rsidR="00A06233" w:rsidRPr="0049394D">
        <w:t>von Hippel-Lindau (</w:t>
      </w:r>
      <w:r w:rsidRPr="0049394D">
        <w:t>VHL</w:t>
      </w:r>
      <w:r w:rsidR="00A06233" w:rsidRPr="0049394D">
        <w:t>)</w:t>
      </w:r>
      <w:r w:rsidRPr="0049394D">
        <w:t xml:space="preserve"> disease who require therapy for associated renal cell carcinoma (RCC), central nervous system haemangioblastomas (CNS Hb), or pancreatic neuroendocrine tumours (pNET), not requiring immediate surgery.</w:t>
      </w:r>
    </w:p>
    <w:p w14:paraId="1ABCE0AD" w14:textId="77777777" w:rsidR="0088249D" w:rsidRPr="0049394D" w:rsidRDefault="0088249D" w:rsidP="0088249D">
      <w:pPr>
        <w:pStyle w:val="3-BodyText"/>
      </w:pPr>
      <w:r w:rsidRPr="0049394D">
        <w:t>Listing was requested on the basis of a cost-utility analysis versus active surveillance. Table 1 summarises the components of the overall clinical claim addressed by the submission.</w:t>
      </w:r>
    </w:p>
    <w:p w14:paraId="5B040591" w14:textId="70DB691D" w:rsidR="0088249D" w:rsidRPr="0049394D" w:rsidRDefault="0088249D" w:rsidP="0088249D">
      <w:pPr>
        <w:pStyle w:val="TableFigureHeading"/>
        <w:rPr>
          <w:rStyle w:val="CommentReference"/>
          <w:b/>
        </w:rPr>
      </w:pPr>
      <w:bookmarkStart w:id="2" w:name="_Ref165041120"/>
      <w:r w:rsidRPr="0049394D">
        <w:t xml:space="preserve">Table </w:t>
      </w:r>
      <w:r>
        <w:fldChar w:fldCharType="begin" w:fldLock="1"/>
      </w:r>
      <w:r>
        <w:instrText xml:space="preserve"> SEQ Table \* ARABIC </w:instrText>
      </w:r>
      <w:r>
        <w:fldChar w:fldCharType="separate"/>
      </w:r>
      <w:r w:rsidR="00437B51">
        <w:rPr>
          <w:noProof/>
        </w:rPr>
        <w:t>1</w:t>
      </w:r>
      <w:r>
        <w:rPr>
          <w:noProof/>
        </w:rPr>
        <w:fldChar w:fldCharType="end"/>
      </w:r>
      <w:bookmarkEnd w:id="2"/>
      <w:r w:rsidRPr="0049394D">
        <w:t>:</w:t>
      </w:r>
      <w:r w:rsidRPr="0049394D">
        <w:rPr>
          <w:rStyle w:val="CommentReference"/>
        </w:rPr>
        <w:t xml:space="preserve"> </w:t>
      </w:r>
      <w:r w:rsidRPr="0049394D">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88249D" w:rsidRPr="0049394D" w14:paraId="4CC9036A" w14:textId="77777777" w:rsidTr="00242CB1">
        <w:trPr>
          <w:cantSplit/>
          <w:tblHeader/>
        </w:trPr>
        <w:tc>
          <w:tcPr>
            <w:tcW w:w="924" w:type="pct"/>
            <w:shd w:val="clear" w:color="auto" w:fill="auto"/>
          </w:tcPr>
          <w:p w14:paraId="445678C5" w14:textId="77777777" w:rsidR="0088249D" w:rsidRPr="0049394D" w:rsidRDefault="0088249D" w:rsidP="00242CB1">
            <w:pPr>
              <w:pStyle w:val="In-tableHeading"/>
              <w:rPr>
                <w:szCs w:val="20"/>
                <w:lang w:val="en-AU"/>
              </w:rPr>
            </w:pPr>
            <w:r w:rsidRPr="0049394D">
              <w:rPr>
                <w:lang w:val="en-AU"/>
              </w:rPr>
              <w:t>Component</w:t>
            </w:r>
          </w:p>
        </w:tc>
        <w:tc>
          <w:tcPr>
            <w:tcW w:w="4076" w:type="pct"/>
            <w:shd w:val="clear" w:color="auto" w:fill="auto"/>
          </w:tcPr>
          <w:p w14:paraId="44640963" w14:textId="77777777" w:rsidR="0088249D" w:rsidRPr="0049394D" w:rsidRDefault="0088249D" w:rsidP="00242CB1">
            <w:pPr>
              <w:pStyle w:val="In-tableHeading"/>
              <w:rPr>
                <w:lang w:val="en-AU"/>
              </w:rPr>
            </w:pPr>
            <w:r w:rsidRPr="0049394D">
              <w:rPr>
                <w:lang w:val="en-AU"/>
              </w:rPr>
              <w:t>Description</w:t>
            </w:r>
          </w:p>
        </w:tc>
      </w:tr>
      <w:tr w:rsidR="0088249D" w:rsidRPr="0049394D" w14:paraId="46460B2A" w14:textId="77777777" w:rsidTr="00242CB1">
        <w:trPr>
          <w:cantSplit/>
        </w:trPr>
        <w:tc>
          <w:tcPr>
            <w:tcW w:w="924" w:type="pct"/>
            <w:shd w:val="clear" w:color="auto" w:fill="auto"/>
          </w:tcPr>
          <w:p w14:paraId="5694DB4A" w14:textId="77777777" w:rsidR="0088249D" w:rsidRPr="0049394D" w:rsidRDefault="0088249D" w:rsidP="00242CB1">
            <w:pPr>
              <w:pStyle w:val="TableText0"/>
            </w:pPr>
            <w:r w:rsidRPr="0049394D">
              <w:t>Population</w:t>
            </w:r>
          </w:p>
        </w:tc>
        <w:tc>
          <w:tcPr>
            <w:tcW w:w="4076" w:type="pct"/>
            <w:shd w:val="clear" w:color="auto" w:fill="auto"/>
          </w:tcPr>
          <w:p w14:paraId="27AD814C" w14:textId="77777777" w:rsidR="0088249D" w:rsidRPr="0049394D" w:rsidRDefault="0088249D" w:rsidP="00242CB1">
            <w:pPr>
              <w:pStyle w:val="TableText0"/>
              <w:rPr>
                <w:szCs w:val="20"/>
              </w:rPr>
            </w:pPr>
            <w:r w:rsidRPr="0049394D">
              <w:t>Adult patients with VHL disease who require therapy for associated RCC, CNS Hb, or pNET, not requiring immediate surgery.</w:t>
            </w:r>
          </w:p>
        </w:tc>
      </w:tr>
      <w:tr w:rsidR="0088249D" w:rsidRPr="0049394D" w14:paraId="0A2EAE7C" w14:textId="77777777" w:rsidTr="00242CB1">
        <w:trPr>
          <w:cantSplit/>
        </w:trPr>
        <w:tc>
          <w:tcPr>
            <w:tcW w:w="924" w:type="pct"/>
            <w:shd w:val="clear" w:color="auto" w:fill="auto"/>
          </w:tcPr>
          <w:p w14:paraId="082719D6" w14:textId="77777777" w:rsidR="0088249D" w:rsidRPr="0049394D" w:rsidRDefault="0088249D" w:rsidP="00242CB1">
            <w:pPr>
              <w:pStyle w:val="TableText0"/>
            </w:pPr>
            <w:r w:rsidRPr="0049394D">
              <w:t>Intervention</w:t>
            </w:r>
          </w:p>
        </w:tc>
        <w:tc>
          <w:tcPr>
            <w:tcW w:w="4076" w:type="pct"/>
            <w:shd w:val="clear" w:color="auto" w:fill="auto"/>
          </w:tcPr>
          <w:p w14:paraId="5F16D678" w14:textId="2A13CE63" w:rsidR="0088249D" w:rsidRPr="0049394D" w:rsidRDefault="0088249D" w:rsidP="00242CB1">
            <w:pPr>
              <w:pStyle w:val="TableText0"/>
            </w:pPr>
            <w:r w:rsidRPr="0049394D">
              <w:t xml:space="preserve">Belzutifan </w:t>
            </w:r>
            <w:r w:rsidR="004119B1" w:rsidRPr="0049394D">
              <w:t>1</w:t>
            </w:r>
            <w:r w:rsidRPr="0049394D">
              <w:t>20mg</w:t>
            </w:r>
            <w:r w:rsidR="00E84911" w:rsidRPr="0049394D">
              <w:t xml:space="preserve"> orally</w:t>
            </w:r>
            <w:r w:rsidRPr="0049394D">
              <w:t xml:space="preserve"> </w:t>
            </w:r>
            <w:r w:rsidR="00EC7185" w:rsidRPr="0049394D">
              <w:t xml:space="preserve">once </w:t>
            </w:r>
            <w:r w:rsidRPr="0049394D">
              <w:t xml:space="preserve">daily (as 3 x 40 mg tablets) </w:t>
            </w:r>
            <w:r w:rsidRPr="0049394D">
              <w:rPr>
                <w:i/>
              </w:rPr>
              <w:t xml:space="preserve">+ </w:t>
            </w:r>
            <w:r w:rsidRPr="001D4089">
              <w:rPr>
                <w:iCs/>
              </w:rPr>
              <w:t>active surveillance</w:t>
            </w:r>
          </w:p>
        </w:tc>
      </w:tr>
      <w:tr w:rsidR="0088249D" w:rsidRPr="0049394D" w14:paraId="4B5EEDF7" w14:textId="77777777" w:rsidTr="00242CB1">
        <w:trPr>
          <w:cantSplit/>
        </w:trPr>
        <w:tc>
          <w:tcPr>
            <w:tcW w:w="924" w:type="pct"/>
            <w:shd w:val="clear" w:color="auto" w:fill="auto"/>
          </w:tcPr>
          <w:p w14:paraId="3BE88C4F" w14:textId="77777777" w:rsidR="0088249D" w:rsidRPr="0049394D" w:rsidRDefault="0088249D" w:rsidP="00242CB1">
            <w:pPr>
              <w:pStyle w:val="TableText0"/>
            </w:pPr>
            <w:r w:rsidRPr="0049394D">
              <w:t>Comparator</w:t>
            </w:r>
          </w:p>
        </w:tc>
        <w:tc>
          <w:tcPr>
            <w:tcW w:w="4076" w:type="pct"/>
            <w:shd w:val="clear" w:color="auto" w:fill="auto"/>
          </w:tcPr>
          <w:p w14:paraId="635B948E" w14:textId="77777777" w:rsidR="0088249D" w:rsidRPr="0049394D" w:rsidRDefault="0088249D" w:rsidP="00242CB1">
            <w:pPr>
              <w:pStyle w:val="TableText0"/>
            </w:pPr>
            <w:r w:rsidRPr="0049394D">
              <w:t>Active surveillance</w:t>
            </w:r>
          </w:p>
        </w:tc>
      </w:tr>
      <w:tr w:rsidR="0088249D" w:rsidRPr="0049394D" w14:paraId="1F1795D9" w14:textId="77777777" w:rsidTr="00242CB1">
        <w:trPr>
          <w:cantSplit/>
        </w:trPr>
        <w:tc>
          <w:tcPr>
            <w:tcW w:w="924" w:type="pct"/>
            <w:shd w:val="clear" w:color="auto" w:fill="auto"/>
          </w:tcPr>
          <w:p w14:paraId="13DC0988" w14:textId="77777777" w:rsidR="0088249D" w:rsidRPr="0049394D" w:rsidRDefault="0088249D" w:rsidP="00242CB1">
            <w:pPr>
              <w:pStyle w:val="TableText0"/>
            </w:pPr>
            <w:r w:rsidRPr="0049394D">
              <w:t>Outcomes</w:t>
            </w:r>
          </w:p>
        </w:tc>
        <w:tc>
          <w:tcPr>
            <w:tcW w:w="4076" w:type="pct"/>
            <w:shd w:val="clear" w:color="auto" w:fill="auto"/>
          </w:tcPr>
          <w:p w14:paraId="7B664FFD" w14:textId="702993C1" w:rsidR="0088249D" w:rsidRPr="0049394D" w:rsidRDefault="0088249D" w:rsidP="00242CB1">
            <w:pPr>
              <w:pStyle w:val="TableText0"/>
              <w:rPr>
                <w:rFonts w:eastAsia="Times New Roman" w:cs="Arial"/>
                <w:bCs w:val="0"/>
                <w:snapToGrid w:val="0"/>
                <w:szCs w:val="20"/>
              </w:rPr>
            </w:pPr>
            <w:r w:rsidRPr="0049394D">
              <w:t>Objective response rate</w:t>
            </w:r>
            <w:r w:rsidR="001E370A">
              <w:t>*</w:t>
            </w:r>
            <w:r w:rsidRPr="0049394D">
              <w:t xml:space="preserve">, </w:t>
            </w:r>
            <w:r w:rsidR="0064768A" w:rsidRPr="0049394D">
              <w:t>d</w:t>
            </w:r>
            <w:r w:rsidRPr="0049394D">
              <w:t xml:space="preserve">uration of response, </w:t>
            </w:r>
            <w:r w:rsidR="0064768A" w:rsidRPr="0049394D">
              <w:t>t</w:t>
            </w:r>
            <w:r w:rsidRPr="0049394D">
              <w:t xml:space="preserve">ime to response, </w:t>
            </w:r>
            <w:r w:rsidR="0064768A" w:rsidRPr="0049394D">
              <w:t>p</w:t>
            </w:r>
            <w:r w:rsidRPr="0049394D">
              <w:t xml:space="preserve">rogression-free survival, </w:t>
            </w:r>
            <w:r w:rsidR="0064768A" w:rsidRPr="0049394D">
              <w:t>t</w:t>
            </w:r>
            <w:r w:rsidRPr="0049394D">
              <w:t xml:space="preserve">ime to surgery, </w:t>
            </w:r>
            <w:r w:rsidR="0064768A" w:rsidRPr="0049394D">
              <w:t>n</w:t>
            </w:r>
            <w:r w:rsidRPr="0049394D">
              <w:t xml:space="preserve">umber of surgeries, </w:t>
            </w:r>
            <w:r w:rsidR="0064768A" w:rsidRPr="0049394D">
              <w:t>l</w:t>
            </w:r>
            <w:r w:rsidRPr="0049394D">
              <w:t xml:space="preserve">inear growth rate, </w:t>
            </w:r>
            <w:r w:rsidR="0064768A" w:rsidRPr="0049394D">
              <w:t>and a</w:t>
            </w:r>
            <w:r w:rsidRPr="0049394D">
              <w:t>dverse events</w:t>
            </w:r>
            <w:r w:rsidR="0064768A" w:rsidRPr="0049394D">
              <w:t>.</w:t>
            </w:r>
          </w:p>
        </w:tc>
      </w:tr>
      <w:tr w:rsidR="0088249D" w:rsidRPr="0049394D" w14:paraId="5BEB6547" w14:textId="77777777" w:rsidTr="00242CB1">
        <w:trPr>
          <w:cantSplit/>
        </w:trPr>
        <w:tc>
          <w:tcPr>
            <w:tcW w:w="924" w:type="pct"/>
            <w:shd w:val="clear" w:color="auto" w:fill="auto"/>
          </w:tcPr>
          <w:p w14:paraId="66DC5FE6" w14:textId="77777777" w:rsidR="0088249D" w:rsidRPr="0049394D" w:rsidRDefault="0088249D" w:rsidP="00242CB1">
            <w:pPr>
              <w:pStyle w:val="TableText0"/>
            </w:pPr>
            <w:r w:rsidRPr="0049394D">
              <w:t>Clinical claim</w:t>
            </w:r>
          </w:p>
        </w:tc>
        <w:tc>
          <w:tcPr>
            <w:tcW w:w="4076" w:type="pct"/>
            <w:shd w:val="clear" w:color="auto" w:fill="auto"/>
          </w:tcPr>
          <w:p w14:paraId="2F57F1FE" w14:textId="77777777" w:rsidR="0088249D" w:rsidRPr="0049394D" w:rsidRDefault="0088249D" w:rsidP="00242CB1">
            <w:pPr>
              <w:pStyle w:val="TableText0"/>
              <w:rPr>
                <w:rFonts w:eastAsia="Times New Roman" w:cs="Arial"/>
                <w:bCs w:val="0"/>
                <w:snapToGrid w:val="0"/>
                <w:szCs w:val="20"/>
              </w:rPr>
            </w:pPr>
            <w:r w:rsidRPr="0049394D">
              <w:t xml:space="preserve">In adult patients with VHL disease who require therapy for associated RCC, CNS Hb, or pNET, not requiring immediate surgery, belzutifan </w:t>
            </w:r>
            <w:r w:rsidRPr="0049394D">
              <w:rPr>
                <w:i/>
              </w:rPr>
              <w:t xml:space="preserve">+ </w:t>
            </w:r>
            <w:r w:rsidRPr="001D4089">
              <w:rPr>
                <w:iCs/>
              </w:rPr>
              <w:t>active surveillance</w:t>
            </w:r>
            <w:r w:rsidRPr="0049394D">
              <w:t xml:space="preserve"> is superior to active surveillance in terms of efficacy and inferior with respect to safety.</w:t>
            </w:r>
          </w:p>
        </w:tc>
      </w:tr>
    </w:tbl>
    <w:p w14:paraId="709943FC" w14:textId="3711512E" w:rsidR="0088249D" w:rsidRPr="0049394D" w:rsidRDefault="0088249D" w:rsidP="0088249D">
      <w:pPr>
        <w:pStyle w:val="FooterTableFigure"/>
      </w:pPr>
      <w:r w:rsidRPr="0049394D">
        <w:t xml:space="preserve">Source: Table 1.1-1, p15 of the submission. </w:t>
      </w:r>
    </w:p>
    <w:p w14:paraId="75817203" w14:textId="514E7662" w:rsidR="001E370A" w:rsidRDefault="000B4287" w:rsidP="001E370A">
      <w:pPr>
        <w:pStyle w:val="FooterTableFigure"/>
        <w:rPr>
          <w:szCs w:val="18"/>
        </w:rPr>
      </w:pPr>
      <w:r>
        <w:rPr>
          <w:szCs w:val="18"/>
        </w:rPr>
        <w:t>*</w:t>
      </w:r>
      <w:r w:rsidR="001E370A">
        <w:rPr>
          <w:szCs w:val="18"/>
        </w:rPr>
        <w:t xml:space="preserve">Objective response rate = complete response + partial response  </w:t>
      </w:r>
    </w:p>
    <w:p w14:paraId="42D209AA" w14:textId="5336B9C4" w:rsidR="0088249D" w:rsidRPr="0049394D" w:rsidRDefault="0088249D" w:rsidP="001E370A">
      <w:pPr>
        <w:pStyle w:val="FooterTableFigure"/>
        <w:rPr>
          <w:szCs w:val="18"/>
        </w:rPr>
      </w:pPr>
      <w:r w:rsidRPr="0049394D">
        <w:rPr>
          <w:szCs w:val="18"/>
        </w:rPr>
        <w:t>CNS=central nervous system; Hb=haemangioblastomas; pNET=pancreatic neuroendocrine tumour; RCC=renal cell carcinoma; VHL=von Hippel-Lindau.</w:t>
      </w:r>
    </w:p>
    <w:p w14:paraId="01F79E1F" w14:textId="3B512ECE" w:rsidR="0088249D" w:rsidRPr="0049394D" w:rsidRDefault="0088249D" w:rsidP="0088249D">
      <w:pPr>
        <w:pStyle w:val="2-SectionHeading"/>
        <w:numPr>
          <w:ilvl w:val="0"/>
          <w:numId w:val="1"/>
        </w:numPr>
      </w:pPr>
      <w:bookmarkStart w:id="3" w:name="_Toc167277626"/>
      <w:bookmarkStart w:id="4" w:name="_Toc22897639"/>
      <w:r w:rsidRPr="0049394D">
        <w:t>Background</w:t>
      </w:r>
      <w:bookmarkEnd w:id="3"/>
    </w:p>
    <w:p w14:paraId="1379C0C3" w14:textId="77777777" w:rsidR="0088249D" w:rsidRPr="0049394D" w:rsidRDefault="0088249D" w:rsidP="0088249D">
      <w:pPr>
        <w:pStyle w:val="4-SubsectionHeading"/>
      </w:pPr>
      <w:bookmarkStart w:id="5" w:name="_Toc22897638"/>
      <w:bookmarkStart w:id="6" w:name="_Toc167277627"/>
      <w:r w:rsidRPr="0049394D">
        <w:t>Registration status</w:t>
      </w:r>
      <w:bookmarkEnd w:id="5"/>
      <w:bookmarkEnd w:id="6"/>
    </w:p>
    <w:p w14:paraId="40E4C6D8" w14:textId="77777777" w:rsidR="0088249D" w:rsidRPr="0049394D" w:rsidRDefault="0088249D" w:rsidP="0088249D">
      <w:pPr>
        <w:pStyle w:val="3-BodyText"/>
      </w:pPr>
      <w:r w:rsidRPr="0049394D">
        <w:t>Belzutifan was granted orphan drug designation by the TGA on 2nd February 2022 and subsequently granted full approval under Project Orbis on 22nd December 2022 for the following indication:</w:t>
      </w:r>
    </w:p>
    <w:p w14:paraId="23AD1A52" w14:textId="01E63F99" w:rsidR="0088249D" w:rsidRPr="0049394D" w:rsidRDefault="0088249D" w:rsidP="0088249D">
      <w:pPr>
        <w:pStyle w:val="3-BodyText"/>
        <w:numPr>
          <w:ilvl w:val="0"/>
          <w:numId w:val="0"/>
        </w:numPr>
        <w:ind w:left="720"/>
      </w:pPr>
      <w:r w:rsidRPr="0049394D">
        <w:t>‘</w:t>
      </w:r>
      <w:r w:rsidR="00465819">
        <w:t>T</w:t>
      </w:r>
      <w:r w:rsidRPr="0049394D">
        <w:t>he treatment of adult patients with von Hippel-Lindau (VHL) disease who require therapy for associated renal cell carcinoma (RCC), central nervous system (CNS) haemangioblastomas, or pancreatic neuroendocrine tumours (pNET), not requiring immediate surgery.’</w:t>
      </w:r>
    </w:p>
    <w:p w14:paraId="42D78B10" w14:textId="479DEDD1" w:rsidR="0088249D" w:rsidRPr="0049394D" w:rsidRDefault="0088249D" w:rsidP="0088249D">
      <w:pPr>
        <w:pStyle w:val="3-BodyText"/>
      </w:pPr>
      <w:bookmarkStart w:id="7" w:name="_Hlk166162650"/>
      <w:r w:rsidRPr="0049394D">
        <w:lastRenderedPageBreak/>
        <w:t xml:space="preserve">The approved TGA indication allows for the treatment of VHL-associated RCC, CNS Hb or pNETs, whereas all patients in the pivotal study LS-004 had VHL-associated </w:t>
      </w:r>
      <w:r w:rsidR="00267FAD" w:rsidRPr="0049394D">
        <w:t xml:space="preserve">non-metastatic </w:t>
      </w:r>
      <w:r w:rsidRPr="0049394D">
        <w:t xml:space="preserve">RCC with or without concurrent CNS Hb or </w:t>
      </w:r>
      <w:r w:rsidR="00442BD6" w:rsidRPr="0049394D">
        <w:t xml:space="preserve">non-metastatic </w:t>
      </w:r>
      <w:r w:rsidRPr="0049394D">
        <w:t xml:space="preserve">pNETs. </w:t>
      </w:r>
      <w:bookmarkStart w:id="8" w:name="_Hlk166162494"/>
      <w:r w:rsidRPr="0049394D">
        <w:t xml:space="preserve">The TGA was satisfied that belzutifan’s mechanism of action would </w:t>
      </w:r>
      <w:r w:rsidR="005872E7" w:rsidRPr="0049394D">
        <w:t>be</w:t>
      </w:r>
      <w:r w:rsidRPr="0049394D">
        <w:t xml:space="preserve"> effective in a variety of VHL tumours, and recommended the broader indication based on tumour response data in LS-004 for patients with concurrent CNS Hb (n=50) or concurrent pNETs (n=22)</w:t>
      </w:r>
      <w:r w:rsidR="008F362B" w:rsidRPr="0049394D">
        <w:t xml:space="preserve"> (, TGA Delegate Overview)</w:t>
      </w:r>
      <w:r w:rsidRPr="0049394D">
        <w:t>.</w:t>
      </w:r>
      <w:bookmarkEnd w:id="7"/>
      <w:bookmarkEnd w:id="8"/>
    </w:p>
    <w:p w14:paraId="61FEC565" w14:textId="0FBC8F88" w:rsidR="0088249D" w:rsidRPr="0065536C" w:rsidRDefault="0088249D" w:rsidP="004F2BFE">
      <w:pPr>
        <w:pStyle w:val="3-BodyText"/>
        <w:rPr>
          <w:iCs/>
        </w:rPr>
      </w:pPr>
      <w:r w:rsidRPr="0049394D">
        <w:t xml:space="preserve">The approved TGA indication is consistent with the approved indications in the </w:t>
      </w:r>
      <w:r w:rsidR="00A63384" w:rsidRPr="0049394D">
        <w:t>United States of America (</w:t>
      </w:r>
      <w:r w:rsidRPr="0049394D">
        <w:t>USA</w:t>
      </w:r>
      <w:r w:rsidR="00A63384" w:rsidRPr="0049394D">
        <w:t>)</w:t>
      </w:r>
      <w:r w:rsidRPr="0049394D">
        <w:t xml:space="preserve">, Canada, and the </w:t>
      </w:r>
      <w:r w:rsidR="00A63384" w:rsidRPr="0049394D">
        <w:t>European Union (</w:t>
      </w:r>
      <w:r w:rsidRPr="0049394D">
        <w:t>EU</w:t>
      </w:r>
      <w:r w:rsidR="00A63384" w:rsidRPr="0049394D">
        <w:t>)</w:t>
      </w:r>
      <w:r w:rsidRPr="0049394D">
        <w:t xml:space="preserve">. In contrast, the approved indication in the </w:t>
      </w:r>
      <w:r w:rsidR="00A63384" w:rsidRPr="0049394D">
        <w:t>United Kingdom (</w:t>
      </w:r>
      <w:r w:rsidRPr="0049394D">
        <w:t>UK</w:t>
      </w:r>
      <w:r w:rsidR="00A63384" w:rsidRPr="0049394D">
        <w:t>)</w:t>
      </w:r>
      <w:r w:rsidRPr="0049394D">
        <w:t xml:space="preserve"> appears to position treatment later in the disease pathway </w:t>
      </w:r>
      <w:r w:rsidR="0006488F" w:rsidRPr="0049394D">
        <w:t xml:space="preserve">when </w:t>
      </w:r>
      <w:r w:rsidR="00115F4E" w:rsidRPr="0049394D">
        <w:t xml:space="preserve">patients </w:t>
      </w:r>
      <w:r w:rsidR="004F2BFE" w:rsidRPr="0049394D">
        <w:t xml:space="preserve">would </w:t>
      </w:r>
      <w:r w:rsidR="00476824" w:rsidRPr="0049394D">
        <w:t xml:space="preserve">usually </w:t>
      </w:r>
      <w:r w:rsidR="00115F4E" w:rsidRPr="0049394D">
        <w:t xml:space="preserve">become eligible for localised procedures (surgery and radiotherapy) after a period of active surveillance, but where </w:t>
      </w:r>
      <w:r w:rsidRPr="0049394D">
        <w:t>localised procedures are unsuitable or undesirable</w:t>
      </w:r>
      <w:r w:rsidR="00C900B2" w:rsidRPr="0049394D">
        <w:t xml:space="preserve"> due to potential organ loss</w:t>
      </w:r>
      <w:r w:rsidRPr="0049394D">
        <w:t>.</w:t>
      </w:r>
      <w:r w:rsidR="00115F4E" w:rsidRPr="0049394D">
        <w:t xml:space="preserve"> </w:t>
      </w:r>
      <w:r w:rsidR="00FC5C4C" w:rsidRPr="0049394D">
        <w:t>This means if a patient is suitable to have a localised procedure and the outcome is</w:t>
      </w:r>
      <w:r w:rsidR="004F2BFE" w:rsidRPr="0049394D">
        <w:rPr>
          <w:iCs/>
        </w:rPr>
        <w:t xml:space="preserve"> </w:t>
      </w:r>
      <w:r w:rsidR="00FC5C4C" w:rsidRPr="0049394D">
        <w:t>likely to be desirable, they should have one, and if not belzutifan could be an option</w:t>
      </w:r>
      <w:r w:rsidR="004F2BFE" w:rsidRPr="0049394D">
        <w:t xml:space="preserve"> (e.g. patients who have already had surgery and further surgery is unsuitable or </w:t>
      </w:r>
      <w:r w:rsidR="004911C5" w:rsidRPr="0049394D">
        <w:t>undesirable</w:t>
      </w:r>
      <w:r w:rsidR="004F2BFE" w:rsidRPr="0049394D">
        <w:t xml:space="preserve">). </w:t>
      </w:r>
      <w:r w:rsidRPr="0049394D">
        <w:t xml:space="preserve">The submission </w:t>
      </w:r>
      <w:r w:rsidR="0063628E" w:rsidRPr="00BF3570">
        <w:rPr>
          <w:iCs/>
        </w:rPr>
        <w:t>stated that</w:t>
      </w:r>
      <w:r w:rsidR="0063628E" w:rsidRPr="0049394D">
        <w:t xml:space="preserve"> </w:t>
      </w:r>
      <w:r w:rsidRPr="0049394D">
        <w:t xml:space="preserve">the disconnect between </w:t>
      </w:r>
      <w:r w:rsidR="005872E7" w:rsidRPr="0049394D">
        <w:t xml:space="preserve">the </w:t>
      </w:r>
      <w:r w:rsidRPr="0049394D">
        <w:t xml:space="preserve">approved indication in the UK and the use of belzutifan in the pivotal clinical evidence </w:t>
      </w:r>
      <w:r w:rsidR="0063628E" w:rsidRPr="0049394D">
        <w:t>w</w:t>
      </w:r>
      <w:r w:rsidRPr="0049394D">
        <w:t xml:space="preserve">as one reason </w:t>
      </w:r>
      <w:r w:rsidR="0063628E" w:rsidRPr="0049394D">
        <w:t xml:space="preserve">the </w:t>
      </w:r>
      <w:r w:rsidR="00CC1C3A" w:rsidRPr="0049394D">
        <w:t>National Institute for Health and Care Excellence (</w:t>
      </w:r>
      <w:r w:rsidRPr="0049394D">
        <w:t>NICE</w:t>
      </w:r>
      <w:r w:rsidR="00CC1C3A" w:rsidRPr="0049394D">
        <w:t>)</w:t>
      </w:r>
      <w:r w:rsidRPr="0049394D">
        <w:t xml:space="preserve"> did not recommend</w:t>
      </w:r>
      <w:r w:rsidR="00D07801" w:rsidRPr="0049394D">
        <w:t xml:space="preserve"> the</w:t>
      </w:r>
      <w:r w:rsidRPr="0049394D">
        <w:t xml:space="preserve"> listing of belzutifan in England and Wales</w:t>
      </w:r>
      <w:r w:rsidR="00C543EA" w:rsidRPr="0049394D">
        <w:t xml:space="preserve"> in their draft guidance</w:t>
      </w:r>
      <w:r w:rsidRPr="0049394D">
        <w:t>.</w:t>
      </w:r>
      <w:r w:rsidR="00CC1C3A" w:rsidRPr="0049394D">
        <w:t xml:space="preserve"> Canada’s Drug Agency (</w:t>
      </w:r>
      <w:r w:rsidR="00617EEF" w:rsidRPr="0049394D">
        <w:t xml:space="preserve">CDA-AMC, </w:t>
      </w:r>
      <w:r w:rsidR="00CC1C3A" w:rsidRPr="0049394D">
        <w:t>formerly CADTH) and Scottish Medicines Consortium (SMC) have recommended belzutifan with conditions</w:t>
      </w:r>
      <w:r w:rsidR="00917EB6" w:rsidRPr="0049394D">
        <w:t>.</w:t>
      </w:r>
    </w:p>
    <w:p w14:paraId="16209A9D" w14:textId="77777777" w:rsidR="0065536C" w:rsidRPr="0065536C" w:rsidRDefault="0065536C" w:rsidP="0065536C">
      <w:pPr>
        <w:pStyle w:val="3-BodyText"/>
        <w:numPr>
          <w:ilvl w:val="0"/>
          <w:numId w:val="0"/>
        </w:numPr>
        <w:ind w:left="720"/>
        <w:rPr>
          <w:i/>
          <w:iCs/>
        </w:rPr>
      </w:pPr>
      <w:bookmarkStart w:id="9" w:name="_Hlk76375324"/>
      <w:r w:rsidRPr="0065536C">
        <w:rPr>
          <w:i/>
          <w:iCs/>
        </w:rPr>
        <w:t>For more detail on PBAC’s view, see section 7 PBAC outcome.</w:t>
      </w:r>
    </w:p>
    <w:p w14:paraId="7B20B6FF" w14:textId="77777777" w:rsidR="0088249D" w:rsidRPr="0049394D" w:rsidRDefault="0088249D" w:rsidP="00465819">
      <w:pPr>
        <w:pStyle w:val="2-SectionHeading"/>
        <w:keepLines/>
        <w:numPr>
          <w:ilvl w:val="0"/>
          <w:numId w:val="1"/>
        </w:numPr>
      </w:pPr>
      <w:bookmarkStart w:id="10" w:name="_Toc107902078"/>
      <w:bookmarkStart w:id="11" w:name="_Toc167277628"/>
      <w:bookmarkStart w:id="12" w:name="_Toc22897640"/>
      <w:bookmarkEnd w:id="4"/>
      <w:bookmarkEnd w:id="9"/>
      <w:bookmarkEnd w:id="10"/>
      <w:r w:rsidRPr="0049394D">
        <w:t>Requested listing</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9"/>
        <w:gridCol w:w="2484"/>
        <w:gridCol w:w="815"/>
        <w:gridCol w:w="813"/>
        <w:gridCol w:w="815"/>
        <w:gridCol w:w="1831"/>
      </w:tblGrid>
      <w:tr w:rsidR="0088249D" w:rsidRPr="0049394D" w14:paraId="16E6DF5B" w14:textId="77777777" w:rsidTr="001D4089">
        <w:trPr>
          <w:cantSplit/>
          <w:trHeight w:val="20"/>
        </w:trPr>
        <w:tc>
          <w:tcPr>
            <w:tcW w:w="2320" w:type="dxa"/>
            <w:vAlign w:val="center"/>
          </w:tcPr>
          <w:p w14:paraId="354E3D0A" w14:textId="77777777" w:rsidR="0088249D" w:rsidRPr="0049394D" w:rsidRDefault="0088249D" w:rsidP="00465819">
            <w:pPr>
              <w:keepNext/>
              <w:keepLines/>
              <w:rPr>
                <w:rFonts w:ascii="Arial Narrow" w:hAnsi="Arial Narrow"/>
                <w:b/>
                <w:bCs/>
                <w:sz w:val="20"/>
                <w:szCs w:val="20"/>
              </w:rPr>
            </w:pPr>
            <w:bookmarkStart w:id="13" w:name="_Hlk104809055"/>
            <w:r w:rsidRPr="0049394D">
              <w:rPr>
                <w:rFonts w:ascii="Arial Narrow" w:hAnsi="Arial Narrow"/>
                <w:b/>
                <w:bCs/>
                <w:sz w:val="20"/>
                <w:szCs w:val="20"/>
              </w:rPr>
              <w:t>MEDICINAL PRODUCT</w:t>
            </w:r>
          </w:p>
          <w:p w14:paraId="15888A58" w14:textId="77777777" w:rsidR="0088249D" w:rsidRPr="0049394D" w:rsidRDefault="0088249D" w:rsidP="00465819">
            <w:pPr>
              <w:keepNext/>
              <w:keepLines/>
              <w:rPr>
                <w:rFonts w:ascii="Arial Narrow" w:hAnsi="Arial Narrow"/>
                <w:b/>
                <w:sz w:val="20"/>
                <w:szCs w:val="20"/>
              </w:rPr>
            </w:pPr>
            <w:r w:rsidRPr="0049394D">
              <w:rPr>
                <w:rFonts w:ascii="Arial Narrow" w:hAnsi="Arial Narrow"/>
                <w:b/>
                <w:bCs/>
                <w:sz w:val="20"/>
                <w:szCs w:val="20"/>
              </w:rPr>
              <w:t>medicinal product pack</w:t>
            </w:r>
          </w:p>
        </w:tc>
        <w:tc>
          <w:tcPr>
            <w:tcW w:w="2551" w:type="dxa"/>
            <w:vAlign w:val="center"/>
          </w:tcPr>
          <w:p w14:paraId="3230000D" w14:textId="77777777" w:rsidR="0088249D" w:rsidRPr="0049394D" w:rsidRDefault="0088249D" w:rsidP="00465819">
            <w:pPr>
              <w:pStyle w:val="TableText0"/>
              <w:keepLines/>
              <w:rPr>
                <w:b/>
                <w:bCs w:val="0"/>
                <w:szCs w:val="20"/>
              </w:rPr>
            </w:pPr>
            <w:r w:rsidRPr="0049394D">
              <w:rPr>
                <w:b/>
                <w:bCs w:val="0"/>
                <w:snapToGrid w:val="0"/>
              </w:rPr>
              <w:t xml:space="preserve">Dispensed Price for Max. Qty </w:t>
            </w:r>
          </w:p>
        </w:tc>
        <w:tc>
          <w:tcPr>
            <w:tcW w:w="832" w:type="dxa"/>
            <w:vAlign w:val="center"/>
          </w:tcPr>
          <w:p w14:paraId="767EC165" w14:textId="77777777" w:rsidR="0088249D" w:rsidRPr="0049394D" w:rsidRDefault="0088249D" w:rsidP="00465819">
            <w:pPr>
              <w:keepNext/>
              <w:keepLines/>
              <w:jc w:val="center"/>
              <w:rPr>
                <w:rFonts w:ascii="Arial Narrow" w:hAnsi="Arial Narrow"/>
                <w:b/>
                <w:sz w:val="20"/>
                <w:szCs w:val="20"/>
              </w:rPr>
            </w:pPr>
            <w:r w:rsidRPr="0049394D">
              <w:rPr>
                <w:rFonts w:ascii="Arial Narrow" w:hAnsi="Arial Narrow"/>
                <w:b/>
                <w:sz w:val="20"/>
                <w:szCs w:val="20"/>
              </w:rPr>
              <w:t>Max. qty packs</w:t>
            </w:r>
          </w:p>
        </w:tc>
        <w:tc>
          <w:tcPr>
            <w:tcW w:w="830" w:type="dxa"/>
            <w:vAlign w:val="center"/>
          </w:tcPr>
          <w:p w14:paraId="77CE3540" w14:textId="77777777" w:rsidR="0088249D" w:rsidRPr="0049394D" w:rsidRDefault="0088249D" w:rsidP="00465819">
            <w:pPr>
              <w:keepNext/>
              <w:keepLines/>
              <w:jc w:val="center"/>
              <w:rPr>
                <w:rFonts w:ascii="Arial Narrow" w:hAnsi="Arial Narrow"/>
                <w:b/>
                <w:sz w:val="20"/>
                <w:szCs w:val="20"/>
              </w:rPr>
            </w:pPr>
            <w:r w:rsidRPr="0049394D">
              <w:rPr>
                <w:rFonts w:ascii="Arial Narrow" w:hAnsi="Arial Narrow"/>
                <w:b/>
                <w:sz w:val="20"/>
                <w:szCs w:val="20"/>
              </w:rPr>
              <w:t>Max. qty units</w:t>
            </w:r>
          </w:p>
        </w:tc>
        <w:tc>
          <w:tcPr>
            <w:tcW w:w="832" w:type="dxa"/>
            <w:vAlign w:val="center"/>
          </w:tcPr>
          <w:p w14:paraId="3CDDD84E" w14:textId="40A2C436" w:rsidR="0088249D" w:rsidRPr="0049394D" w:rsidRDefault="0088249D" w:rsidP="00465819">
            <w:pPr>
              <w:keepNext/>
              <w:keepLines/>
              <w:jc w:val="center"/>
              <w:rPr>
                <w:rFonts w:ascii="Arial Narrow" w:hAnsi="Arial Narrow"/>
                <w:b/>
                <w:sz w:val="20"/>
                <w:szCs w:val="20"/>
              </w:rPr>
            </w:pPr>
            <w:r w:rsidRPr="0049394D">
              <w:rPr>
                <w:rFonts w:ascii="Arial Narrow" w:hAnsi="Arial Narrow"/>
                <w:b/>
                <w:sz w:val="20"/>
                <w:szCs w:val="20"/>
              </w:rPr>
              <w:t>№.</w:t>
            </w:r>
            <w:r w:rsidR="00465819">
              <w:rPr>
                <w:rFonts w:ascii="Arial Narrow" w:hAnsi="Arial Narrow"/>
                <w:b/>
                <w:sz w:val="20"/>
                <w:szCs w:val="20"/>
              </w:rPr>
              <w:t xml:space="preserve"> </w:t>
            </w:r>
            <w:r w:rsidRPr="0049394D">
              <w:rPr>
                <w:rFonts w:ascii="Arial Narrow" w:hAnsi="Arial Narrow"/>
                <w:b/>
                <w:sz w:val="20"/>
                <w:szCs w:val="20"/>
              </w:rPr>
              <w:t>of</w:t>
            </w:r>
          </w:p>
          <w:p w14:paraId="25BFEC26" w14:textId="77777777" w:rsidR="0088249D" w:rsidRPr="0049394D" w:rsidRDefault="0088249D" w:rsidP="00465819">
            <w:pPr>
              <w:keepNext/>
              <w:keepLines/>
              <w:jc w:val="center"/>
              <w:rPr>
                <w:rFonts w:ascii="Arial Narrow" w:hAnsi="Arial Narrow"/>
                <w:b/>
                <w:sz w:val="20"/>
                <w:szCs w:val="20"/>
              </w:rPr>
            </w:pPr>
            <w:r w:rsidRPr="0049394D">
              <w:rPr>
                <w:rFonts w:ascii="Arial Narrow" w:hAnsi="Arial Narrow"/>
                <w:b/>
                <w:sz w:val="20"/>
                <w:szCs w:val="20"/>
              </w:rPr>
              <w:t>Rpts</w:t>
            </w:r>
          </w:p>
        </w:tc>
        <w:tc>
          <w:tcPr>
            <w:tcW w:w="1878" w:type="dxa"/>
            <w:vAlign w:val="center"/>
          </w:tcPr>
          <w:p w14:paraId="4ED3300A" w14:textId="77777777" w:rsidR="0088249D" w:rsidRPr="0049394D" w:rsidRDefault="0088249D" w:rsidP="00465819">
            <w:pPr>
              <w:keepNext/>
              <w:keepLines/>
              <w:rPr>
                <w:rFonts w:ascii="Arial Narrow" w:hAnsi="Arial Narrow"/>
                <w:b/>
                <w:sz w:val="20"/>
                <w:szCs w:val="20"/>
              </w:rPr>
            </w:pPr>
            <w:r w:rsidRPr="0049394D">
              <w:rPr>
                <w:rFonts w:ascii="Arial Narrow" w:hAnsi="Arial Narrow"/>
                <w:b/>
                <w:sz w:val="20"/>
                <w:szCs w:val="20"/>
              </w:rPr>
              <w:t>Available brands</w:t>
            </w:r>
          </w:p>
        </w:tc>
      </w:tr>
      <w:tr w:rsidR="0088249D" w:rsidRPr="0049394D" w14:paraId="2A5ED9F4" w14:textId="77777777" w:rsidTr="001D4089">
        <w:trPr>
          <w:cantSplit/>
          <w:trHeight w:val="20"/>
        </w:trPr>
        <w:tc>
          <w:tcPr>
            <w:tcW w:w="9243" w:type="dxa"/>
            <w:gridSpan w:val="6"/>
            <w:vAlign w:val="center"/>
          </w:tcPr>
          <w:p w14:paraId="321352DE" w14:textId="77777777" w:rsidR="0088249D" w:rsidRPr="0049394D" w:rsidRDefault="0088249D" w:rsidP="00465819">
            <w:pPr>
              <w:pStyle w:val="TableText0"/>
              <w:keepLines/>
              <w:rPr>
                <w:rFonts w:cs="Arial"/>
                <w:szCs w:val="20"/>
              </w:rPr>
            </w:pPr>
            <w:r w:rsidRPr="0049394D">
              <w:t xml:space="preserve">BELZUTIFAN </w:t>
            </w:r>
            <w:r w:rsidRPr="0049394D">
              <w:rPr>
                <w:rFonts w:cs="Arial"/>
                <w:color w:val="0066FF"/>
                <w:szCs w:val="20"/>
              </w:rPr>
              <w:t xml:space="preserve"> </w:t>
            </w:r>
          </w:p>
        </w:tc>
      </w:tr>
      <w:tr w:rsidR="0088249D" w:rsidRPr="0049394D" w14:paraId="322ED4F0" w14:textId="77777777" w:rsidTr="001D4089">
        <w:trPr>
          <w:cantSplit/>
          <w:trHeight w:val="20"/>
        </w:trPr>
        <w:tc>
          <w:tcPr>
            <w:tcW w:w="2320" w:type="dxa"/>
            <w:vAlign w:val="center"/>
          </w:tcPr>
          <w:p w14:paraId="13DC2E2D" w14:textId="77777777" w:rsidR="0088249D" w:rsidRPr="0049394D" w:rsidRDefault="0088249D" w:rsidP="00465819">
            <w:pPr>
              <w:pStyle w:val="TableText0"/>
              <w:keepLines/>
              <w:rPr>
                <w:b/>
                <w:szCs w:val="20"/>
              </w:rPr>
            </w:pPr>
            <w:r w:rsidRPr="0049394D">
              <w:rPr>
                <w:b/>
                <w:szCs w:val="20"/>
              </w:rPr>
              <w:t>[Initial treatment]</w:t>
            </w:r>
          </w:p>
          <w:p w14:paraId="00E4213C" w14:textId="77777777" w:rsidR="0088249D" w:rsidRPr="0049394D" w:rsidRDefault="0088249D" w:rsidP="00465819">
            <w:pPr>
              <w:pStyle w:val="TableText0"/>
              <w:keepLines/>
            </w:pPr>
            <w:r w:rsidRPr="0049394D">
              <w:t>Belzutifan 40 mg tablet, 90</w:t>
            </w:r>
          </w:p>
        </w:tc>
        <w:tc>
          <w:tcPr>
            <w:tcW w:w="2551" w:type="dxa"/>
          </w:tcPr>
          <w:p w14:paraId="4ADBA6B4" w14:textId="77777777" w:rsidR="0088249D" w:rsidRPr="0049394D" w:rsidRDefault="0088249D" w:rsidP="00465819">
            <w:pPr>
              <w:pStyle w:val="TableText0"/>
              <w:keepLines/>
              <w:jc w:val="center"/>
            </w:pPr>
            <w:r w:rsidRPr="0049394D">
              <w:t>$22,222.13 published price</w:t>
            </w:r>
          </w:p>
          <w:p w14:paraId="6797322A" w14:textId="6E3EBCF8" w:rsidR="0088249D" w:rsidRPr="0049394D" w:rsidRDefault="0088249D" w:rsidP="00465819">
            <w:pPr>
              <w:pStyle w:val="TableText0"/>
              <w:keepLines/>
              <w:jc w:val="center"/>
              <w:rPr>
                <w:szCs w:val="20"/>
              </w:rPr>
            </w:pPr>
            <w:r w:rsidRPr="0049394D">
              <w:t>$</w:t>
            </w:r>
            <w:r w:rsidR="00501C36" w:rsidRPr="00501C36">
              <w:rPr>
                <w:color w:val="000000"/>
                <w:shd w:val="solid" w:color="000000" w:fill="000000"/>
                <w14:textFill>
                  <w14:solidFill>
                    <w14:srgbClr w14:val="000000">
                      <w14:alpha w14:val="100000"/>
                    </w14:srgbClr>
                  </w14:solidFill>
                </w14:textFill>
              </w:rPr>
              <w:t>|</w:t>
            </w:r>
            <w:r w:rsidRPr="0049394D">
              <w:t xml:space="preserve"> effective price</w:t>
            </w:r>
          </w:p>
        </w:tc>
        <w:tc>
          <w:tcPr>
            <w:tcW w:w="832" w:type="dxa"/>
            <w:vAlign w:val="center"/>
          </w:tcPr>
          <w:p w14:paraId="2E6C5458" w14:textId="77777777" w:rsidR="0088249D" w:rsidRPr="0049394D" w:rsidRDefault="0088249D" w:rsidP="00465819">
            <w:pPr>
              <w:keepNext/>
              <w:keepLines/>
              <w:jc w:val="center"/>
              <w:rPr>
                <w:rFonts w:ascii="Arial Narrow" w:hAnsi="Arial Narrow"/>
                <w:sz w:val="20"/>
                <w:szCs w:val="20"/>
              </w:rPr>
            </w:pPr>
            <w:r w:rsidRPr="0049394D">
              <w:rPr>
                <w:rFonts w:ascii="Arial Narrow" w:hAnsi="Arial Narrow"/>
                <w:sz w:val="20"/>
              </w:rPr>
              <w:t>1</w:t>
            </w:r>
          </w:p>
        </w:tc>
        <w:tc>
          <w:tcPr>
            <w:tcW w:w="830" w:type="dxa"/>
            <w:vAlign w:val="center"/>
          </w:tcPr>
          <w:p w14:paraId="0CEC7AB4" w14:textId="77777777" w:rsidR="0088249D" w:rsidRPr="0049394D" w:rsidRDefault="0088249D" w:rsidP="00465819">
            <w:pPr>
              <w:keepNext/>
              <w:keepLines/>
              <w:jc w:val="center"/>
              <w:rPr>
                <w:rFonts w:ascii="Arial Narrow" w:hAnsi="Arial Narrow"/>
                <w:sz w:val="20"/>
                <w:szCs w:val="20"/>
              </w:rPr>
            </w:pPr>
            <w:r w:rsidRPr="0049394D">
              <w:rPr>
                <w:rFonts w:ascii="Arial Narrow" w:hAnsi="Arial Narrow"/>
                <w:sz w:val="20"/>
              </w:rPr>
              <w:t>90</w:t>
            </w:r>
          </w:p>
        </w:tc>
        <w:tc>
          <w:tcPr>
            <w:tcW w:w="832" w:type="dxa"/>
            <w:vAlign w:val="center"/>
          </w:tcPr>
          <w:p w14:paraId="672C10D9" w14:textId="77777777" w:rsidR="0088249D" w:rsidRPr="0049394D" w:rsidRDefault="0088249D" w:rsidP="00465819">
            <w:pPr>
              <w:keepNext/>
              <w:keepLines/>
              <w:jc w:val="center"/>
              <w:rPr>
                <w:rFonts w:ascii="Arial Narrow" w:hAnsi="Arial Narrow"/>
                <w:sz w:val="20"/>
                <w:szCs w:val="20"/>
              </w:rPr>
            </w:pPr>
            <w:r w:rsidRPr="0049394D">
              <w:rPr>
                <w:rFonts w:ascii="Arial Narrow" w:hAnsi="Arial Narrow"/>
                <w:sz w:val="20"/>
              </w:rPr>
              <w:t>5</w:t>
            </w:r>
          </w:p>
        </w:tc>
        <w:tc>
          <w:tcPr>
            <w:tcW w:w="1878" w:type="dxa"/>
            <w:vAlign w:val="center"/>
          </w:tcPr>
          <w:p w14:paraId="208F3D49" w14:textId="77777777" w:rsidR="0088249D" w:rsidRPr="0049394D" w:rsidRDefault="0088249D" w:rsidP="00465819">
            <w:pPr>
              <w:keepNext/>
              <w:keepLines/>
              <w:rPr>
                <w:rFonts w:ascii="Arial Narrow" w:hAnsi="Arial Narrow"/>
                <w:sz w:val="20"/>
                <w:szCs w:val="20"/>
              </w:rPr>
            </w:pPr>
            <w:r w:rsidRPr="0049394D">
              <w:rPr>
                <w:rFonts w:ascii="Arial Narrow" w:hAnsi="Arial Narrow"/>
                <w:sz w:val="20"/>
                <w:szCs w:val="20"/>
              </w:rPr>
              <w:t>Welireg</w:t>
            </w:r>
          </w:p>
        </w:tc>
      </w:tr>
      <w:tr w:rsidR="0088249D" w:rsidRPr="0049394D" w14:paraId="26E77F95" w14:textId="77777777" w:rsidTr="001D4089">
        <w:trPr>
          <w:cantSplit/>
          <w:trHeight w:val="20"/>
        </w:trPr>
        <w:tc>
          <w:tcPr>
            <w:tcW w:w="2320" w:type="dxa"/>
            <w:vAlign w:val="center"/>
          </w:tcPr>
          <w:p w14:paraId="49ABD69A" w14:textId="77777777" w:rsidR="0088249D" w:rsidRPr="0049394D" w:rsidRDefault="0088249D" w:rsidP="00465819">
            <w:pPr>
              <w:pStyle w:val="TableText0"/>
              <w:keepLines/>
              <w:rPr>
                <w:b/>
                <w:szCs w:val="20"/>
              </w:rPr>
            </w:pPr>
            <w:r w:rsidRPr="0049394D">
              <w:rPr>
                <w:b/>
                <w:szCs w:val="20"/>
              </w:rPr>
              <w:t>[Continuing treatment]</w:t>
            </w:r>
          </w:p>
          <w:p w14:paraId="60549C7F" w14:textId="77777777" w:rsidR="0088249D" w:rsidRPr="0049394D" w:rsidRDefault="0088249D" w:rsidP="00465819">
            <w:pPr>
              <w:pStyle w:val="TableText0"/>
              <w:keepLines/>
            </w:pPr>
            <w:r w:rsidRPr="0049394D">
              <w:t>Belzutifan 40 mg tablet, 90</w:t>
            </w:r>
          </w:p>
        </w:tc>
        <w:tc>
          <w:tcPr>
            <w:tcW w:w="2551" w:type="dxa"/>
          </w:tcPr>
          <w:p w14:paraId="2904AA13" w14:textId="77777777" w:rsidR="0088249D" w:rsidRPr="0049394D" w:rsidRDefault="0088249D" w:rsidP="00465819">
            <w:pPr>
              <w:pStyle w:val="TableText0"/>
              <w:keepLines/>
              <w:jc w:val="center"/>
            </w:pPr>
            <w:r w:rsidRPr="0049394D">
              <w:t>$22,222.13 published price</w:t>
            </w:r>
          </w:p>
          <w:p w14:paraId="32FD70FF" w14:textId="7ACB6B8B" w:rsidR="0088249D" w:rsidRPr="0049394D" w:rsidRDefault="0088249D" w:rsidP="00465819">
            <w:pPr>
              <w:pStyle w:val="TableText0"/>
              <w:keepLines/>
              <w:jc w:val="center"/>
              <w:rPr>
                <w:szCs w:val="20"/>
              </w:rPr>
            </w:pPr>
            <w:r w:rsidRPr="0049394D">
              <w:t>$</w:t>
            </w:r>
            <w:r w:rsidR="00501C36" w:rsidRPr="00501C36">
              <w:rPr>
                <w:color w:val="000000"/>
                <w:shd w:val="solid" w:color="000000" w:fill="000000"/>
                <w14:textFill>
                  <w14:solidFill>
                    <w14:srgbClr w14:val="000000">
                      <w14:alpha w14:val="100000"/>
                    </w14:srgbClr>
                  </w14:solidFill>
                </w14:textFill>
              </w:rPr>
              <w:t>|</w:t>
            </w:r>
            <w:r w:rsidRPr="0049394D">
              <w:t xml:space="preserve"> effective price</w:t>
            </w:r>
          </w:p>
        </w:tc>
        <w:tc>
          <w:tcPr>
            <w:tcW w:w="832" w:type="dxa"/>
            <w:vAlign w:val="center"/>
          </w:tcPr>
          <w:p w14:paraId="3FE4B529" w14:textId="77777777" w:rsidR="0088249D" w:rsidRPr="0049394D" w:rsidRDefault="0088249D" w:rsidP="00465819">
            <w:pPr>
              <w:keepNext/>
              <w:keepLines/>
              <w:jc w:val="center"/>
              <w:rPr>
                <w:rFonts w:ascii="Arial Narrow" w:hAnsi="Arial Narrow"/>
                <w:sz w:val="20"/>
                <w:szCs w:val="20"/>
              </w:rPr>
            </w:pPr>
            <w:r w:rsidRPr="0049394D">
              <w:rPr>
                <w:rFonts w:ascii="Arial Narrow" w:hAnsi="Arial Narrow"/>
                <w:sz w:val="20"/>
              </w:rPr>
              <w:t>1</w:t>
            </w:r>
          </w:p>
        </w:tc>
        <w:tc>
          <w:tcPr>
            <w:tcW w:w="830" w:type="dxa"/>
            <w:vAlign w:val="center"/>
          </w:tcPr>
          <w:p w14:paraId="4406CD85" w14:textId="77777777" w:rsidR="0088249D" w:rsidRPr="0049394D" w:rsidRDefault="0088249D" w:rsidP="00465819">
            <w:pPr>
              <w:keepNext/>
              <w:keepLines/>
              <w:jc w:val="center"/>
              <w:rPr>
                <w:rFonts w:ascii="Arial Narrow" w:hAnsi="Arial Narrow"/>
                <w:sz w:val="20"/>
                <w:szCs w:val="20"/>
              </w:rPr>
            </w:pPr>
            <w:r w:rsidRPr="0049394D">
              <w:rPr>
                <w:rFonts w:ascii="Arial Narrow" w:hAnsi="Arial Narrow"/>
                <w:sz w:val="20"/>
              </w:rPr>
              <w:t>90</w:t>
            </w:r>
          </w:p>
        </w:tc>
        <w:tc>
          <w:tcPr>
            <w:tcW w:w="832" w:type="dxa"/>
            <w:vAlign w:val="center"/>
          </w:tcPr>
          <w:p w14:paraId="5407492C" w14:textId="77777777" w:rsidR="0088249D" w:rsidRPr="0049394D" w:rsidRDefault="0088249D" w:rsidP="00465819">
            <w:pPr>
              <w:keepNext/>
              <w:keepLines/>
              <w:jc w:val="center"/>
              <w:rPr>
                <w:rFonts w:ascii="Arial Narrow" w:hAnsi="Arial Narrow"/>
                <w:sz w:val="20"/>
                <w:szCs w:val="20"/>
              </w:rPr>
            </w:pPr>
            <w:r w:rsidRPr="0049394D">
              <w:rPr>
                <w:rFonts w:ascii="Arial Narrow" w:hAnsi="Arial Narrow"/>
                <w:sz w:val="20"/>
              </w:rPr>
              <w:t>5</w:t>
            </w:r>
          </w:p>
        </w:tc>
        <w:tc>
          <w:tcPr>
            <w:tcW w:w="1878" w:type="dxa"/>
            <w:vAlign w:val="center"/>
          </w:tcPr>
          <w:p w14:paraId="368EFF5E" w14:textId="77777777" w:rsidR="0088249D" w:rsidRPr="0049394D" w:rsidRDefault="0088249D" w:rsidP="00465819">
            <w:pPr>
              <w:keepNext/>
              <w:keepLines/>
              <w:rPr>
                <w:rFonts w:ascii="Arial Narrow" w:hAnsi="Arial Narrow"/>
                <w:sz w:val="20"/>
                <w:szCs w:val="20"/>
              </w:rPr>
            </w:pPr>
            <w:r w:rsidRPr="0049394D">
              <w:rPr>
                <w:rFonts w:ascii="Arial Narrow" w:hAnsi="Arial Narrow"/>
                <w:sz w:val="20"/>
                <w:szCs w:val="20"/>
              </w:rPr>
              <w:t>Welireg</w:t>
            </w:r>
          </w:p>
        </w:tc>
      </w:tr>
      <w:bookmarkEnd w:id="13"/>
      <w:tr w:rsidR="0088249D" w:rsidRPr="0049394D" w14:paraId="63B19CD6"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Pr>
          <w:p w14:paraId="1A164714" w14:textId="77777777" w:rsidR="0088249D" w:rsidRPr="0049394D" w:rsidRDefault="0088249D" w:rsidP="00242CB1">
            <w:pPr>
              <w:pStyle w:val="TableText0"/>
              <w:keepNext w:val="0"/>
              <w:widowControl w:val="0"/>
            </w:pPr>
            <w:r w:rsidRPr="0049394D">
              <w:rPr>
                <w:b/>
              </w:rPr>
              <w:t xml:space="preserve">Category / Program: </w:t>
            </w:r>
            <w:r w:rsidRPr="0049394D">
              <w:t>General Schedule</w:t>
            </w:r>
          </w:p>
        </w:tc>
      </w:tr>
      <w:tr w:rsidR="0088249D" w:rsidRPr="0049394D" w14:paraId="70ED35AD"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Pr>
          <w:p w14:paraId="2FDA9E07" w14:textId="77777777" w:rsidR="0088249D" w:rsidRPr="0049394D" w:rsidRDefault="0088249D" w:rsidP="00242CB1">
            <w:pPr>
              <w:pStyle w:val="TableText0"/>
              <w:keepNext w:val="0"/>
              <w:widowControl w:val="0"/>
              <w:rPr>
                <w:b/>
              </w:rPr>
            </w:pPr>
            <w:r w:rsidRPr="0049394D">
              <w:rPr>
                <w:b/>
              </w:rPr>
              <w:t xml:space="preserve">Prescriber type: </w:t>
            </w:r>
            <w:r w:rsidRPr="0049394D">
              <w:fldChar w:fldCharType="begin" w:fldLock="1">
                <w:ffData>
                  <w:name w:val=""/>
                  <w:enabled/>
                  <w:calcOnExit w:val="0"/>
                  <w:checkBox>
                    <w:sizeAuto/>
                    <w:default w:val="1"/>
                  </w:checkBox>
                </w:ffData>
              </w:fldChar>
            </w:r>
            <w:r w:rsidRPr="0049394D">
              <w:instrText xml:space="preserve"> FORMCHECKBOX </w:instrText>
            </w:r>
            <w:r w:rsidRPr="0049394D">
              <w:fldChar w:fldCharType="separate"/>
            </w:r>
            <w:r w:rsidRPr="0049394D">
              <w:fldChar w:fldCharType="end"/>
            </w:r>
            <w:r w:rsidRPr="0049394D">
              <w:t>Medical Practitioners</w:t>
            </w:r>
          </w:p>
        </w:tc>
      </w:tr>
      <w:tr w:rsidR="0088249D" w:rsidRPr="0049394D" w14:paraId="13508B07"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Pr>
          <w:p w14:paraId="57312475" w14:textId="77777777" w:rsidR="0088249D" w:rsidRPr="0049394D" w:rsidRDefault="0088249D" w:rsidP="00242CB1">
            <w:pPr>
              <w:pStyle w:val="TableText0"/>
              <w:keepNext w:val="0"/>
              <w:widowControl w:val="0"/>
              <w:rPr>
                <w:rFonts w:eastAsia="Times New Roman"/>
              </w:rPr>
            </w:pPr>
            <w:r w:rsidRPr="0049394D">
              <w:rPr>
                <w:b/>
              </w:rPr>
              <w:t xml:space="preserve">Restriction type: </w:t>
            </w:r>
            <w:r w:rsidRPr="0049394D">
              <w:rPr>
                <w:rFonts w:eastAsia="Times New Roman"/>
              </w:rPr>
              <w:fldChar w:fldCharType="begin" w:fldLock="1">
                <w:ffData>
                  <w:name w:val="Check3"/>
                  <w:enabled/>
                  <w:calcOnExit w:val="0"/>
                  <w:checkBox>
                    <w:sizeAuto/>
                    <w:default w:val="1"/>
                  </w:checkBox>
                </w:ffData>
              </w:fldChar>
            </w:r>
            <w:bookmarkStart w:id="14" w:name="Check3"/>
            <w:r w:rsidRPr="0049394D">
              <w:rPr>
                <w:rFonts w:eastAsia="Times New Roman"/>
              </w:rPr>
              <w:instrText xml:space="preserve"> FORMCHECKBOX </w:instrText>
            </w:r>
            <w:r w:rsidRPr="0049394D">
              <w:rPr>
                <w:rFonts w:eastAsia="Times New Roman"/>
              </w:rPr>
            </w:r>
            <w:r w:rsidRPr="0049394D">
              <w:rPr>
                <w:rFonts w:eastAsia="Times New Roman"/>
              </w:rPr>
              <w:fldChar w:fldCharType="separate"/>
            </w:r>
            <w:r w:rsidRPr="0049394D">
              <w:rPr>
                <w:rFonts w:eastAsia="Times New Roman"/>
              </w:rPr>
              <w:fldChar w:fldCharType="end"/>
            </w:r>
            <w:bookmarkEnd w:id="14"/>
            <w:r w:rsidRPr="0049394D">
              <w:rPr>
                <w:rFonts w:eastAsia="Times New Roman"/>
              </w:rPr>
              <w:t xml:space="preserve">Authority Required (telephone/online PBS Authorities system) </w:t>
            </w:r>
          </w:p>
        </w:tc>
      </w:tr>
      <w:tr w:rsidR="0088249D" w:rsidRPr="0049394D" w14:paraId="4EF299CA"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13F23BF3" w14:textId="77777777" w:rsidR="0088249D" w:rsidRPr="0049394D" w:rsidRDefault="0088249D" w:rsidP="00242CB1">
            <w:pPr>
              <w:pStyle w:val="TableText0"/>
              <w:keepNext w:val="0"/>
              <w:widowControl w:val="0"/>
              <w:rPr>
                <w:b/>
              </w:rPr>
            </w:pPr>
            <w:r w:rsidRPr="0049394D">
              <w:rPr>
                <w:b/>
              </w:rPr>
              <w:t xml:space="preserve">Condition: </w:t>
            </w:r>
            <w:r w:rsidRPr="0049394D">
              <w:t>Von Hippel-Lindau (VHL) disease</w:t>
            </w:r>
            <w:r w:rsidRPr="0049394D">
              <w:rPr>
                <w:color w:val="0066FF"/>
              </w:rPr>
              <w:t xml:space="preserve"> </w:t>
            </w:r>
          </w:p>
        </w:tc>
      </w:tr>
      <w:tr w:rsidR="0088249D" w:rsidRPr="0049394D" w14:paraId="210A8663"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hideMark/>
          </w:tcPr>
          <w:p w14:paraId="4C02C348" w14:textId="77777777" w:rsidR="0088249D" w:rsidRPr="0049394D" w:rsidRDefault="0088249D" w:rsidP="00242CB1">
            <w:pPr>
              <w:pStyle w:val="TableText0"/>
              <w:keepNext w:val="0"/>
              <w:widowControl w:val="0"/>
            </w:pPr>
            <w:r w:rsidRPr="0049394D">
              <w:rPr>
                <w:b/>
              </w:rPr>
              <w:t>Indication:</w:t>
            </w:r>
            <w:r w:rsidRPr="0049394D">
              <w:t xml:space="preserve"> Von Hippel-Lindau (VHL) disease</w:t>
            </w:r>
          </w:p>
        </w:tc>
      </w:tr>
      <w:tr w:rsidR="0088249D" w:rsidRPr="0049394D" w14:paraId="3CED4178"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hideMark/>
          </w:tcPr>
          <w:p w14:paraId="2BD246A7" w14:textId="77777777" w:rsidR="0088249D" w:rsidRPr="0049394D" w:rsidRDefault="0088249D" w:rsidP="00242CB1">
            <w:pPr>
              <w:pStyle w:val="TableText0"/>
              <w:keepNext w:val="0"/>
              <w:widowControl w:val="0"/>
            </w:pPr>
            <w:r w:rsidRPr="0049394D">
              <w:rPr>
                <w:b/>
              </w:rPr>
              <w:t>Treatment Phase:</w:t>
            </w:r>
            <w:r w:rsidRPr="0049394D">
              <w:t xml:space="preserve"> </w:t>
            </w:r>
            <w:r w:rsidRPr="0049394D">
              <w:rPr>
                <w:bCs w:val="0"/>
              </w:rPr>
              <w:t>Initial</w:t>
            </w:r>
          </w:p>
        </w:tc>
      </w:tr>
      <w:tr w:rsidR="0088249D" w:rsidRPr="0049394D" w14:paraId="083F31F9"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hideMark/>
          </w:tcPr>
          <w:p w14:paraId="74F57966" w14:textId="77777777" w:rsidR="0088249D" w:rsidRPr="0049394D" w:rsidRDefault="0088249D" w:rsidP="00242CB1">
            <w:pPr>
              <w:pStyle w:val="TableText0"/>
              <w:keepNext w:val="0"/>
              <w:widowControl w:val="0"/>
            </w:pPr>
            <w:r w:rsidRPr="0049394D">
              <w:rPr>
                <w:b/>
              </w:rPr>
              <w:t>Clinical criteria:</w:t>
            </w:r>
          </w:p>
        </w:tc>
      </w:tr>
      <w:tr w:rsidR="0088249D" w:rsidRPr="0049394D" w14:paraId="0627DE9B"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hideMark/>
          </w:tcPr>
          <w:p w14:paraId="7B6CD0EE" w14:textId="77777777" w:rsidR="0088249D" w:rsidRPr="0049394D" w:rsidRDefault="0088249D" w:rsidP="00242CB1">
            <w:pPr>
              <w:pStyle w:val="TableText0"/>
              <w:keepNext w:val="0"/>
              <w:widowControl w:val="0"/>
            </w:pPr>
            <w:r w:rsidRPr="0049394D">
              <w:t>Patient must have a diagnosis of VHL disease based on:</w:t>
            </w:r>
          </w:p>
          <w:p w14:paraId="18983280" w14:textId="77777777" w:rsidR="0088249D" w:rsidRPr="0049394D" w:rsidRDefault="0088249D" w:rsidP="00242CB1">
            <w:pPr>
              <w:pStyle w:val="TableText0"/>
              <w:keepNext w:val="0"/>
              <w:widowControl w:val="0"/>
            </w:pPr>
            <w:r w:rsidRPr="0049394D">
              <w:t>(i) a germline VHL alteration OR</w:t>
            </w:r>
          </w:p>
          <w:p w14:paraId="21D60BAE" w14:textId="77777777" w:rsidR="0088249D" w:rsidRPr="0049394D" w:rsidRDefault="0088249D" w:rsidP="00242CB1">
            <w:pPr>
              <w:pStyle w:val="TableText0"/>
              <w:keepNext w:val="0"/>
              <w:widowControl w:val="0"/>
            </w:pPr>
            <w:r w:rsidRPr="0049394D">
              <w:t>(ii) at least two manifestations highly characteristic of VHL disease OR</w:t>
            </w:r>
          </w:p>
          <w:p w14:paraId="2B8AC803" w14:textId="77777777" w:rsidR="0088249D" w:rsidRPr="0049394D" w:rsidRDefault="0088249D" w:rsidP="00242CB1">
            <w:pPr>
              <w:pStyle w:val="TableText0"/>
              <w:keepNext w:val="0"/>
              <w:widowControl w:val="0"/>
            </w:pPr>
            <w:r w:rsidRPr="0049394D">
              <w:t>(iii) at least one manifestation highly characteristic of VHL disease AND a documented family history of VHL</w:t>
            </w:r>
          </w:p>
        </w:tc>
      </w:tr>
      <w:tr w:rsidR="0088249D" w:rsidRPr="0049394D" w14:paraId="30A24E53"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hideMark/>
          </w:tcPr>
          <w:p w14:paraId="429386AC" w14:textId="77777777" w:rsidR="0088249D" w:rsidRPr="0049394D" w:rsidRDefault="0088249D" w:rsidP="00242CB1">
            <w:pPr>
              <w:pStyle w:val="TableText0"/>
              <w:keepNext w:val="0"/>
              <w:widowControl w:val="0"/>
            </w:pPr>
            <w:r w:rsidRPr="0049394D">
              <w:rPr>
                <w:b/>
              </w:rPr>
              <w:t>AND</w:t>
            </w:r>
          </w:p>
        </w:tc>
      </w:tr>
      <w:tr w:rsidR="0088249D" w:rsidRPr="0049394D" w14:paraId="648D6BD8"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hideMark/>
          </w:tcPr>
          <w:p w14:paraId="5DA397D3" w14:textId="77777777" w:rsidR="0088249D" w:rsidRPr="0049394D" w:rsidRDefault="0088249D" w:rsidP="00242CB1">
            <w:pPr>
              <w:pStyle w:val="TableText0"/>
              <w:keepNext w:val="0"/>
              <w:widowControl w:val="0"/>
            </w:pPr>
            <w:r w:rsidRPr="0049394D">
              <w:lastRenderedPageBreak/>
              <w:t xml:space="preserve">The condition must be at least one of the following: </w:t>
            </w:r>
          </w:p>
          <w:p w14:paraId="6804530A" w14:textId="77777777" w:rsidR="0088249D" w:rsidRPr="0049394D" w:rsidRDefault="0088249D" w:rsidP="00242CB1">
            <w:pPr>
              <w:pStyle w:val="TableText0"/>
              <w:keepNext w:val="0"/>
              <w:widowControl w:val="0"/>
            </w:pPr>
            <w:r w:rsidRPr="0049394D">
              <w:t>(i) VHL-associated non-metastatic renal cell carcinoma (RCC) OR</w:t>
            </w:r>
          </w:p>
          <w:p w14:paraId="08F29B3A" w14:textId="77777777" w:rsidR="0088249D" w:rsidRPr="0049394D" w:rsidRDefault="0088249D" w:rsidP="00242CB1">
            <w:pPr>
              <w:pStyle w:val="TableText0"/>
              <w:keepNext w:val="0"/>
              <w:widowControl w:val="0"/>
            </w:pPr>
            <w:r w:rsidRPr="0049394D">
              <w:t>(ii) VHL-associated central nervous system (CNS) haemangioblastoma, OR</w:t>
            </w:r>
          </w:p>
          <w:p w14:paraId="5E39A575" w14:textId="77777777" w:rsidR="0088249D" w:rsidRPr="0049394D" w:rsidRDefault="0088249D" w:rsidP="00242CB1">
            <w:pPr>
              <w:pStyle w:val="TableText0"/>
              <w:keepNext w:val="0"/>
              <w:widowControl w:val="0"/>
            </w:pPr>
            <w:r w:rsidRPr="0049394D">
              <w:t>(iii) VHL-associated non-metastatic pancreatic neuroendocrine tumour (pNET)</w:t>
            </w:r>
          </w:p>
        </w:tc>
      </w:tr>
      <w:tr w:rsidR="0088249D" w:rsidRPr="0049394D" w14:paraId="61EC3736"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206F1E5A" w14:textId="77777777" w:rsidR="0088249D" w:rsidRPr="0049394D" w:rsidRDefault="0088249D" w:rsidP="00242CB1">
            <w:pPr>
              <w:pStyle w:val="TableText0"/>
              <w:keepNext w:val="0"/>
              <w:widowControl w:val="0"/>
            </w:pPr>
            <w:r w:rsidRPr="0049394D">
              <w:rPr>
                <w:b/>
              </w:rPr>
              <w:t>AND</w:t>
            </w:r>
          </w:p>
        </w:tc>
      </w:tr>
      <w:tr w:rsidR="0088249D" w:rsidRPr="0049394D" w14:paraId="62B0DB34"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3E0F0EA0" w14:textId="77777777" w:rsidR="0088249D" w:rsidRPr="0049394D" w:rsidRDefault="0088249D" w:rsidP="00242CB1">
            <w:pPr>
              <w:pStyle w:val="TableText0"/>
              <w:keepNext w:val="0"/>
              <w:widowControl w:val="0"/>
            </w:pPr>
            <w:r w:rsidRPr="0049394D">
              <w:t>Patient must not require immediate surgery</w:t>
            </w:r>
          </w:p>
        </w:tc>
      </w:tr>
      <w:tr w:rsidR="0088249D" w:rsidRPr="0049394D" w14:paraId="75911E58"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35D633E1" w14:textId="77777777" w:rsidR="0088249D" w:rsidRPr="0049394D" w:rsidRDefault="0088249D" w:rsidP="00242CB1">
            <w:pPr>
              <w:pStyle w:val="TableText0"/>
              <w:keepNext w:val="0"/>
              <w:widowControl w:val="0"/>
            </w:pPr>
            <w:r w:rsidRPr="0049394D">
              <w:rPr>
                <w:b/>
              </w:rPr>
              <w:t>AND</w:t>
            </w:r>
          </w:p>
        </w:tc>
      </w:tr>
      <w:tr w:rsidR="0088249D" w:rsidRPr="0049394D" w14:paraId="297FF6BC"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5B460D7A" w14:textId="31E7DF6D" w:rsidR="0088249D" w:rsidRPr="0049394D" w:rsidRDefault="0088249D" w:rsidP="00242CB1">
            <w:pPr>
              <w:pStyle w:val="TableText0"/>
              <w:keepNext w:val="0"/>
              <w:widowControl w:val="0"/>
            </w:pPr>
            <w:r w:rsidRPr="0049394D">
              <w:rPr>
                <w:szCs w:val="22"/>
              </w:rPr>
              <w:t>Patient must be previously untreated with this drug for this disease</w:t>
            </w:r>
            <w:r w:rsidR="00EE67F0" w:rsidRPr="0049394D">
              <w:rPr>
                <w:iCs/>
                <w:szCs w:val="20"/>
              </w:rPr>
              <w:t xml:space="preserve"> </w:t>
            </w:r>
          </w:p>
        </w:tc>
      </w:tr>
      <w:tr w:rsidR="0088249D" w:rsidRPr="0049394D" w14:paraId="25D41CD5"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2D2955FA" w14:textId="77777777" w:rsidR="0088249D" w:rsidRPr="0049394D" w:rsidRDefault="0088249D" w:rsidP="00242CB1">
            <w:pPr>
              <w:pStyle w:val="TableText0"/>
              <w:keepNext w:val="0"/>
              <w:widowControl w:val="0"/>
            </w:pPr>
            <w:r w:rsidRPr="0049394D">
              <w:rPr>
                <w:b/>
              </w:rPr>
              <w:t>AND</w:t>
            </w:r>
          </w:p>
        </w:tc>
      </w:tr>
      <w:tr w:rsidR="0088249D" w:rsidRPr="0049394D" w14:paraId="4BB951F6"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5562D605" w14:textId="77777777" w:rsidR="0088249D" w:rsidRPr="0049394D" w:rsidRDefault="0088249D" w:rsidP="00242CB1">
            <w:pPr>
              <w:pStyle w:val="TableText0"/>
              <w:keepNext w:val="0"/>
              <w:widowControl w:val="0"/>
            </w:pPr>
            <w:r w:rsidRPr="0049394D">
              <w:rPr>
                <w:szCs w:val="22"/>
              </w:rPr>
              <w:t>Patient must have a WHO performance status of 0 or 1</w:t>
            </w:r>
          </w:p>
        </w:tc>
      </w:tr>
      <w:tr w:rsidR="0088249D" w:rsidRPr="0049394D" w14:paraId="1181F818"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1F8A2389" w14:textId="77777777" w:rsidR="0088249D" w:rsidRPr="0049394D" w:rsidRDefault="0088249D" w:rsidP="00242CB1">
            <w:pPr>
              <w:pStyle w:val="TableText0"/>
              <w:keepNext w:val="0"/>
              <w:widowControl w:val="0"/>
            </w:pPr>
            <w:r w:rsidRPr="0049394D">
              <w:rPr>
                <w:b/>
              </w:rPr>
              <w:t>AND</w:t>
            </w:r>
          </w:p>
        </w:tc>
      </w:tr>
      <w:tr w:rsidR="0088249D" w:rsidRPr="0049394D" w14:paraId="162986D0"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42176279" w14:textId="77777777" w:rsidR="0088249D" w:rsidRPr="0049394D" w:rsidRDefault="0088249D" w:rsidP="00242CB1">
            <w:pPr>
              <w:pStyle w:val="TableText0"/>
              <w:keepNext w:val="0"/>
              <w:widowControl w:val="0"/>
            </w:pPr>
            <w:r w:rsidRPr="0049394D">
              <w:rPr>
                <w:szCs w:val="22"/>
              </w:rPr>
              <w:t>The treatment must be the sole PBS-subsidised therapy for this condition</w:t>
            </w:r>
          </w:p>
        </w:tc>
      </w:tr>
      <w:tr w:rsidR="0088249D" w:rsidRPr="0049394D" w14:paraId="08440BEB"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52259EA5" w14:textId="77777777" w:rsidR="0088249D" w:rsidRPr="0049394D" w:rsidRDefault="0088249D" w:rsidP="00242CB1">
            <w:pPr>
              <w:pStyle w:val="TableText0"/>
              <w:keepNext w:val="0"/>
              <w:widowControl w:val="0"/>
            </w:pPr>
            <w:r w:rsidRPr="0049394D">
              <w:rPr>
                <w:b/>
                <w:szCs w:val="22"/>
              </w:rPr>
              <w:t>Population criteria:</w:t>
            </w:r>
          </w:p>
        </w:tc>
      </w:tr>
      <w:tr w:rsidR="0088249D" w:rsidRPr="0049394D" w14:paraId="05646C73"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3589E008" w14:textId="77777777" w:rsidR="0088249D" w:rsidRPr="0049394D" w:rsidRDefault="0088249D" w:rsidP="00242CB1">
            <w:pPr>
              <w:pStyle w:val="TableText0"/>
              <w:keepNext w:val="0"/>
              <w:widowControl w:val="0"/>
            </w:pPr>
            <w:r w:rsidRPr="0049394D">
              <w:rPr>
                <w:szCs w:val="22"/>
              </w:rPr>
              <w:t>Patient must be 18 years of age or older</w:t>
            </w:r>
          </w:p>
        </w:tc>
      </w:tr>
      <w:tr w:rsidR="0088249D" w:rsidRPr="0049394D" w14:paraId="5A5E4A46"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78A12D93" w14:textId="77777777" w:rsidR="0088249D" w:rsidRPr="0049394D" w:rsidRDefault="0088249D" w:rsidP="00242CB1">
            <w:pPr>
              <w:pStyle w:val="TableText0"/>
              <w:keepNext w:val="0"/>
              <w:widowControl w:val="0"/>
            </w:pPr>
            <w:r w:rsidRPr="0049394D">
              <w:rPr>
                <w:b/>
              </w:rPr>
              <w:t>Treatment Phase:</w:t>
            </w:r>
            <w:r w:rsidRPr="0049394D">
              <w:t xml:space="preserve"> Continuing </w:t>
            </w:r>
          </w:p>
        </w:tc>
      </w:tr>
      <w:tr w:rsidR="0088249D" w:rsidRPr="0049394D" w14:paraId="33F17207"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6E545298" w14:textId="77777777" w:rsidR="0088249D" w:rsidRPr="0049394D" w:rsidRDefault="0088249D" w:rsidP="00242CB1">
            <w:pPr>
              <w:pStyle w:val="TableText0"/>
              <w:keepNext w:val="0"/>
              <w:widowControl w:val="0"/>
            </w:pPr>
            <w:r w:rsidRPr="0049394D">
              <w:rPr>
                <w:b/>
                <w:szCs w:val="22"/>
              </w:rPr>
              <w:t>Clinical criteria:</w:t>
            </w:r>
          </w:p>
        </w:tc>
      </w:tr>
      <w:tr w:rsidR="0088249D" w:rsidRPr="0049394D" w14:paraId="1531267C"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50B04418" w14:textId="77777777" w:rsidR="0088249D" w:rsidRPr="0049394D" w:rsidRDefault="0088249D" w:rsidP="00242CB1">
            <w:pPr>
              <w:pStyle w:val="TableText0"/>
              <w:keepNext w:val="0"/>
              <w:widowControl w:val="0"/>
            </w:pPr>
            <w:r w:rsidRPr="0049394D">
              <w:rPr>
                <w:szCs w:val="22"/>
              </w:rPr>
              <w:t>Patient must have previously received PBS-subsidised treatment with this drug for this condition.</w:t>
            </w:r>
          </w:p>
        </w:tc>
      </w:tr>
      <w:tr w:rsidR="0088249D" w:rsidRPr="0049394D" w14:paraId="644DFC42"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199E2DC1" w14:textId="77777777" w:rsidR="0088249D" w:rsidRPr="0049394D" w:rsidRDefault="0088249D" w:rsidP="00242CB1">
            <w:pPr>
              <w:pStyle w:val="TableText0"/>
              <w:keepNext w:val="0"/>
              <w:widowControl w:val="0"/>
            </w:pPr>
            <w:r w:rsidRPr="0049394D">
              <w:rPr>
                <w:b/>
                <w:szCs w:val="22"/>
              </w:rPr>
              <w:t>AND</w:t>
            </w:r>
          </w:p>
        </w:tc>
      </w:tr>
      <w:tr w:rsidR="0088249D" w:rsidRPr="0049394D" w14:paraId="2EB77B14"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1ED36431" w14:textId="77777777" w:rsidR="0088249D" w:rsidRPr="0049394D" w:rsidRDefault="0088249D" w:rsidP="00242CB1">
            <w:pPr>
              <w:pStyle w:val="TableText0"/>
              <w:keepNext w:val="0"/>
              <w:widowControl w:val="0"/>
              <w:rPr>
                <w:i/>
                <w:iCs/>
              </w:rPr>
            </w:pPr>
            <w:r w:rsidRPr="0049394D">
              <w:rPr>
                <w:szCs w:val="22"/>
              </w:rPr>
              <w:t>Patient must not have VHL-associated metastatic disease</w:t>
            </w:r>
          </w:p>
        </w:tc>
      </w:tr>
      <w:tr w:rsidR="0088249D" w:rsidRPr="0049394D" w14:paraId="2E2A3C0F"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4FF9687C" w14:textId="77777777" w:rsidR="0088249D" w:rsidRPr="0049394D" w:rsidRDefault="0088249D" w:rsidP="00242CB1">
            <w:pPr>
              <w:pStyle w:val="TableText0"/>
              <w:keepNext w:val="0"/>
              <w:widowControl w:val="0"/>
            </w:pPr>
            <w:r w:rsidRPr="0049394D">
              <w:rPr>
                <w:b/>
                <w:szCs w:val="22"/>
              </w:rPr>
              <w:t>AND</w:t>
            </w:r>
          </w:p>
        </w:tc>
      </w:tr>
      <w:tr w:rsidR="0088249D" w:rsidRPr="0049394D" w14:paraId="5AD6C68F"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254ECB37" w14:textId="77777777" w:rsidR="0088249D" w:rsidRPr="0049394D" w:rsidRDefault="0088249D" w:rsidP="00242CB1">
            <w:pPr>
              <w:pStyle w:val="TableText0"/>
              <w:keepNext w:val="0"/>
              <w:widowControl w:val="0"/>
            </w:pPr>
            <w:r w:rsidRPr="0049394D">
              <w:rPr>
                <w:szCs w:val="22"/>
              </w:rPr>
              <w:t>The treatment must be the sole PBS-subsidised therapy for this condition</w:t>
            </w:r>
          </w:p>
        </w:tc>
      </w:tr>
      <w:tr w:rsidR="0088249D" w:rsidRPr="0049394D" w14:paraId="2C1A7F7C"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7C8C4405" w14:textId="77777777" w:rsidR="0088249D" w:rsidRPr="0049394D" w:rsidRDefault="0088249D" w:rsidP="00242CB1">
            <w:pPr>
              <w:pStyle w:val="TableText0"/>
              <w:keepNext w:val="0"/>
              <w:widowControl w:val="0"/>
            </w:pPr>
            <w:r w:rsidRPr="0049394D">
              <w:rPr>
                <w:b/>
                <w:szCs w:val="22"/>
              </w:rPr>
              <w:t>AND</w:t>
            </w:r>
          </w:p>
        </w:tc>
      </w:tr>
      <w:tr w:rsidR="0088249D" w:rsidRPr="0049394D" w14:paraId="321056B9"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vAlign w:val="center"/>
          </w:tcPr>
          <w:p w14:paraId="0F9981B4" w14:textId="77777777" w:rsidR="0088249D" w:rsidRPr="0049394D" w:rsidRDefault="0088249D" w:rsidP="00242CB1">
            <w:pPr>
              <w:pStyle w:val="TableText0"/>
              <w:keepNext w:val="0"/>
              <w:widowControl w:val="0"/>
              <w:rPr>
                <w:szCs w:val="22"/>
              </w:rPr>
            </w:pPr>
            <w:r w:rsidRPr="0049394D">
              <w:rPr>
                <w:szCs w:val="22"/>
              </w:rPr>
              <w:t>Patient must have disease control in at least:</w:t>
            </w:r>
          </w:p>
          <w:p w14:paraId="0F119F13" w14:textId="77777777" w:rsidR="0088249D" w:rsidRPr="0049394D" w:rsidRDefault="0088249D" w:rsidP="00242CB1">
            <w:pPr>
              <w:pStyle w:val="TableText0"/>
              <w:keepNext w:val="0"/>
              <w:widowControl w:val="0"/>
              <w:rPr>
                <w:b/>
                <w:szCs w:val="22"/>
              </w:rPr>
            </w:pPr>
            <w:r w:rsidRPr="0049394D">
              <w:rPr>
                <w:szCs w:val="22"/>
              </w:rPr>
              <w:t>(i) VHL-associated renal cell carcinoma (RCC) OR</w:t>
            </w:r>
            <w:r w:rsidRPr="0049394D">
              <w:rPr>
                <w:szCs w:val="22"/>
              </w:rPr>
              <w:br/>
              <w:t>(ii) VHL-associated central nervous system (CNS) haemangioblastoma, OR</w:t>
            </w:r>
            <w:r w:rsidRPr="0049394D">
              <w:rPr>
                <w:szCs w:val="22"/>
              </w:rPr>
              <w:br/>
              <w:t>(iii) VHL-associated pancreatic neuroendocrine tumour (pNET)</w:t>
            </w:r>
          </w:p>
        </w:tc>
      </w:tr>
      <w:tr w:rsidR="001D4089" w:rsidRPr="00917284" w14:paraId="2E6C66A7"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5971B8" w14:textId="77777777" w:rsidR="001D4089" w:rsidRPr="001D4089" w:rsidRDefault="001D4089" w:rsidP="001D4089">
            <w:pPr>
              <w:pStyle w:val="TableText0"/>
              <w:widowControl w:val="0"/>
              <w:rPr>
                <w:b/>
                <w:bCs w:val="0"/>
                <w:szCs w:val="22"/>
              </w:rPr>
            </w:pPr>
            <w:r w:rsidRPr="001D4089">
              <w:rPr>
                <w:b/>
                <w:bCs w:val="0"/>
                <w:szCs w:val="22"/>
              </w:rPr>
              <w:t xml:space="preserve">Treatment Phase: </w:t>
            </w:r>
            <w:r w:rsidRPr="001D4089">
              <w:rPr>
                <w:szCs w:val="22"/>
              </w:rPr>
              <w:t>Transitioning from non-PBS to PBS subsided treatment – ‘Grandfather’ arrangements</w:t>
            </w:r>
          </w:p>
        </w:tc>
      </w:tr>
      <w:tr w:rsidR="001D4089" w:rsidRPr="00917284" w14:paraId="298A3A0D"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0FAAE119" w14:textId="77777777" w:rsidR="001D4089" w:rsidRPr="001D4089" w:rsidRDefault="001D4089" w:rsidP="001D4089">
            <w:pPr>
              <w:pStyle w:val="TableText0"/>
              <w:widowControl w:val="0"/>
              <w:rPr>
                <w:b/>
                <w:bCs w:val="0"/>
                <w:szCs w:val="22"/>
              </w:rPr>
            </w:pPr>
            <w:r w:rsidRPr="001D4089">
              <w:rPr>
                <w:b/>
                <w:bCs w:val="0"/>
                <w:szCs w:val="22"/>
              </w:rPr>
              <w:t>Clinical criteria:</w:t>
            </w:r>
          </w:p>
        </w:tc>
      </w:tr>
      <w:tr w:rsidR="001D4089" w:rsidRPr="00917284" w14:paraId="0DA35FD9"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36E1C084" w14:textId="77777777" w:rsidR="001D4089" w:rsidRPr="00917284" w:rsidRDefault="001D4089" w:rsidP="001D4089">
            <w:pPr>
              <w:pStyle w:val="TableText0"/>
              <w:widowControl w:val="0"/>
              <w:rPr>
                <w:szCs w:val="22"/>
              </w:rPr>
            </w:pPr>
            <w:r w:rsidRPr="00917284">
              <w:rPr>
                <w:szCs w:val="22"/>
              </w:rPr>
              <w:t>Patient must have received non-PBS treatment with this drug for this condition prior to [date of PBS listing]</w:t>
            </w:r>
          </w:p>
        </w:tc>
      </w:tr>
      <w:tr w:rsidR="001D4089" w:rsidRPr="00917284" w14:paraId="649D731A"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4FA0BDC8" w14:textId="77777777" w:rsidR="001D4089" w:rsidRPr="001D4089" w:rsidRDefault="001D4089" w:rsidP="001D4089">
            <w:pPr>
              <w:pStyle w:val="TableText0"/>
              <w:widowControl w:val="0"/>
              <w:rPr>
                <w:b/>
                <w:bCs w:val="0"/>
                <w:szCs w:val="22"/>
              </w:rPr>
            </w:pPr>
            <w:r w:rsidRPr="001D4089">
              <w:rPr>
                <w:b/>
                <w:bCs w:val="0"/>
                <w:szCs w:val="22"/>
              </w:rPr>
              <w:t>AND</w:t>
            </w:r>
          </w:p>
        </w:tc>
      </w:tr>
      <w:tr w:rsidR="001D4089" w:rsidRPr="00917284" w14:paraId="739BD86F"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2205C65F" w14:textId="77777777" w:rsidR="001D4089" w:rsidRPr="00917284" w:rsidRDefault="001D4089" w:rsidP="001D4089">
            <w:pPr>
              <w:pStyle w:val="TableText0"/>
              <w:widowControl w:val="0"/>
              <w:rPr>
                <w:szCs w:val="22"/>
              </w:rPr>
            </w:pPr>
            <w:r w:rsidRPr="00917284">
              <w:rPr>
                <w:szCs w:val="22"/>
              </w:rPr>
              <w:t xml:space="preserve">The condition must be at least one of the following: </w:t>
            </w:r>
          </w:p>
          <w:p w14:paraId="5298010E" w14:textId="77777777" w:rsidR="001D4089" w:rsidRPr="001D4089" w:rsidRDefault="001D4089" w:rsidP="001D4089">
            <w:pPr>
              <w:pStyle w:val="TableText0"/>
              <w:widowControl w:val="0"/>
              <w:rPr>
                <w:szCs w:val="22"/>
              </w:rPr>
            </w:pPr>
            <w:r w:rsidRPr="00917284">
              <w:rPr>
                <w:szCs w:val="22"/>
              </w:rPr>
              <w:t>(i) VHL-associated non-metastatic renal cell carcinoma (RCC) OR</w:t>
            </w:r>
          </w:p>
          <w:p w14:paraId="2C6D480F" w14:textId="77777777" w:rsidR="001D4089" w:rsidRPr="001D4089" w:rsidRDefault="001D4089" w:rsidP="001D4089">
            <w:pPr>
              <w:pStyle w:val="TableText0"/>
              <w:widowControl w:val="0"/>
              <w:rPr>
                <w:szCs w:val="22"/>
              </w:rPr>
            </w:pPr>
            <w:r w:rsidRPr="00917284">
              <w:rPr>
                <w:szCs w:val="22"/>
              </w:rPr>
              <w:t>(ii) VHL-associated central nervous system (CNS) haemangioblastoma, OR</w:t>
            </w:r>
          </w:p>
          <w:p w14:paraId="77723658" w14:textId="77777777" w:rsidR="001D4089" w:rsidRPr="00917284" w:rsidRDefault="001D4089" w:rsidP="001D4089">
            <w:pPr>
              <w:pStyle w:val="TableText0"/>
              <w:widowControl w:val="0"/>
              <w:rPr>
                <w:szCs w:val="22"/>
              </w:rPr>
            </w:pPr>
            <w:r w:rsidRPr="00917284">
              <w:rPr>
                <w:szCs w:val="22"/>
              </w:rPr>
              <w:t>(iii) VHL-associated non-metastatic pancreatic neuroendocrine tumour (pNET)</w:t>
            </w:r>
          </w:p>
        </w:tc>
      </w:tr>
      <w:tr w:rsidR="001D4089" w:rsidRPr="00917284" w14:paraId="54E29484"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3CCB0DF0" w14:textId="77777777" w:rsidR="001D4089" w:rsidRPr="001D4089" w:rsidRDefault="001D4089" w:rsidP="001D4089">
            <w:pPr>
              <w:pStyle w:val="TableText0"/>
              <w:widowControl w:val="0"/>
              <w:rPr>
                <w:b/>
                <w:bCs w:val="0"/>
                <w:szCs w:val="22"/>
              </w:rPr>
            </w:pPr>
            <w:r w:rsidRPr="001D4089">
              <w:rPr>
                <w:b/>
                <w:bCs w:val="0"/>
                <w:szCs w:val="22"/>
              </w:rPr>
              <w:t>AND</w:t>
            </w:r>
          </w:p>
        </w:tc>
      </w:tr>
      <w:tr w:rsidR="001D4089" w:rsidRPr="00917284" w14:paraId="1F259713"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5FF0421F" w14:textId="77777777" w:rsidR="001D4089" w:rsidRPr="001D4089" w:rsidRDefault="001D4089" w:rsidP="001D4089">
            <w:pPr>
              <w:pStyle w:val="TableText0"/>
              <w:keepNext w:val="0"/>
              <w:widowControl w:val="0"/>
              <w:rPr>
                <w:szCs w:val="22"/>
              </w:rPr>
            </w:pPr>
            <w:r w:rsidRPr="001D4089">
              <w:rPr>
                <w:szCs w:val="22"/>
              </w:rPr>
              <w:t xml:space="preserve">Patient must not require immediate surgery. </w:t>
            </w:r>
          </w:p>
        </w:tc>
      </w:tr>
      <w:tr w:rsidR="001D4089" w:rsidRPr="00917284" w14:paraId="1F14488E"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00217864" w14:textId="77777777" w:rsidR="001D4089" w:rsidRPr="001D4089" w:rsidRDefault="001D4089" w:rsidP="002C5B13">
            <w:pPr>
              <w:pStyle w:val="TableText0"/>
              <w:keepNext w:val="0"/>
              <w:widowControl w:val="0"/>
              <w:rPr>
                <w:b/>
                <w:bCs w:val="0"/>
                <w:szCs w:val="22"/>
              </w:rPr>
            </w:pPr>
            <w:r w:rsidRPr="001D4089">
              <w:rPr>
                <w:b/>
                <w:bCs w:val="0"/>
                <w:szCs w:val="22"/>
              </w:rPr>
              <w:t>AND</w:t>
            </w:r>
          </w:p>
        </w:tc>
      </w:tr>
      <w:tr w:rsidR="001D4089" w:rsidRPr="00917284" w14:paraId="509EA493"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43989BD2" w14:textId="77777777" w:rsidR="001D4089" w:rsidRPr="001D4089" w:rsidRDefault="001D4089" w:rsidP="002C5B13">
            <w:pPr>
              <w:pStyle w:val="TableText0"/>
              <w:keepNext w:val="0"/>
              <w:widowControl w:val="0"/>
              <w:rPr>
                <w:szCs w:val="22"/>
              </w:rPr>
            </w:pPr>
            <w:r w:rsidRPr="00917284">
              <w:rPr>
                <w:szCs w:val="22"/>
              </w:rPr>
              <w:t>Patient must have a WHO performance status of 0 or 1 prior to initiation of non-PBS-subsidised treatment with this drug for this condition</w:t>
            </w:r>
          </w:p>
        </w:tc>
      </w:tr>
      <w:tr w:rsidR="001D4089" w:rsidRPr="00917284" w14:paraId="6C9C73C1"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711C7AB5" w14:textId="77777777" w:rsidR="001D4089" w:rsidRPr="001D4089" w:rsidRDefault="001D4089" w:rsidP="002C5B13">
            <w:pPr>
              <w:pStyle w:val="TableText0"/>
              <w:keepNext w:val="0"/>
              <w:widowControl w:val="0"/>
              <w:rPr>
                <w:b/>
                <w:bCs w:val="0"/>
                <w:szCs w:val="22"/>
              </w:rPr>
            </w:pPr>
            <w:r w:rsidRPr="001D4089">
              <w:rPr>
                <w:b/>
                <w:bCs w:val="0"/>
                <w:szCs w:val="22"/>
              </w:rPr>
              <w:t>AND</w:t>
            </w:r>
          </w:p>
        </w:tc>
      </w:tr>
      <w:tr w:rsidR="001D4089" w:rsidRPr="00917284" w14:paraId="7FADD5AA"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54A2AC03" w14:textId="77777777" w:rsidR="001D4089" w:rsidRPr="001D4089" w:rsidRDefault="001D4089" w:rsidP="002C5B13">
            <w:pPr>
              <w:pStyle w:val="TableText0"/>
              <w:keepNext w:val="0"/>
              <w:widowControl w:val="0"/>
              <w:rPr>
                <w:szCs w:val="22"/>
              </w:rPr>
            </w:pPr>
            <w:r w:rsidRPr="001D4089">
              <w:rPr>
                <w:szCs w:val="22"/>
              </w:rPr>
              <w:t>The treatment must be the sole PBS-subsidised therapy for this condition</w:t>
            </w:r>
          </w:p>
        </w:tc>
      </w:tr>
      <w:tr w:rsidR="001D4089" w:rsidRPr="00917284" w14:paraId="2CF35728"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4AEACE26" w14:textId="77777777" w:rsidR="001D4089" w:rsidRPr="001D4089" w:rsidRDefault="001D4089" w:rsidP="002C5B13">
            <w:pPr>
              <w:pStyle w:val="TableText0"/>
              <w:keepNext w:val="0"/>
              <w:widowControl w:val="0"/>
              <w:rPr>
                <w:b/>
                <w:bCs w:val="0"/>
                <w:szCs w:val="22"/>
              </w:rPr>
            </w:pPr>
            <w:r w:rsidRPr="001D4089">
              <w:rPr>
                <w:b/>
                <w:bCs w:val="0"/>
                <w:szCs w:val="22"/>
              </w:rPr>
              <w:t>AND</w:t>
            </w:r>
          </w:p>
        </w:tc>
      </w:tr>
      <w:tr w:rsidR="001D4089" w:rsidRPr="00917284" w14:paraId="149C1FBC"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0E635AB9" w14:textId="77777777" w:rsidR="001D4089" w:rsidRPr="001D4089" w:rsidRDefault="001D4089" w:rsidP="002C5B13">
            <w:pPr>
              <w:pStyle w:val="TableText0"/>
              <w:keepNext w:val="0"/>
              <w:widowControl w:val="0"/>
              <w:rPr>
                <w:b/>
                <w:bCs w:val="0"/>
                <w:szCs w:val="22"/>
              </w:rPr>
            </w:pPr>
            <w:r w:rsidRPr="001D4089">
              <w:rPr>
                <w:b/>
                <w:bCs w:val="0"/>
                <w:szCs w:val="22"/>
              </w:rPr>
              <w:t>Population criteria:</w:t>
            </w:r>
          </w:p>
        </w:tc>
      </w:tr>
      <w:tr w:rsidR="001D4089" w:rsidRPr="00917284" w14:paraId="1E7AA1BF"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447A2F70" w14:textId="77777777" w:rsidR="001D4089" w:rsidRPr="001D4089" w:rsidRDefault="001D4089" w:rsidP="002C5B13">
            <w:pPr>
              <w:pStyle w:val="TableText0"/>
              <w:keepNext w:val="0"/>
              <w:widowControl w:val="0"/>
              <w:rPr>
                <w:szCs w:val="22"/>
              </w:rPr>
            </w:pPr>
            <w:r w:rsidRPr="00917284">
              <w:rPr>
                <w:szCs w:val="22"/>
              </w:rPr>
              <w:t>Patient must be 18 years of age or older</w:t>
            </w:r>
          </w:p>
        </w:tc>
      </w:tr>
      <w:tr w:rsidR="001D4089" w:rsidRPr="00917284" w14:paraId="364D8BBC"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619BEFDB" w14:textId="77777777" w:rsidR="001D4089" w:rsidRPr="001D4089" w:rsidRDefault="001D4089" w:rsidP="002C5B13">
            <w:pPr>
              <w:pStyle w:val="TableText0"/>
              <w:keepNext w:val="0"/>
              <w:widowControl w:val="0"/>
              <w:rPr>
                <w:b/>
                <w:bCs w:val="0"/>
                <w:szCs w:val="22"/>
              </w:rPr>
            </w:pPr>
            <w:r w:rsidRPr="001D4089">
              <w:rPr>
                <w:b/>
                <w:bCs w:val="0"/>
                <w:szCs w:val="22"/>
              </w:rPr>
              <w:t>Prescribing instruction:</w:t>
            </w:r>
          </w:p>
        </w:tc>
      </w:tr>
      <w:tr w:rsidR="001D4089" w:rsidRPr="00917284" w14:paraId="280DB980"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57F689B5" w14:textId="77777777" w:rsidR="001D4089" w:rsidRPr="00917284" w:rsidRDefault="001D4089" w:rsidP="002C5B13">
            <w:pPr>
              <w:pStyle w:val="TableText0"/>
              <w:keepNext w:val="0"/>
              <w:widowControl w:val="0"/>
              <w:rPr>
                <w:szCs w:val="22"/>
              </w:rPr>
            </w:pPr>
            <w:r w:rsidRPr="00917284">
              <w:rPr>
                <w:szCs w:val="22"/>
              </w:rPr>
              <w:t>A patient may qualify for PBS-subsidised treatment under this restriction once only. For continuing PBS-subsidised treatment, a Grandfathered patient must qualify under the Continuing treatment criteria</w:t>
            </w:r>
          </w:p>
        </w:tc>
      </w:tr>
      <w:tr w:rsidR="001D4089" w:rsidRPr="00917284" w14:paraId="4F0949A7" w14:textId="77777777" w:rsidTr="001D4089">
        <w:tblPrEx>
          <w:tblCellMar>
            <w:top w:w="15" w:type="dxa"/>
            <w:left w:w="28" w:type="dxa"/>
            <w:bottom w:w="15" w:type="dxa"/>
            <w:right w:w="28" w:type="dxa"/>
          </w:tblCellMar>
          <w:tblLook w:val="04A0" w:firstRow="1" w:lastRow="0" w:firstColumn="1" w:lastColumn="0" w:noHBand="0" w:noVBand="1"/>
        </w:tblPrEx>
        <w:trPr>
          <w:cantSplit/>
          <w:trHeight w:val="20"/>
        </w:trPr>
        <w:tc>
          <w:tcPr>
            <w:tcW w:w="9243" w:type="dxa"/>
            <w:gridSpan w:val="6"/>
            <w:tcBorders>
              <w:top w:val="single" w:sz="4" w:space="0" w:color="auto"/>
              <w:left w:val="single" w:sz="4" w:space="0" w:color="auto"/>
              <w:bottom w:val="single" w:sz="4" w:space="0" w:color="auto"/>
              <w:right w:val="single" w:sz="4" w:space="0" w:color="auto"/>
            </w:tcBorders>
            <w:vAlign w:val="center"/>
          </w:tcPr>
          <w:p w14:paraId="319227B0" w14:textId="77777777" w:rsidR="001D4089" w:rsidRPr="001D4089" w:rsidRDefault="001D4089" w:rsidP="002C5B13">
            <w:pPr>
              <w:pStyle w:val="TableText0"/>
              <w:keepNext w:val="0"/>
              <w:widowControl w:val="0"/>
              <w:rPr>
                <w:szCs w:val="22"/>
              </w:rPr>
            </w:pPr>
            <w:r w:rsidRPr="001D4089">
              <w:rPr>
                <w:szCs w:val="22"/>
              </w:rPr>
              <w:t>This grandfather restriction will cease to operate from 12 months after the date specified in the clinical criteria</w:t>
            </w:r>
          </w:p>
        </w:tc>
      </w:tr>
    </w:tbl>
    <w:p w14:paraId="1474D763" w14:textId="661DBC72" w:rsidR="00712E46" w:rsidRPr="0049394D" w:rsidRDefault="00712E46" w:rsidP="00765C94">
      <w:pPr>
        <w:pStyle w:val="3-BodyText"/>
        <w:spacing w:before="120"/>
      </w:pPr>
      <w:r w:rsidRPr="0049394D">
        <w:lastRenderedPageBreak/>
        <w:t xml:space="preserve">The </w:t>
      </w:r>
      <w:r w:rsidR="005935F8" w:rsidRPr="0049394D">
        <w:t xml:space="preserve">submission </w:t>
      </w:r>
      <w:r w:rsidRPr="0049394D">
        <w:t>requested an Authority Required (telephone/electronic) listing of belzutifan for the treatment of adult patients with VHL-associated non-metastatic RCC, CNS Hb or non-met</w:t>
      </w:r>
      <w:r w:rsidR="000D0D6B" w:rsidRPr="0049394D">
        <w:t>a</w:t>
      </w:r>
      <w:r w:rsidRPr="0049394D">
        <w:t xml:space="preserve">static pNETs. At the recommended dose of 120 mg daily (3 x 40 mg tablets), the requested maximum quantity and number of repeats would provide 180 days (or 6 months) of initial and continuing treatment. The submission also requested a ‘grandfather’ arrangement to allow patients from the </w:t>
      </w:r>
      <w:r w:rsidR="00653886">
        <w:t>sponsor’s</w:t>
      </w:r>
      <w:r w:rsidR="00653886" w:rsidRPr="0049394D">
        <w:t xml:space="preserve"> </w:t>
      </w:r>
      <w:r w:rsidRPr="0049394D">
        <w:t>access program to transition to PBS-subsidised treatment. The</w:t>
      </w:r>
      <w:r w:rsidR="00903283" w:rsidRPr="0049394D">
        <w:t xml:space="preserve"> </w:t>
      </w:r>
      <w:r w:rsidR="00903283" w:rsidRPr="00BF3570">
        <w:rPr>
          <w:iCs/>
        </w:rPr>
        <w:t>submission stated that the</w:t>
      </w:r>
      <w:r w:rsidRPr="00BF3570">
        <w:rPr>
          <w:iCs/>
        </w:rPr>
        <w:t>re</w:t>
      </w:r>
      <w:r w:rsidRPr="0049394D">
        <w:t xml:space="preserve"> are an estimated</w:t>
      </w:r>
      <w:r w:rsidR="002C5B13">
        <w:t xml:space="preserve"> &lt; 500 </w:t>
      </w:r>
      <w:r w:rsidRPr="0049394D">
        <w:t>patients who would be eligible for this arrangement.</w:t>
      </w:r>
      <w:r w:rsidR="00540C62" w:rsidRPr="0049394D">
        <w:t xml:space="preserve"> The </w:t>
      </w:r>
      <w:r w:rsidR="00AE38C6" w:rsidRPr="0049394D">
        <w:t>requested grandfather restriction was similar to the requested restriction for initial treatment</w:t>
      </w:r>
      <w:r w:rsidR="00465819">
        <w:t>;</w:t>
      </w:r>
      <w:r w:rsidR="003730F0" w:rsidRPr="00BF3570">
        <w:rPr>
          <w:iCs/>
        </w:rPr>
        <w:t xml:space="preserve"> however</w:t>
      </w:r>
      <w:r w:rsidR="00465819" w:rsidRPr="00BF3570">
        <w:rPr>
          <w:iCs/>
        </w:rPr>
        <w:t>,</w:t>
      </w:r>
      <w:r w:rsidR="003730F0" w:rsidRPr="00BF3570">
        <w:rPr>
          <w:iCs/>
        </w:rPr>
        <w:t xml:space="preserve"> it </w:t>
      </w:r>
      <w:r w:rsidR="00F75DCD" w:rsidRPr="00BF3570">
        <w:rPr>
          <w:iCs/>
        </w:rPr>
        <w:t>exclud</w:t>
      </w:r>
      <w:r w:rsidR="003730F0" w:rsidRPr="00BF3570">
        <w:rPr>
          <w:iCs/>
        </w:rPr>
        <w:t>es</w:t>
      </w:r>
      <w:r w:rsidR="00F75DCD" w:rsidRPr="0049394D">
        <w:t xml:space="preserve"> the</w:t>
      </w:r>
      <w:r w:rsidR="00AE38C6" w:rsidRPr="0049394D">
        <w:t xml:space="preserve"> diagnostic criteria</w:t>
      </w:r>
      <w:r w:rsidR="00F75DCD" w:rsidRPr="0049394D">
        <w:t xml:space="preserve"> and </w:t>
      </w:r>
      <w:r w:rsidR="003730F0" w:rsidRPr="00BF3570">
        <w:rPr>
          <w:iCs/>
        </w:rPr>
        <w:t>does</w:t>
      </w:r>
      <w:r w:rsidR="003730F0" w:rsidRPr="0049394D">
        <w:t xml:space="preserve"> </w:t>
      </w:r>
      <w:r w:rsidR="00F75DCD" w:rsidRPr="0049394D">
        <w:t>not consider response to treatment</w:t>
      </w:r>
      <w:r w:rsidR="003730F0" w:rsidRPr="0049394D">
        <w:t xml:space="preserve"> </w:t>
      </w:r>
      <w:r w:rsidR="003730F0" w:rsidRPr="00BF3570">
        <w:rPr>
          <w:iCs/>
        </w:rPr>
        <w:t>(‘disease control’)</w:t>
      </w:r>
      <w:r w:rsidR="003730F0" w:rsidRPr="0049394D">
        <w:t xml:space="preserve"> </w:t>
      </w:r>
      <w:r w:rsidR="003730F0" w:rsidRPr="00BF3570">
        <w:rPr>
          <w:iCs/>
        </w:rPr>
        <w:t>or whether a patient has developed metastatic disease</w:t>
      </w:r>
      <w:r w:rsidR="00F75DCD" w:rsidRPr="0049394D">
        <w:t>.</w:t>
      </w:r>
    </w:p>
    <w:p w14:paraId="1168914F" w14:textId="28795D94" w:rsidR="00E9045E" w:rsidRPr="0049394D" w:rsidRDefault="00E9045E" w:rsidP="00E9045E">
      <w:pPr>
        <w:pStyle w:val="3-BodyText"/>
      </w:pPr>
      <w:r w:rsidRPr="0049394D">
        <w:t xml:space="preserve">The submission requested a Special Pricing Arrangement (SPA) for belzutifan. The submission proposed an effective </w:t>
      </w:r>
      <w:r w:rsidR="00FD627A">
        <w:t>ex-manufactu</w:t>
      </w:r>
      <w:r w:rsidR="00854496">
        <w:t>r</w:t>
      </w:r>
      <w:r w:rsidR="00FD627A">
        <w:t>er price</w:t>
      </w:r>
      <w:r w:rsidRPr="0049394D">
        <w:t xml:space="preserve"> of $</w:t>
      </w:r>
      <w:r w:rsidR="00F35FBC" w:rsidRPr="006F175E">
        <w:rPr>
          <w:color w:val="000000"/>
          <w:w w:val="15"/>
          <w:shd w:val="solid" w:color="000000" w:fill="000000"/>
          <w:fitText w:val="-20" w:id="-893684735"/>
          <w14:textFill>
            <w14:solidFill>
              <w14:srgbClr w14:val="000000">
                <w14:alpha w14:val="100000"/>
              </w14:srgbClr>
            </w14:solidFill>
          </w14:textFill>
        </w:rPr>
        <w:t xml:space="preserve">| </w:t>
      </w:r>
      <w:r w:rsidR="00F35FBC" w:rsidRPr="006F175E">
        <w:rPr>
          <w:color w:val="000000"/>
          <w:spacing w:val="-61"/>
          <w:w w:val="15"/>
          <w:shd w:val="solid" w:color="000000" w:fill="000000"/>
          <w:fitText w:val="-20" w:id="-893684735"/>
          <w14:textFill>
            <w14:solidFill>
              <w14:srgbClr w14:val="000000">
                <w14:alpha w14:val="100000"/>
              </w14:srgbClr>
            </w14:solidFill>
          </w14:textFill>
        </w:rPr>
        <w:t>|</w:t>
      </w:r>
      <w:r w:rsidRPr="0049394D">
        <w:t xml:space="preserve"> and a published </w:t>
      </w:r>
      <w:r w:rsidR="00FD627A">
        <w:t>ex-manufacturer price</w:t>
      </w:r>
      <w:r w:rsidR="00FD627A" w:rsidRPr="0049394D">
        <w:t xml:space="preserve"> </w:t>
      </w:r>
      <w:r w:rsidRPr="0049394D">
        <w:t>of $22,</w:t>
      </w:r>
      <w:r w:rsidR="00FD627A">
        <w:t>060.00</w:t>
      </w:r>
      <w:r w:rsidRPr="0049394D">
        <w:t xml:space="preserve"> </w:t>
      </w:r>
      <w:r w:rsidR="00FD627A">
        <w:t>(</w:t>
      </w:r>
      <w:r w:rsidRPr="0049394D">
        <w:t>40 mg</w:t>
      </w:r>
      <w:r w:rsidR="00FD627A">
        <w:t xml:space="preserve"> tablet, 90)</w:t>
      </w:r>
      <w:r w:rsidRPr="0049394D">
        <w:t>. The submission stated the sponsor is willing to discuss a risk sharing arrangement (RSA) should it be needed.</w:t>
      </w:r>
    </w:p>
    <w:p w14:paraId="4DC7960D" w14:textId="4F9FCFBA" w:rsidR="0088249D" w:rsidRPr="0049394D" w:rsidRDefault="0088249D" w:rsidP="0088249D">
      <w:pPr>
        <w:pStyle w:val="3-BodyText"/>
      </w:pPr>
      <w:r w:rsidRPr="0049394D">
        <w:t>The submission stated that 6 months of supply for initial and continuing</w:t>
      </w:r>
      <w:r w:rsidR="00B120D1" w:rsidRPr="0049394D">
        <w:t xml:space="preserve"> treatment</w:t>
      </w:r>
      <w:r w:rsidRPr="0049394D">
        <w:t xml:space="preserve"> was an appropriate follow-up period, to assess patient tolerance (i.e. monitor haemoglobin) and clinical benefit. This duration also aligns with the frequency of testing recommended </w:t>
      </w:r>
      <w:r w:rsidR="00D16943" w:rsidRPr="0049394D">
        <w:t xml:space="preserve">by the VHL Surveillance Consensus Statement </w:t>
      </w:r>
      <w:r w:rsidRPr="0049394D">
        <w:t xml:space="preserve">for active surveillance of patients with </w:t>
      </w:r>
      <w:r w:rsidR="00D16943" w:rsidRPr="0049394D">
        <w:t xml:space="preserve">a </w:t>
      </w:r>
      <w:r w:rsidRPr="0049394D">
        <w:t>VHL</w:t>
      </w:r>
      <w:r w:rsidR="00D16943" w:rsidRPr="0049394D">
        <w:t xml:space="preserve">-associated tumour </w:t>
      </w:r>
      <w:r w:rsidRPr="0049394D">
        <w:t>(every 3 to 6 months).</w:t>
      </w:r>
      <w:r w:rsidR="00826C17" w:rsidRPr="0049394D">
        <w:rPr>
          <w:rStyle w:val="FootnoteReference"/>
        </w:rPr>
        <w:footnoteReference w:id="2"/>
      </w:r>
      <w:r w:rsidRPr="0049394D">
        <w:t xml:space="preserve"> Anaemia was the most common adverse event reported in LS-004 (90% of patients over a median 37.7 months of treatment) and the exposure-adjusted event rate was highest during the first 3 months (42.09 per 100 person-months) and reduced considerably after 6 months of treatment (approx</w:t>
      </w:r>
      <w:r w:rsidR="00B120D1" w:rsidRPr="0049394D">
        <w:t>imately</w:t>
      </w:r>
      <w:r w:rsidRPr="0049394D">
        <w:t xml:space="preserve"> 7 events per 100 person-months). The median time to tumour response in LS-004 ranged from 5.4 months for CNS Hb to 11.1</w:t>
      </w:r>
      <w:r w:rsidR="002C5B13">
        <w:t> </w:t>
      </w:r>
      <w:r w:rsidRPr="0049394D">
        <w:t>months for RCC.</w:t>
      </w:r>
    </w:p>
    <w:p w14:paraId="7CD44AA2" w14:textId="5BC361E3" w:rsidR="0088249D" w:rsidRPr="0049394D" w:rsidRDefault="0088249D" w:rsidP="0088249D">
      <w:pPr>
        <w:pStyle w:val="3-BodyText"/>
      </w:pPr>
      <w:r w:rsidRPr="0049394D">
        <w:t xml:space="preserve">The requested restriction does not require a genetic test to confirm a VHL diagnosis despite the inclusion criteria in LS-004 requiring all patients to have a germline VHL alteration. The </w:t>
      </w:r>
      <w:r w:rsidR="00611B25" w:rsidRPr="00BF3570">
        <w:rPr>
          <w:iCs/>
        </w:rPr>
        <w:t>submission stated that</w:t>
      </w:r>
      <w:r w:rsidR="00611B25" w:rsidRPr="0049394D">
        <w:t xml:space="preserve"> </w:t>
      </w:r>
      <w:r w:rsidRPr="0049394D">
        <w:t>this criterion</w:t>
      </w:r>
      <w:r w:rsidR="00611B25" w:rsidRPr="0049394D">
        <w:t xml:space="preserve"> </w:t>
      </w:r>
      <w:r w:rsidR="00611B25" w:rsidRPr="00BF3570">
        <w:rPr>
          <w:iCs/>
        </w:rPr>
        <w:t>was based</w:t>
      </w:r>
      <w:r w:rsidRPr="0049394D">
        <w:t xml:space="preserve"> on advice from </w:t>
      </w:r>
      <w:r w:rsidR="00816900" w:rsidRPr="0049394D">
        <w:t xml:space="preserve">an </w:t>
      </w:r>
      <w:r w:rsidRPr="0049394D">
        <w:t>expert panel that patients with a family history of VHL may be diagnosed solely based on clinical criteria</w:t>
      </w:r>
      <w:r w:rsidR="00F745EA" w:rsidRPr="0049394D">
        <w:t xml:space="preserve"> </w:t>
      </w:r>
      <w:r w:rsidRPr="0049394D">
        <w:t>and</w:t>
      </w:r>
      <w:r w:rsidR="00E66E25" w:rsidRPr="0049394D">
        <w:t xml:space="preserve"> claimed</w:t>
      </w:r>
      <w:r w:rsidRPr="0049394D">
        <w:t xml:space="preserve"> that misdiagnosis based on clinical criteria was very unlikely for this population. The</w:t>
      </w:r>
      <w:r w:rsidR="00E66E25" w:rsidRPr="0049394D">
        <w:t xml:space="preserve"> submission also stated that the</w:t>
      </w:r>
      <w:r w:rsidRPr="0049394D">
        <w:t>re might be many patients diagnosed with VHL prior to the availability of genetic testing. The submission did not provide any data on the sensitivity / specificity of clinical diagnosis compared to genetic diagnosis to support this criterion. It is estimated that genetic testing will detect a disease-causing mutation in 95</w:t>
      </w:r>
      <w:r w:rsidR="00E66E25" w:rsidRPr="0049394D">
        <w:rPr>
          <w:rFonts w:cstheme="minorBidi"/>
        </w:rPr>
        <w:t>−</w:t>
      </w:r>
      <w:r w:rsidRPr="0049394D">
        <w:t xml:space="preserve">100% of individuals who have a clinical </w:t>
      </w:r>
      <w:r w:rsidRPr="0049394D">
        <w:lastRenderedPageBreak/>
        <w:t>diagnosis of VHL.</w:t>
      </w:r>
      <w:r w:rsidRPr="0049394D">
        <w:rPr>
          <w:rStyle w:val="FootnoteReference"/>
        </w:rPr>
        <w:footnoteReference w:id="3"/>
      </w:r>
      <w:r w:rsidRPr="0049394D">
        <w:t xml:space="preserve"> If the false positive rate from clinical diagnosis is more than zero, then there would be a risk of treating some patients who do not have VHL (with implications for costs and benefits). It </w:t>
      </w:r>
      <w:r w:rsidR="00181250" w:rsidRPr="0049394D">
        <w:t>wa</w:t>
      </w:r>
      <w:r w:rsidRPr="0049394D">
        <w:t>s also unclear what proportion of the VHL population ha</w:t>
      </w:r>
      <w:r w:rsidR="00181250" w:rsidRPr="0049394D">
        <w:t>ve</w:t>
      </w:r>
      <w:r w:rsidRPr="0049394D">
        <w:t xml:space="preserve"> a clinical diagnosis without genetic confirmation, particularly given genetic test</w:t>
      </w:r>
      <w:r w:rsidR="00B120D1" w:rsidRPr="0049394D">
        <w:t>ing</w:t>
      </w:r>
      <w:r w:rsidRPr="0049394D">
        <w:t xml:space="preserve"> is available on the MBS and utilisation of the MBS items for VHL diagnostic purposes was significantly lower than estimated</w:t>
      </w:r>
      <w:r w:rsidR="00D95A38" w:rsidRPr="0049394D">
        <w:t>. MSAC noted, however, that MBS data may not be a reliable reflecti</w:t>
      </w:r>
      <w:r w:rsidR="009B3B6E" w:rsidRPr="0049394D">
        <w:t>on</w:t>
      </w:r>
      <w:r w:rsidR="00D95A38" w:rsidRPr="0049394D">
        <w:t xml:space="preserve"> of testing due to inconsistent MBS claiming </w:t>
      </w:r>
      <w:r w:rsidR="009B3B6E" w:rsidRPr="0049394D">
        <w:t xml:space="preserve">due to funding arrangement differences across </w:t>
      </w:r>
      <w:r w:rsidR="00D95A38" w:rsidRPr="0049394D">
        <w:t xml:space="preserve">States </w:t>
      </w:r>
      <w:r w:rsidRPr="0049394D">
        <w:t xml:space="preserve">(Report on utilisation of MBS items associated with Application 1153 </w:t>
      </w:r>
      <w:r w:rsidR="00611B25" w:rsidRPr="0049394D">
        <w:t>Public Summary Document [</w:t>
      </w:r>
      <w:r w:rsidRPr="0049394D">
        <w:t>PSD</w:t>
      </w:r>
      <w:r w:rsidR="00611B25" w:rsidRPr="0049394D">
        <w:t>]</w:t>
      </w:r>
      <w:r w:rsidRPr="0049394D">
        <w:t>, November 2017 MSAC meeting).</w:t>
      </w:r>
    </w:p>
    <w:p w14:paraId="774027DA" w14:textId="3F81BC65" w:rsidR="0088249D" w:rsidRPr="0049394D" w:rsidRDefault="0088249D" w:rsidP="00854496">
      <w:pPr>
        <w:pStyle w:val="3-BodyText"/>
      </w:pPr>
      <w:r w:rsidRPr="0049394D">
        <w:t>The requested restriction allow</w:t>
      </w:r>
      <w:r w:rsidR="00181250" w:rsidRPr="0049394D">
        <w:t>ed</w:t>
      </w:r>
      <w:r w:rsidRPr="0049394D">
        <w:t xml:space="preserve"> treatment for any disease manifestation of </w:t>
      </w:r>
      <w:r w:rsidR="00B120D1" w:rsidRPr="0049394D">
        <w:t xml:space="preserve">non-metastatic </w:t>
      </w:r>
      <w:r w:rsidRPr="0049394D">
        <w:t xml:space="preserve">RCC, </w:t>
      </w:r>
      <w:r w:rsidR="00442BD6" w:rsidRPr="0049394D">
        <w:t xml:space="preserve">non-metastatic </w:t>
      </w:r>
      <w:r w:rsidRPr="0049394D">
        <w:t>pNET or CNS Hb</w:t>
      </w:r>
      <w:r w:rsidR="00B6747F" w:rsidRPr="0049394D">
        <w:t xml:space="preserve">. </w:t>
      </w:r>
      <w:r w:rsidR="00EB1E78" w:rsidRPr="0049394D">
        <w:t xml:space="preserve">This criterion was narrower than </w:t>
      </w:r>
      <w:r w:rsidRPr="0049394D">
        <w:t>the TGA approved indication</w:t>
      </w:r>
      <w:r w:rsidR="00EB1E78" w:rsidRPr="0049394D">
        <w:t>, which does not specify non-metastatic disease,</w:t>
      </w:r>
      <w:r w:rsidRPr="0049394D">
        <w:t xml:space="preserve"> but </w:t>
      </w:r>
      <w:r w:rsidR="00181250" w:rsidRPr="0049394D">
        <w:t>wa</w:t>
      </w:r>
      <w:r w:rsidRPr="0049394D">
        <w:t>s broader than the inclusion criteria in LS-004</w:t>
      </w:r>
      <w:r w:rsidR="00EB1E78" w:rsidRPr="0049394D">
        <w:t xml:space="preserve">, which </w:t>
      </w:r>
      <w:r w:rsidRPr="0049394D">
        <w:t xml:space="preserve">enrolled </w:t>
      </w:r>
      <w:r w:rsidR="00EB1E78" w:rsidRPr="0049394D">
        <w:t>patients with</w:t>
      </w:r>
      <w:r w:rsidRPr="0049394D">
        <w:t xml:space="preserve"> at least one measurable RCC less than 3.0 cm in diameter</w:t>
      </w:r>
      <w:r w:rsidR="00EB1E78" w:rsidRPr="0049394D">
        <w:t xml:space="preserve"> (</w:t>
      </w:r>
      <w:r w:rsidRPr="0049394D">
        <w:t>with or without other VHL disease-associated tumours</w:t>
      </w:r>
      <w:r w:rsidR="00EB1E78" w:rsidRPr="0049394D">
        <w:t>)</w:t>
      </w:r>
      <w:r w:rsidRPr="0049394D">
        <w:t xml:space="preserve">. </w:t>
      </w:r>
      <w:r w:rsidR="00E70584" w:rsidRPr="0049394D">
        <w:t>The submission stated that a l</w:t>
      </w:r>
      <w:r w:rsidRPr="0049394D">
        <w:t xml:space="preserve">isting for </w:t>
      </w:r>
      <w:r w:rsidR="00E70584" w:rsidRPr="0049394D">
        <w:t xml:space="preserve">a </w:t>
      </w:r>
      <w:r w:rsidRPr="0049394D">
        <w:t xml:space="preserve">broader population </w:t>
      </w:r>
      <w:r w:rsidR="00EB1E78" w:rsidRPr="0049394D">
        <w:t xml:space="preserve">than the clinical evidence </w:t>
      </w:r>
      <w:r w:rsidR="00181250" w:rsidRPr="0049394D">
        <w:t>wa</w:t>
      </w:r>
      <w:r w:rsidRPr="0049394D">
        <w:t xml:space="preserve">s supported by response outcomes in the subgroup of patients in LS-004 with co-existing CNS Hb and pNETs, and expert advice </w:t>
      </w:r>
      <w:r w:rsidR="006D5177" w:rsidRPr="0049394D">
        <w:t xml:space="preserve">sought by the sponsor </w:t>
      </w:r>
      <w:r w:rsidRPr="0049394D">
        <w:t xml:space="preserve">that treatment response in one tumour (e.g. CNS Hb or pNETs) would not be dependent on the presence or absence of another tumour (e.g. RCC). </w:t>
      </w:r>
      <w:r w:rsidR="00256484" w:rsidRPr="00E837B6">
        <w:rPr>
          <w:iCs/>
        </w:rPr>
        <w:t xml:space="preserve">It was noted by the evaluation that </w:t>
      </w:r>
      <w:r w:rsidR="00256484" w:rsidRPr="0049394D">
        <w:t>a</w:t>
      </w:r>
      <w:r w:rsidRPr="0049394D">
        <w:t xml:space="preserve">lthough </w:t>
      </w:r>
      <w:r w:rsidR="00267FAD" w:rsidRPr="0049394D">
        <w:t>the submission’s rationale for listing in a broader population than LS-004 w</w:t>
      </w:r>
      <w:r w:rsidR="00381B8A" w:rsidRPr="0049394D">
        <w:t>as</w:t>
      </w:r>
      <w:r w:rsidR="00267FAD" w:rsidRPr="0049394D">
        <w:t xml:space="preserve"> reasonable</w:t>
      </w:r>
      <w:r w:rsidRPr="0049394D">
        <w:t xml:space="preserve">, this criterion would permit </w:t>
      </w:r>
      <w:bookmarkStart w:id="15" w:name="_Hlk166164098"/>
      <w:r w:rsidRPr="0049394D">
        <w:t xml:space="preserve">‘incident’ </w:t>
      </w:r>
      <w:bookmarkEnd w:id="15"/>
      <w:r w:rsidRPr="0049394D">
        <w:t>patients to be treated at the first occurrence of any of these tumours, which differ</w:t>
      </w:r>
      <w:r w:rsidR="00181250" w:rsidRPr="0049394D">
        <w:t>ed</w:t>
      </w:r>
      <w:r w:rsidRPr="0049394D">
        <w:t xml:space="preserve"> to </w:t>
      </w:r>
      <w:bookmarkStart w:id="16" w:name="_Hlk166164141"/>
      <w:r w:rsidRPr="0049394D">
        <w:t xml:space="preserve">the mostly ‘prevalent’ patients enrolled in LS-004. </w:t>
      </w:r>
      <w:bookmarkStart w:id="17" w:name="_Hlk166164315"/>
      <w:bookmarkEnd w:id="16"/>
      <w:r w:rsidRPr="0049394D">
        <w:t xml:space="preserve">At baseline, patients enrolled in LS-004 had </w:t>
      </w:r>
      <w:bookmarkEnd w:id="17"/>
      <w:r w:rsidRPr="0049394D">
        <w:t>multiple prior VHL-associated tumours and multiple past surgeries for VHL-associated tumours (median 5, range 1</w:t>
      </w:r>
      <w:r w:rsidR="00E70584" w:rsidRPr="00E837B6">
        <w:rPr>
          <w:rFonts w:cstheme="minorBidi"/>
        </w:rPr>
        <w:t>−</w:t>
      </w:r>
      <w:r w:rsidRPr="0049394D">
        <w:t xml:space="preserve">15). The </w:t>
      </w:r>
      <w:r w:rsidR="00E70584" w:rsidRPr="0049394D">
        <w:t>cost-effectiveness</w:t>
      </w:r>
      <w:r w:rsidRPr="0049394D">
        <w:t xml:space="preserve"> associated with earlier use (i.e. first tumour) vs later use (i.e. subsequent or multiple tumours) </w:t>
      </w:r>
      <w:r w:rsidR="00E70584" w:rsidRPr="0049394D">
        <w:t xml:space="preserve">is </w:t>
      </w:r>
      <w:r w:rsidRPr="0049394D">
        <w:t xml:space="preserve">unknown. </w:t>
      </w:r>
      <w:r w:rsidR="00553A31" w:rsidRPr="00E837B6">
        <w:rPr>
          <w:iCs/>
        </w:rPr>
        <w:t xml:space="preserve"> The Pre-Sub-Committee Response (PSCR) stated that the proposed restriction was developed based on the approved TGA indication, the clinical evidence, and input from clinicians with expertise in treating VHL disease. The PSCR also stated that the proposed restriction was intended to provide flexibility for the treating clinician to determine the optimal timing and place in therapy to initiate, suspend and/or continue belzutifan. </w:t>
      </w:r>
      <w:r w:rsidR="00E837B6" w:rsidRPr="00D97318">
        <w:rPr>
          <w:iCs/>
        </w:rPr>
        <w:t xml:space="preserve">The </w:t>
      </w:r>
      <w:bookmarkStart w:id="18" w:name="_Hlk175733672"/>
      <w:r w:rsidR="0037598A">
        <w:rPr>
          <w:iCs/>
        </w:rPr>
        <w:t xml:space="preserve">Economic Sub-Committee </w:t>
      </w:r>
      <w:bookmarkEnd w:id="18"/>
      <w:r w:rsidR="0037598A">
        <w:rPr>
          <w:iCs/>
        </w:rPr>
        <w:t>(</w:t>
      </w:r>
      <w:r w:rsidR="00E837B6" w:rsidRPr="00D97318">
        <w:rPr>
          <w:iCs/>
        </w:rPr>
        <w:t>ESC</w:t>
      </w:r>
      <w:r w:rsidR="0037598A">
        <w:rPr>
          <w:iCs/>
        </w:rPr>
        <w:t>)</w:t>
      </w:r>
      <w:r w:rsidR="00E837B6" w:rsidRPr="00D97318">
        <w:rPr>
          <w:iCs/>
        </w:rPr>
        <w:t xml:space="preserve"> considered that it was likely reasonable to allow initiation base</w:t>
      </w:r>
      <w:r w:rsidR="00E837B6" w:rsidRPr="00E837B6">
        <w:rPr>
          <w:iCs/>
        </w:rPr>
        <w:t xml:space="preserve">d on the different tumour types specified and to allow treatment to be continued or reinitiated as appropriate to avoid future surgeries. However, </w:t>
      </w:r>
      <w:r w:rsidR="003C6B24">
        <w:rPr>
          <w:iCs/>
        </w:rPr>
        <w:t xml:space="preserve">the ESC noted that </w:t>
      </w:r>
      <w:r w:rsidR="00E837B6" w:rsidRPr="00E837B6">
        <w:rPr>
          <w:iCs/>
        </w:rPr>
        <w:t xml:space="preserve">this </w:t>
      </w:r>
      <w:r w:rsidR="003C6B24">
        <w:rPr>
          <w:iCs/>
        </w:rPr>
        <w:t>would</w:t>
      </w:r>
      <w:r w:rsidR="00E837B6" w:rsidRPr="00E837B6">
        <w:rPr>
          <w:iCs/>
        </w:rPr>
        <w:t xml:space="preserve"> lead to applicability, economic and financial issues given this is broader than the clinical evidence base.</w:t>
      </w:r>
      <w:r w:rsidR="00A93B15">
        <w:rPr>
          <w:iCs/>
        </w:rPr>
        <w:t xml:space="preserve"> The pre-PBAC response </w:t>
      </w:r>
      <w:r w:rsidR="00A93B15">
        <w:rPr>
          <w:rStyle w:val="3-BodyTextChar"/>
        </w:rPr>
        <w:t xml:space="preserve">proposed </w:t>
      </w:r>
      <w:r w:rsidR="00A93B15" w:rsidRPr="00876081">
        <w:rPr>
          <w:rStyle w:val="3-BodyTextChar"/>
        </w:rPr>
        <w:t>to address</w:t>
      </w:r>
      <w:r w:rsidR="003C6B24">
        <w:rPr>
          <w:rStyle w:val="3-BodyTextChar"/>
        </w:rPr>
        <w:t xml:space="preserve"> </w:t>
      </w:r>
      <w:r w:rsidR="00A93B15">
        <w:rPr>
          <w:rStyle w:val="3-BodyTextChar"/>
        </w:rPr>
        <w:t xml:space="preserve">remaining </w:t>
      </w:r>
      <w:r w:rsidR="00A93B15" w:rsidRPr="00876081">
        <w:rPr>
          <w:rStyle w:val="3-BodyTextChar"/>
        </w:rPr>
        <w:t>uncertainty</w:t>
      </w:r>
      <w:r w:rsidR="00A93B15">
        <w:rPr>
          <w:rStyle w:val="3-BodyTextChar"/>
        </w:rPr>
        <w:t xml:space="preserve"> related to applicability </w:t>
      </w:r>
      <w:r w:rsidR="00A93B15" w:rsidRPr="00876081">
        <w:rPr>
          <w:rStyle w:val="3-BodyTextChar"/>
        </w:rPr>
        <w:t>in the form of a</w:t>
      </w:r>
      <w:r w:rsidR="00DE22CE">
        <w:rPr>
          <w:rStyle w:val="3-BodyTextChar"/>
        </w:rPr>
        <w:t>n</w:t>
      </w:r>
      <w:r w:rsidR="00A93B15" w:rsidRPr="00876081">
        <w:rPr>
          <w:rStyle w:val="3-BodyTextChar"/>
        </w:rPr>
        <w:t xml:space="preserve"> RSA</w:t>
      </w:r>
      <w:r w:rsidR="003C6B24">
        <w:rPr>
          <w:rStyle w:val="3-BodyTextChar"/>
        </w:rPr>
        <w:t xml:space="preserve"> and </w:t>
      </w:r>
      <w:r w:rsidR="006700C0">
        <w:rPr>
          <w:rStyle w:val="3-BodyTextChar"/>
        </w:rPr>
        <w:t>suggested that</w:t>
      </w:r>
      <w:r w:rsidR="003C6B24">
        <w:rPr>
          <w:rStyle w:val="3-BodyTextChar"/>
        </w:rPr>
        <w:t xml:space="preserve"> a </w:t>
      </w:r>
      <w:r w:rsidR="003C6B24" w:rsidRPr="00876081">
        <w:rPr>
          <w:rStyle w:val="3-BodyTextChar"/>
        </w:rPr>
        <w:t xml:space="preserve">‘maximum lifetime duration of therapy’ </w:t>
      </w:r>
      <w:r w:rsidR="003C6B24" w:rsidRPr="00876081">
        <w:rPr>
          <w:rStyle w:val="3-BodyTextChar"/>
        </w:rPr>
        <w:lastRenderedPageBreak/>
        <w:t>and/or ‘recommencement</w:t>
      </w:r>
      <w:r w:rsidR="003C6B24">
        <w:rPr>
          <w:rStyle w:val="3-BodyTextChar"/>
        </w:rPr>
        <w:t xml:space="preserve">’ restriction </w:t>
      </w:r>
      <w:r w:rsidR="006700C0">
        <w:rPr>
          <w:rStyle w:val="3-BodyTextChar"/>
        </w:rPr>
        <w:t>may</w:t>
      </w:r>
      <w:r w:rsidR="003C6B24" w:rsidRPr="00876081">
        <w:rPr>
          <w:rStyle w:val="3-BodyTextChar"/>
        </w:rPr>
        <w:t xml:space="preserve"> further mitigate areas of uncertainty</w:t>
      </w:r>
      <w:r w:rsidR="003C6B24">
        <w:rPr>
          <w:rStyle w:val="3-BodyTextChar"/>
        </w:rPr>
        <w:t xml:space="preserve"> </w:t>
      </w:r>
      <w:r w:rsidR="00A93B15">
        <w:rPr>
          <w:rStyle w:val="3-BodyTextChar"/>
        </w:rPr>
        <w:t xml:space="preserve">(see paragraph </w:t>
      </w:r>
      <w:r w:rsidR="00A93B15">
        <w:rPr>
          <w:rStyle w:val="3-BodyTextChar"/>
        </w:rPr>
        <w:fldChar w:fldCharType="begin" w:fldLock="1"/>
      </w:r>
      <w:r w:rsidR="00A93B15">
        <w:rPr>
          <w:rStyle w:val="3-BodyTextChar"/>
        </w:rPr>
        <w:instrText xml:space="preserve"> REF _Ref172279636 \r \h </w:instrText>
      </w:r>
      <w:r w:rsidR="00A93B15">
        <w:rPr>
          <w:rStyle w:val="3-BodyTextChar"/>
        </w:rPr>
      </w:r>
      <w:r w:rsidR="00A93B15">
        <w:rPr>
          <w:rStyle w:val="3-BodyTextChar"/>
        </w:rPr>
        <w:fldChar w:fldCharType="separate"/>
      </w:r>
      <w:r w:rsidR="00437B51">
        <w:rPr>
          <w:rStyle w:val="3-BodyTextChar"/>
        </w:rPr>
        <w:t>6.85</w:t>
      </w:r>
      <w:r w:rsidR="00A93B15">
        <w:rPr>
          <w:rStyle w:val="3-BodyTextChar"/>
        </w:rPr>
        <w:fldChar w:fldCharType="end"/>
      </w:r>
      <w:r w:rsidR="00A93B15">
        <w:rPr>
          <w:rStyle w:val="3-BodyTextChar"/>
        </w:rPr>
        <w:t>).</w:t>
      </w:r>
    </w:p>
    <w:p w14:paraId="10C8DBF7" w14:textId="6E008022" w:rsidR="002E7D0B" w:rsidRPr="0049394D" w:rsidRDefault="002E7D0B" w:rsidP="002E7D0B">
      <w:pPr>
        <w:pStyle w:val="3-BodyText"/>
      </w:pPr>
      <w:r w:rsidRPr="0049394D">
        <w:t>For initial treatment, the requestion restriction stated that patients must be previously untreated with this drug for this disease. The</w:t>
      </w:r>
      <w:r w:rsidRPr="00BF3570">
        <w:rPr>
          <w:iCs/>
        </w:rPr>
        <w:t xml:space="preserve"> </w:t>
      </w:r>
      <w:r w:rsidRPr="0049394D">
        <w:t xml:space="preserve">proposed wording of this criterion in the restriction </w:t>
      </w:r>
      <w:r w:rsidRPr="00BF3570">
        <w:rPr>
          <w:iCs/>
        </w:rPr>
        <w:t>does not preclude re-treatment</w:t>
      </w:r>
      <w:r w:rsidRPr="0049394D">
        <w:t xml:space="preserve">. For example, one VHL-associated tumour </w:t>
      </w:r>
      <w:r w:rsidRPr="00BF3570">
        <w:rPr>
          <w:iCs/>
        </w:rPr>
        <w:t>could</w:t>
      </w:r>
      <w:r w:rsidRPr="0049394D">
        <w:t xml:space="preserve"> be considered as a different disease compared to another VHL-associated tumour, given patients remain at lifelong risk of developing different tumour types and as well as recurrent tumours. In addition, the wording of the requested restriction for continuing treatment does not preclude patients who discontinue treatment for any reason other than development of metastatic disease from re-starting treatment under the continuation criteria at a later date for the same tumour or for a new manifestation.</w:t>
      </w:r>
      <w:r w:rsidRPr="00BF3570">
        <w:rPr>
          <w:iCs/>
        </w:rPr>
        <w:t xml:space="preserve"> The</w:t>
      </w:r>
      <w:r w:rsidR="00C05EE4" w:rsidRPr="00BF3570">
        <w:rPr>
          <w:iCs/>
        </w:rPr>
        <w:t xml:space="preserve"> ESC advised that while retreatment of belzutifan may be reasonable</w:t>
      </w:r>
      <w:r w:rsidR="002D737A" w:rsidRPr="00BF3570">
        <w:rPr>
          <w:iCs/>
        </w:rPr>
        <w:t xml:space="preserve"> to avoid future surgeries</w:t>
      </w:r>
      <w:r w:rsidR="00C05EE4" w:rsidRPr="00BF3570">
        <w:rPr>
          <w:iCs/>
        </w:rPr>
        <w:t>, the</w:t>
      </w:r>
      <w:r w:rsidRPr="00BF3570">
        <w:rPr>
          <w:iCs/>
        </w:rPr>
        <w:t xml:space="preserve"> economic model and financial estimates assume belzutifan is limited to once in a lifetime use and is therefore not consistent with the requested restriction</w:t>
      </w:r>
      <w:r w:rsidR="000A1A2B" w:rsidRPr="00BF3570">
        <w:rPr>
          <w:iCs/>
        </w:rPr>
        <w:t xml:space="preserve"> (see paragraph </w:t>
      </w:r>
      <w:r w:rsidR="00C05EE4" w:rsidRPr="00BF3570">
        <w:rPr>
          <w:iCs/>
        </w:rPr>
        <w:fldChar w:fldCharType="begin" w:fldLock="1"/>
      </w:r>
      <w:r w:rsidR="00C05EE4" w:rsidRPr="00BF3570">
        <w:rPr>
          <w:iCs/>
        </w:rPr>
        <w:instrText xml:space="preserve"> REF _Ref169532159 \r \h </w:instrText>
      </w:r>
      <w:r w:rsidR="00C05EE4" w:rsidRPr="00BF3570">
        <w:rPr>
          <w:iCs/>
        </w:rPr>
      </w:r>
      <w:r w:rsidR="00C05EE4" w:rsidRPr="00BF3570">
        <w:rPr>
          <w:iCs/>
        </w:rPr>
        <w:fldChar w:fldCharType="separate"/>
      </w:r>
      <w:r w:rsidR="00437B51">
        <w:rPr>
          <w:iCs/>
        </w:rPr>
        <w:t>6.48</w:t>
      </w:r>
      <w:r w:rsidR="00C05EE4" w:rsidRPr="00BF3570">
        <w:rPr>
          <w:iCs/>
        </w:rPr>
        <w:fldChar w:fldCharType="end"/>
      </w:r>
      <w:r w:rsidR="000A1A2B" w:rsidRPr="00BF3570">
        <w:rPr>
          <w:iCs/>
        </w:rPr>
        <w:t xml:space="preserve"> for further detail)</w:t>
      </w:r>
      <w:r w:rsidRPr="00BF3570">
        <w:rPr>
          <w:iCs/>
        </w:rPr>
        <w:t>.</w:t>
      </w:r>
    </w:p>
    <w:p w14:paraId="7345D1E6" w14:textId="0F64D57D" w:rsidR="0088249D" w:rsidRPr="0049394D" w:rsidRDefault="0088249D" w:rsidP="0088249D">
      <w:pPr>
        <w:pStyle w:val="3-BodyText"/>
      </w:pPr>
      <w:r w:rsidRPr="0049394D">
        <w:t xml:space="preserve">The requested restriction </w:t>
      </w:r>
      <w:r w:rsidR="003E3AA8" w:rsidRPr="0049394D">
        <w:t xml:space="preserve">does </w:t>
      </w:r>
      <w:r w:rsidRPr="0049394D">
        <w:t>not define ‘disease control’, and allow</w:t>
      </w:r>
      <w:r w:rsidR="003E3AA8" w:rsidRPr="0049394D">
        <w:t>s</w:t>
      </w:r>
      <w:r w:rsidRPr="0049394D">
        <w:t xml:space="preserve"> continuing therapy if patients have disease control in one of the eligible tumour types</w:t>
      </w:r>
      <w:r w:rsidR="003E3AA8" w:rsidRPr="0049394D">
        <w:t>,</w:t>
      </w:r>
      <w:r w:rsidRPr="0049394D">
        <w:t xml:space="preserve"> despite disease progression in </w:t>
      </w:r>
      <w:r w:rsidR="00C63277" w:rsidRPr="0049394D">
        <w:t>another</w:t>
      </w:r>
      <w:r w:rsidRPr="0049394D">
        <w:t xml:space="preserve"> (i.e. mixed response). The submission stated that the multi-organ and multi-focal nature of VHL makes treatment decisions in VHL extremely complex. LS-004 used the Response Evaluation Criteria in Solid Tumors (RECIST) 1.1 to assess disease progression, but patients were allowed to continue treatment despite disease progression (in any tumour type after protocol amendment 14; in a non-RCC tumour prior to amendment 14). The </w:t>
      </w:r>
      <w:r w:rsidR="00C739A4" w:rsidRPr="00BF3570">
        <w:rPr>
          <w:iCs/>
        </w:rPr>
        <w:t>submission noted</w:t>
      </w:r>
      <w:r w:rsidR="00EE1160" w:rsidRPr="0049394D">
        <w:t xml:space="preserve"> </w:t>
      </w:r>
      <w:r w:rsidRPr="0049394D">
        <w:t xml:space="preserve">expert advice </w:t>
      </w:r>
      <w:r w:rsidR="00EE1160" w:rsidRPr="00BF3570">
        <w:rPr>
          <w:iCs/>
        </w:rPr>
        <w:t>stated</w:t>
      </w:r>
      <w:r w:rsidR="00EE1160" w:rsidRPr="0049394D">
        <w:t xml:space="preserve"> </w:t>
      </w:r>
      <w:r w:rsidRPr="0049394D">
        <w:t>that disease progression should not be used to define a ‘stopping rule’ and patients should be able to continue for as long as the patient is experiencing a clinical benefit for any tumour type. The</w:t>
      </w:r>
      <w:r w:rsidR="00EE1160" w:rsidRPr="0049394D">
        <w:t xml:space="preserve"> </w:t>
      </w:r>
      <w:r w:rsidR="006F6D93" w:rsidRPr="00BF3570">
        <w:rPr>
          <w:iCs/>
        </w:rPr>
        <w:t>ESC noted that the</w:t>
      </w:r>
      <w:r w:rsidR="00EE1160" w:rsidRPr="00BF3570">
        <w:rPr>
          <w:iCs/>
        </w:rPr>
        <w:t xml:space="preserve"> </w:t>
      </w:r>
      <w:r w:rsidRPr="0049394D">
        <w:t>proposed response criterion</w:t>
      </w:r>
      <w:r w:rsidR="00D05ED9" w:rsidRPr="0049394D">
        <w:t xml:space="preserve"> for</w:t>
      </w:r>
      <w:r w:rsidRPr="0049394D">
        <w:t xml:space="preserve"> ‘disease control’ in any tumour type would likely permit patients to remain on treatment indefinitely provided there </w:t>
      </w:r>
      <w:r w:rsidR="00EE1160" w:rsidRPr="0049394D">
        <w:t>wa</w:t>
      </w:r>
      <w:r w:rsidRPr="0049394D">
        <w:t xml:space="preserve">s a perceived benefit of doing so, </w:t>
      </w:r>
      <w:r w:rsidR="00D05ED9" w:rsidRPr="0049394D">
        <w:t xml:space="preserve">including </w:t>
      </w:r>
      <w:r w:rsidRPr="0049394D">
        <w:t xml:space="preserve">after surgery, until the development of metastatic disease or unacceptable toxicity. </w:t>
      </w:r>
      <w:r w:rsidR="006F6D93" w:rsidRPr="00BF3570">
        <w:rPr>
          <w:iCs/>
        </w:rPr>
        <w:t>The ESC considered that this was likely reasonable, however noted the economic model does not reflect long-term use and re-treatment.</w:t>
      </w:r>
      <w:r w:rsidR="006F6D93">
        <w:t xml:space="preserve"> </w:t>
      </w:r>
    </w:p>
    <w:p w14:paraId="4C829930" w14:textId="6F25557E" w:rsidR="0088249D" w:rsidRDefault="00D83464" w:rsidP="0088249D">
      <w:pPr>
        <w:pStyle w:val="3-BodyText"/>
      </w:pPr>
      <w:r w:rsidRPr="0049394D">
        <w:t xml:space="preserve">The requested restriction does not limit the prescriber type to prescribers with knowledge of this highly specialised disease. The submission stated that allowing all prescriber types may be appropriate given the ad hoc nature of care coordination for VHL patients in much of Australia (see Population and disease). The submission identified nephrologists, medical oncologists and geneticists as the likely main prescribers of belzutifan. </w:t>
      </w:r>
      <w:r w:rsidR="00D206EF">
        <w:t>However, endocrinologists and neurologists may also care for people with VHL</w:t>
      </w:r>
      <w:r w:rsidR="00E72432">
        <w:t xml:space="preserve"> disease</w:t>
      </w:r>
      <w:r w:rsidR="00D206EF">
        <w:t xml:space="preserve">, depending on the nature of the tumour. </w:t>
      </w:r>
      <w:r w:rsidRPr="00BF3570">
        <w:rPr>
          <w:iCs/>
        </w:rPr>
        <w:t>The evaluation considered that</w:t>
      </w:r>
      <w:r w:rsidRPr="0049394D">
        <w:t xml:space="preserve"> limiting the prescriber type to VHL experts, at least for initial treatment, might reduce the ‘fragmented’ care in Australia by directing patients to these experts (see Comparator).</w:t>
      </w:r>
      <w:r w:rsidR="00CB51D0" w:rsidRPr="0049394D">
        <w:t xml:space="preserve"> </w:t>
      </w:r>
      <w:r w:rsidR="00CB51D0" w:rsidRPr="00BF3570">
        <w:rPr>
          <w:iCs/>
        </w:rPr>
        <w:t>The PSCR stated that the sponsor was supportive of</w:t>
      </w:r>
      <w:r w:rsidR="00BF1AAD" w:rsidRPr="00BF3570">
        <w:rPr>
          <w:iCs/>
        </w:rPr>
        <w:t xml:space="preserve"> </w:t>
      </w:r>
      <w:r w:rsidR="00BF1AAD" w:rsidRPr="00BF3570">
        <w:rPr>
          <w:iCs/>
        </w:rPr>
        <w:lastRenderedPageBreak/>
        <w:t>limiting the prescriber type to clinicians with experience in the management of VHL disease.</w:t>
      </w:r>
      <w:r w:rsidR="00CB51D0" w:rsidRPr="0049394D">
        <w:rPr>
          <w:iCs/>
          <w:lang w:eastAsia="en-US"/>
        </w:rPr>
        <w:t xml:space="preserve"> </w:t>
      </w:r>
      <w:r w:rsidR="0088249D" w:rsidRPr="0049394D">
        <w:t xml:space="preserve">Other elements of the requested restriction also require consideration. For continuing treatment, patients must not have VHL-associated metastatic disease, but </w:t>
      </w:r>
      <w:r w:rsidR="000B74CF" w:rsidRPr="0049394D">
        <w:t xml:space="preserve">the restriction for initial treatment does not explicitly exclude all patients with malignant tumours. For example, a patient may be eligible for the treatment of CNS Hb despite having metastatic RCC. </w:t>
      </w:r>
      <w:r w:rsidR="0088249D" w:rsidRPr="0049394D">
        <w:t>This differs to the selection criteria for LS-004, which excluded patients with metastatic disease. The requested restriction also state</w:t>
      </w:r>
      <w:r w:rsidR="00B625B5" w:rsidRPr="0049394D">
        <w:t>s</w:t>
      </w:r>
      <w:r w:rsidR="0088249D" w:rsidRPr="0049394D">
        <w:t xml:space="preserve"> that belzutifan must be the sole PBS-subsidised therapy for this condition. The intention of this criterion was unclear given belzutifan would be the only PBS-subsidised treatment available for VHL disease. Other PBS-subsidised treatments may be used to treat patients with metastatic disease, but patients with metastatic disease would have presumably ceased belzutifan.</w:t>
      </w:r>
    </w:p>
    <w:p w14:paraId="3C8A196A" w14:textId="4A4342C1" w:rsidR="0065536C" w:rsidRPr="0065536C" w:rsidRDefault="0065536C" w:rsidP="0065536C">
      <w:pPr>
        <w:pStyle w:val="3-BodyText"/>
        <w:numPr>
          <w:ilvl w:val="0"/>
          <w:numId w:val="0"/>
        </w:numPr>
        <w:ind w:left="720"/>
        <w:rPr>
          <w:i/>
          <w:iCs/>
        </w:rPr>
      </w:pPr>
      <w:r w:rsidRPr="0065536C">
        <w:rPr>
          <w:i/>
          <w:iCs/>
        </w:rPr>
        <w:t>For more detail on PBAC’s view, see section 7 PBAC outcome.</w:t>
      </w:r>
    </w:p>
    <w:p w14:paraId="0FBFE9A0" w14:textId="77777777" w:rsidR="0088249D" w:rsidRPr="0049394D" w:rsidDel="00195452" w:rsidRDefault="0088249D" w:rsidP="0088249D">
      <w:pPr>
        <w:pStyle w:val="2-SectionHeading"/>
        <w:numPr>
          <w:ilvl w:val="0"/>
          <w:numId w:val="1"/>
        </w:numPr>
      </w:pPr>
      <w:bookmarkStart w:id="19" w:name="_Toc167277629"/>
      <w:r w:rsidRPr="0049394D" w:rsidDel="00195452">
        <w:t>Population and disease</w:t>
      </w:r>
      <w:bookmarkEnd w:id="19"/>
    </w:p>
    <w:p w14:paraId="50726183" w14:textId="4055A245" w:rsidR="0088249D" w:rsidRPr="0049394D" w:rsidRDefault="0088249D" w:rsidP="0088249D">
      <w:pPr>
        <w:pStyle w:val="3-BodyText"/>
      </w:pPr>
      <w:r w:rsidRPr="0049394D">
        <w:t>VHL disease is a rare autosomal dominant hereditary condition that affects approximately 1 in 48,000 people</w:t>
      </w:r>
      <w:r w:rsidR="002712A7" w:rsidRPr="0049394D">
        <w:t>,</w:t>
      </w:r>
      <w:r w:rsidRPr="0049394D">
        <w:t xml:space="preserve"> corresponding to approximately 600 Australians. Approximately 80% of cases are hereditary and 20% of the cases are caused by de novo mutations without a family history of VHL. The disease predisposes patients to develop both benign and malignant tumours across a multitude of locations, including the kidney, eye, ear, central nervous system, pancreas, adrenal glands, and reproductive organs. These disease manifestations and tumours typically appear during young adulthood (mean 26 years), with almost all patients having developed symptoms by the age of 60 years. Mortality is mostly due to metastases of RCC and complications of CNS Hb. The mean life expectancy for male and female patients is 67 and 60 years, respectively.</w:t>
      </w:r>
      <w:r w:rsidRPr="0049394D">
        <w:rPr>
          <w:rStyle w:val="FootnoteReference"/>
        </w:rPr>
        <w:footnoteReference w:id="4"/>
      </w:r>
    </w:p>
    <w:p w14:paraId="4F13B5E1" w14:textId="77777777" w:rsidR="0088249D" w:rsidRPr="0049394D" w:rsidRDefault="0088249D" w:rsidP="0088249D">
      <w:pPr>
        <w:pStyle w:val="3-BodyText"/>
      </w:pPr>
      <w:bookmarkStart w:id="20" w:name="_Ref168997849"/>
      <w:r w:rsidRPr="0049394D">
        <w:t>Diagnosis of VHL disease can be on a clinical or genetic basis. For people with a family history of VHL, clinical diagnosis for VHL disease is made based on the identification of at least one tumour that is highly characteristic of VHL disease (i.e., CNS or retinal Hb). Individuals with no relevant family history must have two or more haemangioblastomas, or one haemangioblastoma and a visceral tumour (except epididymal and renal cysts, which are frequent in the general population), to meet the diagnostic criteria. A genetic diagnosis of VHL is made based on the identification of a heterozygous (or likely pathogenic) variant in the VHL on molecular genetic testing. Genetic testing can confirm a clinical diagnosis of VHL or be used to screen family members of patients diagnosed with VHL disease. A negative VHL genetic test would eliminate the requirement to undergo lifelong surveillance. Genetic testing for VHL disease is funded via the MBS under item codes 73333, 73334 and 73335.</w:t>
      </w:r>
      <w:bookmarkEnd w:id="20"/>
    </w:p>
    <w:p w14:paraId="42356A08" w14:textId="3069A293" w:rsidR="0088249D" w:rsidRPr="0049394D" w:rsidRDefault="0088249D" w:rsidP="0088249D">
      <w:pPr>
        <w:pStyle w:val="3-BodyText"/>
      </w:pPr>
      <w:r w:rsidRPr="0049394D">
        <w:lastRenderedPageBreak/>
        <w:t xml:space="preserve">The standard of care for patients with VHL disease is life-long active surveillance to detect the development of VHL-associated tumours as early as possible. Screening requires a multidisciplinary team approach, involving different specialists for each system/organ class, summarised in </w:t>
      </w:r>
      <w:r w:rsidRPr="0049394D">
        <w:fldChar w:fldCharType="begin" w:fldLock="1"/>
      </w:r>
      <w:r w:rsidRPr="0049394D">
        <w:instrText xml:space="preserve"> REF _Ref165041125 \h </w:instrText>
      </w:r>
      <w:r w:rsidRPr="0049394D">
        <w:fldChar w:fldCharType="separate"/>
      </w:r>
      <w:r w:rsidR="00437B51" w:rsidRPr="0049394D">
        <w:t xml:space="preserve">Table </w:t>
      </w:r>
      <w:r w:rsidR="00437B51">
        <w:rPr>
          <w:noProof/>
        </w:rPr>
        <w:t>2</w:t>
      </w:r>
      <w:r w:rsidRPr="0049394D">
        <w:fldChar w:fldCharType="end"/>
      </w:r>
      <w:r w:rsidRPr="0049394D">
        <w:t>. Once a VHL-associated tumour is identified, more frequent surveillance is recommended until subsequent treatment (usually surgery) is required. The frequency of tumour-specific surveillance is determined by the tumour growth rate, lesion size</w:t>
      </w:r>
      <w:r w:rsidR="00E70889" w:rsidRPr="0049394D">
        <w:t>,</w:t>
      </w:r>
      <w:r w:rsidRPr="0049394D">
        <w:t xml:space="preserve"> and symptoms. </w:t>
      </w:r>
      <w:bookmarkStart w:id="21" w:name="_Hlk166169151"/>
      <w:r w:rsidRPr="0049394D">
        <w:t>For example, RCCs &lt;</w:t>
      </w:r>
      <w:r w:rsidR="002C5B13">
        <w:t> </w:t>
      </w:r>
      <w:r w:rsidRPr="0049394D">
        <w:t>3</w:t>
      </w:r>
      <w:r w:rsidR="002C5B13">
        <w:t> </w:t>
      </w:r>
      <w:r w:rsidRPr="0049394D">
        <w:t xml:space="preserve">cm diameter are recommended to be monitored using </w:t>
      </w:r>
      <w:r w:rsidR="006C7FB0" w:rsidRPr="0049394D">
        <w:t>magnetic resonance imaging (</w:t>
      </w:r>
      <w:r w:rsidRPr="0049394D">
        <w:t>MRI</w:t>
      </w:r>
      <w:r w:rsidR="006C7FB0" w:rsidRPr="0049394D">
        <w:t>)</w:t>
      </w:r>
      <w:r w:rsidRPr="0049394D">
        <w:t xml:space="preserve"> every 3</w:t>
      </w:r>
      <w:r w:rsidR="00E70889" w:rsidRPr="0049394D">
        <w:rPr>
          <w:rFonts w:cstheme="minorHAnsi"/>
        </w:rPr>
        <w:t>−</w:t>
      </w:r>
      <w:r w:rsidRPr="0049394D">
        <w:t>6 months for the first year to determine the tumour growth rate. Tumours growing as expected between 2</w:t>
      </w:r>
      <w:r w:rsidR="006C7FB0" w:rsidRPr="0049394D">
        <w:rPr>
          <w:rFonts w:cstheme="minorHAnsi"/>
        </w:rPr>
        <w:t>−</w:t>
      </w:r>
      <w:r w:rsidRPr="0049394D">
        <w:t xml:space="preserve">4 mm per year are then to be imaged every 6 months for the next year, and annually thereafter. More frequent imaging is recommended if the growth rate </w:t>
      </w:r>
      <w:r w:rsidR="006C7FB0" w:rsidRPr="0049394D">
        <w:t xml:space="preserve">is </w:t>
      </w:r>
      <w:r w:rsidRPr="0049394D">
        <w:rPr>
          <w:rFonts w:cstheme="minorHAnsi"/>
        </w:rPr>
        <w:t>≥</w:t>
      </w:r>
      <w:r w:rsidR="00E70889" w:rsidRPr="0049394D">
        <w:rPr>
          <w:rFonts w:cstheme="minorHAnsi"/>
        </w:rPr>
        <w:t xml:space="preserve"> </w:t>
      </w:r>
      <w:r w:rsidRPr="0049394D">
        <w:t>5 mm per year.</w:t>
      </w:r>
      <w:r w:rsidRPr="0049394D">
        <w:rPr>
          <w:rStyle w:val="FootnoteReference"/>
        </w:rPr>
        <w:footnoteReference w:id="5"/>
      </w:r>
      <w:r w:rsidRPr="0049394D">
        <w:t xml:space="preserve"> </w:t>
      </w:r>
      <w:bookmarkEnd w:id="21"/>
      <w:r w:rsidRPr="0049394D">
        <w:t>Surgical resection is undertaken for tumours with high symptom burden or those carrying a high risk of organ dysfunction or metastasis. Consequently, patients continue to undergo multiple lifelong surgeries, resulting in a cumulative burden of serious morbidity and mortality.</w:t>
      </w:r>
    </w:p>
    <w:p w14:paraId="163180F6" w14:textId="4F822885" w:rsidR="0088249D" w:rsidRPr="0049394D" w:rsidRDefault="0088249D" w:rsidP="002D695F">
      <w:pPr>
        <w:pStyle w:val="Caption"/>
      </w:pPr>
      <w:bookmarkStart w:id="22" w:name="_Ref165041125"/>
      <w:r w:rsidRPr="0049394D">
        <w:t xml:space="preserve">Table </w:t>
      </w:r>
      <w:r>
        <w:fldChar w:fldCharType="begin" w:fldLock="1"/>
      </w:r>
      <w:r>
        <w:instrText xml:space="preserve"> SEQ Table \* ARABIC </w:instrText>
      </w:r>
      <w:r>
        <w:fldChar w:fldCharType="separate"/>
      </w:r>
      <w:r w:rsidR="00437B51">
        <w:rPr>
          <w:noProof/>
        </w:rPr>
        <w:t>2</w:t>
      </w:r>
      <w:r>
        <w:rPr>
          <w:noProof/>
        </w:rPr>
        <w:fldChar w:fldCharType="end"/>
      </w:r>
      <w:bookmarkEnd w:id="22"/>
      <w:r w:rsidRPr="0049394D">
        <w:t>: Occurrence and active surveillance guidelines for clinical manifestations of von-Hippel Lindau disease</w:t>
      </w:r>
    </w:p>
    <w:tbl>
      <w:tblPr>
        <w:tblStyle w:val="TableGrid"/>
        <w:tblW w:w="5000" w:type="pct"/>
        <w:tblLayout w:type="fixed"/>
        <w:tblCellMar>
          <w:left w:w="28" w:type="dxa"/>
          <w:right w:w="28" w:type="dxa"/>
        </w:tblCellMar>
        <w:tblLook w:val="04A0" w:firstRow="1" w:lastRow="0" w:firstColumn="1" w:lastColumn="0" w:noHBand="0" w:noVBand="1"/>
        <w:tblCaption w:val="Table 2: Occurrence and active surveillance guidelines for clinical manifestations of von-Hippel Lindau disease"/>
      </w:tblPr>
      <w:tblGrid>
        <w:gridCol w:w="1686"/>
        <w:gridCol w:w="1221"/>
        <w:gridCol w:w="1223"/>
        <w:gridCol w:w="1223"/>
        <w:gridCol w:w="986"/>
        <w:gridCol w:w="1692"/>
        <w:gridCol w:w="986"/>
      </w:tblGrid>
      <w:tr w:rsidR="0088249D" w:rsidRPr="0049394D" w14:paraId="0AFDE5BD" w14:textId="77777777" w:rsidTr="00242CB1">
        <w:trPr>
          <w:trHeight w:val="274"/>
        </w:trPr>
        <w:tc>
          <w:tcPr>
            <w:tcW w:w="935" w:type="pct"/>
            <w:vMerge w:val="restart"/>
            <w:vAlign w:val="center"/>
          </w:tcPr>
          <w:p w14:paraId="042D1EDC"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Lesion type</w:t>
            </w:r>
          </w:p>
        </w:tc>
        <w:tc>
          <w:tcPr>
            <w:tcW w:w="2033" w:type="pct"/>
            <w:gridSpan w:val="3"/>
            <w:vAlign w:val="center"/>
          </w:tcPr>
          <w:p w14:paraId="520587F5" w14:textId="77777777" w:rsidR="0088249D" w:rsidRPr="0049394D" w:rsidRDefault="0088249D" w:rsidP="002D695F">
            <w:pPr>
              <w:keepNext/>
              <w:jc w:val="center"/>
              <w:rPr>
                <w:rFonts w:ascii="Arial Narrow" w:hAnsi="Arial Narrow"/>
                <w:b/>
                <w:sz w:val="20"/>
                <w:szCs w:val="20"/>
                <w:vertAlign w:val="superscript"/>
              </w:rPr>
            </w:pPr>
            <w:r w:rsidRPr="0049394D">
              <w:rPr>
                <w:rFonts w:ascii="Arial Narrow" w:hAnsi="Arial Narrow"/>
                <w:b/>
                <w:sz w:val="20"/>
                <w:szCs w:val="20"/>
              </w:rPr>
              <w:t>Occurrence of VHL disease manifestations</w:t>
            </w:r>
          </w:p>
        </w:tc>
        <w:tc>
          <w:tcPr>
            <w:tcW w:w="2032" w:type="pct"/>
            <w:gridSpan w:val="3"/>
            <w:vAlign w:val="center"/>
          </w:tcPr>
          <w:p w14:paraId="393D9806"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Active surveillance protocol for patients at risk of developing VHL-associated tumours</w:t>
            </w:r>
          </w:p>
        </w:tc>
      </w:tr>
      <w:tr w:rsidR="0088249D" w:rsidRPr="0049394D" w14:paraId="2AB4EA38" w14:textId="77777777" w:rsidTr="00242CB1">
        <w:trPr>
          <w:trHeight w:val="698"/>
        </w:trPr>
        <w:tc>
          <w:tcPr>
            <w:tcW w:w="935" w:type="pct"/>
            <w:vMerge/>
            <w:vAlign w:val="center"/>
          </w:tcPr>
          <w:p w14:paraId="4963490B" w14:textId="77777777" w:rsidR="0088249D" w:rsidRPr="0049394D" w:rsidRDefault="0088249D" w:rsidP="002D695F">
            <w:pPr>
              <w:keepNext/>
              <w:jc w:val="center"/>
              <w:rPr>
                <w:rFonts w:ascii="Arial Narrow" w:hAnsi="Arial Narrow"/>
                <w:b/>
                <w:sz w:val="20"/>
                <w:szCs w:val="20"/>
              </w:rPr>
            </w:pPr>
          </w:p>
        </w:tc>
        <w:tc>
          <w:tcPr>
            <w:tcW w:w="677" w:type="pct"/>
            <w:vAlign w:val="center"/>
          </w:tcPr>
          <w:p w14:paraId="00F60C7B"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Range of age at diagnosis, years</w:t>
            </w:r>
            <w:r w:rsidRPr="0049394D">
              <w:rPr>
                <w:rFonts w:ascii="Arial Narrow" w:hAnsi="Arial Narrow"/>
                <w:b/>
                <w:sz w:val="20"/>
                <w:szCs w:val="20"/>
                <w:vertAlign w:val="superscript"/>
              </w:rPr>
              <w:t>a</w:t>
            </w:r>
          </w:p>
        </w:tc>
        <w:tc>
          <w:tcPr>
            <w:tcW w:w="678" w:type="pct"/>
            <w:vAlign w:val="center"/>
          </w:tcPr>
          <w:p w14:paraId="7A498A38"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Mean age at diagnosis, years</w:t>
            </w:r>
            <w:r w:rsidRPr="0049394D">
              <w:rPr>
                <w:rFonts w:ascii="Arial Narrow" w:hAnsi="Arial Narrow"/>
                <w:b/>
                <w:sz w:val="20"/>
                <w:szCs w:val="20"/>
                <w:vertAlign w:val="superscript"/>
              </w:rPr>
              <w:t>a,b</w:t>
            </w:r>
          </w:p>
        </w:tc>
        <w:tc>
          <w:tcPr>
            <w:tcW w:w="678" w:type="pct"/>
            <w:vAlign w:val="center"/>
          </w:tcPr>
          <w:p w14:paraId="724887BE"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Lifetime risk by age 70</w:t>
            </w:r>
            <w:r w:rsidRPr="0049394D">
              <w:rPr>
                <w:rFonts w:ascii="Arial Narrow" w:hAnsi="Arial Narrow"/>
                <w:b/>
                <w:sz w:val="20"/>
                <w:szCs w:val="20"/>
                <w:vertAlign w:val="superscript"/>
              </w:rPr>
              <w:t>b</w:t>
            </w:r>
          </w:p>
        </w:tc>
        <w:tc>
          <w:tcPr>
            <w:tcW w:w="547" w:type="pct"/>
            <w:vAlign w:val="center"/>
          </w:tcPr>
          <w:p w14:paraId="638C8413"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Starting age, years</w:t>
            </w:r>
          </w:p>
        </w:tc>
        <w:tc>
          <w:tcPr>
            <w:tcW w:w="938" w:type="pct"/>
            <w:vAlign w:val="center"/>
          </w:tcPr>
          <w:p w14:paraId="20B3B714"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Screening type</w:t>
            </w:r>
          </w:p>
        </w:tc>
        <w:tc>
          <w:tcPr>
            <w:tcW w:w="547" w:type="pct"/>
            <w:vAlign w:val="center"/>
          </w:tcPr>
          <w:p w14:paraId="29833C81" w14:textId="77777777" w:rsidR="0088249D" w:rsidRPr="0049394D" w:rsidRDefault="0088249D" w:rsidP="002D695F">
            <w:pPr>
              <w:keepNext/>
              <w:jc w:val="center"/>
              <w:rPr>
                <w:rFonts w:ascii="Arial Narrow" w:hAnsi="Arial Narrow"/>
                <w:b/>
                <w:sz w:val="20"/>
                <w:szCs w:val="20"/>
              </w:rPr>
            </w:pPr>
            <w:r w:rsidRPr="0049394D">
              <w:rPr>
                <w:rFonts w:ascii="Arial Narrow" w:hAnsi="Arial Narrow"/>
                <w:b/>
                <w:sz w:val="20"/>
                <w:szCs w:val="20"/>
              </w:rPr>
              <w:t>Frequency</w:t>
            </w:r>
          </w:p>
        </w:tc>
      </w:tr>
      <w:tr w:rsidR="0088249D" w:rsidRPr="0049394D" w14:paraId="4A891703" w14:textId="77777777" w:rsidTr="00242CB1">
        <w:tc>
          <w:tcPr>
            <w:tcW w:w="935" w:type="pct"/>
            <w:vAlign w:val="center"/>
          </w:tcPr>
          <w:p w14:paraId="798A3983"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Retinal Hb</w:t>
            </w:r>
          </w:p>
        </w:tc>
        <w:tc>
          <w:tcPr>
            <w:tcW w:w="677" w:type="pct"/>
            <w:vAlign w:val="center"/>
          </w:tcPr>
          <w:p w14:paraId="46CD4842" w14:textId="72A925F4"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1</w:t>
            </w:r>
            <w:r w:rsidR="00380517" w:rsidRPr="0049394D">
              <w:rPr>
                <w:rFonts w:ascii="Arial Narrow" w:hAnsi="Arial Narrow"/>
                <w:sz w:val="20"/>
                <w:szCs w:val="20"/>
              </w:rPr>
              <w:t>−</w:t>
            </w:r>
            <w:r w:rsidRPr="0049394D">
              <w:rPr>
                <w:rFonts w:ascii="Arial Narrow" w:hAnsi="Arial Narrow"/>
                <w:sz w:val="20"/>
                <w:szCs w:val="20"/>
              </w:rPr>
              <w:t>68</w:t>
            </w:r>
          </w:p>
        </w:tc>
        <w:tc>
          <w:tcPr>
            <w:tcW w:w="678" w:type="pct"/>
            <w:vAlign w:val="center"/>
          </w:tcPr>
          <w:p w14:paraId="4C59D495"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25</w:t>
            </w:r>
          </w:p>
        </w:tc>
        <w:tc>
          <w:tcPr>
            <w:tcW w:w="678" w:type="pct"/>
            <w:vAlign w:val="center"/>
          </w:tcPr>
          <w:p w14:paraId="2D3D3258"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Up to 92%</w:t>
            </w:r>
          </w:p>
        </w:tc>
        <w:tc>
          <w:tcPr>
            <w:tcW w:w="547" w:type="pct"/>
            <w:vAlign w:val="center"/>
          </w:tcPr>
          <w:p w14:paraId="1FC1281F"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1</w:t>
            </w:r>
          </w:p>
        </w:tc>
        <w:tc>
          <w:tcPr>
            <w:tcW w:w="938" w:type="pct"/>
            <w:vAlign w:val="center"/>
          </w:tcPr>
          <w:p w14:paraId="502CF20C"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Ophthalmologist</w:t>
            </w:r>
          </w:p>
        </w:tc>
        <w:tc>
          <w:tcPr>
            <w:tcW w:w="547" w:type="pct"/>
            <w:vAlign w:val="center"/>
          </w:tcPr>
          <w:p w14:paraId="674E8675"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Annual</w:t>
            </w:r>
          </w:p>
        </w:tc>
      </w:tr>
      <w:tr w:rsidR="0088249D" w:rsidRPr="0049394D" w14:paraId="42EC2FC6" w14:textId="77777777" w:rsidTr="00242CB1">
        <w:tc>
          <w:tcPr>
            <w:tcW w:w="935" w:type="pct"/>
            <w:vAlign w:val="center"/>
          </w:tcPr>
          <w:p w14:paraId="0844A622" w14:textId="67CDB228"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Ph</w:t>
            </w:r>
            <w:r w:rsidR="000909D1">
              <w:rPr>
                <w:rFonts w:ascii="Arial Narrow" w:hAnsi="Arial Narrow"/>
                <w:sz w:val="20"/>
                <w:szCs w:val="20"/>
              </w:rPr>
              <w:t>a</w:t>
            </w:r>
            <w:r w:rsidRPr="0049394D">
              <w:rPr>
                <w:rFonts w:ascii="Arial Narrow" w:hAnsi="Arial Narrow"/>
                <w:sz w:val="20"/>
                <w:szCs w:val="20"/>
              </w:rPr>
              <w:t>eochromocytomas*</w:t>
            </w:r>
          </w:p>
        </w:tc>
        <w:tc>
          <w:tcPr>
            <w:tcW w:w="677" w:type="pct"/>
            <w:vAlign w:val="center"/>
          </w:tcPr>
          <w:p w14:paraId="4CA62A3C" w14:textId="5E21E631"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5</w:t>
            </w:r>
            <w:r w:rsidR="00380517" w:rsidRPr="0049394D">
              <w:rPr>
                <w:rFonts w:ascii="Arial Narrow" w:hAnsi="Arial Narrow"/>
                <w:sz w:val="20"/>
                <w:szCs w:val="20"/>
              </w:rPr>
              <w:t>−</w:t>
            </w:r>
            <w:r w:rsidRPr="0049394D">
              <w:rPr>
                <w:rFonts w:ascii="Arial Narrow" w:hAnsi="Arial Narrow"/>
                <w:sz w:val="20"/>
                <w:szCs w:val="20"/>
              </w:rPr>
              <w:t>58</w:t>
            </w:r>
          </w:p>
        </w:tc>
        <w:tc>
          <w:tcPr>
            <w:tcW w:w="678" w:type="pct"/>
            <w:vAlign w:val="center"/>
          </w:tcPr>
          <w:p w14:paraId="1DAF2F5E" w14:textId="5588DD03"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24</w:t>
            </w:r>
            <w:r w:rsidR="00380517" w:rsidRPr="0049394D">
              <w:rPr>
                <w:rFonts w:ascii="Arial Narrow" w:hAnsi="Arial Narrow"/>
                <w:sz w:val="20"/>
                <w:szCs w:val="20"/>
              </w:rPr>
              <w:t>−</w:t>
            </w:r>
            <w:r w:rsidRPr="0049394D">
              <w:rPr>
                <w:rFonts w:ascii="Arial Narrow" w:hAnsi="Arial Narrow"/>
                <w:sz w:val="20"/>
                <w:szCs w:val="20"/>
              </w:rPr>
              <w:t>27</w:t>
            </w:r>
          </w:p>
        </w:tc>
        <w:tc>
          <w:tcPr>
            <w:tcW w:w="678" w:type="pct"/>
            <w:vAlign w:val="center"/>
          </w:tcPr>
          <w:p w14:paraId="64B8EE61"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Up to 30%^</w:t>
            </w:r>
          </w:p>
        </w:tc>
        <w:tc>
          <w:tcPr>
            <w:tcW w:w="547" w:type="pct"/>
            <w:vAlign w:val="center"/>
          </w:tcPr>
          <w:p w14:paraId="259DF926"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2</w:t>
            </w:r>
          </w:p>
        </w:tc>
        <w:tc>
          <w:tcPr>
            <w:tcW w:w="938" w:type="pct"/>
            <w:vAlign w:val="center"/>
          </w:tcPr>
          <w:p w14:paraId="386BEE96"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Blood test, physical examination</w:t>
            </w:r>
          </w:p>
        </w:tc>
        <w:tc>
          <w:tcPr>
            <w:tcW w:w="547" w:type="pct"/>
            <w:vAlign w:val="center"/>
          </w:tcPr>
          <w:p w14:paraId="1FACCAC8"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Annual</w:t>
            </w:r>
          </w:p>
        </w:tc>
      </w:tr>
      <w:tr w:rsidR="0088249D" w:rsidRPr="0049394D" w14:paraId="03F9E8D9" w14:textId="77777777" w:rsidTr="00242CB1">
        <w:tc>
          <w:tcPr>
            <w:tcW w:w="935" w:type="pct"/>
            <w:vAlign w:val="center"/>
          </w:tcPr>
          <w:p w14:paraId="79F1A5F4"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Cerebellar Hb</w:t>
            </w:r>
          </w:p>
        </w:tc>
        <w:tc>
          <w:tcPr>
            <w:tcW w:w="677" w:type="pct"/>
            <w:vAlign w:val="center"/>
          </w:tcPr>
          <w:p w14:paraId="4678787A" w14:textId="7E93958D"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9</w:t>
            </w:r>
            <w:r w:rsidR="00380517" w:rsidRPr="0049394D">
              <w:rPr>
                <w:rFonts w:ascii="Arial Narrow" w:hAnsi="Arial Narrow"/>
                <w:sz w:val="20"/>
                <w:szCs w:val="20"/>
              </w:rPr>
              <w:t>−</w:t>
            </w:r>
            <w:r w:rsidRPr="0049394D">
              <w:rPr>
                <w:rFonts w:ascii="Arial Narrow" w:hAnsi="Arial Narrow"/>
                <w:sz w:val="20"/>
                <w:szCs w:val="20"/>
              </w:rPr>
              <w:t>78</w:t>
            </w:r>
          </w:p>
        </w:tc>
        <w:tc>
          <w:tcPr>
            <w:tcW w:w="678" w:type="pct"/>
            <w:vAlign w:val="center"/>
          </w:tcPr>
          <w:p w14:paraId="16B2BD76" w14:textId="7EDD3DC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30</w:t>
            </w:r>
            <w:r w:rsidR="00380517" w:rsidRPr="0049394D">
              <w:rPr>
                <w:rFonts w:ascii="Arial Narrow" w:hAnsi="Arial Narrow"/>
                <w:sz w:val="20"/>
                <w:szCs w:val="20"/>
              </w:rPr>
              <w:t>−</w:t>
            </w:r>
            <w:r w:rsidRPr="0049394D">
              <w:rPr>
                <w:rFonts w:ascii="Arial Narrow" w:hAnsi="Arial Narrow"/>
                <w:sz w:val="20"/>
                <w:szCs w:val="20"/>
              </w:rPr>
              <w:t>33</w:t>
            </w:r>
          </w:p>
        </w:tc>
        <w:tc>
          <w:tcPr>
            <w:tcW w:w="678" w:type="pct"/>
            <w:vAlign w:val="center"/>
          </w:tcPr>
          <w:p w14:paraId="621B02E0"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Up to 85%</w:t>
            </w:r>
          </w:p>
        </w:tc>
        <w:tc>
          <w:tcPr>
            <w:tcW w:w="547" w:type="pct"/>
            <w:vMerge w:val="restart"/>
            <w:vAlign w:val="center"/>
          </w:tcPr>
          <w:p w14:paraId="414A2F41"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8</w:t>
            </w:r>
          </w:p>
        </w:tc>
        <w:tc>
          <w:tcPr>
            <w:tcW w:w="938" w:type="pct"/>
            <w:vMerge w:val="restart"/>
            <w:vAlign w:val="center"/>
          </w:tcPr>
          <w:p w14:paraId="5603AF52"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Brain and spine MRI</w:t>
            </w:r>
          </w:p>
        </w:tc>
        <w:tc>
          <w:tcPr>
            <w:tcW w:w="547" w:type="pct"/>
            <w:vMerge w:val="restart"/>
            <w:vAlign w:val="center"/>
          </w:tcPr>
          <w:p w14:paraId="6669CD67"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2 years</w:t>
            </w:r>
          </w:p>
        </w:tc>
      </w:tr>
      <w:tr w:rsidR="0088249D" w:rsidRPr="0049394D" w14:paraId="33D9E9D1" w14:textId="77777777" w:rsidTr="00242CB1">
        <w:tc>
          <w:tcPr>
            <w:tcW w:w="935" w:type="pct"/>
            <w:vAlign w:val="center"/>
          </w:tcPr>
          <w:p w14:paraId="25668D0C"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Brainstem Hb</w:t>
            </w:r>
          </w:p>
        </w:tc>
        <w:tc>
          <w:tcPr>
            <w:tcW w:w="677" w:type="pct"/>
            <w:vAlign w:val="center"/>
          </w:tcPr>
          <w:p w14:paraId="6A3DD262" w14:textId="0897E95E"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12</w:t>
            </w:r>
            <w:r w:rsidR="00380517" w:rsidRPr="0049394D">
              <w:rPr>
                <w:rFonts w:ascii="Arial Narrow" w:hAnsi="Arial Narrow"/>
                <w:sz w:val="20"/>
                <w:szCs w:val="20"/>
              </w:rPr>
              <w:t>−</w:t>
            </w:r>
            <w:r w:rsidRPr="0049394D">
              <w:rPr>
                <w:rFonts w:ascii="Arial Narrow" w:hAnsi="Arial Narrow"/>
                <w:sz w:val="20"/>
                <w:szCs w:val="20"/>
              </w:rPr>
              <w:t>46</w:t>
            </w:r>
          </w:p>
        </w:tc>
        <w:tc>
          <w:tcPr>
            <w:tcW w:w="678" w:type="pct"/>
            <w:vAlign w:val="center"/>
          </w:tcPr>
          <w:p w14:paraId="60BCEF50"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32</w:t>
            </w:r>
          </w:p>
        </w:tc>
        <w:tc>
          <w:tcPr>
            <w:tcW w:w="678" w:type="pct"/>
            <w:vAlign w:val="center"/>
          </w:tcPr>
          <w:p w14:paraId="4B35B79D"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NR</w:t>
            </w:r>
          </w:p>
        </w:tc>
        <w:tc>
          <w:tcPr>
            <w:tcW w:w="547" w:type="pct"/>
            <w:vMerge/>
            <w:vAlign w:val="center"/>
          </w:tcPr>
          <w:p w14:paraId="66D1DCEC" w14:textId="77777777" w:rsidR="0088249D" w:rsidRPr="0049394D" w:rsidRDefault="0088249D" w:rsidP="002D695F">
            <w:pPr>
              <w:keepNext/>
              <w:jc w:val="center"/>
              <w:rPr>
                <w:rFonts w:ascii="Arial Narrow" w:hAnsi="Arial Narrow"/>
                <w:sz w:val="20"/>
                <w:szCs w:val="20"/>
              </w:rPr>
            </w:pPr>
          </w:p>
        </w:tc>
        <w:tc>
          <w:tcPr>
            <w:tcW w:w="938" w:type="pct"/>
            <w:vMerge/>
            <w:vAlign w:val="center"/>
          </w:tcPr>
          <w:p w14:paraId="1C15303D" w14:textId="77777777" w:rsidR="0088249D" w:rsidRPr="0049394D" w:rsidRDefault="0088249D" w:rsidP="002D695F">
            <w:pPr>
              <w:keepNext/>
              <w:jc w:val="center"/>
              <w:rPr>
                <w:rFonts w:ascii="Arial Narrow" w:hAnsi="Arial Narrow"/>
                <w:sz w:val="20"/>
                <w:szCs w:val="20"/>
              </w:rPr>
            </w:pPr>
          </w:p>
        </w:tc>
        <w:tc>
          <w:tcPr>
            <w:tcW w:w="547" w:type="pct"/>
            <w:vMerge/>
            <w:vAlign w:val="center"/>
          </w:tcPr>
          <w:p w14:paraId="73E85A37" w14:textId="77777777" w:rsidR="0088249D" w:rsidRPr="0049394D" w:rsidRDefault="0088249D" w:rsidP="002D695F">
            <w:pPr>
              <w:keepNext/>
              <w:jc w:val="center"/>
              <w:rPr>
                <w:rFonts w:ascii="Arial Narrow" w:hAnsi="Arial Narrow"/>
                <w:sz w:val="20"/>
                <w:szCs w:val="20"/>
              </w:rPr>
            </w:pPr>
          </w:p>
        </w:tc>
      </w:tr>
      <w:tr w:rsidR="0088249D" w:rsidRPr="0049394D" w14:paraId="24015E62" w14:textId="77777777" w:rsidTr="00242CB1">
        <w:tc>
          <w:tcPr>
            <w:tcW w:w="935" w:type="pct"/>
            <w:vAlign w:val="center"/>
          </w:tcPr>
          <w:p w14:paraId="49EBB7E3"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Spinal cord Hb</w:t>
            </w:r>
          </w:p>
        </w:tc>
        <w:tc>
          <w:tcPr>
            <w:tcW w:w="677" w:type="pct"/>
            <w:vAlign w:val="center"/>
          </w:tcPr>
          <w:p w14:paraId="72FA6BCF" w14:textId="46E0682E"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11</w:t>
            </w:r>
            <w:r w:rsidR="00380517" w:rsidRPr="0049394D">
              <w:rPr>
                <w:rFonts w:ascii="Arial Narrow" w:hAnsi="Arial Narrow"/>
                <w:sz w:val="20"/>
                <w:szCs w:val="20"/>
              </w:rPr>
              <w:t>−</w:t>
            </w:r>
            <w:r w:rsidRPr="0049394D">
              <w:rPr>
                <w:rFonts w:ascii="Arial Narrow" w:hAnsi="Arial Narrow"/>
                <w:sz w:val="20"/>
                <w:szCs w:val="20"/>
              </w:rPr>
              <w:t>66</w:t>
            </w:r>
          </w:p>
        </w:tc>
        <w:tc>
          <w:tcPr>
            <w:tcW w:w="678" w:type="pct"/>
            <w:vAlign w:val="center"/>
          </w:tcPr>
          <w:p w14:paraId="0C06D711"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33</w:t>
            </w:r>
          </w:p>
        </w:tc>
        <w:tc>
          <w:tcPr>
            <w:tcW w:w="678" w:type="pct"/>
            <w:vAlign w:val="center"/>
          </w:tcPr>
          <w:p w14:paraId="7D756C2E"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Up to 50%</w:t>
            </w:r>
          </w:p>
        </w:tc>
        <w:tc>
          <w:tcPr>
            <w:tcW w:w="547" w:type="pct"/>
            <w:vMerge/>
            <w:vAlign w:val="center"/>
          </w:tcPr>
          <w:p w14:paraId="1CC42C14" w14:textId="77777777" w:rsidR="0088249D" w:rsidRPr="0049394D" w:rsidRDefault="0088249D" w:rsidP="002D695F">
            <w:pPr>
              <w:keepNext/>
              <w:jc w:val="center"/>
              <w:rPr>
                <w:rFonts w:ascii="Arial Narrow" w:hAnsi="Arial Narrow"/>
                <w:sz w:val="20"/>
                <w:szCs w:val="20"/>
              </w:rPr>
            </w:pPr>
          </w:p>
        </w:tc>
        <w:tc>
          <w:tcPr>
            <w:tcW w:w="938" w:type="pct"/>
            <w:vMerge/>
            <w:vAlign w:val="center"/>
          </w:tcPr>
          <w:p w14:paraId="2CDBCF69" w14:textId="77777777" w:rsidR="0088249D" w:rsidRPr="0049394D" w:rsidRDefault="0088249D" w:rsidP="002D695F">
            <w:pPr>
              <w:keepNext/>
              <w:jc w:val="center"/>
              <w:rPr>
                <w:rFonts w:ascii="Arial Narrow" w:hAnsi="Arial Narrow"/>
                <w:sz w:val="20"/>
                <w:szCs w:val="20"/>
              </w:rPr>
            </w:pPr>
          </w:p>
        </w:tc>
        <w:tc>
          <w:tcPr>
            <w:tcW w:w="547" w:type="pct"/>
            <w:vMerge/>
            <w:vAlign w:val="center"/>
          </w:tcPr>
          <w:p w14:paraId="07B0C850" w14:textId="77777777" w:rsidR="0088249D" w:rsidRPr="0049394D" w:rsidRDefault="0088249D" w:rsidP="002D695F">
            <w:pPr>
              <w:keepNext/>
              <w:jc w:val="center"/>
              <w:rPr>
                <w:rFonts w:ascii="Arial Narrow" w:hAnsi="Arial Narrow"/>
                <w:sz w:val="20"/>
                <w:szCs w:val="20"/>
              </w:rPr>
            </w:pPr>
          </w:p>
        </w:tc>
      </w:tr>
      <w:tr w:rsidR="0088249D" w:rsidRPr="0049394D" w14:paraId="2D24760E" w14:textId="77777777" w:rsidTr="00242CB1">
        <w:tc>
          <w:tcPr>
            <w:tcW w:w="935" w:type="pct"/>
            <w:vAlign w:val="center"/>
          </w:tcPr>
          <w:p w14:paraId="638EADB7"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RCC or cysts</w:t>
            </w:r>
          </w:p>
        </w:tc>
        <w:tc>
          <w:tcPr>
            <w:tcW w:w="677" w:type="pct"/>
            <w:vAlign w:val="center"/>
          </w:tcPr>
          <w:p w14:paraId="73AB36B2" w14:textId="2A098CEC"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13</w:t>
            </w:r>
            <w:r w:rsidR="00380517" w:rsidRPr="0049394D">
              <w:rPr>
                <w:rFonts w:ascii="Arial Narrow" w:hAnsi="Arial Narrow"/>
                <w:sz w:val="20"/>
                <w:szCs w:val="20"/>
              </w:rPr>
              <w:t>−</w:t>
            </w:r>
            <w:r w:rsidRPr="0049394D">
              <w:rPr>
                <w:rFonts w:ascii="Arial Narrow" w:hAnsi="Arial Narrow"/>
                <w:sz w:val="20"/>
                <w:szCs w:val="20"/>
              </w:rPr>
              <w:t>70</w:t>
            </w:r>
          </w:p>
        </w:tc>
        <w:tc>
          <w:tcPr>
            <w:tcW w:w="678" w:type="pct"/>
            <w:vAlign w:val="center"/>
          </w:tcPr>
          <w:p w14:paraId="0A5E361D" w14:textId="4B6FF5E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39</w:t>
            </w:r>
            <w:r w:rsidR="00380517" w:rsidRPr="0049394D">
              <w:rPr>
                <w:rFonts w:ascii="Arial Narrow" w:hAnsi="Arial Narrow"/>
                <w:sz w:val="20"/>
                <w:szCs w:val="20"/>
              </w:rPr>
              <w:t>−</w:t>
            </w:r>
            <w:r w:rsidRPr="0049394D">
              <w:rPr>
                <w:rFonts w:ascii="Arial Narrow" w:hAnsi="Arial Narrow"/>
                <w:sz w:val="20"/>
                <w:szCs w:val="20"/>
              </w:rPr>
              <w:t>40</w:t>
            </w:r>
          </w:p>
        </w:tc>
        <w:tc>
          <w:tcPr>
            <w:tcW w:w="678" w:type="pct"/>
            <w:vAlign w:val="center"/>
          </w:tcPr>
          <w:p w14:paraId="5B4EBC4B"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Up to 80%</w:t>
            </w:r>
          </w:p>
        </w:tc>
        <w:tc>
          <w:tcPr>
            <w:tcW w:w="547" w:type="pct"/>
            <w:vMerge w:val="restart"/>
            <w:vAlign w:val="center"/>
          </w:tcPr>
          <w:p w14:paraId="769A6734"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10</w:t>
            </w:r>
          </w:p>
        </w:tc>
        <w:tc>
          <w:tcPr>
            <w:tcW w:w="938" w:type="pct"/>
            <w:vMerge w:val="restart"/>
            <w:vAlign w:val="center"/>
          </w:tcPr>
          <w:p w14:paraId="1C762D8E"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Abdominal MRI alternating with abdominal ultrasound</w:t>
            </w:r>
          </w:p>
        </w:tc>
        <w:tc>
          <w:tcPr>
            <w:tcW w:w="547" w:type="pct"/>
            <w:vMerge w:val="restart"/>
            <w:vAlign w:val="center"/>
          </w:tcPr>
          <w:p w14:paraId="7CBE5735"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Annual</w:t>
            </w:r>
          </w:p>
        </w:tc>
      </w:tr>
      <w:tr w:rsidR="0088249D" w:rsidRPr="0049394D" w14:paraId="4482F245" w14:textId="77777777" w:rsidTr="00242CB1">
        <w:tc>
          <w:tcPr>
            <w:tcW w:w="935" w:type="pct"/>
            <w:vAlign w:val="center"/>
          </w:tcPr>
          <w:p w14:paraId="6AD1BCD8"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pNET or pancreatic cyst</w:t>
            </w:r>
          </w:p>
        </w:tc>
        <w:tc>
          <w:tcPr>
            <w:tcW w:w="677" w:type="pct"/>
            <w:vAlign w:val="center"/>
          </w:tcPr>
          <w:p w14:paraId="0B46886F" w14:textId="2139734A"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5</w:t>
            </w:r>
            <w:r w:rsidR="00380517" w:rsidRPr="0049394D">
              <w:rPr>
                <w:rFonts w:ascii="Arial Narrow" w:hAnsi="Arial Narrow"/>
                <w:sz w:val="20"/>
                <w:szCs w:val="20"/>
              </w:rPr>
              <w:t>−</w:t>
            </w:r>
            <w:r w:rsidRPr="0049394D">
              <w:rPr>
                <w:rFonts w:ascii="Arial Narrow" w:hAnsi="Arial Narrow"/>
                <w:sz w:val="20"/>
                <w:szCs w:val="20"/>
              </w:rPr>
              <w:t>70</w:t>
            </w:r>
          </w:p>
        </w:tc>
        <w:tc>
          <w:tcPr>
            <w:tcW w:w="678" w:type="pct"/>
            <w:vAlign w:val="center"/>
          </w:tcPr>
          <w:p w14:paraId="2BECB569" w14:textId="3408A59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35</w:t>
            </w:r>
            <w:r w:rsidR="00380517" w:rsidRPr="0049394D">
              <w:rPr>
                <w:rFonts w:ascii="Arial Narrow" w:hAnsi="Arial Narrow"/>
                <w:sz w:val="20"/>
                <w:szCs w:val="20"/>
              </w:rPr>
              <w:t>−</w:t>
            </w:r>
            <w:r w:rsidRPr="0049394D">
              <w:rPr>
                <w:rFonts w:ascii="Arial Narrow" w:hAnsi="Arial Narrow"/>
                <w:sz w:val="20"/>
                <w:szCs w:val="20"/>
              </w:rPr>
              <w:t>36</w:t>
            </w:r>
          </w:p>
        </w:tc>
        <w:tc>
          <w:tcPr>
            <w:tcW w:w="678" w:type="pct"/>
            <w:vAlign w:val="center"/>
          </w:tcPr>
          <w:p w14:paraId="32F841A1" w14:textId="77777777" w:rsidR="0088249D" w:rsidRPr="0049394D" w:rsidRDefault="0088249D" w:rsidP="002D695F">
            <w:pPr>
              <w:keepNext/>
              <w:jc w:val="center"/>
              <w:rPr>
                <w:rFonts w:ascii="Arial Narrow" w:hAnsi="Arial Narrow"/>
                <w:sz w:val="20"/>
                <w:szCs w:val="20"/>
              </w:rPr>
            </w:pPr>
            <w:r w:rsidRPr="0049394D">
              <w:rPr>
                <w:rFonts w:ascii="Arial Narrow" w:hAnsi="Arial Narrow"/>
                <w:sz w:val="20"/>
                <w:szCs w:val="20"/>
              </w:rPr>
              <w:t>Up to 75%</w:t>
            </w:r>
          </w:p>
        </w:tc>
        <w:tc>
          <w:tcPr>
            <w:tcW w:w="547" w:type="pct"/>
            <w:vMerge/>
            <w:vAlign w:val="center"/>
          </w:tcPr>
          <w:p w14:paraId="78FA9813" w14:textId="77777777" w:rsidR="0088249D" w:rsidRPr="0049394D" w:rsidRDefault="0088249D" w:rsidP="002D695F">
            <w:pPr>
              <w:keepNext/>
              <w:jc w:val="center"/>
              <w:rPr>
                <w:rFonts w:ascii="Arial Narrow" w:hAnsi="Arial Narrow"/>
                <w:sz w:val="20"/>
                <w:szCs w:val="20"/>
              </w:rPr>
            </w:pPr>
          </w:p>
        </w:tc>
        <w:tc>
          <w:tcPr>
            <w:tcW w:w="938" w:type="pct"/>
            <w:vMerge/>
            <w:vAlign w:val="center"/>
          </w:tcPr>
          <w:p w14:paraId="40A901E5" w14:textId="77777777" w:rsidR="0088249D" w:rsidRPr="0049394D" w:rsidRDefault="0088249D" w:rsidP="002D695F">
            <w:pPr>
              <w:keepNext/>
              <w:jc w:val="center"/>
              <w:rPr>
                <w:rFonts w:ascii="Arial Narrow" w:hAnsi="Arial Narrow"/>
                <w:sz w:val="20"/>
                <w:szCs w:val="20"/>
              </w:rPr>
            </w:pPr>
          </w:p>
        </w:tc>
        <w:tc>
          <w:tcPr>
            <w:tcW w:w="547" w:type="pct"/>
            <w:vMerge/>
            <w:vAlign w:val="center"/>
          </w:tcPr>
          <w:p w14:paraId="2EBA84BC" w14:textId="77777777" w:rsidR="0088249D" w:rsidRPr="0049394D" w:rsidRDefault="0088249D" w:rsidP="002D695F">
            <w:pPr>
              <w:keepNext/>
              <w:jc w:val="center"/>
              <w:rPr>
                <w:rFonts w:ascii="Arial Narrow" w:hAnsi="Arial Narrow"/>
                <w:sz w:val="20"/>
                <w:szCs w:val="20"/>
              </w:rPr>
            </w:pPr>
          </w:p>
        </w:tc>
      </w:tr>
    </w:tbl>
    <w:p w14:paraId="6E950FF7" w14:textId="064DA4B5" w:rsidR="0088249D" w:rsidRPr="0049394D" w:rsidRDefault="0088249D" w:rsidP="002D695F">
      <w:pPr>
        <w:pStyle w:val="ListBullet"/>
        <w:keepNext/>
        <w:numPr>
          <w:ilvl w:val="0"/>
          <w:numId w:val="0"/>
        </w:numPr>
        <w:rPr>
          <w:rFonts w:ascii="Arial Narrow" w:hAnsi="Arial Narrow"/>
          <w:sz w:val="18"/>
          <w:szCs w:val="18"/>
        </w:rPr>
      </w:pPr>
      <w:r w:rsidRPr="0049394D">
        <w:rPr>
          <w:rFonts w:ascii="Arial Narrow" w:hAnsi="Arial Narrow"/>
          <w:sz w:val="18"/>
          <w:szCs w:val="18"/>
        </w:rPr>
        <w:t xml:space="preserve">Source: </w:t>
      </w:r>
      <w:r w:rsidRPr="0049394D">
        <w:rPr>
          <w:rFonts w:ascii="Arial Narrow" w:hAnsi="Arial Narrow"/>
          <w:sz w:val="18"/>
          <w:szCs w:val="18"/>
          <w:vertAlign w:val="superscript"/>
        </w:rPr>
        <w:t>a</w:t>
      </w:r>
      <w:r w:rsidRPr="0049394D">
        <w:rPr>
          <w:rFonts w:ascii="Arial Narrow" w:hAnsi="Arial Narrow"/>
          <w:sz w:val="18"/>
          <w:szCs w:val="18"/>
        </w:rPr>
        <w:t xml:space="preserve">Table 3, Nielsen 2016; </w:t>
      </w:r>
      <w:r w:rsidRPr="0049394D">
        <w:rPr>
          <w:rFonts w:ascii="Arial Narrow" w:hAnsi="Arial Narrow"/>
          <w:sz w:val="18"/>
          <w:szCs w:val="18"/>
          <w:vertAlign w:val="superscript"/>
        </w:rPr>
        <w:t>b</w:t>
      </w:r>
      <w:r w:rsidRPr="0049394D">
        <w:rPr>
          <w:rFonts w:ascii="Arial Narrow" w:hAnsi="Arial Narrow"/>
          <w:sz w:val="18"/>
          <w:szCs w:val="18"/>
        </w:rPr>
        <w:t xml:space="preserve">https://www.eviq.org.au/cancer-genetics/adult/risk-management/397-vhl-von-hippel-lindau-disease-risk-managem; Table 1.2-1 of the submission; </w:t>
      </w:r>
      <w:hyperlink r:id="rId8" w:history="1">
        <w:r w:rsidR="00D07157" w:rsidRPr="0049394D">
          <w:rPr>
            <w:rStyle w:val="Hyperlink"/>
            <w:rFonts w:ascii="Arial Narrow" w:hAnsi="Arial Narrow"/>
            <w:sz w:val="18"/>
            <w:szCs w:val="18"/>
          </w:rPr>
          <w:t>https://www.eviq.org.au/cancer-genetics/consumer-information/3444-facts-for-people-and-families-with-von-hippel</w:t>
        </w:r>
      </w:hyperlink>
      <w:r w:rsidR="00D07157" w:rsidRPr="0049394D">
        <w:rPr>
          <w:rFonts w:ascii="Arial Narrow" w:hAnsi="Arial Narrow"/>
          <w:sz w:val="18"/>
          <w:szCs w:val="18"/>
        </w:rPr>
        <w:t xml:space="preserve">; and compiled </w:t>
      </w:r>
      <w:r w:rsidRPr="0049394D">
        <w:rPr>
          <w:rFonts w:ascii="Arial Narrow" w:hAnsi="Arial Narrow"/>
          <w:sz w:val="18"/>
          <w:szCs w:val="18"/>
        </w:rPr>
        <w:t>during the evaluation</w:t>
      </w:r>
      <w:r w:rsidR="00380517" w:rsidRPr="0049394D">
        <w:rPr>
          <w:rFonts w:ascii="Arial Narrow" w:hAnsi="Arial Narrow"/>
          <w:sz w:val="18"/>
          <w:szCs w:val="18"/>
        </w:rPr>
        <w:t>.</w:t>
      </w:r>
    </w:p>
    <w:p w14:paraId="67925AD5" w14:textId="03E2C2FD" w:rsidR="0088249D" w:rsidRPr="0049394D" w:rsidRDefault="0088249D" w:rsidP="002D695F">
      <w:pPr>
        <w:keepNext/>
        <w:rPr>
          <w:rFonts w:ascii="Arial Narrow" w:hAnsi="Arial Narrow"/>
          <w:sz w:val="18"/>
          <w:szCs w:val="18"/>
        </w:rPr>
      </w:pPr>
      <w:r w:rsidRPr="0049394D">
        <w:rPr>
          <w:rFonts w:ascii="Arial Narrow" w:hAnsi="Arial Narrow"/>
          <w:sz w:val="18"/>
          <w:szCs w:val="18"/>
        </w:rPr>
        <w:t>Hb=h</w:t>
      </w:r>
      <w:r w:rsidR="006248C6">
        <w:rPr>
          <w:rFonts w:ascii="Arial Narrow" w:hAnsi="Arial Narrow"/>
          <w:sz w:val="18"/>
          <w:szCs w:val="18"/>
        </w:rPr>
        <w:t>a</w:t>
      </w:r>
      <w:r w:rsidRPr="0049394D">
        <w:rPr>
          <w:rFonts w:ascii="Arial Narrow" w:hAnsi="Arial Narrow"/>
          <w:sz w:val="18"/>
          <w:szCs w:val="18"/>
        </w:rPr>
        <w:t>emangioblastoma; MRI=Magnetic resonance imaging; pNET=Pancreatic neuroendocrine tumour; RCC=renal cell carcinoma; VHL=Von Hippel-Lindau.</w:t>
      </w:r>
    </w:p>
    <w:p w14:paraId="74B390FE" w14:textId="77777777" w:rsidR="0088249D" w:rsidRPr="0049394D" w:rsidRDefault="0088249D" w:rsidP="002D695F">
      <w:pPr>
        <w:pStyle w:val="ListBullet"/>
        <w:keepNext/>
        <w:numPr>
          <w:ilvl w:val="0"/>
          <w:numId w:val="0"/>
        </w:numPr>
        <w:rPr>
          <w:rFonts w:ascii="Arial Narrow" w:hAnsi="Arial Narrow"/>
          <w:sz w:val="18"/>
          <w:szCs w:val="18"/>
        </w:rPr>
      </w:pPr>
      <w:r w:rsidRPr="0049394D">
        <w:rPr>
          <w:rFonts w:ascii="Arial Narrow" w:hAnsi="Arial Narrow"/>
          <w:sz w:val="18"/>
          <w:szCs w:val="18"/>
        </w:rPr>
        <w:t>* Includes the 20 percent of lesions that occur outside the adrenal gland, also called paragangliomas.</w:t>
      </w:r>
    </w:p>
    <w:p w14:paraId="27CE4488" w14:textId="5A1387A9" w:rsidR="0088249D" w:rsidRPr="0049394D" w:rsidRDefault="0088249D" w:rsidP="002D695F">
      <w:pPr>
        <w:pStyle w:val="3-BodyText"/>
        <w:keepNext/>
        <w:numPr>
          <w:ilvl w:val="0"/>
          <w:numId w:val="0"/>
        </w:numPr>
        <w:ind w:left="720" w:hanging="720"/>
        <w:rPr>
          <w:rFonts w:ascii="Arial Narrow" w:hAnsi="Arial Narrow"/>
          <w:sz w:val="18"/>
          <w:szCs w:val="18"/>
        </w:rPr>
      </w:pPr>
      <w:r w:rsidRPr="0049394D">
        <w:rPr>
          <w:rFonts w:ascii="Arial Narrow" w:hAnsi="Arial Narrow"/>
          <w:sz w:val="18"/>
          <w:szCs w:val="18"/>
        </w:rPr>
        <w:t>^ Frequency of ph</w:t>
      </w:r>
      <w:r w:rsidR="006248C6">
        <w:rPr>
          <w:rFonts w:ascii="Arial Narrow" w:hAnsi="Arial Narrow"/>
          <w:sz w:val="18"/>
          <w:szCs w:val="18"/>
        </w:rPr>
        <w:t>a</w:t>
      </w:r>
      <w:r w:rsidRPr="0049394D">
        <w:rPr>
          <w:rFonts w:ascii="Arial Narrow" w:hAnsi="Arial Narrow"/>
          <w:sz w:val="18"/>
          <w:szCs w:val="18"/>
        </w:rPr>
        <w:t>eochromocytoma varies widely depending on genotype.</w:t>
      </w:r>
    </w:p>
    <w:p w14:paraId="2F27CA62" w14:textId="3013DD12" w:rsidR="0088249D" w:rsidRPr="0049394D" w:rsidRDefault="0088249D" w:rsidP="0088249D">
      <w:pPr>
        <w:pStyle w:val="3-BodyText"/>
      </w:pPr>
      <w:r w:rsidRPr="0049394D">
        <w:t xml:space="preserve">People living with VHL disease have significant disease burden. The </w:t>
      </w:r>
      <w:r w:rsidR="00CE469D" w:rsidRPr="0049394D">
        <w:t>submission</w:t>
      </w:r>
      <w:r w:rsidRPr="0049394D">
        <w:t xml:space="preserve"> presented qualitative evidence on the patient experience in Australia, consisting of </w:t>
      </w:r>
      <w:r w:rsidR="009D0783" w:rsidRPr="0049394D">
        <w:t xml:space="preserve">13 </w:t>
      </w:r>
      <w:r w:rsidRPr="0049394D">
        <w:t xml:space="preserve">one-on-one interviews (12 patients and one carer) and one patient input forum, conducted between October and November 2023 in </w:t>
      </w:r>
      <w:r w:rsidR="00924A94" w:rsidRPr="0049394D">
        <w:t>p</w:t>
      </w:r>
      <w:r w:rsidRPr="0049394D">
        <w:t xml:space="preserve">atients aged from 27 to 75 years living across metropolitan and regional areas of Australia. They were diagnosed with VHL between the ages of 1 and 39 years and experienced their first manifestation of the disease between 4 and 26 years old. Ten of the 12 patients were currently living </w:t>
      </w:r>
      <w:r w:rsidRPr="0049394D">
        <w:lastRenderedPageBreak/>
        <w:t xml:space="preserve">with actively growing tumours, requiring surgical removal if their growth was not halted or slowed. </w:t>
      </w:r>
      <w:r w:rsidRPr="0049394D">
        <w:fldChar w:fldCharType="begin" w:fldLock="1"/>
      </w:r>
      <w:r w:rsidRPr="0049394D">
        <w:instrText xml:space="preserve"> REF _Ref166441122 \h </w:instrText>
      </w:r>
      <w:r w:rsidRPr="0049394D">
        <w:fldChar w:fldCharType="separate"/>
      </w:r>
      <w:r w:rsidR="00437B51" w:rsidRPr="0049394D">
        <w:t xml:space="preserve">Table </w:t>
      </w:r>
      <w:r w:rsidR="00437B51">
        <w:rPr>
          <w:noProof/>
        </w:rPr>
        <w:t>3</w:t>
      </w:r>
      <w:r w:rsidRPr="0049394D">
        <w:fldChar w:fldCharType="end"/>
      </w:r>
      <w:r w:rsidRPr="0049394D">
        <w:t xml:space="preserve"> summarises the main patient experience themes identified, highlighting the significant disease burden on patients, family and carers.</w:t>
      </w:r>
    </w:p>
    <w:p w14:paraId="248BD530" w14:textId="21AF0BFC" w:rsidR="0088249D" w:rsidRPr="0049394D" w:rsidRDefault="0088249D" w:rsidP="00A85E1A">
      <w:pPr>
        <w:pStyle w:val="Caption"/>
      </w:pPr>
      <w:bookmarkStart w:id="23" w:name="_Ref166441122"/>
      <w:r w:rsidRPr="0049394D">
        <w:t xml:space="preserve">Table </w:t>
      </w:r>
      <w:r>
        <w:fldChar w:fldCharType="begin" w:fldLock="1"/>
      </w:r>
      <w:r>
        <w:instrText xml:space="preserve"> SEQ Table \* ARABIC </w:instrText>
      </w:r>
      <w:r>
        <w:fldChar w:fldCharType="separate"/>
      </w:r>
      <w:r w:rsidR="00437B51">
        <w:rPr>
          <w:noProof/>
        </w:rPr>
        <w:t>3</w:t>
      </w:r>
      <w:r>
        <w:rPr>
          <w:noProof/>
        </w:rPr>
        <w:fldChar w:fldCharType="end"/>
      </w:r>
      <w:bookmarkEnd w:id="23"/>
      <w:r w:rsidRPr="0049394D">
        <w:t>: Patient experience themes and representative quotations</w:t>
      </w:r>
    </w:p>
    <w:tbl>
      <w:tblPr>
        <w:tblStyle w:val="TableGrid"/>
        <w:tblW w:w="0" w:type="auto"/>
        <w:tblCellMar>
          <w:left w:w="28" w:type="dxa"/>
          <w:right w:w="28" w:type="dxa"/>
        </w:tblCellMar>
        <w:tblLook w:val="04A0" w:firstRow="1" w:lastRow="0" w:firstColumn="1" w:lastColumn="0" w:noHBand="0" w:noVBand="1"/>
        <w:tblCaption w:val="Table 3: Patient experience themes and representative quotations"/>
      </w:tblPr>
      <w:tblGrid>
        <w:gridCol w:w="3681"/>
        <w:gridCol w:w="5335"/>
      </w:tblGrid>
      <w:tr w:rsidR="0088249D" w:rsidRPr="0049394D" w14:paraId="63731095" w14:textId="77777777" w:rsidTr="00242CB1">
        <w:tc>
          <w:tcPr>
            <w:tcW w:w="3681" w:type="dxa"/>
            <w:vAlign w:val="center"/>
          </w:tcPr>
          <w:p w14:paraId="237E6622" w14:textId="77777777" w:rsidR="0088249D" w:rsidRPr="0049394D" w:rsidRDefault="0088249D" w:rsidP="00A85E1A">
            <w:pPr>
              <w:keepNext/>
              <w:jc w:val="left"/>
              <w:rPr>
                <w:rFonts w:ascii="Arial Narrow" w:hAnsi="Arial Narrow"/>
                <w:b/>
                <w:sz w:val="20"/>
                <w:szCs w:val="20"/>
              </w:rPr>
            </w:pPr>
            <w:r w:rsidRPr="0049394D">
              <w:rPr>
                <w:rFonts w:ascii="Arial Narrow" w:hAnsi="Arial Narrow"/>
                <w:b/>
                <w:sz w:val="20"/>
                <w:szCs w:val="20"/>
              </w:rPr>
              <w:t>Theme</w:t>
            </w:r>
          </w:p>
        </w:tc>
        <w:tc>
          <w:tcPr>
            <w:tcW w:w="5335" w:type="dxa"/>
            <w:vAlign w:val="center"/>
          </w:tcPr>
          <w:p w14:paraId="4320FC12" w14:textId="77777777" w:rsidR="0088249D" w:rsidRPr="0049394D" w:rsidRDefault="0088249D" w:rsidP="00A85E1A">
            <w:pPr>
              <w:keepNext/>
              <w:jc w:val="left"/>
              <w:rPr>
                <w:rFonts w:ascii="Arial Narrow" w:hAnsi="Arial Narrow"/>
                <w:b/>
                <w:sz w:val="20"/>
                <w:szCs w:val="20"/>
              </w:rPr>
            </w:pPr>
            <w:r w:rsidRPr="0049394D">
              <w:rPr>
                <w:rFonts w:ascii="Arial Narrow" w:hAnsi="Arial Narrow"/>
                <w:b/>
                <w:sz w:val="20"/>
                <w:szCs w:val="20"/>
              </w:rPr>
              <w:t>Example of a representative quotation</w:t>
            </w:r>
          </w:p>
        </w:tc>
      </w:tr>
      <w:tr w:rsidR="0088249D" w:rsidRPr="0049394D" w14:paraId="7F6AE867" w14:textId="77777777" w:rsidTr="00242CB1">
        <w:tc>
          <w:tcPr>
            <w:tcW w:w="3681" w:type="dxa"/>
            <w:vAlign w:val="center"/>
          </w:tcPr>
          <w:p w14:paraId="5050205C"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Impact of repeated surgery</w:t>
            </w:r>
          </w:p>
        </w:tc>
        <w:tc>
          <w:tcPr>
            <w:tcW w:w="5335" w:type="dxa"/>
            <w:vAlign w:val="center"/>
          </w:tcPr>
          <w:p w14:paraId="2CF64968"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“My son has had four major surgeries, brain and spine, and each time we’re prepared that he may not survive. We’ve signed the advanced health directive, we’ve done all that, and literally said goodbye to him, at 14 years of age.” (Mother/Carer of Patient 6)</w:t>
            </w:r>
          </w:p>
        </w:tc>
      </w:tr>
      <w:tr w:rsidR="0088249D" w:rsidRPr="0049394D" w14:paraId="5BD90986" w14:textId="77777777" w:rsidTr="00242CB1">
        <w:tc>
          <w:tcPr>
            <w:tcW w:w="3681" w:type="dxa"/>
            <w:vAlign w:val="center"/>
          </w:tcPr>
          <w:p w14:paraId="4362BE84"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Lack of care coordination for disease management that requires multiple appointments with different specialists</w:t>
            </w:r>
          </w:p>
        </w:tc>
        <w:tc>
          <w:tcPr>
            <w:tcW w:w="5335" w:type="dxa"/>
            <w:vAlign w:val="center"/>
          </w:tcPr>
          <w:p w14:paraId="3E33949C"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“Ophthalmology, I’m on three to six-monthly (appointments). MRIs are six-monthly of the brain and spine. Abdominal is usually 12 monthly and MRIs as well...I have to have bone scans yearly” (Patient 1, aged 37)</w:t>
            </w:r>
          </w:p>
        </w:tc>
      </w:tr>
      <w:tr w:rsidR="0088249D" w:rsidRPr="0049394D" w14:paraId="770B99F6" w14:textId="77777777" w:rsidTr="00242CB1">
        <w:tc>
          <w:tcPr>
            <w:tcW w:w="3681" w:type="dxa"/>
            <w:vAlign w:val="center"/>
          </w:tcPr>
          <w:p w14:paraId="304F4641"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Mental burden on patients, carers and family</w:t>
            </w:r>
          </w:p>
        </w:tc>
        <w:tc>
          <w:tcPr>
            <w:tcW w:w="5335" w:type="dxa"/>
            <w:vAlign w:val="center"/>
          </w:tcPr>
          <w:p w14:paraId="6C46E6A8"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“I’ve gone from a ten-year gap (between tumours) to a three-year gap to a year gap to six months…Is it just going to keep at me and eventually just get me? It’s not my first rodeo, I’ve had eight of them. Do I have the fortitude in me to do another eight?” (Patient 9, aged 43)</w:t>
            </w:r>
          </w:p>
        </w:tc>
      </w:tr>
      <w:tr w:rsidR="0088249D" w:rsidRPr="0049394D" w14:paraId="2C10F382" w14:textId="77777777" w:rsidTr="00242CB1">
        <w:tc>
          <w:tcPr>
            <w:tcW w:w="3681" w:type="dxa"/>
            <w:vAlign w:val="center"/>
          </w:tcPr>
          <w:p w14:paraId="131E77F8"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Physical burden of multiple disabilities the disease and surgeries leave patients with</w:t>
            </w:r>
          </w:p>
        </w:tc>
        <w:tc>
          <w:tcPr>
            <w:tcW w:w="5335" w:type="dxa"/>
            <w:vAlign w:val="center"/>
          </w:tcPr>
          <w:p w14:paraId="12ED137A"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“It is frustrating letting the wife do the cooking, look after me, do the housework…I used to like doing a bit of cooking back in the two thousands but since becoming a paraplegic, I haven't been able to do that.” (Patient 10, aged 53)</w:t>
            </w:r>
          </w:p>
        </w:tc>
      </w:tr>
      <w:tr w:rsidR="0088249D" w:rsidRPr="0049394D" w14:paraId="414EE6CD" w14:textId="77777777" w:rsidTr="00242CB1">
        <w:tc>
          <w:tcPr>
            <w:tcW w:w="3681" w:type="dxa"/>
            <w:vAlign w:val="center"/>
          </w:tcPr>
          <w:p w14:paraId="215A80F2" w14:textId="1932C62A"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 xml:space="preserve">Financial and career impact from </w:t>
            </w:r>
            <w:r w:rsidR="00465819" w:rsidRPr="0049394D">
              <w:rPr>
                <w:rFonts w:ascii="Arial Narrow" w:hAnsi="Arial Narrow"/>
                <w:sz w:val="20"/>
                <w:szCs w:val="20"/>
              </w:rPr>
              <w:t>out-of-pocket</w:t>
            </w:r>
            <w:r w:rsidRPr="0049394D">
              <w:rPr>
                <w:rFonts w:ascii="Arial Narrow" w:hAnsi="Arial Narrow"/>
                <w:sz w:val="20"/>
                <w:szCs w:val="20"/>
              </w:rPr>
              <w:t xml:space="preserve"> costs and the time burden associated with attending regular monitoring</w:t>
            </w:r>
          </w:p>
        </w:tc>
        <w:tc>
          <w:tcPr>
            <w:tcW w:w="5335" w:type="dxa"/>
            <w:vAlign w:val="center"/>
          </w:tcPr>
          <w:p w14:paraId="281178AA"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“I did use some unpaid leave. I basically went through all of my sick leave…By the time I had the surgeries, I just used long service and unpaid leave… that was definitely stressful.” (Patient 12, aged 33)</w:t>
            </w:r>
          </w:p>
        </w:tc>
      </w:tr>
      <w:tr w:rsidR="0088249D" w:rsidRPr="0049394D" w14:paraId="4CCE509C" w14:textId="77777777" w:rsidTr="00242CB1">
        <w:tc>
          <w:tcPr>
            <w:tcW w:w="3681" w:type="dxa"/>
            <w:vAlign w:val="center"/>
          </w:tcPr>
          <w:p w14:paraId="0AF92689"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Reduced sense of purpose from a VHL-associated inability to participate in activities that once brought joy and identity</w:t>
            </w:r>
          </w:p>
        </w:tc>
        <w:tc>
          <w:tcPr>
            <w:tcW w:w="5335" w:type="dxa"/>
            <w:vAlign w:val="center"/>
          </w:tcPr>
          <w:p w14:paraId="13480401"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“During all these surgeries, I lost my confidence. I lost my ability to plan. For a carpenter not to be able to plan is very, very hard…” (Patient 7, aged 74)</w:t>
            </w:r>
          </w:p>
        </w:tc>
      </w:tr>
      <w:tr w:rsidR="0088249D" w:rsidRPr="0049394D" w14:paraId="3941504D" w14:textId="77777777" w:rsidTr="00242CB1">
        <w:tc>
          <w:tcPr>
            <w:tcW w:w="3681" w:type="dxa"/>
            <w:vAlign w:val="center"/>
          </w:tcPr>
          <w:p w14:paraId="21F75DFF"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Family trauma and impact on family planning</w:t>
            </w:r>
          </w:p>
        </w:tc>
        <w:tc>
          <w:tcPr>
            <w:tcW w:w="5335" w:type="dxa"/>
            <w:vAlign w:val="center"/>
          </w:tcPr>
          <w:p w14:paraId="29DDB3A3" w14:textId="77777777" w:rsidR="0088249D" w:rsidRPr="0049394D" w:rsidRDefault="0088249D" w:rsidP="00A85E1A">
            <w:pPr>
              <w:keepNext/>
              <w:jc w:val="left"/>
              <w:rPr>
                <w:rFonts w:ascii="Arial Narrow" w:hAnsi="Arial Narrow"/>
                <w:sz w:val="20"/>
                <w:szCs w:val="20"/>
              </w:rPr>
            </w:pPr>
            <w:r w:rsidRPr="0049394D">
              <w:rPr>
                <w:rFonts w:ascii="Arial Narrow" w:hAnsi="Arial Narrow"/>
                <w:sz w:val="20"/>
                <w:szCs w:val="20"/>
              </w:rPr>
              <w:t>“I’d like kids, but at the same time, I don't know if I want to put those kids through the stress. I'd do IVF and do it properly, but they've still got the stress of me potentially dying…” (Patient 6, aged 27)</w:t>
            </w:r>
          </w:p>
        </w:tc>
      </w:tr>
    </w:tbl>
    <w:p w14:paraId="19B27CE1" w14:textId="77777777" w:rsidR="0088249D" w:rsidRPr="0049394D" w:rsidRDefault="0088249D" w:rsidP="00A85E1A">
      <w:pPr>
        <w:pStyle w:val="3-BodyText"/>
        <w:keepNext/>
        <w:numPr>
          <w:ilvl w:val="0"/>
          <w:numId w:val="0"/>
        </w:numPr>
        <w:ind w:left="720" w:hanging="720"/>
        <w:rPr>
          <w:rFonts w:ascii="Arial Narrow" w:hAnsi="Arial Narrow"/>
          <w:sz w:val="18"/>
          <w:szCs w:val="18"/>
        </w:rPr>
      </w:pPr>
      <w:r w:rsidRPr="0049394D">
        <w:rPr>
          <w:rFonts w:ascii="Arial Narrow" w:hAnsi="Arial Narrow"/>
          <w:sz w:val="18"/>
          <w:szCs w:val="18"/>
        </w:rPr>
        <w:t xml:space="preserve">Source: </w:t>
      </w:r>
      <w:r w:rsidRPr="0049394D">
        <w:rPr>
          <w:rFonts w:ascii="Arial Narrow" w:hAnsi="Arial Narrow"/>
          <w:sz w:val="20"/>
          <w:szCs w:val="20"/>
        </w:rPr>
        <w:t>pp255-271 of the submission.</w:t>
      </w:r>
    </w:p>
    <w:p w14:paraId="6F6D9495" w14:textId="053EF936" w:rsidR="0088249D" w:rsidRPr="0049394D" w:rsidRDefault="0088249D" w:rsidP="0088249D">
      <w:pPr>
        <w:pStyle w:val="3-BodyText"/>
      </w:pPr>
      <w:r w:rsidRPr="0049394D">
        <w:t xml:space="preserve">The qualitative evidence was not reported according to the Consolidated </w:t>
      </w:r>
      <w:r w:rsidR="00EC46C1" w:rsidRPr="0049394D">
        <w:t>C</w:t>
      </w:r>
      <w:r w:rsidRPr="0049394D">
        <w:t xml:space="preserve">riteria for </w:t>
      </w:r>
      <w:r w:rsidR="00EC46C1" w:rsidRPr="0049394D">
        <w:t>R</w:t>
      </w:r>
      <w:r w:rsidRPr="0049394D">
        <w:t xml:space="preserve">eporting </w:t>
      </w:r>
      <w:r w:rsidR="00EC46C1" w:rsidRPr="0049394D">
        <w:t>Q</w:t>
      </w:r>
      <w:r w:rsidRPr="0049394D">
        <w:t xml:space="preserve">ualitative </w:t>
      </w:r>
      <w:r w:rsidR="00EC46C1" w:rsidRPr="0049394D">
        <w:t>R</w:t>
      </w:r>
      <w:r w:rsidRPr="0049394D">
        <w:t>esearch (COREQ) checklist</w:t>
      </w:r>
      <w:r w:rsidR="00DD1674" w:rsidRPr="0049394D">
        <w:rPr>
          <w:rStyle w:val="FootnoteReference"/>
        </w:rPr>
        <w:footnoteReference w:id="6"/>
      </w:r>
      <w:r w:rsidRPr="0049394D">
        <w:t xml:space="preserve">. As such, </w:t>
      </w:r>
      <w:r w:rsidR="00EC46C1" w:rsidRPr="00BF3570">
        <w:rPr>
          <w:iCs/>
        </w:rPr>
        <w:t>the evaluation considered that</w:t>
      </w:r>
      <w:r w:rsidR="00EC46C1" w:rsidRPr="0049394D">
        <w:t xml:space="preserve"> </w:t>
      </w:r>
      <w:r w:rsidRPr="0049394D">
        <w:t xml:space="preserve">there were elements of the research that were unclear, such as the research team and reflexivity, the sampling and recruitment, and how the data were analysed and themes derived. Many of the themes identified were consistent with the objectives described </w:t>
      </w:r>
      <w:r w:rsidR="00234E6C">
        <w:t>i</w:t>
      </w:r>
      <w:r w:rsidR="00234E6C" w:rsidRPr="0049394D">
        <w:t xml:space="preserve">n </w:t>
      </w:r>
      <w:r w:rsidRPr="0049394D">
        <w:t>the thematic analysis report. It was unclear if this was leading or if there were other potential themes that were not identified or given the chance to be identified. However, a similar qualitative study of lived experience and unmet needs of families affected by VHL</w:t>
      </w:r>
      <w:r w:rsidR="00FE6BE4" w:rsidRPr="0049394D">
        <w:t xml:space="preserve"> (</w:t>
      </w:r>
      <w:r w:rsidRPr="0049394D">
        <w:t>Kasparian et al.</w:t>
      </w:r>
      <w:r w:rsidR="00FE6BE4" w:rsidRPr="0049394D">
        <w:t xml:space="preserve">, </w:t>
      </w:r>
      <w:r w:rsidRPr="0049394D">
        <w:t xml:space="preserve">2015) identified many of the same themes, </w:t>
      </w:r>
      <w:r w:rsidR="00FE6BE4" w:rsidRPr="0049394D">
        <w:t xml:space="preserve">and </w:t>
      </w:r>
      <w:r w:rsidRPr="0049394D">
        <w:t xml:space="preserve">a </w:t>
      </w:r>
      <w:r w:rsidR="00FE6BE4" w:rsidRPr="0049394D">
        <w:t xml:space="preserve">number of additional themes, </w:t>
      </w:r>
      <w:r w:rsidRPr="0049394D">
        <w:t>such as the variability of patients’ coping with VHL.</w:t>
      </w:r>
      <w:r w:rsidR="002D737A">
        <w:t xml:space="preserve"> </w:t>
      </w:r>
      <w:r w:rsidR="002D737A" w:rsidRPr="00BF3570">
        <w:rPr>
          <w:iCs/>
        </w:rPr>
        <w:t xml:space="preserve">The ESC </w:t>
      </w:r>
      <w:r w:rsidR="007B5EE5" w:rsidRPr="00BF3570">
        <w:rPr>
          <w:iCs/>
        </w:rPr>
        <w:t>consider</w:t>
      </w:r>
      <w:r w:rsidR="002D737A" w:rsidRPr="00BF3570">
        <w:rPr>
          <w:iCs/>
        </w:rPr>
        <w:t xml:space="preserve">ed </w:t>
      </w:r>
      <w:r w:rsidR="007B5EE5" w:rsidRPr="00BF3570">
        <w:rPr>
          <w:iCs/>
        </w:rPr>
        <w:t>the qualitative evidence on the patient experience highlighted the high clinical need for an effective therapy before surgery.</w:t>
      </w:r>
    </w:p>
    <w:p w14:paraId="59EA17F5" w14:textId="77777777" w:rsidR="0088249D" w:rsidRPr="0049394D" w:rsidRDefault="0088249D" w:rsidP="0088249D">
      <w:pPr>
        <w:pStyle w:val="3-BodyText"/>
      </w:pPr>
      <w:r w:rsidRPr="0049394D">
        <w:lastRenderedPageBreak/>
        <w:t>The target population in the submission was patients diagnosed with a VHL- associated RCC, CNS Hb or pNETs, who were undergoing surveillance but did not require immediate surgery.</w:t>
      </w:r>
    </w:p>
    <w:p w14:paraId="04A5E75A" w14:textId="12B43DEF" w:rsidR="0088249D" w:rsidRPr="0049394D" w:rsidRDefault="0088249D" w:rsidP="003E71CC">
      <w:pPr>
        <w:pStyle w:val="3-BodyText"/>
        <w:numPr>
          <w:ilvl w:val="0"/>
          <w:numId w:val="8"/>
        </w:numPr>
        <w:ind w:left="993" w:hanging="284"/>
      </w:pPr>
      <w:r w:rsidRPr="0049394D">
        <w:t>VHL-associated RCC often present around 40 years of age, with a lifetime risk of up to 80%. RCCs tend to be multifocal (two or more tumours in the same renal unit) and bilateral (both kidneys) and can arise de novo or in conjunction with renal cysts. RCCs represent the most frequent metastasising tumour, accounting for half of VHL deaths (life expectancy of VHL disease patients with RCC is 40 to 52 years of age). Regular monitoring of RCC and cysts is required to prevent metastasis, preserve organ function, and manage symptoms. Organ-sparing surgery (such as subtotal nephrectomy or cryosurgery), is recommended if feasible, based on tumour size (&gt;</w:t>
      </w:r>
      <w:r w:rsidR="002C5B13">
        <w:t> </w:t>
      </w:r>
      <w:r w:rsidRPr="0049394D">
        <w:t>3</w:t>
      </w:r>
      <w:r w:rsidR="002C5B13">
        <w:t> </w:t>
      </w:r>
      <w:r w:rsidRPr="0049394D">
        <w:t>cm in diameter), tumour location, symptom burden or in patients deemed to have an increased risk of organ dysfunction or metastasis. The use of the 3</w:t>
      </w:r>
      <w:r w:rsidR="002C5B13">
        <w:t> </w:t>
      </w:r>
      <w:r w:rsidRPr="0049394D">
        <w:t>cm threshold is one of the main factors in determining the need for surgical intervention. Surgery inevitably leads to a progressive decrease in renal function, increasing the risk of chronic kidney disease, which in some cases may lead to dialysis or a renal transplant. For metastatic RCC, standard therapies are used (e.g., immunotherapy +/- tyrosine kinase inhibitors).</w:t>
      </w:r>
    </w:p>
    <w:p w14:paraId="6BA916E6" w14:textId="23D1DD27" w:rsidR="0088249D" w:rsidRPr="0049394D" w:rsidRDefault="0088249D" w:rsidP="003E71CC">
      <w:pPr>
        <w:pStyle w:val="3-BodyText"/>
        <w:numPr>
          <w:ilvl w:val="0"/>
          <w:numId w:val="8"/>
        </w:numPr>
        <w:ind w:left="993" w:hanging="284"/>
      </w:pPr>
      <w:r w:rsidRPr="0049394D">
        <w:t xml:space="preserve">VHL-associated CNS Hb often present in early adulthood with a lifetime risk of up to 84%. CNS Hb are capillary vessel-rich benign neoplasms that predominately arise in the cerebellum, brainstem and spinal cord. Whilst CNS Hb are ‘benign’ lesions that do not invade locally or metastasise, they are responsible for a high proportion of all deaths due to VHL disease and </w:t>
      </w:r>
      <w:r w:rsidR="000979F7" w:rsidRPr="0049394D">
        <w:t xml:space="preserve">are </w:t>
      </w:r>
      <w:r w:rsidRPr="0049394D">
        <w:t>often regarded as one of the most difficult manifestations to manage due to the highly sensitive structures these tumours typically invade. Depending on the localisation of the tumour, symptoms can vary in their presentation (headaches, gait or spinal ataxia, nausea/vomiting, vertigo, speech difficulties and dysmetria). Left untreated, however, these lesions can cause severe neurological deficits and mortality through the pressure they exert on adjacent structures or via a haemorrhage. Management is focused on avoiding treatment-related morbidity by minimising the frequency of surgical interventions. Surgical intervention is usually reserved for symptomatic patients or tumours with accelerated growth. There are no definitive clinical (e.g., age, sex, location), radiographic, or specific molecular markers (i.e., underlying pathogenic variants) that can predict the natural history of a given lesion.</w:t>
      </w:r>
    </w:p>
    <w:p w14:paraId="50E06007" w14:textId="6481CAA5" w:rsidR="0088249D" w:rsidRPr="0049394D" w:rsidRDefault="0088249D" w:rsidP="003E71CC">
      <w:pPr>
        <w:pStyle w:val="3-BodyText"/>
        <w:numPr>
          <w:ilvl w:val="0"/>
          <w:numId w:val="8"/>
        </w:numPr>
        <w:ind w:left="993" w:hanging="284"/>
      </w:pPr>
      <w:r w:rsidRPr="0049394D">
        <w:t>pNETs are a less common manifestation of VHL disease compared to RCC and CNS Hb, with a lifetime risk of up to 17%.</w:t>
      </w:r>
      <w:r w:rsidRPr="0049394D">
        <w:rPr>
          <w:rStyle w:val="FootnoteReference"/>
        </w:rPr>
        <w:footnoteReference w:id="7"/>
      </w:r>
      <w:r w:rsidRPr="0049394D">
        <w:t xml:space="preserve"> These tumours are often multifocal and well-differentiated, and often metastasise to the liver. Many patients have asymptomatic disease at diagnosis despite the presence of significant radiologic disease. Upon symptoms occurring, patients often present with epigastric pain, </w:t>
      </w:r>
      <w:r w:rsidRPr="0049394D">
        <w:lastRenderedPageBreak/>
        <w:t>weight loss, anorexia, jaundice, nausea, or haemorrhage, which typically warrant immediate evaluation and treatment. Organ preserving surgery is recommended based on tumour size (&gt;</w:t>
      </w:r>
      <w:r w:rsidR="009F3FC7" w:rsidRPr="0049394D">
        <w:t xml:space="preserve"> </w:t>
      </w:r>
      <w:r w:rsidRPr="0049394D">
        <w:t>3cm in diameter in the body or tail of the pancreas and 2</w:t>
      </w:r>
      <w:r w:rsidR="002C5B13">
        <w:t> </w:t>
      </w:r>
      <w:r w:rsidRPr="0049394D">
        <w:t>cm for tumours at the head of the pancreas) and where there are other risk factors of metastasis (a rapid tumour doubling time, and those with VHL missense and/or exon three pathogenic or likely pathogenic variants). Whipple surgery is one of the most common procedures performed for pNETs that require surgical intervention. For metastatic pNETs, standard therapies are used (somatostatin, everolimus or sunitinib).</w:t>
      </w:r>
    </w:p>
    <w:p w14:paraId="4AD0CABA" w14:textId="27B8C41E" w:rsidR="0088249D" w:rsidRPr="0049394D" w:rsidRDefault="0088249D" w:rsidP="00FA420C">
      <w:pPr>
        <w:pStyle w:val="3-BodyText"/>
      </w:pPr>
      <w:r w:rsidRPr="0049394D">
        <w:t>Belzutifan is a first-in-class, orally available, small-molecule inhibitor of HIF-2α. Belzutifan binds to HIF-2α and disrupts its hetero-dimerization and subsequent binding to DNA. This decreases transcription and expression of HIF-2α genes that regulate hypoxic signalling and promote tumour survival.</w:t>
      </w:r>
      <w:r w:rsidRPr="0049394D" w:rsidDel="00195452">
        <w:t xml:space="preserve"> </w:t>
      </w:r>
      <w:r w:rsidRPr="0049394D">
        <w:t>The recommended dose is 120</w:t>
      </w:r>
      <w:r w:rsidR="002C5B13">
        <w:t> </w:t>
      </w:r>
      <w:r w:rsidRPr="0049394D">
        <w:t xml:space="preserve">mg (3 x 40 mg tablets) orally once daily, for the treatment of VHL-associated RCC, CNS Hb or pNETs in patients not requiring immediate surgery. The submission contended that belzutifan would be used in combination with active surveillance, after the VHL-associated tumour is identified but </w:t>
      </w:r>
      <w:r w:rsidR="009F3FC7" w:rsidRPr="00BF3570">
        <w:rPr>
          <w:iCs/>
        </w:rPr>
        <w:t>not requiring immediate surgery</w:t>
      </w:r>
      <w:r w:rsidRPr="00BF3570">
        <w:rPr>
          <w:iCs/>
        </w:rPr>
        <w:t>.</w:t>
      </w:r>
      <w:r w:rsidR="00A13553" w:rsidRPr="00BF3570">
        <w:rPr>
          <w:iCs/>
        </w:rPr>
        <w:t xml:space="preserve"> The ESC noted that the submission’s proposed positioning of belzutifan was for the treatment of tumours found during</w:t>
      </w:r>
      <w:r w:rsidR="00FA420C" w:rsidRPr="00BF3570">
        <w:rPr>
          <w:iCs/>
        </w:rPr>
        <w:t xml:space="preserve"> patient</w:t>
      </w:r>
      <w:r w:rsidR="00B27748" w:rsidRPr="00BF3570">
        <w:rPr>
          <w:iCs/>
        </w:rPr>
        <w:t xml:space="preserve"> </w:t>
      </w:r>
      <w:r w:rsidR="00A13553" w:rsidRPr="00BF3570">
        <w:rPr>
          <w:iCs/>
        </w:rPr>
        <w:t xml:space="preserve">surveillance and </w:t>
      </w:r>
      <w:r w:rsidR="00FA420C" w:rsidRPr="00BF3570">
        <w:rPr>
          <w:iCs/>
        </w:rPr>
        <w:t>this positioning did</w:t>
      </w:r>
      <w:r w:rsidR="00A13553" w:rsidRPr="00BF3570">
        <w:rPr>
          <w:iCs/>
        </w:rPr>
        <w:t xml:space="preserve"> not affect the</w:t>
      </w:r>
      <w:r w:rsidR="00B27748" w:rsidRPr="00BF3570">
        <w:rPr>
          <w:iCs/>
        </w:rPr>
        <w:t xml:space="preserve"> current</w:t>
      </w:r>
      <w:r w:rsidR="00A13553" w:rsidRPr="00BF3570">
        <w:rPr>
          <w:iCs/>
        </w:rPr>
        <w:t xml:space="preserve"> metastatic treatment algorithm.</w:t>
      </w:r>
      <w:r w:rsidR="00095A36" w:rsidRPr="00BF3570">
        <w:rPr>
          <w:iCs/>
        </w:rPr>
        <w:t xml:space="preserve"> The ESC </w:t>
      </w:r>
      <w:r w:rsidR="00FA420C" w:rsidRPr="00BF3570">
        <w:rPr>
          <w:iCs/>
        </w:rPr>
        <w:t>acknowledged</w:t>
      </w:r>
      <w:r w:rsidR="00095A36" w:rsidRPr="00BF3570">
        <w:rPr>
          <w:iCs/>
        </w:rPr>
        <w:t xml:space="preserve"> there </w:t>
      </w:r>
      <w:r w:rsidR="00FA420C" w:rsidRPr="00BF3570">
        <w:rPr>
          <w:iCs/>
        </w:rPr>
        <w:t xml:space="preserve">was </w:t>
      </w:r>
      <w:r w:rsidR="00497773" w:rsidRPr="00BF3570">
        <w:rPr>
          <w:iCs/>
        </w:rPr>
        <w:t xml:space="preserve">currently a </w:t>
      </w:r>
      <w:r w:rsidR="003A7DDA" w:rsidRPr="00BF3570">
        <w:rPr>
          <w:iCs/>
        </w:rPr>
        <w:t xml:space="preserve">high </w:t>
      </w:r>
      <w:r w:rsidR="00095A36" w:rsidRPr="00BF3570">
        <w:rPr>
          <w:iCs/>
        </w:rPr>
        <w:t xml:space="preserve">clinical need </w:t>
      </w:r>
      <w:r w:rsidR="00B27748" w:rsidRPr="00BF3570">
        <w:rPr>
          <w:iCs/>
        </w:rPr>
        <w:t>for treatment</w:t>
      </w:r>
      <w:r w:rsidR="00FA420C" w:rsidRPr="00BF3570">
        <w:rPr>
          <w:iCs/>
        </w:rPr>
        <w:t xml:space="preserve"> options </w:t>
      </w:r>
      <w:r w:rsidR="00B27748" w:rsidRPr="00BF3570">
        <w:rPr>
          <w:iCs/>
        </w:rPr>
        <w:t>for patients with VHL-disease prior to the development of metastatic disease</w:t>
      </w:r>
      <w:r w:rsidR="00FA420C" w:rsidRPr="00BF3570">
        <w:rPr>
          <w:iCs/>
        </w:rPr>
        <w:t xml:space="preserve"> </w:t>
      </w:r>
      <w:r w:rsidR="00497773" w:rsidRPr="00BF3570">
        <w:rPr>
          <w:iCs/>
        </w:rPr>
        <w:t>and</w:t>
      </w:r>
      <w:r w:rsidR="00052627" w:rsidRPr="00BF3570">
        <w:rPr>
          <w:iCs/>
        </w:rPr>
        <w:t xml:space="preserve"> noted</w:t>
      </w:r>
      <w:r w:rsidR="00497773" w:rsidRPr="00BF3570">
        <w:rPr>
          <w:iCs/>
        </w:rPr>
        <w:t xml:space="preserve"> the clinical benefit that would </w:t>
      </w:r>
      <w:r w:rsidR="00052627" w:rsidRPr="00BF3570">
        <w:rPr>
          <w:iCs/>
        </w:rPr>
        <w:t xml:space="preserve">be </w:t>
      </w:r>
      <w:r w:rsidR="00497773" w:rsidRPr="00BF3570">
        <w:rPr>
          <w:iCs/>
        </w:rPr>
        <w:t>associated with</w:t>
      </w:r>
      <w:r w:rsidR="00FA420C" w:rsidRPr="00BF3570">
        <w:rPr>
          <w:iCs/>
        </w:rPr>
        <w:t xml:space="preserve"> reduc</w:t>
      </w:r>
      <w:r w:rsidR="00497773" w:rsidRPr="00BF3570">
        <w:rPr>
          <w:iCs/>
        </w:rPr>
        <w:t>ing</w:t>
      </w:r>
      <w:r w:rsidR="00FA420C" w:rsidRPr="00BF3570">
        <w:rPr>
          <w:iCs/>
        </w:rPr>
        <w:t xml:space="preserve"> the number of surgeries currently being experienced by patients with VHL-disease.</w:t>
      </w:r>
    </w:p>
    <w:p w14:paraId="46FE27C6" w14:textId="3F1B250E" w:rsidR="0088249D" w:rsidRDefault="0088249D" w:rsidP="0088249D">
      <w:pPr>
        <w:pStyle w:val="3-BodyText"/>
      </w:pPr>
      <w:bookmarkStart w:id="24" w:name="_Hlk166168479"/>
      <w:r w:rsidRPr="0049394D">
        <w:t xml:space="preserve">The submission did not provide any discussion on the optimal timing around when to start belzutifan for a disease with multiple tumour manifestations and recurrent tumours. </w:t>
      </w:r>
      <w:r w:rsidR="009F3FC7" w:rsidRPr="00BF3570">
        <w:rPr>
          <w:iCs/>
        </w:rPr>
        <w:t>The population included in the pivotal clinical evidence and the economic evaluation all had concomitant non</w:t>
      </w:r>
      <w:r w:rsidR="00BA422B" w:rsidRPr="00BF3570">
        <w:rPr>
          <w:iCs/>
        </w:rPr>
        <w:t>-</w:t>
      </w:r>
      <w:r w:rsidR="009F3FC7" w:rsidRPr="00BF3570">
        <w:rPr>
          <w:iCs/>
        </w:rPr>
        <w:t>metastatic RCC plus a history of multiple</w:t>
      </w:r>
      <w:r w:rsidR="00BA422B" w:rsidRPr="00BF3570">
        <w:rPr>
          <w:iCs/>
        </w:rPr>
        <w:t xml:space="preserve"> prior VHL-associated tumours and surgeries. The </w:t>
      </w:r>
      <w:r w:rsidR="003A7DDA" w:rsidRPr="00BF3570">
        <w:rPr>
          <w:iCs/>
        </w:rPr>
        <w:t xml:space="preserve">ESC agreed with the </w:t>
      </w:r>
      <w:r w:rsidR="00A13553" w:rsidRPr="00BF3570">
        <w:rPr>
          <w:iCs/>
        </w:rPr>
        <w:t xml:space="preserve">evaluation that the </w:t>
      </w:r>
      <w:r w:rsidR="00BA422B" w:rsidRPr="00BF3570">
        <w:rPr>
          <w:iCs/>
        </w:rPr>
        <w:t>cost-effectiveness would likely depend on when and how belzutifan would be used in practice.</w:t>
      </w:r>
      <w:r w:rsidR="00BA422B" w:rsidRPr="0049394D">
        <w:t xml:space="preserve"> </w:t>
      </w:r>
      <w:bookmarkEnd w:id="24"/>
    </w:p>
    <w:p w14:paraId="7A4EEC04" w14:textId="17FF8A6E" w:rsidR="0065536C" w:rsidRPr="0065536C" w:rsidRDefault="0065536C" w:rsidP="0065536C">
      <w:pPr>
        <w:pStyle w:val="3-BodyText"/>
        <w:numPr>
          <w:ilvl w:val="0"/>
          <w:numId w:val="0"/>
        </w:numPr>
        <w:ind w:left="720"/>
        <w:rPr>
          <w:i/>
        </w:rPr>
      </w:pPr>
      <w:r w:rsidRPr="0065536C">
        <w:rPr>
          <w:i/>
        </w:rPr>
        <w:t>For more detail on PBAC’s view, see section 7 PBAC outcome.</w:t>
      </w:r>
    </w:p>
    <w:p w14:paraId="1F48A77B" w14:textId="77777777" w:rsidR="0088249D" w:rsidRPr="0049394D" w:rsidRDefault="0088249D" w:rsidP="0088249D">
      <w:pPr>
        <w:pStyle w:val="2-SectionHeading"/>
        <w:numPr>
          <w:ilvl w:val="0"/>
          <w:numId w:val="1"/>
        </w:numPr>
      </w:pPr>
      <w:bookmarkStart w:id="25" w:name="_Toc167277630"/>
      <w:r w:rsidRPr="0049394D">
        <w:t>Comparator</w:t>
      </w:r>
      <w:bookmarkEnd w:id="25"/>
    </w:p>
    <w:p w14:paraId="414DD746" w14:textId="5F991DDC" w:rsidR="0088249D" w:rsidRPr="0049394D" w:rsidRDefault="0088249D" w:rsidP="0088249D">
      <w:pPr>
        <w:pStyle w:val="3-BodyText"/>
      </w:pPr>
      <w:r w:rsidRPr="0049394D">
        <w:t xml:space="preserve">The submission nominated active surveillance as the comparator. </w:t>
      </w:r>
      <w:r w:rsidR="00AD69AC" w:rsidRPr="00BF3570">
        <w:rPr>
          <w:iCs/>
        </w:rPr>
        <w:t xml:space="preserve">The </w:t>
      </w:r>
      <w:r w:rsidR="004A2D92" w:rsidRPr="00BF3570">
        <w:rPr>
          <w:iCs/>
        </w:rPr>
        <w:t>ESC</w:t>
      </w:r>
      <w:r w:rsidR="00AD69AC" w:rsidRPr="00BF3570">
        <w:rPr>
          <w:iCs/>
        </w:rPr>
        <w:t xml:space="preserve"> considered that this was appropriate</w:t>
      </w:r>
      <w:r w:rsidR="00E941BF" w:rsidRPr="00BF3570">
        <w:rPr>
          <w:iCs/>
        </w:rPr>
        <w:t xml:space="preserve"> and that active surveillance would be ongoing if patients commenced belzutifan treatment</w:t>
      </w:r>
      <w:r w:rsidR="00AD69AC" w:rsidRPr="00BF3570">
        <w:rPr>
          <w:iCs/>
        </w:rPr>
        <w:t xml:space="preserve">. </w:t>
      </w:r>
      <w:r w:rsidRPr="0049394D">
        <w:t>The main argument provided in support of this nomination was that belzutifan is the first systemic therapy for treating VHL-associated tumours. The submission stated that active surveillance was accepted as the most appropriate comparator by Australian clinicians, regulatory agencies including the TGA.</w:t>
      </w:r>
    </w:p>
    <w:p w14:paraId="62487E1B" w14:textId="42B55907" w:rsidR="0088249D" w:rsidRDefault="0088249D" w:rsidP="00242CB1">
      <w:pPr>
        <w:pStyle w:val="3-BodyText"/>
      </w:pPr>
      <w:r w:rsidRPr="0049394D">
        <w:lastRenderedPageBreak/>
        <w:t>The submission stated that compliance with active surveillance as per the guidelines may vary considerably across Australia. Only New South Wales and Western Australia have centralised Genetic/Hereditary Cancer Centres which coordinate patient care and referrals through establish</w:t>
      </w:r>
      <w:r w:rsidR="00240F64" w:rsidRPr="0049394D">
        <w:t>ed</w:t>
      </w:r>
      <w:r w:rsidRPr="0049394D">
        <w:t xml:space="preserve"> networks of physicians with experience managing VHL-associated disease manifestations, led by a medical oncologist with case discussions amongst multidisciplinary teams. In other states and territories, surveillance of VHL patients is not coordinated by a centralised network and comprises </w:t>
      </w:r>
      <w:r w:rsidR="00240F64" w:rsidRPr="0049394D">
        <w:t xml:space="preserve">of </w:t>
      </w:r>
      <w:r w:rsidRPr="0049394D">
        <w:t xml:space="preserve">clinicians in different specialities who have an interest in VHL disease – mostly neurosurgeons, gastroenterologists and nephrologists. These clinicians follow patients from diagnosis through surveillance; however, the coordination of surveillance is likely ad hoc and ‘fragmented’. </w:t>
      </w:r>
      <w:r w:rsidRPr="0049394D">
        <w:rPr>
          <w:iCs/>
        </w:rPr>
        <w:t>The economic analysis adjusted for this with ‘real-world’ data from a US claims database, discussed in the Economic analysis section</w:t>
      </w:r>
      <w:r w:rsidRPr="0049394D">
        <w:t>.</w:t>
      </w:r>
    </w:p>
    <w:p w14:paraId="4355A827" w14:textId="0DDFCCD8" w:rsidR="0065536C" w:rsidRPr="0065536C" w:rsidRDefault="0065536C" w:rsidP="0065536C">
      <w:pPr>
        <w:pStyle w:val="3-BodyText"/>
        <w:numPr>
          <w:ilvl w:val="0"/>
          <w:numId w:val="0"/>
        </w:numPr>
        <w:ind w:left="720"/>
        <w:rPr>
          <w:i/>
          <w:iCs/>
        </w:rPr>
      </w:pPr>
      <w:r w:rsidRPr="0065536C">
        <w:rPr>
          <w:i/>
          <w:iCs/>
        </w:rPr>
        <w:t>For more detail on PBAC’s view, see section 7 PBAC outcome.</w:t>
      </w:r>
    </w:p>
    <w:p w14:paraId="7F9C27C8" w14:textId="77777777" w:rsidR="00223D5A" w:rsidRPr="0049394D" w:rsidRDefault="00223D5A" w:rsidP="00223D5A">
      <w:pPr>
        <w:pStyle w:val="2-SectionHeading"/>
        <w:numPr>
          <w:ilvl w:val="0"/>
          <w:numId w:val="1"/>
        </w:numPr>
      </w:pPr>
      <w:bookmarkStart w:id="26" w:name="_Toc167277631"/>
      <w:r w:rsidRPr="0049394D">
        <w:t>Consideration of the evidence</w:t>
      </w:r>
      <w:bookmarkEnd w:id="26"/>
    </w:p>
    <w:p w14:paraId="71C8A496" w14:textId="77777777" w:rsidR="0065536C" w:rsidRPr="006E1229" w:rsidRDefault="0065536C" w:rsidP="000C058A">
      <w:pPr>
        <w:pStyle w:val="3-SubsectionHeading"/>
        <w:outlineLvl w:val="1"/>
        <w:rPr>
          <w:lang w:eastAsia="en-AU"/>
        </w:rPr>
      </w:pPr>
      <w:bookmarkStart w:id="27" w:name="_Hlk76375935"/>
      <w:bookmarkStart w:id="28" w:name="_Toc167277632"/>
      <w:bookmarkEnd w:id="12"/>
      <w:r w:rsidRPr="006E1229">
        <w:rPr>
          <w:lang w:eastAsia="en-AU"/>
        </w:rPr>
        <w:t>Sponsor hearing</w:t>
      </w:r>
    </w:p>
    <w:p w14:paraId="6D005A02" w14:textId="0B3F76D0" w:rsidR="00E54F47" w:rsidRPr="00300C95" w:rsidRDefault="0065536C" w:rsidP="001A1BA1">
      <w:pPr>
        <w:widowControl w:val="0"/>
        <w:numPr>
          <w:ilvl w:val="1"/>
          <w:numId w:val="1"/>
        </w:numPr>
        <w:spacing w:after="120"/>
        <w:ind w:left="709" w:hanging="709"/>
        <w:rPr>
          <w:rFonts w:asciiTheme="minorHAnsi" w:hAnsiTheme="minorHAnsi"/>
          <w:bCs/>
          <w:snapToGrid w:val="0"/>
        </w:rPr>
      </w:pPr>
      <w:bookmarkStart w:id="29" w:name="_Hlk76382586"/>
      <w:r w:rsidRPr="00300C95">
        <w:rPr>
          <w:rFonts w:asciiTheme="minorHAnsi" w:hAnsiTheme="minorHAnsi"/>
          <w:bCs/>
          <w:snapToGrid w:val="0"/>
        </w:rPr>
        <w:t xml:space="preserve">The sponsor requested a hearing for this item.  The </w:t>
      </w:r>
      <w:r w:rsidR="00F75922" w:rsidRPr="00300C95">
        <w:rPr>
          <w:rFonts w:asciiTheme="minorHAnsi" w:hAnsiTheme="minorHAnsi"/>
          <w:bCs/>
          <w:snapToGrid w:val="0"/>
        </w:rPr>
        <w:t xml:space="preserve">clinical and cancer geneticists </w:t>
      </w:r>
      <w:r w:rsidR="001A1BA1">
        <w:rPr>
          <w:rFonts w:asciiTheme="minorHAnsi" w:hAnsiTheme="minorHAnsi"/>
          <w:bCs/>
          <w:snapToGrid w:val="0"/>
        </w:rPr>
        <w:t xml:space="preserve">invited by the sponsor </w:t>
      </w:r>
      <w:r w:rsidR="002156F2" w:rsidRPr="00300C95">
        <w:rPr>
          <w:rFonts w:asciiTheme="minorHAnsi" w:hAnsiTheme="minorHAnsi"/>
          <w:bCs/>
          <w:snapToGrid w:val="0"/>
        </w:rPr>
        <w:t>describ</w:t>
      </w:r>
      <w:r w:rsidR="00F75922" w:rsidRPr="00300C95">
        <w:rPr>
          <w:rFonts w:asciiTheme="minorHAnsi" w:hAnsiTheme="minorHAnsi"/>
          <w:bCs/>
          <w:snapToGrid w:val="0"/>
        </w:rPr>
        <w:t xml:space="preserve">ed </w:t>
      </w:r>
      <w:r w:rsidR="002156F2" w:rsidRPr="00300C95">
        <w:rPr>
          <w:rFonts w:asciiTheme="minorHAnsi" w:hAnsiTheme="minorHAnsi"/>
          <w:bCs/>
          <w:snapToGrid w:val="0"/>
        </w:rPr>
        <w:t xml:space="preserve">the </w:t>
      </w:r>
      <w:r w:rsidR="00F75922" w:rsidRPr="00300C95">
        <w:rPr>
          <w:rFonts w:asciiTheme="minorHAnsi" w:hAnsiTheme="minorHAnsi"/>
          <w:bCs/>
          <w:snapToGrid w:val="0"/>
        </w:rPr>
        <w:t xml:space="preserve">overwhelming and lifelong impact of the disease on patients’ quality of life, given surgical or medical resolution of a tumour would not prevent future tumours, and patients will continue to deteriorate. The experience with belzutifan was described as revolutionary and provided patients with hope for longer and better quality of life, with patients potentially able to avoid surgeries. Clinicians expected treatment to be long-term as it is expected other tumours will respond if the primary tumour </w:t>
      </w:r>
      <w:r w:rsidR="00E54F47" w:rsidRPr="00300C95">
        <w:rPr>
          <w:rFonts w:asciiTheme="minorHAnsi" w:hAnsiTheme="minorHAnsi"/>
          <w:bCs/>
          <w:snapToGrid w:val="0"/>
        </w:rPr>
        <w:t xml:space="preserve">is </w:t>
      </w:r>
      <w:r w:rsidR="00F75922" w:rsidRPr="00300C95">
        <w:rPr>
          <w:rFonts w:asciiTheme="minorHAnsi" w:hAnsiTheme="minorHAnsi"/>
          <w:bCs/>
          <w:snapToGrid w:val="0"/>
        </w:rPr>
        <w:t>resolved, and the incidence of severe tox</w:t>
      </w:r>
      <w:r w:rsidR="00AB021C" w:rsidRPr="00300C95">
        <w:rPr>
          <w:rFonts w:asciiTheme="minorHAnsi" w:hAnsiTheme="minorHAnsi"/>
          <w:bCs/>
          <w:snapToGrid w:val="0"/>
        </w:rPr>
        <w:t xml:space="preserve">icity was rare. The PBAC clarified </w:t>
      </w:r>
      <w:r w:rsidR="001A1BA1">
        <w:rPr>
          <w:rFonts w:asciiTheme="minorHAnsi" w:hAnsiTheme="minorHAnsi"/>
          <w:bCs/>
          <w:snapToGrid w:val="0"/>
        </w:rPr>
        <w:t xml:space="preserve">with the clinical experts </w:t>
      </w:r>
      <w:r w:rsidR="00AB021C" w:rsidRPr="00300C95">
        <w:rPr>
          <w:rFonts w:asciiTheme="minorHAnsi" w:hAnsiTheme="minorHAnsi"/>
          <w:bCs/>
          <w:snapToGrid w:val="0"/>
        </w:rPr>
        <w:t>that the choice of drug therapy over surgery would depend on multidisciplinary meetings</w:t>
      </w:r>
      <w:r w:rsidR="001A1BA1">
        <w:rPr>
          <w:rFonts w:asciiTheme="minorHAnsi" w:hAnsiTheme="minorHAnsi"/>
          <w:bCs/>
          <w:snapToGrid w:val="0"/>
        </w:rPr>
        <w:t>,</w:t>
      </w:r>
      <w:r w:rsidR="00AB021C" w:rsidRPr="00300C95">
        <w:rPr>
          <w:rFonts w:asciiTheme="minorHAnsi" w:hAnsiTheme="minorHAnsi"/>
          <w:bCs/>
          <w:snapToGrid w:val="0"/>
        </w:rPr>
        <w:t xml:space="preserve"> consideration of the tumour growth pattern and whether surgical removal would be relatively straightforward; if multiple kidney or CNS tumours </w:t>
      </w:r>
      <w:r w:rsidR="00E54F47" w:rsidRPr="00300C95">
        <w:rPr>
          <w:rFonts w:asciiTheme="minorHAnsi" w:hAnsiTheme="minorHAnsi"/>
          <w:bCs/>
          <w:snapToGrid w:val="0"/>
        </w:rPr>
        <w:t xml:space="preserve">are </w:t>
      </w:r>
      <w:r w:rsidR="00AB021C" w:rsidRPr="00300C95">
        <w:rPr>
          <w:rFonts w:asciiTheme="minorHAnsi" w:hAnsiTheme="minorHAnsi"/>
          <w:bCs/>
          <w:snapToGrid w:val="0"/>
        </w:rPr>
        <w:t xml:space="preserve">present, drug therapy such as belzutifan may be </w:t>
      </w:r>
      <w:r w:rsidR="00E54F47" w:rsidRPr="00300C95">
        <w:rPr>
          <w:rFonts w:asciiTheme="minorHAnsi" w:hAnsiTheme="minorHAnsi"/>
          <w:bCs/>
          <w:snapToGrid w:val="0"/>
        </w:rPr>
        <w:t>the</w:t>
      </w:r>
      <w:r w:rsidR="00AB021C" w:rsidRPr="00300C95">
        <w:rPr>
          <w:rFonts w:asciiTheme="minorHAnsi" w:hAnsiTheme="minorHAnsi"/>
          <w:bCs/>
          <w:snapToGrid w:val="0"/>
        </w:rPr>
        <w:t xml:space="preserve"> prefer</w:t>
      </w:r>
      <w:r w:rsidR="00E54F47" w:rsidRPr="00300C95">
        <w:rPr>
          <w:rFonts w:asciiTheme="minorHAnsi" w:hAnsiTheme="minorHAnsi"/>
          <w:bCs/>
          <w:snapToGrid w:val="0"/>
        </w:rPr>
        <w:t>red</w:t>
      </w:r>
      <w:r w:rsidR="00AB021C" w:rsidRPr="00300C95">
        <w:rPr>
          <w:rFonts w:asciiTheme="minorHAnsi" w:hAnsiTheme="minorHAnsi"/>
          <w:bCs/>
          <w:snapToGrid w:val="0"/>
        </w:rPr>
        <w:t xml:space="preserve"> option. </w:t>
      </w:r>
      <w:r w:rsidRPr="00300C95">
        <w:rPr>
          <w:rFonts w:asciiTheme="minorHAnsi" w:hAnsiTheme="minorHAnsi"/>
          <w:bCs/>
          <w:snapToGrid w:val="0"/>
        </w:rPr>
        <w:t>The PBAC considered that the hearing was informative as it provided a clinical perspective on treating this uncommon disease.</w:t>
      </w:r>
    </w:p>
    <w:bookmarkEnd w:id="29"/>
    <w:p w14:paraId="1A665D19" w14:textId="77777777" w:rsidR="0065536C" w:rsidRPr="006E1229" w:rsidRDefault="0065536C" w:rsidP="000C058A">
      <w:pPr>
        <w:pStyle w:val="3-SubsectionHeading"/>
        <w:outlineLvl w:val="1"/>
        <w:rPr>
          <w:lang w:eastAsia="en-AU"/>
        </w:rPr>
      </w:pPr>
      <w:r w:rsidRPr="006E1229">
        <w:rPr>
          <w:lang w:eastAsia="en-AU"/>
        </w:rPr>
        <w:t>Consumer comments</w:t>
      </w:r>
    </w:p>
    <w:p w14:paraId="640E4406" w14:textId="3DE05A81" w:rsidR="0065536C" w:rsidRPr="00A27B10" w:rsidRDefault="0065536C" w:rsidP="00A27B10">
      <w:pPr>
        <w:widowControl w:val="0"/>
        <w:numPr>
          <w:ilvl w:val="1"/>
          <w:numId w:val="1"/>
        </w:numPr>
        <w:spacing w:after="120"/>
        <w:rPr>
          <w:rFonts w:asciiTheme="minorHAnsi" w:hAnsiTheme="minorHAnsi"/>
          <w:bCs/>
          <w:snapToGrid w:val="0"/>
        </w:rPr>
      </w:pPr>
      <w:bookmarkStart w:id="30" w:name="_Hlk76382618"/>
      <w:r w:rsidRPr="00836F75">
        <w:rPr>
          <w:rFonts w:asciiTheme="minorHAnsi" w:hAnsiTheme="minorHAnsi"/>
          <w:bCs/>
          <w:snapToGrid w:val="0"/>
        </w:rPr>
        <w:t xml:space="preserve">The </w:t>
      </w:r>
      <w:r w:rsidRPr="00FB78E8">
        <w:rPr>
          <w:rFonts w:asciiTheme="minorHAnsi" w:hAnsiTheme="minorHAnsi"/>
          <w:bCs/>
          <w:snapToGrid w:val="0"/>
        </w:rPr>
        <w:t>PBAC noted and welcomed the input from individuals (</w:t>
      </w:r>
      <w:r w:rsidR="00523739" w:rsidRPr="00FB78E8">
        <w:rPr>
          <w:rFonts w:asciiTheme="minorHAnsi" w:hAnsiTheme="minorHAnsi"/>
          <w:bCs/>
          <w:snapToGrid w:val="0"/>
        </w:rPr>
        <w:t>516</w:t>
      </w:r>
      <w:r w:rsidRPr="00FB78E8">
        <w:rPr>
          <w:rFonts w:asciiTheme="minorHAnsi" w:hAnsiTheme="minorHAnsi"/>
          <w:bCs/>
          <w:snapToGrid w:val="0"/>
        </w:rPr>
        <w:t>), health care professionals (1</w:t>
      </w:r>
      <w:r w:rsidR="00523739" w:rsidRPr="00FB78E8">
        <w:rPr>
          <w:rFonts w:asciiTheme="minorHAnsi" w:hAnsiTheme="minorHAnsi"/>
          <w:bCs/>
          <w:snapToGrid w:val="0"/>
        </w:rPr>
        <w:t>0</w:t>
      </w:r>
      <w:r w:rsidRPr="00FB78E8">
        <w:rPr>
          <w:rFonts w:asciiTheme="minorHAnsi" w:hAnsiTheme="minorHAnsi"/>
          <w:bCs/>
          <w:snapToGrid w:val="0"/>
        </w:rPr>
        <w:t>) and organisations (</w:t>
      </w:r>
      <w:r w:rsidR="00523739" w:rsidRPr="00FB78E8">
        <w:rPr>
          <w:rFonts w:asciiTheme="minorHAnsi" w:hAnsiTheme="minorHAnsi"/>
          <w:bCs/>
          <w:snapToGrid w:val="0"/>
        </w:rPr>
        <w:t>3</w:t>
      </w:r>
      <w:r w:rsidRPr="00FB78E8">
        <w:rPr>
          <w:rFonts w:asciiTheme="minorHAnsi" w:hAnsiTheme="minorHAnsi"/>
          <w:bCs/>
          <w:snapToGrid w:val="0"/>
        </w:rPr>
        <w:t xml:space="preserve">) via the Consumer Comments facility on the PBS website. The comments described a range of benefits of treatment with </w:t>
      </w:r>
      <w:r w:rsidR="00CC0479" w:rsidRPr="00FB78E8">
        <w:rPr>
          <w:rFonts w:asciiTheme="minorHAnsi" w:hAnsiTheme="minorHAnsi"/>
          <w:bCs/>
          <w:snapToGrid w:val="0"/>
        </w:rPr>
        <w:t>belzutifan</w:t>
      </w:r>
      <w:r w:rsidRPr="00FB78E8">
        <w:rPr>
          <w:rFonts w:asciiTheme="minorHAnsi" w:hAnsiTheme="minorHAnsi"/>
          <w:bCs/>
          <w:snapToGrid w:val="0"/>
        </w:rPr>
        <w:t xml:space="preserve"> including</w:t>
      </w:r>
      <w:r w:rsidR="00CC0479" w:rsidRPr="00FB78E8">
        <w:rPr>
          <w:rFonts w:asciiTheme="minorHAnsi" w:hAnsiTheme="minorHAnsi"/>
          <w:bCs/>
          <w:snapToGrid w:val="0"/>
        </w:rPr>
        <w:t xml:space="preserve"> </w:t>
      </w:r>
      <w:r w:rsidR="00523739" w:rsidRPr="00A423A2">
        <w:rPr>
          <w:rFonts w:asciiTheme="minorHAnsi" w:hAnsiTheme="minorHAnsi"/>
          <w:bCs/>
          <w:snapToGrid w:val="0"/>
        </w:rPr>
        <w:t>reducing tumour size</w:t>
      </w:r>
      <w:r w:rsidR="00CC0479" w:rsidRPr="00A423A2">
        <w:rPr>
          <w:rFonts w:asciiTheme="minorHAnsi" w:hAnsiTheme="minorHAnsi"/>
          <w:bCs/>
          <w:snapToGrid w:val="0"/>
        </w:rPr>
        <w:t xml:space="preserve"> </w:t>
      </w:r>
      <w:r w:rsidR="00523739" w:rsidRPr="00A423A2">
        <w:rPr>
          <w:rFonts w:asciiTheme="minorHAnsi" w:hAnsiTheme="minorHAnsi"/>
          <w:bCs/>
          <w:snapToGrid w:val="0"/>
        </w:rPr>
        <w:t>to potentially</w:t>
      </w:r>
      <w:r w:rsidR="00CC0479" w:rsidRPr="00A423A2">
        <w:rPr>
          <w:rFonts w:asciiTheme="minorHAnsi" w:hAnsiTheme="minorHAnsi"/>
          <w:bCs/>
          <w:snapToGrid w:val="0"/>
        </w:rPr>
        <w:t xml:space="preserve"> negate/reduce the need for further surgery</w:t>
      </w:r>
      <w:r w:rsidR="00523739" w:rsidRPr="00A423A2">
        <w:rPr>
          <w:rFonts w:asciiTheme="minorHAnsi" w:hAnsiTheme="minorHAnsi"/>
          <w:bCs/>
          <w:snapToGrid w:val="0"/>
        </w:rPr>
        <w:t xml:space="preserve">. </w:t>
      </w:r>
      <w:r w:rsidR="00A27B10" w:rsidRPr="00A423A2">
        <w:t xml:space="preserve">Clinicians, individuals and their carers and supporters described the burden of the effects of the disease itself and the additional burden of successive surgeries and the accumulated physical and psychological toll they placed with the associated complications and morbidity arising from repeated surgery. In addition to the benefits of avoiding surgery, it was expected </w:t>
      </w:r>
      <w:r w:rsidR="00A423A2">
        <w:t xml:space="preserve">that </w:t>
      </w:r>
      <w:r w:rsidR="00A27B10" w:rsidRPr="00A423A2">
        <w:t xml:space="preserve">belzutifan would improve overall quality of </w:t>
      </w:r>
      <w:r w:rsidR="00A27B10" w:rsidRPr="00A423A2">
        <w:lastRenderedPageBreak/>
        <w:t xml:space="preserve">life for patients and carers, providing improved psychological well-being. </w:t>
      </w:r>
      <w:r w:rsidR="00FB78E8" w:rsidRPr="00A423A2">
        <w:rPr>
          <w:rFonts w:asciiTheme="minorHAnsi" w:hAnsiTheme="minorHAnsi"/>
          <w:bCs/>
          <w:snapToGrid w:val="0"/>
        </w:rPr>
        <w:t>B</w:t>
      </w:r>
      <w:r w:rsidR="00523739" w:rsidRPr="00A423A2">
        <w:rPr>
          <w:rFonts w:asciiTheme="minorHAnsi" w:hAnsiTheme="minorHAnsi"/>
          <w:bCs/>
          <w:snapToGrid w:val="0"/>
        </w:rPr>
        <w:t xml:space="preserve">enefits for RCC would include preserving remaining </w:t>
      </w:r>
      <w:r w:rsidR="00523739" w:rsidRPr="00A27B10">
        <w:rPr>
          <w:rFonts w:asciiTheme="minorHAnsi" w:hAnsiTheme="minorHAnsi"/>
          <w:bCs/>
          <w:snapToGrid w:val="0"/>
        </w:rPr>
        <w:t>renal function, for CNS Hb avoiding/reducing surgeries for tumours that would risk significant co-morbidity, such as brainstem haemangioblastoma, optic nerve haemangioblastoma, large cervical spine haemangioblastoma</w:t>
      </w:r>
      <w:r w:rsidR="00666642" w:rsidRPr="00A27B10">
        <w:rPr>
          <w:rFonts w:asciiTheme="minorHAnsi" w:hAnsiTheme="minorHAnsi"/>
          <w:bCs/>
          <w:snapToGrid w:val="0"/>
        </w:rPr>
        <w:t>, and for pNET</w:t>
      </w:r>
      <w:r w:rsidR="00523739" w:rsidRPr="00A27B10">
        <w:rPr>
          <w:rFonts w:asciiTheme="minorHAnsi" w:hAnsiTheme="minorHAnsi"/>
          <w:bCs/>
          <w:snapToGrid w:val="0"/>
        </w:rPr>
        <w:t xml:space="preserve"> </w:t>
      </w:r>
      <w:r w:rsidR="00666642" w:rsidRPr="00A27B10">
        <w:rPr>
          <w:rFonts w:asciiTheme="minorHAnsi" w:hAnsiTheme="minorHAnsi"/>
          <w:bCs/>
          <w:snapToGrid w:val="0"/>
        </w:rPr>
        <w:t xml:space="preserve">reduction/stabilisation of rapidly growing tumours. </w:t>
      </w:r>
    </w:p>
    <w:p w14:paraId="220A903A" w14:textId="2C38F9BA" w:rsidR="00647A6E" w:rsidRPr="00647A6E" w:rsidRDefault="00647A6E" w:rsidP="002C5B13">
      <w:pPr>
        <w:widowControl w:val="0"/>
        <w:numPr>
          <w:ilvl w:val="1"/>
          <w:numId w:val="1"/>
        </w:numPr>
        <w:spacing w:after="120"/>
        <w:rPr>
          <w:bCs/>
        </w:rPr>
      </w:pPr>
      <w:r>
        <w:t>The PBAC noted and welcomed the input from the Medical Oncology Group of Australia (MOGA) via the Consumer Comments facility on the PBS website. The MOGA expressed strong support for belzutifan and listed it amongst its highest priority for PBS listing, to a</w:t>
      </w:r>
      <w:r w:rsidRPr="00647A6E">
        <w:t>ddress significant unmet need in rare tumours.</w:t>
      </w:r>
    </w:p>
    <w:p w14:paraId="3421EB68" w14:textId="3B44D057" w:rsidR="00647A6E" w:rsidRPr="002C5B13" w:rsidRDefault="0065536C" w:rsidP="009E6842">
      <w:pPr>
        <w:widowControl w:val="0"/>
        <w:numPr>
          <w:ilvl w:val="1"/>
          <w:numId w:val="1"/>
        </w:numPr>
        <w:spacing w:after="120"/>
        <w:rPr>
          <w:snapToGrid w:val="0"/>
        </w:rPr>
      </w:pPr>
      <w:r w:rsidRPr="002C5B13">
        <w:rPr>
          <w:snapToGrid w:val="0"/>
        </w:rPr>
        <w:t xml:space="preserve">The PBAC noted the advice received from </w:t>
      </w:r>
      <w:r w:rsidR="00647A6E" w:rsidRPr="002C5B13">
        <w:rPr>
          <w:snapToGrid w:val="0"/>
        </w:rPr>
        <w:t xml:space="preserve">Rare Cancers Australia </w:t>
      </w:r>
      <w:r w:rsidR="0026190C" w:rsidRPr="002C5B13">
        <w:rPr>
          <w:snapToGrid w:val="0"/>
        </w:rPr>
        <w:t xml:space="preserve">(RCA) </w:t>
      </w:r>
      <w:r w:rsidR="00647A6E" w:rsidRPr="002C5B13">
        <w:rPr>
          <w:snapToGrid w:val="0"/>
        </w:rPr>
        <w:t>and</w:t>
      </w:r>
      <w:r w:rsidR="00D749EA" w:rsidRPr="002C5B13">
        <w:rPr>
          <w:snapToGrid w:val="0"/>
        </w:rPr>
        <w:t xml:space="preserve"> </w:t>
      </w:r>
      <w:r w:rsidR="006F175E">
        <w:rPr>
          <w:snapToGrid w:val="0"/>
        </w:rPr>
        <w:t>Neuroendocrine Cancer Australia (NECA)</w:t>
      </w:r>
      <w:r w:rsidR="006F175E" w:rsidRPr="00836F75">
        <w:rPr>
          <w:snapToGrid w:val="0"/>
        </w:rPr>
        <w:t xml:space="preserve"> </w:t>
      </w:r>
      <w:r w:rsidRPr="002C5B13">
        <w:rPr>
          <w:snapToGrid w:val="0"/>
        </w:rPr>
        <w:t>clarifying the likely use of</w:t>
      </w:r>
      <w:r w:rsidR="00647A6E" w:rsidRPr="002C5B13">
        <w:rPr>
          <w:snapToGrid w:val="0"/>
        </w:rPr>
        <w:t xml:space="preserve"> belzutifan</w:t>
      </w:r>
      <w:r w:rsidRPr="002C5B13">
        <w:rPr>
          <w:snapToGrid w:val="0"/>
        </w:rPr>
        <w:t xml:space="preserve"> in clinical practice. The PBAC specifically noted the advice that the use of </w:t>
      </w:r>
      <w:r w:rsidR="00647A6E" w:rsidRPr="002C5B13">
        <w:rPr>
          <w:snapToGrid w:val="0"/>
        </w:rPr>
        <w:t>belzutifan</w:t>
      </w:r>
      <w:r w:rsidRPr="002C5B13">
        <w:rPr>
          <w:snapToGrid w:val="0"/>
        </w:rPr>
        <w:t xml:space="preserve"> </w:t>
      </w:r>
      <w:r w:rsidR="00773BC1" w:rsidRPr="002C5B13">
        <w:rPr>
          <w:snapToGrid w:val="0"/>
        </w:rPr>
        <w:t xml:space="preserve">would improve psychological well-being and allow patients to fully engage in their daily lives, with manageable side effects. </w:t>
      </w:r>
      <w:r w:rsidR="00DD0BC7" w:rsidRPr="002C5B13">
        <w:rPr>
          <w:snapToGrid w:val="0"/>
        </w:rPr>
        <w:t>It was also highlighted that with current management of VHL</w:t>
      </w:r>
      <w:r w:rsidR="001A1BA1" w:rsidRPr="002C5B13">
        <w:rPr>
          <w:snapToGrid w:val="0"/>
        </w:rPr>
        <w:t>,</w:t>
      </w:r>
      <w:r w:rsidR="00DD0BC7" w:rsidRPr="002C5B13">
        <w:rPr>
          <w:snapToGrid w:val="0"/>
        </w:rPr>
        <w:t xml:space="preserve"> symptoms are only controlled temporarily and patients often face long-term disability. Overall, fewer surgeries </w:t>
      </w:r>
      <w:r w:rsidR="00FB78E8" w:rsidRPr="002C5B13">
        <w:rPr>
          <w:snapToGrid w:val="0"/>
        </w:rPr>
        <w:t xml:space="preserve">and better quality of life </w:t>
      </w:r>
      <w:r w:rsidR="00DD0BC7" w:rsidRPr="002C5B13">
        <w:rPr>
          <w:snapToGrid w:val="0"/>
        </w:rPr>
        <w:t xml:space="preserve">were expected </w:t>
      </w:r>
      <w:r w:rsidR="00FB78E8" w:rsidRPr="002C5B13">
        <w:rPr>
          <w:snapToGrid w:val="0"/>
        </w:rPr>
        <w:t>with belzutifan treatment</w:t>
      </w:r>
      <w:r w:rsidR="00DD0BC7" w:rsidRPr="002C5B13">
        <w:rPr>
          <w:snapToGrid w:val="0"/>
        </w:rPr>
        <w:t>.</w:t>
      </w:r>
    </w:p>
    <w:p w14:paraId="75955D06" w14:textId="30286A4A" w:rsidR="0065536C" w:rsidRPr="00D206EF" w:rsidRDefault="0065536C" w:rsidP="00D206EF">
      <w:pPr>
        <w:widowControl w:val="0"/>
        <w:numPr>
          <w:ilvl w:val="1"/>
          <w:numId w:val="1"/>
        </w:numPr>
        <w:rPr>
          <w:bCs/>
        </w:rPr>
      </w:pPr>
      <w:r w:rsidRPr="00836F75">
        <w:rPr>
          <w:snapToGrid w:val="0"/>
        </w:rPr>
        <w:t xml:space="preserve">The PBAC noted that </w:t>
      </w:r>
      <w:r w:rsidR="00647A6E" w:rsidRPr="00836F75">
        <w:rPr>
          <w:snapToGrid w:val="0"/>
        </w:rPr>
        <w:t>th</w:t>
      </w:r>
      <w:r w:rsidR="00647A6E">
        <w:rPr>
          <w:snapToGrid w:val="0"/>
        </w:rPr>
        <w:t>e</w:t>
      </w:r>
      <w:r w:rsidR="00647A6E" w:rsidRPr="00836F75">
        <w:rPr>
          <w:snapToGrid w:val="0"/>
        </w:rPr>
        <w:t xml:space="preserve"> </w:t>
      </w:r>
      <w:r w:rsidRPr="00836F75">
        <w:rPr>
          <w:snapToGrid w:val="0"/>
        </w:rPr>
        <w:t>advice was supportive of the evidence provided in the submission</w:t>
      </w:r>
      <w:r w:rsidR="00666642">
        <w:rPr>
          <w:snapToGrid w:val="0"/>
        </w:rPr>
        <w:t xml:space="preserve"> and provided helpful </w:t>
      </w:r>
      <w:r w:rsidR="00666642">
        <w:rPr>
          <w:bCs/>
        </w:rPr>
        <w:t>p</w:t>
      </w:r>
      <w:r w:rsidR="00666642" w:rsidRPr="00666642">
        <w:rPr>
          <w:bCs/>
        </w:rPr>
        <w:t>erspective</w:t>
      </w:r>
      <w:r w:rsidR="00666642">
        <w:rPr>
          <w:bCs/>
        </w:rPr>
        <w:t>s</w:t>
      </w:r>
      <w:r w:rsidR="00666642" w:rsidRPr="00666642">
        <w:rPr>
          <w:bCs/>
        </w:rPr>
        <w:t xml:space="preserve"> on what </w:t>
      </w:r>
      <w:r w:rsidR="00666642">
        <w:rPr>
          <w:bCs/>
        </w:rPr>
        <w:t xml:space="preserve">patients and clinicians </w:t>
      </w:r>
      <w:r w:rsidR="00666642" w:rsidRPr="00666642">
        <w:rPr>
          <w:bCs/>
        </w:rPr>
        <w:t>value most from treatment</w:t>
      </w:r>
      <w:r w:rsidR="00666642">
        <w:rPr>
          <w:bCs/>
        </w:rPr>
        <w:t>.</w:t>
      </w:r>
      <w:bookmarkEnd w:id="27"/>
      <w:bookmarkEnd w:id="30"/>
    </w:p>
    <w:p w14:paraId="34EEE0D2" w14:textId="79CC1C7A" w:rsidR="0024083E" w:rsidRPr="0049394D" w:rsidRDefault="0024083E" w:rsidP="0024083E">
      <w:pPr>
        <w:pStyle w:val="4-SubsectionHeading"/>
      </w:pPr>
      <w:r w:rsidRPr="0049394D">
        <w:t>Clinical studies</w:t>
      </w:r>
      <w:bookmarkEnd w:id="28"/>
    </w:p>
    <w:p w14:paraId="4B33A338" w14:textId="12FCE221" w:rsidR="0024083E" w:rsidRPr="0049394D" w:rsidRDefault="0024083E" w:rsidP="0024083E">
      <w:pPr>
        <w:pStyle w:val="3-BodyText"/>
      </w:pPr>
      <w:r w:rsidRPr="0049394D">
        <w:t xml:space="preserve">The submission was based on one single-arm study of belzutifan in patients with VHL-associated RCC who did not require immediate surgery at baseline (LS-004), and one single centre retrospective observational study designed to understand the natural history of VHL disease and to assist in interpreting the results of LS-004 (the Von Hippel-Lindau Natural History Study, VHL-NHS). To inform the comparative effectiveness of belzutifan plus surveillance versus surveillance alone, the submission conducted a matching-adjusted indirect comparison (MAIC) using data from LS-004 and VHL-NHS. Given the available evidence and the lack of any planned </w:t>
      </w:r>
      <w:r w:rsidR="00403AEA" w:rsidRPr="0049394D">
        <w:t>randomised controlled trial (</w:t>
      </w:r>
      <w:r w:rsidRPr="0049394D">
        <w:t>RCT</w:t>
      </w:r>
      <w:r w:rsidR="00403AEA" w:rsidRPr="0049394D">
        <w:t>)</w:t>
      </w:r>
      <w:r w:rsidRPr="0049394D">
        <w:t xml:space="preserve">, </w:t>
      </w:r>
      <w:r w:rsidR="00387F57" w:rsidRPr="00BF3570">
        <w:rPr>
          <w:iCs/>
        </w:rPr>
        <w:t>the evaluation considered that the</w:t>
      </w:r>
      <w:r w:rsidRPr="0049394D">
        <w:t xml:space="preserve"> MAIC was a reasonable approach but the assumptions of the MAIC presented in the submission were poorly justified and limited results were provided (see Comparative effectiveness).</w:t>
      </w:r>
    </w:p>
    <w:p w14:paraId="17096766" w14:textId="641F73DE" w:rsidR="0024083E" w:rsidRPr="0049394D" w:rsidRDefault="0024083E" w:rsidP="0024083E">
      <w:pPr>
        <w:pStyle w:val="3-BodyText"/>
      </w:pPr>
      <w:r w:rsidRPr="0049394D">
        <w:rPr>
          <w:snapToGrid/>
        </w:rPr>
        <w:t xml:space="preserve">Details of the studies presented in the submission are provided in </w:t>
      </w:r>
      <w:r w:rsidRPr="0049394D">
        <w:rPr>
          <w:snapToGrid/>
        </w:rPr>
        <w:fldChar w:fldCharType="begin" w:fldLock="1"/>
      </w:r>
      <w:r w:rsidRPr="0049394D">
        <w:rPr>
          <w:snapToGrid/>
        </w:rPr>
        <w:instrText xml:space="preserve"> REF _Ref104803956 \h </w:instrText>
      </w:r>
      <w:r w:rsidRPr="0049394D">
        <w:rPr>
          <w:snapToGrid/>
        </w:rPr>
      </w:r>
      <w:r w:rsidRPr="0049394D">
        <w:rPr>
          <w:snapToGrid/>
        </w:rPr>
        <w:fldChar w:fldCharType="separate"/>
      </w:r>
      <w:r w:rsidR="00437B51" w:rsidRPr="0049394D">
        <w:t xml:space="preserve">Table </w:t>
      </w:r>
      <w:r w:rsidR="00437B51">
        <w:rPr>
          <w:noProof/>
        </w:rPr>
        <w:t>4</w:t>
      </w:r>
      <w:r w:rsidRPr="0049394D">
        <w:rPr>
          <w:snapToGrid/>
        </w:rPr>
        <w:fldChar w:fldCharType="end"/>
      </w:r>
      <w:r w:rsidRPr="0049394D">
        <w:rPr>
          <w:snapToGrid/>
        </w:rPr>
        <w:t>.</w:t>
      </w:r>
    </w:p>
    <w:p w14:paraId="5ED0758A" w14:textId="54C0C1EC" w:rsidR="0024083E" w:rsidRPr="0049394D" w:rsidRDefault="0024083E" w:rsidP="005C19E6">
      <w:pPr>
        <w:pStyle w:val="TableFigureHeading"/>
        <w:rPr>
          <w:rStyle w:val="CommentReference"/>
          <w:b/>
          <w:szCs w:val="24"/>
        </w:rPr>
      </w:pPr>
      <w:bookmarkStart w:id="31" w:name="_Ref104803956"/>
      <w:r w:rsidRPr="0049394D">
        <w:lastRenderedPageBreak/>
        <w:t xml:space="preserve">Table </w:t>
      </w:r>
      <w:r>
        <w:fldChar w:fldCharType="begin" w:fldLock="1"/>
      </w:r>
      <w:r>
        <w:instrText xml:space="preserve"> SEQ Table \* ARABIC </w:instrText>
      </w:r>
      <w:r>
        <w:fldChar w:fldCharType="separate"/>
      </w:r>
      <w:r w:rsidR="00437B51">
        <w:rPr>
          <w:noProof/>
        </w:rPr>
        <w:t>4</w:t>
      </w:r>
      <w:r>
        <w:rPr>
          <w:noProof/>
        </w:rPr>
        <w:fldChar w:fldCharType="end"/>
      </w:r>
      <w:bookmarkEnd w:id="31"/>
      <w:r w:rsidRPr="0049394D">
        <w:t>:</w:t>
      </w:r>
      <w:r w:rsidRPr="0049394D">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Studies and associated reports presented in the submission"/>
      </w:tblPr>
      <w:tblGrid>
        <w:gridCol w:w="1838"/>
        <w:gridCol w:w="4820"/>
        <w:gridCol w:w="2359"/>
      </w:tblGrid>
      <w:tr w:rsidR="0024083E" w:rsidRPr="0049394D" w14:paraId="2E9DDEBC" w14:textId="77777777" w:rsidTr="00242CB1">
        <w:trPr>
          <w:tblHeader/>
        </w:trPr>
        <w:tc>
          <w:tcPr>
            <w:tcW w:w="1019" w:type="pct"/>
            <w:vAlign w:val="center"/>
          </w:tcPr>
          <w:p w14:paraId="7E3A25E4" w14:textId="77777777" w:rsidR="0024083E" w:rsidRPr="0049394D" w:rsidRDefault="0024083E" w:rsidP="005C19E6">
            <w:pPr>
              <w:pStyle w:val="In-tableHeading"/>
              <w:rPr>
                <w:lang w:val="en-AU"/>
              </w:rPr>
            </w:pPr>
            <w:r w:rsidRPr="0049394D">
              <w:rPr>
                <w:lang w:val="en-AU"/>
              </w:rPr>
              <w:t>Trial ID</w:t>
            </w:r>
          </w:p>
        </w:tc>
        <w:tc>
          <w:tcPr>
            <w:tcW w:w="2673" w:type="pct"/>
            <w:tcBorders>
              <w:bottom w:val="single" w:sz="4" w:space="0" w:color="auto"/>
            </w:tcBorders>
            <w:vAlign w:val="center"/>
          </w:tcPr>
          <w:p w14:paraId="17CC9836" w14:textId="77777777" w:rsidR="0024083E" w:rsidRPr="0049394D" w:rsidRDefault="0024083E" w:rsidP="005C19E6">
            <w:pPr>
              <w:pStyle w:val="In-tableHeading"/>
              <w:rPr>
                <w:lang w:val="en-AU"/>
              </w:rPr>
            </w:pPr>
            <w:r w:rsidRPr="0049394D">
              <w:rPr>
                <w:lang w:val="en-AU"/>
              </w:rPr>
              <w:t>Protocol title/ Publication title</w:t>
            </w:r>
          </w:p>
        </w:tc>
        <w:tc>
          <w:tcPr>
            <w:tcW w:w="1308" w:type="pct"/>
            <w:tcBorders>
              <w:bottom w:val="single" w:sz="4" w:space="0" w:color="auto"/>
            </w:tcBorders>
            <w:vAlign w:val="center"/>
          </w:tcPr>
          <w:p w14:paraId="1EF8172D" w14:textId="77777777" w:rsidR="0024083E" w:rsidRPr="0049394D" w:rsidRDefault="0024083E" w:rsidP="005C19E6">
            <w:pPr>
              <w:pStyle w:val="In-tableHeading"/>
              <w:rPr>
                <w:lang w:val="en-AU"/>
              </w:rPr>
            </w:pPr>
            <w:r w:rsidRPr="0049394D">
              <w:rPr>
                <w:lang w:val="en-AU"/>
              </w:rPr>
              <w:t>Publication citation</w:t>
            </w:r>
          </w:p>
        </w:tc>
      </w:tr>
      <w:tr w:rsidR="0024083E" w:rsidRPr="0049394D" w14:paraId="49BFFEFC" w14:textId="77777777" w:rsidTr="00242CB1">
        <w:trPr>
          <w:trHeight w:val="688"/>
        </w:trPr>
        <w:tc>
          <w:tcPr>
            <w:tcW w:w="1019" w:type="pct"/>
            <w:vMerge w:val="restart"/>
            <w:tcBorders>
              <w:bottom w:val="single" w:sz="4" w:space="0" w:color="auto"/>
            </w:tcBorders>
            <w:vAlign w:val="center"/>
          </w:tcPr>
          <w:p w14:paraId="79768D6A" w14:textId="77777777" w:rsidR="0024083E" w:rsidRPr="0049394D" w:rsidRDefault="0024083E" w:rsidP="005C19E6">
            <w:pPr>
              <w:pStyle w:val="Tabletext"/>
              <w:keepNext/>
              <w:rPr>
                <w:b/>
              </w:rPr>
            </w:pPr>
            <w:r w:rsidRPr="0049394D">
              <w:t>Litespark-004 (LS-004)</w:t>
            </w:r>
          </w:p>
          <w:p w14:paraId="541C0169" w14:textId="77777777" w:rsidR="0024083E" w:rsidRPr="0049394D" w:rsidRDefault="0024083E" w:rsidP="005C19E6">
            <w:pPr>
              <w:pStyle w:val="TableText0"/>
            </w:pPr>
            <w:r w:rsidRPr="0049394D">
              <w:t>NCT03401788</w:t>
            </w:r>
          </w:p>
        </w:tc>
        <w:tc>
          <w:tcPr>
            <w:tcW w:w="2673" w:type="pct"/>
            <w:tcBorders>
              <w:bottom w:val="nil"/>
            </w:tcBorders>
            <w:vAlign w:val="center"/>
          </w:tcPr>
          <w:p w14:paraId="516EF42F" w14:textId="77777777" w:rsidR="0024083E" w:rsidRPr="0049394D" w:rsidRDefault="0024083E" w:rsidP="005C19E6">
            <w:pPr>
              <w:pStyle w:val="TableText0"/>
              <w:rPr>
                <w:szCs w:val="18"/>
              </w:rPr>
            </w:pPr>
            <w:r w:rsidRPr="0049394D">
              <w:t xml:space="preserve">An Open Label Phase 2 Study to Evaluate </w:t>
            </w:r>
            <w:bookmarkStart w:id="32" w:name="_Hlk155354129"/>
            <w:r w:rsidRPr="0049394D">
              <w:t xml:space="preserve">PT2977 </w:t>
            </w:r>
            <w:bookmarkEnd w:id="32"/>
            <w:r w:rsidRPr="0049394D">
              <w:t xml:space="preserve">for the Treatment of von Hippel Lindau Disease-Associated Renal Cell Carcinoma </w:t>
            </w:r>
          </w:p>
        </w:tc>
        <w:tc>
          <w:tcPr>
            <w:tcW w:w="1308" w:type="pct"/>
            <w:tcBorders>
              <w:bottom w:val="nil"/>
            </w:tcBorders>
            <w:vAlign w:val="center"/>
          </w:tcPr>
          <w:p w14:paraId="289A7D27" w14:textId="77777777" w:rsidR="0024083E" w:rsidRPr="0049394D" w:rsidRDefault="0024083E" w:rsidP="005C19E6">
            <w:pPr>
              <w:pStyle w:val="TableText0"/>
            </w:pPr>
            <w:r w:rsidRPr="0049394D">
              <w:t>Clinical Study Report – Interim analysis 4. March 2023.</w:t>
            </w:r>
          </w:p>
        </w:tc>
      </w:tr>
      <w:tr w:rsidR="0024083E" w:rsidRPr="0049394D" w14:paraId="034D8555" w14:textId="77777777" w:rsidTr="00242CB1">
        <w:trPr>
          <w:trHeight w:val="469"/>
        </w:trPr>
        <w:tc>
          <w:tcPr>
            <w:tcW w:w="1019" w:type="pct"/>
            <w:vMerge/>
            <w:tcBorders>
              <w:bottom w:val="nil"/>
            </w:tcBorders>
            <w:vAlign w:val="center"/>
          </w:tcPr>
          <w:p w14:paraId="65A5DDC4" w14:textId="77777777" w:rsidR="0024083E" w:rsidRPr="0049394D" w:rsidRDefault="0024083E" w:rsidP="005C19E6">
            <w:pPr>
              <w:pStyle w:val="TableText0"/>
            </w:pPr>
          </w:p>
        </w:tc>
        <w:tc>
          <w:tcPr>
            <w:tcW w:w="2673" w:type="pct"/>
            <w:tcBorders>
              <w:top w:val="nil"/>
              <w:bottom w:val="nil"/>
            </w:tcBorders>
            <w:vAlign w:val="center"/>
          </w:tcPr>
          <w:p w14:paraId="27398857" w14:textId="77777777" w:rsidR="0024083E" w:rsidRPr="0049394D" w:rsidRDefault="0024083E" w:rsidP="005C19E6">
            <w:pPr>
              <w:pStyle w:val="TableText0"/>
            </w:pPr>
            <w:r w:rsidRPr="0049394D">
              <w:t>Belzutifan for Renal Cell Carcinoma in von Hippel–Lindau Disease</w:t>
            </w:r>
          </w:p>
        </w:tc>
        <w:tc>
          <w:tcPr>
            <w:tcW w:w="1308" w:type="pct"/>
            <w:tcBorders>
              <w:top w:val="nil"/>
              <w:bottom w:val="nil"/>
            </w:tcBorders>
            <w:vAlign w:val="center"/>
          </w:tcPr>
          <w:p w14:paraId="653026CD" w14:textId="77777777" w:rsidR="0024083E" w:rsidRPr="0049394D" w:rsidRDefault="0024083E" w:rsidP="005C19E6">
            <w:pPr>
              <w:pStyle w:val="TableText0"/>
            </w:pPr>
            <w:r w:rsidRPr="0049394D">
              <w:t>N Engl J Med. 2021 Nov 25;385(22):2036-2046.</w:t>
            </w:r>
          </w:p>
        </w:tc>
      </w:tr>
      <w:tr w:rsidR="0024083E" w:rsidRPr="0049394D" w14:paraId="74123097" w14:textId="77777777" w:rsidTr="00242CB1">
        <w:trPr>
          <w:trHeight w:val="708"/>
        </w:trPr>
        <w:tc>
          <w:tcPr>
            <w:tcW w:w="1019" w:type="pct"/>
            <w:vAlign w:val="center"/>
          </w:tcPr>
          <w:p w14:paraId="5000AED9" w14:textId="77777777" w:rsidR="0024083E" w:rsidRPr="0049394D" w:rsidRDefault="0024083E" w:rsidP="005C19E6">
            <w:pPr>
              <w:pStyle w:val="Tabletext"/>
              <w:keepNext/>
            </w:pPr>
            <w:r w:rsidRPr="0049394D">
              <w:t>VHL-NHS</w:t>
            </w:r>
          </w:p>
        </w:tc>
        <w:tc>
          <w:tcPr>
            <w:tcW w:w="2673" w:type="pct"/>
            <w:vAlign w:val="center"/>
          </w:tcPr>
          <w:p w14:paraId="454091AD" w14:textId="77777777" w:rsidR="0024083E" w:rsidRPr="0049394D" w:rsidRDefault="0024083E" w:rsidP="005C19E6">
            <w:pPr>
              <w:pStyle w:val="TableText0"/>
            </w:pPr>
            <w:r w:rsidRPr="0049394D">
              <w:t>Von Hippel-Lindau Natural History Study</w:t>
            </w:r>
          </w:p>
        </w:tc>
        <w:tc>
          <w:tcPr>
            <w:tcW w:w="1308" w:type="pct"/>
            <w:vAlign w:val="center"/>
          </w:tcPr>
          <w:p w14:paraId="59217855" w14:textId="77777777" w:rsidR="0024083E" w:rsidRPr="0049394D" w:rsidRDefault="0024083E" w:rsidP="005C19E6">
            <w:pPr>
              <w:pStyle w:val="TableText0"/>
            </w:pPr>
            <w:r w:rsidRPr="0049394D">
              <w:t>Clinical Study Report. January 2021.</w:t>
            </w:r>
          </w:p>
        </w:tc>
      </w:tr>
    </w:tbl>
    <w:p w14:paraId="78DEF748" w14:textId="61956ABF" w:rsidR="0024083E" w:rsidRPr="0049394D" w:rsidRDefault="0024083E" w:rsidP="0024083E">
      <w:pPr>
        <w:pStyle w:val="FooterTableFigure"/>
        <w:rPr>
          <w:sz w:val="20"/>
        </w:rPr>
      </w:pPr>
      <w:r w:rsidRPr="0049394D">
        <w:t>Source: Table 2.2-2, of the submission.</w:t>
      </w:r>
    </w:p>
    <w:p w14:paraId="1CC16AB0" w14:textId="6C4A26CE" w:rsidR="0024083E" w:rsidRPr="0049394D" w:rsidRDefault="0024083E" w:rsidP="0024083E">
      <w:pPr>
        <w:pStyle w:val="3-BodyText"/>
      </w:pPr>
      <w:r w:rsidRPr="0049394D">
        <w:t xml:space="preserve">The key features of the studies are summarised in </w:t>
      </w:r>
      <w:r w:rsidRPr="0049394D">
        <w:fldChar w:fldCharType="begin" w:fldLock="1"/>
      </w:r>
      <w:r w:rsidRPr="0049394D">
        <w:instrText xml:space="preserve"> REF _Ref104804098 \h  \* MERGEFORMAT </w:instrText>
      </w:r>
      <w:r w:rsidRPr="0049394D">
        <w:fldChar w:fldCharType="separate"/>
      </w:r>
      <w:r w:rsidR="00437B51" w:rsidRPr="00437B51">
        <w:t>Table 5</w:t>
      </w:r>
      <w:r w:rsidRPr="0049394D">
        <w:fldChar w:fldCharType="end"/>
      </w:r>
      <w:r w:rsidRPr="0049394D">
        <w:t>.</w:t>
      </w:r>
    </w:p>
    <w:p w14:paraId="43269A35" w14:textId="574B31C5" w:rsidR="0024083E" w:rsidRPr="0049394D" w:rsidRDefault="0024083E" w:rsidP="0024083E">
      <w:pPr>
        <w:pStyle w:val="Caption"/>
        <w:rPr>
          <w:rStyle w:val="CommentReference"/>
          <w:rFonts w:eastAsiaTheme="majorEastAsia" w:cstheme="majorBidi"/>
          <w:b/>
          <w:szCs w:val="24"/>
        </w:rPr>
      </w:pPr>
      <w:bookmarkStart w:id="33" w:name="_Ref104804098"/>
      <w:r w:rsidRPr="0049394D">
        <w:rPr>
          <w:rStyle w:val="CommentReference"/>
          <w:rFonts w:eastAsiaTheme="majorEastAsia" w:cstheme="majorBidi"/>
          <w:b/>
          <w:szCs w:val="24"/>
        </w:rPr>
        <w:t xml:space="preserve">Table </w:t>
      </w:r>
      <w:r w:rsidRPr="0049394D">
        <w:rPr>
          <w:rStyle w:val="CommentReference"/>
          <w:rFonts w:eastAsiaTheme="majorEastAsia" w:cstheme="majorBidi"/>
          <w:b/>
          <w:szCs w:val="24"/>
        </w:rPr>
        <w:fldChar w:fldCharType="begin" w:fldLock="1"/>
      </w:r>
      <w:r w:rsidRPr="0049394D">
        <w:rPr>
          <w:rStyle w:val="CommentReference"/>
          <w:rFonts w:eastAsiaTheme="majorEastAsia" w:cstheme="majorBidi"/>
          <w:b/>
          <w:szCs w:val="24"/>
        </w:rPr>
        <w:instrText xml:space="preserve"> SEQ Table \* ARABIC </w:instrText>
      </w:r>
      <w:r w:rsidRPr="0049394D">
        <w:rPr>
          <w:rStyle w:val="CommentReference"/>
          <w:rFonts w:eastAsiaTheme="majorEastAsia" w:cstheme="majorBidi"/>
          <w:b/>
          <w:szCs w:val="24"/>
        </w:rPr>
        <w:fldChar w:fldCharType="separate"/>
      </w:r>
      <w:r w:rsidR="00437B51">
        <w:rPr>
          <w:rStyle w:val="CommentReference"/>
          <w:rFonts w:eastAsiaTheme="majorEastAsia" w:cstheme="majorBidi"/>
          <w:b/>
          <w:noProof/>
          <w:szCs w:val="24"/>
        </w:rPr>
        <w:t>5</w:t>
      </w:r>
      <w:r w:rsidRPr="0049394D">
        <w:rPr>
          <w:rStyle w:val="CommentReference"/>
          <w:rFonts w:eastAsiaTheme="majorEastAsia" w:cstheme="majorBidi"/>
          <w:b/>
          <w:szCs w:val="24"/>
        </w:rPr>
        <w:fldChar w:fldCharType="end"/>
      </w:r>
      <w:bookmarkEnd w:id="33"/>
      <w:r w:rsidRPr="0049394D">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850"/>
        <w:gridCol w:w="1277"/>
        <w:gridCol w:w="1574"/>
        <w:gridCol w:w="694"/>
        <w:gridCol w:w="1417"/>
        <w:gridCol w:w="1843"/>
        <w:gridCol w:w="1362"/>
      </w:tblGrid>
      <w:tr w:rsidR="0024083E" w:rsidRPr="0049394D" w14:paraId="730352E0" w14:textId="77777777" w:rsidTr="00242CB1">
        <w:trPr>
          <w:cantSplit/>
          <w:tblHeader/>
        </w:trPr>
        <w:tc>
          <w:tcPr>
            <w:tcW w:w="471" w:type="pct"/>
            <w:shd w:val="clear" w:color="auto" w:fill="auto"/>
            <w:vAlign w:val="center"/>
          </w:tcPr>
          <w:p w14:paraId="3AF6CCE7" w14:textId="77777777" w:rsidR="0024083E" w:rsidRPr="0049394D" w:rsidRDefault="0024083E" w:rsidP="00242CB1">
            <w:pPr>
              <w:pStyle w:val="In-tableHeading"/>
              <w:rPr>
                <w:lang w:val="en-AU"/>
              </w:rPr>
            </w:pPr>
            <w:r w:rsidRPr="0049394D">
              <w:rPr>
                <w:lang w:val="en-AU"/>
              </w:rPr>
              <w:t>Trial</w:t>
            </w:r>
          </w:p>
        </w:tc>
        <w:tc>
          <w:tcPr>
            <w:tcW w:w="708" w:type="pct"/>
            <w:shd w:val="clear" w:color="auto" w:fill="auto"/>
            <w:vAlign w:val="center"/>
          </w:tcPr>
          <w:p w14:paraId="291F981B" w14:textId="77777777" w:rsidR="0024083E" w:rsidRPr="0049394D" w:rsidRDefault="0024083E" w:rsidP="00242CB1">
            <w:pPr>
              <w:pStyle w:val="In-tableHeading"/>
              <w:jc w:val="center"/>
              <w:rPr>
                <w:lang w:val="en-AU"/>
              </w:rPr>
            </w:pPr>
            <w:r w:rsidRPr="0049394D">
              <w:rPr>
                <w:lang w:val="en-AU"/>
              </w:rPr>
              <w:t>N</w:t>
            </w:r>
          </w:p>
        </w:tc>
        <w:tc>
          <w:tcPr>
            <w:tcW w:w="873" w:type="pct"/>
            <w:shd w:val="clear" w:color="auto" w:fill="auto"/>
            <w:vAlign w:val="center"/>
          </w:tcPr>
          <w:p w14:paraId="3C1B03A6" w14:textId="77777777" w:rsidR="0024083E" w:rsidRPr="0049394D" w:rsidRDefault="0024083E" w:rsidP="00242CB1">
            <w:pPr>
              <w:pStyle w:val="In-tableHeading"/>
              <w:jc w:val="center"/>
              <w:rPr>
                <w:lang w:val="en-AU"/>
              </w:rPr>
            </w:pPr>
            <w:r w:rsidRPr="0049394D">
              <w:rPr>
                <w:lang w:val="en-AU"/>
              </w:rPr>
              <w:t>Design/ duration</w:t>
            </w:r>
          </w:p>
        </w:tc>
        <w:tc>
          <w:tcPr>
            <w:tcW w:w="385" w:type="pct"/>
            <w:shd w:val="clear" w:color="auto" w:fill="auto"/>
            <w:vAlign w:val="center"/>
          </w:tcPr>
          <w:p w14:paraId="7367C7DA" w14:textId="77777777" w:rsidR="0024083E" w:rsidRPr="0049394D" w:rsidRDefault="0024083E" w:rsidP="00242CB1">
            <w:pPr>
              <w:pStyle w:val="In-tableHeading"/>
              <w:jc w:val="center"/>
              <w:rPr>
                <w:lang w:val="en-AU"/>
              </w:rPr>
            </w:pPr>
            <w:r w:rsidRPr="0049394D">
              <w:rPr>
                <w:lang w:val="en-AU"/>
              </w:rPr>
              <w:t>Risk of bias</w:t>
            </w:r>
          </w:p>
        </w:tc>
        <w:tc>
          <w:tcPr>
            <w:tcW w:w="786" w:type="pct"/>
            <w:shd w:val="clear" w:color="auto" w:fill="auto"/>
            <w:vAlign w:val="center"/>
          </w:tcPr>
          <w:p w14:paraId="6F6ADA26" w14:textId="77777777" w:rsidR="0024083E" w:rsidRPr="0049394D" w:rsidRDefault="0024083E" w:rsidP="00242CB1">
            <w:pPr>
              <w:pStyle w:val="In-tableHeading"/>
              <w:jc w:val="center"/>
              <w:rPr>
                <w:lang w:val="en-AU"/>
              </w:rPr>
            </w:pPr>
            <w:r w:rsidRPr="0049394D">
              <w:rPr>
                <w:lang w:val="en-AU"/>
              </w:rPr>
              <w:t>Patient population</w:t>
            </w:r>
          </w:p>
        </w:tc>
        <w:tc>
          <w:tcPr>
            <w:tcW w:w="1022" w:type="pct"/>
            <w:shd w:val="clear" w:color="auto" w:fill="auto"/>
            <w:vAlign w:val="center"/>
          </w:tcPr>
          <w:p w14:paraId="713FC9A1" w14:textId="77777777" w:rsidR="0024083E" w:rsidRPr="0049394D" w:rsidRDefault="0024083E" w:rsidP="00242CB1">
            <w:pPr>
              <w:pStyle w:val="In-tableHeading"/>
              <w:jc w:val="center"/>
              <w:rPr>
                <w:lang w:val="en-AU"/>
              </w:rPr>
            </w:pPr>
            <w:r w:rsidRPr="0049394D">
              <w:rPr>
                <w:lang w:val="en-AU"/>
              </w:rPr>
              <w:t>Outcome(s)</w:t>
            </w:r>
          </w:p>
        </w:tc>
        <w:tc>
          <w:tcPr>
            <w:tcW w:w="755" w:type="pct"/>
            <w:shd w:val="clear" w:color="auto" w:fill="auto"/>
            <w:vAlign w:val="center"/>
          </w:tcPr>
          <w:p w14:paraId="37271FFF" w14:textId="77777777" w:rsidR="0024083E" w:rsidRPr="0049394D" w:rsidRDefault="0024083E" w:rsidP="00242CB1">
            <w:pPr>
              <w:pStyle w:val="In-tableHeading"/>
              <w:jc w:val="center"/>
              <w:rPr>
                <w:lang w:val="en-AU"/>
              </w:rPr>
            </w:pPr>
            <w:r w:rsidRPr="0049394D">
              <w:rPr>
                <w:lang w:val="en-AU"/>
              </w:rPr>
              <w:t>Use in modelled evaluation</w:t>
            </w:r>
          </w:p>
        </w:tc>
      </w:tr>
      <w:tr w:rsidR="0024083E" w:rsidRPr="0049394D" w14:paraId="4FE4DAB0" w14:textId="77777777" w:rsidTr="00242CB1">
        <w:trPr>
          <w:cantSplit/>
        </w:trPr>
        <w:tc>
          <w:tcPr>
            <w:tcW w:w="5000" w:type="pct"/>
            <w:gridSpan w:val="7"/>
            <w:shd w:val="clear" w:color="auto" w:fill="auto"/>
            <w:vAlign w:val="center"/>
          </w:tcPr>
          <w:p w14:paraId="618F4206" w14:textId="77777777" w:rsidR="0024083E" w:rsidRPr="0049394D" w:rsidRDefault="0024083E" w:rsidP="00242CB1">
            <w:pPr>
              <w:pStyle w:val="In-tableHeading"/>
              <w:rPr>
                <w:lang w:val="en-AU"/>
              </w:rPr>
            </w:pPr>
            <w:r w:rsidRPr="0049394D">
              <w:rPr>
                <w:lang w:val="en-AU"/>
              </w:rPr>
              <w:t>Belzutifan + Active Surveillance</w:t>
            </w:r>
          </w:p>
        </w:tc>
      </w:tr>
      <w:tr w:rsidR="0024083E" w:rsidRPr="0049394D" w14:paraId="0771ECB8" w14:textId="77777777" w:rsidTr="00242CB1">
        <w:trPr>
          <w:cantSplit/>
        </w:trPr>
        <w:tc>
          <w:tcPr>
            <w:tcW w:w="471" w:type="pct"/>
            <w:shd w:val="clear" w:color="auto" w:fill="auto"/>
            <w:vAlign w:val="center"/>
          </w:tcPr>
          <w:p w14:paraId="19A66B1B" w14:textId="77777777" w:rsidR="0024083E" w:rsidRPr="0049394D" w:rsidRDefault="0024083E" w:rsidP="00242CB1">
            <w:pPr>
              <w:pStyle w:val="TableText0"/>
            </w:pPr>
            <w:r w:rsidRPr="0049394D">
              <w:t>LS-004</w:t>
            </w:r>
          </w:p>
        </w:tc>
        <w:tc>
          <w:tcPr>
            <w:tcW w:w="708" w:type="pct"/>
            <w:shd w:val="clear" w:color="auto" w:fill="auto"/>
            <w:vAlign w:val="center"/>
          </w:tcPr>
          <w:p w14:paraId="2067A422" w14:textId="77777777" w:rsidR="0024083E" w:rsidRPr="0049394D" w:rsidRDefault="0024083E" w:rsidP="00242CB1">
            <w:pPr>
              <w:pStyle w:val="TableText0"/>
              <w:jc w:val="center"/>
              <w:rPr>
                <w:vertAlign w:val="superscript"/>
              </w:rPr>
            </w:pPr>
            <w:r w:rsidRPr="0049394D">
              <w:t>N=61</w:t>
            </w:r>
            <w:r w:rsidRPr="0049394D">
              <w:rPr>
                <w:vertAlign w:val="superscript"/>
              </w:rPr>
              <w:t>c</w:t>
            </w:r>
          </w:p>
        </w:tc>
        <w:tc>
          <w:tcPr>
            <w:tcW w:w="873" w:type="pct"/>
            <w:shd w:val="clear" w:color="auto" w:fill="auto"/>
            <w:vAlign w:val="center"/>
          </w:tcPr>
          <w:p w14:paraId="43105E1B" w14:textId="77777777" w:rsidR="0024083E" w:rsidRPr="0049394D" w:rsidRDefault="0024083E" w:rsidP="00242CB1">
            <w:pPr>
              <w:pStyle w:val="TableText0"/>
              <w:jc w:val="center"/>
            </w:pPr>
            <w:r w:rsidRPr="0049394D">
              <w:t>P2, single arm, OL, MC</w:t>
            </w:r>
          </w:p>
          <w:p w14:paraId="573011FB" w14:textId="77777777" w:rsidR="0024083E" w:rsidRDefault="0024083E" w:rsidP="00242CB1">
            <w:pPr>
              <w:pStyle w:val="TableText0"/>
              <w:jc w:val="center"/>
              <w:rPr>
                <w:vertAlign w:val="superscript"/>
              </w:rPr>
            </w:pPr>
            <w:r w:rsidRPr="0049394D">
              <w:t>Enrolled from May 2018-March 2019. Median follow-up 37.7 months</w:t>
            </w:r>
            <w:r w:rsidRPr="0049394D">
              <w:rPr>
                <w:vertAlign w:val="superscript"/>
              </w:rPr>
              <w:t>a</w:t>
            </w:r>
          </w:p>
          <w:p w14:paraId="65F6FCA9" w14:textId="19AA3060" w:rsidR="002B654A" w:rsidRPr="00DE37A6" w:rsidRDefault="002B654A" w:rsidP="00242CB1">
            <w:pPr>
              <w:pStyle w:val="TableText0"/>
              <w:jc w:val="center"/>
            </w:pPr>
            <w:r>
              <w:t>Median follow-up 49.7 months</w:t>
            </w:r>
            <w:r w:rsidR="000A583C">
              <w:t xml:space="preserve"> provided in pre-PBAC response.</w:t>
            </w:r>
          </w:p>
        </w:tc>
        <w:tc>
          <w:tcPr>
            <w:tcW w:w="385" w:type="pct"/>
            <w:shd w:val="clear" w:color="auto" w:fill="auto"/>
            <w:vAlign w:val="center"/>
          </w:tcPr>
          <w:p w14:paraId="4F47CAD7" w14:textId="77777777" w:rsidR="0024083E" w:rsidRPr="0049394D" w:rsidRDefault="0024083E" w:rsidP="00242CB1">
            <w:pPr>
              <w:pStyle w:val="TableText0"/>
              <w:jc w:val="center"/>
            </w:pPr>
            <w:r w:rsidRPr="0049394D">
              <w:t>High</w:t>
            </w:r>
          </w:p>
        </w:tc>
        <w:tc>
          <w:tcPr>
            <w:tcW w:w="786" w:type="pct"/>
            <w:shd w:val="clear" w:color="auto" w:fill="auto"/>
            <w:vAlign w:val="center"/>
          </w:tcPr>
          <w:p w14:paraId="103D8615" w14:textId="77777777" w:rsidR="0024083E" w:rsidRPr="0049394D" w:rsidRDefault="0024083E" w:rsidP="00242CB1">
            <w:pPr>
              <w:pStyle w:val="TableText0"/>
              <w:jc w:val="center"/>
            </w:pPr>
            <w:r w:rsidRPr="0049394D">
              <w:t>Adult patients with ≥1 non-metastatic VHL-associated RCC not requiring immediate surgery</w:t>
            </w:r>
          </w:p>
        </w:tc>
        <w:tc>
          <w:tcPr>
            <w:tcW w:w="1022" w:type="pct"/>
            <w:shd w:val="clear" w:color="auto" w:fill="auto"/>
            <w:vAlign w:val="center"/>
          </w:tcPr>
          <w:p w14:paraId="234D7D4B" w14:textId="77777777" w:rsidR="0024083E" w:rsidRPr="0049394D" w:rsidRDefault="0024083E" w:rsidP="00242CB1">
            <w:pPr>
              <w:pStyle w:val="TableText0"/>
              <w:jc w:val="center"/>
            </w:pPr>
            <w:r w:rsidRPr="0049394D">
              <w:t>Primary: ORR (RCC)</w:t>
            </w:r>
          </w:p>
          <w:p w14:paraId="6ECC596B" w14:textId="77777777" w:rsidR="0024083E" w:rsidRPr="0049394D" w:rsidRDefault="0024083E" w:rsidP="00242CB1">
            <w:pPr>
              <w:pStyle w:val="TableText0"/>
              <w:jc w:val="center"/>
            </w:pPr>
            <w:r w:rsidRPr="0049394D">
              <w:t>Secondary: ORR (CNS Hb and pNET), DoR, TTR, PFS, TTS, Number of surgeries, LGR, Safety</w:t>
            </w:r>
          </w:p>
        </w:tc>
        <w:tc>
          <w:tcPr>
            <w:tcW w:w="755" w:type="pct"/>
            <w:shd w:val="clear" w:color="auto" w:fill="auto"/>
            <w:vAlign w:val="center"/>
          </w:tcPr>
          <w:p w14:paraId="308F6066" w14:textId="77777777" w:rsidR="0024083E" w:rsidRPr="0049394D" w:rsidRDefault="0024083E" w:rsidP="00242CB1">
            <w:pPr>
              <w:pStyle w:val="TableText0"/>
              <w:jc w:val="center"/>
            </w:pPr>
            <w:r w:rsidRPr="0049394D">
              <w:t>ORR, TTS, Number of surgeries, LGR, Safety</w:t>
            </w:r>
          </w:p>
        </w:tc>
      </w:tr>
      <w:tr w:rsidR="0024083E" w:rsidRPr="0049394D" w14:paraId="7AEC7409" w14:textId="77777777" w:rsidTr="00242CB1">
        <w:trPr>
          <w:cantSplit/>
        </w:trPr>
        <w:tc>
          <w:tcPr>
            <w:tcW w:w="5000" w:type="pct"/>
            <w:gridSpan w:val="7"/>
            <w:shd w:val="clear" w:color="auto" w:fill="auto"/>
            <w:vAlign w:val="center"/>
          </w:tcPr>
          <w:p w14:paraId="38930325" w14:textId="77777777" w:rsidR="0024083E" w:rsidRPr="0049394D" w:rsidRDefault="0024083E" w:rsidP="00242CB1">
            <w:pPr>
              <w:pStyle w:val="TableText0"/>
              <w:rPr>
                <w:b/>
              </w:rPr>
            </w:pPr>
            <w:r w:rsidRPr="0049394D">
              <w:rPr>
                <w:b/>
              </w:rPr>
              <w:t>Active Surveillance</w:t>
            </w:r>
          </w:p>
        </w:tc>
      </w:tr>
      <w:tr w:rsidR="0024083E" w:rsidRPr="0049394D" w14:paraId="2F96ADE5" w14:textId="77777777" w:rsidTr="00242CB1">
        <w:trPr>
          <w:cantSplit/>
        </w:trPr>
        <w:tc>
          <w:tcPr>
            <w:tcW w:w="471" w:type="pct"/>
            <w:shd w:val="clear" w:color="auto" w:fill="auto"/>
            <w:vAlign w:val="center"/>
          </w:tcPr>
          <w:p w14:paraId="5C2C760D" w14:textId="77777777" w:rsidR="0024083E" w:rsidRPr="0049394D" w:rsidRDefault="0024083E" w:rsidP="00242CB1">
            <w:pPr>
              <w:pStyle w:val="TableText0"/>
            </w:pPr>
            <w:r w:rsidRPr="0049394D">
              <w:t>VHL-NHS</w:t>
            </w:r>
          </w:p>
        </w:tc>
        <w:tc>
          <w:tcPr>
            <w:tcW w:w="708" w:type="pct"/>
            <w:shd w:val="clear" w:color="auto" w:fill="auto"/>
            <w:vAlign w:val="center"/>
          </w:tcPr>
          <w:p w14:paraId="30B9C96F" w14:textId="77777777" w:rsidR="0024083E" w:rsidRPr="0049394D" w:rsidRDefault="0024083E" w:rsidP="00242CB1">
            <w:pPr>
              <w:pStyle w:val="TableText0"/>
              <w:jc w:val="center"/>
            </w:pPr>
            <w:r w:rsidRPr="0049394D">
              <w:t>LS-004-aligned population N=247</w:t>
            </w:r>
            <w:r w:rsidRPr="0049394D">
              <w:rPr>
                <w:vertAlign w:val="superscript"/>
              </w:rPr>
              <w:t>d</w:t>
            </w:r>
          </w:p>
        </w:tc>
        <w:tc>
          <w:tcPr>
            <w:tcW w:w="873" w:type="pct"/>
            <w:shd w:val="clear" w:color="auto" w:fill="auto"/>
            <w:vAlign w:val="center"/>
          </w:tcPr>
          <w:p w14:paraId="627172B3" w14:textId="77777777" w:rsidR="0024083E" w:rsidRPr="0049394D" w:rsidRDefault="0024083E" w:rsidP="00242CB1">
            <w:pPr>
              <w:pStyle w:val="TableText0"/>
              <w:jc w:val="center"/>
            </w:pPr>
            <w:r w:rsidRPr="0049394D">
              <w:t>Retrospective, observational, SC</w:t>
            </w:r>
          </w:p>
          <w:p w14:paraId="354A32E4" w14:textId="77777777" w:rsidR="0024083E" w:rsidRPr="0049394D" w:rsidRDefault="0024083E" w:rsidP="00242CB1">
            <w:pPr>
              <w:pStyle w:val="TableText0"/>
              <w:jc w:val="center"/>
            </w:pPr>
            <w:r w:rsidRPr="0049394D">
              <w:t>Study period July 2004-June 2020. Median follow-up 123.2 months</w:t>
            </w:r>
          </w:p>
        </w:tc>
        <w:tc>
          <w:tcPr>
            <w:tcW w:w="385" w:type="pct"/>
            <w:shd w:val="clear" w:color="auto" w:fill="auto"/>
            <w:vAlign w:val="center"/>
          </w:tcPr>
          <w:p w14:paraId="7A8F23F3" w14:textId="77777777" w:rsidR="0024083E" w:rsidRPr="0049394D" w:rsidRDefault="0024083E" w:rsidP="00242CB1">
            <w:pPr>
              <w:pStyle w:val="TableText0"/>
              <w:jc w:val="center"/>
            </w:pPr>
            <w:r w:rsidRPr="0049394D">
              <w:t>High</w:t>
            </w:r>
          </w:p>
        </w:tc>
        <w:tc>
          <w:tcPr>
            <w:tcW w:w="786" w:type="pct"/>
            <w:shd w:val="clear" w:color="auto" w:fill="auto"/>
            <w:vAlign w:val="center"/>
          </w:tcPr>
          <w:p w14:paraId="60631A49" w14:textId="77777777" w:rsidR="0024083E" w:rsidRPr="0049394D" w:rsidRDefault="0024083E" w:rsidP="00242CB1">
            <w:pPr>
              <w:pStyle w:val="TableText0"/>
              <w:jc w:val="center"/>
            </w:pPr>
            <w:r w:rsidRPr="0049394D">
              <w:t>Patients with VHL who had ≥1 non-metastatic RCC not receiving immediate surgery</w:t>
            </w:r>
          </w:p>
        </w:tc>
        <w:tc>
          <w:tcPr>
            <w:tcW w:w="1022" w:type="pct"/>
            <w:shd w:val="clear" w:color="auto" w:fill="auto"/>
            <w:vAlign w:val="center"/>
          </w:tcPr>
          <w:p w14:paraId="54F449D8" w14:textId="77777777" w:rsidR="0024083E" w:rsidRPr="0049394D" w:rsidRDefault="0024083E" w:rsidP="00242CB1">
            <w:pPr>
              <w:pStyle w:val="TableText0"/>
              <w:jc w:val="center"/>
            </w:pPr>
            <w:r w:rsidRPr="0049394D">
              <w:t>Primary: LGR (RCC)</w:t>
            </w:r>
          </w:p>
          <w:p w14:paraId="3AC1CFD1" w14:textId="77777777" w:rsidR="0024083E" w:rsidRPr="0049394D" w:rsidRDefault="0024083E" w:rsidP="00242CB1">
            <w:pPr>
              <w:pStyle w:val="TableText0"/>
              <w:jc w:val="center"/>
            </w:pPr>
            <w:r w:rsidRPr="0049394D">
              <w:t>Secondary: number of renal tumour reduction procedures, TTS, time between surgeries</w:t>
            </w:r>
          </w:p>
        </w:tc>
        <w:tc>
          <w:tcPr>
            <w:tcW w:w="755" w:type="pct"/>
            <w:shd w:val="clear" w:color="auto" w:fill="auto"/>
            <w:vAlign w:val="center"/>
          </w:tcPr>
          <w:p w14:paraId="384E516E" w14:textId="77777777" w:rsidR="0024083E" w:rsidRPr="0049394D" w:rsidRDefault="0024083E" w:rsidP="00242CB1">
            <w:pPr>
              <w:pStyle w:val="TableText0"/>
              <w:jc w:val="center"/>
              <w:rPr>
                <w:vertAlign w:val="superscript"/>
              </w:rPr>
            </w:pPr>
            <w:r w:rsidRPr="0049394D">
              <w:t>TTS, Time to metastatic disease</w:t>
            </w:r>
            <w:r w:rsidRPr="0049394D">
              <w:rPr>
                <w:vertAlign w:val="superscript"/>
              </w:rPr>
              <w:t>b</w:t>
            </w:r>
            <w:r w:rsidRPr="0049394D">
              <w:t>, OS</w:t>
            </w:r>
            <w:r w:rsidRPr="0049394D">
              <w:rPr>
                <w:vertAlign w:val="superscript"/>
              </w:rPr>
              <w:t>b</w:t>
            </w:r>
          </w:p>
        </w:tc>
      </w:tr>
    </w:tbl>
    <w:p w14:paraId="429A083A" w14:textId="21498241" w:rsidR="0024083E" w:rsidRPr="0049394D" w:rsidRDefault="0024083E" w:rsidP="0024083E">
      <w:pPr>
        <w:pStyle w:val="TableFigureFooter"/>
      </w:pPr>
      <w:r w:rsidRPr="0049394D">
        <w:t>Source: Table 2.2-1 and Table 2.4-18 of the submission, VHL-NHS CSR, .</w:t>
      </w:r>
    </w:p>
    <w:p w14:paraId="2A3A7156" w14:textId="77777777" w:rsidR="0024083E" w:rsidRPr="0049394D" w:rsidRDefault="0024083E" w:rsidP="0024083E">
      <w:pPr>
        <w:pStyle w:val="TableFigureFooter"/>
      </w:pPr>
      <w:r w:rsidRPr="0049394D">
        <w:t>CNS = central nervous system; DoR = duration of response; Hb = haemangioblastoma; LGR = linear growth rate; LS-004 = Litespark-004; MC = multi-centre; NHS = natural history study; OL = open label; ORR = overall response rate; OS = overall survival; P2 = phase 2; PFS = progression-free survival; pNET = pancreatic neuroendocrine tumour; RCC = renal cell carcinoma; SC = single centre; TTR = time to response; TTS = time to surgery; VHL = von Hippel-Lindau disease.</w:t>
      </w:r>
    </w:p>
    <w:p w14:paraId="1F1AC909" w14:textId="1C16BD86" w:rsidR="0024083E" w:rsidRPr="0049394D" w:rsidRDefault="0024083E" w:rsidP="0024083E">
      <w:pPr>
        <w:pStyle w:val="TableFigureFooter"/>
      </w:pPr>
      <w:r w:rsidRPr="0049394D">
        <w:rPr>
          <w:vertAlign w:val="superscript"/>
        </w:rPr>
        <w:t>a</w:t>
      </w:r>
      <w:r w:rsidRPr="0049394D">
        <w:rPr>
          <w:vertAlign w:val="superscript"/>
        </w:rPr>
        <w:tab/>
      </w:r>
      <w:r w:rsidRPr="0049394D">
        <w:t>Data cut-off 1 April, 2022.</w:t>
      </w:r>
      <w:r w:rsidR="000A583C">
        <w:t xml:space="preserve"> Data cut off 1 April, 2023 provided in the pre-PBAC response.</w:t>
      </w:r>
    </w:p>
    <w:p w14:paraId="619F1B1C" w14:textId="77777777" w:rsidR="0024083E" w:rsidRPr="0049394D" w:rsidRDefault="0024083E" w:rsidP="0024083E">
      <w:pPr>
        <w:pStyle w:val="TableFigureFooter"/>
      </w:pPr>
      <w:r w:rsidRPr="0049394D">
        <w:rPr>
          <w:vertAlign w:val="superscript"/>
        </w:rPr>
        <w:t>b</w:t>
      </w:r>
      <w:r w:rsidRPr="0049394D">
        <w:rPr>
          <w:vertAlign w:val="superscript"/>
        </w:rPr>
        <w:tab/>
      </w:r>
      <w:r w:rsidRPr="0049394D">
        <w:t>Not an outcome reported in VHL-NHS.</w:t>
      </w:r>
    </w:p>
    <w:p w14:paraId="2FDFEDE5" w14:textId="77777777" w:rsidR="0024083E" w:rsidRPr="0049394D" w:rsidRDefault="0024083E" w:rsidP="0024083E">
      <w:pPr>
        <w:pStyle w:val="TableFigureFooter"/>
      </w:pPr>
      <w:r w:rsidRPr="0049394D">
        <w:rPr>
          <w:vertAlign w:val="superscript"/>
        </w:rPr>
        <w:t>c</w:t>
      </w:r>
      <w:r w:rsidRPr="0049394D">
        <w:tab/>
        <w:t>Including two key subgroups, RCC+CNS Hb (n=50) and RCC+pNET (n=22)</w:t>
      </w:r>
    </w:p>
    <w:p w14:paraId="3CB6332C" w14:textId="77777777" w:rsidR="0024083E" w:rsidRPr="0049394D" w:rsidRDefault="0024083E" w:rsidP="0024083E">
      <w:pPr>
        <w:pStyle w:val="TableFigureFooter"/>
        <w:rPr>
          <w:szCs w:val="18"/>
        </w:rPr>
      </w:pPr>
      <w:r w:rsidRPr="0049394D">
        <w:rPr>
          <w:szCs w:val="18"/>
          <w:vertAlign w:val="superscript"/>
        </w:rPr>
        <w:t>d</w:t>
      </w:r>
      <w:r w:rsidRPr="0049394D">
        <w:rPr>
          <w:szCs w:val="18"/>
        </w:rPr>
        <w:tab/>
        <w:t>Identified as a subgroup from the primary study population (N = 308)</w:t>
      </w:r>
    </w:p>
    <w:p w14:paraId="34D5F5AD" w14:textId="30C39E09" w:rsidR="0024083E" w:rsidRPr="0049394D" w:rsidRDefault="0024083E" w:rsidP="0024083E">
      <w:pPr>
        <w:pStyle w:val="3-BodyText"/>
      </w:pPr>
      <w:r w:rsidRPr="0049394D">
        <w:t xml:space="preserve">LS-004 was a phase 2, open label, multicentre, single-arm study evaluating the efficacy and safety of belzutifan in adult patients with VHL disease with at least 1 measurable RCC no larger than 3.0 cm that required immediate surgery (N=61). The study included patients with other coexisting VHL-associated tumours at screening (such as CNS Hb, pNETs, and retinal Hb), but excluded patients with evidence of metastatic disease. A maximum of five ‘target’ lesions and five ‘non-target’ lesions identified at baseline in each VHL-associated organ system were followed. Patients received belzutifan 120 mg orally, once daily, plus active surveillance, consisting of imaging every 12 weeks for the first 3 years, then every 24 weeks thereafter. The primary outcome was overall </w:t>
      </w:r>
      <w:r w:rsidRPr="0049394D">
        <w:lastRenderedPageBreak/>
        <w:t>response rate based on organ-specific Response Evaluation Criteria in Solid Tumors (RECIST) 1.1 criteria for RCC. Secondary outcomes included overall response rates in coexisting CNS Hb and pNETs, time to response, duration of response, progression-free survival, time to surgery, number of surgeries, tumour linear growth rate before and after belzutifan, and safety. The study was still ongoing at the time of the submission, which presented data from Interim Analysis 4 (data cut-off date 1</w:t>
      </w:r>
      <w:r w:rsidRPr="0049394D">
        <w:rPr>
          <w:vertAlign w:val="superscript"/>
        </w:rPr>
        <w:t>st</w:t>
      </w:r>
      <w:r w:rsidRPr="0049394D">
        <w:t xml:space="preserve"> </w:t>
      </w:r>
      <w:r w:rsidR="00465819" w:rsidRPr="0049394D">
        <w:t>April</w:t>
      </w:r>
      <w:r w:rsidRPr="0049394D">
        <w:t xml:space="preserve"> 2022) with a median follow-up of 37.7 months.</w:t>
      </w:r>
      <w:r w:rsidR="000A583C">
        <w:t xml:space="preserve"> The pre-PBAC response</w:t>
      </w:r>
      <w:r w:rsidR="00840801">
        <w:t xml:space="preserve"> </w:t>
      </w:r>
      <w:r w:rsidR="000A583C">
        <w:t>presented updated data from Interim Analysis 5 (data cut-off date 1</w:t>
      </w:r>
      <w:r w:rsidR="000A583C" w:rsidRPr="00DE37A6">
        <w:rPr>
          <w:vertAlign w:val="superscript"/>
        </w:rPr>
        <w:t>st</w:t>
      </w:r>
      <w:r w:rsidR="000A583C">
        <w:t xml:space="preserve"> April 2023)</w:t>
      </w:r>
      <w:r w:rsidR="006700C0">
        <w:t xml:space="preserve"> (see paragraph </w:t>
      </w:r>
      <w:r w:rsidR="006700C0">
        <w:fldChar w:fldCharType="begin" w:fldLock="1"/>
      </w:r>
      <w:r w:rsidR="006700C0">
        <w:instrText xml:space="preserve"> REF _Ref172554877 \r \h </w:instrText>
      </w:r>
      <w:r w:rsidR="006700C0">
        <w:fldChar w:fldCharType="separate"/>
      </w:r>
      <w:r w:rsidR="00437B51">
        <w:t>6.21</w:t>
      </w:r>
      <w:r w:rsidR="006700C0">
        <w:fldChar w:fldCharType="end"/>
      </w:r>
      <w:r w:rsidR="006700C0">
        <w:t>).</w:t>
      </w:r>
    </w:p>
    <w:p w14:paraId="0F3ECDC2" w14:textId="5C5DEFA3" w:rsidR="0024083E" w:rsidRPr="0049394D" w:rsidRDefault="0024083E" w:rsidP="0024083E">
      <w:pPr>
        <w:pStyle w:val="3-BodyText"/>
      </w:pPr>
      <w:r w:rsidRPr="0049394D">
        <w:t>The VHL-NHS was a retrospective, single centre observational study with patients and outcomes identified from existing medical records. The study (not published) was conducted by the sponsor to better understand the natural history of VHL disease and to assist in interpreting the results of clinical studies such as LS-004. The study used the ‘National Cancer Institute Urologic Oncology Branch VHL Hereditary Database’ (referred to as the Database hereafter), consisting of VHL patients managed and treated at the National Institutes of Health Clinical Center in Bethesda, Maryland, USA. The VHL-NHS included patients with at least 1 RCC tumour identified and measured between 31 July 2004 and 30 June 2020, with a patient-level index date defined as the earliest radiology report of a measurable RCC. Further selection criteria were applied – based on the LS-004 selection criteria – to identify the LS-004-aligned population (N=247). The study also defined a tumour-level index date as the first serial measurement of each unique</w:t>
      </w:r>
      <w:r w:rsidR="00E16DEB" w:rsidRPr="0049394D">
        <w:t xml:space="preserve"> </w:t>
      </w:r>
      <w:r w:rsidR="00465819" w:rsidRPr="0049394D">
        <w:t>tumour and</w:t>
      </w:r>
      <w:r w:rsidRPr="0049394D">
        <w:t xml:space="preserve"> applied additional tumour-level exclusion criteria for the primary outcome of linear growth rate of RCC tumours. Secondary outcomes included time to RCC surgery, type of RCC surgery and time between RCC surgeries.</w:t>
      </w:r>
    </w:p>
    <w:p w14:paraId="1E6826B3" w14:textId="77777777" w:rsidR="003E2FF6" w:rsidRDefault="0024083E" w:rsidP="0024083E">
      <w:pPr>
        <w:pStyle w:val="3-BodyText"/>
      </w:pPr>
      <w:r w:rsidRPr="0049394D">
        <w:t xml:space="preserve">The submission considered that the overall risk of bias in both studies was high, given LS-004 was a single arm non-randomised study and VHL-NHS was a single cohort retrospective observational study. The submission assessed risk of bias based on the Cochrane Collaboration’s tool for randomised controlled trials rather than an alternative tool for assessing risk of bias in non-randomised studies (such as the ROBINS-I tool recommended in the PBAC guidelines). </w:t>
      </w:r>
    </w:p>
    <w:p w14:paraId="77685222" w14:textId="27E844A6" w:rsidR="0024083E" w:rsidRPr="0049394D" w:rsidRDefault="003E2FF6" w:rsidP="0024083E">
      <w:pPr>
        <w:pStyle w:val="3-BodyText"/>
      </w:pPr>
      <w:r w:rsidRPr="00BF3570">
        <w:rPr>
          <w:iCs/>
        </w:rPr>
        <w:t xml:space="preserve">While acknowledging the rarity of VHL-disease may pose challenges in generating more robust comparative evidence, the </w:t>
      </w:r>
      <w:r w:rsidR="00387F57" w:rsidRPr="00BF3570">
        <w:rPr>
          <w:iCs/>
        </w:rPr>
        <w:t>ESC noted the</w:t>
      </w:r>
      <w:r w:rsidR="0024083E" w:rsidRPr="00BF3570">
        <w:rPr>
          <w:iCs/>
        </w:rPr>
        <w:t>re</w:t>
      </w:r>
      <w:r w:rsidR="0024083E" w:rsidRPr="0049394D">
        <w:t xml:space="preserve"> was a high risk of bias associated with the comparison of results across both studies for the following reasons:</w:t>
      </w:r>
    </w:p>
    <w:p w14:paraId="0F9E029D" w14:textId="65EB9827" w:rsidR="0024083E" w:rsidRPr="0049394D" w:rsidRDefault="0024083E" w:rsidP="003E71CC">
      <w:pPr>
        <w:pStyle w:val="ListParagraph"/>
        <w:numPr>
          <w:ilvl w:val="0"/>
          <w:numId w:val="10"/>
        </w:numPr>
        <w:ind w:left="993" w:hanging="284"/>
      </w:pPr>
      <w:r w:rsidRPr="0049394D">
        <w:t>Patients enrolled in the two studies likely differed</w:t>
      </w:r>
      <w:r w:rsidR="0005359D">
        <w:t xml:space="preserve"> at baseline</w:t>
      </w:r>
      <w:r w:rsidRPr="0049394D">
        <w:t>. LS-004 prospectively enrolled a ‘prevalent’ population with RCC who met the pre-specified study selection criteria whereas VHL-NHS retrospectively identified an ‘incident’ population who met similar but not identical selection criteria (due to missing variables) at the time of their first RCC in the database (and tracked subsequent R</w:t>
      </w:r>
      <w:r w:rsidR="00FC2430" w:rsidRPr="0049394D">
        <w:t>C</w:t>
      </w:r>
      <w:r w:rsidRPr="0049394D">
        <w:t xml:space="preserve">C lesions independently). The omitted selection criteria (e.g. </w:t>
      </w:r>
      <w:r w:rsidR="007E1759" w:rsidRPr="0049394D">
        <w:t xml:space="preserve">Eastern Cooperative </w:t>
      </w:r>
      <w:r w:rsidR="007E1759" w:rsidRPr="0049394D">
        <w:lastRenderedPageBreak/>
        <w:t>Oncology Group Performance Status [</w:t>
      </w:r>
      <w:r w:rsidRPr="0049394D">
        <w:t>ECOG PS</w:t>
      </w:r>
      <w:r w:rsidR="007E1759" w:rsidRPr="0049394D">
        <w:t>]</w:t>
      </w:r>
      <w:r w:rsidRPr="0049394D">
        <w:t xml:space="preserve"> score of 0 or 1, ≥18 years, adequate liver and kidney function, no prior radiotherapy within pr</w:t>
      </w:r>
      <w:r w:rsidR="008C716C" w:rsidRPr="0049394D">
        <w:t>ev</w:t>
      </w:r>
      <w:r w:rsidRPr="0049394D">
        <w:t>io</w:t>
      </w:r>
      <w:r w:rsidR="008C716C" w:rsidRPr="0049394D">
        <w:t>us</w:t>
      </w:r>
      <w:r w:rsidRPr="0049394D">
        <w:t xml:space="preserve"> 4 weeks, no significant comorbidities and no history of major cardiovascular events within pr</w:t>
      </w:r>
      <w:r w:rsidR="006E7D40" w:rsidRPr="0049394D">
        <w:t>ev</w:t>
      </w:r>
      <w:r w:rsidRPr="0049394D">
        <w:t>io</w:t>
      </w:r>
      <w:r w:rsidR="006E7D40" w:rsidRPr="0049394D">
        <w:t>us</w:t>
      </w:r>
      <w:r w:rsidRPr="0049394D">
        <w:t xml:space="preserve"> 6 months) meant some prognostic factors likely differed across the two populations. Based on available baseline data, the two populations differed in terms of disease subtype</w:t>
      </w:r>
      <w:r w:rsidR="005600B9" w:rsidRPr="0049394D">
        <w:t xml:space="preserve"> (a higher proportion with subtype 1 disease in LS-004)</w:t>
      </w:r>
      <w:r w:rsidRPr="0049394D">
        <w:t xml:space="preserve">, prevalence of non-RCC tumours </w:t>
      </w:r>
      <w:r w:rsidR="005600B9" w:rsidRPr="0049394D">
        <w:t xml:space="preserve">(higher and lower proportions in LS-004, depending on the tumour type) </w:t>
      </w:r>
      <w:r w:rsidRPr="0049394D">
        <w:t xml:space="preserve">and prior procedures (considerably more prior surgeries in LS-004). The extent of bias related to an imbalance of unobserved prognostic factors after matching on observed characteristics was unknown. The different baseline </w:t>
      </w:r>
      <w:r w:rsidR="003458F3" w:rsidRPr="0049394D">
        <w:t xml:space="preserve">time points with respect to tumour diagnosis </w:t>
      </w:r>
      <w:r w:rsidRPr="0049394D">
        <w:t xml:space="preserve">(e.g. LS-004 </w:t>
      </w:r>
      <w:r w:rsidR="003458F3" w:rsidRPr="0049394D">
        <w:t xml:space="preserve">followed patients from </w:t>
      </w:r>
      <w:r w:rsidR="002D695F" w:rsidRPr="0049394D">
        <w:t>enrolment,</w:t>
      </w:r>
      <w:r w:rsidR="003458F3" w:rsidRPr="0049394D">
        <w:t xml:space="preserve"> which was likely </w:t>
      </w:r>
      <w:r w:rsidR="00465819" w:rsidRPr="0049394D">
        <w:t>sometime</w:t>
      </w:r>
      <w:r w:rsidR="003458F3" w:rsidRPr="0049394D">
        <w:t xml:space="preserve"> after RCC diagnosis, whereas VHL-NHS followed patients from RCC diagnosis)</w:t>
      </w:r>
      <w:r w:rsidRPr="0049394D">
        <w:t xml:space="preserve"> also likely introduced bias </w:t>
      </w:r>
      <w:r w:rsidR="00E24045" w:rsidRPr="0049394D">
        <w:t xml:space="preserve">for </w:t>
      </w:r>
      <w:r w:rsidRPr="0049394D">
        <w:t>the comparison of outcomes</w:t>
      </w:r>
      <w:r w:rsidR="008B25F3" w:rsidRPr="0049394D">
        <w:t>,</w:t>
      </w:r>
      <w:r w:rsidRPr="0049394D">
        <w:t xml:space="preserve"> particularly time to surgery.</w:t>
      </w:r>
      <w:r w:rsidR="00634527" w:rsidRPr="0049394D">
        <w:t xml:space="preserve"> </w:t>
      </w:r>
      <w:r w:rsidR="00634527" w:rsidRPr="00BF3570">
        <w:rPr>
          <w:iCs/>
        </w:rPr>
        <w:t xml:space="preserve">The PSCR </w:t>
      </w:r>
      <w:r w:rsidR="009E488F" w:rsidRPr="00BF3570">
        <w:rPr>
          <w:iCs/>
        </w:rPr>
        <w:t>clarified</w:t>
      </w:r>
      <w:r w:rsidR="00634527" w:rsidRPr="00BF3570">
        <w:rPr>
          <w:iCs/>
        </w:rPr>
        <w:t xml:space="preserve"> that the patient level index date in the VHL-NHS was defined as the earliest radiology report of a measurable renal solid tumour during the VHL-NHS period,</w:t>
      </w:r>
      <w:r w:rsidR="00052627" w:rsidRPr="00BF3570">
        <w:rPr>
          <w:iCs/>
        </w:rPr>
        <w:t xml:space="preserve"> and</w:t>
      </w:r>
      <w:r w:rsidR="00634527" w:rsidRPr="00BF3570">
        <w:rPr>
          <w:iCs/>
        </w:rPr>
        <w:t xml:space="preserve"> this was not </w:t>
      </w:r>
      <w:r w:rsidR="009E488F" w:rsidRPr="00BF3570">
        <w:rPr>
          <w:iCs/>
        </w:rPr>
        <w:t xml:space="preserve">necessarily </w:t>
      </w:r>
      <w:r w:rsidR="00634527" w:rsidRPr="00BF3570">
        <w:rPr>
          <w:iCs/>
        </w:rPr>
        <w:t xml:space="preserve">the time of VHL diagnosis. Patients may have </w:t>
      </w:r>
      <w:r w:rsidR="00052627" w:rsidRPr="00BF3570">
        <w:rPr>
          <w:iCs/>
        </w:rPr>
        <w:t xml:space="preserve">had </w:t>
      </w:r>
      <w:r w:rsidR="00634527" w:rsidRPr="00BF3570">
        <w:rPr>
          <w:iCs/>
        </w:rPr>
        <w:t xml:space="preserve">a record of this same tumour prior to the beginning of the study window or a record of other tumours that were surgically resected. </w:t>
      </w:r>
      <w:r w:rsidRPr="0049394D">
        <w:t>The studies were conducted at different centres, in different countries and in different time periods. LS-004 enrolled patients at 11 centres across 4 countries (78.7% of patients were enrolled in centres in the USA) between May 2018 to March 2019 whereas VHL-NHS identified patients at 1 centre in the USA (although 21.3% of patients in LS-004 were enrolled at the same centre) between 31 July 2004 and 30 June 2020. The impact of these differences was unknown.</w:t>
      </w:r>
      <w:r w:rsidR="0007448D" w:rsidRPr="0049394D">
        <w:t xml:space="preserve"> The submission </w:t>
      </w:r>
      <w:r w:rsidR="00CC72AE" w:rsidRPr="0049394D">
        <w:t>considered that</w:t>
      </w:r>
      <w:r w:rsidR="0007448D" w:rsidRPr="0049394D">
        <w:t xml:space="preserve"> </w:t>
      </w:r>
      <w:r w:rsidR="00CC72AE" w:rsidRPr="0049394D">
        <w:t xml:space="preserve">Australian patients were broadly similar to patients enrolled in LS-004 and VHL-NHS, but treatment of patients in practice would likely differ. </w:t>
      </w:r>
      <w:r w:rsidR="00B00534" w:rsidRPr="0049394D">
        <w:t>The submission adjusted the rates of surgery and metastases i</w:t>
      </w:r>
      <w:r w:rsidR="00CC72AE" w:rsidRPr="0049394D">
        <w:t xml:space="preserve">n the </w:t>
      </w:r>
      <w:r w:rsidR="00B00534" w:rsidRPr="0049394D">
        <w:t xml:space="preserve">economic evaluation to account for the ‘best practice’ care received by patients </w:t>
      </w:r>
      <w:r w:rsidR="00CC72AE" w:rsidRPr="0049394D">
        <w:t>in LS-004 and VHL-NHS</w:t>
      </w:r>
      <w:r w:rsidR="00B00534" w:rsidRPr="0049394D">
        <w:t xml:space="preserve">. Overall, the </w:t>
      </w:r>
      <w:r w:rsidR="0007448D" w:rsidRPr="0049394D">
        <w:t>generalisability of the results to the Australian population living with VHL disease</w:t>
      </w:r>
      <w:r w:rsidR="00B00534" w:rsidRPr="0049394D">
        <w:t xml:space="preserve"> was unknown.</w:t>
      </w:r>
      <w:r w:rsidR="002C3C0B" w:rsidRPr="0049394D">
        <w:t xml:space="preserve"> </w:t>
      </w:r>
      <w:r w:rsidR="002C3C0B" w:rsidRPr="00BF3570">
        <w:rPr>
          <w:iCs/>
        </w:rPr>
        <w:t xml:space="preserve">The PSCR argued that LS-004 is the largest prospective interventional study in a VHL population to date and the large sample size of the VHL-NHS (N=776) enabled the identification of a comparable patient population to LS-004 (inclusion/exclusion criteria). The PSCR acknowledged that Australian sites were not included in either LS-004 or VHL-NHS, however </w:t>
      </w:r>
      <w:r w:rsidR="00A36BDE" w:rsidRPr="00BF3570">
        <w:rPr>
          <w:iCs/>
        </w:rPr>
        <w:t xml:space="preserve">stated that </w:t>
      </w:r>
      <w:r w:rsidR="002C3C0B" w:rsidRPr="00BF3570">
        <w:rPr>
          <w:iCs/>
        </w:rPr>
        <w:t xml:space="preserve">the population and ethnic demographics </w:t>
      </w:r>
      <w:r w:rsidR="00A36BDE" w:rsidRPr="00BF3570">
        <w:rPr>
          <w:iCs/>
        </w:rPr>
        <w:t>of patients included in the studies were</w:t>
      </w:r>
      <w:r w:rsidR="002C3C0B" w:rsidRPr="00BF3570">
        <w:rPr>
          <w:iCs/>
        </w:rPr>
        <w:t xml:space="preserve"> comparable.</w:t>
      </w:r>
    </w:p>
    <w:p w14:paraId="3BD70A17" w14:textId="6D2E23BD" w:rsidR="0024083E" w:rsidRPr="0049394D" w:rsidRDefault="0024083E" w:rsidP="003E71CC">
      <w:pPr>
        <w:pStyle w:val="ListParagraph"/>
        <w:numPr>
          <w:ilvl w:val="0"/>
          <w:numId w:val="10"/>
        </w:numPr>
        <w:ind w:left="993" w:hanging="284"/>
      </w:pPr>
      <w:r w:rsidRPr="0049394D">
        <w:t xml:space="preserve">Active surveillance and the timing of outcome detection likely differed across the studies. Aside from potential differences in active surveillance related to the different time periods (i.e. improvements in imaging), patients in LS-004 were monitored every 12 weeks for three years and then every 24 weeks thereafter with outcomes determined by an independent review committee, whereas active surveillance in VHL-NHS was based on routine care at intervals determined by the treating physician with outcomes coded from available medical records at the </w:t>
      </w:r>
      <w:r w:rsidRPr="0049394D">
        <w:lastRenderedPageBreak/>
        <w:t xml:space="preserve">single centre. These outcomes may not have included all tumours or lesions, and may not have been performed in a standardised manner. </w:t>
      </w:r>
      <w:r w:rsidR="00A14FD5" w:rsidRPr="00BF3570">
        <w:rPr>
          <w:iCs/>
        </w:rPr>
        <w:t xml:space="preserve">The </w:t>
      </w:r>
      <w:r w:rsidR="00F35FBC" w:rsidRPr="00BF3570">
        <w:rPr>
          <w:iCs/>
        </w:rPr>
        <w:t>PSCR acknowledged</w:t>
      </w:r>
      <w:r w:rsidR="00A14FD5" w:rsidRPr="00BF3570">
        <w:rPr>
          <w:iCs/>
        </w:rPr>
        <w:t xml:space="preserve"> potential differences between LS-004 and VHL-NHS with respect to outcome timing and reporting. Specifically, the time to first surgery measured in VHL-NHS may be artificially longer than in a clinical trial due to more frequent scanning in LS-004. However, it was noted that Centres of Excellence (CoEs) were selected for VHL-NHS, which comply with VHL Alliance guidelines</w:t>
      </w:r>
      <w:r w:rsidR="009911B3" w:rsidRPr="00BF3570">
        <w:rPr>
          <w:iCs/>
        </w:rPr>
        <w:t xml:space="preserve"> that </w:t>
      </w:r>
      <w:r w:rsidR="00A14FD5" w:rsidRPr="00BF3570">
        <w:rPr>
          <w:iCs/>
        </w:rPr>
        <w:t>recommend monitoring every 3</w:t>
      </w:r>
      <w:r w:rsidR="00A14FD5" w:rsidRPr="00BF3570">
        <w:rPr>
          <w:rFonts w:cstheme="minorHAnsi"/>
          <w:iCs/>
        </w:rPr>
        <w:t>−</w:t>
      </w:r>
      <w:r w:rsidR="00A14FD5" w:rsidRPr="00BF3570">
        <w:rPr>
          <w:iCs/>
        </w:rPr>
        <w:t>6 months for RCC tumours &lt;3cm, which is a similar duration to LS-004 (every 12</w:t>
      </w:r>
      <w:r w:rsidR="00A14FD5" w:rsidRPr="00BF3570">
        <w:rPr>
          <w:rFonts w:cstheme="minorHAnsi"/>
          <w:iCs/>
        </w:rPr>
        <w:t>−</w:t>
      </w:r>
      <w:r w:rsidR="00A14FD5" w:rsidRPr="00BF3570">
        <w:rPr>
          <w:iCs/>
        </w:rPr>
        <w:t>24 weeks).</w:t>
      </w:r>
      <w:r w:rsidR="009911B3" w:rsidRPr="00BF3570">
        <w:rPr>
          <w:iCs/>
        </w:rPr>
        <w:t xml:space="preserve"> </w:t>
      </w:r>
    </w:p>
    <w:p w14:paraId="43AAF204" w14:textId="7E2B9A88" w:rsidR="0024083E" w:rsidRPr="0049394D" w:rsidRDefault="0024083E" w:rsidP="003E71CC">
      <w:pPr>
        <w:pStyle w:val="ListParagraph"/>
        <w:numPr>
          <w:ilvl w:val="0"/>
          <w:numId w:val="10"/>
        </w:numPr>
        <w:ind w:left="993" w:hanging="284"/>
      </w:pPr>
      <w:r w:rsidRPr="0049394D">
        <w:t xml:space="preserve">The type of data available and the risk of missing data was likely different across the studies. There was minimal missing data in LS-004, whereas the extent of missing data, including missing or incomplete clinical records in VHL-NHS and treatments or procedures patients may have received at other clinical centres, was unknown. To mitigate against the risk of too few tumour diameter measurements in VHL-NHS leading to unstable estimates of linear growth rate, the VHL-NHS analysis was limited to patients with </w:t>
      </w:r>
      <w:r w:rsidRPr="0049394D">
        <w:rPr>
          <w:rFonts w:cstheme="minorHAnsi"/>
        </w:rPr>
        <w:t>≥</w:t>
      </w:r>
      <w:r w:rsidRPr="0049394D">
        <w:t>3 serial measurements, which reduced the sample size from 247 to 114</w:t>
      </w:r>
      <w:r w:rsidR="00C86939" w:rsidRPr="0049394D">
        <w:t xml:space="preserve"> (</w:t>
      </w:r>
      <w:r w:rsidR="00716C5B" w:rsidRPr="0049394D">
        <w:t xml:space="preserve">this potentially </w:t>
      </w:r>
      <w:r w:rsidR="00C86939" w:rsidRPr="0049394D">
        <w:t xml:space="preserve">introduced further </w:t>
      </w:r>
      <w:r w:rsidR="00716C5B" w:rsidRPr="0049394D">
        <w:t xml:space="preserve">selection </w:t>
      </w:r>
      <w:r w:rsidR="00C86939" w:rsidRPr="0049394D">
        <w:t>bias</w:t>
      </w:r>
      <w:r w:rsidR="00716C5B" w:rsidRPr="0049394D">
        <w:t xml:space="preserve">, </w:t>
      </w:r>
      <w:r w:rsidR="00C86939" w:rsidRPr="0049394D">
        <w:t>however, the growth rates estimate in VHL-NHS were similar to the pre-study period in LS-004).</w:t>
      </w:r>
      <w:r w:rsidR="005E32EB" w:rsidRPr="0049394D">
        <w:t xml:space="preserve"> </w:t>
      </w:r>
      <w:r w:rsidR="005E32EB" w:rsidRPr="00BF3570">
        <w:rPr>
          <w:iCs/>
        </w:rPr>
        <w:t xml:space="preserve">The </w:t>
      </w:r>
      <w:r w:rsidR="00F35FBC" w:rsidRPr="00BF3570">
        <w:rPr>
          <w:iCs/>
        </w:rPr>
        <w:t>PSCR argued</w:t>
      </w:r>
      <w:r w:rsidR="005E32EB" w:rsidRPr="00BF3570">
        <w:rPr>
          <w:iCs/>
        </w:rPr>
        <w:t xml:space="preserve"> that to mitigate the impact of other outcomes, such as missing metastasis, subgroup analyses were conducted, e.g. including and excluding missing dates of metastasis, which demonstrated no substantial differences between these subgroups.</w:t>
      </w:r>
    </w:p>
    <w:p w14:paraId="02CC6EBF" w14:textId="1B7B24F2" w:rsidR="00634527" w:rsidRPr="0049394D" w:rsidRDefault="009E488F" w:rsidP="009E488F">
      <w:pPr>
        <w:pStyle w:val="3-BodyText"/>
      </w:pPr>
      <w:r w:rsidRPr="00BF3570">
        <w:rPr>
          <w:iCs/>
        </w:rPr>
        <w:t xml:space="preserve">The </w:t>
      </w:r>
      <w:r w:rsidR="00F35FBC" w:rsidRPr="00BF3570">
        <w:rPr>
          <w:iCs/>
        </w:rPr>
        <w:t>PSCR argued</w:t>
      </w:r>
      <w:r w:rsidRPr="00BF3570">
        <w:rPr>
          <w:iCs/>
        </w:rPr>
        <w:t xml:space="preserve"> that comparing the number of surgeries over similar follow-up periods is</w:t>
      </w:r>
      <w:r w:rsidR="005E32EB" w:rsidRPr="00BF3570">
        <w:rPr>
          <w:iCs/>
        </w:rPr>
        <w:t xml:space="preserve"> an</w:t>
      </w:r>
      <w:r w:rsidRPr="00BF3570">
        <w:rPr>
          <w:iCs/>
        </w:rPr>
        <w:t xml:space="preserve"> informative</w:t>
      </w:r>
      <w:r w:rsidR="005E32EB" w:rsidRPr="00BF3570">
        <w:rPr>
          <w:iCs/>
        </w:rPr>
        <w:t xml:space="preserve"> way</w:t>
      </w:r>
      <w:r w:rsidRPr="00BF3570">
        <w:rPr>
          <w:iCs/>
        </w:rPr>
        <w:t xml:space="preserve"> to better understand the impact of baseline characteristics on the rate of surgery. It stated that there w</w:t>
      </w:r>
      <w:r w:rsidR="00555EFB" w:rsidRPr="00BF3570">
        <w:rPr>
          <w:iCs/>
        </w:rPr>
        <w:t>as</w:t>
      </w:r>
      <w:r w:rsidRPr="00BF3570">
        <w:rPr>
          <w:iCs/>
        </w:rPr>
        <w:t xml:space="preserve"> a similar proportion of patients who underwent a renal reduction surgery in approximately 2 years prior to belzutifan enrolment to a similar period of follow-up in the LS-004-aligned population from the VHL-NHS, and therefore despite the differences in the study design, there </w:t>
      </w:r>
      <w:r w:rsidR="005E32EB" w:rsidRPr="00BF3570">
        <w:rPr>
          <w:iCs/>
        </w:rPr>
        <w:t>remains</w:t>
      </w:r>
      <w:r w:rsidRPr="00BF3570">
        <w:rPr>
          <w:iCs/>
        </w:rPr>
        <w:t xml:space="preserve"> a high degree of transitivity between the studies. </w:t>
      </w:r>
      <w:r w:rsidR="00C8254E" w:rsidRPr="00BF3570">
        <w:rPr>
          <w:iCs/>
        </w:rPr>
        <w:t>The ESC acknowledged the rarity of VHL-disease may pose challenges in generating more robust comparative evidence.</w:t>
      </w:r>
    </w:p>
    <w:p w14:paraId="10135F3E" w14:textId="77777777" w:rsidR="0024083E" w:rsidRPr="0049394D" w:rsidRDefault="0024083E" w:rsidP="0024083E">
      <w:pPr>
        <w:pStyle w:val="3-BodyText"/>
      </w:pPr>
      <w:r w:rsidRPr="0049394D">
        <w:t xml:space="preserve">Overall survival and progression-free or metastatic-free survival are generally considered the most relevant outcomes in oncology trials. The submission stated comparing these outcomes for patients with non-metastatic VHL was not feasible due to the expected disease course of these patients. In LS-004, only one patient developed metastatic disease and only two patients died during the three years of follow-up. The submission argued that surgery-related outcomes (e.g. time to surgery, type of surgery) were considered to be more clinically important for these patients given current practice focuses on minimising the frequency of surgical interventions to avoid surgery-related morbidities. Patient interviews presented in the submission highlighted the mental and physical burden of repeated surgery, in addition to the burden associated with the anticipation of future surgery. The decision to perform </w:t>
      </w:r>
      <w:r w:rsidRPr="0049394D">
        <w:lastRenderedPageBreak/>
        <w:t>surgery is largely determined by tumour size for RCC and pNET tumours to prevent the development of metastatic disease, or by the manifestation of symptoms (highly correlated with tumour size) for CNS Hb. Hence, other outcomes associated with the change in tumour size (including tumour growth rate, tumour response rate and progressive disease) were also considered to be relevant outcomes.</w:t>
      </w:r>
    </w:p>
    <w:p w14:paraId="5239948E" w14:textId="77777777" w:rsidR="0024083E" w:rsidRPr="0049394D" w:rsidRDefault="0024083E" w:rsidP="0024083E">
      <w:pPr>
        <w:pStyle w:val="3-BodyText"/>
      </w:pPr>
      <w:r w:rsidRPr="0049394D">
        <w:t xml:space="preserve">The only common outcomes reported in both LS-004 and VHL-NHS were linear growth rate and time-to-surgery for RCC tumours. Linear growth rate (mm/year) in target tumours was calculated at the tumour- and patient-level in both studies using a linear regression model of tumour size and time as a continuous variable. In LS-004, the linear growth rate was estimated for each treatment phase (before and after initiation of treatment) in patients with </w:t>
      </w:r>
      <w:r w:rsidRPr="0049394D">
        <w:rPr>
          <w:rFonts w:cstheme="minorHAnsi"/>
        </w:rPr>
        <w:t>≥</w:t>
      </w:r>
      <w:r w:rsidRPr="0049394D">
        <w:t xml:space="preserve"> 3 scans including the screening scan. In VHL-NHS, a single linear growth rate was estimated in patients with </w:t>
      </w:r>
      <w:r w:rsidRPr="0049394D">
        <w:rPr>
          <w:rFonts w:cstheme="minorHAnsi"/>
        </w:rPr>
        <w:t>≥</w:t>
      </w:r>
      <w:r w:rsidRPr="0049394D">
        <w:t xml:space="preserve"> 3 serial measurements from the tumour-index date until the end of the tumour follow-up period. Time-to-surgery was defined as the interval from baseline (LS-004) or the patient-level index date (VHL-NHS) to the first renal tumour reduction surgery – including partial nephrectomy, ablative procedures and tumour debulking surgeries but excluding radiation therapy.</w:t>
      </w:r>
    </w:p>
    <w:p w14:paraId="0604ECEC" w14:textId="77777777" w:rsidR="0024083E" w:rsidRPr="0049394D" w:rsidRDefault="0024083E" w:rsidP="0024083E">
      <w:pPr>
        <w:pStyle w:val="4-SubsectionHeading"/>
      </w:pPr>
      <w:bookmarkStart w:id="34" w:name="_Toc22897641"/>
      <w:bookmarkStart w:id="35" w:name="_Toc167277633"/>
      <w:r w:rsidRPr="0049394D">
        <w:t>Comparative effectiveness</w:t>
      </w:r>
      <w:bookmarkEnd w:id="34"/>
      <w:bookmarkEnd w:id="35"/>
    </w:p>
    <w:p w14:paraId="0601CB57" w14:textId="77777777" w:rsidR="0024083E" w:rsidRPr="0049394D" w:rsidRDefault="0024083E" w:rsidP="0024083E">
      <w:pPr>
        <w:pStyle w:val="3-BodyText"/>
        <w:numPr>
          <w:ilvl w:val="0"/>
          <w:numId w:val="0"/>
        </w:numPr>
        <w:ind w:left="720" w:hanging="720"/>
        <w:rPr>
          <w:u w:val="single"/>
        </w:rPr>
      </w:pPr>
      <w:r w:rsidRPr="0049394D">
        <w:rPr>
          <w:u w:val="single"/>
        </w:rPr>
        <w:t>LS-004 and VHL-NHS (LS-004-aligned population) data, prior to matching</w:t>
      </w:r>
    </w:p>
    <w:bookmarkStart w:id="36" w:name="_Ref172205388"/>
    <w:p w14:paraId="0DE28587" w14:textId="70EE519C" w:rsidR="0024083E" w:rsidRPr="0049394D" w:rsidRDefault="0024083E" w:rsidP="0024083E">
      <w:pPr>
        <w:pStyle w:val="3-BodyText"/>
        <w:spacing w:before="240"/>
      </w:pPr>
      <w:r w:rsidRPr="0049394D">
        <w:fldChar w:fldCharType="begin" w:fldLock="1"/>
      </w:r>
      <w:r w:rsidRPr="0049394D">
        <w:instrText xml:space="preserve"> REF _Ref166485866 \h </w:instrText>
      </w:r>
      <w:r w:rsidRPr="0049394D">
        <w:fldChar w:fldCharType="separate"/>
      </w:r>
      <w:r w:rsidR="00437B51" w:rsidRPr="0049394D">
        <w:t xml:space="preserve">Table </w:t>
      </w:r>
      <w:r w:rsidR="00437B51">
        <w:rPr>
          <w:noProof/>
        </w:rPr>
        <w:t>6</w:t>
      </w:r>
      <w:r w:rsidRPr="0049394D">
        <w:fldChar w:fldCharType="end"/>
      </w:r>
      <w:r w:rsidRPr="0049394D">
        <w:t xml:space="preserve"> presents the estimated linear growth rate of RCC tumours in LS-004 and the LS-004-aligned population in VHL-NHS, at the patient-level. The results of LS-004 showed that RCC tumours were growing at </w:t>
      </w:r>
      <w:r w:rsidR="00FA10E6" w:rsidRPr="0049394D">
        <w:t xml:space="preserve">a </w:t>
      </w:r>
      <w:r w:rsidRPr="0049394D">
        <w:t>median 3.38</w:t>
      </w:r>
      <w:r w:rsidRPr="0049394D">
        <w:rPr>
          <w:b/>
        </w:rPr>
        <w:t xml:space="preserve"> </w:t>
      </w:r>
      <w:r w:rsidRPr="0049394D">
        <w:t>mm/year (range: -2.89, 12.79) prior to belzutifan treatment and -2.20 mm/year (range: -9.12, 2.47) after commencing belzutifan treatment. The median linear growth rate prior to belzutifan was similar to the median growth rate in LS-004-aligned patients in VHL-NHS of 3.54 mm/year (range: -2.32, 9.78). The submission stated that the similarity in these estimates suggests that the pre-treatment period in LS-004 accurately reflects the natural history of VHL-associated RCC tumour growth. The results by quartiles prior to belzutifan treatment in LS-004 also suggests that belzutifan is effective for both slow- and fast-growing tumours. Similar results were found in the tumour-level analysis.</w:t>
      </w:r>
      <w:bookmarkEnd w:id="36"/>
    </w:p>
    <w:p w14:paraId="46293301" w14:textId="66C8E397" w:rsidR="0024083E" w:rsidRPr="0049394D" w:rsidRDefault="0024083E" w:rsidP="005C19E6">
      <w:pPr>
        <w:pStyle w:val="Caption"/>
        <w:pageBreakBefore/>
        <w:jc w:val="left"/>
      </w:pPr>
      <w:bookmarkStart w:id="37" w:name="_Ref166485866"/>
      <w:r w:rsidRPr="0049394D">
        <w:lastRenderedPageBreak/>
        <w:t xml:space="preserve">Table </w:t>
      </w:r>
      <w:r>
        <w:fldChar w:fldCharType="begin" w:fldLock="1"/>
      </w:r>
      <w:r>
        <w:instrText xml:space="preserve"> SEQ Table \* ARABIC </w:instrText>
      </w:r>
      <w:r>
        <w:fldChar w:fldCharType="separate"/>
      </w:r>
      <w:r w:rsidR="00437B51">
        <w:rPr>
          <w:noProof/>
        </w:rPr>
        <w:t>6</w:t>
      </w:r>
      <w:r>
        <w:rPr>
          <w:noProof/>
        </w:rPr>
        <w:fldChar w:fldCharType="end"/>
      </w:r>
      <w:bookmarkEnd w:id="37"/>
      <w:r w:rsidRPr="0049394D">
        <w:t>:</w:t>
      </w:r>
      <w:r w:rsidRPr="0049394D">
        <w:rPr>
          <w:rStyle w:val="CommentReference"/>
          <w:b/>
          <w:szCs w:val="24"/>
        </w:rPr>
        <w:t xml:space="preserve"> Results of patient-level linear growth rate (mm/year) for RCC (per investigator assessment)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sults of patient-level linear growth rate (mm/year) for RCC (per investigator assessment)"/>
      </w:tblPr>
      <w:tblGrid>
        <w:gridCol w:w="2830"/>
        <w:gridCol w:w="2061"/>
        <w:gridCol w:w="2063"/>
        <w:gridCol w:w="2063"/>
      </w:tblGrid>
      <w:tr w:rsidR="0024083E" w:rsidRPr="0049394D" w14:paraId="58C32EBB" w14:textId="77777777" w:rsidTr="00242CB1">
        <w:trPr>
          <w:trHeight w:val="416"/>
        </w:trPr>
        <w:tc>
          <w:tcPr>
            <w:tcW w:w="1569" w:type="pct"/>
            <w:vMerge w:val="restart"/>
            <w:vAlign w:val="center"/>
          </w:tcPr>
          <w:p w14:paraId="35969896" w14:textId="77777777" w:rsidR="0024083E" w:rsidRPr="0049394D" w:rsidRDefault="0024083E" w:rsidP="005C19E6">
            <w:pPr>
              <w:pStyle w:val="In-tableHeading"/>
              <w:keepLines/>
              <w:jc w:val="center"/>
              <w:rPr>
                <w:lang w:val="en-AU"/>
              </w:rPr>
            </w:pPr>
          </w:p>
        </w:tc>
        <w:tc>
          <w:tcPr>
            <w:tcW w:w="2287" w:type="pct"/>
            <w:gridSpan w:val="2"/>
            <w:tcBorders>
              <w:bottom w:val="single" w:sz="4" w:space="0" w:color="auto"/>
            </w:tcBorders>
            <w:vAlign w:val="center"/>
          </w:tcPr>
          <w:p w14:paraId="6D68898E" w14:textId="77777777" w:rsidR="0024083E" w:rsidRPr="0049394D" w:rsidRDefault="0024083E" w:rsidP="005C19E6">
            <w:pPr>
              <w:pStyle w:val="In-tableHeading"/>
              <w:keepLines/>
              <w:jc w:val="center"/>
              <w:rPr>
                <w:lang w:val="en-AU"/>
              </w:rPr>
            </w:pPr>
            <w:r w:rsidRPr="0049394D">
              <w:rPr>
                <w:lang w:val="en-AU"/>
              </w:rPr>
              <w:t>LS-004 (N=61)</w:t>
            </w:r>
          </w:p>
        </w:tc>
        <w:tc>
          <w:tcPr>
            <w:tcW w:w="1144" w:type="pct"/>
            <w:vMerge w:val="restart"/>
            <w:vAlign w:val="center"/>
          </w:tcPr>
          <w:p w14:paraId="5E720F56" w14:textId="77777777" w:rsidR="0024083E" w:rsidRPr="0049394D" w:rsidRDefault="0024083E" w:rsidP="005C19E6">
            <w:pPr>
              <w:pStyle w:val="In-tableHeading"/>
              <w:keepLines/>
              <w:jc w:val="center"/>
              <w:rPr>
                <w:lang w:val="en-AU"/>
              </w:rPr>
            </w:pPr>
            <w:r w:rsidRPr="0049394D">
              <w:rPr>
                <w:lang w:val="en-AU"/>
              </w:rPr>
              <w:t>LS-004-aligned population in VHL-NHS ≥3 serial measurements</w:t>
            </w:r>
          </w:p>
        </w:tc>
      </w:tr>
      <w:tr w:rsidR="0024083E" w:rsidRPr="0049394D" w14:paraId="4D743034" w14:textId="77777777" w:rsidTr="00242CB1">
        <w:tc>
          <w:tcPr>
            <w:tcW w:w="1569" w:type="pct"/>
            <w:vMerge/>
            <w:vAlign w:val="center"/>
          </w:tcPr>
          <w:p w14:paraId="52E4A9A1" w14:textId="77777777" w:rsidR="0024083E" w:rsidRPr="0049394D" w:rsidRDefault="0024083E" w:rsidP="005C19E6">
            <w:pPr>
              <w:pStyle w:val="In-tableHeading"/>
              <w:keepLines/>
              <w:jc w:val="center"/>
              <w:rPr>
                <w:lang w:val="en-AU"/>
              </w:rPr>
            </w:pPr>
          </w:p>
        </w:tc>
        <w:tc>
          <w:tcPr>
            <w:tcW w:w="1143" w:type="pct"/>
            <w:vAlign w:val="center"/>
          </w:tcPr>
          <w:p w14:paraId="294C5C55" w14:textId="77777777" w:rsidR="0024083E" w:rsidRPr="0049394D" w:rsidRDefault="0024083E" w:rsidP="005C19E6">
            <w:pPr>
              <w:pStyle w:val="In-tableHeading"/>
              <w:keepLines/>
              <w:jc w:val="center"/>
              <w:rPr>
                <w:lang w:val="en-AU"/>
              </w:rPr>
            </w:pPr>
            <w:r w:rsidRPr="0049394D">
              <w:rPr>
                <w:lang w:val="en-AU"/>
              </w:rPr>
              <w:t>Before belzutifan</w:t>
            </w:r>
          </w:p>
        </w:tc>
        <w:tc>
          <w:tcPr>
            <w:tcW w:w="1144" w:type="pct"/>
            <w:vAlign w:val="center"/>
          </w:tcPr>
          <w:p w14:paraId="717EF05C" w14:textId="77777777" w:rsidR="0024083E" w:rsidRPr="0049394D" w:rsidRDefault="0024083E" w:rsidP="005C19E6">
            <w:pPr>
              <w:pStyle w:val="In-tableHeading"/>
              <w:keepLines/>
              <w:jc w:val="center"/>
              <w:rPr>
                <w:lang w:val="en-AU"/>
              </w:rPr>
            </w:pPr>
            <w:r w:rsidRPr="0049394D">
              <w:rPr>
                <w:lang w:val="en-AU"/>
              </w:rPr>
              <w:t>After belzutifan</w:t>
            </w:r>
          </w:p>
        </w:tc>
        <w:tc>
          <w:tcPr>
            <w:tcW w:w="1144" w:type="pct"/>
            <w:vMerge/>
            <w:vAlign w:val="center"/>
          </w:tcPr>
          <w:p w14:paraId="2DD7DE34" w14:textId="77777777" w:rsidR="0024083E" w:rsidRPr="0049394D" w:rsidRDefault="0024083E" w:rsidP="005C19E6">
            <w:pPr>
              <w:pStyle w:val="In-tableHeading"/>
              <w:keepLines/>
              <w:jc w:val="center"/>
              <w:rPr>
                <w:lang w:val="en-AU"/>
              </w:rPr>
            </w:pPr>
          </w:p>
        </w:tc>
      </w:tr>
      <w:tr w:rsidR="0024083E" w:rsidRPr="0049394D" w14:paraId="0FE13D03" w14:textId="77777777" w:rsidTr="00242CB1">
        <w:tc>
          <w:tcPr>
            <w:tcW w:w="1569" w:type="pct"/>
            <w:vMerge/>
            <w:vAlign w:val="center"/>
          </w:tcPr>
          <w:p w14:paraId="7D6A2762" w14:textId="77777777" w:rsidR="0024083E" w:rsidRPr="0049394D" w:rsidRDefault="0024083E" w:rsidP="005C19E6">
            <w:pPr>
              <w:pStyle w:val="In-tableHeading"/>
              <w:keepLines/>
              <w:jc w:val="center"/>
              <w:rPr>
                <w:lang w:val="en-AU"/>
              </w:rPr>
            </w:pPr>
          </w:p>
        </w:tc>
        <w:tc>
          <w:tcPr>
            <w:tcW w:w="1143" w:type="pct"/>
            <w:vAlign w:val="center"/>
          </w:tcPr>
          <w:p w14:paraId="6C75DB67" w14:textId="77777777" w:rsidR="0024083E" w:rsidRPr="0049394D" w:rsidRDefault="0024083E" w:rsidP="005C19E6">
            <w:pPr>
              <w:pStyle w:val="In-tableHeading"/>
              <w:keepLines/>
              <w:jc w:val="center"/>
              <w:rPr>
                <w:b w:val="0"/>
                <w:lang w:val="en-AU"/>
              </w:rPr>
            </w:pPr>
            <w:r w:rsidRPr="0049394D">
              <w:rPr>
                <w:b w:val="0"/>
                <w:lang w:val="en-AU"/>
              </w:rPr>
              <w:t>N=60*</w:t>
            </w:r>
          </w:p>
        </w:tc>
        <w:tc>
          <w:tcPr>
            <w:tcW w:w="1144" w:type="pct"/>
            <w:vAlign w:val="center"/>
          </w:tcPr>
          <w:p w14:paraId="006EE18D" w14:textId="77777777" w:rsidR="0024083E" w:rsidRPr="0049394D" w:rsidRDefault="0024083E" w:rsidP="005C19E6">
            <w:pPr>
              <w:pStyle w:val="In-tableHeading"/>
              <w:keepLines/>
              <w:jc w:val="center"/>
              <w:rPr>
                <w:b w:val="0"/>
                <w:lang w:val="en-AU"/>
              </w:rPr>
            </w:pPr>
            <w:r w:rsidRPr="0049394D">
              <w:rPr>
                <w:b w:val="0"/>
                <w:lang w:val="en-AU"/>
              </w:rPr>
              <w:t>N=58*</w:t>
            </w:r>
          </w:p>
        </w:tc>
        <w:tc>
          <w:tcPr>
            <w:tcW w:w="1144" w:type="pct"/>
            <w:vAlign w:val="center"/>
          </w:tcPr>
          <w:p w14:paraId="38CF9DB0" w14:textId="77777777" w:rsidR="0024083E" w:rsidRPr="0049394D" w:rsidRDefault="0024083E" w:rsidP="005C19E6">
            <w:pPr>
              <w:pStyle w:val="In-tableHeading"/>
              <w:keepLines/>
              <w:jc w:val="center"/>
              <w:rPr>
                <w:b w:val="0"/>
                <w:lang w:val="en-AU"/>
              </w:rPr>
            </w:pPr>
            <w:r w:rsidRPr="0049394D">
              <w:rPr>
                <w:b w:val="0"/>
                <w:lang w:val="en-AU"/>
              </w:rPr>
              <w:t>N=114</w:t>
            </w:r>
          </w:p>
        </w:tc>
      </w:tr>
      <w:tr w:rsidR="0024083E" w:rsidRPr="0049394D" w14:paraId="179182E6" w14:textId="77777777" w:rsidTr="00242CB1">
        <w:tc>
          <w:tcPr>
            <w:tcW w:w="1569" w:type="pct"/>
            <w:tcBorders>
              <w:bottom w:val="single" w:sz="4" w:space="0" w:color="auto"/>
            </w:tcBorders>
            <w:vAlign w:val="center"/>
          </w:tcPr>
          <w:p w14:paraId="4EEE5363" w14:textId="77777777" w:rsidR="0024083E" w:rsidRPr="0049394D" w:rsidRDefault="0024083E" w:rsidP="005C19E6">
            <w:pPr>
              <w:pStyle w:val="In-tableHeading"/>
              <w:keepLines/>
              <w:rPr>
                <w:lang w:val="en-AU"/>
              </w:rPr>
            </w:pPr>
            <w:r w:rsidRPr="0049394D">
              <w:rPr>
                <w:lang w:val="en-AU"/>
              </w:rPr>
              <w:t>LGR, median (range)</w:t>
            </w:r>
          </w:p>
        </w:tc>
        <w:tc>
          <w:tcPr>
            <w:tcW w:w="1143" w:type="pct"/>
            <w:tcBorders>
              <w:bottom w:val="single" w:sz="4" w:space="0" w:color="auto"/>
            </w:tcBorders>
            <w:vAlign w:val="center"/>
          </w:tcPr>
          <w:p w14:paraId="2801D8C1" w14:textId="77777777" w:rsidR="0024083E" w:rsidRPr="0049394D" w:rsidRDefault="0024083E" w:rsidP="005C19E6">
            <w:pPr>
              <w:pStyle w:val="In-tableHeading"/>
              <w:keepLines/>
              <w:jc w:val="center"/>
              <w:rPr>
                <w:b w:val="0"/>
                <w:lang w:val="en-AU"/>
              </w:rPr>
            </w:pPr>
            <w:r w:rsidRPr="0049394D">
              <w:rPr>
                <w:b w:val="0"/>
                <w:lang w:val="en-AU"/>
              </w:rPr>
              <w:t>3.38 (-2.89, 12.79)</w:t>
            </w:r>
          </w:p>
        </w:tc>
        <w:tc>
          <w:tcPr>
            <w:tcW w:w="1144" w:type="pct"/>
            <w:tcBorders>
              <w:bottom w:val="single" w:sz="4" w:space="0" w:color="auto"/>
            </w:tcBorders>
            <w:vAlign w:val="center"/>
          </w:tcPr>
          <w:p w14:paraId="69E52B25" w14:textId="77777777" w:rsidR="0024083E" w:rsidRPr="0049394D" w:rsidRDefault="0024083E" w:rsidP="005C19E6">
            <w:pPr>
              <w:pStyle w:val="In-tableHeading"/>
              <w:keepLines/>
              <w:jc w:val="center"/>
              <w:rPr>
                <w:b w:val="0"/>
                <w:lang w:val="en-AU"/>
              </w:rPr>
            </w:pPr>
            <w:r w:rsidRPr="0049394D">
              <w:rPr>
                <w:b w:val="0"/>
                <w:lang w:val="en-AU"/>
              </w:rPr>
              <w:t>-2.20 (-9.12, 2.47)</w:t>
            </w:r>
          </w:p>
        </w:tc>
        <w:tc>
          <w:tcPr>
            <w:tcW w:w="1144" w:type="pct"/>
            <w:tcBorders>
              <w:bottom w:val="single" w:sz="4" w:space="0" w:color="auto"/>
            </w:tcBorders>
            <w:vAlign w:val="center"/>
          </w:tcPr>
          <w:p w14:paraId="17B50BC7" w14:textId="77777777" w:rsidR="0024083E" w:rsidRPr="0049394D" w:rsidRDefault="0024083E" w:rsidP="005C19E6">
            <w:pPr>
              <w:pStyle w:val="TableText0"/>
              <w:keepLines/>
              <w:jc w:val="center"/>
            </w:pPr>
            <w:r w:rsidRPr="0049394D">
              <w:t>3.54 (-2.32, 9.78)</w:t>
            </w:r>
          </w:p>
        </w:tc>
      </w:tr>
      <w:tr w:rsidR="0024083E" w:rsidRPr="0049394D" w14:paraId="37F7EE4E" w14:textId="77777777" w:rsidTr="00242CB1">
        <w:tc>
          <w:tcPr>
            <w:tcW w:w="1569" w:type="pct"/>
            <w:tcBorders>
              <w:bottom w:val="nil"/>
            </w:tcBorders>
            <w:vAlign w:val="center"/>
          </w:tcPr>
          <w:p w14:paraId="44576E79" w14:textId="77777777" w:rsidR="0024083E" w:rsidRPr="0049394D" w:rsidRDefault="0024083E" w:rsidP="005C19E6">
            <w:pPr>
              <w:pStyle w:val="TableText0"/>
              <w:keepLines/>
              <w:rPr>
                <w:b/>
              </w:rPr>
            </w:pPr>
            <w:r w:rsidRPr="0049394D">
              <w:rPr>
                <w:b/>
              </w:rPr>
              <w:t>LGR</w:t>
            </w:r>
            <w:r w:rsidRPr="0049394D">
              <w:rPr>
                <w:b/>
                <w:vertAlign w:val="superscript"/>
              </w:rPr>
              <w:t>a</w:t>
            </w:r>
            <w:r w:rsidRPr="0049394D">
              <w:rPr>
                <w:b/>
              </w:rPr>
              <w:t>, median (range), by quartile</w:t>
            </w:r>
          </w:p>
        </w:tc>
        <w:tc>
          <w:tcPr>
            <w:tcW w:w="2287" w:type="pct"/>
            <w:gridSpan w:val="2"/>
            <w:tcBorders>
              <w:bottom w:val="single" w:sz="4" w:space="0" w:color="auto"/>
            </w:tcBorders>
            <w:vAlign w:val="center"/>
          </w:tcPr>
          <w:p w14:paraId="6935E548" w14:textId="77777777" w:rsidR="0024083E" w:rsidRPr="0049394D" w:rsidRDefault="0024083E" w:rsidP="005C19E6">
            <w:pPr>
              <w:pStyle w:val="TableText0"/>
              <w:keepLines/>
              <w:jc w:val="center"/>
            </w:pPr>
            <w:r w:rsidRPr="0049394D">
              <w:rPr>
                <w:b/>
              </w:rPr>
              <w:t>Quartile of LGR before belzutifan</w:t>
            </w:r>
          </w:p>
        </w:tc>
        <w:tc>
          <w:tcPr>
            <w:tcW w:w="1144" w:type="pct"/>
            <w:tcBorders>
              <w:bottom w:val="single" w:sz="4" w:space="0" w:color="auto"/>
            </w:tcBorders>
            <w:vAlign w:val="center"/>
          </w:tcPr>
          <w:p w14:paraId="53A9E661" w14:textId="77777777" w:rsidR="0024083E" w:rsidRPr="0049394D" w:rsidRDefault="0024083E" w:rsidP="005C19E6">
            <w:pPr>
              <w:pStyle w:val="TableText0"/>
              <w:keepLines/>
              <w:jc w:val="center"/>
              <w:rPr>
                <w:vertAlign w:val="superscript"/>
              </w:rPr>
            </w:pPr>
            <w:r w:rsidRPr="0049394D">
              <w:rPr>
                <w:b/>
              </w:rPr>
              <w:t>Quartile</w:t>
            </w:r>
            <w:r w:rsidRPr="0049394D">
              <w:rPr>
                <w:b/>
                <w:vertAlign w:val="superscript"/>
              </w:rPr>
              <w:t>$</w:t>
            </w:r>
          </w:p>
        </w:tc>
      </w:tr>
      <w:tr w:rsidR="0024083E" w:rsidRPr="0049394D" w14:paraId="3BC128FC" w14:textId="77777777" w:rsidTr="00242CB1">
        <w:tc>
          <w:tcPr>
            <w:tcW w:w="1569" w:type="pct"/>
            <w:tcBorders>
              <w:top w:val="nil"/>
              <w:bottom w:val="nil"/>
            </w:tcBorders>
            <w:vAlign w:val="center"/>
          </w:tcPr>
          <w:p w14:paraId="3D7E02B9" w14:textId="77777777" w:rsidR="0024083E" w:rsidRPr="0049394D" w:rsidRDefault="0024083E" w:rsidP="005C19E6">
            <w:pPr>
              <w:pStyle w:val="TableText0"/>
              <w:keepLines/>
              <w:ind w:left="107"/>
            </w:pPr>
            <w:r w:rsidRPr="0049394D">
              <w:t>Q1</w:t>
            </w:r>
          </w:p>
        </w:tc>
        <w:tc>
          <w:tcPr>
            <w:tcW w:w="1143" w:type="pct"/>
            <w:tcBorders>
              <w:top w:val="single" w:sz="4" w:space="0" w:color="auto"/>
              <w:bottom w:val="nil"/>
            </w:tcBorders>
            <w:vAlign w:val="center"/>
          </w:tcPr>
          <w:p w14:paraId="263B4BA0" w14:textId="77777777" w:rsidR="0024083E" w:rsidRPr="0049394D" w:rsidRDefault="0024083E" w:rsidP="005C19E6">
            <w:pPr>
              <w:pStyle w:val="TableText0"/>
              <w:keepLines/>
              <w:jc w:val="center"/>
            </w:pPr>
            <w:r w:rsidRPr="0049394D">
              <w:t>0.03 (-2.89, 1.60), n=15</w:t>
            </w:r>
          </w:p>
        </w:tc>
        <w:tc>
          <w:tcPr>
            <w:tcW w:w="1144" w:type="pct"/>
            <w:tcBorders>
              <w:top w:val="single" w:sz="4" w:space="0" w:color="auto"/>
              <w:bottom w:val="nil"/>
            </w:tcBorders>
            <w:vAlign w:val="center"/>
          </w:tcPr>
          <w:p w14:paraId="4BD0F97D" w14:textId="77777777" w:rsidR="0024083E" w:rsidRPr="0049394D" w:rsidRDefault="0024083E" w:rsidP="005C19E6">
            <w:pPr>
              <w:pStyle w:val="TableText0"/>
              <w:keepLines/>
              <w:jc w:val="center"/>
            </w:pPr>
            <w:r w:rsidRPr="0049394D">
              <w:t>-2.19 (-9.12, 0.0), n=15</w:t>
            </w:r>
          </w:p>
        </w:tc>
        <w:tc>
          <w:tcPr>
            <w:tcW w:w="1144" w:type="pct"/>
            <w:tcBorders>
              <w:top w:val="single" w:sz="4" w:space="0" w:color="auto"/>
              <w:bottom w:val="nil"/>
            </w:tcBorders>
            <w:vAlign w:val="center"/>
          </w:tcPr>
          <w:p w14:paraId="2B000B60" w14:textId="77777777" w:rsidR="0024083E" w:rsidRPr="0049394D" w:rsidRDefault="0024083E" w:rsidP="005C19E6">
            <w:pPr>
              <w:pStyle w:val="TableText0"/>
              <w:keepLines/>
              <w:jc w:val="center"/>
            </w:pPr>
            <w:r w:rsidRPr="0049394D">
              <w:t>3.04 (2.19</w:t>
            </w:r>
            <w:r w:rsidRPr="0049394D">
              <w:rPr>
                <w:rStyle w:val="CommentReference"/>
                <w:rFonts w:eastAsia="Times New Roman" w:cs="Times New Roman"/>
                <w:bCs w:val="0"/>
              </w:rPr>
              <w:t>,</w:t>
            </w:r>
            <w:r w:rsidRPr="0049394D">
              <w:rPr>
                <w:rStyle w:val="CommentReference"/>
              </w:rPr>
              <w:t xml:space="preserve"> </w:t>
            </w:r>
            <w:r w:rsidRPr="0049394D">
              <w:t>3.42), n=28</w:t>
            </w:r>
          </w:p>
        </w:tc>
      </w:tr>
      <w:tr w:rsidR="0024083E" w:rsidRPr="0049394D" w14:paraId="5EE5B4B4" w14:textId="77777777" w:rsidTr="00242CB1">
        <w:tc>
          <w:tcPr>
            <w:tcW w:w="1569" w:type="pct"/>
            <w:tcBorders>
              <w:top w:val="nil"/>
              <w:bottom w:val="nil"/>
            </w:tcBorders>
            <w:vAlign w:val="center"/>
          </w:tcPr>
          <w:p w14:paraId="7C4E0D7B" w14:textId="77777777" w:rsidR="0024083E" w:rsidRPr="0049394D" w:rsidRDefault="0024083E" w:rsidP="005C19E6">
            <w:pPr>
              <w:pStyle w:val="TableText0"/>
              <w:keepLines/>
              <w:ind w:left="107"/>
            </w:pPr>
            <w:r w:rsidRPr="0049394D">
              <w:t>Q2</w:t>
            </w:r>
          </w:p>
        </w:tc>
        <w:tc>
          <w:tcPr>
            <w:tcW w:w="1143" w:type="pct"/>
            <w:tcBorders>
              <w:top w:val="nil"/>
              <w:bottom w:val="nil"/>
            </w:tcBorders>
            <w:vAlign w:val="center"/>
          </w:tcPr>
          <w:p w14:paraId="596821E4" w14:textId="77777777" w:rsidR="0024083E" w:rsidRPr="0049394D" w:rsidRDefault="0024083E" w:rsidP="005C19E6">
            <w:pPr>
              <w:pStyle w:val="TableText0"/>
              <w:keepLines/>
              <w:jc w:val="center"/>
            </w:pPr>
            <w:r w:rsidRPr="0049394D">
              <w:t>2.10 (1.74, 3.31), n=15</w:t>
            </w:r>
          </w:p>
        </w:tc>
        <w:tc>
          <w:tcPr>
            <w:tcW w:w="1144" w:type="pct"/>
            <w:tcBorders>
              <w:top w:val="nil"/>
              <w:bottom w:val="nil"/>
            </w:tcBorders>
            <w:vAlign w:val="center"/>
          </w:tcPr>
          <w:p w14:paraId="0AE90B90" w14:textId="77777777" w:rsidR="0024083E" w:rsidRPr="0049394D" w:rsidRDefault="0024083E" w:rsidP="005C19E6">
            <w:pPr>
              <w:pStyle w:val="TableText0"/>
              <w:keepLines/>
              <w:jc w:val="center"/>
            </w:pPr>
            <w:r w:rsidRPr="0049394D">
              <w:t>-1.31 (-4.68, 2.47), n=15</w:t>
            </w:r>
          </w:p>
        </w:tc>
        <w:tc>
          <w:tcPr>
            <w:tcW w:w="1144" w:type="pct"/>
            <w:tcBorders>
              <w:top w:val="nil"/>
              <w:bottom w:val="nil"/>
            </w:tcBorders>
            <w:vAlign w:val="center"/>
          </w:tcPr>
          <w:p w14:paraId="296D3DB9" w14:textId="77777777" w:rsidR="0024083E" w:rsidRPr="0049394D" w:rsidRDefault="0024083E" w:rsidP="005C19E6">
            <w:pPr>
              <w:pStyle w:val="TableText0"/>
              <w:keepLines/>
              <w:jc w:val="center"/>
            </w:pPr>
            <w:r w:rsidRPr="0049394D">
              <w:t>3.56 (3.43, 3.73), n=29</w:t>
            </w:r>
          </w:p>
        </w:tc>
      </w:tr>
      <w:tr w:rsidR="0024083E" w:rsidRPr="0049394D" w14:paraId="13263F5C" w14:textId="77777777" w:rsidTr="00242CB1">
        <w:tc>
          <w:tcPr>
            <w:tcW w:w="1569" w:type="pct"/>
            <w:tcBorders>
              <w:top w:val="nil"/>
              <w:bottom w:val="nil"/>
            </w:tcBorders>
            <w:vAlign w:val="center"/>
          </w:tcPr>
          <w:p w14:paraId="2D5236B5" w14:textId="77777777" w:rsidR="0024083E" w:rsidRPr="0049394D" w:rsidRDefault="0024083E" w:rsidP="005C19E6">
            <w:pPr>
              <w:pStyle w:val="TableText0"/>
              <w:keepLines/>
              <w:ind w:left="107"/>
            </w:pPr>
            <w:r w:rsidRPr="0049394D">
              <w:t>Q3</w:t>
            </w:r>
          </w:p>
        </w:tc>
        <w:tc>
          <w:tcPr>
            <w:tcW w:w="1143" w:type="pct"/>
            <w:tcBorders>
              <w:top w:val="nil"/>
              <w:bottom w:val="nil"/>
            </w:tcBorders>
            <w:vAlign w:val="center"/>
          </w:tcPr>
          <w:p w14:paraId="46098503" w14:textId="77777777" w:rsidR="0024083E" w:rsidRPr="0049394D" w:rsidRDefault="0024083E" w:rsidP="005C19E6">
            <w:pPr>
              <w:pStyle w:val="TableText0"/>
              <w:keepLines/>
              <w:jc w:val="center"/>
            </w:pPr>
            <w:r w:rsidRPr="0049394D">
              <w:t>4.12 (3.45, 5.63), n=15</w:t>
            </w:r>
          </w:p>
        </w:tc>
        <w:tc>
          <w:tcPr>
            <w:tcW w:w="1144" w:type="pct"/>
            <w:tcBorders>
              <w:top w:val="nil"/>
              <w:bottom w:val="nil"/>
            </w:tcBorders>
            <w:vAlign w:val="center"/>
          </w:tcPr>
          <w:p w14:paraId="764093F6" w14:textId="77777777" w:rsidR="0024083E" w:rsidRPr="0049394D" w:rsidRDefault="0024083E" w:rsidP="005C19E6">
            <w:pPr>
              <w:pStyle w:val="TableText0"/>
              <w:keepLines/>
              <w:jc w:val="center"/>
            </w:pPr>
            <w:r w:rsidRPr="0049394D">
              <w:t>-1.92 (-4.82, 1.89), n=14</w:t>
            </w:r>
          </w:p>
        </w:tc>
        <w:tc>
          <w:tcPr>
            <w:tcW w:w="1144" w:type="pct"/>
            <w:tcBorders>
              <w:top w:val="nil"/>
              <w:bottom w:val="nil"/>
            </w:tcBorders>
            <w:vAlign w:val="center"/>
          </w:tcPr>
          <w:p w14:paraId="26793656" w14:textId="77777777" w:rsidR="0024083E" w:rsidRPr="0049394D" w:rsidRDefault="0024083E" w:rsidP="005C19E6">
            <w:pPr>
              <w:pStyle w:val="TableText0"/>
              <w:keepLines/>
              <w:jc w:val="center"/>
            </w:pPr>
            <w:r w:rsidRPr="0049394D">
              <w:t>4.02 (3.75, 4.24), n=28</w:t>
            </w:r>
          </w:p>
        </w:tc>
      </w:tr>
      <w:tr w:rsidR="0024083E" w:rsidRPr="0049394D" w14:paraId="5C3B0023" w14:textId="77777777" w:rsidTr="00242CB1">
        <w:tc>
          <w:tcPr>
            <w:tcW w:w="1569" w:type="pct"/>
            <w:tcBorders>
              <w:top w:val="nil"/>
            </w:tcBorders>
            <w:vAlign w:val="center"/>
          </w:tcPr>
          <w:p w14:paraId="3D597627" w14:textId="77777777" w:rsidR="0024083E" w:rsidRPr="0049394D" w:rsidRDefault="0024083E" w:rsidP="005C19E6">
            <w:pPr>
              <w:pStyle w:val="TableText0"/>
              <w:keepLines/>
              <w:ind w:left="107"/>
            </w:pPr>
            <w:r w:rsidRPr="0049394D">
              <w:t xml:space="preserve">Q4 </w:t>
            </w:r>
          </w:p>
        </w:tc>
        <w:tc>
          <w:tcPr>
            <w:tcW w:w="1143" w:type="pct"/>
            <w:tcBorders>
              <w:top w:val="nil"/>
            </w:tcBorders>
            <w:vAlign w:val="center"/>
          </w:tcPr>
          <w:p w14:paraId="2C1685D1" w14:textId="77777777" w:rsidR="0024083E" w:rsidRPr="0049394D" w:rsidRDefault="0024083E" w:rsidP="005C19E6">
            <w:pPr>
              <w:pStyle w:val="TableText0"/>
              <w:keepLines/>
              <w:jc w:val="center"/>
            </w:pPr>
            <w:r w:rsidRPr="0049394D">
              <w:t>8.23 (5.74, 12.79), n=15</w:t>
            </w:r>
          </w:p>
        </w:tc>
        <w:tc>
          <w:tcPr>
            <w:tcW w:w="1144" w:type="pct"/>
            <w:tcBorders>
              <w:top w:val="nil"/>
            </w:tcBorders>
            <w:vAlign w:val="center"/>
          </w:tcPr>
          <w:p w14:paraId="77187FFC" w14:textId="77777777" w:rsidR="0024083E" w:rsidRPr="0049394D" w:rsidRDefault="0024083E" w:rsidP="005C19E6">
            <w:pPr>
              <w:pStyle w:val="TableText0"/>
              <w:keepLines/>
              <w:jc w:val="center"/>
            </w:pPr>
            <w:r w:rsidRPr="0049394D">
              <w:t>-2.54 (-5.83, 2.05), n=14</w:t>
            </w:r>
          </w:p>
        </w:tc>
        <w:tc>
          <w:tcPr>
            <w:tcW w:w="1144" w:type="pct"/>
            <w:tcBorders>
              <w:top w:val="nil"/>
            </w:tcBorders>
            <w:vAlign w:val="center"/>
          </w:tcPr>
          <w:p w14:paraId="01F2D751" w14:textId="77777777" w:rsidR="0024083E" w:rsidRPr="0049394D" w:rsidRDefault="0024083E" w:rsidP="005C19E6">
            <w:pPr>
              <w:pStyle w:val="TableText0"/>
              <w:keepLines/>
              <w:jc w:val="center"/>
            </w:pPr>
            <w:r w:rsidRPr="0049394D">
              <w:t>4.50 (4.25, 7.36), n=29</w:t>
            </w:r>
          </w:p>
        </w:tc>
      </w:tr>
    </w:tbl>
    <w:p w14:paraId="5E812405" w14:textId="1FC2A862" w:rsidR="0024083E" w:rsidRPr="0049394D" w:rsidRDefault="0024083E" w:rsidP="005C19E6">
      <w:pPr>
        <w:pStyle w:val="TableFooter"/>
        <w:keepNext/>
      </w:pPr>
      <w:r w:rsidRPr="0049394D">
        <w:t>Source: Table 2.5-6, of the submission, Tables 14.2-78, 14.2-79, 14.2-81, p397, 14.2-82, 14.2-84, 14.2-85, 14.2-89, and 14.2-90, of LS-004 CSR of LS-004 CSR, Tables 7-1, and7-2, of VHL-NHS CSR.</w:t>
      </w:r>
    </w:p>
    <w:p w14:paraId="1B4FB47A" w14:textId="77777777" w:rsidR="0024083E" w:rsidRPr="0049394D" w:rsidRDefault="0024083E" w:rsidP="005C19E6">
      <w:pPr>
        <w:pStyle w:val="TableFooter"/>
        <w:keepNext/>
      </w:pPr>
      <w:r w:rsidRPr="0049394D">
        <w:t>LGR = linear growth rate; LS-004 = Litespark-004; N=number in group; n = number evaluable in quartile*; Q=quartile; RCC = renal cell carcinoma; VHL-NHS = von Hippel-Lindau Natural History Study.</w:t>
      </w:r>
    </w:p>
    <w:p w14:paraId="5BCB6BEF" w14:textId="77777777" w:rsidR="0024083E" w:rsidRPr="0049394D" w:rsidRDefault="0024083E" w:rsidP="005C19E6">
      <w:pPr>
        <w:pStyle w:val="TableFooter"/>
        <w:keepNext/>
      </w:pPr>
      <w:r w:rsidRPr="0049394D">
        <w:t xml:space="preserve">* patients with at least 3 before or after treatment scans </w:t>
      </w:r>
    </w:p>
    <w:p w14:paraId="25F891D5" w14:textId="77777777" w:rsidR="0024083E" w:rsidRPr="0049394D" w:rsidRDefault="0024083E" w:rsidP="005C19E6">
      <w:pPr>
        <w:pStyle w:val="TableFooter"/>
        <w:keepNext/>
      </w:pPr>
      <w:r w:rsidRPr="0049394D">
        <w:rPr>
          <w:vertAlign w:val="superscript"/>
        </w:rPr>
        <w:t>$</w:t>
      </w:r>
      <w:r w:rsidRPr="0049394D">
        <w:rPr>
          <w:vertAlign w:val="superscript"/>
        </w:rPr>
        <w:tab/>
      </w:r>
      <w:r w:rsidRPr="0049394D">
        <w:t>Quartile values in VHL-NHS were derived in multi-level modelling, then used as a range for each section.</w:t>
      </w:r>
    </w:p>
    <w:p w14:paraId="4BFF6255" w14:textId="2BB3B42D" w:rsidR="0024083E" w:rsidRPr="0049394D" w:rsidRDefault="0024083E" w:rsidP="0024083E">
      <w:pPr>
        <w:pStyle w:val="TableFigureFooter"/>
      </w:pPr>
      <w:r w:rsidRPr="0049394D">
        <w:rPr>
          <w:vertAlign w:val="superscript"/>
        </w:rPr>
        <w:t>a</w:t>
      </w:r>
      <w:r w:rsidRPr="0049394D">
        <w:rPr>
          <w:vertAlign w:val="superscript"/>
        </w:rPr>
        <w:tab/>
      </w:r>
      <w:r w:rsidRPr="0049394D">
        <w:t>Simple linear model:</w:t>
      </w:r>
      <w:r w:rsidRPr="0049394D">
        <w:rPr>
          <w:vertAlign w:val="superscript"/>
        </w:rPr>
        <w:t xml:space="preserve"> </w:t>
      </w:r>
      <w:r w:rsidRPr="0049394D">
        <w:t>LGR derived as the regression coefficient of time (Section 14.2, LS-004 Study Protocol V1.1 26-Jun-2020).</w:t>
      </w:r>
    </w:p>
    <w:bookmarkStart w:id="38" w:name="_Ref172205410"/>
    <w:p w14:paraId="1F6C3B6F" w14:textId="58384A3C" w:rsidR="0024083E" w:rsidRPr="0049394D" w:rsidRDefault="0024083E" w:rsidP="0024083E">
      <w:pPr>
        <w:pStyle w:val="3-BodyText"/>
      </w:pPr>
      <w:r w:rsidRPr="0049394D">
        <w:fldChar w:fldCharType="begin" w:fldLock="1"/>
      </w:r>
      <w:r w:rsidRPr="0049394D">
        <w:instrText xml:space="preserve"> REF _Ref166485989 \h </w:instrText>
      </w:r>
      <w:r w:rsidRPr="0049394D">
        <w:fldChar w:fldCharType="separate"/>
      </w:r>
      <w:r w:rsidR="00437B51" w:rsidRPr="0049394D">
        <w:t xml:space="preserve">Figure </w:t>
      </w:r>
      <w:r w:rsidR="00437B51">
        <w:rPr>
          <w:noProof/>
        </w:rPr>
        <w:t>1</w:t>
      </w:r>
      <w:r w:rsidRPr="0049394D">
        <w:fldChar w:fldCharType="end"/>
      </w:r>
      <w:r w:rsidRPr="0049394D">
        <w:t xml:space="preserve"> presents the percentage change in the sum of target lesion size over time for RCC, CNS Hb and pNETs in LS-004, by tumour response. The figure illustrates that most patients had growing tumours before treatment with belzutifan followed by a reduction in tumour size after treatment started. Patients with a </w:t>
      </w:r>
      <w:r w:rsidR="005B6C8F" w:rsidRPr="0049394D">
        <w:t xml:space="preserve">best overall response of </w:t>
      </w:r>
      <w:r w:rsidRPr="0049394D">
        <w:t>complete response or partial response had a larger reduction in tumour size than patients with stable disease or progressing disease</w:t>
      </w:r>
      <w:r w:rsidR="00F5785C" w:rsidRPr="0049394D">
        <w:t xml:space="preserve"> </w:t>
      </w:r>
      <w:r w:rsidR="00266BBD" w:rsidRPr="0049394D">
        <w:t>(according to the modified RECIST 1.1 criteria)</w:t>
      </w:r>
      <w:r w:rsidRPr="0049394D">
        <w:t>. Similar plots of absolute tumour size over time for RCC and pNET tumours (not presented below) showed patients who achieved a complete response had the smallest tumours at baseline.</w:t>
      </w:r>
      <w:bookmarkEnd w:id="38"/>
    </w:p>
    <w:p w14:paraId="1630E206" w14:textId="3DC6B1A6" w:rsidR="0024083E" w:rsidRPr="0049394D" w:rsidRDefault="0024083E" w:rsidP="00E16DEB">
      <w:pPr>
        <w:pStyle w:val="Caption"/>
        <w:jc w:val="left"/>
      </w:pPr>
      <w:bookmarkStart w:id="39" w:name="_Ref166485989"/>
      <w:r w:rsidRPr="0049394D">
        <w:lastRenderedPageBreak/>
        <w:t xml:space="preserve">Figure </w:t>
      </w:r>
      <w:r>
        <w:fldChar w:fldCharType="begin" w:fldLock="1"/>
      </w:r>
      <w:r>
        <w:instrText xml:space="preserve"> SEQ Figure \* ARABIC </w:instrText>
      </w:r>
      <w:r>
        <w:fldChar w:fldCharType="separate"/>
      </w:r>
      <w:r w:rsidR="00437B51">
        <w:rPr>
          <w:noProof/>
        </w:rPr>
        <w:t>1</w:t>
      </w:r>
      <w:r>
        <w:rPr>
          <w:noProof/>
        </w:rPr>
        <w:fldChar w:fldCharType="end"/>
      </w:r>
      <w:bookmarkEnd w:id="39"/>
      <w:r w:rsidRPr="0049394D">
        <w:t>: Spider plots of tumour size before and after belzutifan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027"/>
      </w:tblGrid>
      <w:tr w:rsidR="0024083E" w:rsidRPr="0049394D" w14:paraId="18A2BC31" w14:textId="77777777" w:rsidTr="00242CB1">
        <w:tc>
          <w:tcPr>
            <w:tcW w:w="5000" w:type="pct"/>
          </w:tcPr>
          <w:p w14:paraId="6C5BCBB4" w14:textId="77777777" w:rsidR="0024083E" w:rsidRPr="0049394D" w:rsidRDefault="0024083E" w:rsidP="00E16DEB">
            <w:pPr>
              <w:pStyle w:val="TableText0"/>
              <w:keepLines/>
            </w:pPr>
            <w:r w:rsidRPr="0049394D">
              <w:t>[A] Spider plot - Percentage Change in Total Sum of RCC Target Lesion Diameters from Baseline in Scan Before and After Treatment – IRC Efficacy Analysis Set</w:t>
            </w:r>
          </w:p>
        </w:tc>
      </w:tr>
      <w:tr w:rsidR="0024083E" w:rsidRPr="0049394D" w14:paraId="2E7E6ED7" w14:textId="77777777" w:rsidTr="00242CB1">
        <w:tc>
          <w:tcPr>
            <w:tcW w:w="5000" w:type="pct"/>
            <w:vAlign w:val="center"/>
          </w:tcPr>
          <w:p w14:paraId="361A6AC2" w14:textId="77777777" w:rsidR="0024083E" w:rsidRPr="0049394D" w:rsidRDefault="0024083E" w:rsidP="00E16DEB">
            <w:pPr>
              <w:keepNext/>
              <w:keepLines/>
              <w:jc w:val="left"/>
            </w:pPr>
            <w:r w:rsidRPr="0049394D">
              <w:rPr>
                <w:noProof/>
              </w:rPr>
              <w:drawing>
                <wp:inline distT="0" distB="0" distL="0" distR="0" wp14:anchorId="73782DFF" wp14:editId="73B2C2A0">
                  <wp:extent cx="4381500" cy="2010062"/>
                  <wp:effectExtent l="0" t="0" r="0" b="9525"/>
                  <wp:docPr id="19" name="Picture 19" descr="[A] Spider plot - Percentage Change in Total Sum of RCC Target Lesion Diameters from Baseline in Scan Before and After Treatment – IRC Efficacy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pider plot - Percentage Change in Total Sum of RCC Target Lesion Diameters from Baseline in Scan Before and After Treatment – IRC Efficacy Analysis Se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7404" cy="2145811"/>
                          </a:xfrm>
                          <a:prstGeom prst="rect">
                            <a:avLst/>
                          </a:prstGeom>
                        </pic:spPr>
                      </pic:pic>
                    </a:graphicData>
                  </a:graphic>
                </wp:inline>
              </w:drawing>
            </w:r>
          </w:p>
        </w:tc>
      </w:tr>
      <w:tr w:rsidR="0024083E" w:rsidRPr="0049394D" w14:paraId="15E6DCB6" w14:textId="77777777" w:rsidTr="00242CB1">
        <w:tc>
          <w:tcPr>
            <w:tcW w:w="5000" w:type="pct"/>
          </w:tcPr>
          <w:p w14:paraId="436F0A31" w14:textId="77777777" w:rsidR="0024083E" w:rsidRPr="0049394D" w:rsidRDefault="0024083E" w:rsidP="00E16DEB">
            <w:pPr>
              <w:pStyle w:val="TableText0"/>
              <w:keepLines/>
            </w:pPr>
            <w:r w:rsidRPr="0049394D">
              <w:t>[B] Spider Plot - Percentage Change in Total Sum of CNS Hemangioblastoma Target Lesion Diameters from Baseline to Post-Baseline (RECIST 1.1) – IRC Efficacy Analysis Set</w:t>
            </w:r>
          </w:p>
        </w:tc>
      </w:tr>
      <w:tr w:rsidR="0024083E" w:rsidRPr="0049394D" w14:paraId="2CF4D969" w14:textId="77777777" w:rsidTr="00242CB1">
        <w:tc>
          <w:tcPr>
            <w:tcW w:w="5000" w:type="pct"/>
            <w:vAlign w:val="center"/>
          </w:tcPr>
          <w:p w14:paraId="54ADDC9A" w14:textId="77777777" w:rsidR="0024083E" w:rsidRPr="0049394D" w:rsidRDefault="0024083E" w:rsidP="00E16DEB">
            <w:pPr>
              <w:keepNext/>
              <w:keepLines/>
              <w:jc w:val="left"/>
            </w:pPr>
            <w:r w:rsidRPr="0049394D">
              <w:rPr>
                <w:noProof/>
              </w:rPr>
              <w:drawing>
                <wp:inline distT="0" distB="0" distL="0" distR="0" wp14:anchorId="0A7472E5" wp14:editId="4A46EF63">
                  <wp:extent cx="4210050" cy="1890467"/>
                  <wp:effectExtent l="0" t="0" r="0" b="0"/>
                  <wp:docPr id="21" name="Picture 21" descr="[B] Spider Plot - Percentage Change in Total Sum of CNS Hemangioblastoma Target Lesion Diameters from Baseline to Post-Baseline (RECIST 1.1) – IRC Efficacy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 Spider Plot - Percentage Change in Total Sum of CNS Hemangioblastoma Target Lesion Diameters from Baseline to Post-Baseline (RECIST 1.1) – IRC Efficacy Analysis Se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3033" cy="1950181"/>
                          </a:xfrm>
                          <a:prstGeom prst="rect">
                            <a:avLst/>
                          </a:prstGeom>
                        </pic:spPr>
                      </pic:pic>
                    </a:graphicData>
                  </a:graphic>
                </wp:inline>
              </w:drawing>
            </w:r>
          </w:p>
        </w:tc>
      </w:tr>
      <w:tr w:rsidR="0024083E" w:rsidRPr="0049394D" w14:paraId="2973DF3D" w14:textId="77777777" w:rsidTr="00242CB1">
        <w:tc>
          <w:tcPr>
            <w:tcW w:w="5000" w:type="pct"/>
          </w:tcPr>
          <w:p w14:paraId="48456656" w14:textId="77777777" w:rsidR="0024083E" w:rsidRPr="0049394D" w:rsidRDefault="0024083E" w:rsidP="00E16DEB">
            <w:pPr>
              <w:pStyle w:val="TableText0"/>
              <w:keepLines/>
            </w:pPr>
            <w:r w:rsidRPr="0049394D">
              <w:t>[C] Spider Plot - Percentage Change in Total Sum of Target Lesion Diameters for Pancreatic Neuroendocrine Tumors from Baseline in Scan Before and After Treatment – IRC Efficacy Analysis Set</w:t>
            </w:r>
          </w:p>
        </w:tc>
      </w:tr>
      <w:tr w:rsidR="0024083E" w:rsidRPr="0049394D" w14:paraId="2C55C5F4" w14:textId="77777777" w:rsidTr="00242CB1">
        <w:trPr>
          <w:trHeight w:val="3008"/>
        </w:trPr>
        <w:tc>
          <w:tcPr>
            <w:tcW w:w="5000" w:type="pct"/>
            <w:vAlign w:val="center"/>
          </w:tcPr>
          <w:p w14:paraId="5D47F383" w14:textId="77777777" w:rsidR="0024083E" w:rsidRPr="0049394D" w:rsidRDefault="0024083E" w:rsidP="00E16DEB">
            <w:pPr>
              <w:keepNext/>
              <w:keepLines/>
              <w:jc w:val="left"/>
            </w:pPr>
            <w:r w:rsidRPr="0049394D">
              <w:rPr>
                <w:noProof/>
              </w:rPr>
              <w:drawing>
                <wp:inline distT="0" distB="0" distL="0" distR="0" wp14:anchorId="33787021" wp14:editId="7FE085F5">
                  <wp:extent cx="4362450" cy="1974366"/>
                  <wp:effectExtent l="0" t="0" r="0" b="6985"/>
                  <wp:docPr id="22" name="Picture 22" descr="[C] Spider Plot - Percentage Change in Total Sum of Target Lesion Diameters for Pancreatic Neuroendocrine Tumors from Baseline in Scan Before and After Treatment – IRC Efficacy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 Spider Plot - Percentage Change in Total Sum of Target Lesion Diameters for Pancreatic Neuroendocrine Tumors from Baseline in Scan Before and After Treatment – IRC Efficacy Analysis Se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3576" cy="2065392"/>
                          </a:xfrm>
                          <a:prstGeom prst="rect">
                            <a:avLst/>
                          </a:prstGeom>
                        </pic:spPr>
                      </pic:pic>
                    </a:graphicData>
                  </a:graphic>
                </wp:inline>
              </w:drawing>
            </w:r>
          </w:p>
        </w:tc>
      </w:tr>
    </w:tbl>
    <w:p w14:paraId="7197E18D" w14:textId="012AEE48" w:rsidR="0024083E" w:rsidRPr="0049394D" w:rsidRDefault="0024083E" w:rsidP="00E16DEB">
      <w:pPr>
        <w:pStyle w:val="TableFigureFooter"/>
        <w:keepNext/>
        <w:keepLines/>
      </w:pPr>
      <w:r w:rsidRPr="0049394D">
        <w:t>Source: A: Figure 14.2-45, LS-004 CSR; B: Figure 14.2-49 LS-004 CSR, C: Figure 14.2-54, of LS-004 CSR.</w:t>
      </w:r>
    </w:p>
    <w:p w14:paraId="6AB4DC1A" w14:textId="77777777" w:rsidR="0024083E" w:rsidRPr="0049394D" w:rsidRDefault="0024083E" w:rsidP="00E16DEB">
      <w:pPr>
        <w:pStyle w:val="TableFigureFooter"/>
        <w:keepNext/>
        <w:keepLines/>
      </w:pPr>
      <w:r w:rsidRPr="0049394D">
        <w:t>CNS Hb = central nervous system haemangioblastoma; CR = complete response; IRC = independent review committee; NE = not evaluable; pNETS = pancreatic neuroendocrine tumours; PD = progressive disease; PR = partial response; RCC = renal cell carcinoma; SD = stable disease.</w:t>
      </w:r>
    </w:p>
    <w:p w14:paraId="376CB148" w14:textId="7FAD55E5" w:rsidR="0024083E" w:rsidRPr="0049394D" w:rsidRDefault="0024083E" w:rsidP="00E16DEB">
      <w:pPr>
        <w:pStyle w:val="TableFigureFooter"/>
        <w:keepNext/>
        <w:keepLines/>
      </w:pPr>
      <w:r w:rsidRPr="0049394D">
        <w:t xml:space="preserve">Responder = patient with confirmed response of CR </w:t>
      </w:r>
      <w:r w:rsidR="00FD5743" w:rsidRPr="0049394D">
        <w:t xml:space="preserve">(disappearance of all target lesions) </w:t>
      </w:r>
      <w:r w:rsidRPr="0049394D">
        <w:t>or PR</w:t>
      </w:r>
      <w:r w:rsidR="00FD5743" w:rsidRPr="0049394D">
        <w:t xml:space="preserve"> (</w:t>
      </w:r>
      <w:r w:rsidR="00F5785C" w:rsidRPr="0049394D">
        <w:t>≥ 30% decrease in sum of target lesion diameters).</w:t>
      </w:r>
    </w:p>
    <w:p w14:paraId="5FD9D6D8" w14:textId="77777777" w:rsidR="0024083E" w:rsidRPr="0049394D" w:rsidRDefault="0024083E" w:rsidP="005C19E6">
      <w:pPr>
        <w:pStyle w:val="TableFigureFooter"/>
        <w:keepLines/>
      </w:pPr>
      <w:r w:rsidRPr="0049394D">
        <w:t>Note: CNS Hb were not assessed prior to baseline.</w:t>
      </w:r>
    </w:p>
    <w:p w14:paraId="43140572" w14:textId="0D180886" w:rsidR="0024083E" w:rsidRPr="0049394D" w:rsidRDefault="0024083E" w:rsidP="0024083E">
      <w:pPr>
        <w:pStyle w:val="3-BodyText"/>
        <w:rPr>
          <w:rFonts w:eastAsia="Calibri"/>
        </w:rPr>
      </w:pPr>
      <w:r w:rsidRPr="0049394D">
        <w:lastRenderedPageBreak/>
        <w:fldChar w:fldCharType="begin" w:fldLock="1"/>
      </w:r>
      <w:r w:rsidRPr="0049394D">
        <w:instrText xml:space="preserve"> REF _Ref166486036 \h </w:instrText>
      </w:r>
      <w:r w:rsidRPr="0049394D">
        <w:fldChar w:fldCharType="separate"/>
      </w:r>
      <w:r w:rsidR="00437B51" w:rsidRPr="0049394D">
        <w:t xml:space="preserve">Figure </w:t>
      </w:r>
      <w:r w:rsidR="00437B51">
        <w:rPr>
          <w:noProof/>
        </w:rPr>
        <w:t>2</w:t>
      </w:r>
      <w:r w:rsidRPr="0049394D">
        <w:fldChar w:fldCharType="end"/>
      </w:r>
      <w:r w:rsidRPr="0049394D">
        <w:t xml:space="preserve"> presents the Kaplan-Meier curves of time-to-surgery for RCC tumours in LS-004 and the LS-004-aligned population in VHL-NHS. The median time to renal reduction surgery was not reached in LS-004, with only 7 of 61 patients requiring surgery for a VHL-associated RCC tumour at the data cut-off. In contrast the median time to renal reduction surgery in the LS-004-aligned population in VHL-NHS was 46.5 months (95%</w:t>
      </w:r>
      <w:r w:rsidR="008B3F48" w:rsidRPr="0049394D">
        <w:t xml:space="preserve"> confidence interval [</w:t>
      </w:r>
      <w:r w:rsidRPr="0049394D">
        <w:t>CI</w:t>
      </w:r>
      <w:r w:rsidR="008B3F48" w:rsidRPr="0049394D">
        <w:t>]</w:t>
      </w:r>
      <w:r w:rsidRPr="0049394D">
        <w:t xml:space="preserve"> 38.2, 53.7).</w:t>
      </w:r>
      <w:r w:rsidR="003A1344">
        <w:t xml:space="preserve"> </w:t>
      </w:r>
      <w:r w:rsidR="00555EFB" w:rsidRPr="00BF3570">
        <w:rPr>
          <w:iCs/>
        </w:rPr>
        <w:t>Notwithstanding the different time scale on the x-axes, t</w:t>
      </w:r>
      <w:r w:rsidR="003A1344" w:rsidRPr="00BF3570">
        <w:rPr>
          <w:iCs/>
        </w:rPr>
        <w:t>he ESC considered that these results were supportive of a high treatment response rate associated with belzutifan.</w:t>
      </w:r>
    </w:p>
    <w:p w14:paraId="7221AC3F" w14:textId="4902A3E4" w:rsidR="0024083E" w:rsidRPr="0049394D" w:rsidRDefault="0024083E" w:rsidP="0024083E">
      <w:pPr>
        <w:pStyle w:val="Caption"/>
        <w:rPr>
          <w:b w:val="0"/>
          <w:szCs w:val="20"/>
        </w:rPr>
      </w:pPr>
      <w:bookmarkStart w:id="40" w:name="_Ref166486036"/>
      <w:r w:rsidRPr="0049394D">
        <w:t xml:space="preserve">Figure </w:t>
      </w:r>
      <w:r>
        <w:fldChar w:fldCharType="begin" w:fldLock="1"/>
      </w:r>
      <w:r>
        <w:instrText xml:space="preserve"> SEQ Figure \* ARABIC </w:instrText>
      </w:r>
      <w:r>
        <w:fldChar w:fldCharType="separate"/>
      </w:r>
      <w:r w:rsidR="00437B51">
        <w:rPr>
          <w:noProof/>
        </w:rPr>
        <w:t>2</w:t>
      </w:r>
      <w:r>
        <w:rPr>
          <w:noProof/>
        </w:rPr>
        <w:fldChar w:fldCharType="end"/>
      </w:r>
      <w:bookmarkEnd w:id="40"/>
      <w:r w:rsidRPr="0049394D">
        <w:rPr>
          <w:szCs w:val="20"/>
        </w:rPr>
        <w:t xml:space="preserve">: Kaplan-Meier curves of time to first renal tumour reduction surgery in LS-004 and the LS-004-aligned population in VHL-NHS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21"/>
        <w:gridCol w:w="4506"/>
      </w:tblGrid>
      <w:tr w:rsidR="0024083E" w:rsidRPr="0049394D" w14:paraId="7D9D355D" w14:textId="77777777" w:rsidTr="00242CB1">
        <w:tc>
          <w:tcPr>
            <w:tcW w:w="4508" w:type="dxa"/>
            <w:vAlign w:val="center"/>
          </w:tcPr>
          <w:p w14:paraId="10D9D1D1" w14:textId="77777777" w:rsidR="0024083E" w:rsidRPr="0049394D" w:rsidRDefault="0024083E" w:rsidP="00242CB1">
            <w:pPr>
              <w:keepNext/>
              <w:jc w:val="center"/>
              <w:rPr>
                <w:rFonts w:ascii="Arial Narrow" w:hAnsi="Arial Narrow"/>
                <w:sz w:val="20"/>
                <w:szCs w:val="20"/>
              </w:rPr>
            </w:pPr>
            <w:r w:rsidRPr="0049394D">
              <w:rPr>
                <w:rFonts w:ascii="Arial Narrow" w:hAnsi="Arial Narrow"/>
                <w:sz w:val="20"/>
                <w:szCs w:val="20"/>
              </w:rPr>
              <w:t>LS-004:</w:t>
            </w:r>
          </w:p>
          <w:p w14:paraId="0F530C2E" w14:textId="77777777" w:rsidR="0024083E" w:rsidRPr="0049394D" w:rsidRDefault="0024083E" w:rsidP="00242CB1">
            <w:pPr>
              <w:keepNext/>
              <w:jc w:val="center"/>
              <w:rPr>
                <w:rFonts w:ascii="Arial Narrow" w:hAnsi="Arial Narrow"/>
                <w:sz w:val="20"/>
                <w:szCs w:val="20"/>
              </w:rPr>
            </w:pPr>
            <w:r w:rsidRPr="0049394D">
              <w:rPr>
                <w:rFonts w:ascii="Arial Narrow" w:hAnsi="Arial Narrow"/>
                <w:sz w:val="20"/>
                <w:szCs w:val="20"/>
              </w:rPr>
              <w:t>‘Time to surgery in RCC tumours’</w:t>
            </w:r>
          </w:p>
        </w:tc>
        <w:tc>
          <w:tcPr>
            <w:tcW w:w="4509" w:type="dxa"/>
            <w:vAlign w:val="center"/>
          </w:tcPr>
          <w:p w14:paraId="0006FE9B" w14:textId="77777777" w:rsidR="0024083E" w:rsidRPr="0049394D" w:rsidRDefault="0024083E" w:rsidP="00242CB1">
            <w:pPr>
              <w:keepNext/>
              <w:jc w:val="center"/>
              <w:rPr>
                <w:rFonts w:ascii="Arial Narrow" w:hAnsi="Arial Narrow"/>
                <w:sz w:val="20"/>
                <w:szCs w:val="20"/>
              </w:rPr>
            </w:pPr>
            <w:r w:rsidRPr="0049394D">
              <w:rPr>
                <w:rFonts w:ascii="Arial Narrow" w:hAnsi="Arial Narrow"/>
                <w:sz w:val="20"/>
                <w:szCs w:val="20"/>
              </w:rPr>
              <w:t>LS-004 aligned population in VHL-NHS:</w:t>
            </w:r>
          </w:p>
          <w:p w14:paraId="27623523" w14:textId="77777777" w:rsidR="0024083E" w:rsidRPr="0049394D" w:rsidRDefault="0024083E" w:rsidP="00242CB1">
            <w:pPr>
              <w:keepNext/>
              <w:jc w:val="center"/>
              <w:rPr>
                <w:rFonts w:ascii="Arial Narrow" w:hAnsi="Arial Narrow"/>
                <w:sz w:val="20"/>
                <w:szCs w:val="20"/>
              </w:rPr>
            </w:pPr>
            <w:r w:rsidRPr="0049394D">
              <w:rPr>
                <w:rFonts w:ascii="Arial Narrow" w:hAnsi="Arial Narrow"/>
                <w:sz w:val="20"/>
                <w:szCs w:val="20"/>
              </w:rPr>
              <w:t>‘Time to first renal tumour reduction surgery’</w:t>
            </w:r>
          </w:p>
        </w:tc>
      </w:tr>
      <w:tr w:rsidR="0024083E" w:rsidRPr="0049394D" w14:paraId="5D57C168" w14:textId="77777777" w:rsidTr="00242CB1">
        <w:tc>
          <w:tcPr>
            <w:tcW w:w="4508" w:type="dxa"/>
          </w:tcPr>
          <w:p w14:paraId="13151A5D" w14:textId="77777777" w:rsidR="0024083E" w:rsidRPr="0049394D" w:rsidRDefault="0024083E" w:rsidP="00242CB1">
            <w:pPr>
              <w:rPr>
                <w:rFonts w:ascii="Arial Narrow" w:hAnsi="Arial Narrow"/>
                <w:sz w:val="20"/>
                <w:szCs w:val="20"/>
              </w:rPr>
            </w:pPr>
            <w:r w:rsidRPr="0049394D">
              <w:rPr>
                <w:noProof/>
              </w:rPr>
              <w:drawing>
                <wp:inline distT="0" distB="0" distL="0" distR="0" wp14:anchorId="752B520B" wp14:editId="56D43784">
                  <wp:extent cx="2838450" cy="2104993"/>
                  <wp:effectExtent l="0" t="0" r="0" b="0"/>
                  <wp:docPr id="18" name="Picture 18" descr="LS-004:&#10;‘Time to surgery in RCC tumou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S-004:&#10;‘Time to surgery in RCC tumours’&#10;"/>
                          <pic:cNvPicPr/>
                        </pic:nvPicPr>
                        <pic:blipFill>
                          <a:blip r:embed="rId12"/>
                          <a:stretch>
                            <a:fillRect/>
                          </a:stretch>
                        </pic:blipFill>
                        <pic:spPr>
                          <a:xfrm>
                            <a:off x="0" y="0"/>
                            <a:ext cx="2907766" cy="2156398"/>
                          </a:xfrm>
                          <a:prstGeom prst="rect">
                            <a:avLst/>
                          </a:prstGeom>
                        </pic:spPr>
                      </pic:pic>
                    </a:graphicData>
                  </a:graphic>
                </wp:inline>
              </w:drawing>
            </w:r>
          </w:p>
        </w:tc>
        <w:tc>
          <w:tcPr>
            <w:tcW w:w="4509" w:type="dxa"/>
          </w:tcPr>
          <w:p w14:paraId="2BA112B7" w14:textId="77777777" w:rsidR="0024083E" w:rsidRPr="0049394D" w:rsidRDefault="0024083E" w:rsidP="00242CB1">
            <w:pPr>
              <w:rPr>
                <w:rFonts w:ascii="Arial Narrow" w:hAnsi="Arial Narrow"/>
                <w:sz w:val="20"/>
                <w:szCs w:val="20"/>
              </w:rPr>
            </w:pPr>
            <w:r w:rsidRPr="0049394D">
              <w:rPr>
                <w:noProof/>
              </w:rPr>
              <w:drawing>
                <wp:inline distT="0" distB="0" distL="0" distR="0" wp14:anchorId="43A3D158" wp14:editId="6189B3AB">
                  <wp:extent cx="2828290" cy="2076450"/>
                  <wp:effectExtent l="0" t="0" r="0" b="0"/>
                  <wp:docPr id="50" name="Picture 50" descr="LS-004 aligned population in VHL-NHS:&#10;‘Time to first renal tumour reduction surge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LS-004 aligned population in VHL-NHS:&#10;‘Time to first renal tumour reduction surgery’&#10;"/>
                          <pic:cNvPicPr/>
                        </pic:nvPicPr>
                        <pic:blipFill rotWithShape="1">
                          <a:blip r:embed="rId13"/>
                          <a:srcRect t="9531"/>
                          <a:stretch/>
                        </pic:blipFill>
                        <pic:spPr bwMode="auto">
                          <a:xfrm>
                            <a:off x="0" y="0"/>
                            <a:ext cx="2896220" cy="21263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AA3A533" w14:textId="1FBFE758" w:rsidR="0024083E" w:rsidRPr="0049394D" w:rsidRDefault="0024083E" w:rsidP="0024083E">
      <w:pPr>
        <w:rPr>
          <w:rFonts w:ascii="Arial Narrow" w:hAnsi="Arial Narrow"/>
          <w:sz w:val="18"/>
          <w:szCs w:val="18"/>
        </w:rPr>
      </w:pPr>
      <w:r w:rsidRPr="0049394D">
        <w:rPr>
          <w:rFonts w:ascii="Arial Narrow" w:hAnsi="Arial Narrow"/>
          <w:sz w:val="18"/>
          <w:szCs w:val="18"/>
        </w:rPr>
        <w:t>Source: Figure 14.2-9, of LS-004 CSR, Figure 7-6, VHL-NHS CSR.</w:t>
      </w:r>
    </w:p>
    <w:p w14:paraId="43055704" w14:textId="77777777" w:rsidR="0024083E" w:rsidRPr="0049394D" w:rsidRDefault="0024083E" w:rsidP="0024083E">
      <w:pPr>
        <w:pStyle w:val="TableFigureFooter"/>
        <w:rPr>
          <w:szCs w:val="18"/>
        </w:rPr>
      </w:pPr>
      <w:r w:rsidRPr="0049394D">
        <w:rPr>
          <w:szCs w:val="18"/>
        </w:rPr>
        <w:t xml:space="preserve">LS-004 = Litespark-004; RCC = renal cell carcinoma; VHL-NHS = von </w:t>
      </w:r>
      <w:r w:rsidRPr="0049394D">
        <w:t>Hippel</w:t>
      </w:r>
      <w:r w:rsidRPr="0049394D">
        <w:rPr>
          <w:szCs w:val="18"/>
        </w:rPr>
        <w:t>-Lindau Natural History Study.</w:t>
      </w:r>
    </w:p>
    <w:p w14:paraId="3EE804DA" w14:textId="16EAEE74" w:rsidR="0024083E" w:rsidRPr="0049394D" w:rsidRDefault="0024083E" w:rsidP="0024083E">
      <w:pPr>
        <w:pStyle w:val="3-BodyText"/>
      </w:pPr>
      <w:r w:rsidRPr="0049394D">
        <w:fldChar w:fldCharType="begin" w:fldLock="1"/>
      </w:r>
      <w:r w:rsidRPr="0049394D">
        <w:instrText xml:space="preserve"> REF _Ref166486082 \h </w:instrText>
      </w:r>
      <w:r w:rsidRPr="0049394D">
        <w:fldChar w:fldCharType="separate"/>
      </w:r>
      <w:r w:rsidR="00437B51" w:rsidRPr="0049394D">
        <w:t xml:space="preserve">Figure </w:t>
      </w:r>
      <w:r w:rsidR="00437B51">
        <w:rPr>
          <w:noProof/>
        </w:rPr>
        <w:t>3</w:t>
      </w:r>
      <w:r w:rsidRPr="0049394D">
        <w:fldChar w:fldCharType="end"/>
      </w:r>
      <w:r w:rsidRPr="0049394D">
        <w:t xml:space="preserve"> presents the distribution of VHL-associated tumour reduction procedures in patients enrolled in LS-004 before and after commencing belzutifan. The figure illustrates the considerable reduction in the number of surgeries across all VHL-associated manifestations. A total of 73 surgeries or procedures were conducted in 44 patients in the 3</w:t>
      </w:r>
      <w:r w:rsidR="00F36B40" w:rsidRPr="0049394D">
        <w:t>-</w:t>
      </w:r>
      <w:r w:rsidRPr="0049394D">
        <w:t>year period before belzutifan compared to 11 surgeries or procedures performed in 9 patients in the 3</w:t>
      </w:r>
      <w:r w:rsidR="00F36B40" w:rsidRPr="0049394D">
        <w:t>-</w:t>
      </w:r>
      <w:r w:rsidRPr="0049394D">
        <w:t xml:space="preserve">year period after treatment. The submission stated 4/61 (6.6%) of patients in LS-004 underwent renal surgery </w:t>
      </w:r>
      <w:r w:rsidR="00F36B40" w:rsidRPr="0049394D">
        <w:t>while on treatment with</w:t>
      </w:r>
      <w:r w:rsidRPr="0049394D">
        <w:t xml:space="preserve"> belzutifan over 37.3 months median </w:t>
      </w:r>
      <w:r w:rsidR="000D0D6B" w:rsidRPr="0049394D">
        <w:t>follow-up</w:t>
      </w:r>
      <w:r w:rsidRPr="0049394D">
        <w:t xml:space="preserve">, compared to 132/247 (53.4%) patients in VHL-NHS over 60 months of follow-up. The most common type of renal surgery in the VHL-NHS study was partial </w:t>
      </w:r>
      <w:r w:rsidR="00F36B40" w:rsidRPr="0049394D">
        <w:t>n</w:t>
      </w:r>
      <w:r w:rsidRPr="0049394D">
        <w:t>ephrectomy (94.1% of renal surgeries).</w:t>
      </w:r>
    </w:p>
    <w:p w14:paraId="660EF536" w14:textId="7EC98906" w:rsidR="0024083E" w:rsidRPr="0049394D" w:rsidRDefault="0024083E" w:rsidP="0024083E">
      <w:pPr>
        <w:pStyle w:val="Caption"/>
        <w:jc w:val="left"/>
        <w:rPr>
          <w:vertAlign w:val="superscript"/>
        </w:rPr>
      </w:pPr>
      <w:bookmarkStart w:id="41" w:name="_Ref166486082"/>
      <w:r w:rsidRPr="0049394D">
        <w:lastRenderedPageBreak/>
        <w:t xml:space="preserve">Figure </w:t>
      </w:r>
      <w:r>
        <w:fldChar w:fldCharType="begin" w:fldLock="1"/>
      </w:r>
      <w:r>
        <w:instrText xml:space="preserve"> SEQ Figure \* ARABIC </w:instrText>
      </w:r>
      <w:r>
        <w:fldChar w:fldCharType="separate"/>
      </w:r>
      <w:r w:rsidR="00437B51">
        <w:rPr>
          <w:noProof/>
        </w:rPr>
        <w:t>3</w:t>
      </w:r>
      <w:r>
        <w:rPr>
          <w:noProof/>
        </w:rPr>
        <w:fldChar w:fldCharType="end"/>
      </w:r>
      <w:bookmarkEnd w:id="41"/>
      <w:r w:rsidRPr="0049394D">
        <w:t>: Tumour reduction procedures before and after belzutifan treatment</w:t>
      </w:r>
      <w:r w:rsidRPr="0049394D">
        <w:rPr>
          <w:vertAlign w:val="superscript"/>
        </w:rPr>
        <w:t>^</w:t>
      </w:r>
    </w:p>
    <w:p w14:paraId="66E20689" w14:textId="77777777" w:rsidR="0024083E" w:rsidRPr="0049394D" w:rsidRDefault="0024083E" w:rsidP="0024083E">
      <w:r w:rsidRPr="0049394D">
        <w:rPr>
          <w:rFonts w:ascii="Times New Roman" w:hAnsi="Times New Roman" w:cs="Times New Roman"/>
          <w:noProof/>
        </w:rPr>
        <w:drawing>
          <wp:inline distT="0" distB="0" distL="0" distR="0" wp14:anchorId="49E97724" wp14:editId="1C2BE046">
            <wp:extent cx="5732145" cy="3009537"/>
            <wp:effectExtent l="0" t="0" r="1905" b="635"/>
            <wp:docPr id="45" name="Picture 45" descr="Figure 3: Tumour reduction procedures before and after belzutifan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igure 3: Tumour reduction procedures before and after belzutifan treatment^"/>
                    <pic:cNvPicPr/>
                  </pic:nvPicPr>
                  <pic:blipFill>
                    <a:blip r:embed="rId14"/>
                    <a:stretch>
                      <a:fillRect/>
                    </a:stretch>
                  </pic:blipFill>
                  <pic:spPr>
                    <a:xfrm>
                      <a:off x="0" y="0"/>
                      <a:ext cx="5732145" cy="3009537"/>
                    </a:xfrm>
                    <a:prstGeom prst="rect">
                      <a:avLst/>
                    </a:prstGeom>
                  </pic:spPr>
                </pic:pic>
              </a:graphicData>
            </a:graphic>
          </wp:inline>
        </w:drawing>
      </w:r>
    </w:p>
    <w:p w14:paraId="0821A185" w14:textId="4093EFE5" w:rsidR="0024083E" w:rsidRPr="0049394D" w:rsidRDefault="0024083E" w:rsidP="0024083E">
      <w:pPr>
        <w:pStyle w:val="TableFigureFooter"/>
      </w:pPr>
      <w:r w:rsidRPr="0049394D">
        <w:t xml:space="preserve">Source: Figure 2.5-13, of the submission, originally from Srinivasan </w:t>
      </w:r>
      <w:r w:rsidR="00DD4ECB" w:rsidRPr="0049394D">
        <w:t>202</w:t>
      </w:r>
      <w:r w:rsidR="00DD4ECB">
        <w:t>2</w:t>
      </w:r>
      <w:r w:rsidR="00DD4ECB" w:rsidRPr="0049394D">
        <w:t xml:space="preserve"> </w:t>
      </w:r>
      <w:r w:rsidRPr="0049394D">
        <w:t>(ESMO Conference poster)</w:t>
      </w:r>
    </w:p>
    <w:p w14:paraId="0D3E2670" w14:textId="19AA6965" w:rsidR="0024083E" w:rsidRPr="0049394D" w:rsidRDefault="0024083E" w:rsidP="0024083E">
      <w:pPr>
        <w:pStyle w:val="TableFigureFooter"/>
      </w:pPr>
      <w:r w:rsidRPr="0049394D">
        <w:t>^</w:t>
      </w:r>
      <w:r w:rsidRPr="0049394D">
        <w:tab/>
        <w:t>Data cut-off April 1, 2022, median follow-up 37.8 months (range: 36.1</w:t>
      </w:r>
      <w:r w:rsidR="00D123EC" w:rsidRPr="0049394D">
        <w:t>−</w:t>
      </w:r>
      <w:r w:rsidRPr="0049394D">
        <w:t>46.1).</w:t>
      </w:r>
    </w:p>
    <w:bookmarkStart w:id="42" w:name="_Ref172205578"/>
    <w:p w14:paraId="2455563B" w14:textId="3EA395CB" w:rsidR="0024083E" w:rsidRPr="0049394D" w:rsidRDefault="0024083E" w:rsidP="0024083E">
      <w:pPr>
        <w:pStyle w:val="3-BodyText"/>
        <w:rPr>
          <w:rFonts w:eastAsia="Calibri"/>
        </w:rPr>
      </w:pPr>
      <w:r w:rsidRPr="0049394D">
        <w:fldChar w:fldCharType="begin" w:fldLock="1"/>
      </w:r>
      <w:r w:rsidRPr="0049394D">
        <w:instrText xml:space="preserve"> REF _Ref166486134 \h </w:instrText>
      </w:r>
      <w:r w:rsidRPr="0049394D">
        <w:fldChar w:fldCharType="separate"/>
      </w:r>
      <w:r w:rsidR="00437B51" w:rsidRPr="0049394D">
        <w:t xml:space="preserve">Table </w:t>
      </w:r>
      <w:r w:rsidR="00437B51">
        <w:rPr>
          <w:noProof/>
        </w:rPr>
        <w:t>7</w:t>
      </w:r>
      <w:r w:rsidRPr="0049394D">
        <w:fldChar w:fldCharType="end"/>
      </w:r>
      <w:r w:rsidRPr="0049394D">
        <w:t xml:space="preserve"> summarises other efficacy outcomes reported in LS-004 by tumour type. In summary:</w:t>
      </w:r>
      <w:bookmarkEnd w:id="42"/>
    </w:p>
    <w:p w14:paraId="78D9CA1B" w14:textId="385A4882" w:rsidR="0024083E" w:rsidRPr="0049394D" w:rsidRDefault="0024083E" w:rsidP="003E71CC">
      <w:pPr>
        <w:pStyle w:val="3-BodyText"/>
        <w:numPr>
          <w:ilvl w:val="0"/>
          <w:numId w:val="9"/>
        </w:numPr>
        <w:ind w:left="993" w:hanging="284"/>
      </w:pPr>
      <w:r w:rsidRPr="0049394D">
        <w:t xml:space="preserve">The overall response rate was 63.9% (39/61) in RCC, 44.0% (22/50) in </w:t>
      </w:r>
      <w:r w:rsidR="00E47DB9" w:rsidRPr="0049394D">
        <w:t>CN</w:t>
      </w:r>
      <w:r w:rsidR="00E47DB9">
        <w:t>S</w:t>
      </w:r>
      <w:r w:rsidR="00E47DB9" w:rsidRPr="0049394D">
        <w:t xml:space="preserve"> </w:t>
      </w:r>
      <w:r w:rsidRPr="0049394D">
        <w:t xml:space="preserve">Hb and 90.9% (20/22) in pNETs. For RCC and </w:t>
      </w:r>
      <w:r w:rsidR="00E47DB9" w:rsidRPr="0049394D">
        <w:t>CN</w:t>
      </w:r>
      <w:r w:rsidR="00E47DB9">
        <w:t>S</w:t>
      </w:r>
      <w:r w:rsidR="00E47DB9" w:rsidRPr="0049394D">
        <w:t xml:space="preserve"> </w:t>
      </w:r>
      <w:r w:rsidRPr="0049394D">
        <w:t>Hb, most patients had a best overall response of partial response or stable disease</w:t>
      </w:r>
      <w:r w:rsidR="00465819">
        <w:t>,</w:t>
      </w:r>
      <w:r w:rsidRPr="0049394D">
        <w:t xml:space="preserve"> whereas for pNETs, most patients had a best overall response or partial response or complete response.</w:t>
      </w:r>
    </w:p>
    <w:p w14:paraId="562B623F" w14:textId="7A9C8767" w:rsidR="0024083E" w:rsidRPr="0049394D" w:rsidRDefault="0024083E" w:rsidP="003E71CC">
      <w:pPr>
        <w:pStyle w:val="3-BodyText"/>
        <w:numPr>
          <w:ilvl w:val="0"/>
          <w:numId w:val="9"/>
        </w:numPr>
        <w:ind w:left="993" w:hanging="284"/>
      </w:pPr>
      <w:r w:rsidRPr="0049394D">
        <w:t xml:space="preserve">The median time to any response was 11.1 months in RCC, 5.4 months in </w:t>
      </w:r>
      <w:r w:rsidR="00E47DB9" w:rsidRPr="0049394D">
        <w:t>CN</w:t>
      </w:r>
      <w:r w:rsidR="00E47DB9">
        <w:t>S</w:t>
      </w:r>
      <w:r w:rsidR="00E47DB9" w:rsidRPr="0049394D">
        <w:t xml:space="preserve"> </w:t>
      </w:r>
      <w:r w:rsidRPr="0049394D">
        <w:t>Hb and 8.2 months in pNETs. The results indicate a relatively delayed response time in all tumour types.</w:t>
      </w:r>
    </w:p>
    <w:p w14:paraId="5964EF37" w14:textId="77777777" w:rsidR="0024083E" w:rsidRPr="0049394D" w:rsidRDefault="0024083E" w:rsidP="003E71CC">
      <w:pPr>
        <w:pStyle w:val="3-BodyText"/>
        <w:numPr>
          <w:ilvl w:val="0"/>
          <w:numId w:val="9"/>
        </w:numPr>
        <w:ind w:left="993" w:hanging="284"/>
      </w:pPr>
      <w:r w:rsidRPr="0049394D">
        <w:t>The median duration of response was not reached in any of the tumour types, with a high proportion of responders maintaining response beyond 30 months (87% in RCC, 90% in CNS Hb, 100% in pNETs). The results are indicative of a durable response to treatment, given only 5 patients with response developed disease progression or died over the median 37.7 months of follow up.</w:t>
      </w:r>
    </w:p>
    <w:p w14:paraId="1039F324" w14:textId="4673EDF8" w:rsidR="0024083E" w:rsidRDefault="0024083E" w:rsidP="003E71CC">
      <w:pPr>
        <w:pStyle w:val="3-BodyText"/>
        <w:numPr>
          <w:ilvl w:val="0"/>
          <w:numId w:val="9"/>
        </w:numPr>
        <w:ind w:left="993" w:hanging="284"/>
      </w:pPr>
      <w:r w:rsidRPr="0049394D">
        <w:t xml:space="preserve">The median progression-free survival was 39.2 months in patients with RCC but may not be reliable given relatively few patients contributed data at the tail of the distribution (e.g. 2 patients at 40 months). The progression free survival rate was </w:t>
      </w:r>
      <w:r w:rsidR="0004198F" w:rsidRPr="0049394D">
        <w:t>86</w:t>
      </w:r>
      <w:r w:rsidRPr="0049394D">
        <w:t>% at 36 months in patients with RCC and the median progression free survival time was not reached in the CNS Hb or pNET subgroups.</w:t>
      </w:r>
    </w:p>
    <w:p w14:paraId="1C17D7A5" w14:textId="6603937F" w:rsidR="00312ADD" w:rsidRPr="00BF3570" w:rsidRDefault="004E3FB5" w:rsidP="00312ADD">
      <w:pPr>
        <w:pStyle w:val="3-BodyText"/>
        <w:numPr>
          <w:ilvl w:val="0"/>
          <w:numId w:val="0"/>
        </w:numPr>
        <w:ind w:left="709"/>
        <w:rPr>
          <w:iCs/>
        </w:rPr>
      </w:pPr>
      <w:r w:rsidRPr="00BF3570">
        <w:rPr>
          <w:iCs/>
        </w:rPr>
        <w:t>The</w:t>
      </w:r>
      <w:r w:rsidR="00312ADD" w:rsidRPr="00BF3570">
        <w:rPr>
          <w:iCs/>
        </w:rPr>
        <w:t xml:space="preserve"> ESC also noted the high disease control rates ranging between 90% and 100% across all three tumour types</w:t>
      </w:r>
      <w:r w:rsidR="00E67403" w:rsidRPr="00BF3570">
        <w:rPr>
          <w:iCs/>
        </w:rPr>
        <w:t>.</w:t>
      </w:r>
      <w:r w:rsidRPr="00BF3570">
        <w:rPr>
          <w:iCs/>
        </w:rPr>
        <w:t xml:space="preserve"> </w:t>
      </w:r>
      <w:r w:rsidR="00E67403" w:rsidRPr="00BF3570">
        <w:rPr>
          <w:iCs/>
        </w:rPr>
        <w:t>The ESC considered these data i</w:t>
      </w:r>
      <w:r w:rsidRPr="00BF3570">
        <w:rPr>
          <w:iCs/>
        </w:rPr>
        <w:t xml:space="preserve">n combination with </w:t>
      </w:r>
      <w:r w:rsidR="00E67403" w:rsidRPr="00BF3570">
        <w:rPr>
          <w:iCs/>
        </w:rPr>
        <w:t xml:space="preserve">the </w:t>
      </w:r>
      <w:r w:rsidR="00E67403" w:rsidRPr="00BF3570">
        <w:rPr>
          <w:iCs/>
        </w:rPr>
        <w:lastRenderedPageBreak/>
        <w:t xml:space="preserve">reported </w:t>
      </w:r>
      <w:r w:rsidRPr="00BF3570">
        <w:rPr>
          <w:iCs/>
        </w:rPr>
        <w:t xml:space="preserve">tumour growth data in the lead-up to belzutifan treatment were indicative of </w:t>
      </w:r>
      <w:r w:rsidR="00E67403" w:rsidRPr="00BF3570">
        <w:rPr>
          <w:iCs/>
        </w:rPr>
        <w:t>reduced tumour activity</w:t>
      </w:r>
      <w:r w:rsidRPr="00BF3570">
        <w:rPr>
          <w:iCs/>
        </w:rPr>
        <w:t>.</w:t>
      </w:r>
    </w:p>
    <w:p w14:paraId="1A315D9C" w14:textId="6723AA92" w:rsidR="0024083E" w:rsidRPr="0049394D" w:rsidRDefault="0024083E" w:rsidP="0024083E">
      <w:pPr>
        <w:pStyle w:val="Caption"/>
        <w:jc w:val="left"/>
      </w:pPr>
      <w:bookmarkStart w:id="43" w:name="_Ref166486134"/>
      <w:r w:rsidRPr="0049394D">
        <w:t xml:space="preserve">Table </w:t>
      </w:r>
      <w:r>
        <w:fldChar w:fldCharType="begin" w:fldLock="1"/>
      </w:r>
      <w:r>
        <w:instrText xml:space="preserve"> SEQ Table \* ARABIC </w:instrText>
      </w:r>
      <w:r>
        <w:fldChar w:fldCharType="separate"/>
      </w:r>
      <w:r w:rsidR="00437B51">
        <w:rPr>
          <w:noProof/>
        </w:rPr>
        <w:t>7</w:t>
      </w:r>
      <w:r>
        <w:rPr>
          <w:noProof/>
        </w:rPr>
        <w:fldChar w:fldCharType="end"/>
      </w:r>
      <w:bookmarkEnd w:id="43"/>
      <w:r w:rsidRPr="0049394D">
        <w:t>: Organ-specific tumour response outcomes and progression-free survival reported in LS-004, interim analysis 4</w:t>
      </w:r>
      <w:r w:rsidR="00BD54AE" w:rsidRPr="0049394D">
        <w:rPr>
          <w:vertAlign w:val="superscript"/>
        </w:rPr>
        <w:t xml:space="preserve"> </w:t>
      </w:r>
      <w:r w:rsidRPr="0049394D">
        <w:t>(IRC)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Organ-specific tumour response outcomes and progression-free survival reported in LS-004, interim analysis 4 (IRC)"/>
      </w:tblPr>
      <w:tblGrid>
        <w:gridCol w:w="4389"/>
        <w:gridCol w:w="1542"/>
        <w:gridCol w:w="1544"/>
        <w:gridCol w:w="1542"/>
      </w:tblGrid>
      <w:tr w:rsidR="0024083E" w:rsidRPr="0049394D" w14:paraId="3820217E" w14:textId="77777777" w:rsidTr="00242CB1">
        <w:trPr>
          <w:tblHeader/>
        </w:trPr>
        <w:tc>
          <w:tcPr>
            <w:tcW w:w="2434" w:type="pct"/>
            <w:tcBorders>
              <w:bottom w:val="single" w:sz="4" w:space="0" w:color="auto"/>
            </w:tcBorders>
            <w:vAlign w:val="center"/>
          </w:tcPr>
          <w:p w14:paraId="72E0DF9E" w14:textId="77777777" w:rsidR="0024083E" w:rsidRPr="0049394D" w:rsidRDefault="0024083E" w:rsidP="00242CB1">
            <w:pPr>
              <w:pStyle w:val="In-tableHeading"/>
              <w:keepNext w:val="0"/>
              <w:rPr>
                <w:lang w:val="en-AU"/>
              </w:rPr>
            </w:pPr>
          </w:p>
          <w:p w14:paraId="37EFA836" w14:textId="77777777" w:rsidR="0024083E" w:rsidRPr="0049394D" w:rsidRDefault="0024083E" w:rsidP="00242CB1">
            <w:pPr>
              <w:pStyle w:val="In-tableHeading"/>
              <w:keepNext w:val="0"/>
              <w:rPr>
                <w:lang w:val="en-AU"/>
              </w:rPr>
            </w:pPr>
          </w:p>
        </w:tc>
        <w:tc>
          <w:tcPr>
            <w:tcW w:w="855" w:type="pct"/>
            <w:tcBorders>
              <w:bottom w:val="single" w:sz="4" w:space="0" w:color="auto"/>
            </w:tcBorders>
            <w:vAlign w:val="center"/>
          </w:tcPr>
          <w:p w14:paraId="0014E42E" w14:textId="77777777" w:rsidR="0024083E" w:rsidRPr="0049394D" w:rsidRDefault="0024083E" w:rsidP="00242CB1">
            <w:pPr>
              <w:pStyle w:val="In-tableHeading"/>
              <w:keepNext w:val="0"/>
              <w:jc w:val="center"/>
              <w:rPr>
                <w:lang w:val="en-AU"/>
              </w:rPr>
            </w:pPr>
            <w:r w:rsidRPr="0049394D">
              <w:rPr>
                <w:lang w:val="en-AU"/>
              </w:rPr>
              <w:t>RCC</w:t>
            </w:r>
          </w:p>
          <w:p w14:paraId="3C8273E8" w14:textId="77777777" w:rsidR="0024083E" w:rsidRPr="0049394D" w:rsidRDefault="0024083E" w:rsidP="00242CB1">
            <w:pPr>
              <w:pStyle w:val="In-tableHeading"/>
              <w:keepNext w:val="0"/>
              <w:jc w:val="center"/>
              <w:rPr>
                <w:lang w:val="en-AU"/>
              </w:rPr>
            </w:pPr>
            <w:r w:rsidRPr="0049394D">
              <w:rPr>
                <w:lang w:val="en-AU"/>
              </w:rPr>
              <w:t>(N=61)</w:t>
            </w:r>
          </w:p>
        </w:tc>
        <w:tc>
          <w:tcPr>
            <w:tcW w:w="856" w:type="pct"/>
            <w:tcBorders>
              <w:bottom w:val="single" w:sz="4" w:space="0" w:color="auto"/>
            </w:tcBorders>
            <w:vAlign w:val="center"/>
          </w:tcPr>
          <w:p w14:paraId="73A551CA" w14:textId="77777777" w:rsidR="0024083E" w:rsidRPr="0049394D" w:rsidRDefault="0024083E" w:rsidP="00242CB1">
            <w:pPr>
              <w:pStyle w:val="In-tableHeading"/>
              <w:keepNext w:val="0"/>
              <w:jc w:val="center"/>
              <w:rPr>
                <w:lang w:val="en-AU"/>
              </w:rPr>
            </w:pPr>
            <w:r w:rsidRPr="0049394D">
              <w:rPr>
                <w:lang w:val="en-AU"/>
              </w:rPr>
              <w:t>CNS Hb</w:t>
            </w:r>
          </w:p>
          <w:p w14:paraId="283F96F0" w14:textId="77777777" w:rsidR="0024083E" w:rsidRPr="0049394D" w:rsidRDefault="0024083E" w:rsidP="00242CB1">
            <w:pPr>
              <w:pStyle w:val="In-tableHeading"/>
              <w:keepNext w:val="0"/>
              <w:jc w:val="center"/>
              <w:rPr>
                <w:lang w:val="en-AU"/>
              </w:rPr>
            </w:pPr>
            <w:r w:rsidRPr="0049394D">
              <w:rPr>
                <w:lang w:val="en-AU"/>
              </w:rPr>
              <w:t>(N=50)</w:t>
            </w:r>
          </w:p>
        </w:tc>
        <w:tc>
          <w:tcPr>
            <w:tcW w:w="855" w:type="pct"/>
            <w:tcBorders>
              <w:bottom w:val="single" w:sz="4" w:space="0" w:color="auto"/>
            </w:tcBorders>
            <w:vAlign w:val="center"/>
          </w:tcPr>
          <w:p w14:paraId="2A8E4609" w14:textId="77777777" w:rsidR="0024083E" w:rsidRPr="0049394D" w:rsidRDefault="0024083E" w:rsidP="00242CB1">
            <w:pPr>
              <w:pStyle w:val="In-tableHeading"/>
              <w:keepNext w:val="0"/>
              <w:jc w:val="center"/>
              <w:rPr>
                <w:lang w:val="en-AU"/>
              </w:rPr>
            </w:pPr>
            <w:r w:rsidRPr="0049394D">
              <w:rPr>
                <w:lang w:val="en-AU"/>
              </w:rPr>
              <w:t>pNETs</w:t>
            </w:r>
          </w:p>
          <w:p w14:paraId="2F21A0BC" w14:textId="77777777" w:rsidR="0024083E" w:rsidRPr="0049394D" w:rsidRDefault="0024083E" w:rsidP="00242CB1">
            <w:pPr>
              <w:pStyle w:val="In-tableHeading"/>
              <w:keepNext w:val="0"/>
              <w:jc w:val="center"/>
              <w:rPr>
                <w:lang w:val="en-AU"/>
              </w:rPr>
            </w:pPr>
            <w:r w:rsidRPr="0049394D">
              <w:rPr>
                <w:lang w:val="en-AU"/>
              </w:rPr>
              <w:t>(N=22)</w:t>
            </w:r>
          </w:p>
        </w:tc>
      </w:tr>
      <w:tr w:rsidR="0024083E" w:rsidRPr="0049394D" w14:paraId="3526C335" w14:textId="77777777" w:rsidTr="00242CB1">
        <w:tc>
          <w:tcPr>
            <w:tcW w:w="2434" w:type="pct"/>
            <w:tcBorders>
              <w:bottom w:val="nil"/>
              <w:right w:val="single" w:sz="4" w:space="0" w:color="auto"/>
            </w:tcBorders>
            <w:vAlign w:val="center"/>
          </w:tcPr>
          <w:p w14:paraId="43B1A668" w14:textId="77777777" w:rsidR="0024083E" w:rsidRPr="0049394D" w:rsidRDefault="0024083E" w:rsidP="00242CB1">
            <w:pPr>
              <w:pStyle w:val="TableText0"/>
              <w:keepNext w:val="0"/>
              <w:rPr>
                <w:b/>
              </w:rPr>
            </w:pPr>
            <w:r w:rsidRPr="0049394D">
              <w:rPr>
                <w:b/>
              </w:rPr>
              <w:t>Best Overall Response, n (%)</w:t>
            </w:r>
          </w:p>
        </w:tc>
        <w:tc>
          <w:tcPr>
            <w:tcW w:w="855" w:type="pct"/>
            <w:tcBorders>
              <w:left w:val="single" w:sz="4" w:space="0" w:color="auto"/>
              <w:bottom w:val="nil"/>
              <w:right w:val="single" w:sz="4" w:space="0" w:color="auto"/>
            </w:tcBorders>
            <w:vAlign w:val="center"/>
          </w:tcPr>
          <w:p w14:paraId="1149B023" w14:textId="77777777" w:rsidR="0024083E" w:rsidRPr="0049394D" w:rsidRDefault="0024083E" w:rsidP="00242CB1">
            <w:pPr>
              <w:pStyle w:val="TableText0"/>
              <w:keepNext w:val="0"/>
              <w:jc w:val="center"/>
            </w:pPr>
          </w:p>
        </w:tc>
        <w:tc>
          <w:tcPr>
            <w:tcW w:w="856" w:type="pct"/>
            <w:tcBorders>
              <w:left w:val="single" w:sz="4" w:space="0" w:color="auto"/>
              <w:bottom w:val="nil"/>
              <w:right w:val="single" w:sz="4" w:space="0" w:color="auto"/>
            </w:tcBorders>
            <w:vAlign w:val="center"/>
          </w:tcPr>
          <w:p w14:paraId="52F6E5B6" w14:textId="77777777" w:rsidR="0024083E" w:rsidRPr="0049394D" w:rsidRDefault="0024083E" w:rsidP="00242CB1">
            <w:pPr>
              <w:pStyle w:val="TableText0"/>
              <w:keepNext w:val="0"/>
              <w:jc w:val="center"/>
            </w:pPr>
          </w:p>
        </w:tc>
        <w:tc>
          <w:tcPr>
            <w:tcW w:w="855" w:type="pct"/>
            <w:tcBorders>
              <w:left w:val="single" w:sz="4" w:space="0" w:color="auto"/>
              <w:bottom w:val="nil"/>
              <w:right w:val="single" w:sz="4" w:space="0" w:color="auto"/>
            </w:tcBorders>
            <w:vAlign w:val="center"/>
          </w:tcPr>
          <w:p w14:paraId="64D75D64" w14:textId="77777777" w:rsidR="0024083E" w:rsidRPr="0049394D" w:rsidRDefault="0024083E" w:rsidP="00242CB1">
            <w:pPr>
              <w:pStyle w:val="TableText0"/>
              <w:keepNext w:val="0"/>
              <w:jc w:val="center"/>
            </w:pPr>
          </w:p>
        </w:tc>
      </w:tr>
      <w:tr w:rsidR="0024083E" w:rsidRPr="0049394D" w14:paraId="115E99D0" w14:textId="77777777" w:rsidTr="00242CB1">
        <w:tc>
          <w:tcPr>
            <w:tcW w:w="2434" w:type="pct"/>
            <w:tcBorders>
              <w:top w:val="nil"/>
              <w:bottom w:val="nil"/>
            </w:tcBorders>
            <w:vAlign w:val="center"/>
          </w:tcPr>
          <w:p w14:paraId="2B1BA817" w14:textId="1AB46962" w:rsidR="0024083E" w:rsidRPr="0049394D" w:rsidRDefault="0024083E" w:rsidP="00242CB1">
            <w:pPr>
              <w:pStyle w:val="TableText0"/>
              <w:keepNext w:val="0"/>
              <w:ind w:left="221"/>
              <w:rPr>
                <w:b/>
                <w:vertAlign w:val="superscript"/>
              </w:rPr>
            </w:pPr>
            <w:r w:rsidRPr="0049394D">
              <w:t>Complete Response (CR)</w:t>
            </w:r>
            <w:r w:rsidR="00AC00A1" w:rsidRPr="0049394D">
              <w:rPr>
                <w:vertAlign w:val="superscript"/>
              </w:rPr>
              <w:t>a</w:t>
            </w:r>
          </w:p>
        </w:tc>
        <w:tc>
          <w:tcPr>
            <w:tcW w:w="855" w:type="pct"/>
            <w:tcBorders>
              <w:top w:val="nil"/>
              <w:bottom w:val="nil"/>
            </w:tcBorders>
          </w:tcPr>
          <w:p w14:paraId="5F0C3A0B" w14:textId="77777777" w:rsidR="0024083E" w:rsidRPr="0049394D" w:rsidRDefault="0024083E" w:rsidP="00242CB1">
            <w:pPr>
              <w:pStyle w:val="TableText0"/>
              <w:keepNext w:val="0"/>
              <w:jc w:val="center"/>
            </w:pPr>
            <w:r w:rsidRPr="0049394D">
              <w:t>4 (6.6)</w:t>
            </w:r>
          </w:p>
        </w:tc>
        <w:tc>
          <w:tcPr>
            <w:tcW w:w="856" w:type="pct"/>
            <w:tcBorders>
              <w:top w:val="nil"/>
              <w:bottom w:val="nil"/>
            </w:tcBorders>
          </w:tcPr>
          <w:p w14:paraId="731BA0F8" w14:textId="77777777" w:rsidR="0024083E" w:rsidRPr="0049394D" w:rsidRDefault="0024083E" w:rsidP="00242CB1">
            <w:pPr>
              <w:pStyle w:val="TableText0"/>
              <w:keepNext w:val="0"/>
              <w:jc w:val="center"/>
            </w:pPr>
            <w:r w:rsidRPr="0049394D">
              <w:t>4 (8.0)</w:t>
            </w:r>
          </w:p>
        </w:tc>
        <w:tc>
          <w:tcPr>
            <w:tcW w:w="855" w:type="pct"/>
            <w:tcBorders>
              <w:top w:val="nil"/>
              <w:bottom w:val="nil"/>
            </w:tcBorders>
          </w:tcPr>
          <w:p w14:paraId="05FB364B" w14:textId="77777777" w:rsidR="0024083E" w:rsidRPr="0049394D" w:rsidRDefault="0024083E" w:rsidP="00242CB1">
            <w:pPr>
              <w:pStyle w:val="TableText0"/>
              <w:keepNext w:val="0"/>
              <w:jc w:val="center"/>
            </w:pPr>
            <w:r w:rsidRPr="0049394D">
              <w:t>7 (31.8)</w:t>
            </w:r>
          </w:p>
        </w:tc>
      </w:tr>
      <w:tr w:rsidR="0024083E" w:rsidRPr="0049394D" w14:paraId="26D90A52" w14:textId="77777777" w:rsidTr="00242CB1">
        <w:tc>
          <w:tcPr>
            <w:tcW w:w="2434" w:type="pct"/>
            <w:tcBorders>
              <w:top w:val="nil"/>
              <w:bottom w:val="nil"/>
            </w:tcBorders>
            <w:vAlign w:val="center"/>
          </w:tcPr>
          <w:p w14:paraId="753F8DBC" w14:textId="0596E6A8" w:rsidR="0024083E" w:rsidRPr="0049394D" w:rsidRDefault="0024083E" w:rsidP="00242CB1">
            <w:pPr>
              <w:pStyle w:val="TableText0"/>
              <w:keepNext w:val="0"/>
              <w:ind w:left="221"/>
              <w:rPr>
                <w:b/>
                <w:vertAlign w:val="superscript"/>
              </w:rPr>
            </w:pPr>
            <w:r w:rsidRPr="0049394D">
              <w:t>Partial Response (PR)</w:t>
            </w:r>
            <w:r w:rsidR="00EE3CCF" w:rsidRPr="0049394D">
              <w:rPr>
                <w:vertAlign w:val="superscript"/>
              </w:rPr>
              <w:t>b</w:t>
            </w:r>
          </w:p>
        </w:tc>
        <w:tc>
          <w:tcPr>
            <w:tcW w:w="855" w:type="pct"/>
            <w:tcBorders>
              <w:top w:val="nil"/>
              <w:bottom w:val="nil"/>
            </w:tcBorders>
          </w:tcPr>
          <w:p w14:paraId="222D68F3" w14:textId="77777777" w:rsidR="0024083E" w:rsidRPr="0049394D" w:rsidRDefault="0024083E" w:rsidP="00242CB1">
            <w:pPr>
              <w:pStyle w:val="TableText0"/>
              <w:keepNext w:val="0"/>
              <w:jc w:val="center"/>
            </w:pPr>
            <w:r w:rsidRPr="0049394D">
              <w:t>35 (57.4)</w:t>
            </w:r>
          </w:p>
        </w:tc>
        <w:tc>
          <w:tcPr>
            <w:tcW w:w="856" w:type="pct"/>
            <w:tcBorders>
              <w:top w:val="nil"/>
              <w:bottom w:val="nil"/>
            </w:tcBorders>
          </w:tcPr>
          <w:p w14:paraId="431FEB4C" w14:textId="77777777" w:rsidR="0024083E" w:rsidRPr="0049394D" w:rsidRDefault="0024083E" w:rsidP="00242CB1">
            <w:pPr>
              <w:pStyle w:val="TableText0"/>
              <w:keepNext w:val="0"/>
              <w:jc w:val="center"/>
            </w:pPr>
            <w:r w:rsidRPr="0049394D">
              <w:t>18 (36.0)</w:t>
            </w:r>
          </w:p>
        </w:tc>
        <w:tc>
          <w:tcPr>
            <w:tcW w:w="855" w:type="pct"/>
            <w:tcBorders>
              <w:top w:val="nil"/>
              <w:bottom w:val="nil"/>
            </w:tcBorders>
          </w:tcPr>
          <w:p w14:paraId="3A92A537" w14:textId="77777777" w:rsidR="0024083E" w:rsidRPr="0049394D" w:rsidRDefault="0024083E" w:rsidP="00242CB1">
            <w:pPr>
              <w:pStyle w:val="TableText0"/>
              <w:keepNext w:val="0"/>
              <w:jc w:val="center"/>
            </w:pPr>
            <w:r w:rsidRPr="0049394D">
              <w:t>13 (59.1)</w:t>
            </w:r>
          </w:p>
        </w:tc>
      </w:tr>
      <w:tr w:rsidR="0024083E" w:rsidRPr="0049394D" w14:paraId="1DC2FB71" w14:textId="77777777" w:rsidTr="00242CB1">
        <w:tc>
          <w:tcPr>
            <w:tcW w:w="2434" w:type="pct"/>
            <w:tcBorders>
              <w:top w:val="nil"/>
              <w:bottom w:val="nil"/>
            </w:tcBorders>
            <w:vAlign w:val="center"/>
          </w:tcPr>
          <w:p w14:paraId="6F6DAF5F" w14:textId="493957A3" w:rsidR="0024083E" w:rsidRPr="0049394D" w:rsidRDefault="0024083E" w:rsidP="00242CB1">
            <w:pPr>
              <w:pStyle w:val="TableText0"/>
              <w:keepNext w:val="0"/>
              <w:ind w:left="221"/>
              <w:rPr>
                <w:vertAlign w:val="superscript"/>
              </w:rPr>
            </w:pPr>
            <w:r w:rsidRPr="0049394D">
              <w:t>Stable Disease (SD)</w:t>
            </w:r>
            <w:r w:rsidR="00EE3CCF" w:rsidRPr="0049394D">
              <w:rPr>
                <w:vertAlign w:val="superscript"/>
              </w:rPr>
              <w:t>c</w:t>
            </w:r>
          </w:p>
        </w:tc>
        <w:tc>
          <w:tcPr>
            <w:tcW w:w="855" w:type="pct"/>
            <w:tcBorders>
              <w:top w:val="nil"/>
              <w:bottom w:val="nil"/>
            </w:tcBorders>
          </w:tcPr>
          <w:p w14:paraId="5DEDC992" w14:textId="77777777" w:rsidR="0024083E" w:rsidRPr="0049394D" w:rsidRDefault="0024083E" w:rsidP="00242CB1">
            <w:pPr>
              <w:pStyle w:val="TableText0"/>
              <w:keepNext w:val="0"/>
              <w:jc w:val="center"/>
            </w:pPr>
            <w:r w:rsidRPr="0049394D">
              <w:t>21 (34.4)</w:t>
            </w:r>
          </w:p>
        </w:tc>
        <w:tc>
          <w:tcPr>
            <w:tcW w:w="856" w:type="pct"/>
            <w:tcBorders>
              <w:top w:val="nil"/>
              <w:bottom w:val="nil"/>
            </w:tcBorders>
          </w:tcPr>
          <w:p w14:paraId="065ABBD6" w14:textId="77777777" w:rsidR="0024083E" w:rsidRPr="0049394D" w:rsidRDefault="0024083E" w:rsidP="00242CB1">
            <w:pPr>
              <w:pStyle w:val="TableText0"/>
              <w:keepNext w:val="0"/>
              <w:jc w:val="center"/>
            </w:pPr>
            <w:r w:rsidRPr="0049394D">
              <w:t>23 (46.0)</w:t>
            </w:r>
          </w:p>
        </w:tc>
        <w:tc>
          <w:tcPr>
            <w:tcW w:w="855" w:type="pct"/>
            <w:tcBorders>
              <w:top w:val="nil"/>
              <w:bottom w:val="nil"/>
            </w:tcBorders>
          </w:tcPr>
          <w:p w14:paraId="61E4B364" w14:textId="77777777" w:rsidR="0024083E" w:rsidRPr="0049394D" w:rsidRDefault="0024083E" w:rsidP="00242CB1">
            <w:pPr>
              <w:pStyle w:val="TableText0"/>
              <w:keepNext w:val="0"/>
              <w:jc w:val="center"/>
            </w:pPr>
            <w:r w:rsidRPr="0049394D">
              <w:t>2 (9.1)</w:t>
            </w:r>
          </w:p>
        </w:tc>
      </w:tr>
      <w:tr w:rsidR="0024083E" w:rsidRPr="0049394D" w14:paraId="04C9E005" w14:textId="77777777" w:rsidTr="00242CB1">
        <w:tc>
          <w:tcPr>
            <w:tcW w:w="2434" w:type="pct"/>
            <w:tcBorders>
              <w:top w:val="nil"/>
              <w:bottom w:val="nil"/>
            </w:tcBorders>
            <w:vAlign w:val="center"/>
          </w:tcPr>
          <w:p w14:paraId="5C34D80B" w14:textId="2B8ED510" w:rsidR="0024083E" w:rsidRPr="0049394D" w:rsidRDefault="0024083E" w:rsidP="00242CB1">
            <w:pPr>
              <w:pStyle w:val="TableText0"/>
              <w:keepNext w:val="0"/>
              <w:ind w:left="221"/>
              <w:rPr>
                <w:vertAlign w:val="superscript"/>
              </w:rPr>
            </w:pPr>
            <w:r w:rsidRPr="0049394D">
              <w:t>Progressive Disease (PD)</w:t>
            </w:r>
            <w:r w:rsidR="00EE3CCF" w:rsidRPr="0049394D">
              <w:rPr>
                <w:vertAlign w:val="superscript"/>
              </w:rPr>
              <w:t>d</w:t>
            </w:r>
          </w:p>
        </w:tc>
        <w:tc>
          <w:tcPr>
            <w:tcW w:w="855" w:type="pct"/>
            <w:tcBorders>
              <w:top w:val="nil"/>
              <w:bottom w:val="nil"/>
            </w:tcBorders>
          </w:tcPr>
          <w:p w14:paraId="72510E76" w14:textId="77777777" w:rsidR="0024083E" w:rsidRPr="0049394D" w:rsidRDefault="0024083E" w:rsidP="00242CB1">
            <w:pPr>
              <w:pStyle w:val="TableText0"/>
              <w:keepNext w:val="0"/>
              <w:jc w:val="center"/>
            </w:pPr>
            <w:r w:rsidRPr="0049394D">
              <w:t>0</w:t>
            </w:r>
          </w:p>
        </w:tc>
        <w:tc>
          <w:tcPr>
            <w:tcW w:w="856" w:type="pct"/>
            <w:tcBorders>
              <w:top w:val="nil"/>
              <w:bottom w:val="nil"/>
            </w:tcBorders>
          </w:tcPr>
          <w:p w14:paraId="2AA4B75C" w14:textId="77777777" w:rsidR="0024083E" w:rsidRPr="0049394D" w:rsidRDefault="0024083E" w:rsidP="00242CB1">
            <w:pPr>
              <w:pStyle w:val="TableText0"/>
              <w:keepNext w:val="0"/>
              <w:jc w:val="center"/>
            </w:pPr>
            <w:r w:rsidRPr="0049394D">
              <w:t>3 (6.0)</w:t>
            </w:r>
          </w:p>
        </w:tc>
        <w:tc>
          <w:tcPr>
            <w:tcW w:w="855" w:type="pct"/>
            <w:tcBorders>
              <w:top w:val="nil"/>
              <w:bottom w:val="nil"/>
            </w:tcBorders>
          </w:tcPr>
          <w:p w14:paraId="0C1B0CE2" w14:textId="77777777" w:rsidR="0024083E" w:rsidRPr="0049394D" w:rsidRDefault="0024083E" w:rsidP="00242CB1">
            <w:pPr>
              <w:pStyle w:val="TableText0"/>
              <w:keepNext w:val="0"/>
              <w:jc w:val="center"/>
            </w:pPr>
            <w:r w:rsidRPr="0049394D">
              <w:t>0</w:t>
            </w:r>
          </w:p>
        </w:tc>
      </w:tr>
      <w:tr w:rsidR="0024083E" w:rsidRPr="0049394D" w14:paraId="751048F4" w14:textId="77777777" w:rsidTr="00242CB1">
        <w:tc>
          <w:tcPr>
            <w:tcW w:w="2434" w:type="pct"/>
            <w:tcBorders>
              <w:top w:val="nil"/>
              <w:bottom w:val="nil"/>
            </w:tcBorders>
            <w:vAlign w:val="center"/>
          </w:tcPr>
          <w:p w14:paraId="4FA3CFD8" w14:textId="77777777" w:rsidR="0024083E" w:rsidRPr="0049394D" w:rsidRDefault="0024083E" w:rsidP="00242CB1">
            <w:pPr>
              <w:pStyle w:val="TableText0"/>
              <w:keepNext w:val="0"/>
              <w:ind w:left="221"/>
            </w:pPr>
            <w:r w:rsidRPr="0049394D">
              <w:t>Not evaluable (NE)</w:t>
            </w:r>
          </w:p>
        </w:tc>
        <w:tc>
          <w:tcPr>
            <w:tcW w:w="855" w:type="pct"/>
            <w:tcBorders>
              <w:top w:val="nil"/>
              <w:bottom w:val="nil"/>
            </w:tcBorders>
          </w:tcPr>
          <w:p w14:paraId="5A697BDE" w14:textId="77777777" w:rsidR="0024083E" w:rsidRPr="0049394D" w:rsidRDefault="0024083E" w:rsidP="00242CB1">
            <w:pPr>
              <w:pStyle w:val="TableText0"/>
              <w:keepNext w:val="0"/>
              <w:jc w:val="center"/>
            </w:pPr>
            <w:r w:rsidRPr="0049394D">
              <w:t>1 (1.6)</w:t>
            </w:r>
          </w:p>
        </w:tc>
        <w:tc>
          <w:tcPr>
            <w:tcW w:w="856" w:type="pct"/>
            <w:tcBorders>
              <w:top w:val="nil"/>
              <w:bottom w:val="nil"/>
            </w:tcBorders>
          </w:tcPr>
          <w:p w14:paraId="1BC1CACB" w14:textId="77777777" w:rsidR="0024083E" w:rsidRPr="0049394D" w:rsidRDefault="0024083E" w:rsidP="00242CB1">
            <w:pPr>
              <w:pStyle w:val="TableText0"/>
              <w:keepNext w:val="0"/>
              <w:jc w:val="center"/>
            </w:pPr>
            <w:r w:rsidRPr="0049394D">
              <w:t>2 (4.0)</w:t>
            </w:r>
          </w:p>
        </w:tc>
        <w:tc>
          <w:tcPr>
            <w:tcW w:w="855" w:type="pct"/>
            <w:tcBorders>
              <w:top w:val="nil"/>
              <w:bottom w:val="nil"/>
            </w:tcBorders>
          </w:tcPr>
          <w:p w14:paraId="748D8ABC" w14:textId="77777777" w:rsidR="0024083E" w:rsidRPr="0049394D" w:rsidRDefault="0024083E" w:rsidP="00242CB1">
            <w:pPr>
              <w:pStyle w:val="TableText0"/>
              <w:keepNext w:val="0"/>
              <w:jc w:val="center"/>
            </w:pPr>
            <w:r w:rsidRPr="0049394D">
              <w:t>0</w:t>
            </w:r>
          </w:p>
        </w:tc>
      </w:tr>
      <w:tr w:rsidR="0024083E" w:rsidRPr="0049394D" w14:paraId="555222F6" w14:textId="77777777" w:rsidTr="00242CB1">
        <w:tc>
          <w:tcPr>
            <w:tcW w:w="2434" w:type="pct"/>
            <w:tcBorders>
              <w:bottom w:val="nil"/>
            </w:tcBorders>
            <w:vAlign w:val="center"/>
          </w:tcPr>
          <w:p w14:paraId="0CCB9FD2" w14:textId="68DE4125" w:rsidR="0024083E" w:rsidRPr="0049394D" w:rsidRDefault="0024083E" w:rsidP="00242CB1">
            <w:pPr>
              <w:pStyle w:val="TableText0"/>
              <w:keepNext w:val="0"/>
              <w:rPr>
                <w:b/>
              </w:rPr>
            </w:pPr>
            <w:r w:rsidRPr="0049394D">
              <w:rPr>
                <w:b/>
              </w:rPr>
              <w:t>Disease control rate</w:t>
            </w:r>
            <w:r w:rsidR="001E370A">
              <w:rPr>
                <w:b/>
              </w:rPr>
              <w:t>**</w:t>
            </w:r>
            <w:r w:rsidRPr="0049394D">
              <w:rPr>
                <w:b/>
              </w:rPr>
              <w:t>, n (%) [95% CI]</w:t>
            </w:r>
          </w:p>
        </w:tc>
        <w:tc>
          <w:tcPr>
            <w:tcW w:w="855" w:type="pct"/>
            <w:tcBorders>
              <w:bottom w:val="nil"/>
            </w:tcBorders>
          </w:tcPr>
          <w:p w14:paraId="7ABEF368" w14:textId="77777777" w:rsidR="0024083E" w:rsidRPr="0049394D" w:rsidRDefault="0024083E" w:rsidP="00242CB1">
            <w:pPr>
              <w:pStyle w:val="TableText0"/>
              <w:keepNext w:val="0"/>
              <w:jc w:val="center"/>
            </w:pPr>
            <w:r w:rsidRPr="0049394D">
              <w:t>60 (98.4)</w:t>
            </w:r>
          </w:p>
          <w:p w14:paraId="0A8CDEDC" w14:textId="77777777" w:rsidR="0024083E" w:rsidRPr="0049394D" w:rsidRDefault="0024083E" w:rsidP="00242CB1">
            <w:pPr>
              <w:pStyle w:val="TableText0"/>
              <w:keepNext w:val="0"/>
              <w:jc w:val="center"/>
            </w:pPr>
            <w:r w:rsidRPr="0049394D">
              <w:t>[91.2 to 100.0]</w:t>
            </w:r>
          </w:p>
        </w:tc>
        <w:tc>
          <w:tcPr>
            <w:tcW w:w="856" w:type="pct"/>
            <w:tcBorders>
              <w:bottom w:val="nil"/>
            </w:tcBorders>
          </w:tcPr>
          <w:p w14:paraId="594E5DFC" w14:textId="77777777" w:rsidR="0024083E" w:rsidRPr="0049394D" w:rsidRDefault="0024083E" w:rsidP="00242CB1">
            <w:pPr>
              <w:pStyle w:val="TableText0"/>
              <w:keepNext w:val="0"/>
              <w:jc w:val="center"/>
            </w:pPr>
            <w:r w:rsidRPr="0049394D">
              <w:t>45 (90)</w:t>
            </w:r>
          </w:p>
          <w:p w14:paraId="2E787200" w14:textId="77777777" w:rsidR="0024083E" w:rsidRPr="0049394D" w:rsidRDefault="0024083E" w:rsidP="00242CB1">
            <w:pPr>
              <w:pStyle w:val="TableText0"/>
              <w:keepNext w:val="0"/>
              <w:jc w:val="center"/>
            </w:pPr>
            <w:r w:rsidRPr="0049394D">
              <w:t>[78.2 to 96.7]</w:t>
            </w:r>
          </w:p>
        </w:tc>
        <w:tc>
          <w:tcPr>
            <w:tcW w:w="855" w:type="pct"/>
            <w:tcBorders>
              <w:bottom w:val="nil"/>
            </w:tcBorders>
          </w:tcPr>
          <w:p w14:paraId="5DBA4197" w14:textId="77777777" w:rsidR="0024083E" w:rsidRPr="0049394D" w:rsidRDefault="0024083E" w:rsidP="00242CB1">
            <w:pPr>
              <w:pStyle w:val="TableText0"/>
              <w:keepNext w:val="0"/>
              <w:jc w:val="center"/>
            </w:pPr>
            <w:r w:rsidRPr="0049394D">
              <w:t>22 (100)</w:t>
            </w:r>
          </w:p>
          <w:p w14:paraId="4D7324A8" w14:textId="77777777" w:rsidR="0024083E" w:rsidRPr="0049394D" w:rsidRDefault="0024083E" w:rsidP="00242CB1">
            <w:pPr>
              <w:pStyle w:val="TableText0"/>
              <w:keepNext w:val="0"/>
              <w:jc w:val="center"/>
            </w:pPr>
            <w:r w:rsidRPr="0049394D">
              <w:t>[84.6 to 100.0]</w:t>
            </w:r>
          </w:p>
        </w:tc>
      </w:tr>
      <w:tr w:rsidR="0024083E" w:rsidRPr="0049394D" w14:paraId="7D11C4D5" w14:textId="77777777" w:rsidTr="00242CB1">
        <w:tc>
          <w:tcPr>
            <w:tcW w:w="2434" w:type="pct"/>
            <w:tcBorders>
              <w:bottom w:val="nil"/>
            </w:tcBorders>
            <w:vAlign w:val="center"/>
          </w:tcPr>
          <w:p w14:paraId="4B1420B7" w14:textId="59F5E9ED" w:rsidR="0024083E" w:rsidRPr="0049394D" w:rsidRDefault="0024083E" w:rsidP="00242CB1">
            <w:pPr>
              <w:pStyle w:val="TableText0"/>
              <w:keepNext w:val="0"/>
            </w:pPr>
            <w:r w:rsidRPr="0049394D">
              <w:rPr>
                <w:b/>
              </w:rPr>
              <w:t>Objective response rate</w:t>
            </w:r>
            <w:r w:rsidR="001E370A">
              <w:rPr>
                <w:b/>
              </w:rPr>
              <w:t>*</w:t>
            </w:r>
            <w:r w:rsidRPr="0049394D">
              <w:rPr>
                <w:b/>
              </w:rPr>
              <w:t>, n (%) [95% CI]</w:t>
            </w:r>
          </w:p>
        </w:tc>
        <w:tc>
          <w:tcPr>
            <w:tcW w:w="855" w:type="pct"/>
            <w:tcBorders>
              <w:bottom w:val="nil"/>
            </w:tcBorders>
          </w:tcPr>
          <w:p w14:paraId="5E37F527" w14:textId="77777777" w:rsidR="0024083E" w:rsidRPr="0049394D" w:rsidRDefault="0024083E" w:rsidP="00242CB1">
            <w:pPr>
              <w:pStyle w:val="TableText0"/>
              <w:keepNext w:val="0"/>
              <w:jc w:val="center"/>
            </w:pPr>
            <w:r w:rsidRPr="0049394D">
              <w:t>39 (63.9)</w:t>
            </w:r>
          </w:p>
          <w:p w14:paraId="23C4CFDB" w14:textId="77777777" w:rsidR="0024083E" w:rsidRPr="0049394D" w:rsidRDefault="0024083E" w:rsidP="00242CB1">
            <w:pPr>
              <w:pStyle w:val="TableText0"/>
              <w:keepNext w:val="0"/>
              <w:jc w:val="center"/>
            </w:pPr>
            <w:r w:rsidRPr="0049394D">
              <w:t>[50.6 to 75.8]</w:t>
            </w:r>
          </w:p>
        </w:tc>
        <w:tc>
          <w:tcPr>
            <w:tcW w:w="856" w:type="pct"/>
            <w:tcBorders>
              <w:bottom w:val="nil"/>
            </w:tcBorders>
          </w:tcPr>
          <w:p w14:paraId="5066D39B" w14:textId="77777777" w:rsidR="0024083E" w:rsidRPr="0049394D" w:rsidRDefault="0024083E" w:rsidP="00242CB1">
            <w:pPr>
              <w:pStyle w:val="TableText0"/>
              <w:keepNext w:val="0"/>
              <w:jc w:val="center"/>
            </w:pPr>
            <w:r w:rsidRPr="0049394D">
              <w:t>22 (44.0)</w:t>
            </w:r>
          </w:p>
          <w:p w14:paraId="13D0D35A" w14:textId="77777777" w:rsidR="0024083E" w:rsidRPr="0049394D" w:rsidRDefault="0024083E" w:rsidP="00242CB1">
            <w:pPr>
              <w:pStyle w:val="TableText0"/>
              <w:keepNext w:val="0"/>
              <w:jc w:val="center"/>
            </w:pPr>
            <w:r w:rsidRPr="0049394D">
              <w:t>[30.0 to 58.7]</w:t>
            </w:r>
          </w:p>
        </w:tc>
        <w:tc>
          <w:tcPr>
            <w:tcW w:w="855" w:type="pct"/>
            <w:tcBorders>
              <w:bottom w:val="nil"/>
            </w:tcBorders>
          </w:tcPr>
          <w:p w14:paraId="4D48E8B4" w14:textId="77777777" w:rsidR="0024083E" w:rsidRPr="0049394D" w:rsidRDefault="0024083E" w:rsidP="00242CB1">
            <w:pPr>
              <w:pStyle w:val="TableText0"/>
              <w:keepNext w:val="0"/>
              <w:jc w:val="center"/>
            </w:pPr>
            <w:r w:rsidRPr="0049394D">
              <w:t>20 (90.9)</w:t>
            </w:r>
          </w:p>
          <w:p w14:paraId="01142666" w14:textId="77777777" w:rsidR="0024083E" w:rsidRPr="0049394D" w:rsidRDefault="0024083E" w:rsidP="00242CB1">
            <w:pPr>
              <w:pStyle w:val="TableText0"/>
              <w:keepNext w:val="0"/>
              <w:jc w:val="center"/>
            </w:pPr>
            <w:r w:rsidRPr="0049394D">
              <w:t>[70.8 to 98.9]</w:t>
            </w:r>
          </w:p>
        </w:tc>
      </w:tr>
      <w:tr w:rsidR="0024083E" w:rsidRPr="0049394D" w14:paraId="658CB73F" w14:textId="77777777" w:rsidTr="00242CB1">
        <w:tc>
          <w:tcPr>
            <w:tcW w:w="2434" w:type="pct"/>
          </w:tcPr>
          <w:p w14:paraId="2DB91EE9" w14:textId="77777777" w:rsidR="0024083E" w:rsidRPr="0049394D" w:rsidRDefault="0024083E" w:rsidP="00242CB1">
            <w:pPr>
              <w:pStyle w:val="TableText0"/>
              <w:keepNext w:val="0"/>
            </w:pPr>
            <w:r w:rsidRPr="0049394D">
              <w:rPr>
                <w:b/>
              </w:rPr>
              <w:t>Time to response, months, median (range)</w:t>
            </w:r>
          </w:p>
        </w:tc>
        <w:tc>
          <w:tcPr>
            <w:tcW w:w="855" w:type="pct"/>
          </w:tcPr>
          <w:p w14:paraId="31E39581" w14:textId="77777777" w:rsidR="0024083E" w:rsidRPr="0049394D" w:rsidRDefault="0024083E" w:rsidP="00242CB1">
            <w:pPr>
              <w:pStyle w:val="TableText0"/>
              <w:keepNext w:val="0"/>
              <w:jc w:val="center"/>
            </w:pPr>
            <w:r w:rsidRPr="0049394D">
              <w:t>11.1 (2.7 to 30.5)</w:t>
            </w:r>
          </w:p>
        </w:tc>
        <w:tc>
          <w:tcPr>
            <w:tcW w:w="856" w:type="pct"/>
          </w:tcPr>
          <w:p w14:paraId="02EB4CEF" w14:textId="77777777" w:rsidR="0024083E" w:rsidRPr="0049394D" w:rsidRDefault="0024083E" w:rsidP="00242CB1">
            <w:pPr>
              <w:pStyle w:val="TableText0"/>
              <w:keepNext w:val="0"/>
              <w:jc w:val="center"/>
            </w:pPr>
            <w:r w:rsidRPr="0049394D">
              <w:t>5.4 (2.3 to 33.1)</w:t>
            </w:r>
          </w:p>
        </w:tc>
        <w:tc>
          <w:tcPr>
            <w:tcW w:w="855" w:type="pct"/>
          </w:tcPr>
          <w:p w14:paraId="17F322DA" w14:textId="77777777" w:rsidR="0024083E" w:rsidRPr="0049394D" w:rsidRDefault="0024083E" w:rsidP="00242CB1">
            <w:pPr>
              <w:pStyle w:val="TableText0"/>
              <w:keepNext w:val="0"/>
              <w:jc w:val="center"/>
            </w:pPr>
            <w:r w:rsidRPr="0049394D">
              <w:t>8.2 (2.5 to 16.4)</w:t>
            </w:r>
          </w:p>
        </w:tc>
      </w:tr>
      <w:tr w:rsidR="0024083E" w:rsidRPr="0049394D" w14:paraId="7C748B4C" w14:textId="77777777" w:rsidTr="00242CB1">
        <w:tc>
          <w:tcPr>
            <w:tcW w:w="2434" w:type="pct"/>
            <w:tcBorders>
              <w:bottom w:val="nil"/>
            </w:tcBorders>
          </w:tcPr>
          <w:p w14:paraId="625EE99D" w14:textId="77777777" w:rsidR="0024083E" w:rsidRPr="0049394D" w:rsidRDefault="0024083E" w:rsidP="00242CB1">
            <w:pPr>
              <w:pStyle w:val="TableText0"/>
              <w:keepNext w:val="0"/>
              <w:rPr>
                <w:b/>
              </w:rPr>
            </w:pPr>
            <w:r w:rsidRPr="0049394D">
              <w:rPr>
                <w:b/>
              </w:rPr>
              <w:t>Duration of response, months, median (range)</w:t>
            </w:r>
          </w:p>
        </w:tc>
        <w:tc>
          <w:tcPr>
            <w:tcW w:w="855" w:type="pct"/>
            <w:tcBorders>
              <w:bottom w:val="nil"/>
            </w:tcBorders>
          </w:tcPr>
          <w:p w14:paraId="6E35244B" w14:textId="77777777" w:rsidR="0024083E" w:rsidRPr="0049394D" w:rsidRDefault="0024083E" w:rsidP="00242CB1">
            <w:pPr>
              <w:pStyle w:val="TableText0"/>
              <w:keepNext w:val="0"/>
              <w:jc w:val="center"/>
            </w:pPr>
            <w:r w:rsidRPr="0049394D">
              <w:t>NR (5.4+, to 35.8+)</w:t>
            </w:r>
          </w:p>
        </w:tc>
        <w:tc>
          <w:tcPr>
            <w:tcW w:w="856" w:type="pct"/>
            <w:tcBorders>
              <w:bottom w:val="nil"/>
            </w:tcBorders>
          </w:tcPr>
          <w:p w14:paraId="07BE3F8B" w14:textId="77777777" w:rsidR="0024083E" w:rsidRPr="0049394D" w:rsidRDefault="0024083E" w:rsidP="00242CB1">
            <w:pPr>
              <w:pStyle w:val="TableText0"/>
              <w:keepNext w:val="0"/>
              <w:jc w:val="center"/>
            </w:pPr>
            <w:r w:rsidRPr="0049394D">
              <w:t>NR (3.7+, 38.7+)</w:t>
            </w:r>
          </w:p>
        </w:tc>
        <w:tc>
          <w:tcPr>
            <w:tcW w:w="855" w:type="pct"/>
            <w:tcBorders>
              <w:bottom w:val="nil"/>
            </w:tcBorders>
          </w:tcPr>
          <w:p w14:paraId="2898795C" w14:textId="77777777" w:rsidR="0024083E" w:rsidRPr="0049394D" w:rsidRDefault="0024083E" w:rsidP="00242CB1">
            <w:pPr>
              <w:pStyle w:val="TableText0"/>
              <w:keepNext w:val="0"/>
              <w:jc w:val="center"/>
            </w:pPr>
            <w:r w:rsidRPr="0049394D">
              <w:t>NR (11.0+, 37.3+)</w:t>
            </w:r>
          </w:p>
        </w:tc>
      </w:tr>
      <w:tr w:rsidR="0024083E" w:rsidRPr="0049394D" w14:paraId="4BD9386C" w14:textId="77777777" w:rsidTr="00242CB1">
        <w:tc>
          <w:tcPr>
            <w:tcW w:w="2434" w:type="pct"/>
            <w:tcBorders>
              <w:top w:val="nil"/>
              <w:bottom w:val="nil"/>
            </w:tcBorders>
          </w:tcPr>
          <w:p w14:paraId="1E10CA63" w14:textId="77777777" w:rsidR="0024083E" w:rsidRPr="0049394D" w:rsidRDefault="0024083E" w:rsidP="00242CB1">
            <w:pPr>
              <w:pStyle w:val="TableText0"/>
              <w:keepNext w:val="0"/>
              <w:ind w:left="112"/>
            </w:pPr>
            <w:r w:rsidRPr="0049394D">
              <w:t>Subjects who progressed or died, n (%)</w:t>
            </w:r>
          </w:p>
        </w:tc>
        <w:tc>
          <w:tcPr>
            <w:tcW w:w="855" w:type="pct"/>
            <w:tcBorders>
              <w:top w:val="nil"/>
              <w:bottom w:val="nil"/>
            </w:tcBorders>
            <w:vAlign w:val="center"/>
          </w:tcPr>
          <w:p w14:paraId="05310179" w14:textId="77777777" w:rsidR="0024083E" w:rsidRPr="0049394D" w:rsidRDefault="0024083E" w:rsidP="00242CB1">
            <w:pPr>
              <w:pStyle w:val="TableText0"/>
              <w:keepNext w:val="0"/>
              <w:jc w:val="center"/>
            </w:pPr>
            <w:r w:rsidRPr="0049394D">
              <w:t>5 (12.8)</w:t>
            </w:r>
          </w:p>
        </w:tc>
        <w:tc>
          <w:tcPr>
            <w:tcW w:w="856" w:type="pct"/>
            <w:tcBorders>
              <w:top w:val="nil"/>
              <w:bottom w:val="nil"/>
            </w:tcBorders>
            <w:vAlign w:val="center"/>
          </w:tcPr>
          <w:p w14:paraId="441239B3" w14:textId="77777777" w:rsidR="0024083E" w:rsidRPr="0049394D" w:rsidRDefault="0024083E" w:rsidP="00242CB1">
            <w:pPr>
              <w:pStyle w:val="TableText0"/>
              <w:keepNext w:val="0"/>
              <w:jc w:val="center"/>
            </w:pPr>
            <w:r w:rsidRPr="0049394D">
              <w:t>4 (18.2)</w:t>
            </w:r>
          </w:p>
        </w:tc>
        <w:tc>
          <w:tcPr>
            <w:tcW w:w="855" w:type="pct"/>
            <w:tcBorders>
              <w:top w:val="nil"/>
              <w:bottom w:val="nil"/>
            </w:tcBorders>
            <w:vAlign w:val="center"/>
          </w:tcPr>
          <w:p w14:paraId="0A3C7174" w14:textId="77777777" w:rsidR="0024083E" w:rsidRPr="0049394D" w:rsidRDefault="0024083E" w:rsidP="00242CB1">
            <w:pPr>
              <w:pStyle w:val="TableText0"/>
              <w:keepNext w:val="0"/>
              <w:jc w:val="center"/>
            </w:pPr>
            <w:r w:rsidRPr="0049394D">
              <w:t>0 (0)</w:t>
            </w:r>
          </w:p>
        </w:tc>
      </w:tr>
      <w:tr w:rsidR="0024083E" w:rsidRPr="0049394D" w14:paraId="7C71F6EB" w14:textId="77777777" w:rsidTr="00242CB1">
        <w:tc>
          <w:tcPr>
            <w:tcW w:w="2434" w:type="pct"/>
            <w:tcBorders>
              <w:top w:val="nil"/>
              <w:bottom w:val="nil"/>
            </w:tcBorders>
          </w:tcPr>
          <w:p w14:paraId="6756536F" w14:textId="77777777" w:rsidR="0024083E" w:rsidRPr="0049394D" w:rsidRDefault="0024083E" w:rsidP="00242CB1">
            <w:pPr>
              <w:pStyle w:val="TableText0"/>
              <w:keepNext w:val="0"/>
              <w:ind w:left="112"/>
            </w:pPr>
            <w:r w:rsidRPr="0049394D">
              <w:t>Response rate, n (%^)</w:t>
            </w:r>
          </w:p>
        </w:tc>
        <w:tc>
          <w:tcPr>
            <w:tcW w:w="855" w:type="pct"/>
            <w:tcBorders>
              <w:top w:val="nil"/>
              <w:bottom w:val="nil"/>
            </w:tcBorders>
          </w:tcPr>
          <w:p w14:paraId="75CBBF1C" w14:textId="77777777" w:rsidR="0024083E" w:rsidRPr="0049394D" w:rsidRDefault="0024083E" w:rsidP="00242CB1">
            <w:pPr>
              <w:pStyle w:val="TableText0"/>
              <w:keepNext w:val="0"/>
              <w:jc w:val="center"/>
            </w:pPr>
          </w:p>
        </w:tc>
        <w:tc>
          <w:tcPr>
            <w:tcW w:w="856" w:type="pct"/>
            <w:tcBorders>
              <w:top w:val="nil"/>
              <w:bottom w:val="nil"/>
            </w:tcBorders>
          </w:tcPr>
          <w:p w14:paraId="246F83B1" w14:textId="77777777" w:rsidR="0024083E" w:rsidRPr="0049394D" w:rsidRDefault="0024083E" w:rsidP="00242CB1">
            <w:pPr>
              <w:pStyle w:val="TableText0"/>
              <w:keepNext w:val="0"/>
              <w:jc w:val="center"/>
            </w:pPr>
          </w:p>
        </w:tc>
        <w:tc>
          <w:tcPr>
            <w:tcW w:w="855" w:type="pct"/>
            <w:tcBorders>
              <w:top w:val="nil"/>
              <w:bottom w:val="nil"/>
            </w:tcBorders>
          </w:tcPr>
          <w:p w14:paraId="651BF424" w14:textId="77777777" w:rsidR="0024083E" w:rsidRPr="0049394D" w:rsidRDefault="0024083E" w:rsidP="00242CB1">
            <w:pPr>
              <w:pStyle w:val="TableText0"/>
              <w:keepNext w:val="0"/>
              <w:jc w:val="center"/>
            </w:pPr>
          </w:p>
        </w:tc>
      </w:tr>
      <w:tr w:rsidR="0024083E" w:rsidRPr="0049394D" w14:paraId="221DB4CA" w14:textId="77777777" w:rsidTr="00242CB1">
        <w:tc>
          <w:tcPr>
            <w:tcW w:w="2434" w:type="pct"/>
            <w:tcBorders>
              <w:top w:val="nil"/>
              <w:bottom w:val="nil"/>
            </w:tcBorders>
          </w:tcPr>
          <w:p w14:paraId="3B1AA083" w14:textId="77777777" w:rsidR="0024083E" w:rsidRPr="0049394D" w:rsidRDefault="0024083E" w:rsidP="00242CB1">
            <w:pPr>
              <w:pStyle w:val="TableText0"/>
              <w:keepNext w:val="0"/>
              <w:ind w:left="254"/>
              <w:rPr>
                <w:b/>
              </w:rPr>
            </w:pPr>
            <w:r w:rsidRPr="0049394D">
              <w:t>≥6 months</w:t>
            </w:r>
          </w:p>
        </w:tc>
        <w:tc>
          <w:tcPr>
            <w:tcW w:w="855" w:type="pct"/>
            <w:tcBorders>
              <w:top w:val="nil"/>
              <w:bottom w:val="nil"/>
            </w:tcBorders>
          </w:tcPr>
          <w:p w14:paraId="078CA745" w14:textId="77777777" w:rsidR="0024083E" w:rsidRPr="0049394D" w:rsidRDefault="0024083E" w:rsidP="00242CB1">
            <w:pPr>
              <w:pStyle w:val="TableText0"/>
              <w:keepNext w:val="0"/>
              <w:jc w:val="center"/>
            </w:pPr>
            <w:r w:rsidRPr="0049394D">
              <w:t>36 (100)</w:t>
            </w:r>
          </w:p>
        </w:tc>
        <w:tc>
          <w:tcPr>
            <w:tcW w:w="856" w:type="pct"/>
            <w:tcBorders>
              <w:top w:val="nil"/>
              <w:bottom w:val="nil"/>
            </w:tcBorders>
          </w:tcPr>
          <w:p w14:paraId="39F9C833" w14:textId="77777777" w:rsidR="0024083E" w:rsidRPr="0049394D" w:rsidRDefault="0024083E" w:rsidP="00242CB1">
            <w:pPr>
              <w:pStyle w:val="TableText0"/>
              <w:keepNext w:val="0"/>
              <w:jc w:val="center"/>
            </w:pPr>
            <w:r w:rsidRPr="0049394D">
              <w:t>19 (95.2)</w:t>
            </w:r>
          </w:p>
        </w:tc>
        <w:tc>
          <w:tcPr>
            <w:tcW w:w="855" w:type="pct"/>
            <w:tcBorders>
              <w:top w:val="nil"/>
              <w:bottom w:val="nil"/>
            </w:tcBorders>
          </w:tcPr>
          <w:p w14:paraId="3E8226F7" w14:textId="77777777" w:rsidR="0024083E" w:rsidRPr="0049394D" w:rsidRDefault="0024083E" w:rsidP="00242CB1">
            <w:pPr>
              <w:pStyle w:val="TableText0"/>
              <w:keepNext w:val="0"/>
              <w:jc w:val="center"/>
            </w:pPr>
            <w:r w:rsidRPr="0049394D">
              <w:t>20 (100)</w:t>
            </w:r>
          </w:p>
        </w:tc>
      </w:tr>
      <w:tr w:rsidR="0024083E" w:rsidRPr="0049394D" w14:paraId="353128A9" w14:textId="77777777" w:rsidTr="00242CB1">
        <w:tc>
          <w:tcPr>
            <w:tcW w:w="2434" w:type="pct"/>
            <w:tcBorders>
              <w:top w:val="nil"/>
              <w:bottom w:val="nil"/>
            </w:tcBorders>
          </w:tcPr>
          <w:p w14:paraId="68AD61CD" w14:textId="77777777" w:rsidR="0024083E" w:rsidRPr="0049394D" w:rsidRDefault="0024083E" w:rsidP="00242CB1">
            <w:pPr>
              <w:pStyle w:val="TableText0"/>
              <w:keepNext w:val="0"/>
              <w:ind w:left="254"/>
              <w:rPr>
                <w:b/>
              </w:rPr>
            </w:pPr>
            <w:r w:rsidRPr="0049394D">
              <w:t>≥12 months</w:t>
            </w:r>
          </w:p>
        </w:tc>
        <w:tc>
          <w:tcPr>
            <w:tcW w:w="855" w:type="pct"/>
            <w:tcBorders>
              <w:top w:val="nil"/>
              <w:bottom w:val="nil"/>
            </w:tcBorders>
          </w:tcPr>
          <w:p w14:paraId="5E8DED0F" w14:textId="77777777" w:rsidR="0024083E" w:rsidRPr="0049394D" w:rsidRDefault="0024083E" w:rsidP="00242CB1">
            <w:pPr>
              <w:pStyle w:val="TableText0"/>
              <w:keepNext w:val="0"/>
              <w:jc w:val="center"/>
            </w:pPr>
            <w:r w:rsidRPr="0049394D">
              <w:t>35 (100)</w:t>
            </w:r>
          </w:p>
        </w:tc>
        <w:tc>
          <w:tcPr>
            <w:tcW w:w="856" w:type="pct"/>
            <w:tcBorders>
              <w:top w:val="nil"/>
              <w:bottom w:val="nil"/>
            </w:tcBorders>
          </w:tcPr>
          <w:p w14:paraId="05CC2E65" w14:textId="77777777" w:rsidR="0024083E" w:rsidRPr="0049394D" w:rsidRDefault="0024083E" w:rsidP="00242CB1">
            <w:pPr>
              <w:pStyle w:val="TableText0"/>
              <w:keepNext w:val="0"/>
              <w:jc w:val="center"/>
            </w:pPr>
            <w:r w:rsidRPr="0049394D">
              <w:t>16 (90.2)</w:t>
            </w:r>
          </w:p>
        </w:tc>
        <w:tc>
          <w:tcPr>
            <w:tcW w:w="855" w:type="pct"/>
            <w:tcBorders>
              <w:top w:val="nil"/>
              <w:bottom w:val="nil"/>
            </w:tcBorders>
          </w:tcPr>
          <w:p w14:paraId="051C9949" w14:textId="77777777" w:rsidR="0024083E" w:rsidRPr="0049394D" w:rsidRDefault="0024083E" w:rsidP="00242CB1">
            <w:pPr>
              <w:pStyle w:val="TableText0"/>
              <w:keepNext w:val="0"/>
              <w:jc w:val="center"/>
            </w:pPr>
            <w:r w:rsidRPr="0049394D">
              <w:t>19 (100)</w:t>
            </w:r>
          </w:p>
        </w:tc>
      </w:tr>
      <w:tr w:rsidR="0024083E" w:rsidRPr="0049394D" w14:paraId="1706038D" w14:textId="77777777" w:rsidTr="00242CB1">
        <w:tc>
          <w:tcPr>
            <w:tcW w:w="2434" w:type="pct"/>
            <w:tcBorders>
              <w:top w:val="nil"/>
              <w:bottom w:val="nil"/>
            </w:tcBorders>
          </w:tcPr>
          <w:p w14:paraId="39F1BC81" w14:textId="77777777" w:rsidR="0024083E" w:rsidRPr="0049394D" w:rsidRDefault="0024083E" w:rsidP="00242CB1">
            <w:pPr>
              <w:pStyle w:val="TableText0"/>
              <w:keepNext w:val="0"/>
              <w:ind w:left="254"/>
              <w:rPr>
                <w:b/>
              </w:rPr>
            </w:pPr>
            <w:r w:rsidRPr="0049394D">
              <w:t>≥18 months</w:t>
            </w:r>
          </w:p>
        </w:tc>
        <w:tc>
          <w:tcPr>
            <w:tcW w:w="855" w:type="pct"/>
            <w:tcBorders>
              <w:top w:val="nil"/>
              <w:bottom w:val="nil"/>
            </w:tcBorders>
          </w:tcPr>
          <w:p w14:paraId="09D963EE" w14:textId="77777777" w:rsidR="0024083E" w:rsidRPr="0049394D" w:rsidRDefault="0024083E" w:rsidP="00242CB1">
            <w:pPr>
              <w:pStyle w:val="TableText0"/>
              <w:keepNext w:val="0"/>
              <w:jc w:val="center"/>
            </w:pPr>
            <w:r w:rsidRPr="0049394D">
              <w:t>29 (93.5)</w:t>
            </w:r>
          </w:p>
        </w:tc>
        <w:tc>
          <w:tcPr>
            <w:tcW w:w="856" w:type="pct"/>
            <w:tcBorders>
              <w:top w:val="nil"/>
              <w:bottom w:val="nil"/>
            </w:tcBorders>
          </w:tcPr>
          <w:p w14:paraId="73DB4460" w14:textId="77777777" w:rsidR="0024083E" w:rsidRPr="0049394D" w:rsidRDefault="0024083E" w:rsidP="00242CB1">
            <w:pPr>
              <w:pStyle w:val="TableText0"/>
              <w:keepNext w:val="0"/>
              <w:jc w:val="center"/>
            </w:pPr>
            <w:r w:rsidRPr="0049394D">
              <w:t>14 (90.2)</w:t>
            </w:r>
          </w:p>
        </w:tc>
        <w:tc>
          <w:tcPr>
            <w:tcW w:w="855" w:type="pct"/>
            <w:tcBorders>
              <w:top w:val="nil"/>
              <w:bottom w:val="nil"/>
            </w:tcBorders>
          </w:tcPr>
          <w:p w14:paraId="3DDB0971" w14:textId="77777777" w:rsidR="0024083E" w:rsidRPr="0049394D" w:rsidRDefault="0024083E" w:rsidP="00242CB1">
            <w:pPr>
              <w:pStyle w:val="TableText0"/>
              <w:keepNext w:val="0"/>
              <w:jc w:val="center"/>
            </w:pPr>
            <w:r w:rsidRPr="0049394D">
              <w:t>19 (100)</w:t>
            </w:r>
          </w:p>
        </w:tc>
      </w:tr>
      <w:tr w:rsidR="0024083E" w:rsidRPr="0049394D" w14:paraId="6E022FFE" w14:textId="77777777" w:rsidTr="00242CB1">
        <w:tc>
          <w:tcPr>
            <w:tcW w:w="2434" w:type="pct"/>
            <w:tcBorders>
              <w:top w:val="nil"/>
              <w:bottom w:val="nil"/>
            </w:tcBorders>
          </w:tcPr>
          <w:p w14:paraId="5CC30758" w14:textId="77777777" w:rsidR="0024083E" w:rsidRPr="0049394D" w:rsidRDefault="0024083E" w:rsidP="00242CB1">
            <w:pPr>
              <w:pStyle w:val="TableText0"/>
              <w:keepNext w:val="0"/>
              <w:ind w:left="254"/>
              <w:rPr>
                <w:b/>
              </w:rPr>
            </w:pPr>
            <w:r w:rsidRPr="0049394D">
              <w:t>≥24 months</w:t>
            </w:r>
          </w:p>
        </w:tc>
        <w:tc>
          <w:tcPr>
            <w:tcW w:w="855" w:type="pct"/>
            <w:tcBorders>
              <w:top w:val="nil"/>
              <w:bottom w:val="nil"/>
            </w:tcBorders>
          </w:tcPr>
          <w:p w14:paraId="40FDB3FA" w14:textId="77777777" w:rsidR="0024083E" w:rsidRPr="0049394D" w:rsidRDefault="0024083E" w:rsidP="00242CB1">
            <w:pPr>
              <w:pStyle w:val="TableText0"/>
              <w:keepNext w:val="0"/>
              <w:jc w:val="center"/>
            </w:pPr>
            <w:r w:rsidRPr="0049394D">
              <w:t>22 (86.6)</w:t>
            </w:r>
          </w:p>
        </w:tc>
        <w:tc>
          <w:tcPr>
            <w:tcW w:w="856" w:type="pct"/>
            <w:tcBorders>
              <w:top w:val="nil"/>
              <w:bottom w:val="nil"/>
            </w:tcBorders>
          </w:tcPr>
          <w:p w14:paraId="5FEE6512" w14:textId="77777777" w:rsidR="0024083E" w:rsidRPr="0049394D" w:rsidRDefault="0024083E" w:rsidP="00242CB1">
            <w:pPr>
              <w:pStyle w:val="TableText0"/>
              <w:keepNext w:val="0"/>
              <w:jc w:val="center"/>
            </w:pPr>
            <w:r w:rsidRPr="0049394D">
              <w:t>13 (90.2)</w:t>
            </w:r>
          </w:p>
        </w:tc>
        <w:tc>
          <w:tcPr>
            <w:tcW w:w="855" w:type="pct"/>
            <w:tcBorders>
              <w:top w:val="nil"/>
              <w:bottom w:val="nil"/>
            </w:tcBorders>
          </w:tcPr>
          <w:p w14:paraId="57A848EA" w14:textId="77777777" w:rsidR="0024083E" w:rsidRPr="0049394D" w:rsidRDefault="0024083E" w:rsidP="00242CB1">
            <w:pPr>
              <w:pStyle w:val="TableText0"/>
              <w:keepNext w:val="0"/>
              <w:jc w:val="center"/>
            </w:pPr>
            <w:r w:rsidRPr="0049394D">
              <w:t>15 (100)</w:t>
            </w:r>
          </w:p>
        </w:tc>
      </w:tr>
      <w:tr w:rsidR="0024083E" w:rsidRPr="0049394D" w14:paraId="2A4CBEB6" w14:textId="77777777" w:rsidTr="00242CB1">
        <w:tc>
          <w:tcPr>
            <w:tcW w:w="2434" w:type="pct"/>
            <w:tcBorders>
              <w:top w:val="nil"/>
              <w:bottom w:val="nil"/>
            </w:tcBorders>
          </w:tcPr>
          <w:p w14:paraId="64F80E32" w14:textId="77777777" w:rsidR="0024083E" w:rsidRPr="0049394D" w:rsidRDefault="0024083E" w:rsidP="00242CB1">
            <w:pPr>
              <w:pStyle w:val="TableText0"/>
              <w:keepNext w:val="0"/>
              <w:ind w:left="254"/>
              <w:rPr>
                <w:b/>
              </w:rPr>
            </w:pPr>
            <w:r w:rsidRPr="0049394D">
              <w:t>≥30 months</w:t>
            </w:r>
          </w:p>
        </w:tc>
        <w:tc>
          <w:tcPr>
            <w:tcW w:w="855" w:type="pct"/>
            <w:tcBorders>
              <w:top w:val="nil"/>
              <w:bottom w:val="nil"/>
            </w:tcBorders>
          </w:tcPr>
          <w:p w14:paraId="1B4575CC" w14:textId="77777777" w:rsidR="0024083E" w:rsidRPr="0049394D" w:rsidRDefault="0024083E" w:rsidP="00242CB1">
            <w:pPr>
              <w:pStyle w:val="TableText0"/>
              <w:keepNext w:val="0"/>
              <w:jc w:val="center"/>
            </w:pPr>
            <w:r w:rsidRPr="0049394D">
              <w:t>10 (86.6)</w:t>
            </w:r>
          </w:p>
        </w:tc>
        <w:tc>
          <w:tcPr>
            <w:tcW w:w="856" w:type="pct"/>
            <w:tcBorders>
              <w:top w:val="nil"/>
              <w:bottom w:val="nil"/>
            </w:tcBorders>
          </w:tcPr>
          <w:p w14:paraId="52C4E096" w14:textId="77777777" w:rsidR="0024083E" w:rsidRPr="0049394D" w:rsidRDefault="0024083E" w:rsidP="00242CB1">
            <w:pPr>
              <w:pStyle w:val="TableText0"/>
              <w:keepNext w:val="0"/>
              <w:jc w:val="center"/>
            </w:pPr>
            <w:r w:rsidRPr="0049394D">
              <w:t>12 (90.2)</w:t>
            </w:r>
          </w:p>
        </w:tc>
        <w:tc>
          <w:tcPr>
            <w:tcW w:w="855" w:type="pct"/>
            <w:tcBorders>
              <w:top w:val="nil"/>
              <w:bottom w:val="nil"/>
            </w:tcBorders>
          </w:tcPr>
          <w:p w14:paraId="65E8AD49" w14:textId="77777777" w:rsidR="0024083E" w:rsidRPr="0049394D" w:rsidRDefault="0024083E" w:rsidP="00242CB1">
            <w:pPr>
              <w:pStyle w:val="TableText0"/>
              <w:keepNext w:val="0"/>
              <w:jc w:val="center"/>
            </w:pPr>
            <w:r w:rsidRPr="0049394D">
              <w:t>8 (100)</w:t>
            </w:r>
          </w:p>
        </w:tc>
      </w:tr>
      <w:tr w:rsidR="0024083E" w:rsidRPr="0049394D" w14:paraId="6C9C2606" w14:textId="77777777" w:rsidTr="00242CB1">
        <w:tc>
          <w:tcPr>
            <w:tcW w:w="2434" w:type="pct"/>
            <w:tcBorders>
              <w:top w:val="nil"/>
              <w:bottom w:val="single" w:sz="4" w:space="0" w:color="auto"/>
            </w:tcBorders>
          </w:tcPr>
          <w:p w14:paraId="5D3D02E3" w14:textId="77777777" w:rsidR="0024083E" w:rsidRPr="0049394D" w:rsidRDefault="0024083E" w:rsidP="00242CB1">
            <w:pPr>
              <w:pStyle w:val="TableText0"/>
              <w:keepNext w:val="0"/>
              <w:ind w:left="254"/>
              <w:rPr>
                <w:b/>
              </w:rPr>
            </w:pPr>
            <w:r w:rsidRPr="0049394D">
              <w:t>≥36 months</w:t>
            </w:r>
          </w:p>
        </w:tc>
        <w:tc>
          <w:tcPr>
            <w:tcW w:w="855" w:type="pct"/>
            <w:tcBorders>
              <w:top w:val="nil"/>
              <w:bottom w:val="single" w:sz="4" w:space="0" w:color="auto"/>
            </w:tcBorders>
          </w:tcPr>
          <w:p w14:paraId="08A4B634" w14:textId="77777777" w:rsidR="0024083E" w:rsidRPr="0049394D" w:rsidRDefault="0024083E" w:rsidP="00242CB1">
            <w:pPr>
              <w:pStyle w:val="TableText0"/>
              <w:keepNext w:val="0"/>
              <w:jc w:val="center"/>
            </w:pPr>
            <w:r w:rsidRPr="0049394D">
              <w:t>0 (NR)</w:t>
            </w:r>
          </w:p>
        </w:tc>
        <w:tc>
          <w:tcPr>
            <w:tcW w:w="856" w:type="pct"/>
            <w:tcBorders>
              <w:top w:val="nil"/>
              <w:bottom w:val="single" w:sz="4" w:space="0" w:color="auto"/>
            </w:tcBorders>
          </w:tcPr>
          <w:p w14:paraId="31EEA668" w14:textId="77777777" w:rsidR="0024083E" w:rsidRPr="0049394D" w:rsidRDefault="0024083E" w:rsidP="00242CB1">
            <w:pPr>
              <w:pStyle w:val="TableText0"/>
              <w:keepNext w:val="0"/>
              <w:jc w:val="center"/>
            </w:pPr>
            <w:r w:rsidRPr="0049394D">
              <w:t>2 (72.2)</w:t>
            </w:r>
          </w:p>
        </w:tc>
        <w:tc>
          <w:tcPr>
            <w:tcW w:w="855" w:type="pct"/>
            <w:tcBorders>
              <w:top w:val="nil"/>
              <w:bottom w:val="single" w:sz="4" w:space="0" w:color="auto"/>
            </w:tcBorders>
          </w:tcPr>
          <w:p w14:paraId="2B72C27E" w14:textId="77777777" w:rsidR="0024083E" w:rsidRPr="0049394D" w:rsidRDefault="0024083E" w:rsidP="00242CB1">
            <w:pPr>
              <w:pStyle w:val="TableText0"/>
              <w:keepNext w:val="0"/>
              <w:jc w:val="center"/>
            </w:pPr>
            <w:r w:rsidRPr="0049394D">
              <w:t>1 (100)</w:t>
            </w:r>
          </w:p>
        </w:tc>
      </w:tr>
      <w:tr w:rsidR="0024083E" w:rsidRPr="0049394D" w14:paraId="22912738" w14:textId="77777777" w:rsidTr="00242CB1">
        <w:tc>
          <w:tcPr>
            <w:tcW w:w="2434" w:type="pct"/>
            <w:tcBorders>
              <w:bottom w:val="nil"/>
            </w:tcBorders>
          </w:tcPr>
          <w:p w14:paraId="3D6BB49B" w14:textId="77777777" w:rsidR="0024083E" w:rsidRPr="0049394D" w:rsidRDefault="0024083E" w:rsidP="00242CB1">
            <w:pPr>
              <w:pStyle w:val="TableText0"/>
              <w:keepNext w:val="0"/>
              <w:rPr>
                <w:b/>
              </w:rPr>
            </w:pPr>
            <w:r w:rsidRPr="0049394D">
              <w:rPr>
                <w:b/>
              </w:rPr>
              <w:t>Progression-free survival, month, median (range)</w:t>
            </w:r>
          </w:p>
        </w:tc>
        <w:tc>
          <w:tcPr>
            <w:tcW w:w="855" w:type="pct"/>
            <w:tcBorders>
              <w:bottom w:val="nil"/>
            </w:tcBorders>
          </w:tcPr>
          <w:p w14:paraId="67FC8508" w14:textId="77777777" w:rsidR="0024083E" w:rsidRPr="0049394D" w:rsidRDefault="0024083E" w:rsidP="00242CB1">
            <w:pPr>
              <w:pStyle w:val="TableText0"/>
              <w:keepNext w:val="0"/>
              <w:jc w:val="center"/>
            </w:pPr>
            <w:r w:rsidRPr="0049394D">
              <w:t>39.2 (38.5, NE)</w:t>
            </w:r>
          </w:p>
        </w:tc>
        <w:tc>
          <w:tcPr>
            <w:tcW w:w="856" w:type="pct"/>
            <w:tcBorders>
              <w:bottom w:val="nil"/>
            </w:tcBorders>
          </w:tcPr>
          <w:p w14:paraId="5D88853B" w14:textId="77777777" w:rsidR="0024083E" w:rsidRPr="0049394D" w:rsidRDefault="0024083E" w:rsidP="00242CB1">
            <w:pPr>
              <w:pStyle w:val="TableText0"/>
              <w:keepNext w:val="0"/>
              <w:jc w:val="center"/>
            </w:pPr>
            <w:r w:rsidRPr="0049394D">
              <w:t>NE (38.4, NE)</w:t>
            </w:r>
          </w:p>
        </w:tc>
        <w:tc>
          <w:tcPr>
            <w:tcW w:w="855" w:type="pct"/>
            <w:tcBorders>
              <w:bottom w:val="nil"/>
            </w:tcBorders>
          </w:tcPr>
          <w:p w14:paraId="596C15E7" w14:textId="77777777" w:rsidR="0024083E" w:rsidRPr="0049394D" w:rsidRDefault="0024083E" w:rsidP="00242CB1">
            <w:pPr>
              <w:pStyle w:val="TableText0"/>
              <w:keepNext w:val="0"/>
              <w:jc w:val="center"/>
            </w:pPr>
            <w:r w:rsidRPr="0049394D">
              <w:t>NE (NE, NE)</w:t>
            </w:r>
          </w:p>
        </w:tc>
      </w:tr>
      <w:tr w:rsidR="0024083E" w:rsidRPr="0049394D" w14:paraId="16D5A96C" w14:textId="77777777" w:rsidTr="00242CB1">
        <w:tc>
          <w:tcPr>
            <w:tcW w:w="2434" w:type="pct"/>
            <w:tcBorders>
              <w:top w:val="nil"/>
              <w:bottom w:val="nil"/>
            </w:tcBorders>
          </w:tcPr>
          <w:p w14:paraId="359A6331" w14:textId="77777777" w:rsidR="0024083E" w:rsidRPr="0049394D" w:rsidRDefault="0024083E" w:rsidP="00242CB1">
            <w:pPr>
              <w:pStyle w:val="TableText0"/>
              <w:keepNext w:val="0"/>
              <w:ind w:left="112"/>
            </w:pPr>
            <w:r w:rsidRPr="0049394D">
              <w:t>Subjects with events, n (%)</w:t>
            </w:r>
          </w:p>
        </w:tc>
        <w:tc>
          <w:tcPr>
            <w:tcW w:w="855" w:type="pct"/>
            <w:tcBorders>
              <w:top w:val="nil"/>
              <w:bottom w:val="nil"/>
            </w:tcBorders>
          </w:tcPr>
          <w:p w14:paraId="7EDC0C17" w14:textId="77777777" w:rsidR="0024083E" w:rsidRPr="0049394D" w:rsidRDefault="0024083E" w:rsidP="00242CB1">
            <w:pPr>
              <w:pStyle w:val="TableText0"/>
              <w:keepNext w:val="0"/>
              <w:jc w:val="center"/>
            </w:pPr>
            <w:r w:rsidRPr="0049394D">
              <w:t>11 (18.0)</w:t>
            </w:r>
          </w:p>
        </w:tc>
        <w:tc>
          <w:tcPr>
            <w:tcW w:w="856" w:type="pct"/>
            <w:tcBorders>
              <w:top w:val="nil"/>
              <w:bottom w:val="nil"/>
            </w:tcBorders>
          </w:tcPr>
          <w:p w14:paraId="5AC8BE86" w14:textId="77777777" w:rsidR="0024083E" w:rsidRPr="0049394D" w:rsidRDefault="0024083E" w:rsidP="00242CB1">
            <w:pPr>
              <w:pStyle w:val="TableText0"/>
              <w:keepNext w:val="0"/>
              <w:jc w:val="center"/>
            </w:pPr>
            <w:r w:rsidRPr="0049394D">
              <w:t>11 (22.0)</w:t>
            </w:r>
          </w:p>
        </w:tc>
        <w:tc>
          <w:tcPr>
            <w:tcW w:w="855" w:type="pct"/>
            <w:tcBorders>
              <w:top w:val="nil"/>
              <w:bottom w:val="nil"/>
            </w:tcBorders>
          </w:tcPr>
          <w:p w14:paraId="6241F15F" w14:textId="77777777" w:rsidR="0024083E" w:rsidRPr="0049394D" w:rsidRDefault="0024083E" w:rsidP="00242CB1">
            <w:pPr>
              <w:pStyle w:val="TableText0"/>
              <w:keepNext w:val="0"/>
              <w:jc w:val="center"/>
            </w:pPr>
            <w:r w:rsidRPr="0049394D">
              <w:t>0</w:t>
            </w:r>
          </w:p>
        </w:tc>
      </w:tr>
      <w:tr w:rsidR="0024083E" w:rsidRPr="0049394D" w14:paraId="2EA172BF" w14:textId="77777777" w:rsidTr="00242CB1">
        <w:tc>
          <w:tcPr>
            <w:tcW w:w="2434" w:type="pct"/>
            <w:tcBorders>
              <w:top w:val="nil"/>
              <w:bottom w:val="nil"/>
            </w:tcBorders>
          </w:tcPr>
          <w:p w14:paraId="1DD15AE5" w14:textId="77777777" w:rsidR="0024083E" w:rsidRPr="0049394D" w:rsidRDefault="0024083E" w:rsidP="00242CB1">
            <w:pPr>
              <w:pStyle w:val="TableText0"/>
              <w:keepNext w:val="0"/>
              <w:ind w:left="254"/>
              <w:rPr>
                <w:b/>
              </w:rPr>
            </w:pPr>
            <w:r w:rsidRPr="0049394D">
              <w:t>Progressive disease, n (%)</w:t>
            </w:r>
          </w:p>
        </w:tc>
        <w:tc>
          <w:tcPr>
            <w:tcW w:w="855" w:type="pct"/>
            <w:tcBorders>
              <w:top w:val="nil"/>
              <w:bottom w:val="nil"/>
            </w:tcBorders>
          </w:tcPr>
          <w:p w14:paraId="0398C1B0" w14:textId="77777777" w:rsidR="0024083E" w:rsidRPr="0049394D" w:rsidRDefault="0024083E" w:rsidP="00242CB1">
            <w:pPr>
              <w:pStyle w:val="TableText0"/>
              <w:keepNext w:val="0"/>
              <w:jc w:val="center"/>
            </w:pPr>
            <w:r w:rsidRPr="0049394D">
              <w:t>9 (14.8)</w:t>
            </w:r>
          </w:p>
        </w:tc>
        <w:tc>
          <w:tcPr>
            <w:tcW w:w="856" w:type="pct"/>
            <w:tcBorders>
              <w:top w:val="nil"/>
              <w:bottom w:val="nil"/>
            </w:tcBorders>
          </w:tcPr>
          <w:p w14:paraId="164B1CC9" w14:textId="77777777" w:rsidR="0024083E" w:rsidRPr="0049394D" w:rsidRDefault="0024083E" w:rsidP="00242CB1">
            <w:pPr>
              <w:pStyle w:val="TableText0"/>
              <w:keepNext w:val="0"/>
              <w:jc w:val="center"/>
            </w:pPr>
            <w:r w:rsidRPr="0049394D">
              <w:t>9 (18.0)</w:t>
            </w:r>
          </w:p>
        </w:tc>
        <w:tc>
          <w:tcPr>
            <w:tcW w:w="855" w:type="pct"/>
            <w:tcBorders>
              <w:top w:val="nil"/>
              <w:bottom w:val="nil"/>
            </w:tcBorders>
          </w:tcPr>
          <w:p w14:paraId="5A9C0610" w14:textId="77777777" w:rsidR="0024083E" w:rsidRPr="0049394D" w:rsidRDefault="0024083E" w:rsidP="00242CB1">
            <w:pPr>
              <w:pStyle w:val="TableText0"/>
              <w:keepNext w:val="0"/>
              <w:jc w:val="center"/>
            </w:pPr>
            <w:r w:rsidRPr="0049394D">
              <w:t>0</w:t>
            </w:r>
          </w:p>
        </w:tc>
      </w:tr>
      <w:tr w:rsidR="0024083E" w:rsidRPr="0049394D" w14:paraId="42763A7E" w14:textId="77777777" w:rsidTr="00242CB1">
        <w:tc>
          <w:tcPr>
            <w:tcW w:w="2434" w:type="pct"/>
            <w:tcBorders>
              <w:top w:val="nil"/>
              <w:bottom w:val="nil"/>
            </w:tcBorders>
          </w:tcPr>
          <w:p w14:paraId="02BBE88D" w14:textId="77777777" w:rsidR="0024083E" w:rsidRPr="0049394D" w:rsidRDefault="0024083E" w:rsidP="00242CB1">
            <w:pPr>
              <w:pStyle w:val="TableText0"/>
              <w:keepNext w:val="0"/>
              <w:ind w:left="254"/>
              <w:rPr>
                <w:b/>
              </w:rPr>
            </w:pPr>
            <w:r w:rsidRPr="0049394D">
              <w:t>Death, n (%)</w:t>
            </w:r>
          </w:p>
        </w:tc>
        <w:tc>
          <w:tcPr>
            <w:tcW w:w="855" w:type="pct"/>
            <w:tcBorders>
              <w:top w:val="nil"/>
              <w:bottom w:val="nil"/>
            </w:tcBorders>
          </w:tcPr>
          <w:p w14:paraId="7DD5108E" w14:textId="77777777" w:rsidR="0024083E" w:rsidRPr="0049394D" w:rsidRDefault="0024083E" w:rsidP="00242CB1">
            <w:pPr>
              <w:pStyle w:val="TableText0"/>
              <w:keepNext w:val="0"/>
              <w:jc w:val="center"/>
            </w:pPr>
            <w:r w:rsidRPr="0049394D">
              <w:t>2 (3.3)</w:t>
            </w:r>
          </w:p>
        </w:tc>
        <w:tc>
          <w:tcPr>
            <w:tcW w:w="856" w:type="pct"/>
            <w:tcBorders>
              <w:top w:val="nil"/>
              <w:bottom w:val="nil"/>
            </w:tcBorders>
          </w:tcPr>
          <w:p w14:paraId="71E925A6" w14:textId="77777777" w:rsidR="0024083E" w:rsidRPr="0049394D" w:rsidRDefault="0024083E" w:rsidP="00242CB1">
            <w:pPr>
              <w:pStyle w:val="TableText0"/>
              <w:keepNext w:val="0"/>
              <w:jc w:val="center"/>
            </w:pPr>
            <w:r w:rsidRPr="0049394D">
              <w:t>2 (4.0)</w:t>
            </w:r>
          </w:p>
        </w:tc>
        <w:tc>
          <w:tcPr>
            <w:tcW w:w="855" w:type="pct"/>
            <w:tcBorders>
              <w:top w:val="nil"/>
              <w:bottom w:val="nil"/>
            </w:tcBorders>
          </w:tcPr>
          <w:p w14:paraId="18565136" w14:textId="77777777" w:rsidR="0024083E" w:rsidRPr="0049394D" w:rsidRDefault="0024083E" w:rsidP="00242CB1">
            <w:pPr>
              <w:pStyle w:val="TableText0"/>
              <w:keepNext w:val="0"/>
              <w:jc w:val="center"/>
            </w:pPr>
            <w:r w:rsidRPr="0049394D">
              <w:t>0</w:t>
            </w:r>
          </w:p>
        </w:tc>
      </w:tr>
      <w:tr w:rsidR="0024083E" w:rsidRPr="0049394D" w14:paraId="7B17E03A" w14:textId="77777777" w:rsidTr="00242CB1">
        <w:tc>
          <w:tcPr>
            <w:tcW w:w="2434" w:type="pct"/>
            <w:tcBorders>
              <w:top w:val="nil"/>
              <w:bottom w:val="nil"/>
            </w:tcBorders>
          </w:tcPr>
          <w:p w14:paraId="4CAEBE40" w14:textId="30DC491A" w:rsidR="0024083E" w:rsidRPr="0049394D" w:rsidRDefault="0024083E" w:rsidP="00242CB1">
            <w:pPr>
              <w:pStyle w:val="TableText0"/>
              <w:keepNext w:val="0"/>
              <w:ind w:left="112"/>
              <w:rPr>
                <w:b/>
              </w:rPr>
            </w:pPr>
            <w:r w:rsidRPr="0049394D">
              <w:t>Subject</w:t>
            </w:r>
            <w:r w:rsidR="003D2809" w:rsidRPr="0049394D">
              <w:t>s</w:t>
            </w:r>
            <w:r w:rsidRPr="0049394D">
              <w:t xml:space="preserve"> censored, n (%)</w:t>
            </w:r>
          </w:p>
        </w:tc>
        <w:tc>
          <w:tcPr>
            <w:tcW w:w="855" w:type="pct"/>
            <w:tcBorders>
              <w:top w:val="nil"/>
              <w:bottom w:val="nil"/>
            </w:tcBorders>
          </w:tcPr>
          <w:p w14:paraId="66C58C37" w14:textId="77777777" w:rsidR="0024083E" w:rsidRPr="0049394D" w:rsidRDefault="0024083E" w:rsidP="00242CB1">
            <w:pPr>
              <w:pStyle w:val="TableText0"/>
              <w:keepNext w:val="0"/>
              <w:jc w:val="center"/>
            </w:pPr>
            <w:r w:rsidRPr="0049394D">
              <w:t>50 (82.0)</w:t>
            </w:r>
          </w:p>
        </w:tc>
        <w:tc>
          <w:tcPr>
            <w:tcW w:w="856" w:type="pct"/>
            <w:tcBorders>
              <w:top w:val="nil"/>
              <w:bottom w:val="nil"/>
            </w:tcBorders>
          </w:tcPr>
          <w:p w14:paraId="43A11A8F" w14:textId="77777777" w:rsidR="0024083E" w:rsidRPr="0049394D" w:rsidRDefault="0024083E" w:rsidP="00242CB1">
            <w:pPr>
              <w:pStyle w:val="TableText0"/>
              <w:keepNext w:val="0"/>
              <w:jc w:val="center"/>
            </w:pPr>
            <w:r w:rsidRPr="0049394D">
              <w:t>39 (78.0)</w:t>
            </w:r>
          </w:p>
        </w:tc>
        <w:tc>
          <w:tcPr>
            <w:tcW w:w="855" w:type="pct"/>
            <w:tcBorders>
              <w:top w:val="nil"/>
              <w:bottom w:val="nil"/>
            </w:tcBorders>
          </w:tcPr>
          <w:p w14:paraId="1684AE1A" w14:textId="77777777" w:rsidR="0024083E" w:rsidRPr="0049394D" w:rsidRDefault="0024083E" w:rsidP="00242CB1">
            <w:pPr>
              <w:pStyle w:val="TableText0"/>
              <w:keepNext w:val="0"/>
              <w:jc w:val="center"/>
            </w:pPr>
            <w:r w:rsidRPr="0049394D">
              <w:t>22 (100.0)</w:t>
            </w:r>
          </w:p>
        </w:tc>
      </w:tr>
      <w:tr w:rsidR="0024083E" w:rsidRPr="0049394D" w14:paraId="36568528" w14:textId="77777777" w:rsidTr="00242CB1">
        <w:tc>
          <w:tcPr>
            <w:tcW w:w="2434" w:type="pct"/>
            <w:tcBorders>
              <w:top w:val="nil"/>
              <w:bottom w:val="nil"/>
            </w:tcBorders>
          </w:tcPr>
          <w:p w14:paraId="5E020788" w14:textId="77777777" w:rsidR="0024083E" w:rsidRPr="0049394D" w:rsidRDefault="0024083E" w:rsidP="00242CB1">
            <w:pPr>
              <w:pStyle w:val="TableText0"/>
              <w:keepNext w:val="0"/>
              <w:ind w:left="112"/>
              <w:rPr>
                <w:b/>
              </w:rPr>
            </w:pPr>
            <w:r w:rsidRPr="0049394D">
              <w:t>Progression-free survival rate, n (%^)</w:t>
            </w:r>
          </w:p>
        </w:tc>
        <w:tc>
          <w:tcPr>
            <w:tcW w:w="855" w:type="pct"/>
            <w:tcBorders>
              <w:top w:val="nil"/>
              <w:bottom w:val="nil"/>
            </w:tcBorders>
          </w:tcPr>
          <w:p w14:paraId="0EE7CCFE" w14:textId="77777777" w:rsidR="0024083E" w:rsidRPr="0049394D" w:rsidRDefault="0024083E" w:rsidP="00242CB1">
            <w:pPr>
              <w:pStyle w:val="TableText0"/>
              <w:keepNext w:val="0"/>
              <w:jc w:val="center"/>
            </w:pPr>
          </w:p>
        </w:tc>
        <w:tc>
          <w:tcPr>
            <w:tcW w:w="856" w:type="pct"/>
            <w:tcBorders>
              <w:top w:val="nil"/>
              <w:bottom w:val="nil"/>
            </w:tcBorders>
          </w:tcPr>
          <w:p w14:paraId="6DAFE4EB" w14:textId="77777777" w:rsidR="0024083E" w:rsidRPr="0049394D" w:rsidRDefault="0024083E" w:rsidP="00242CB1">
            <w:pPr>
              <w:pStyle w:val="TableText0"/>
              <w:keepNext w:val="0"/>
              <w:jc w:val="center"/>
            </w:pPr>
          </w:p>
        </w:tc>
        <w:tc>
          <w:tcPr>
            <w:tcW w:w="855" w:type="pct"/>
            <w:tcBorders>
              <w:top w:val="nil"/>
              <w:bottom w:val="nil"/>
            </w:tcBorders>
          </w:tcPr>
          <w:p w14:paraId="0FEDF180" w14:textId="77777777" w:rsidR="0024083E" w:rsidRPr="0049394D" w:rsidRDefault="0024083E" w:rsidP="00242CB1">
            <w:pPr>
              <w:pStyle w:val="TableText0"/>
              <w:keepNext w:val="0"/>
              <w:jc w:val="center"/>
            </w:pPr>
          </w:p>
        </w:tc>
      </w:tr>
      <w:tr w:rsidR="0024083E" w:rsidRPr="0049394D" w14:paraId="4309A6D5" w14:textId="77777777" w:rsidTr="00242CB1">
        <w:tc>
          <w:tcPr>
            <w:tcW w:w="2434" w:type="pct"/>
            <w:tcBorders>
              <w:top w:val="nil"/>
              <w:bottom w:val="nil"/>
            </w:tcBorders>
          </w:tcPr>
          <w:p w14:paraId="303F1837" w14:textId="77777777" w:rsidR="0024083E" w:rsidRPr="0049394D" w:rsidDel="00681576" w:rsidRDefault="0024083E" w:rsidP="00242CB1">
            <w:pPr>
              <w:pStyle w:val="TableText0"/>
              <w:keepNext w:val="0"/>
              <w:ind w:left="254"/>
            </w:pPr>
            <w:r w:rsidRPr="0049394D">
              <w:t>6 months</w:t>
            </w:r>
          </w:p>
        </w:tc>
        <w:tc>
          <w:tcPr>
            <w:tcW w:w="855" w:type="pct"/>
            <w:tcBorders>
              <w:top w:val="nil"/>
              <w:bottom w:val="nil"/>
            </w:tcBorders>
          </w:tcPr>
          <w:p w14:paraId="7F90B0CC" w14:textId="77777777" w:rsidR="0024083E" w:rsidRPr="0049394D" w:rsidDel="00681576" w:rsidRDefault="0024083E" w:rsidP="00242CB1">
            <w:pPr>
              <w:pStyle w:val="TableText0"/>
              <w:keepNext w:val="0"/>
              <w:jc w:val="center"/>
            </w:pPr>
            <w:r w:rsidRPr="0049394D">
              <w:t>98.3 (88.6, 99.8)</w:t>
            </w:r>
          </w:p>
        </w:tc>
        <w:tc>
          <w:tcPr>
            <w:tcW w:w="856" w:type="pct"/>
            <w:tcBorders>
              <w:top w:val="nil"/>
              <w:bottom w:val="nil"/>
            </w:tcBorders>
          </w:tcPr>
          <w:p w14:paraId="6CDB7280" w14:textId="77777777" w:rsidR="0024083E" w:rsidRPr="0049394D" w:rsidDel="00681576" w:rsidRDefault="0024083E" w:rsidP="00242CB1">
            <w:pPr>
              <w:pStyle w:val="TableText0"/>
              <w:keepNext w:val="0"/>
              <w:jc w:val="center"/>
            </w:pPr>
            <w:r w:rsidRPr="0049394D">
              <w:t>93.4 (81.0, 97.8)</w:t>
            </w:r>
          </w:p>
        </w:tc>
        <w:tc>
          <w:tcPr>
            <w:tcW w:w="855" w:type="pct"/>
            <w:tcBorders>
              <w:top w:val="nil"/>
              <w:bottom w:val="nil"/>
            </w:tcBorders>
          </w:tcPr>
          <w:p w14:paraId="39C48406" w14:textId="77777777" w:rsidR="0024083E" w:rsidRPr="0049394D" w:rsidDel="00681576" w:rsidRDefault="0024083E" w:rsidP="00242CB1">
            <w:pPr>
              <w:pStyle w:val="TableText0"/>
              <w:keepNext w:val="0"/>
              <w:jc w:val="center"/>
            </w:pPr>
            <w:r w:rsidRPr="0049394D">
              <w:t>100.0 (100.0, 100.0)</w:t>
            </w:r>
          </w:p>
        </w:tc>
      </w:tr>
      <w:tr w:rsidR="0024083E" w:rsidRPr="0049394D" w14:paraId="67A34A19" w14:textId="77777777" w:rsidTr="00242CB1">
        <w:tc>
          <w:tcPr>
            <w:tcW w:w="2434" w:type="pct"/>
            <w:tcBorders>
              <w:top w:val="nil"/>
              <w:bottom w:val="nil"/>
            </w:tcBorders>
          </w:tcPr>
          <w:p w14:paraId="64520C3F" w14:textId="77777777" w:rsidR="0024083E" w:rsidRPr="0049394D" w:rsidDel="00681576" w:rsidRDefault="0024083E" w:rsidP="00242CB1">
            <w:pPr>
              <w:pStyle w:val="TableText0"/>
              <w:keepNext w:val="0"/>
              <w:ind w:left="254"/>
            </w:pPr>
            <w:r w:rsidRPr="0049394D">
              <w:t>12 months</w:t>
            </w:r>
          </w:p>
        </w:tc>
        <w:tc>
          <w:tcPr>
            <w:tcW w:w="855" w:type="pct"/>
            <w:tcBorders>
              <w:top w:val="nil"/>
              <w:bottom w:val="nil"/>
            </w:tcBorders>
          </w:tcPr>
          <w:p w14:paraId="3AACC90B" w14:textId="77777777" w:rsidR="0024083E" w:rsidRPr="0049394D" w:rsidDel="00681576" w:rsidRDefault="0024083E" w:rsidP="00242CB1">
            <w:pPr>
              <w:pStyle w:val="TableText0"/>
              <w:keepNext w:val="0"/>
              <w:jc w:val="center"/>
            </w:pPr>
            <w:r w:rsidRPr="0049394D">
              <w:t>98.3 (88.6, 99.8)</w:t>
            </w:r>
          </w:p>
        </w:tc>
        <w:tc>
          <w:tcPr>
            <w:tcW w:w="856" w:type="pct"/>
            <w:tcBorders>
              <w:top w:val="nil"/>
              <w:bottom w:val="nil"/>
            </w:tcBorders>
          </w:tcPr>
          <w:p w14:paraId="11A98404" w14:textId="77777777" w:rsidR="0024083E" w:rsidRPr="0049394D" w:rsidDel="00681576" w:rsidRDefault="0024083E" w:rsidP="00242CB1">
            <w:pPr>
              <w:pStyle w:val="TableText0"/>
              <w:keepNext w:val="0"/>
              <w:jc w:val="center"/>
            </w:pPr>
            <w:r w:rsidRPr="0049394D">
              <w:t>86.7 (72.7, 93.8)</w:t>
            </w:r>
          </w:p>
        </w:tc>
        <w:tc>
          <w:tcPr>
            <w:tcW w:w="855" w:type="pct"/>
            <w:tcBorders>
              <w:top w:val="nil"/>
              <w:bottom w:val="nil"/>
            </w:tcBorders>
          </w:tcPr>
          <w:p w14:paraId="2F3A38D7" w14:textId="77777777" w:rsidR="0024083E" w:rsidRPr="0049394D" w:rsidDel="00681576" w:rsidRDefault="0024083E" w:rsidP="00242CB1">
            <w:pPr>
              <w:pStyle w:val="TableText0"/>
              <w:keepNext w:val="0"/>
              <w:jc w:val="center"/>
            </w:pPr>
            <w:r w:rsidRPr="0049394D">
              <w:t>100.0 (100.0, 100.0)</w:t>
            </w:r>
          </w:p>
        </w:tc>
      </w:tr>
      <w:tr w:rsidR="0024083E" w:rsidRPr="0049394D" w14:paraId="1429AECF" w14:textId="77777777" w:rsidTr="00242CB1">
        <w:tc>
          <w:tcPr>
            <w:tcW w:w="2434" w:type="pct"/>
            <w:tcBorders>
              <w:top w:val="nil"/>
              <w:bottom w:val="nil"/>
            </w:tcBorders>
          </w:tcPr>
          <w:p w14:paraId="7E5E918C" w14:textId="77777777" w:rsidR="0024083E" w:rsidRPr="0049394D" w:rsidDel="00681576" w:rsidRDefault="0024083E" w:rsidP="00242CB1">
            <w:pPr>
              <w:pStyle w:val="TableText0"/>
              <w:keepNext w:val="0"/>
              <w:ind w:left="254"/>
            </w:pPr>
            <w:r w:rsidRPr="0049394D">
              <w:t>24 months</w:t>
            </w:r>
          </w:p>
        </w:tc>
        <w:tc>
          <w:tcPr>
            <w:tcW w:w="855" w:type="pct"/>
            <w:tcBorders>
              <w:top w:val="nil"/>
              <w:bottom w:val="nil"/>
            </w:tcBorders>
          </w:tcPr>
          <w:p w14:paraId="0D029A5A" w14:textId="77777777" w:rsidR="0024083E" w:rsidRPr="0049394D" w:rsidDel="00681576" w:rsidRDefault="0024083E" w:rsidP="00242CB1">
            <w:pPr>
              <w:pStyle w:val="TableText0"/>
              <w:keepNext w:val="0"/>
              <w:jc w:val="center"/>
            </w:pPr>
            <w:r w:rsidRPr="0049394D">
              <w:t>94.6 (84.2, 98.2)</w:t>
            </w:r>
          </w:p>
        </w:tc>
        <w:tc>
          <w:tcPr>
            <w:tcW w:w="856" w:type="pct"/>
            <w:tcBorders>
              <w:top w:val="nil"/>
              <w:bottom w:val="nil"/>
            </w:tcBorders>
          </w:tcPr>
          <w:p w14:paraId="37E83727" w14:textId="77777777" w:rsidR="0024083E" w:rsidRPr="0049394D" w:rsidDel="00681576" w:rsidRDefault="0024083E" w:rsidP="00242CB1">
            <w:pPr>
              <w:pStyle w:val="TableText0"/>
              <w:keepNext w:val="0"/>
              <w:jc w:val="center"/>
            </w:pPr>
            <w:r w:rsidRPr="0049394D">
              <w:t>84.3 (69.8, 92.2)</w:t>
            </w:r>
          </w:p>
        </w:tc>
        <w:tc>
          <w:tcPr>
            <w:tcW w:w="855" w:type="pct"/>
            <w:tcBorders>
              <w:top w:val="nil"/>
              <w:bottom w:val="nil"/>
            </w:tcBorders>
          </w:tcPr>
          <w:p w14:paraId="62989F71" w14:textId="77777777" w:rsidR="0024083E" w:rsidRPr="0049394D" w:rsidDel="00681576" w:rsidRDefault="0024083E" w:rsidP="00242CB1">
            <w:pPr>
              <w:pStyle w:val="TableText0"/>
              <w:keepNext w:val="0"/>
              <w:jc w:val="center"/>
            </w:pPr>
            <w:r w:rsidRPr="0049394D">
              <w:t>100.0 (100.0, 100.0)</w:t>
            </w:r>
          </w:p>
        </w:tc>
      </w:tr>
      <w:tr w:rsidR="0024083E" w:rsidRPr="0049394D" w14:paraId="4DABB17C" w14:textId="77777777" w:rsidTr="00242CB1">
        <w:tc>
          <w:tcPr>
            <w:tcW w:w="2434" w:type="pct"/>
            <w:tcBorders>
              <w:top w:val="nil"/>
              <w:bottom w:val="nil"/>
            </w:tcBorders>
          </w:tcPr>
          <w:p w14:paraId="1E23FF3D" w14:textId="77777777" w:rsidR="0024083E" w:rsidRPr="0049394D" w:rsidDel="00681576" w:rsidRDefault="0024083E" w:rsidP="00242CB1">
            <w:pPr>
              <w:pStyle w:val="TableText0"/>
              <w:keepNext w:val="0"/>
              <w:ind w:left="254"/>
            </w:pPr>
            <w:r w:rsidRPr="0049394D">
              <w:t>36 months</w:t>
            </w:r>
          </w:p>
        </w:tc>
        <w:tc>
          <w:tcPr>
            <w:tcW w:w="855" w:type="pct"/>
            <w:tcBorders>
              <w:top w:val="nil"/>
              <w:bottom w:val="nil"/>
            </w:tcBorders>
          </w:tcPr>
          <w:p w14:paraId="660377F0" w14:textId="77777777" w:rsidR="0024083E" w:rsidRPr="0049394D" w:rsidDel="00681576" w:rsidRDefault="0024083E" w:rsidP="00242CB1">
            <w:pPr>
              <w:pStyle w:val="TableText0"/>
              <w:keepNext w:val="0"/>
              <w:jc w:val="center"/>
            </w:pPr>
            <w:r w:rsidRPr="0049394D">
              <w:t>86.3 (73.2, 93.3)</w:t>
            </w:r>
          </w:p>
        </w:tc>
        <w:tc>
          <w:tcPr>
            <w:tcW w:w="856" w:type="pct"/>
            <w:tcBorders>
              <w:top w:val="nil"/>
              <w:bottom w:val="nil"/>
            </w:tcBorders>
          </w:tcPr>
          <w:p w14:paraId="2E1D158B" w14:textId="77777777" w:rsidR="0024083E" w:rsidRPr="0049394D" w:rsidDel="00681576" w:rsidRDefault="0024083E" w:rsidP="00242CB1">
            <w:pPr>
              <w:pStyle w:val="TableText0"/>
              <w:keepNext w:val="0"/>
              <w:jc w:val="center"/>
            </w:pPr>
            <w:r w:rsidRPr="0049394D">
              <w:t>78.8 (62.9, 88.4)</w:t>
            </w:r>
          </w:p>
        </w:tc>
        <w:tc>
          <w:tcPr>
            <w:tcW w:w="855" w:type="pct"/>
            <w:tcBorders>
              <w:top w:val="nil"/>
              <w:bottom w:val="nil"/>
            </w:tcBorders>
          </w:tcPr>
          <w:p w14:paraId="2CD049CB" w14:textId="77777777" w:rsidR="0024083E" w:rsidRPr="0049394D" w:rsidDel="00681576" w:rsidRDefault="0024083E" w:rsidP="00242CB1">
            <w:pPr>
              <w:pStyle w:val="TableText0"/>
              <w:keepNext w:val="0"/>
              <w:jc w:val="center"/>
            </w:pPr>
            <w:r w:rsidRPr="0049394D">
              <w:t>100.0 (100.0, 100.0)</w:t>
            </w:r>
          </w:p>
        </w:tc>
      </w:tr>
      <w:tr w:rsidR="0024083E" w:rsidRPr="0049394D" w14:paraId="7851FC15" w14:textId="77777777" w:rsidTr="00242CB1">
        <w:tc>
          <w:tcPr>
            <w:tcW w:w="2434" w:type="pct"/>
            <w:tcBorders>
              <w:top w:val="nil"/>
            </w:tcBorders>
          </w:tcPr>
          <w:p w14:paraId="4EC4B97D" w14:textId="77777777" w:rsidR="0024083E" w:rsidRPr="0049394D" w:rsidDel="00681576" w:rsidRDefault="0024083E" w:rsidP="00242CB1">
            <w:pPr>
              <w:pStyle w:val="TableText0"/>
              <w:keepNext w:val="0"/>
              <w:ind w:left="254"/>
            </w:pPr>
            <w:r w:rsidRPr="0049394D">
              <w:t>42 months</w:t>
            </w:r>
          </w:p>
        </w:tc>
        <w:tc>
          <w:tcPr>
            <w:tcW w:w="855" w:type="pct"/>
            <w:tcBorders>
              <w:top w:val="nil"/>
            </w:tcBorders>
          </w:tcPr>
          <w:p w14:paraId="6C0CC946" w14:textId="77777777" w:rsidR="0024083E" w:rsidRPr="0049394D" w:rsidDel="00681576" w:rsidRDefault="0024083E" w:rsidP="00242CB1">
            <w:pPr>
              <w:pStyle w:val="TableText0"/>
              <w:keepNext w:val="0"/>
              <w:jc w:val="center"/>
            </w:pPr>
            <w:r w:rsidRPr="0049394D">
              <w:t>47.5 (10.1, 78.5)</w:t>
            </w:r>
          </w:p>
        </w:tc>
        <w:tc>
          <w:tcPr>
            <w:tcW w:w="856" w:type="pct"/>
            <w:tcBorders>
              <w:top w:val="nil"/>
            </w:tcBorders>
          </w:tcPr>
          <w:p w14:paraId="41926C9A" w14:textId="77777777" w:rsidR="0024083E" w:rsidRPr="0049394D" w:rsidDel="00681576" w:rsidRDefault="0024083E" w:rsidP="00242CB1">
            <w:pPr>
              <w:pStyle w:val="TableText0"/>
              <w:keepNext w:val="0"/>
              <w:jc w:val="center"/>
            </w:pPr>
            <w:r w:rsidRPr="0049394D">
              <w:t>67.9 (46.8, 82.1)</w:t>
            </w:r>
          </w:p>
        </w:tc>
        <w:tc>
          <w:tcPr>
            <w:tcW w:w="855" w:type="pct"/>
            <w:tcBorders>
              <w:top w:val="nil"/>
            </w:tcBorders>
          </w:tcPr>
          <w:p w14:paraId="295D389F" w14:textId="77777777" w:rsidR="0024083E" w:rsidRPr="0049394D" w:rsidDel="00681576" w:rsidRDefault="0024083E" w:rsidP="00242CB1">
            <w:pPr>
              <w:pStyle w:val="TableText0"/>
              <w:keepNext w:val="0"/>
              <w:jc w:val="center"/>
            </w:pPr>
            <w:r w:rsidRPr="0049394D">
              <w:t>100.0 (100.0, 100.0)</w:t>
            </w:r>
          </w:p>
        </w:tc>
      </w:tr>
    </w:tbl>
    <w:p w14:paraId="7C40A70A" w14:textId="031CB07D" w:rsidR="0024083E" w:rsidRPr="0049394D" w:rsidRDefault="0024083E" w:rsidP="0024083E">
      <w:pPr>
        <w:pStyle w:val="TableFigureFooter"/>
      </w:pPr>
      <w:r w:rsidRPr="0049394D">
        <w:t>Source: Tables 2.5-2, 2.5-43 and 2.5-10, of the submission, Tables 11-2, p 73, 14.2-14, and 14.2-45, p311 of LS-004 CSR.</w:t>
      </w:r>
    </w:p>
    <w:p w14:paraId="57551CBF" w14:textId="77777777" w:rsidR="0024083E" w:rsidRPr="0049394D" w:rsidRDefault="0024083E" w:rsidP="0024083E">
      <w:pPr>
        <w:pStyle w:val="TableFigureFooter"/>
      </w:pPr>
      <w:r w:rsidRPr="0049394D">
        <w:t>CI = confidence interval; CNS Hb = central nervous system haemangioblastoma; IRC = independent review committee; NE = not evaluable; NR = not reached; pNET = pancreatic neuroendocrine tumour; RCC = renal cell carcinoma</w:t>
      </w:r>
    </w:p>
    <w:p w14:paraId="773CBDCD" w14:textId="4B2BF9F0" w:rsidR="0024083E" w:rsidRPr="0049394D" w:rsidRDefault="009061C7" w:rsidP="0024083E">
      <w:pPr>
        <w:pStyle w:val="TableFigureFooter"/>
      </w:pPr>
      <w:r w:rsidRPr="0049394D">
        <w:t>Note:</w:t>
      </w:r>
      <w:r w:rsidR="0024083E" w:rsidRPr="0049394D">
        <w:rPr>
          <w:vertAlign w:val="superscript"/>
        </w:rPr>
        <w:tab/>
      </w:r>
      <w:r w:rsidR="0024083E" w:rsidRPr="0049394D">
        <w:t xml:space="preserve">Data cut-off date 1 </w:t>
      </w:r>
      <w:r w:rsidR="008C077D" w:rsidRPr="0049394D">
        <w:t>April</w:t>
      </w:r>
      <w:r w:rsidR="0024083E" w:rsidRPr="0049394D">
        <w:t xml:space="preserve"> 2022</w:t>
      </w:r>
    </w:p>
    <w:p w14:paraId="704A4952" w14:textId="77777777" w:rsidR="0024083E" w:rsidRPr="0049394D" w:rsidRDefault="0024083E" w:rsidP="0024083E">
      <w:pPr>
        <w:pStyle w:val="TableFigureFooter"/>
      </w:pPr>
      <w:r w:rsidRPr="0049394D">
        <w:t>+</w:t>
      </w:r>
      <w:r w:rsidRPr="0049394D">
        <w:tab/>
        <w:t>indicates there was no progressive disease by the time of last disease assessment.</w:t>
      </w:r>
    </w:p>
    <w:p w14:paraId="6CEBC5B3" w14:textId="62C547DC" w:rsidR="0024083E" w:rsidRDefault="0024083E" w:rsidP="0024083E">
      <w:pPr>
        <w:pStyle w:val="TableFigureFooter"/>
      </w:pPr>
      <w:r w:rsidRPr="0049394D">
        <w:rPr>
          <w:vertAlign w:val="superscript"/>
        </w:rPr>
        <w:t>^</w:t>
      </w:r>
      <w:r w:rsidRPr="0049394D">
        <w:rPr>
          <w:vertAlign w:val="superscript"/>
        </w:rPr>
        <w:tab/>
      </w:r>
      <w:r w:rsidRPr="0049394D">
        <w:t>% was calculated using the Kaplan-Meier method.</w:t>
      </w:r>
    </w:p>
    <w:p w14:paraId="4744D4D2" w14:textId="25DCA492" w:rsidR="001E370A" w:rsidRPr="0049394D" w:rsidRDefault="001E370A" w:rsidP="0024083E">
      <w:pPr>
        <w:pStyle w:val="TableFigureFooter"/>
      </w:pPr>
      <w:r>
        <w:t xml:space="preserve">* </w:t>
      </w:r>
      <w:r>
        <w:rPr>
          <w:szCs w:val="18"/>
        </w:rPr>
        <w:t>Objective response rate = CR + PR; ** Disease control rate = CR + PR + SD</w:t>
      </w:r>
    </w:p>
    <w:p w14:paraId="74D5860E" w14:textId="77777777" w:rsidR="004219B0" w:rsidRPr="0049394D" w:rsidRDefault="004219B0" w:rsidP="004219B0">
      <w:pPr>
        <w:pStyle w:val="TableFigureFooter"/>
        <w:ind w:left="165" w:hanging="165"/>
      </w:pPr>
      <w:r w:rsidRPr="0049394D">
        <w:rPr>
          <w:vertAlign w:val="superscript"/>
        </w:rPr>
        <w:t>a</w:t>
      </w:r>
      <w:r w:rsidRPr="0049394D">
        <w:tab/>
        <w:t>CR: the disappearance of all target and non-target lesions and normalisation of tumour marker level. Any pathological lymph nodes (whether target or non-target) must have reduction in short axis to &lt;10 mm. For best overall response of CR, patient must have confirmed CR at a first and subsequent time point at least 4 weeks apart.</w:t>
      </w:r>
    </w:p>
    <w:p w14:paraId="3E84BE4C" w14:textId="77777777" w:rsidR="004219B0" w:rsidRPr="0049394D" w:rsidRDefault="004219B0" w:rsidP="004219B0">
      <w:pPr>
        <w:pStyle w:val="TableFigureFooter"/>
        <w:ind w:left="165" w:hanging="165"/>
      </w:pPr>
      <w:r w:rsidRPr="0049394D">
        <w:rPr>
          <w:vertAlign w:val="superscript"/>
        </w:rPr>
        <w:t>b</w:t>
      </w:r>
      <w:r w:rsidRPr="0049394D">
        <w:rPr>
          <w:vertAlign w:val="superscript"/>
        </w:rPr>
        <w:tab/>
      </w:r>
      <w:r w:rsidRPr="0049394D">
        <w:t>PR: ≥ 30% decrease in the sum of diameters of target lesions, and no progression in non-target lesions, taking as reference the baseline sum diameters. For best overall response of PR, patient must have either CR at first time point and PR at subsequent time point, or PR at first time point and CR or PR at subsequent time point.</w:t>
      </w:r>
    </w:p>
    <w:p w14:paraId="05854327" w14:textId="77777777" w:rsidR="004219B0" w:rsidRPr="0049394D" w:rsidRDefault="004219B0" w:rsidP="004219B0">
      <w:pPr>
        <w:pStyle w:val="TableFigureFooter"/>
        <w:ind w:left="164" w:hanging="164"/>
      </w:pPr>
      <w:r w:rsidRPr="0049394D">
        <w:rPr>
          <w:vertAlign w:val="superscript"/>
        </w:rPr>
        <w:t>c</w:t>
      </w:r>
      <w:r w:rsidRPr="0049394D">
        <w:rPr>
          <w:vertAlign w:val="superscript"/>
        </w:rPr>
        <w:tab/>
      </w:r>
      <w:r w:rsidRPr="0049394D">
        <w:t>SD: Neither sufficient shrinkage to qualify for PR nor sufficient increase to qualify for PD, taking as reference the smallest sum diameters while on study.</w:t>
      </w:r>
    </w:p>
    <w:p w14:paraId="4562AFDE" w14:textId="65E416CB" w:rsidR="007F2710" w:rsidRPr="0049394D" w:rsidRDefault="004219B0" w:rsidP="00CD5C1E">
      <w:pPr>
        <w:pStyle w:val="TableFigureFooter"/>
        <w:ind w:left="164" w:hanging="164"/>
      </w:pPr>
      <w:r w:rsidRPr="0049394D">
        <w:rPr>
          <w:vertAlign w:val="superscript"/>
        </w:rPr>
        <w:t>d</w:t>
      </w:r>
      <w:r w:rsidRPr="0049394D">
        <w:rPr>
          <w:vertAlign w:val="superscript"/>
        </w:rPr>
        <w:tab/>
      </w:r>
      <w:r w:rsidRPr="0049394D">
        <w:t xml:space="preserve">PD: ≥ 20% increase in the sum of diameters of target lesions with an absolute increase of at least 5 mm, or unequivocal progression of existing non-target lesions, taking as reference the smallest sum on study (this includes the baseline sum if that is the smallest on study), or the appearance of one or more new lesions. </w:t>
      </w:r>
    </w:p>
    <w:p w14:paraId="17B2A086" w14:textId="7C2E831A" w:rsidR="00840801" w:rsidRPr="00302638" w:rsidRDefault="00840801" w:rsidP="00840801">
      <w:pPr>
        <w:pStyle w:val="3-BodyText"/>
      </w:pPr>
      <w:bookmarkStart w:id="44" w:name="_Ref172554877"/>
      <w:r w:rsidRPr="00302638">
        <w:lastRenderedPageBreak/>
        <w:t xml:space="preserve">The pre-PBAC </w:t>
      </w:r>
      <w:r w:rsidR="008C077D" w:rsidRPr="00302638">
        <w:t>response presented</w:t>
      </w:r>
      <w:r w:rsidRPr="00302638">
        <w:t xml:space="preserve"> </w:t>
      </w:r>
      <w:r w:rsidR="0052359D" w:rsidRPr="00302638">
        <w:t xml:space="preserve">a comparison of </w:t>
      </w:r>
      <w:r w:rsidR="00507E42" w:rsidRPr="00302638">
        <w:t xml:space="preserve">updated data for the </w:t>
      </w:r>
      <w:r w:rsidR="00F36D49" w:rsidRPr="00302638">
        <w:t>objective</w:t>
      </w:r>
      <w:r w:rsidRPr="00302638">
        <w:t xml:space="preserve"> response rate (ORR)</w:t>
      </w:r>
      <w:r w:rsidR="00507E42" w:rsidRPr="00302638">
        <w:t xml:space="preserve"> </w:t>
      </w:r>
      <w:r w:rsidR="0052359D" w:rsidRPr="00302638">
        <w:t xml:space="preserve">vs </w:t>
      </w:r>
      <w:r w:rsidR="00507E42" w:rsidRPr="00302638">
        <w:t>previous data cut</w:t>
      </w:r>
      <w:r w:rsidR="00CA1E4D" w:rsidRPr="00302638">
        <w:t xml:space="preserve">s </w:t>
      </w:r>
      <w:r w:rsidR="0052359D" w:rsidRPr="00302638">
        <w:t>(</w:t>
      </w:r>
      <w:r w:rsidR="0052359D" w:rsidRPr="00302638">
        <w:fldChar w:fldCharType="begin" w:fldLock="1"/>
      </w:r>
      <w:r w:rsidR="0052359D" w:rsidRPr="00302638">
        <w:instrText xml:space="preserve"> REF _Ref172548143 \h </w:instrText>
      </w:r>
      <w:r w:rsidR="0052359D" w:rsidRPr="00302638">
        <w:fldChar w:fldCharType="separate"/>
      </w:r>
      <w:r w:rsidR="00437B51" w:rsidRPr="0049394D">
        <w:t xml:space="preserve">Table </w:t>
      </w:r>
      <w:r w:rsidR="00437B51">
        <w:rPr>
          <w:noProof/>
        </w:rPr>
        <w:t>8</w:t>
      </w:r>
      <w:r w:rsidR="0052359D" w:rsidRPr="00302638">
        <w:fldChar w:fldCharType="end"/>
      </w:r>
      <w:r w:rsidR="0052359D" w:rsidRPr="00302638">
        <w:t>)</w:t>
      </w:r>
      <w:r w:rsidR="00507E42" w:rsidRPr="00302638">
        <w:t>.</w:t>
      </w:r>
      <w:r w:rsidR="00CA1E4D" w:rsidRPr="00302638">
        <w:t xml:space="preserve"> The pre-PBAC response noted that there have been five LS-004 data cuts, each increasing in magnitude of observed benefit.</w:t>
      </w:r>
      <w:bookmarkEnd w:id="44"/>
    </w:p>
    <w:p w14:paraId="2BF4EAC1" w14:textId="61E5AFFE" w:rsidR="00507E42" w:rsidRDefault="00507E42" w:rsidP="00507E42">
      <w:pPr>
        <w:pStyle w:val="Caption"/>
        <w:jc w:val="left"/>
      </w:pPr>
      <w:bookmarkStart w:id="45" w:name="_Ref172548143"/>
      <w:r w:rsidRPr="0049394D">
        <w:t xml:space="preserve">Table </w:t>
      </w:r>
      <w:r>
        <w:fldChar w:fldCharType="begin" w:fldLock="1"/>
      </w:r>
      <w:r>
        <w:instrText xml:space="preserve"> SEQ Table \* ARABIC </w:instrText>
      </w:r>
      <w:r>
        <w:fldChar w:fldCharType="separate"/>
      </w:r>
      <w:r w:rsidR="00437B51">
        <w:rPr>
          <w:noProof/>
        </w:rPr>
        <w:t>8</w:t>
      </w:r>
      <w:r>
        <w:rPr>
          <w:noProof/>
        </w:rPr>
        <w:fldChar w:fldCharType="end"/>
      </w:r>
      <w:bookmarkEnd w:id="45"/>
      <w:r>
        <w:t xml:space="preserve"> </w:t>
      </w:r>
      <w:r w:rsidR="00F36D49">
        <w:t>Objective</w:t>
      </w:r>
      <w:r>
        <w:t xml:space="preserve"> response rate</w:t>
      </w:r>
      <w:r w:rsidRPr="00507E42">
        <w:t xml:space="preserve"> reported in LS-004, interim analysis </w:t>
      </w:r>
      <w:r>
        <w:t>5</w:t>
      </w:r>
      <w:r w:rsidRPr="00507E42">
        <w:t xml:space="preserve"> (IRC)</w:t>
      </w:r>
      <w:r w:rsidR="004B652E">
        <w:t xml:space="preserve"> </w:t>
      </w:r>
      <w:r w:rsidR="004B652E" w:rsidRPr="00B32BB0">
        <w:rPr>
          <w:rFonts w:cs="Times New Roman"/>
          <w:szCs w:val="24"/>
        </w:rPr>
        <w:t>(N=61)</w:t>
      </w:r>
    </w:p>
    <w:tbl>
      <w:tblPr>
        <w:tblStyle w:val="TableGrid"/>
        <w:tblpPr w:leftFromText="180" w:rightFromText="180" w:vertAnchor="text" w:horzAnchor="margin" w:tblpY="12"/>
        <w:tblW w:w="5000" w:type="pct"/>
        <w:tblLook w:val="04A0" w:firstRow="1" w:lastRow="0" w:firstColumn="1" w:lastColumn="0" w:noHBand="0" w:noVBand="1"/>
        <w:tblCaption w:val="Table 8 Objective response rate reported in LS-004, interim analysis 5 (IRC) (N=61)"/>
      </w:tblPr>
      <w:tblGrid>
        <w:gridCol w:w="1593"/>
        <w:gridCol w:w="1490"/>
        <w:gridCol w:w="1520"/>
        <w:gridCol w:w="1491"/>
        <w:gridCol w:w="1491"/>
        <w:gridCol w:w="1432"/>
      </w:tblGrid>
      <w:tr w:rsidR="0052359D" w:rsidRPr="00917284" w14:paraId="3BA5AE4C" w14:textId="77777777" w:rsidTr="0052359D">
        <w:tc>
          <w:tcPr>
            <w:tcW w:w="883" w:type="pct"/>
            <w:shd w:val="clear" w:color="auto" w:fill="auto"/>
            <w:vAlign w:val="center"/>
          </w:tcPr>
          <w:p w14:paraId="04149FF2" w14:textId="5441FBF0" w:rsidR="0052359D" w:rsidRPr="006A0482" w:rsidRDefault="0052359D" w:rsidP="006A0482">
            <w:pPr>
              <w:pStyle w:val="In-tableHeading"/>
              <w:keepNext w:val="0"/>
              <w:jc w:val="center"/>
            </w:pPr>
          </w:p>
        </w:tc>
        <w:tc>
          <w:tcPr>
            <w:tcW w:w="826" w:type="pct"/>
            <w:shd w:val="clear" w:color="auto" w:fill="auto"/>
            <w:vAlign w:val="center"/>
          </w:tcPr>
          <w:p w14:paraId="2648AB68" w14:textId="77777777" w:rsidR="0052359D" w:rsidRPr="006A0482" w:rsidRDefault="0052359D" w:rsidP="006A0482">
            <w:pPr>
              <w:pStyle w:val="In-tableHeading"/>
              <w:keepNext w:val="0"/>
              <w:jc w:val="center"/>
            </w:pPr>
            <w:r w:rsidRPr="006A0482">
              <w:rPr>
                <w:lang w:val="en-AU"/>
              </w:rPr>
              <w:t>IA1</w:t>
            </w:r>
          </w:p>
        </w:tc>
        <w:tc>
          <w:tcPr>
            <w:tcW w:w="843" w:type="pct"/>
            <w:shd w:val="clear" w:color="auto" w:fill="auto"/>
            <w:vAlign w:val="center"/>
          </w:tcPr>
          <w:p w14:paraId="4CE479DD" w14:textId="77777777" w:rsidR="0052359D" w:rsidRPr="006A0482" w:rsidRDefault="0052359D" w:rsidP="006A0482">
            <w:pPr>
              <w:pStyle w:val="In-tableHeading"/>
              <w:keepNext w:val="0"/>
              <w:jc w:val="center"/>
            </w:pPr>
            <w:r w:rsidRPr="006A0482">
              <w:rPr>
                <w:lang w:val="en-AU"/>
              </w:rPr>
              <w:t>IA2</w:t>
            </w:r>
          </w:p>
        </w:tc>
        <w:tc>
          <w:tcPr>
            <w:tcW w:w="827" w:type="pct"/>
            <w:shd w:val="clear" w:color="auto" w:fill="auto"/>
            <w:vAlign w:val="center"/>
          </w:tcPr>
          <w:p w14:paraId="7423FF41" w14:textId="77777777" w:rsidR="0052359D" w:rsidRPr="006A0482" w:rsidRDefault="0052359D" w:rsidP="006A0482">
            <w:pPr>
              <w:pStyle w:val="In-tableHeading"/>
              <w:keepNext w:val="0"/>
              <w:jc w:val="center"/>
            </w:pPr>
            <w:r w:rsidRPr="006A0482">
              <w:rPr>
                <w:lang w:val="en-AU"/>
              </w:rPr>
              <w:t>IA3</w:t>
            </w:r>
          </w:p>
        </w:tc>
        <w:tc>
          <w:tcPr>
            <w:tcW w:w="827" w:type="pct"/>
            <w:shd w:val="clear" w:color="auto" w:fill="auto"/>
            <w:vAlign w:val="center"/>
          </w:tcPr>
          <w:p w14:paraId="24045701" w14:textId="77777777" w:rsidR="0052359D" w:rsidRPr="006A0482" w:rsidRDefault="0052359D" w:rsidP="006A0482">
            <w:pPr>
              <w:pStyle w:val="In-tableHeading"/>
              <w:keepNext w:val="0"/>
              <w:jc w:val="center"/>
            </w:pPr>
            <w:r w:rsidRPr="006A0482">
              <w:rPr>
                <w:lang w:val="en-AU"/>
              </w:rPr>
              <w:t>IA4</w:t>
            </w:r>
          </w:p>
        </w:tc>
        <w:tc>
          <w:tcPr>
            <w:tcW w:w="794" w:type="pct"/>
          </w:tcPr>
          <w:p w14:paraId="558A748A" w14:textId="77777777" w:rsidR="0052359D" w:rsidRPr="006A0482" w:rsidRDefault="0052359D" w:rsidP="006A0482">
            <w:pPr>
              <w:pStyle w:val="In-tableHeading"/>
              <w:keepNext w:val="0"/>
              <w:jc w:val="center"/>
            </w:pPr>
            <w:r w:rsidRPr="006A0482">
              <w:rPr>
                <w:lang w:val="en-AU"/>
              </w:rPr>
              <w:t>IA5</w:t>
            </w:r>
          </w:p>
        </w:tc>
      </w:tr>
      <w:tr w:rsidR="0052359D" w:rsidRPr="00917284" w14:paraId="3B1459B8" w14:textId="77777777" w:rsidTr="0052359D">
        <w:tc>
          <w:tcPr>
            <w:tcW w:w="883" w:type="pct"/>
            <w:shd w:val="clear" w:color="auto" w:fill="D9D9D9" w:themeFill="background1" w:themeFillShade="D9"/>
            <w:vAlign w:val="center"/>
          </w:tcPr>
          <w:p w14:paraId="5E1C5D1E" w14:textId="52E83DBC" w:rsidR="0052359D" w:rsidRPr="006A0482" w:rsidRDefault="0052359D" w:rsidP="006A0482">
            <w:pPr>
              <w:pStyle w:val="In-tableHeading"/>
              <w:keepNext w:val="0"/>
              <w:jc w:val="center"/>
              <w:rPr>
                <w:b w:val="0"/>
              </w:rPr>
            </w:pPr>
            <w:r w:rsidRPr="006A0482">
              <w:rPr>
                <w:b w:val="0"/>
                <w:bCs/>
                <w:lang w:val="en-AU"/>
              </w:rPr>
              <w:t>Data cut</w:t>
            </w:r>
            <w:r w:rsidR="00F36D49">
              <w:rPr>
                <w:b w:val="0"/>
                <w:bCs/>
                <w:lang w:val="en-AU"/>
              </w:rPr>
              <w:t xml:space="preserve"> </w:t>
            </w:r>
            <w:r w:rsidRPr="006A0482">
              <w:rPr>
                <w:b w:val="0"/>
                <w:bCs/>
                <w:lang w:val="en-AU"/>
              </w:rPr>
              <w:t>off dates</w:t>
            </w:r>
          </w:p>
        </w:tc>
        <w:tc>
          <w:tcPr>
            <w:tcW w:w="826" w:type="pct"/>
            <w:shd w:val="clear" w:color="auto" w:fill="D9D9D9" w:themeFill="background1" w:themeFillShade="D9"/>
            <w:vAlign w:val="center"/>
          </w:tcPr>
          <w:p w14:paraId="012D3AFE" w14:textId="77777777" w:rsidR="0052359D" w:rsidRPr="006A0482" w:rsidRDefault="0052359D" w:rsidP="006A0482">
            <w:pPr>
              <w:pStyle w:val="In-tableHeading"/>
              <w:keepNext w:val="0"/>
              <w:jc w:val="center"/>
            </w:pPr>
            <w:r w:rsidRPr="006A0482">
              <w:rPr>
                <w:b w:val="0"/>
                <w:bCs/>
                <w:lang w:val="en-AU"/>
              </w:rPr>
              <w:t>1 June 2020</w:t>
            </w:r>
          </w:p>
        </w:tc>
        <w:tc>
          <w:tcPr>
            <w:tcW w:w="843" w:type="pct"/>
            <w:shd w:val="clear" w:color="auto" w:fill="D9D9D9" w:themeFill="background1" w:themeFillShade="D9"/>
            <w:vAlign w:val="center"/>
          </w:tcPr>
          <w:p w14:paraId="3F3CD5C0" w14:textId="77777777" w:rsidR="0052359D" w:rsidRPr="006A0482" w:rsidRDefault="0052359D" w:rsidP="006A0482">
            <w:pPr>
              <w:pStyle w:val="In-tableHeading"/>
              <w:keepNext w:val="0"/>
              <w:jc w:val="center"/>
            </w:pPr>
            <w:r w:rsidRPr="006A0482">
              <w:rPr>
                <w:b w:val="0"/>
                <w:bCs/>
                <w:lang w:val="en-AU"/>
              </w:rPr>
              <w:t>1 December 2020</w:t>
            </w:r>
          </w:p>
        </w:tc>
        <w:tc>
          <w:tcPr>
            <w:tcW w:w="827" w:type="pct"/>
            <w:shd w:val="clear" w:color="auto" w:fill="D9D9D9" w:themeFill="background1" w:themeFillShade="D9"/>
            <w:vAlign w:val="center"/>
          </w:tcPr>
          <w:p w14:paraId="1BE0F86D" w14:textId="77777777" w:rsidR="0052359D" w:rsidRPr="006A0482" w:rsidRDefault="0052359D" w:rsidP="006A0482">
            <w:pPr>
              <w:pStyle w:val="In-tableHeading"/>
              <w:keepNext w:val="0"/>
              <w:jc w:val="center"/>
            </w:pPr>
            <w:r w:rsidRPr="006A0482">
              <w:rPr>
                <w:b w:val="0"/>
                <w:bCs/>
                <w:lang w:val="en-AU"/>
              </w:rPr>
              <w:t>15 July 2021</w:t>
            </w:r>
          </w:p>
        </w:tc>
        <w:tc>
          <w:tcPr>
            <w:tcW w:w="827" w:type="pct"/>
            <w:shd w:val="clear" w:color="auto" w:fill="D9D9D9" w:themeFill="background1" w:themeFillShade="D9"/>
            <w:vAlign w:val="center"/>
          </w:tcPr>
          <w:p w14:paraId="20A72C17" w14:textId="77777777" w:rsidR="0052359D" w:rsidRPr="006A0482" w:rsidRDefault="0052359D" w:rsidP="006A0482">
            <w:pPr>
              <w:pStyle w:val="In-tableHeading"/>
              <w:keepNext w:val="0"/>
              <w:jc w:val="center"/>
            </w:pPr>
            <w:r w:rsidRPr="006A0482">
              <w:rPr>
                <w:b w:val="0"/>
                <w:bCs/>
                <w:lang w:val="en-AU"/>
              </w:rPr>
              <w:t>1 April 2022</w:t>
            </w:r>
          </w:p>
        </w:tc>
        <w:tc>
          <w:tcPr>
            <w:tcW w:w="794" w:type="pct"/>
            <w:shd w:val="clear" w:color="auto" w:fill="D9D9D9" w:themeFill="background1" w:themeFillShade="D9"/>
          </w:tcPr>
          <w:p w14:paraId="48533490" w14:textId="77777777" w:rsidR="0052359D" w:rsidRPr="006A0482" w:rsidRDefault="0052359D" w:rsidP="006A0482">
            <w:pPr>
              <w:pStyle w:val="In-tableHeading"/>
              <w:keepNext w:val="0"/>
              <w:jc w:val="center"/>
            </w:pPr>
            <w:r w:rsidRPr="006A0482">
              <w:rPr>
                <w:b w:val="0"/>
                <w:bCs/>
                <w:lang w:val="en-AU"/>
              </w:rPr>
              <w:t>1 April 2023</w:t>
            </w:r>
          </w:p>
        </w:tc>
      </w:tr>
      <w:tr w:rsidR="0052359D" w:rsidRPr="00917284" w14:paraId="67A42CD6" w14:textId="77777777" w:rsidTr="0052359D">
        <w:tc>
          <w:tcPr>
            <w:tcW w:w="883" w:type="pct"/>
            <w:vAlign w:val="center"/>
          </w:tcPr>
          <w:p w14:paraId="16C2C6C8" w14:textId="62B5A557" w:rsidR="0052359D" w:rsidRPr="006A0482" w:rsidRDefault="0052359D" w:rsidP="006A0482">
            <w:pPr>
              <w:pStyle w:val="In-tableHeading"/>
              <w:keepNext w:val="0"/>
              <w:jc w:val="center"/>
            </w:pPr>
            <w:r w:rsidRPr="006A0482">
              <w:rPr>
                <w:b w:val="0"/>
                <w:bCs/>
                <w:lang w:val="en-AU"/>
              </w:rPr>
              <w:t xml:space="preserve">Median </w:t>
            </w:r>
            <w:r w:rsidR="004B652E">
              <w:rPr>
                <w:b w:val="0"/>
                <w:bCs/>
                <w:lang w:val="en-AU"/>
              </w:rPr>
              <w:t>f</w:t>
            </w:r>
            <w:r w:rsidRPr="006A0482">
              <w:rPr>
                <w:b w:val="0"/>
                <w:bCs/>
                <w:lang w:val="en-AU"/>
              </w:rPr>
              <w:t xml:space="preserve">ollow-up </w:t>
            </w:r>
          </w:p>
        </w:tc>
        <w:tc>
          <w:tcPr>
            <w:tcW w:w="826" w:type="pct"/>
            <w:vAlign w:val="center"/>
          </w:tcPr>
          <w:p w14:paraId="49509F74" w14:textId="77777777" w:rsidR="0052359D" w:rsidRPr="006A0482" w:rsidRDefault="0052359D" w:rsidP="006A0482">
            <w:pPr>
              <w:pStyle w:val="In-tableHeading"/>
              <w:keepNext w:val="0"/>
              <w:jc w:val="center"/>
            </w:pPr>
            <w:r w:rsidRPr="006A0482">
              <w:rPr>
                <w:b w:val="0"/>
                <w:bCs/>
                <w:lang w:val="en-AU"/>
              </w:rPr>
              <w:t>15.8 months</w:t>
            </w:r>
          </w:p>
        </w:tc>
        <w:tc>
          <w:tcPr>
            <w:tcW w:w="843" w:type="pct"/>
            <w:vAlign w:val="center"/>
          </w:tcPr>
          <w:p w14:paraId="3501F2D8" w14:textId="77777777" w:rsidR="0052359D" w:rsidRPr="006A0482" w:rsidRDefault="0052359D" w:rsidP="006A0482">
            <w:pPr>
              <w:pStyle w:val="In-tableHeading"/>
              <w:keepNext w:val="0"/>
              <w:jc w:val="center"/>
            </w:pPr>
            <w:r w:rsidRPr="006A0482">
              <w:rPr>
                <w:b w:val="0"/>
                <w:bCs/>
                <w:lang w:val="en-AU"/>
              </w:rPr>
              <w:t>21.8 months</w:t>
            </w:r>
          </w:p>
        </w:tc>
        <w:tc>
          <w:tcPr>
            <w:tcW w:w="827" w:type="pct"/>
            <w:vAlign w:val="center"/>
          </w:tcPr>
          <w:p w14:paraId="26CE09CF" w14:textId="77777777" w:rsidR="0052359D" w:rsidRPr="006A0482" w:rsidRDefault="0052359D" w:rsidP="006A0482">
            <w:pPr>
              <w:pStyle w:val="In-tableHeading"/>
              <w:keepNext w:val="0"/>
              <w:jc w:val="center"/>
            </w:pPr>
            <w:r w:rsidRPr="006A0482">
              <w:rPr>
                <w:b w:val="0"/>
                <w:bCs/>
                <w:lang w:val="en-AU"/>
              </w:rPr>
              <w:t>29.3 months</w:t>
            </w:r>
          </w:p>
        </w:tc>
        <w:tc>
          <w:tcPr>
            <w:tcW w:w="827" w:type="pct"/>
            <w:vAlign w:val="center"/>
          </w:tcPr>
          <w:p w14:paraId="495B0CA9" w14:textId="77777777" w:rsidR="0052359D" w:rsidRPr="006A0482" w:rsidRDefault="0052359D" w:rsidP="006A0482">
            <w:pPr>
              <w:pStyle w:val="In-tableHeading"/>
              <w:keepNext w:val="0"/>
              <w:jc w:val="center"/>
            </w:pPr>
            <w:r w:rsidRPr="006A0482">
              <w:rPr>
                <w:b w:val="0"/>
                <w:bCs/>
                <w:lang w:val="en-AU"/>
              </w:rPr>
              <w:t>37.7 months</w:t>
            </w:r>
          </w:p>
        </w:tc>
        <w:tc>
          <w:tcPr>
            <w:tcW w:w="794" w:type="pct"/>
          </w:tcPr>
          <w:p w14:paraId="45018DA8" w14:textId="77777777" w:rsidR="0052359D" w:rsidRPr="006A0482" w:rsidRDefault="0052359D" w:rsidP="006A0482">
            <w:pPr>
              <w:pStyle w:val="In-tableHeading"/>
              <w:keepNext w:val="0"/>
              <w:jc w:val="center"/>
            </w:pPr>
            <w:r w:rsidRPr="006A0482">
              <w:rPr>
                <w:b w:val="0"/>
                <w:bCs/>
                <w:lang w:val="en-AU"/>
              </w:rPr>
              <w:t>49.7 months</w:t>
            </w:r>
          </w:p>
        </w:tc>
      </w:tr>
      <w:tr w:rsidR="0052359D" w:rsidRPr="00917284" w14:paraId="38CAE561" w14:textId="77777777" w:rsidTr="0052359D">
        <w:tc>
          <w:tcPr>
            <w:tcW w:w="883" w:type="pct"/>
            <w:vAlign w:val="center"/>
          </w:tcPr>
          <w:p w14:paraId="20590089" w14:textId="4B638A31" w:rsidR="0052359D" w:rsidRPr="006A0482" w:rsidRDefault="00F36D49" w:rsidP="006A0482">
            <w:pPr>
              <w:pStyle w:val="In-tableHeading"/>
              <w:keepNext w:val="0"/>
              <w:jc w:val="center"/>
            </w:pPr>
            <w:r>
              <w:rPr>
                <w:b w:val="0"/>
                <w:bCs/>
                <w:lang w:val="en-AU"/>
              </w:rPr>
              <w:t>Percentage of pa</w:t>
            </w:r>
            <w:r w:rsidR="0052359D" w:rsidRPr="006A0482">
              <w:rPr>
                <w:b w:val="0"/>
                <w:bCs/>
                <w:lang w:val="en-AU"/>
              </w:rPr>
              <w:t>t</w:t>
            </w:r>
            <w:r>
              <w:rPr>
                <w:b w:val="0"/>
                <w:bCs/>
                <w:lang w:val="en-AU"/>
              </w:rPr>
              <w:t>ient</w:t>
            </w:r>
            <w:r w:rsidR="0052359D" w:rsidRPr="006A0482">
              <w:rPr>
                <w:b w:val="0"/>
                <w:bCs/>
                <w:lang w:val="en-AU"/>
              </w:rPr>
              <w:t>s on treatment</w:t>
            </w:r>
          </w:p>
        </w:tc>
        <w:tc>
          <w:tcPr>
            <w:tcW w:w="826" w:type="pct"/>
            <w:vAlign w:val="center"/>
          </w:tcPr>
          <w:p w14:paraId="117645BD" w14:textId="77777777" w:rsidR="0052359D" w:rsidRPr="006A0482" w:rsidRDefault="0052359D" w:rsidP="006A0482">
            <w:pPr>
              <w:pStyle w:val="In-tableHeading"/>
              <w:keepNext w:val="0"/>
              <w:jc w:val="center"/>
            </w:pPr>
            <w:r w:rsidRPr="006A0482">
              <w:rPr>
                <w:b w:val="0"/>
                <w:bCs/>
                <w:lang w:val="en-AU"/>
              </w:rPr>
              <w:t>92%</w:t>
            </w:r>
          </w:p>
        </w:tc>
        <w:tc>
          <w:tcPr>
            <w:tcW w:w="843" w:type="pct"/>
            <w:vAlign w:val="center"/>
          </w:tcPr>
          <w:p w14:paraId="015E1F75" w14:textId="77777777" w:rsidR="0052359D" w:rsidRPr="006A0482" w:rsidRDefault="0052359D" w:rsidP="006A0482">
            <w:pPr>
              <w:pStyle w:val="In-tableHeading"/>
              <w:keepNext w:val="0"/>
              <w:jc w:val="center"/>
            </w:pPr>
            <w:r w:rsidRPr="006A0482">
              <w:rPr>
                <w:b w:val="0"/>
                <w:bCs/>
                <w:lang w:val="en-AU"/>
              </w:rPr>
              <w:t>89%</w:t>
            </w:r>
          </w:p>
        </w:tc>
        <w:tc>
          <w:tcPr>
            <w:tcW w:w="827" w:type="pct"/>
            <w:vAlign w:val="center"/>
          </w:tcPr>
          <w:p w14:paraId="12E97D09" w14:textId="77777777" w:rsidR="0052359D" w:rsidRPr="006A0482" w:rsidRDefault="0052359D" w:rsidP="006A0482">
            <w:pPr>
              <w:pStyle w:val="In-tableHeading"/>
              <w:keepNext w:val="0"/>
              <w:jc w:val="center"/>
            </w:pPr>
            <w:r w:rsidRPr="006A0482">
              <w:rPr>
                <w:b w:val="0"/>
                <w:bCs/>
                <w:lang w:val="en-AU"/>
              </w:rPr>
              <w:t>82%</w:t>
            </w:r>
          </w:p>
        </w:tc>
        <w:tc>
          <w:tcPr>
            <w:tcW w:w="827" w:type="pct"/>
            <w:vAlign w:val="center"/>
          </w:tcPr>
          <w:p w14:paraId="226E7839" w14:textId="77777777" w:rsidR="0052359D" w:rsidRPr="006A0482" w:rsidRDefault="0052359D" w:rsidP="006A0482">
            <w:pPr>
              <w:pStyle w:val="In-tableHeading"/>
              <w:keepNext w:val="0"/>
              <w:jc w:val="center"/>
            </w:pPr>
            <w:r w:rsidRPr="006A0482">
              <w:rPr>
                <w:b w:val="0"/>
                <w:bCs/>
                <w:lang w:val="en-AU"/>
              </w:rPr>
              <w:t>62%</w:t>
            </w:r>
          </w:p>
        </w:tc>
        <w:tc>
          <w:tcPr>
            <w:tcW w:w="794" w:type="pct"/>
            <w:vAlign w:val="center"/>
          </w:tcPr>
          <w:p w14:paraId="0306D94C" w14:textId="77777777" w:rsidR="0052359D" w:rsidRPr="006A0482" w:rsidRDefault="0052359D" w:rsidP="006A0482">
            <w:pPr>
              <w:pStyle w:val="In-tableHeading"/>
              <w:keepNext w:val="0"/>
              <w:jc w:val="center"/>
            </w:pPr>
            <w:r w:rsidRPr="006A0482">
              <w:rPr>
                <w:b w:val="0"/>
                <w:bCs/>
                <w:lang w:val="en-AU"/>
              </w:rPr>
              <w:t>59%</w:t>
            </w:r>
          </w:p>
        </w:tc>
      </w:tr>
      <w:tr w:rsidR="0052359D" w:rsidRPr="00917284" w14:paraId="62E75B49" w14:textId="77777777" w:rsidTr="0052359D">
        <w:tc>
          <w:tcPr>
            <w:tcW w:w="883" w:type="pct"/>
            <w:shd w:val="clear" w:color="auto" w:fill="D9D9D9" w:themeFill="background1" w:themeFillShade="D9"/>
            <w:vAlign w:val="center"/>
          </w:tcPr>
          <w:p w14:paraId="5ACE953D" w14:textId="24C8CC92" w:rsidR="0052359D" w:rsidRPr="006A0482" w:rsidRDefault="0052359D" w:rsidP="006A0482">
            <w:pPr>
              <w:pStyle w:val="In-tableHeading"/>
              <w:keepNext w:val="0"/>
              <w:jc w:val="center"/>
              <w:rPr>
                <w:b w:val="0"/>
              </w:rPr>
            </w:pPr>
            <w:r w:rsidRPr="006A0482">
              <w:rPr>
                <w:b w:val="0"/>
                <w:bCs/>
                <w:lang w:val="en-AU"/>
              </w:rPr>
              <w:t>ORR</w:t>
            </w:r>
            <w:r w:rsidR="00F36D49">
              <w:rPr>
                <w:b w:val="0"/>
                <w:bCs/>
                <w:lang w:val="en-AU"/>
              </w:rPr>
              <w:t xml:space="preserve"> % *</w:t>
            </w:r>
          </w:p>
        </w:tc>
        <w:tc>
          <w:tcPr>
            <w:tcW w:w="826" w:type="pct"/>
            <w:shd w:val="clear" w:color="auto" w:fill="D9D9D9" w:themeFill="background1" w:themeFillShade="D9"/>
            <w:vAlign w:val="center"/>
          </w:tcPr>
          <w:p w14:paraId="424039E6" w14:textId="77777777" w:rsidR="0052359D" w:rsidRPr="006A0482" w:rsidRDefault="0052359D" w:rsidP="006A0482">
            <w:pPr>
              <w:pStyle w:val="In-tableHeading"/>
              <w:keepNext w:val="0"/>
              <w:jc w:val="center"/>
              <w:rPr>
                <w:b w:val="0"/>
              </w:rPr>
            </w:pPr>
            <w:r w:rsidRPr="006A0482">
              <w:rPr>
                <w:b w:val="0"/>
                <w:bCs/>
                <w:lang w:val="en-AU"/>
              </w:rPr>
              <w:t>36%</w:t>
            </w:r>
          </w:p>
        </w:tc>
        <w:tc>
          <w:tcPr>
            <w:tcW w:w="843" w:type="pct"/>
            <w:shd w:val="clear" w:color="auto" w:fill="D9D9D9" w:themeFill="background1" w:themeFillShade="D9"/>
            <w:vAlign w:val="center"/>
          </w:tcPr>
          <w:p w14:paraId="34FA063F" w14:textId="77777777" w:rsidR="0052359D" w:rsidRPr="006A0482" w:rsidRDefault="0052359D" w:rsidP="006A0482">
            <w:pPr>
              <w:pStyle w:val="In-tableHeading"/>
              <w:keepNext w:val="0"/>
              <w:jc w:val="center"/>
              <w:rPr>
                <w:b w:val="0"/>
              </w:rPr>
            </w:pPr>
            <w:r w:rsidRPr="006A0482">
              <w:rPr>
                <w:b w:val="0"/>
                <w:bCs/>
                <w:lang w:val="en-AU"/>
              </w:rPr>
              <w:t>49%</w:t>
            </w:r>
          </w:p>
        </w:tc>
        <w:tc>
          <w:tcPr>
            <w:tcW w:w="827" w:type="pct"/>
            <w:shd w:val="clear" w:color="auto" w:fill="D9D9D9" w:themeFill="background1" w:themeFillShade="D9"/>
            <w:vAlign w:val="center"/>
          </w:tcPr>
          <w:p w14:paraId="76CE629E" w14:textId="77777777" w:rsidR="0052359D" w:rsidRPr="006A0482" w:rsidRDefault="0052359D" w:rsidP="006A0482">
            <w:pPr>
              <w:pStyle w:val="In-tableHeading"/>
              <w:keepNext w:val="0"/>
              <w:jc w:val="center"/>
              <w:rPr>
                <w:b w:val="0"/>
              </w:rPr>
            </w:pPr>
            <w:r w:rsidRPr="006A0482">
              <w:rPr>
                <w:b w:val="0"/>
                <w:bCs/>
                <w:lang w:val="en-AU"/>
              </w:rPr>
              <w:t>59%</w:t>
            </w:r>
          </w:p>
        </w:tc>
        <w:tc>
          <w:tcPr>
            <w:tcW w:w="827" w:type="pct"/>
            <w:shd w:val="clear" w:color="auto" w:fill="D9D9D9" w:themeFill="background1" w:themeFillShade="D9"/>
            <w:vAlign w:val="center"/>
          </w:tcPr>
          <w:p w14:paraId="66AA4F64" w14:textId="77777777" w:rsidR="0052359D" w:rsidRPr="006A0482" w:rsidRDefault="0052359D" w:rsidP="006A0482">
            <w:pPr>
              <w:pStyle w:val="In-tableHeading"/>
              <w:keepNext w:val="0"/>
              <w:jc w:val="center"/>
              <w:rPr>
                <w:b w:val="0"/>
              </w:rPr>
            </w:pPr>
            <w:r w:rsidRPr="006A0482">
              <w:rPr>
                <w:b w:val="0"/>
                <w:bCs/>
                <w:lang w:val="en-AU"/>
              </w:rPr>
              <w:t>64%</w:t>
            </w:r>
          </w:p>
        </w:tc>
        <w:tc>
          <w:tcPr>
            <w:tcW w:w="794" w:type="pct"/>
            <w:shd w:val="clear" w:color="auto" w:fill="D9D9D9" w:themeFill="background1" w:themeFillShade="D9"/>
            <w:vAlign w:val="center"/>
          </w:tcPr>
          <w:p w14:paraId="2EB4A33E" w14:textId="77777777" w:rsidR="0052359D" w:rsidRPr="006A0482" w:rsidRDefault="0052359D" w:rsidP="006A0482">
            <w:pPr>
              <w:pStyle w:val="In-tableHeading"/>
              <w:keepNext w:val="0"/>
              <w:jc w:val="center"/>
              <w:rPr>
                <w:b w:val="0"/>
              </w:rPr>
            </w:pPr>
            <w:r w:rsidRPr="006A0482">
              <w:rPr>
                <w:b w:val="0"/>
                <w:bCs/>
                <w:lang w:val="en-AU"/>
              </w:rPr>
              <w:t>67%</w:t>
            </w:r>
          </w:p>
        </w:tc>
      </w:tr>
    </w:tbl>
    <w:p w14:paraId="0B06F750" w14:textId="410E4B6B" w:rsidR="00CA1E4D" w:rsidRDefault="00CA1E4D" w:rsidP="00F36D49">
      <w:pPr>
        <w:pStyle w:val="TableFigureFooter"/>
        <w:ind w:left="164" w:hanging="164"/>
      </w:pPr>
      <w:r>
        <w:t xml:space="preserve">Source: pre-PBAC response </w:t>
      </w:r>
    </w:p>
    <w:p w14:paraId="0E5D80EF" w14:textId="0A26BC00" w:rsidR="00507E42" w:rsidRPr="00507E42" w:rsidRDefault="00F36D49" w:rsidP="006A0482">
      <w:pPr>
        <w:pStyle w:val="TableFigureFooter"/>
        <w:ind w:left="164" w:hanging="164"/>
      </w:pPr>
      <w:r>
        <w:t xml:space="preserve">* </w:t>
      </w:r>
      <w:r w:rsidRPr="00F36D49">
        <w:t>Objective response rate = C</w:t>
      </w:r>
      <w:r>
        <w:t xml:space="preserve">omplete </w:t>
      </w:r>
      <w:r w:rsidRPr="00F36D49">
        <w:t>R</w:t>
      </w:r>
      <w:r>
        <w:t>esponse</w:t>
      </w:r>
      <w:r w:rsidRPr="00F36D49">
        <w:t xml:space="preserve"> + P</w:t>
      </w:r>
      <w:r>
        <w:t xml:space="preserve">artial </w:t>
      </w:r>
      <w:r w:rsidRPr="00F36D49">
        <w:t>R</w:t>
      </w:r>
      <w:r>
        <w:t>esponse</w:t>
      </w:r>
    </w:p>
    <w:p w14:paraId="6E352DCE" w14:textId="115C298C" w:rsidR="0024083E" w:rsidRPr="0049394D" w:rsidRDefault="0024083E" w:rsidP="003C284D">
      <w:pPr>
        <w:pStyle w:val="3-BodyText"/>
        <w:keepNext/>
        <w:numPr>
          <w:ilvl w:val="0"/>
          <w:numId w:val="0"/>
        </w:numPr>
        <w:ind w:left="720" w:hanging="720"/>
        <w:rPr>
          <w:u w:val="single"/>
        </w:rPr>
      </w:pPr>
      <w:r w:rsidRPr="0049394D">
        <w:rPr>
          <w:u w:val="single"/>
        </w:rPr>
        <w:t>LS-004 and VHL-NHS (LS-004-aligned population) data, after matching</w:t>
      </w:r>
    </w:p>
    <w:p w14:paraId="092B272F" w14:textId="504DAE8F" w:rsidR="0024083E" w:rsidRPr="0049394D" w:rsidRDefault="0024083E" w:rsidP="0024083E">
      <w:pPr>
        <w:pStyle w:val="3-BodyText"/>
      </w:pPr>
      <w:r w:rsidRPr="0049394D">
        <w:t xml:space="preserve">To conduct the MAIC, comparing belzutifan plus surveillance versus surveillance alone, the submission identified a new LS-004-aligned population with RCC (N=260) in the VHL-NHS data, and two subgroup populations with a recorded history of CNS Hb (n=228) or pNET (n=94) prior to the patient-level index date. The submission then matched these three populations in the VHL-NHS data (RCC </w:t>
      </w:r>
      <w:r w:rsidRPr="0049394D">
        <w:rPr>
          <w:rFonts w:cstheme="minorHAnsi"/>
        </w:rPr>
        <w:t>±</w:t>
      </w:r>
      <w:r w:rsidRPr="0049394D">
        <w:t xml:space="preserve"> prior other manifestations, RCC + prior CNS Hb, RCC + prior pNETs) to the similar corresponding populations in LS-004 (RCC</w:t>
      </w:r>
      <w:r w:rsidR="00057881" w:rsidRPr="0049394D">
        <w:t xml:space="preserve"> </w:t>
      </w:r>
      <w:r w:rsidRPr="0049394D">
        <w:rPr>
          <w:rFonts w:cstheme="minorHAnsi"/>
        </w:rPr>
        <w:t>±</w:t>
      </w:r>
      <w:r w:rsidRPr="0049394D">
        <w:t xml:space="preserve"> other concurrent manifestations, RCC + concurrent CNS Hb, RCC + concurrent pNETs) in terms of key </w:t>
      </w:r>
      <w:r w:rsidRPr="001B0A7C">
        <w:t>population-level</w:t>
      </w:r>
      <w:r w:rsidRPr="0049394D">
        <w:t xml:space="preserve"> baseline characteristics, using an inverse propensity weighting method designed for use when individual patient data are not available for one or more studies (NICE 2016</w:t>
      </w:r>
      <w:r w:rsidRPr="0049394D">
        <w:rPr>
          <w:rStyle w:val="FootnoteReference"/>
        </w:rPr>
        <w:footnoteReference w:id="8"/>
      </w:r>
      <w:r w:rsidRPr="0049394D">
        <w:t>, Phillippo 2018</w:t>
      </w:r>
      <w:r w:rsidRPr="0049394D">
        <w:rPr>
          <w:rStyle w:val="FootnoteReference"/>
        </w:rPr>
        <w:footnoteReference w:id="9"/>
      </w:r>
      <w:r w:rsidRPr="0049394D">
        <w:t>).  The characteristics chosen for matching were age at patient-level index date, sex, number of prior surgeries in the specific organ-system (e.g.</w:t>
      </w:r>
      <w:r w:rsidR="009E12AA" w:rsidRPr="0049394D">
        <w:t>,</w:t>
      </w:r>
      <w:r w:rsidRPr="0049394D">
        <w:t xml:space="preserve"> RCC, CNS Hb or pNET, respectively) with therapeutic intent, and for the RCC population, size of the largest renal solid tumour at the patient-level index date.</w:t>
      </w:r>
    </w:p>
    <w:p w14:paraId="578AE68D" w14:textId="5AE052BE" w:rsidR="0024083E" w:rsidRPr="0049394D" w:rsidRDefault="0024083E" w:rsidP="0024083E">
      <w:pPr>
        <w:pStyle w:val="3-BodyText"/>
        <w:rPr>
          <w:rFonts w:eastAsia="Calibri"/>
        </w:rPr>
      </w:pPr>
      <w:r w:rsidRPr="0049394D">
        <w:t xml:space="preserve">The </w:t>
      </w:r>
      <w:r w:rsidR="00057881" w:rsidRPr="00BF3570">
        <w:rPr>
          <w:iCs/>
        </w:rPr>
        <w:t>ESC noted that the</w:t>
      </w:r>
      <w:r w:rsidR="00057881" w:rsidRPr="0049394D">
        <w:t xml:space="preserve"> </w:t>
      </w:r>
      <w:r w:rsidRPr="0049394D">
        <w:t>submission did not adequately justify key assumptions of the MAIC or present adequate results to understand their implications on the results:</w:t>
      </w:r>
    </w:p>
    <w:p w14:paraId="06BB9D12" w14:textId="0E4A6524" w:rsidR="0024083E" w:rsidRPr="0049394D" w:rsidRDefault="0024083E" w:rsidP="003E71CC">
      <w:pPr>
        <w:pStyle w:val="3-BodyText"/>
        <w:numPr>
          <w:ilvl w:val="0"/>
          <w:numId w:val="11"/>
        </w:numPr>
        <w:ind w:left="993" w:hanging="284"/>
        <w:rPr>
          <w:rFonts w:eastAsia="Calibri"/>
        </w:rPr>
      </w:pPr>
      <w:r w:rsidRPr="0049394D">
        <w:t xml:space="preserve">It was unclear why the new LS-004-aligned population in VHL-NHS </w:t>
      </w:r>
      <w:r w:rsidR="00F35BF0" w:rsidRPr="0049394D">
        <w:t xml:space="preserve">was </w:t>
      </w:r>
      <w:r w:rsidRPr="0049394D">
        <w:t xml:space="preserve">used for the MAIC (N=260) </w:t>
      </w:r>
      <w:r w:rsidR="001B2554" w:rsidRPr="0049394D">
        <w:t xml:space="preserve">and how it </w:t>
      </w:r>
      <w:r w:rsidRPr="0049394D">
        <w:t xml:space="preserve">differed from the LS-004-aligned population reported in the VHL-NHS </w:t>
      </w:r>
      <w:r w:rsidR="0042548A" w:rsidRPr="0049394D">
        <w:t>clinical study report (</w:t>
      </w:r>
      <w:r w:rsidRPr="0049394D">
        <w:t>CSR</w:t>
      </w:r>
      <w:r w:rsidR="0042548A" w:rsidRPr="0049394D">
        <w:t>)</w:t>
      </w:r>
      <w:r w:rsidRPr="0049394D">
        <w:t xml:space="preserve"> (N=247). The selection criteria appeared to be nearly identical, with the exception of the exclusion criteria related to metastases at baseline. Patients with ‘evidence of metastatic disease’ at the patient-level index date were excluded from the LS-004-aligned population in the </w:t>
      </w:r>
      <w:r w:rsidR="0092608C" w:rsidRPr="0049394D">
        <w:t>clinical study report (</w:t>
      </w:r>
      <w:r w:rsidRPr="0049394D">
        <w:t>CSR</w:t>
      </w:r>
      <w:r w:rsidR="0092608C" w:rsidRPr="0049394D">
        <w:t>)</w:t>
      </w:r>
      <w:r w:rsidRPr="0049394D">
        <w:t xml:space="preserve">, whereas patients with evidence of ‘VHL-associated </w:t>
      </w:r>
      <w:r w:rsidRPr="0049394D">
        <w:lastRenderedPageBreak/>
        <w:t>metastases’ at the patient-level index date were excluded from the LS-004-aligned population in the MAIC.</w:t>
      </w:r>
      <w:r w:rsidR="00964932" w:rsidRPr="0049394D">
        <w:t xml:space="preserve"> </w:t>
      </w:r>
      <w:r w:rsidR="0042548A" w:rsidRPr="00BF3570">
        <w:rPr>
          <w:iCs/>
        </w:rPr>
        <w:t xml:space="preserve">The </w:t>
      </w:r>
      <w:r w:rsidR="008C077D" w:rsidRPr="00BF3570">
        <w:rPr>
          <w:iCs/>
        </w:rPr>
        <w:t>PSCR clarified</w:t>
      </w:r>
      <w:r w:rsidR="008C28B6" w:rsidRPr="00BF3570">
        <w:rPr>
          <w:iCs/>
        </w:rPr>
        <w:t xml:space="preserve"> that both samples were selected using analogous LS-004 inclusion</w:t>
      </w:r>
      <w:r w:rsidR="00964932" w:rsidRPr="00BF3570">
        <w:rPr>
          <w:iCs/>
        </w:rPr>
        <w:t xml:space="preserve"> and </w:t>
      </w:r>
      <w:r w:rsidR="008C28B6" w:rsidRPr="00BF3570">
        <w:rPr>
          <w:iCs/>
        </w:rPr>
        <w:t xml:space="preserve">exclusion criteria and the difference in sample size </w:t>
      </w:r>
      <w:r w:rsidR="007D7695" w:rsidRPr="00BF3570">
        <w:rPr>
          <w:iCs/>
        </w:rPr>
        <w:t>was due</w:t>
      </w:r>
      <w:r w:rsidR="00901866" w:rsidRPr="00BF3570">
        <w:rPr>
          <w:iCs/>
        </w:rPr>
        <w:t xml:space="preserve"> to</w:t>
      </w:r>
      <w:r w:rsidR="008C28B6" w:rsidRPr="00BF3570">
        <w:rPr>
          <w:iCs/>
        </w:rPr>
        <w:t xml:space="preserve"> additional medical chart abstraction of metastasis data, which were </w:t>
      </w:r>
      <w:r w:rsidR="00964932" w:rsidRPr="00BF3570">
        <w:rPr>
          <w:iCs/>
        </w:rPr>
        <w:t xml:space="preserve">applied to the MAIC sample but was </w:t>
      </w:r>
      <w:r w:rsidR="008C28B6" w:rsidRPr="00BF3570">
        <w:rPr>
          <w:iCs/>
        </w:rPr>
        <w:t>not available at the time of the original analysis.</w:t>
      </w:r>
      <w:r w:rsidR="00601261" w:rsidRPr="00BF3570">
        <w:rPr>
          <w:iCs/>
        </w:rPr>
        <w:t xml:space="preserve"> However, the ESC considered that the PSCR did not adequately justify why this approach should differ, nor why analyses could not be conducted on the same set of patients across the clinical comparisons.</w:t>
      </w:r>
    </w:p>
    <w:p w14:paraId="668579F4" w14:textId="77777777" w:rsidR="0024083E" w:rsidRPr="0049394D" w:rsidRDefault="0024083E" w:rsidP="003E71CC">
      <w:pPr>
        <w:pStyle w:val="3-BodyText"/>
        <w:numPr>
          <w:ilvl w:val="0"/>
          <w:numId w:val="11"/>
        </w:numPr>
        <w:ind w:left="993" w:hanging="284"/>
        <w:rPr>
          <w:rFonts w:eastAsia="Calibri"/>
        </w:rPr>
      </w:pPr>
      <w:r w:rsidRPr="0049394D">
        <w:t xml:space="preserve">It was unclear why individual patient data from LS-004 was not available for matching to the individual patient data from VHL-NHS. The submission’s approach of matching on population-level data from LS-004 is likely to introduce additional uncertainty into the indirect comparison compared to matching on individual-level data. </w:t>
      </w:r>
    </w:p>
    <w:p w14:paraId="29A46B3F" w14:textId="2171A814" w:rsidR="0024083E" w:rsidRPr="0049394D" w:rsidRDefault="0024083E" w:rsidP="003E71CC">
      <w:pPr>
        <w:pStyle w:val="3-BodyText"/>
        <w:numPr>
          <w:ilvl w:val="0"/>
          <w:numId w:val="11"/>
        </w:numPr>
        <w:ind w:left="993" w:hanging="284"/>
        <w:rPr>
          <w:iCs/>
        </w:rPr>
      </w:pPr>
      <w:r w:rsidRPr="0049394D">
        <w:t>The methodology pertaining to variable selection and implementation was poorly described.</w:t>
      </w:r>
      <w:r w:rsidRPr="0049394D">
        <w:rPr>
          <w:rFonts w:eastAsia="Calibri"/>
        </w:rPr>
        <w:t xml:space="preserve"> </w:t>
      </w:r>
      <w:r w:rsidRPr="0049394D">
        <w:rPr>
          <w:iCs/>
        </w:rPr>
        <w:t>No sensitivity or robustness analyses appeared to have been conducted on the included confounders, such as removing or including additional characteristics, or altering the granularity on which continuous variables were matched. It was unclear whether the confounding variables were tested for correlations to other confounders.</w:t>
      </w:r>
      <w:r w:rsidR="00092C87" w:rsidRPr="0049394D">
        <w:rPr>
          <w:iCs/>
        </w:rPr>
        <w:t xml:space="preserve"> </w:t>
      </w:r>
    </w:p>
    <w:p w14:paraId="23B30F0E" w14:textId="22E29FDE" w:rsidR="0024083E" w:rsidRPr="0049394D" w:rsidRDefault="0024083E" w:rsidP="003E71CC">
      <w:pPr>
        <w:pStyle w:val="3-BodyText"/>
        <w:numPr>
          <w:ilvl w:val="0"/>
          <w:numId w:val="11"/>
        </w:numPr>
        <w:ind w:left="993" w:hanging="284"/>
        <w:rPr>
          <w:iCs/>
        </w:rPr>
      </w:pPr>
      <w:r w:rsidRPr="0049394D">
        <w:rPr>
          <w:iCs/>
        </w:rPr>
        <w:t>After matching, the effective sample sizes of the new LS-004-aligned populations in the VHL-NHS decreased considerably (by 65% for patients with RCC</w:t>
      </w:r>
      <w:r w:rsidRPr="0049394D">
        <w:t xml:space="preserve"> </w:t>
      </w:r>
      <w:r w:rsidRPr="0049394D">
        <w:rPr>
          <w:rFonts w:cstheme="minorHAnsi"/>
        </w:rPr>
        <w:t>±</w:t>
      </w:r>
      <w:r w:rsidRPr="0049394D">
        <w:t xml:space="preserve"> other concurrent manifestations, by 83% for patients with RCC + concurrent CNS Hb, by 36% for patients with RCC + concurrent pNETs), due to the disparity in the number of prior surgeries between the incident patients in the VHL-NHS and the prevalent patients in LS-004.</w:t>
      </w:r>
      <w:r w:rsidR="003830DD">
        <w:t xml:space="preserve"> </w:t>
      </w:r>
      <w:r w:rsidR="003830DD" w:rsidRPr="003830DD">
        <w:t xml:space="preserve">The </w:t>
      </w:r>
      <w:r w:rsidR="008C077D" w:rsidRPr="003830DD">
        <w:t>PSCR stated</w:t>
      </w:r>
      <w:r w:rsidR="003830DD" w:rsidRPr="003830DD">
        <w:t xml:space="preserve"> the sample size of VHL-NHS was sufficiently large to allow matching and accurate population alignment to LS-004. The PSCR argued the two patient populations were comparable, noting that the linear growth rates (LGRs) and number of prior RCC surgeries were similar prior to VHL-NHS enrolment and during the pre-treatment belzutifan period of LS-004.</w:t>
      </w:r>
    </w:p>
    <w:p w14:paraId="27554449" w14:textId="77777777" w:rsidR="0024083E" w:rsidRPr="0049394D" w:rsidRDefault="0024083E" w:rsidP="003E71CC">
      <w:pPr>
        <w:pStyle w:val="3-BodyText"/>
        <w:numPr>
          <w:ilvl w:val="0"/>
          <w:numId w:val="11"/>
        </w:numPr>
        <w:ind w:left="993" w:hanging="284"/>
        <w:rPr>
          <w:iCs/>
        </w:rPr>
      </w:pPr>
      <w:r w:rsidRPr="0049394D">
        <w:rPr>
          <w:iCs/>
        </w:rPr>
        <w:t>While the two populations matched in terms of population means for the selected variables, the submission did not present distributional comparisons of baseline characteristics for LS-004 or VHL-NHS unweighted or reweighted and therefore the true similarities of the reweighted characteristics cannot be verified.</w:t>
      </w:r>
    </w:p>
    <w:p w14:paraId="0D2960D7" w14:textId="321BA40D" w:rsidR="0024083E" w:rsidRPr="0049394D" w:rsidRDefault="0024083E" w:rsidP="0024083E">
      <w:pPr>
        <w:pStyle w:val="3-BodyText"/>
        <w:rPr>
          <w:rFonts w:eastAsia="Calibri"/>
        </w:rPr>
      </w:pPr>
      <w:r w:rsidRPr="0049394D">
        <w:rPr>
          <w:rFonts w:eastAsia="Calibri"/>
        </w:rPr>
        <w:fldChar w:fldCharType="begin" w:fldLock="1"/>
      </w:r>
      <w:r w:rsidRPr="0049394D">
        <w:rPr>
          <w:rFonts w:eastAsia="Calibri"/>
        </w:rPr>
        <w:instrText xml:space="preserve"> REF _Ref166486196 \h </w:instrText>
      </w:r>
      <w:r w:rsidRPr="0049394D">
        <w:rPr>
          <w:rFonts w:eastAsia="Calibri"/>
        </w:rPr>
      </w:r>
      <w:r w:rsidRPr="0049394D">
        <w:rPr>
          <w:rFonts w:eastAsia="Calibri"/>
        </w:rPr>
        <w:fldChar w:fldCharType="separate"/>
      </w:r>
      <w:r w:rsidR="00437B51" w:rsidRPr="0049394D">
        <w:t xml:space="preserve">Table </w:t>
      </w:r>
      <w:r w:rsidR="00437B51">
        <w:rPr>
          <w:noProof/>
        </w:rPr>
        <w:t>9</w:t>
      </w:r>
      <w:r w:rsidRPr="0049394D">
        <w:rPr>
          <w:rFonts w:eastAsia="Calibri"/>
        </w:rPr>
        <w:fldChar w:fldCharType="end"/>
      </w:r>
      <w:r w:rsidRPr="0049394D">
        <w:rPr>
          <w:rFonts w:eastAsia="Calibri"/>
        </w:rPr>
        <w:t xml:space="preserve"> presents the results of the MAIC for the RCC population, in terms of RCC surgery rate and non-RCC surgery rate. </w:t>
      </w:r>
      <w:r w:rsidRPr="0049394D">
        <w:t>Based on the absolute difference between event rates, patients in LS-004 had 85% reduction in renal surgeries and an 88% reduction in non-RCC VHL-related surgeries.</w:t>
      </w:r>
      <w:r w:rsidRPr="0049394D">
        <w:rPr>
          <w:rFonts w:eastAsia="Calibri"/>
        </w:rPr>
        <w:t xml:space="preserve"> </w:t>
      </w:r>
      <w:r w:rsidRPr="0049394D">
        <w:t xml:space="preserve">The submission did not present any comparative statistical measure or confidence intervals for the estimated parameters. Though not explicitly calculated, the ratio of the event rates of time to surgery (i.e. hazard ratio of 0.147) was applied throughout the cost-effectiveness analysis to increase time to additional RCC surgeries and time to metastatic disease. The </w:t>
      </w:r>
      <w:r w:rsidRPr="0049394D">
        <w:lastRenderedPageBreak/>
        <w:t>incidence rate of non-RCC surgeries was applied directly in the economic analysis to estimate the costs and disutilities associated with non-RCC surgeries.</w:t>
      </w:r>
    </w:p>
    <w:p w14:paraId="0774D40D" w14:textId="2D9495CE" w:rsidR="0024083E" w:rsidRPr="0049394D" w:rsidRDefault="0024083E" w:rsidP="0024083E">
      <w:pPr>
        <w:pStyle w:val="Caption"/>
        <w:jc w:val="left"/>
      </w:pPr>
      <w:bookmarkStart w:id="46" w:name="_Ref166486196"/>
      <w:r w:rsidRPr="0049394D">
        <w:t xml:space="preserve">Table </w:t>
      </w:r>
      <w:r>
        <w:fldChar w:fldCharType="begin" w:fldLock="1"/>
      </w:r>
      <w:r>
        <w:instrText xml:space="preserve"> SEQ Table \* ARABIC </w:instrText>
      </w:r>
      <w:r>
        <w:fldChar w:fldCharType="separate"/>
      </w:r>
      <w:r w:rsidR="00437B51">
        <w:rPr>
          <w:noProof/>
        </w:rPr>
        <w:t>9</w:t>
      </w:r>
      <w:r>
        <w:rPr>
          <w:noProof/>
        </w:rPr>
        <w:fldChar w:fldCharType="end"/>
      </w:r>
      <w:bookmarkEnd w:id="46"/>
      <w:r w:rsidRPr="0049394D">
        <w:t>: Results of the MAIC for the matched RCC population</w:t>
      </w:r>
    </w:p>
    <w:tbl>
      <w:tblPr>
        <w:tblStyle w:val="TableGrid"/>
        <w:tblW w:w="5000" w:type="pct"/>
        <w:tblCellMar>
          <w:left w:w="28" w:type="dxa"/>
          <w:right w:w="28" w:type="dxa"/>
        </w:tblCellMar>
        <w:tblLook w:val="04A0" w:firstRow="1" w:lastRow="0" w:firstColumn="1" w:lastColumn="0" w:noHBand="0" w:noVBand="1"/>
        <w:tblCaption w:val="Table 9: Results of the MAIC for the matched RCC population"/>
      </w:tblPr>
      <w:tblGrid>
        <w:gridCol w:w="4256"/>
        <w:gridCol w:w="2629"/>
        <w:gridCol w:w="2132"/>
      </w:tblGrid>
      <w:tr w:rsidR="0024083E" w:rsidRPr="0049394D" w14:paraId="2035CB41" w14:textId="77777777" w:rsidTr="00242CB1">
        <w:trPr>
          <w:trHeight w:val="230"/>
        </w:trPr>
        <w:tc>
          <w:tcPr>
            <w:tcW w:w="2360" w:type="pct"/>
            <w:vMerge w:val="restart"/>
          </w:tcPr>
          <w:p w14:paraId="27F7B630" w14:textId="77777777" w:rsidR="0024083E" w:rsidRPr="0049394D" w:rsidRDefault="0024083E" w:rsidP="00242CB1">
            <w:pPr>
              <w:pStyle w:val="In-tableHeading"/>
              <w:rPr>
                <w:lang w:val="en-AU"/>
              </w:rPr>
            </w:pPr>
            <w:r w:rsidRPr="0049394D">
              <w:rPr>
                <w:lang w:val="en-AU"/>
              </w:rPr>
              <w:t>Outcomes</w:t>
            </w:r>
          </w:p>
        </w:tc>
        <w:tc>
          <w:tcPr>
            <w:tcW w:w="1458" w:type="pct"/>
            <w:vMerge w:val="restart"/>
          </w:tcPr>
          <w:p w14:paraId="65152381" w14:textId="77777777" w:rsidR="0024083E" w:rsidRPr="0049394D" w:rsidRDefault="0024083E" w:rsidP="00242CB1">
            <w:pPr>
              <w:pStyle w:val="In-tableHeading"/>
              <w:jc w:val="center"/>
              <w:rPr>
                <w:lang w:val="en-AU"/>
              </w:rPr>
            </w:pPr>
            <w:r w:rsidRPr="0049394D">
              <w:rPr>
                <w:lang w:val="en-AU"/>
              </w:rPr>
              <w:t>VHL-NHS</w:t>
            </w:r>
          </w:p>
          <w:p w14:paraId="7700046B" w14:textId="77777777" w:rsidR="0024083E" w:rsidRPr="0049394D" w:rsidRDefault="0024083E" w:rsidP="00242CB1">
            <w:pPr>
              <w:pStyle w:val="In-tableHeading"/>
              <w:jc w:val="center"/>
              <w:rPr>
                <w:lang w:val="en-AU"/>
              </w:rPr>
            </w:pPr>
            <w:r w:rsidRPr="0049394D">
              <w:rPr>
                <w:lang w:val="en-AU"/>
              </w:rPr>
              <w:t>(AS)</w:t>
            </w:r>
          </w:p>
        </w:tc>
        <w:tc>
          <w:tcPr>
            <w:tcW w:w="1182" w:type="pct"/>
            <w:vMerge w:val="restart"/>
          </w:tcPr>
          <w:p w14:paraId="56B6870A" w14:textId="77777777" w:rsidR="0024083E" w:rsidRPr="0049394D" w:rsidRDefault="0024083E" w:rsidP="00242CB1">
            <w:pPr>
              <w:pStyle w:val="In-tableHeading"/>
              <w:jc w:val="center"/>
              <w:rPr>
                <w:lang w:val="en-AU"/>
              </w:rPr>
            </w:pPr>
            <w:r w:rsidRPr="0049394D">
              <w:rPr>
                <w:lang w:val="en-AU"/>
              </w:rPr>
              <w:t>LS-004</w:t>
            </w:r>
          </w:p>
          <w:p w14:paraId="33676260" w14:textId="77777777" w:rsidR="0024083E" w:rsidRPr="0049394D" w:rsidRDefault="0024083E" w:rsidP="00242CB1">
            <w:pPr>
              <w:pStyle w:val="In-tableHeading"/>
              <w:jc w:val="center"/>
              <w:rPr>
                <w:lang w:val="en-AU"/>
              </w:rPr>
            </w:pPr>
            <w:r w:rsidRPr="0049394D">
              <w:rPr>
                <w:lang w:val="en-AU"/>
              </w:rPr>
              <w:t>(BEL+AS)</w:t>
            </w:r>
          </w:p>
        </w:tc>
      </w:tr>
      <w:tr w:rsidR="0024083E" w:rsidRPr="0049394D" w14:paraId="79EB83A4" w14:textId="77777777" w:rsidTr="00242CB1">
        <w:trPr>
          <w:trHeight w:val="230"/>
        </w:trPr>
        <w:tc>
          <w:tcPr>
            <w:tcW w:w="2360" w:type="pct"/>
            <w:vMerge/>
          </w:tcPr>
          <w:p w14:paraId="4AC32FF0" w14:textId="77777777" w:rsidR="0024083E" w:rsidRPr="0049394D" w:rsidRDefault="0024083E" w:rsidP="00242CB1">
            <w:pPr>
              <w:pStyle w:val="In-tableHeading"/>
              <w:rPr>
                <w:lang w:val="en-AU"/>
              </w:rPr>
            </w:pPr>
          </w:p>
        </w:tc>
        <w:tc>
          <w:tcPr>
            <w:tcW w:w="1458" w:type="pct"/>
            <w:vMerge/>
          </w:tcPr>
          <w:p w14:paraId="3D12F449" w14:textId="77777777" w:rsidR="0024083E" w:rsidRPr="0049394D" w:rsidRDefault="0024083E" w:rsidP="00242CB1">
            <w:pPr>
              <w:pStyle w:val="In-tableHeading"/>
              <w:jc w:val="center"/>
              <w:rPr>
                <w:lang w:val="en-AU"/>
              </w:rPr>
            </w:pPr>
          </w:p>
        </w:tc>
        <w:tc>
          <w:tcPr>
            <w:tcW w:w="1182" w:type="pct"/>
            <w:vMerge/>
          </w:tcPr>
          <w:p w14:paraId="1B327627" w14:textId="77777777" w:rsidR="0024083E" w:rsidRPr="0049394D" w:rsidRDefault="0024083E" w:rsidP="00242CB1">
            <w:pPr>
              <w:pStyle w:val="In-tableHeading"/>
              <w:jc w:val="center"/>
              <w:rPr>
                <w:lang w:val="en-AU"/>
              </w:rPr>
            </w:pPr>
          </w:p>
        </w:tc>
      </w:tr>
      <w:tr w:rsidR="0024083E" w:rsidRPr="0049394D" w14:paraId="76F0EF7E" w14:textId="77777777" w:rsidTr="00242CB1">
        <w:tc>
          <w:tcPr>
            <w:tcW w:w="2360" w:type="pct"/>
            <w:vAlign w:val="center"/>
          </w:tcPr>
          <w:p w14:paraId="5B2623BC" w14:textId="77777777" w:rsidR="0024083E" w:rsidRPr="0049394D" w:rsidRDefault="0024083E" w:rsidP="00242CB1">
            <w:pPr>
              <w:pStyle w:val="TableText0"/>
              <w:rPr>
                <w:b/>
              </w:rPr>
            </w:pPr>
            <w:r w:rsidRPr="0049394D">
              <w:rPr>
                <w:b/>
              </w:rPr>
              <w:t>RCC outcomes</w:t>
            </w:r>
          </w:p>
        </w:tc>
        <w:tc>
          <w:tcPr>
            <w:tcW w:w="1458" w:type="pct"/>
          </w:tcPr>
          <w:p w14:paraId="6135D88F" w14:textId="77777777" w:rsidR="0024083E" w:rsidRPr="0049394D" w:rsidRDefault="0024083E" w:rsidP="00242CB1">
            <w:pPr>
              <w:pStyle w:val="In-tableHeading"/>
              <w:jc w:val="center"/>
              <w:rPr>
                <w:lang w:val="en-AU"/>
              </w:rPr>
            </w:pPr>
            <w:r w:rsidRPr="0049394D">
              <w:rPr>
                <w:lang w:val="en-AU"/>
              </w:rPr>
              <w:t>After matching</w:t>
            </w:r>
          </w:p>
          <w:p w14:paraId="69C1CA0D" w14:textId="77777777" w:rsidR="0024083E" w:rsidRPr="0049394D" w:rsidRDefault="0024083E" w:rsidP="00242CB1">
            <w:pPr>
              <w:pStyle w:val="In-tableHeading"/>
              <w:jc w:val="center"/>
              <w:rPr>
                <w:lang w:val="en-AU"/>
              </w:rPr>
            </w:pPr>
            <w:r w:rsidRPr="0049394D">
              <w:rPr>
                <w:lang w:val="en-AU"/>
              </w:rPr>
              <w:t>(Effective N=92.2)</w:t>
            </w:r>
          </w:p>
        </w:tc>
        <w:tc>
          <w:tcPr>
            <w:tcW w:w="1182" w:type="pct"/>
          </w:tcPr>
          <w:p w14:paraId="4A714856" w14:textId="77777777" w:rsidR="0024083E" w:rsidRPr="0049394D" w:rsidRDefault="0024083E" w:rsidP="00242CB1">
            <w:pPr>
              <w:pStyle w:val="In-tableHeading"/>
              <w:jc w:val="center"/>
              <w:rPr>
                <w:lang w:val="en-AU"/>
              </w:rPr>
            </w:pPr>
            <w:r w:rsidRPr="0049394D">
              <w:rPr>
                <w:lang w:val="en-AU"/>
              </w:rPr>
              <w:t>N=61</w:t>
            </w:r>
          </w:p>
        </w:tc>
      </w:tr>
      <w:tr w:rsidR="0024083E" w:rsidRPr="0049394D" w14:paraId="45FF6A3D" w14:textId="77777777" w:rsidTr="00242CB1">
        <w:tc>
          <w:tcPr>
            <w:tcW w:w="5000" w:type="pct"/>
            <w:gridSpan w:val="3"/>
          </w:tcPr>
          <w:p w14:paraId="1420B654" w14:textId="77777777" w:rsidR="0024083E" w:rsidRPr="0049394D" w:rsidRDefault="0024083E" w:rsidP="00242CB1">
            <w:pPr>
              <w:pStyle w:val="In-tableHeading"/>
              <w:rPr>
                <w:lang w:val="en-AU"/>
              </w:rPr>
            </w:pPr>
            <w:r w:rsidRPr="0049394D">
              <w:rPr>
                <w:lang w:val="en-AU"/>
              </w:rPr>
              <w:t>Exponential rate parameter for the cause-specific hazards of pre-surgery → 1st surgery</w:t>
            </w:r>
          </w:p>
        </w:tc>
      </w:tr>
      <w:tr w:rsidR="0024083E" w:rsidRPr="0049394D" w14:paraId="1E4B8402" w14:textId="77777777" w:rsidTr="00242CB1">
        <w:tc>
          <w:tcPr>
            <w:tcW w:w="2360" w:type="pct"/>
          </w:tcPr>
          <w:p w14:paraId="729B8910" w14:textId="77777777" w:rsidR="0024083E" w:rsidRPr="0049394D" w:rsidRDefault="0024083E" w:rsidP="00242CB1">
            <w:pPr>
              <w:pStyle w:val="TableText0"/>
            </w:pPr>
            <w:r w:rsidRPr="0049394D">
              <w:t>Rate (events/person-week)</w:t>
            </w:r>
          </w:p>
        </w:tc>
        <w:tc>
          <w:tcPr>
            <w:tcW w:w="1458" w:type="pct"/>
          </w:tcPr>
          <w:p w14:paraId="53E62206" w14:textId="77777777" w:rsidR="0024083E" w:rsidRPr="0049394D" w:rsidRDefault="0024083E" w:rsidP="00242CB1">
            <w:pPr>
              <w:pStyle w:val="TableText0"/>
              <w:jc w:val="center"/>
            </w:pPr>
            <w:r w:rsidRPr="0049394D">
              <w:t>0.00487</w:t>
            </w:r>
          </w:p>
        </w:tc>
        <w:tc>
          <w:tcPr>
            <w:tcW w:w="1182" w:type="pct"/>
          </w:tcPr>
          <w:p w14:paraId="3EB419B8" w14:textId="77777777" w:rsidR="0024083E" w:rsidRPr="0049394D" w:rsidRDefault="0024083E" w:rsidP="00242CB1">
            <w:pPr>
              <w:pStyle w:val="TableText0"/>
              <w:jc w:val="center"/>
            </w:pPr>
            <w:r w:rsidRPr="0049394D">
              <w:t>0.00071</w:t>
            </w:r>
          </w:p>
        </w:tc>
      </w:tr>
      <w:tr w:rsidR="0024083E" w:rsidRPr="0049394D" w14:paraId="0000AC03" w14:textId="77777777" w:rsidTr="00242CB1">
        <w:tc>
          <w:tcPr>
            <w:tcW w:w="2360" w:type="pct"/>
          </w:tcPr>
          <w:p w14:paraId="5214043C" w14:textId="77777777" w:rsidR="0024083E" w:rsidRPr="0049394D" w:rsidRDefault="0024083E" w:rsidP="00242CB1">
            <w:pPr>
              <w:pStyle w:val="TableText0"/>
            </w:pPr>
            <w:r w:rsidRPr="0049394D">
              <w:t>Standard error</w:t>
            </w:r>
          </w:p>
        </w:tc>
        <w:tc>
          <w:tcPr>
            <w:tcW w:w="1458" w:type="pct"/>
          </w:tcPr>
          <w:p w14:paraId="64F364E3" w14:textId="5939518D" w:rsidR="0024083E" w:rsidRPr="0049394D" w:rsidRDefault="0024083E" w:rsidP="00242CB1">
            <w:pPr>
              <w:pStyle w:val="TableText0"/>
              <w:jc w:val="center"/>
            </w:pPr>
            <w:r w:rsidRPr="0049394D">
              <w:t>0.00034</w:t>
            </w:r>
          </w:p>
        </w:tc>
        <w:tc>
          <w:tcPr>
            <w:tcW w:w="1182" w:type="pct"/>
          </w:tcPr>
          <w:p w14:paraId="6872324D" w14:textId="52B5BA1C" w:rsidR="0024083E" w:rsidRPr="0049394D" w:rsidRDefault="0024083E" w:rsidP="00242CB1">
            <w:pPr>
              <w:pStyle w:val="TableText0"/>
              <w:jc w:val="center"/>
            </w:pPr>
            <w:r w:rsidRPr="0049394D">
              <w:t>0.0003</w:t>
            </w:r>
          </w:p>
        </w:tc>
      </w:tr>
      <w:tr w:rsidR="0024083E" w:rsidRPr="0049394D" w14:paraId="35FF2720" w14:textId="77777777" w:rsidTr="00242CB1">
        <w:tc>
          <w:tcPr>
            <w:tcW w:w="5000" w:type="pct"/>
            <w:gridSpan w:val="3"/>
          </w:tcPr>
          <w:p w14:paraId="34D3A21E" w14:textId="372FF290" w:rsidR="0024083E" w:rsidRPr="0049394D" w:rsidRDefault="0024083E" w:rsidP="00242CB1">
            <w:pPr>
              <w:pStyle w:val="In-tableHeading"/>
              <w:rPr>
                <w:lang w:val="en-AU"/>
              </w:rPr>
            </w:pPr>
            <w:r w:rsidRPr="0049394D">
              <w:rPr>
                <w:lang w:val="en-AU"/>
              </w:rPr>
              <w:t>Incidence of non-RCC VHL-related surgeries with therapeutic intent (events/person-week)</w:t>
            </w:r>
          </w:p>
        </w:tc>
      </w:tr>
      <w:tr w:rsidR="0024083E" w:rsidRPr="0049394D" w14:paraId="2CAE0531" w14:textId="77777777" w:rsidTr="00242CB1">
        <w:tc>
          <w:tcPr>
            <w:tcW w:w="2360" w:type="pct"/>
          </w:tcPr>
          <w:p w14:paraId="188CD02B" w14:textId="77777777" w:rsidR="0024083E" w:rsidRPr="0049394D" w:rsidRDefault="0024083E" w:rsidP="00242CB1">
            <w:pPr>
              <w:pStyle w:val="TableText0"/>
            </w:pPr>
            <w:r w:rsidRPr="0049394D">
              <w:t>Number of VHL-related surgeries</w:t>
            </w:r>
          </w:p>
        </w:tc>
        <w:tc>
          <w:tcPr>
            <w:tcW w:w="1458" w:type="pct"/>
          </w:tcPr>
          <w:p w14:paraId="6D1AB76B" w14:textId="77777777" w:rsidR="0024083E" w:rsidRPr="0049394D" w:rsidRDefault="0024083E" w:rsidP="00242CB1">
            <w:pPr>
              <w:pStyle w:val="TableText0"/>
              <w:jc w:val="center"/>
            </w:pPr>
            <w:r w:rsidRPr="0049394D">
              <w:t>40.7</w:t>
            </w:r>
          </w:p>
        </w:tc>
        <w:tc>
          <w:tcPr>
            <w:tcW w:w="1182" w:type="pct"/>
          </w:tcPr>
          <w:p w14:paraId="34FB6DBF" w14:textId="77777777" w:rsidR="0024083E" w:rsidRPr="0049394D" w:rsidRDefault="0024083E" w:rsidP="00242CB1">
            <w:pPr>
              <w:pStyle w:val="TableText0"/>
              <w:jc w:val="center"/>
            </w:pPr>
            <w:r w:rsidRPr="0049394D">
              <w:t>4*</w:t>
            </w:r>
          </w:p>
        </w:tc>
      </w:tr>
      <w:tr w:rsidR="0024083E" w:rsidRPr="0049394D" w14:paraId="76B423D7" w14:textId="77777777" w:rsidTr="00242CB1">
        <w:tc>
          <w:tcPr>
            <w:tcW w:w="2360" w:type="pct"/>
          </w:tcPr>
          <w:p w14:paraId="2B09E33F" w14:textId="77777777" w:rsidR="0024083E" w:rsidRPr="0049394D" w:rsidRDefault="0024083E" w:rsidP="00242CB1">
            <w:pPr>
              <w:pStyle w:val="TableText0"/>
            </w:pPr>
            <w:r w:rsidRPr="0049394D">
              <w:t>Total person-weeks at risk</w:t>
            </w:r>
          </w:p>
        </w:tc>
        <w:tc>
          <w:tcPr>
            <w:tcW w:w="1458" w:type="pct"/>
          </w:tcPr>
          <w:p w14:paraId="355FB570" w14:textId="77777777" w:rsidR="0024083E" w:rsidRPr="0049394D" w:rsidRDefault="0024083E" w:rsidP="00242CB1">
            <w:pPr>
              <w:pStyle w:val="TableText0"/>
              <w:jc w:val="center"/>
            </w:pPr>
            <w:r w:rsidRPr="0049394D">
              <w:t>11,822.27</w:t>
            </w:r>
          </w:p>
        </w:tc>
        <w:tc>
          <w:tcPr>
            <w:tcW w:w="1182" w:type="pct"/>
          </w:tcPr>
          <w:p w14:paraId="33C06374" w14:textId="77777777" w:rsidR="0024083E" w:rsidRPr="0049394D" w:rsidRDefault="0024083E" w:rsidP="00242CB1">
            <w:pPr>
              <w:pStyle w:val="TableText0"/>
              <w:jc w:val="center"/>
            </w:pPr>
            <w:r w:rsidRPr="0049394D">
              <w:t>9,817.57</w:t>
            </w:r>
          </w:p>
        </w:tc>
      </w:tr>
      <w:tr w:rsidR="0024083E" w:rsidRPr="0049394D" w14:paraId="33EDDA06" w14:textId="77777777" w:rsidTr="00242CB1">
        <w:tc>
          <w:tcPr>
            <w:tcW w:w="2360" w:type="pct"/>
          </w:tcPr>
          <w:p w14:paraId="77CFF2FA" w14:textId="77777777" w:rsidR="0024083E" w:rsidRPr="0049394D" w:rsidRDefault="0024083E" w:rsidP="00242CB1">
            <w:pPr>
              <w:pStyle w:val="TableText0"/>
            </w:pPr>
            <w:r w:rsidRPr="0049394D">
              <w:t>Incidence rate (events/person-week)</w:t>
            </w:r>
          </w:p>
        </w:tc>
        <w:tc>
          <w:tcPr>
            <w:tcW w:w="1458" w:type="pct"/>
          </w:tcPr>
          <w:p w14:paraId="7FA95508" w14:textId="77777777" w:rsidR="0024083E" w:rsidRPr="0049394D" w:rsidRDefault="0024083E" w:rsidP="00242CB1">
            <w:pPr>
              <w:pStyle w:val="TableText0"/>
              <w:jc w:val="center"/>
            </w:pPr>
            <w:r w:rsidRPr="0049394D">
              <w:t>0.003442</w:t>
            </w:r>
          </w:p>
        </w:tc>
        <w:tc>
          <w:tcPr>
            <w:tcW w:w="1182" w:type="pct"/>
          </w:tcPr>
          <w:p w14:paraId="1E30099F" w14:textId="77777777" w:rsidR="0024083E" w:rsidRPr="0049394D" w:rsidRDefault="0024083E" w:rsidP="00242CB1">
            <w:pPr>
              <w:pStyle w:val="TableText0"/>
              <w:jc w:val="center"/>
            </w:pPr>
            <w:r w:rsidRPr="0049394D">
              <w:t>0.000407</w:t>
            </w:r>
          </w:p>
        </w:tc>
      </w:tr>
    </w:tbl>
    <w:p w14:paraId="00720DA8" w14:textId="58CF46DF" w:rsidR="0024083E" w:rsidRPr="0049394D" w:rsidRDefault="0024083E" w:rsidP="0024083E">
      <w:pPr>
        <w:pStyle w:val="TableFigureFooter"/>
      </w:pPr>
      <w:r w:rsidRPr="0049394D">
        <w:t>Source: Table 2.6-3, of the submission.</w:t>
      </w:r>
    </w:p>
    <w:p w14:paraId="3282861A" w14:textId="16167D83" w:rsidR="0024083E" w:rsidRPr="0049394D" w:rsidRDefault="000D128B" w:rsidP="0024083E">
      <w:pPr>
        <w:pStyle w:val="TableFigureFooter"/>
      </w:pPr>
      <w:r w:rsidRPr="0049394D">
        <w:t xml:space="preserve">AS = active surveillance; BEL = belzutifan; </w:t>
      </w:r>
      <w:r w:rsidR="0024083E" w:rsidRPr="0049394D">
        <w:t xml:space="preserve">LS-004 = Litespark-004; MAIC = matching-adjusted indirect comparison; </w:t>
      </w:r>
      <w:r w:rsidRPr="0049394D">
        <w:t xml:space="preserve">NHS = natural history study; </w:t>
      </w:r>
      <w:r w:rsidR="0024083E" w:rsidRPr="0049394D">
        <w:t xml:space="preserve">RCC = renal cell carcinoma; VHL = </w:t>
      </w:r>
      <w:r w:rsidR="000D0D6B" w:rsidRPr="0049394D">
        <w:t>von Hippel</w:t>
      </w:r>
      <w:r w:rsidR="0024083E" w:rsidRPr="0049394D">
        <w:t>-Lindau.</w:t>
      </w:r>
    </w:p>
    <w:p w14:paraId="545F6365" w14:textId="77777777" w:rsidR="0024083E" w:rsidRPr="0049394D" w:rsidRDefault="0024083E" w:rsidP="0024083E">
      <w:pPr>
        <w:pStyle w:val="TableFigureFooter"/>
      </w:pPr>
      <w:r w:rsidRPr="0049394D">
        <w:t xml:space="preserve">* non-RCC surgeries consisted of 2 CNS surgeries in the same patient and 2 retinal surgeries. No patients had pancreatic surgery. </w:t>
      </w:r>
    </w:p>
    <w:p w14:paraId="7474198A" w14:textId="7CF027D3" w:rsidR="0024083E" w:rsidRPr="0049394D" w:rsidRDefault="00AD19F9" w:rsidP="00F052DF">
      <w:pPr>
        <w:pStyle w:val="3-BodyText"/>
      </w:pPr>
      <w:r w:rsidRPr="0049394D">
        <w:rPr>
          <w:rFonts w:eastAsia="Calibri"/>
        </w:rPr>
        <w:t xml:space="preserve">The submission did not present any other results from the MAIC for the RCC population, or any results whatsoever for the other cohorts (e.g. CNS Hb or pNETs). </w:t>
      </w:r>
      <w:r w:rsidR="00022471" w:rsidRPr="0049394D">
        <w:t xml:space="preserve">The economic analysis </w:t>
      </w:r>
      <w:r w:rsidR="00F052DF" w:rsidRPr="0049394D">
        <w:t>cited</w:t>
      </w:r>
      <w:r w:rsidR="00B2769E" w:rsidRPr="0049394D">
        <w:t xml:space="preserve"> Kaplan-Meier</w:t>
      </w:r>
      <w:r w:rsidR="00F052DF" w:rsidRPr="0049394D">
        <w:t xml:space="preserve"> </w:t>
      </w:r>
      <w:r w:rsidR="00B2769E" w:rsidRPr="0049394D">
        <w:t>(</w:t>
      </w:r>
      <w:r w:rsidR="00BA671A" w:rsidRPr="0049394D">
        <w:t>KM</w:t>
      </w:r>
      <w:r w:rsidR="00B2769E" w:rsidRPr="0049394D">
        <w:t>)</w:t>
      </w:r>
      <w:r w:rsidR="00BA671A" w:rsidRPr="0049394D">
        <w:t xml:space="preserve"> data from </w:t>
      </w:r>
      <w:r w:rsidR="00F052DF" w:rsidRPr="0049394D">
        <w:t>the</w:t>
      </w:r>
      <w:r w:rsidR="00022471" w:rsidRPr="0049394D">
        <w:t xml:space="preserve"> MAIC </w:t>
      </w:r>
      <w:r w:rsidR="00F052DF" w:rsidRPr="0049394D">
        <w:t xml:space="preserve">- for the RCC, CNS Hb and pNET cohorts - as the key source of data to derive transition probabilities. </w:t>
      </w:r>
      <w:r w:rsidR="00BA671A" w:rsidRPr="0049394D">
        <w:t>T</w:t>
      </w:r>
      <w:r w:rsidR="00F052DF" w:rsidRPr="0049394D">
        <w:t xml:space="preserve">hese include </w:t>
      </w:r>
      <w:r w:rsidR="00022471" w:rsidRPr="0049394D">
        <w:t>transition</w:t>
      </w:r>
      <w:r w:rsidR="00F052DF" w:rsidRPr="0049394D">
        <w:t>s</w:t>
      </w:r>
      <w:r w:rsidR="00022471" w:rsidRPr="0049394D">
        <w:t xml:space="preserve"> from pre-surgery to surgery</w:t>
      </w:r>
      <w:r w:rsidR="00F052DF" w:rsidRPr="0049394D">
        <w:t xml:space="preserve">, </w:t>
      </w:r>
      <w:r w:rsidR="00022471" w:rsidRPr="0049394D">
        <w:t>transition</w:t>
      </w:r>
      <w:r w:rsidR="00F052DF" w:rsidRPr="0049394D">
        <w:t>s</w:t>
      </w:r>
      <w:r w:rsidR="00022471" w:rsidRPr="0049394D">
        <w:t xml:space="preserve"> from pre-surgery to metastatic disease</w:t>
      </w:r>
      <w:r w:rsidR="00F052DF" w:rsidRPr="0049394D">
        <w:t xml:space="preserve">, </w:t>
      </w:r>
      <w:r w:rsidR="00022471" w:rsidRPr="0049394D">
        <w:t>transition</w:t>
      </w:r>
      <w:r w:rsidR="00F052DF" w:rsidRPr="0049394D">
        <w:t>s</w:t>
      </w:r>
      <w:r w:rsidR="00022471" w:rsidRPr="0049394D">
        <w:t xml:space="preserve"> from pre-surgery to dead, </w:t>
      </w:r>
      <w:r w:rsidR="00F052DF" w:rsidRPr="0049394D">
        <w:t xml:space="preserve">and </w:t>
      </w:r>
      <w:r w:rsidR="00022471" w:rsidRPr="0049394D">
        <w:t>transition</w:t>
      </w:r>
      <w:r w:rsidR="00F052DF" w:rsidRPr="0049394D">
        <w:t>s</w:t>
      </w:r>
      <w:r w:rsidR="00022471" w:rsidRPr="0049394D">
        <w:t xml:space="preserve"> from post-surgery to subsequent surgery</w:t>
      </w:r>
      <w:r w:rsidR="00F052DF" w:rsidRPr="0049394D">
        <w:t xml:space="preserve">, and rates of </w:t>
      </w:r>
      <w:r w:rsidR="00022471" w:rsidRPr="0049394D">
        <w:t>non-RCC surgeries.</w:t>
      </w:r>
      <w:r w:rsidR="00F052DF" w:rsidRPr="0049394D">
        <w:t xml:space="preserve"> The submission inappropriately did not present </w:t>
      </w:r>
      <w:r w:rsidR="00BA671A" w:rsidRPr="0049394D">
        <w:t xml:space="preserve">the KM data from the MAIC for these outcomes </w:t>
      </w:r>
      <w:r w:rsidR="00F052DF" w:rsidRPr="0049394D">
        <w:t>in the comparative effectiveness or the economic analysis.</w:t>
      </w:r>
      <w:r w:rsidR="00F052DF" w:rsidRPr="00BF3570">
        <w:rPr>
          <w:iCs/>
        </w:rPr>
        <w:t xml:space="preserve"> </w:t>
      </w:r>
      <w:r w:rsidR="004831FD" w:rsidRPr="00BF3570">
        <w:rPr>
          <w:iCs/>
        </w:rPr>
        <w:t xml:space="preserve">The PSCR presented KM data from the VHL-NHS MAIC analysis (unweighted and reweighted) </w:t>
      </w:r>
      <w:r w:rsidR="0082385A" w:rsidRPr="00BF3570">
        <w:rPr>
          <w:iCs/>
        </w:rPr>
        <w:t>which is</w:t>
      </w:r>
      <w:r w:rsidR="00022471" w:rsidRPr="00BF3570" w:rsidDel="000A6F08">
        <w:rPr>
          <w:iCs/>
        </w:rPr>
        <w:t xml:space="preserve"> discussed further in </w:t>
      </w:r>
      <w:r w:rsidR="00BA671A" w:rsidRPr="00BF3570">
        <w:rPr>
          <w:iCs/>
        </w:rPr>
        <w:t>Economic analysis</w:t>
      </w:r>
      <w:r w:rsidR="00022471" w:rsidRPr="00BF3570" w:rsidDel="000A6F08">
        <w:rPr>
          <w:iCs/>
        </w:rPr>
        <w:t>.</w:t>
      </w:r>
      <w:r w:rsidR="004831FD" w:rsidRPr="0049394D">
        <w:t xml:space="preserve"> </w:t>
      </w:r>
    </w:p>
    <w:p w14:paraId="2504BBC5" w14:textId="77777777" w:rsidR="0024083E" w:rsidRPr="0049394D" w:rsidRDefault="0024083E" w:rsidP="0024083E">
      <w:pPr>
        <w:pStyle w:val="4-SubsectionHeading"/>
      </w:pPr>
      <w:bookmarkStart w:id="47" w:name="_Toc22897642"/>
      <w:bookmarkStart w:id="48" w:name="_Toc167277634"/>
      <w:r w:rsidRPr="0049394D">
        <w:t>Comparative harms</w:t>
      </w:r>
      <w:bookmarkEnd w:id="47"/>
      <w:bookmarkEnd w:id="48"/>
    </w:p>
    <w:p w14:paraId="41A43920" w14:textId="5C33BA7B" w:rsidR="0024083E" w:rsidRPr="0049394D" w:rsidRDefault="0024083E" w:rsidP="0024083E">
      <w:pPr>
        <w:pStyle w:val="3-BodyText"/>
      </w:pPr>
      <w:r w:rsidRPr="0049394D">
        <w:fldChar w:fldCharType="begin" w:fldLock="1"/>
      </w:r>
      <w:r w:rsidRPr="0049394D">
        <w:instrText xml:space="preserve"> REF _Ref166486241 \h </w:instrText>
      </w:r>
      <w:r w:rsidRPr="0049394D">
        <w:fldChar w:fldCharType="separate"/>
      </w:r>
      <w:r w:rsidR="00437B51" w:rsidRPr="0049394D">
        <w:t xml:space="preserve">Table </w:t>
      </w:r>
      <w:r w:rsidR="00437B51">
        <w:rPr>
          <w:noProof/>
        </w:rPr>
        <w:t>10</w:t>
      </w:r>
      <w:r w:rsidRPr="0049394D">
        <w:fldChar w:fldCharType="end"/>
      </w:r>
      <w:r w:rsidRPr="0049394D">
        <w:t xml:space="preserve"> summarises adverse events (AEs) reported in LS-004 interim analysis 4 (data cut off 1st April 2022). Adverse events occurring up to 30 days after the last dose of belzutifan were included in safety analyses.</w:t>
      </w:r>
    </w:p>
    <w:p w14:paraId="5430622E" w14:textId="56BD76BA" w:rsidR="0024083E" w:rsidRPr="0049394D" w:rsidRDefault="0024083E" w:rsidP="00465819">
      <w:pPr>
        <w:pStyle w:val="Caption"/>
        <w:jc w:val="left"/>
      </w:pPr>
      <w:bookmarkStart w:id="49" w:name="_Ref166486241"/>
      <w:r w:rsidRPr="0049394D">
        <w:lastRenderedPageBreak/>
        <w:t xml:space="preserve">Table </w:t>
      </w:r>
      <w:r>
        <w:fldChar w:fldCharType="begin" w:fldLock="1"/>
      </w:r>
      <w:r>
        <w:instrText xml:space="preserve"> SEQ Table \* ARABIC </w:instrText>
      </w:r>
      <w:r>
        <w:fldChar w:fldCharType="separate"/>
      </w:r>
      <w:r w:rsidR="00437B51">
        <w:rPr>
          <w:noProof/>
        </w:rPr>
        <w:t>10</w:t>
      </w:r>
      <w:r>
        <w:rPr>
          <w:noProof/>
        </w:rPr>
        <w:fldChar w:fldCharType="end"/>
      </w:r>
      <w:bookmarkEnd w:id="49"/>
      <w:r w:rsidRPr="0049394D">
        <w:t>: Adverse event overview for LS-004</w:t>
      </w:r>
      <w:r w:rsidRPr="0049394D">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Adverse event overview for LS-004a"/>
      </w:tblPr>
      <w:tblGrid>
        <w:gridCol w:w="3539"/>
        <w:gridCol w:w="2739"/>
        <w:gridCol w:w="2739"/>
      </w:tblGrid>
      <w:tr w:rsidR="0024083E" w:rsidRPr="0049394D" w14:paraId="2D4AB1DC" w14:textId="77777777" w:rsidTr="00242CB1">
        <w:trPr>
          <w:tblHeader/>
        </w:trPr>
        <w:tc>
          <w:tcPr>
            <w:tcW w:w="1962" w:type="pct"/>
            <w:tcBorders>
              <w:top w:val="single" w:sz="4" w:space="0" w:color="auto"/>
              <w:left w:val="single" w:sz="4" w:space="0" w:color="auto"/>
              <w:bottom w:val="single" w:sz="4" w:space="0" w:color="auto"/>
              <w:right w:val="single" w:sz="4" w:space="0" w:color="auto"/>
            </w:tcBorders>
            <w:vAlign w:val="center"/>
            <w:hideMark/>
          </w:tcPr>
          <w:p w14:paraId="5F336B95" w14:textId="77777777" w:rsidR="0024083E" w:rsidRPr="0049394D" w:rsidRDefault="0024083E" w:rsidP="00465819">
            <w:pPr>
              <w:pStyle w:val="In-tableHeading"/>
              <w:keepLines/>
              <w:spacing w:line="257" w:lineRule="auto"/>
              <w:rPr>
                <w:lang w:val="en-AU" w:eastAsia="en-US"/>
              </w:rPr>
            </w:pPr>
            <w:r w:rsidRPr="0049394D">
              <w:rPr>
                <w:lang w:val="en-AU" w:eastAsia="en-US"/>
              </w:rPr>
              <w:t>Event type</w:t>
            </w:r>
          </w:p>
        </w:tc>
        <w:tc>
          <w:tcPr>
            <w:tcW w:w="1519" w:type="pct"/>
            <w:tcBorders>
              <w:top w:val="single" w:sz="4" w:space="0" w:color="auto"/>
              <w:left w:val="single" w:sz="4" w:space="0" w:color="auto"/>
              <w:bottom w:val="single" w:sz="4" w:space="0" w:color="auto"/>
              <w:right w:val="single" w:sz="4" w:space="0" w:color="auto"/>
            </w:tcBorders>
            <w:vAlign w:val="center"/>
            <w:hideMark/>
          </w:tcPr>
          <w:p w14:paraId="52B30A0B" w14:textId="77777777" w:rsidR="0024083E" w:rsidRPr="0049394D" w:rsidRDefault="0024083E" w:rsidP="00465819">
            <w:pPr>
              <w:pStyle w:val="In-tableHeading"/>
              <w:keepLines/>
              <w:spacing w:line="257" w:lineRule="auto"/>
              <w:jc w:val="center"/>
              <w:rPr>
                <w:lang w:val="en-AU" w:eastAsia="en-US"/>
              </w:rPr>
            </w:pPr>
            <w:r w:rsidRPr="0049394D">
              <w:rPr>
                <w:lang w:val="en-AU" w:eastAsia="en-US"/>
              </w:rPr>
              <w:t>TEAE n (%)</w:t>
            </w:r>
          </w:p>
        </w:tc>
        <w:tc>
          <w:tcPr>
            <w:tcW w:w="1519" w:type="pct"/>
            <w:tcBorders>
              <w:top w:val="single" w:sz="4" w:space="0" w:color="auto"/>
              <w:left w:val="single" w:sz="4" w:space="0" w:color="auto"/>
              <w:bottom w:val="single" w:sz="4" w:space="0" w:color="auto"/>
              <w:right w:val="single" w:sz="4" w:space="0" w:color="auto"/>
            </w:tcBorders>
            <w:vAlign w:val="center"/>
            <w:hideMark/>
          </w:tcPr>
          <w:p w14:paraId="39953CCF" w14:textId="77777777" w:rsidR="0024083E" w:rsidRPr="0049394D" w:rsidRDefault="0024083E" w:rsidP="00465819">
            <w:pPr>
              <w:pStyle w:val="In-tableHeading"/>
              <w:keepLines/>
              <w:spacing w:line="257" w:lineRule="auto"/>
              <w:jc w:val="center"/>
              <w:rPr>
                <w:lang w:val="en-AU" w:eastAsia="en-US"/>
              </w:rPr>
            </w:pPr>
            <w:r w:rsidRPr="0049394D">
              <w:rPr>
                <w:lang w:val="en-AU" w:eastAsia="en-US"/>
              </w:rPr>
              <w:t>TRAE</w:t>
            </w:r>
            <w:r w:rsidRPr="0049394D">
              <w:rPr>
                <w:vertAlign w:val="superscript"/>
                <w:lang w:val="en-AU" w:eastAsia="en-US"/>
              </w:rPr>
              <w:t>b</w:t>
            </w:r>
            <w:r w:rsidRPr="0049394D">
              <w:rPr>
                <w:lang w:val="en-AU" w:eastAsia="en-US"/>
              </w:rPr>
              <w:t xml:space="preserve"> n (%)</w:t>
            </w:r>
          </w:p>
        </w:tc>
      </w:tr>
      <w:tr w:rsidR="0024083E" w:rsidRPr="0049394D" w14:paraId="56878670" w14:textId="77777777" w:rsidTr="00242CB1">
        <w:tc>
          <w:tcPr>
            <w:tcW w:w="1962" w:type="pct"/>
            <w:tcBorders>
              <w:top w:val="single" w:sz="4" w:space="0" w:color="auto"/>
              <w:left w:val="single" w:sz="4" w:space="0" w:color="auto"/>
              <w:bottom w:val="nil"/>
              <w:right w:val="single" w:sz="4" w:space="0" w:color="auto"/>
            </w:tcBorders>
            <w:vAlign w:val="center"/>
          </w:tcPr>
          <w:p w14:paraId="2596048A" w14:textId="77777777" w:rsidR="0024083E" w:rsidRPr="0049394D" w:rsidRDefault="0024083E" w:rsidP="00465819">
            <w:pPr>
              <w:pStyle w:val="TableText0"/>
              <w:keepLines/>
              <w:spacing w:line="257" w:lineRule="auto"/>
              <w:rPr>
                <w:lang w:eastAsia="en-US"/>
              </w:rPr>
            </w:pPr>
            <w:r w:rsidRPr="0049394D">
              <w:rPr>
                <w:lang w:eastAsia="en-US"/>
              </w:rPr>
              <w:t>Summary of AEs</w:t>
            </w:r>
          </w:p>
        </w:tc>
        <w:tc>
          <w:tcPr>
            <w:tcW w:w="1519" w:type="pct"/>
            <w:tcBorders>
              <w:top w:val="single" w:sz="4" w:space="0" w:color="auto"/>
              <w:left w:val="single" w:sz="4" w:space="0" w:color="auto"/>
              <w:bottom w:val="nil"/>
              <w:right w:val="single" w:sz="4" w:space="0" w:color="auto"/>
            </w:tcBorders>
            <w:vAlign w:val="center"/>
          </w:tcPr>
          <w:p w14:paraId="0738DDC8" w14:textId="77777777" w:rsidR="0024083E" w:rsidRPr="0049394D" w:rsidRDefault="0024083E" w:rsidP="00465819">
            <w:pPr>
              <w:pStyle w:val="TableText0"/>
              <w:keepLines/>
              <w:spacing w:line="257" w:lineRule="auto"/>
              <w:jc w:val="center"/>
              <w:rPr>
                <w:lang w:eastAsia="en-US"/>
              </w:rPr>
            </w:pPr>
          </w:p>
        </w:tc>
        <w:tc>
          <w:tcPr>
            <w:tcW w:w="1519" w:type="pct"/>
            <w:tcBorders>
              <w:top w:val="single" w:sz="4" w:space="0" w:color="auto"/>
              <w:left w:val="single" w:sz="4" w:space="0" w:color="auto"/>
              <w:bottom w:val="nil"/>
              <w:right w:val="single" w:sz="4" w:space="0" w:color="auto"/>
            </w:tcBorders>
            <w:vAlign w:val="center"/>
          </w:tcPr>
          <w:p w14:paraId="2BA0E540" w14:textId="77777777" w:rsidR="0024083E" w:rsidRPr="0049394D" w:rsidRDefault="0024083E" w:rsidP="00465819">
            <w:pPr>
              <w:pStyle w:val="TableText0"/>
              <w:keepLines/>
              <w:spacing w:line="257" w:lineRule="auto"/>
              <w:jc w:val="center"/>
              <w:rPr>
                <w:lang w:eastAsia="en-US"/>
              </w:rPr>
            </w:pPr>
          </w:p>
        </w:tc>
      </w:tr>
      <w:tr w:rsidR="0024083E" w:rsidRPr="0049394D" w14:paraId="3FD07551" w14:textId="77777777" w:rsidTr="00242CB1">
        <w:tc>
          <w:tcPr>
            <w:tcW w:w="1962" w:type="pct"/>
            <w:tcBorders>
              <w:top w:val="nil"/>
              <w:left w:val="single" w:sz="4" w:space="0" w:color="auto"/>
              <w:bottom w:val="nil"/>
              <w:right w:val="single" w:sz="4" w:space="0" w:color="auto"/>
            </w:tcBorders>
            <w:vAlign w:val="center"/>
            <w:hideMark/>
          </w:tcPr>
          <w:p w14:paraId="283D6DC0" w14:textId="77777777" w:rsidR="0024083E" w:rsidRPr="0049394D" w:rsidRDefault="0024083E" w:rsidP="00465819">
            <w:pPr>
              <w:pStyle w:val="TableText0"/>
              <w:keepLines/>
              <w:spacing w:line="257" w:lineRule="auto"/>
              <w:ind w:left="112"/>
              <w:rPr>
                <w:lang w:eastAsia="en-US"/>
              </w:rPr>
            </w:pPr>
            <w:r w:rsidRPr="0049394D">
              <w:rPr>
                <w:lang w:eastAsia="en-US"/>
              </w:rPr>
              <w:t>Any AE</w:t>
            </w:r>
          </w:p>
        </w:tc>
        <w:tc>
          <w:tcPr>
            <w:tcW w:w="1519" w:type="pct"/>
            <w:tcBorders>
              <w:top w:val="nil"/>
              <w:left w:val="single" w:sz="4" w:space="0" w:color="auto"/>
              <w:bottom w:val="nil"/>
              <w:right w:val="single" w:sz="4" w:space="0" w:color="auto"/>
            </w:tcBorders>
            <w:vAlign w:val="center"/>
            <w:hideMark/>
          </w:tcPr>
          <w:p w14:paraId="57A82A47" w14:textId="77777777" w:rsidR="0024083E" w:rsidRPr="0049394D" w:rsidRDefault="0024083E" w:rsidP="00465819">
            <w:pPr>
              <w:pStyle w:val="TableText0"/>
              <w:keepLines/>
              <w:spacing w:line="257" w:lineRule="auto"/>
              <w:jc w:val="center"/>
              <w:rPr>
                <w:lang w:eastAsia="en-US"/>
              </w:rPr>
            </w:pPr>
            <w:r w:rsidRPr="0049394D">
              <w:rPr>
                <w:lang w:eastAsia="en-US"/>
              </w:rPr>
              <w:t>61 (100.0)</w:t>
            </w:r>
          </w:p>
        </w:tc>
        <w:tc>
          <w:tcPr>
            <w:tcW w:w="1519" w:type="pct"/>
            <w:tcBorders>
              <w:top w:val="nil"/>
              <w:left w:val="single" w:sz="4" w:space="0" w:color="auto"/>
              <w:bottom w:val="nil"/>
              <w:right w:val="single" w:sz="4" w:space="0" w:color="auto"/>
            </w:tcBorders>
            <w:vAlign w:val="center"/>
            <w:hideMark/>
          </w:tcPr>
          <w:p w14:paraId="696AC33A" w14:textId="77777777" w:rsidR="0024083E" w:rsidRPr="0049394D" w:rsidRDefault="0024083E" w:rsidP="00465819">
            <w:pPr>
              <w:pStyle w:val="TableText0"/>
              <w:keepLines/>
              <w:spacing w:line="257" w:lineRule="auto"/>
              <w:jc w:val="center"/>
              <w:rPr>
                <w:lang w:eastAsia="en-US"/>
              </w:rPr>
            </w:pPr>
            <w:r w:rsidRPr="0049394D">
              <w:rPr>
                <w:lang w:eastAsia="en-US"/>
              </w:rPr>
              <w:t>61 (100.0)</w:t>
            </w:r>
          </w:p>
        </w:tc>
      </w:tr>
      <w:tr w:rsidR="0024083E" w:rsidRPr="0049394D" w14:paraId="4F32E191" w14:textId="77777777" w:rsidTr="00242CB1">
        <w:tc>
          <w:tcPr>
            <w:tcW w:w="1962" w:type="pct"/>
            <w:tcBorders>
              <w:top w:val="nil"/>
              <w:left w:val="single" w:sz="4" w:space="0" w:color="auto"/>
              <w:bottom w:val="nil"/>
              <w:right w:val="single" w:sz="4" w:space="0" w:color="auto"/>
            </w:tcBorders>
            <w:vAlign w:val="center"/>
            <w:hideMark/>
          </w:tcPr>
          <w:p w14:paraId="3B3177D2" w14:textId="77777777" w:rsidR="0024083E" w:rsidRPr="0049394D" w:rsidRDefault="0024083E" w:rsidP="00465819">
            <w:pPr>
              <w:pStyle w:val="TableText0"/>
              <w:keepLines/>
              <w:spacing w:line="257" w:lineRule="auto"/>
              <w:ind w:left="112"/>
              <w:rPr>
                <w:lang w:eastAsia="en-US"/>
              </w:rPr>
            </w:pPr>
            <w:r w:rsidRPr="0049394D">
              <w:rPr>
                <w:lang w:eastAsia="en-US"/>
              </w:rPr>
              <w:t>≥ Grade 3 AE</w:t>
            </w:r>
          </w:p>
        </w:tc>
        <w:tc>
          <w:tcPr>
            <w:tcW w:w="1519" w:type="pct"/>
            <w:tcBorders>
              <w:top w:val="nil"/>
              <w:left w:val="single" w:sz="4" w:space="0" w:color="auto"/>
              <w:bottom w:val="nil"/>
              <w:right w:val="single" w:sz="4" w:space="0" w:color="auto"/>
            </w:tcBorders>
            <w:vAlign w:val="center"/>
            <w:hideMark/>
          </w:tcPr>
          <w:p w14:paraId="73CE937F" w14:textId="77777777" w:rsidR="0024083E" w:rsidRPr="0049394D" w:rsidRDefault="0024083E" w:rsidP="00465819">
            <w:pPr>
              <w:pStyle w:val="TableText0"/>
              <w:keepLines/>
              <w:spacing w:line="257" w:lineRule="auto"/>
              <w:jc w:val="center"/>
              <w:rPr>
                <w:lang w:eastAsia="en-US"/>
              </w:rPr>
            </w:pPr>
            <w:r w:rsidRPr="0049394D">
              <w:rPr>
                <w:lang w:eastAsia="en-US"/>
              </w:rPr>
              <w:t>27 (44.3)</w:t>
            </w:r>
          </w:p>
        </w:tc>
        <w:tc>
          <w:tcPr>
            <w:tcW w:w="1519" w:type="pct"/>
            <w:tcBorders>
              <w:top w:val="nil"/>
              <w:left w:val="single" w:sz="4" w:space="0" w:color="auto"/>
              <w:bottom w:val="nil"/>
              <w:right w:val="single" w:sz="4" w:space="0" w:color="auto"/>
            </w:tcBorders>
            <w:vAlign w:val="center"/>
            <w:hideMark/>
          </w:tcPr>
          <w:p w14:paraId="56FD51AB" w14:textId="77777777" w:rsidR="0024083E" w:rsidRPr="0049394D" w:rsidRDefault="0024083E" w:rsidP="00465819">
            <w:pPr>
              <w:pStyle w:val="TableText0"/>
              <w:keepLines/>
              <w:spacing w:line="257" w:lineRule="auto"/>
              <w:jc w:val="center"/>
              <w:rPr>
                <w:lang w:eastAsia="en-US"/>
              </w:rPr>
            </w:pPr>
            <w:r w:rsidRPr="0049394D">
              <w:rPr>
                <w:lang w:eastAsia="en-US"/>
              </w:rPr>
              <w:t>11 (18.0)</w:t>
            </w:r>
          </w:p>
        </w:tc>
      </w:tr>
      <w:tr w:rsidR="0024083E" w:rsidRPr="0049394D" w14:paraId="505624D6" w14:textId="77777777" w:rsidTr="00242CB1">
        <w:tc>
          <w:tcPr>
            <w:tcW w:w="1962" w:type="pct"/>
            <w:tcBorders>
              <w:top w:val="nil"/>
              <w:left w:val="single" w:sz="4" w:space="0" w:color="auto"/>
              <w:bottom w:val="nil"/>
              <w:right w:val="single" w:sz="4" w:space="0" w:color="auto"/>
            </w:tcBorders>
            <w:vAlign w:val="center"/>
            <w:hideMark/>
          </w:tcPr>
          <w:p w14:paraId="6E044659" w14:textId="77777777" w:rsidR="0024083E" w:rsidRPr="0049394D" w:rsidRDefault="0024083E" w:rsidP="00465819">
            <w:pPr>
              <w:pStyle w:val="TableText0"/>
              <w:keepLines/>
              <w:spacing w:line="257" w:lineRule="auto"/>
              <w:ind w:left="112"/>
              <w:rPr>
                <w:lang w:eastAsia="en-US"/>
              </w:rPr>
            </w:pPr>
            <w:r w:rsidRPr="0049394D">
              <w:rPr>
                <w:lang w:eastAsia="en-US"/>
              </w:rPr>
              <w:t>SAE</w:t>
            </w:r>
          </w:p>
        </w:tc>
        <w:tc>
          <w:tcPr>
            <w:tcW w:w="1519" w:type="pct"/>
            <w:tcBorders>
              <w:top w:val="nil"/>
              <w:left w:val="single" w:sz="4" w:space="0" w:color="auto"/>
              <w:bottom w:val="nil"/>
              <w:right w:val="single" w:sz="4" w:space="0" w:color="auto"/>
            </w:tcBorders>
            <w:vAlign w:val="center"/>
            <w:hideMark/>
          </w:tcPr>
          <w:p w14:paraId="350BB9E5" w14:textId="77777777" w:rsidR="0024083E" w:rsidRPr="0049394D" w:rsidRDefault="0024083E" w:rsidP="00465819">
            <w:pPr>
              <w:pStyle w:val="TableText0"/>
              <w:keepLines/>
              <w:spacing w:line="257" w:lineRule="auto"/>
              <w:jc w:val="center"/>
              <w:rPr>
                <w:lang w:eastAsia="en-US"/>
              </w:rPr>
            </w:pPr>
            <w:r w:rsidRPr="0049394D">
              <w:rPr>
                <w:lang w:eastAsia="en-US"/>
              </w:rPr>
              <w:t>18 (29.5)</w:t>
            </w:r>
          </w:p>
        </w:tc>
        <w:tc>
          <w:tcPr>
            <w:tcW w:w="1519" w:type="pct"/>
            <w:tcBorders>
              <w:top w:val="nil"/>
              <w:left w:val="single" w:sz="4" w:space="0" w:color="auto"/>
              <w:bottom w:val="nil"/>
              <w:right w:val="single" w:sz="4" w:space="0" w:color="auto"/>
            </w:tcBorders>
            <w:vAlign w:val="center"/>
            <w:hideMark/>
          </w:tcPr>
          <w:p w14:paraId="1DE75FE2" w14:textId="77777777" w:rsidR="0024083E" w:rsidRPr="0049394D" w:rsidRDefault="0024083E" w:rsidP="00465819">
            <w:pPr>
              <w:pStyle w:val="TableText0"/>
              <w:keepLines/>
              <w:spacing w:line="257" w:lineRule="auto"/>
              <w:jc w:val="center"/>
              <w:rPr>
                <w:lang w:eastAsia="en-US"/>
              </w:rPr>
            </w:pPr>
            <w:r w:rsidRPr="0049394D">
              <w:rPr>
                <w:lang w:eastAsia="en-US"/>
              </w:rPr>
              <w:t>4 (6.6)</w:t>
            </w:r>
          </w:p>
        </w:tc>
      </w:tr>
      <w:tr w:rsidR="0024083E" w:rsidRPr="0049394D" w14:paraId="33B93699" w14:textId="77777777" w:rsidTr="00242CB1">
        <w:tc>
          <w:tcPr>
            <w:tcW w:w="1962" w:type="pct"/>
            <w:tcBorders>
              <w:top w:val="nil"/>
              <w:left w:val="single" w:sz="4" w:space="0" w:color="auto"/>
              <w:bottom w:val="nil"/>
              <w:right w:val="single" w:sz="4" w:space="0" w:color="auto"/>
            </w:tcBorders>
            <w:vAlign w:val="center"/>
            <w:hideMark/>
          </w:tcPr>
          <w:p w14:paraId="13D00760" w14:textId="77777777" w:rsidR="0024083E" w:rsidRPr="0049394D" w:rsidRDefault="0024083E" w:rsidP="00465819">
            <w:pPr>
              <w:pStyle w:val="TableText0"/>
              <w:keepLines/>
              <w:spacing w:line="257" w:lineRule="auto"/>
              <w:ind w:left="112"/>
              <w:rPr>
                <w:lang w:eastAsia="en-US"/>
              </w:rPr>
            </w:pPr>
            <w:r w:rsidRPr="0049394D">
              <w:rPr>
                <w:lang w:eastAsia="en-US"/>
              </w:rPr>
              <w:t>Deaths</w:t>
            </w:r>
          </w:p>
        </w:tc>
        <w:tc>
          <w:tcPr>
            <w:tcW w:w="1519" w:type="pct"/>
            <w:tcBorders>
              <w:top w:val="nil"/>
              <w:left w:val="single" w:sz="4" w:space="0" w:color="auto"/>
              <w:bottom w:val="nil"/>
              <w:right w:val="single" w:sz="4" w:space="0" w:color="auto"/>
            </w:tcBorders>
            <w:vAlign w:val="center"/>
            <w:hideMark/>
          </w:tcPr>
          <w:p w14:paraId="2EB7BB5A" w14:textId="77777777" w:rsidR="0024083E" w:rsidRPr="0049394D" w:rsidRDefault="0024083E" w:rsidP="00465819">
            <w:pPr>
              <w:pStyle w:val="TableText0"/>
              <w:keepLines/>
              <w:spacing w:line="257" w:lineRule="auto"/>
              <w:jc w:val="center"/>
              <w:rPr>
                <w:lang w:eastAsia="en-US"/>
              </w:rPr>
            </w:pPr>
            <w:r w:rsidRPr="0049394D">
              <w:rPr>
                <w:lang w:eastAsia="en-US"/>
              </w:rPr>
              <w:t>2 (3.3)</w:t>
            </w:r>
          </w:p>
        </w:tc>
        <w:tc>
          <w:tcPr>
            <w:tcW w:w="1519" w:type="pct"/>
            <w:tcBorders>
              <w:top w:val="nil"/>
              <w:left w:val="single" w:sz="4" w:space="0" w:color="auto"/>
              <w:bottom w:val="nil"/>
              <w:right w:val="single" w:sz="4" w:space="0" w:color="auto"/>
            </w:tcBorders>
            <w:vAlign w:val="center"/>
            <w:hideMark/>
          </w:tcPr>
          <w:p w14:paraId="599B3E7D" w14:textId="77777777" w:rsidR="0024083E" w:rsidRPr="0049394D" w:rsidRDefault="0024083E" w:rsidP="00465819">
            <w:pPr>
              <w:pStyle w:val="TableText0"/>
              <w:keepLines/>
              <w:spacing w:line="257" w:lineRule="auto"/>
              <w:jc w:val="center"/>
              <w:rPr>
                <w:lang w:eastAsia="en-US"/>
              </w:rPr>
            </w:pPr>
            <w:r w:rsidRPr="0049394D">
              <w:rPr>
                <w:lang w:eastAsia="en-US"/>
              </w:rPr>
              <w:t>0 (0.0)</w:t>
            </w:r>
          </w:p>
        </w:tc>
      </w:tr>
      <w:tr w:rsidR="0024083E" w:rsidRPr="0049394D" w14:paraId="4FBD5FA1" w14:textId="77777777" w:rsidTr="00242CB1">
        <w:tc>
          <w:tcPr>
            <w:tcW w:w="1962" w:type="pct"/>
            <w:tcBorders>
              <w:top w:val="nil"/>
              <w:left w:val="single" w:sz="4" w:space="0" w:color="auto"/>
              <w:bottom w:val="nil"/>
              <w:right w:val="single" w:sz="4" w:space="0" w:color="auto"/>
            </w:tcBorders>
            <w:vAlign w:val="center"/>
            <w:hideMark/>
          </w:tcPr>
          <w:p w14:paraId="637068B7" w14:textId="7A6B40AB" w:rsidR="0024083E" w:rsidRPr="0049394D" w:rsidRDefault="0024083E" w:rsidP="00465819">
            <w:pPr>
              <w:pStyle w:val="TableText0"/>
              <w:keepLines/>
              <w:spacing w:line="257" w:lineRule="auto"/>
              <w:ind w:left="112"/>
              <w:rPr>
                <w:lang w:eastAsia="en-US"/>
              </w:rPr>
            </w:pPr>
            <w:r w:rsidRPr="0049394D">
              <w:rPr>
                <w:lang w:eastAsia="en-US"/>
              </w:rPr>
              <w:t xml:space="preserve">Discontinued </w:t>
            </w:r>
            <w:r w:rsidR="000D0D6B" w:rsidRPr="0049394D">
              <w:rPr>
                <w:lang w:eastAsia="en-US"/>
              </w:rPr>
              <w:t>belzutifan</w:t>
            </w:r>
            <w:r w:rsidRPr="0049394D">
              <w:rPr>
                <w:lang w:eastAsia="en-US"/>
              </w:rPr>
              <w:t xml:space="preserve"> due to AE</w:t>
            </w:r>
          </w:p>
        </w:tc>
        <w:tc>
          <w:tcPr>
            <w:tcW w:w="1519" w:type="pct"/>
            <w:tcBorders>
              <w:top w:val="nil"/>
              <w:left w:val="single" w:sz="4" w:space="0" w:color="auto"/>
              <w:bottom w:val="nil"/>
              <w:right w:val="single" w:sz="4" w:space="0" w:color="auto"/>
            </w:tcBorders>
            <w:vAlign w:val="center"/>
            <w:hideMark/>
          </w:tcPr>
          <w:p w14:paraId="6A6E2C37" w14:textId="77777777" w:rsidR="0024083E" w:rsidRPr="0049394D" w:rsidRDefault="0024083E" w:rsidP="00465819">
            <w:pPr>
              <w:pStyle w:val="TableText0"/>
              <w:keepLines/>
              <w:spacing w:line="257" w:lineRule="auto"/>
              <w:jc w:val="center"/>
              <w:rPr>
                <w:lang w:eastAsia="en-US"/>
              </w:rPr>
            </w:pPr>
            <w:r w:rsidRPr="0049394D">
              <w:rPr>
                <w:lang w:eastAsia="en-US"/>
              </w:rPr>
              <w:t>4 (6.6)</w:t>
            </w:r>
          </w:p>
        </w:tc>
        <w:tc>
          <w:tcPr>
            <w:tcW w:w="1519" w:type="pct"/>
            <w:tcBorders>
              <w:top w:val="nil"/>
              <w:left w:val="single" w:sz="4" w:space="0" w:color="auto"/>
              <w:bottom w:val="nil"/>
              <w:right w:val="single" w:sz="4" w:space="0" w:color="auto"/>
            </w:tcBorders>
            <w:vAlign w:val="center"/>
            <w:hideMark/>
          </w:tcPr>
          <w:p w14:paraId="1FA31DDD" w14:textId="77777777" w:rsidR="0024083E" w:rsidRPr="0049394D" w:rsidRDefault="0024083E" w:rsidP="00465819">
            <w:pPr>
              <w:pStyle w:val="TableText0"/>
              <w:keepLines/>
              <w:spacing w:line="257" w:lineRule="auto"/>
              <w:jc w:val="center"/>
              <w:rPr>
                <w:lang w:eastAsia="en-US"/>
              </w:rPr>
            </w:pPr>
            <w:r w:rsidRPr="0049394D">
              <w:rPr>
                <w:lang w:eastAsia="en-US"/>
              </w:rPr>
              <w:t>2 (3.3)</w:t>
            </w:r>
          </w:p>
        </w:tc>
      </w:tr>
      <w:tr w:rsidR="0024083E" w:rsidRPr="0049394D" w14:paraId="1A268BE2" w14:textId="77777777" w:rsidTr="00242CB1">
        <w:tc>
          <w:tcPr>
            <w:tcW w:w="1962" w:type="pct"/>
            <w:tcBorders>
              <w:top w:val="nil"/>
              <w:left w:val="single" w:sz="4" w:space="0" w:color="auto"/>
              <w:bottom w:val="nil"/>
              <w:right w:val="single" w:sz="4" w:space="0" w:color="auto"/>
            </w:tcBorders>
            <w:vAlign w:val="center"/>
            <w:hideMark/>
          </w:tcPr>
          <w:p w14:paraId="2F0A941B" w14:textId="77777777" w:rsidR="0024083E" w:rsidRPr="0049394D" w:rsidRDefault="0024083E" w:rsidP="00465819">
            <w:pPr>
              <w:pStyle w:val="TableText0"/>
              <w:keepLines/>
              <w:spacing w:line="257" w:lineRule="auto"/>
              <w:ind w:left="112"/>
              <w:rPr>
                <w:lang w:eastAsia="en-US"/>
              </w:rPr>
            </w:pPr>
            <w:r w:rsidRPr="0049394D">
              <w:rPr>
                <w:lang w:eastAsia="en-US"/>
              </w:rPr>
              <w:t>Discontinued belzutifan due to SAE</w:t>
            </w:r>
          </w:p>
        </w:tc>
        <w:tc>
          <w:tcPr>
            <w:tcW w:w="1519" w:type="pct"/>
            <w:tcBorders>
              <w:top w:val="nil"/>
              <w:left w:val="single" w:sz="4" w:space="0" w:color="auto"/>
              <w:bottom w:val="nil"/>
              <w:right w:val="single" w:sz="4" w:space="0" w:color="auto"/>
            </w:tcBorders>
            <w:vAlign w:val="center"/>
            <w:hideMark/>
          </w:tcPr>
          <w:p w14:paraId="43E0A9DF" w14:textId="77777777" w:rsidR="0024083E" w:rsidRPr="0049394D" w:rsidRDefault="0024083E" w:rsidP="00465819">
            <w:pPr>
              <w:pStyle w:val="TableText0"/>
              <w:keepLines/>
              <w:spacing w:line="257" w:lineRule="auto"/>
              <w:jc w:val="center"/>
              <w:rPr>
                <w:lang w:eastAsia="en-US"/>
              </w:rPr>
            </w:pPr>
            <w:r w:rsidRPr="0049394D">
              <w:rPr>
                <w:lang w:eastAsia="en-US"/>
              </w:rPr>
              <w:t>3 (4.9)</w:t>
            </w:r>
          </w:p>
        </w:tc>
        <w:tc>
          <w:tcPr>
            <w:tcW w:w="1519" w:type="pct"/>
            <w:tcBorders>
              <w:top w:val="nil"/>
              <w:left w:val="single" w:sz="4" w:space="0" w:color="auto"/>
              <w:bottom w:val="nil"/>
              <w:right w:val="single" w:sz="4" w:space="0" w:color="auto"/>
            </w:tcBorders>
            <w:vAlign w:val="center"/>
            <w:hideMark/>
          </w:tcPr>
          <w:p w14:paraId="1CE1B697" w14:textId="77777777" w:rsidR="0024083E" w:rsidRPr="0049394D" w:rsidRDefault="0024083E" w:rsidP="00465819">
            <w:pPr>
              <w:pStyle w:val="TableText0"/>
              <w:keepLines/>
              <w:spacing w:line="257" w:lineRule="auto"/>
              <w:jc w:val="center"/>
              <w:rPr>
                <w:lang w:eastAsia="en-US"/>
              </w:rPr>
            </w:pPr>
            <w:r w:rsidRPr="0049394D">
              <w:rPr>
                <w:lang w:eastAsia="en-US"/>
              </w:rPr>
              <w:t>1 (1.6)</w:t>
            </w:r>
          </w:p>
        </w:tc>
      </w:tr>
      <w:tr w:rsidR="0024083E" w:rsidRPr="0049394D" w14:paraId="3316B9EC" w14:textId="77777777" w:rsidTr="00242CB1">
        <w:tc>
          <w:tcPr>
            <w:tcW w:w="1962" w:type="pct"/>
            <w:tcBorders>
              <w:top w:val="nil"/>
              <w:left w:val="single" w:sz="4" w:space="0" w:color="auto"/>
              <w:bottom w:val="nil"/>
              <w:right w:val="single" w:sz="4" w:space="0" w:color="auto"/>
            </w:tcBorders>
            <w:vAlign w:val="center"/>
            <w:hideMark/>
          </w:tcPr>
          <w:p w14:paraId="53D12C73" w14:textId="77777777" w:rsidR="0024083E" w:rsidRPr="0049394D" w:rsidRDefault="0024083E" w:rsidP="00465819">
            <w:pPr>
              <w:pStyle w:val="TableText0"/>
              <w:keepLines/>
              <w:spacing w:line="257" w:lineRule="auto"/>
              <w:ind w:left="112"/>
              <w:rPr>
                <w:lang w:eastAsia="en-US"/>
              </w:rPr>
            </w:pPr>
            <w:r w:rsidRPr="0049394D">
              <w:rPr>
                <w:lang w:eastAsia="en-US"/>
              </w:rPr>
              <w:t>Dose reduction due to AE</w:t>
            </w:r>
          </w:p>
        </w:tc>
        <w:tc>
          <w:tcPr>
            <w:tcW w:w="1519" w:type="pct"/>
            <w:tcBorders>
              <w:top w:val="nil"/>
              <w:left w:val="single" w:sz="4" w:space="0" w:color="auto"/>
              <w:bottom w:val="nil"/>
              <w:right w:val="single" w:sz="4" w:space="0" w:color="auto"/>
            </w:tcBorders>
            <w:vAlign w:val="center"/>
            <w:hideMark/>
          </w:tcPr>
          <w:p w14:paraId="1AA31F55" w14:textId="77777777" w:rsidR="0024083E" w:rsidRPr="0049394D" w:rsidRDefault="0024083E" w:rsidP="00465819">
            <w:pPr>
              <w:pStyle w:val="TableText0"/>
              <w:keepLines/>
              <w:spacing w:line="257" w:lineRule="auto"/>
              <w:jc w:val="center"/>
              <w:rPr>
                <w:lang w:eastAsia="en-US"/>
              </w:rPr>
            </w:pPr>
            <w:r w:rsidRPr="0049394D">
              <w:rPr>
                <w:lang w:eastAsia="en-US"/>
              </w:rPr>
              <w:t>10 (16.4)</w:t>
            </w:r>
          </w:p>
        </w:tc>
        <w:tc>
          <w:tcPr>
            <w:tcW w:w="1519" w:type="pct"/>
            <w:tcBorders>
              <w:top w:val="nil"/>
              <w:left w:val="single" w:sz="4" w:space="0" w:color="auto"/>
              <w:bottom w:val="nil"/>
              <w:right w:val="single" w:sz="4" w:space="0" w:color="auto"/>
            </w:tcBorders>
            <w:vAlign w:val="center"/>
            <w:hideMark/>
          </w:tcPr>
          <w:p w14:paraId="7EF5B466" w14:textId="77777777" w:rsidR="0024083E" w:rsidRPr="0049394D" w:rsidRDefault="0024083E" w:rsidP="00465819">
            <w:pPr>
              <w:pStyle w:val="TableText0"/>
              <w:keepLines/>
              <w:spacing w:line="257" w:lineRule="auto"/>
              <w:jc w:val="center"/>
              <w:rPr>
                <w:lang w:eastAsia="en-US"/>
              </w:rPr>
            </w:pPr>
            <w:r w:rsidRPr="0049394D">
              <w:rPr>
                <w:lang w:eastAsia="en-US"/>
              </w:rPr>
              <w:t>8 (13.1)</w:t>
            </w:r>
          </w:p>
        </w:tc>
      </w:tr>
      <w:tr w:rsidR="0024083E" w:rsidRPr="0049394D" w14:paraId="4EFB7CF1" w14:textId="77777777" w:rsidTr="00242CB1">
        <w:tc>
          <w:tcPr>
            <w:tcW w:w="1962" w:type="pct"/>
            <w:tcBorders>
              <w:top w:val="nil"/>
              <w:left w:val="single" w:sz="4" w:space="0" w:color="auto"/>
              <w:bottom w:val="single" w:sz="4" w:space="0" w:color="auto"/>
              <w:right w:val="single" w:sz="4" w:space="0" w:color="auto"/>
            </w:tcBorders>
            <w:vAlign w:val="center"/>
            <w:hideMark/>
          </w:tcPr>
          <w:p w14:paraId="09E758CC" w14:textId="77777777" w:rsidR="0024083E" w:rsidRPr="0049394D" w:rsidRDefault="0024083E" w:rsidP="00465819">
            <w:pPr>
              <w:pStyle w:val="TableText0"/>
              <w:keepLines/>
              <w:spacing w:line="257" w:lineRule="auto"/>
              <w:ind w:left="112"/>
              <w:rPr>
                <w:lang w:eastAsia="en-US"/>
              </w:rPr>
            </w:pPr>
            <w:r w:rsidRPr="0049394D">
              <w:rPr>
                <w:lang w:eastAsia="en-US"/>
              </w:rPr>
              <w:t>Dose interrupted due to AE</w:t>
            </w:r>
          </w:p>
        </w:tc>
        <w:tc>
          <w:tcPr>
            <w:tcW w:w="1519" w:type="pct"/>
            <w:tcBorders>
              <w:top w:val="nil"/>
              <w:left w:val="single" w:sz="4" w:space="0" w:color="auto"/>
              <w:bottom w:val="single" w:sz="4" w:space="0" w:color="auto"/>
              <w:right w:val="single" w:sz="4" w:space="0" w:color="auto"/>
            </w:tcBorders>
            <w:vAlign w:val="center"/>
            <w:hideMark/>
          </w:tcPr>
          <w:p w14:paraId="0B463738" w14:textId="77777777" w:rsidR="0024083E" w:rsidRPr="0049394D" w:rsidRDefault="0024083E" w:rsidP="00465819">
            <w:pPr>
              <w:pStyle w:val="TableText0"/>
              <w:keepLines/>
              <w:spacing w:line="257" w:lineRule="auto"/>
              <w:jc w:val="center"/>
              <w:rPr>
                <w:lang w:eastAsia="en-US"/>
              </w:rPr>
            </w:pPr>
            <w:r w:rsidRPr="0049394D">
              <w:rPr>
                <w:lang w:eastAsia="en-US"/>
              </w:rPr>
              <w:t>26 (42.6)</w:t>
            </w:r>
          </w:p>
        </w:tc>
        <w:tc>
          <w:tcPr>
            <w:tcW w:w="1519" w:type="pct"/>
            <w:tcBorders>
              <w:top w:val="nil"/>
              <w:left w:val="single" w:sz="4" w:space="0" w:color="auto"/>
              <w:bottom w:val="single" w:sz="4" w:space="0" w:color="auto"/>
              <w:right w:val="single" w:sz="4" w:space="0" w:color="auto"/>
            </w:tcBorders>
            <w:vAlign w:val="center"/>
            <w:hideMark/>
          </w:tcPr>
          <w:p w14:paraId="1FC12029" w14:textId="77777777" w:rsidR="0024083E" w:rsidRPr="0049394D" w:rsidRDefault="0024083E" w:rsidP="00465819">
            <w:pPr>
              <w:pStyle w:val="TableText0"/>
              <w:keepLines/>
              <w:spacing w:line="257" w:lineRule="auto"/>
              <w:jc w:val="center"/>
              <w:rPr>
                <w:lang w:eastAsia="en-US"/>
              </w:rPr>
            </w:pPr>
            <w:r w:rsidRPr="0049394D">
              <w:rPr>
                <w:lang w:eastAsia="en-US"/>
              </w:rPr>
              <w:t>13 (21.3)</w:t>
            </w:r>
          </w:p>
        </w:tc>
      </w:tr>
      <w:tr w:rsidR="0024083E" w:rsidRPr="0049394D" w14:paraId="00C31ED8" w14:textId="77777777" w:rsidTr="00242CB1">
        <w:tc>
          <w:tcPr>
            <w:tcW w:w="1962" w:type="pct"/>
            <w:tcBorders>
              <w:top w:val="single" w:sz="4" w:space="0" w:color="auto"/>
              <w:left w:val="single" w:sz="4" w:space="0" w:color="auto"/>
              <w:bottom w:val="nil"/>
              <w:right w:val="single" w:sz="4" w:space="0" w:color="auto"/>
            </w:tcBorders>
            <w:vAlign w:val="center"/>
          </w:tcPr>
          <w:p w14:paraId="20F4FE4C" w14:textId="77777777" w:rsidR="0024083E" w:rsidRPr="0049394D" w:rsidRDefault="0024083E" w:rsidP="00465819">
            <w:pPr>
              <w:pStyle w:val="TableText0"/>
              <w:keepLines/>
              <w:spacing w:line="257" w:lineRule="auto"/>
              <w:rPr>
                <w:lang w:eastAsia="en-US"/>
              </w:rPr>
            </w:pPr>
            <w:r w:rsidRPr="0049394D">
              <w:rPr>
                <w:lang w:eastAsia="en-US"/>
              </w:rPr>
              <w:t>Most common AEs (</w:t>
            </w:r>
            <w:r w:rsidRPr="0049394D">
              <w:t>≥20% of patients).</w:t>
            </w:r>
          </w:p>
        </w:tc>
        <w:tc>
          <w:tcPr>
            <w:tcW w:w="1519" w:type="pct"/>
            <w:tcBorders>
              <w:top w:val="single" w:sz="4" w:space="0" w:color="auto"/>
              <w:left w:val="single" w:sz="4" w:space="0" w:color="auto"/>
              <w:bottom w:val="nil"/>
              <w:right w:val="single" w:sz="4" w:space="0" w:color="auto"/>
            </w:tcBorders>
            <w:vAlign w:val="center"/>
          </w:tcPr>
          <w:p w14:paraId="71CC6DCB" w14:textId="77777777" w:rsidR="0024083E" w:rsidRPr="0049394D" w:rsidRDefault="0024083E" w:rsidP="00465819">
            <w:pPr>
              <w:pStyle w:val="TableText0"/>
              <w:keepLines/>
              <w:spacing w:line="257" w:lineRule="auto"/>
              <w:jc w:val="center"/>
              <w:rPr>
                <w:lang w:eastAsia="en-US"/>
              </w:rPr>
            </w:pPr>
          </w:p>
        </w:tc>
        <w:tc>
          <w:tcPr>
            <w:tcW w:w="1519" w:type="pct"/>
            <w:tcBorders>
              <w:top w:val="single" w:sz="4" w:space="0" w:color="auto"/>
              <w:left w:val="single" w:sz="4" w:space="0" w:color="auto"/>
              <w:bottom w:val="nil"/>
              <w:right w:val="single" w:sz="4" w:space="0" w:color="auto"/>
            </w:tcBorders>
            <w:vAlign w:val="center"/>
          </w:tcPr>
          <w:p w14:paraId="4A9CE9D3" w14:textId="77777777" w:rsidR="0024083E" w:rsidRPr="0049394D" w:rsidRDefault="0024083E" w:rsidP="00465819">
            <w:pPr>
              <w:pStyle w:val="TableText0"/>
              <w:keepLines/>
              <w:spacing w:line="257" w:lineRule="auto"/>
              <w:jc w:val="center"/>
              <w:rPr>
                <w:lang w:eastAsia="en-US"/>
              </w:rPr>
            </w:pPr>
          </w:p>
        </w:tc>
      </w:tr>
      <w:tr w:rsidR="0024083E" w:rsidRPr="0049394D" w14:paraId="7844056B" w14:textId="77777777" w:rsidTr="00242CB1">
        <w:tc>
          <w:tcPr>
            <w:tcW w:w="1962" w:type="pct"/>
            <w:tcBorders>
              <w:top w:val="nil"/>
              <w:left w:val="single" w:sz="4" w:space="0" w:color="auto"/>
              <w:bottom w:val="nil"/>
              <w:right w:val="single" w:sz="4" w:space="0" w:color="auto"/>
            </w:tcBorders>
          </w:tcPr>
          <w:p w14:paraId="5882FA1E" w14:textId="77777777" w:rsidR="0024083E" w:rsidRPr="0049394D" w:rsidRDefault="0024083E" w:rsidP="00465819">
            <w:pPr>
              <w:pStyle w:val="TableText0"/>
              <w:keepLines/>
              <w:spacing w:line="257" w:lineRule="auto"/>
              <w:ind w:left="112"/>
              <w:rPr>
                <w:lang w:eastAsia="en-US"/>
              </w:rPr>
            </w:pPr>
            <w:r w:rsidRPr="0049394D">
              <w:rPr>
                <w:lang w:eastAsia="en-US"/>
              </w:rPr>
              <w:t>Anaemia</w:t>
            </w:r>
          </w:p>
        </w:tc>
        <w:tc>
          <w:tcPr>
            <w:tcW w:w="1519" w:type="pct"/>
            <w:tcBorders>
              <w:top w:val="nil"/>
              <w:left w:val="single" w:sz="4" w:space="0" w:color="auto"/>
              <w:bottom w:val="nil"/>
              <w:right w:val="single" w:sz="4" w:space="0" w:color="auto"/>
            </w:tcBorders>
          </w:tcPr>
          <w:p w14:paraId="33C22CD6" w14:textId="77777777" w:rsidR="0024083E" w:rsidRPr="0049394D" w:rsidRDefault="0024083E" w:rsidP="00465819">
            <w:pPr>
              <w:pStyle w:val="TableText0"/>
              <w:keepLines/>
              <w:spacing w:line="257" w:lineRule="auto"/>
              <w:jc w:val="center"/>
              <w:rPr>
                <w:lang w:eastAsia="en-US"/>
              </w:rPr>
            </w:pPr>
            <w:r w:rsidRPr="0049394D">
              <w:rPr>
                <w:lang w:eastAsia="en-US"/>
              </w:rPr>
              <w:t>55 (90.2)</w:t>
            </w:r>
          </w:p>
        </w:tc>
        <w:tc>
          <w:tcPr>
            <w:tcW w:w="1519" w:type="pct"/>
            <w:tcBorders>
              <w:top w:val="nil"/>
              <w:left w:val="single" w:sz="4" w:space="0" w:color="auto"/>
              <w:bottom w:val="nil"/>
              <w:right w:val="single" w:sz="4" w:space="0" w:color="auto"/>
            </w:tcBorders>
          </w:tcPr>
          <w:p w14:paraId="3B3EEE2D" w14:textId="77777777" w:rsidR="0024083E" w:rsidRPr="0049394D" w:rsidRDefault="0024083E" w:rsidP="00465819">
            <w:pPr>
              <w:pStyle w:val="TableText0"/>
              <w:keepLines/>
              <w:spacing w:line="257" w:lineRule="auto"/>
              <w:jc w:val="center"/>
              <w:rPr>
                <w:lang w:eastAsia="en-US"/>
              </w:rPr>
            </w:pPr>
            <w:r w:rsidRPr="0049394D">
              <w:rPr>
                <w:lang w:eastAsia="en-US"/>
              </w:rPr>
              <w:t>54 (88.5)</w:t>
            </w:r>
          </w:p>
        </w:tc>
      </w:tr>
      <w:tr w:rsidR="0024083E" w:rsidRPr="0049394D" w14:paraId="765D2F9A" w14:textId="77777777" w:rsidTr="00242CB1">
        <w:tc>
          <w:tcPr>
            <w:tcW w:w="1962" w:type="pct"/>
            <w:tcBorders>
              <w:top w:val="nil"/>
              <w:left w:val="single" w:sz="4" w:space="0" w:color="auto"/>
              <w:bottom w:val="nil"/>
              <w:right w:val="single" w:sz="4" w:space="0" w:color="auto"/>
            </w:tcBorders>
          </w:tcPr>
          <w:p w14:paraId="6490C83D" w14:textId="77777777" w:rsidR="0024083E" w:rsidRPr="0049394D" w:rsidRDefault="0024083E" w:rsidP="00465819">
            <w:pPr>
              <w:pStyle w:val="TableText0"/>
              <w:keepLines/>
              <w:spacing w:line="257" w:lineRule="auto"/>
              <w:ind w:left="112"/>
              <w:rPr>
                <w:lang w:eastAsia="en-US"/>
              </w:rPr>
            </w:pPr>
            <w:r w:rsidRPr="0049394D">
              <w:rPr>
                <w:lang w:eastAsia="en-US"/>
              </w:rPr>
              <w:t>Fatigue</w:t>
            </w:r>
          </w:p>
        </w:tc>
        <w:tc>
          <w:tcPr>
            <w:tcW w:w="1519" w:type="pct"/>
            <w:tcBorders>
              <w:top w:val="nil"/>
              <w:left w:val="single" w:sz="4" w:space="0" w:color="auto"/>
              <w:bottom w:val="nil"/>
              <w:right w:val="single" w:sz="4" w:space="0" w:color="auto"/>
            </w:tcBorders>
          </w:tcPr>
          <w:p w14:paraId="215EBB6E" w14:textId="77777777" w:rsidR="0024083E" w:rsidRPr="0049394D" w:rsidRDefault="0024083E" w:rsidP="00465819">
            <w:pPr>
              <w:pStyle w:val="TableText0"/>
              <w:keepLines/>
              <w:spacing w:line="257" w:lineRule="auto"/>
              <w:jc w:val="center"/>
              <w:rPr>
                <w:lang w:eastAsia="en-US"/>
              </w:rPr>
            </w:pPr>
            <w:r w:rsidRPr="0049394D">
              <w:rPr>
                <w:lang w:eastAsia="en-US"/>
              </w:rPr>
              <w:t>45 (73.8)</w:t>
            </w:r>
          </w:p>
        </w:tc>
        <w:tc>
          <w:tcPr>
            <w:tcW w:w="1519" w:type="pct"/>
            <w:tcBorders>
              <w:top w:val="nil"/>
              <w:left w:val="single" w:sz="4" w:space="0" w:color="auto"/>
              <w:bottom w:val="nil"/>
              <w:right w:val="single" w:sz="4" w:space="0" w:color="auto"/>
            </w:tcBorders>
          </w:tcPr>
          <w:p w14:paraId="4A493AAF" w14:textId="77777777" w:rsidR="0024083E" w:rsidRPr="0049394D" w:rsidRDefault="0024083E" w:rsidP="00465819">
            <w:pPr>
              <w:pStyle w:val="TableText0"/>
              <w:keepLines/>
              <w:spacing w:line="257" w:lineRule="auto"/>
              <w:jc w:val="center"/>
              <w:rPr>
                <w:lang w:eastAsia="en-US"/>
              </w:rPr>
            </w:pPr>
            <w:r w:rsidRPr="0049394D">
              <w:rPr>
                <w:lang w:eastAsia="en-US"/>
              </w:rPr>
              <w:t>39 (63.9)</w:t>
            </w:r>
          </w:p>
        </w:tc>
      </w:tr>
      <w:tr w:rsidR="0024083E" w:rsidRPr="0049394D" w14:paraId="70AF9E12" w14:textId="77777777" w:rsidTr="00242CB1">
        <w:tc>
          <w:tcPr>
            <w:tcW w:w="1962" w:type="pct"/>
            <w:tcBorders>
              <w:top w:val="nil"/>
              <w:left w:val="single" w:sz="4" w:space="0" w:color="auto"/>
              <w:bottom w:val="nil"/>
              <w:right w:val="single" w:sz="4" w:space="0" w:color="auto"/>
            </w:tcBorders>
          </w:tcPr>
          <w:p w14:paraId="6FF81397" w14:textId="77777777" w:rsidR="0024083E" w:rsidRPr="0049394D" w:rsidRDefault="0024083E" w:rsidP="00465819">
            <w:pPr>
              <w:pStyle w:val="TableText0"/>
              <w:keepLines/>
              <w:spacing w:line="257" w:lineRule="auto"/>
              <w:ind w:left="112"/>
              <w:rPr>
                <w:lang w:eastAsia="en-US"/>
              </w:rPr>
            </w:pPr>
            <w:r w:rsidRPr="0049394D">
              <w:rPr>
                <w:lang w:eastAsia="en-US"/>
              </w:rPr>
              <w:t>Headache</w:t>
            </w:r>
          </w:p>
        </w:tc>
        <w:tc>
          <w:tcPr>
            <w:tcW w:w="1519" w:type="pct"/>
            <w:tcBorders>
              <w:top w:val="nil"/>
              <w:left w:val="single" w:sz="4" w:space="0" w:color="auto"/>
              <w:bottom w:val="nil"/>
              <w:right w:val="single" w:sz="4" w:space="0" w:color="auto"/>
            </w:tcBorders>
          </w:tcPr>
          <w:p w14:paraId="1B147062" w14:textId="77777777" w:rsidR="0024083E" w:rsidRPr="0049394D" w:rsidRDefault="0024083E" w:rsidP="00465819">
            <w:pPr>
              <w:pStyle w:val="TableText0"/>
              <w:keepLines/>
              <w:spacing w:line="257" w:lineRule="auto"/>
              <w:jc w:val="center"/>
              <w:rPr>
                <w:lang w:eastAsia="en-US"/>
              </w:rPr>
            </w:pPr>
            <w:r w:rsidRPr="0049394D">
              <w:rPr>
                <w:lang w:eastAsia="en-US"/>
              </w:rPr>
              <w:t>29 (47.5)</w:t>
            </w:r>
          </w:p>
        </w:tc>
        <w:tc>
          <w:tcPr>
            <w:tcW w:w="1519" w:type="pct"/>
            <w:tcBorders>
              <w:top w:val="nil"/>
              <w:left w:val="single" w:sz="4" w:space="0" w:color="auto"/>
              <w:bottom w:val="nil"/>
              <w:right w:val="single" w:sz="4" w:space="0" w:color="auto"/>
            </w:tcBorders>
          </w:tcPr>
          <w:p w14:paraId="7A28220F" w14:textId="77777777" w:rsidR="0024083E" w:rsidRPr="0049394D" w:rsidRDefault="0024083E" w:rsidP="00465819">
            <w:pPr>
              <w:pStyle w:val="TableText0"/>
              <w:keepLines/>
              <w:spacing w:line="257" w:lineRule="auto"/>
              <w:jc w:val="center"/>
              <w:rPr>
                <w:lang w:eastAsia="en-US"/>
              </w:rPr>
            </w:pPr>
            <w:r w:rsidRPr="0049394D">
              <w:rPr>
                <w:lang w:eastAsia="en-US"/>
              </w:rPr>
              <w:t>11 (18.0)</w:t>
            </w:r>
          </w:p>
        </w:tc>
      </w:tr>
      <w:tr w:rsidR="0024083E" w:rsidRPr="0049394D" w14:paraId="72D39E1A" w14:textId="77777777" w:rsidTr="00242CB1">
        <w:tc>
          <w:tcPr>
            <w:tcW w:w="1962" w:type="pct"/>
            <w:tcBorders>
              <w:top w:val="nil"/>
              <w:left w:val="single" w:sz="4" w:space="0" w:color="auto"/>
              <w:bottom w:val="nil"/>
              <w:right w:val="single" w:sz="4" w:space="0" w:color="auto"/>
            </w:tcBorders>
          </w:tcPr>
          <w:p w14:paraId="1C5005DD" w14:textId="77777777" w:rsidR="0024083E" w:rsidRPr="0049394D" w:rsidRDefault="0024083E" w:rsidP="00465819">
            <w:pPr>
              <w:pStyle w:val="TableText0"/>
              <w:keepLines/>
              <w:spacing w:line="257" w:lineRule="auto"/>
              <w:ind w:left="112"/>
              <w:rPr>
                <w:lang w:eastAsia="en-US"/>
              </w:rPr>
            </w:pPr>
            <w:r w:rsidRPr="0049394D">
              <w:rPr>
                <w:lang w:eastAsia="en-US"/>
              </w:rPr>
              <w:t>Dizziness</w:t>
            </w:r>
          </w:p>
        </w:tc>
        <w:tc>
          <w:tcPr>
            <w:tcW w:w="1519" w:type="pct"/>
            <w:tcBorders>
              <w:top w:val="nil"/>
              <w:left w:val="single" w:sz="4" w:space="0" w:color="auto"/>
              <w:bottom w:val="nil"/>
              <w:right w:val="single" w:sz="4" w:space="0" w:color="auto"/>
            </w:tcBorders>
          </w:tcPr>
          <w:p w14:paraId="44FDA35C" w14:textId="77777777" w:rsidR="0024083E" w:rsidRPr="0049394D" w:rsidRDefault="0024083E" w:rsidP="00465819">
            <w:pPr>
              <w:pStyle w:val="TableText0"/>
              <w:keepLines/>
              <w:spacing w:line="257" w:lineRule="auto"/>
              <w:jc w:val="center"/>
              <w:rPr>
                <w:lang w:eastAsia="en-US"/>
              </w:rPr>
            </w:pPr>
            <w:r w:rsidRPr="0049394D">
              <w:rPr>
                <w:lang w:eastAsia="en-US"/>
              </w:rPr>
              <w:t>28 (45.9)</w:t>
            </w:r>
          </w:p>
        </w:tc>
        <w:tc>
          <w:tcPr>
            <w:tcW w:w="1519" w:type="pct"/>
            <w:tcBorders>
              <w:top w:val="nil"/>
              <w:left w:val="single" w:sz="4" w:space="0" w:color="auto"/>
              <w:bottom w:val="nil"/>
              <w:right w:val="single" w:sz="4" w:space="0" w:color="auto"/>
            </w:tcBorders>
          </w:tcPr>
          <w:p w14:paraId="5170E37A" w14:textId="77777777" w:rsidR="0024083E" w:rsidRPr="0049394D" w:rsidRDefault="0024083E" w:rsidP="00465819">
            <w:pPr>
              <w:pStyle w:val="TableText0"/>
              <w:keepLines/>
              <w:spacing w:line="257" w:lineRule="auto"/>
              <w:jc w:val="center"/>
              <w:rPr>
                <w:lang w:eastAsia="en-US"/>
              </w:rPr>
            </w:pPr>
            <w:r w:rsidRPr="0049394D">
              <w:rPr>
                <w:lang w:eastAsia="en-US"/>
              </w:rPr>
              <w:t>15 (24.6)</w:t>
            </w:r>
          </w:p>
        </w:tc>
      </w:tr>
      <w:tr w:rsidR="0024083E" w:rsidRPr="0049394D" w14:paraId="48CB5E86" w14:textId="77777777" w:rsidTr="00242CB1">
        <w:tc>
          <w:tcPr>
            <w:tcW w:w="1962" w:type="pct"/>
            <w:tcBorders>
              <w:top w:val="nil"/>
              <w:left w:val="single" w:sz="4" w:space="0" w:color="auto"/>
              <w:bottom w:val="nil"/>
              <w:right w:val="single" w:sz="4" w:space="0" w:color="auto"/>
            </w:tcBorders>
          </w:tcPr>
          <w:p w14:paraId="3B654308" w14:textId="77777777" w:rsidR="0024083E" w:rsidRPr="0049394D" w:rsidRDefault="0024083E" w:rsidP="00465819">
            <w:pPr>
              <w:pStyle w:val="TableText0"/>
              <w:keepLines/>
              <w:spacing w:line="257" w:lineRule="auto"/>
              <w:ind w:left="112"/>
              <w:rPr>
                <w:lang w:eastAsia="en-US"/>
              </w:rPr>
            </w:pPr>
            <w:r w:rsidRPr="0049394D">
              <w:rPr>
                <w:lang w:eastAsia="en-US"/>
              </w:rPr>
              <w:t>Nausea</w:t>
            </w:r>
          </w:p>
        </w:tc>
        <w:tc>
          <w:tcPr>
            <w:tcW w:w="1519" w:type="pct"/>
            <w:tcBorders>
              <w:top w:val="nil"/>
              <w:left w:val="single" w:sz="4" w:space="0" w:color="auto"/>
              <w:bottom w:val="nil"/>
              <w:right w:val="single" w:sz="4" w:space="0" w:color="auto"/>
            </w:tcBorders>
          </w:tcPr>
          <w:p w14:paraId="36C95FDA" w14:textId="77777777" w:rsidR="0024083E" w:rsidRPr="0049394D" w:rsidRDefault="0024083E" w:rsidP="00465819">
            <w:pPr>
              <w:pStyle w:val="TableText0"/>
              <w:keepLines/>
              <w:spacing w:line="257" w:lineRule="auto"/>
              <w:jc w:val="center"/>
              <w:rPr>
                <w:lang w:eastAsia="en-US"/>
              </w:rPr>
            </w:pPr>
            <w:r w:rsidRPr="0049394D">
              <w:rPr>
                <w:lang w:eastAsia="en-US"/>
              </w:rPr>
              <w:t>24 (39.3)</w:t>
            </w:r>
          </w:p>
        </w:tc>
        <w:tc>
          <w:tcPr>
            <w:tcW w:w="1519" w:type="pct"/>
            <w:tcBorders>
              <w:top w:val="nil"/>
              <w:left w:val="single" w:sz="4" w:space="0" w:color="auto"/>
              <w:bottom w:val="nil"/>
              <w:right w:val="single" w:sz="4" w:space="0" w:color="auto"/>
            </w:tcBorders>
          </w:tcPr>
          <w:p w14:paraId="666EEEC8" w14:textId="77777777" w:rsidR="0024083E" w:rsidRPr="0049394D" w:rsidRDefault="0024083E" w:rsidP="00465819">
            <w:pPr>
              <w:pStyle w:val="TableText0"/>
              <w:keepLines/>
              <w:spacing w:line="257" w:lineRule="auto"/>
              <w:jc w:val="center"/>
              <w:rPr>
                <w:lang w:eastAsia="en-US"/>
              </w:rPr>
            </w:pPr>
            <w:r w:rsidRPr="0049394D">
              <w:rPr>
                <w:lang w:eastAsia="en-US"/>
              </w:rPr>
              <w:t>15 (24.6)</w:t>
            </w:r>
          </w:p>
        </w:tc>
      </w:tr>
      <w:tr w:rsidR="0024083E" w:rsidRPr="0049394D" w14:paraId="2C8CEDDE" w14:textId="77777777" w:rsidTr="00242CB1">
        <w:tc>
          <w:tcPr>
            <w:tcW w:w="1962" w:type="pct"/>
            <w:tcBorders>
              <w:top w:val="nil"/>
              <w:left w:val="single" w:sz="4" w:space="0" w:color="auto"/>
              <w:bottom w:val="nil"/>
              <w:right w:val="single" w:sz="4" w:space="0" w:color="auto"/>
            </w:tcBorders>
          </w:tcPr>
          <w:p w14:paraId="3CF61BCA" w14:textId="77777777" w:rsidR="0024083E" w:rsidRPr="0049394D" w:rsidRDefault="0024083E" w:rsidP="00465819">
            <w:pPr>
              <w:pStyle w:val="TableText0"/>
              <w:keepLines/>
              <w:spacing w:line="257" w:lineRule="auto"/>
              <w:ind w:left="112"/>
              <w:rPr>
                <w:lang w:eastAsia="en-US"/>
              </w:rPr>
            </w:pPr>
            <w:r w:rsidRPr="0049394D">
              <w:rPr>
                <w:lang w:eastAsia="en-US"/>
              </w:rPr>
              <w:t>Dyspnoea</w:t>
            </w:r>
          </w:p>
        </w:tc>
        <w:tc>
          <w:tcPr>
            <w:tcW w:w="1519" w:type="pct"/>
            <w:tcBorders>
              <w:top w:val="nil"/>
              <w:left w:val="single" w:sz="4" w:space="0" w:color="auto"/>
              <w:bottom w:val="nil"/>
              <w:right w:val="single" w:sz="4" w:space="0" w:color="auto"/>
            </w:tcBorders>
          </w:tcPr>
          <w:p w14:paraId="4894D772" w14:textId="77777777" w:rsidR="0024083E" w:rsidRPr="0049394D" w:rsidRDefault="0024083E" w:rsidP="00465819">
            <w:pPr>
              <w:pStyle w:val="TableText0"/>
              <w:keepLines/>
              <w:spacing w:line="257" w:lineRule="auto"/>
              <w:jc w:val="center"/>
              <w:rPr>
                <w:lang w:eastAsia="en-US"/>
              </w:rPr>
            </w:pPr>
            <w:r w:rsidRPr="0049394D">
              <w:rPr>
                <w:lang w:eastAsia="en-US"/>
              </w:rPr>
              <w:t>16 (26.2)</w:t>
            </w:r>
          </w:p>
        </w:tc>
        <w:tc>
          <w:tcPr>
            <w:tcW w:w="1519" w:type="pct"/>
            <w:tcBorders>
              <w:top w:val="nil"/>
              <w:left w:val="single" w:sz="4" w:space="0" w:color="auto"/>
              <w:bottom w:val="nil"/>
              <w:right w:val="single" w:sz="4" w:space="0" w:color="auto"/>
            </w:tcBorders>
          </w:tcPr>
          <w:p w14:paraId="1119F9B2" w14:textId="77777777" w:rsidR="0024083E" w:rsidRPr="0049394D" w:rsidRDefault="0024083E" w:rsidP="00465819">
            <w:pPr>
              <w:pStyle w:val="TableText0"/>
              <w:keepLines/>
              <w:spacing w:line="257" w:lineRule="auto"/>
              <w:jc w:val="center"/>
              <w:rPr>
                <w:lang w:eastAsia="en-US"/>
              </w:rPr>
            </w:pPr>
            <w:r w:rsidRPr="0049394D">
              <w:rPr>
                <w:lang w:eastAsia="en-US"/>
              </w:rPr>
              <w:t>11 (18.0)</w:t>
            </w:r>
          </w:p>
        </w:tc>
      </w:tr>
      <w:tr w:rsidR="0024083E" w:rsidRPr="0049394D" w14:paraId="4AE56CDB" w14:textId="77777777" w:rsidTr="00242CB1">
        <w:tc>
          <w:tcPr>
            <w:tcW w:w="1962" w:type="pct"/>
            <w:tcBorders>
              <w:top w:val="nil"/>
              <w:left w:val="single" w:sz="4" w:space="0" w:color="auto"/>
              <w:bottom w:val="nil"/>
              <w:right w:val="single" w:sz="4" w:space="0" w:color="auto"/>
            </w:tcBorders>
          </w:tcPr>
          <w:p w14:paraId="358E2D13" w14:textId="77777777" w:rsidR="0024083E" w:rsidRPr="0049394D" w:rsidRDefault="0024083E" w:rsidP="00465819">
            <w:pPr>
              <w:pStyle w:val="TableText0"/>
              <w:keepLines/>
              <w:spacing w:line="257" w:lineRule="auto"/>
              <w:ind w:left="112"/>
              <w:rPr>
                <w:lang w:eastAsia="en-US"/>
              </w:rPr>
            </w:pPr>
            <w:r w:rsidRPr="0049394D">
              <w:rPr>
                <w:lang w:eastAsia="en-US"/>
              </w:rPr>
              <w:t>Myalgia</w:t>
            </w:r>
          </w:p>
        </w:tc>
        <w:tc>
          <w:tcPr>
            <w:tcW w:w="1519" w:type="pct"/>
            <w:tcBorders>
              <w:top w:val="nil"/>
              <w:left w:val="single" w:sz="4" w:space="0" w:color="auto"/>
              <w:bottom w:val="nil"/>
              <w:right w:val="single" w:sz="4" w:space="0" w:color="auto"/>
            </w:tcBorders>
          </w:tcPr>
          <w:p w14:paraId="2A63FA0F" w14:textId="77777777" w:rsidR="0024083E" w:rsidRPr="0049394D" w:rsidRDefault="0024083E" w:rsidP="00465819">
            <w:pPr>
              <w:pStyle w:val="TableText0"/>
              <w:keepLines/>
              <w:spacing w:line="257" w:lineRule="auto"/>
              <w:jc w:val="center"/>
              <w:rPr>
                <w:lang w:eastAsia="en-US"/>
              </w:rPr>
            </w:pPr>
            <w:r w:rsidRPr="0049394D">
              <w:rPr>
                <w:lang w:eastAsia="en-US"/>
              </w:rPr>
              <w:t>15 (24.6)</w:t>
            </w:r>
          </w:p>
        </w:tc>
        <w:tc>
          <w:tcPr>
            <w:tcW w:w="1519" w:type="pct"/>
            <w:tcBorders>
              <w:top w:val="nil"/>
              <w:left w:val="single" w:sz="4" w:space="0" w:color="auto"/>
              <w:bottom w:val="nil"/>
              <w:right w:val="single" w:sz="4" w:space="0" w:color="auto"/>
            </w:tcBorders>
          </w:tcPr>
          <w:p w14:paraId="587CE837" w14:textId="77777777" w:rsidR="0024083E" w:rsidRPr="0049394D" w:rsidRDefault="0024083E" w:rsidP="00465819">
            <w:pPr>
              <w:pStyle w:val="TableText0"/>
              <w:keepLines/>
              <w:spacing w:line="257" w:lineRule="auto"/>
              <w:jc w:val="center"/>
              <w:rPr>
                <w:lang w:eastAsia="en-US"/>
              </w:rPr>
            </w:pPr>
            <w:r w:rsidRPr="0049394D">
              <w:rPr>
                <w:lang w:eastAsia="en-US"/>
              </w:rPr>
              <w:t>8 (13.1)</w:t>
            </w:r>
          </w:p>
        </w:tc>
      </w:tr>
      <w:tr w:rsidR="0024083E" w:rsidRPr="0049394D" w14:paraId="23B7695A" w14:textId="77777777" w:rsidTr="00242CB1">
        <w:tc>
          <w:tcPr>
            <w:tcW w:w="1962" w:type="pct"/>
            <w:tcBorders>
              <w:top w:val="nil"/>
              <w:left w:val="single" w:sz="4" w:space="0" w:color="auto"/>
              <w:bottom w:val="nil"/>
              <w:right w:val="single" w:sz="4" w:space="0" w:color="auto"/>
            </w:tcBorders>
          </w:tcPr>
          <w:p w14:paraId="5E8DF675" w14:textId="77777777" w:rsidR="0024083E" w:rsidRPr="0049394D" w:rsidRDefault="0024083E" w:rsidP="00465819">
            <w:pPr>
              <w:pStyle w:val="TableText0"/>
              <w:keepLines/>
              <w:spacing w:line="257" w:lineRule="auto"/>
              <w:ind w:left="112"/>
              <w:rPr>
                <w:lang w:eastAsia="en-US"/>
              </w:rPr>
            </w:pPr>
            <w:r w:rsidRPr="0049394D">
              <w:rPr>
                <w:lang w:eastAsia="en-US"/>
              </w:rPr>
              <w:t>Constipation</w:t>
            </w:r>
          </w:p>
        </w:tc>
        <w:tc>
          <w:tcPr>
            <w:tcW w:w="1519" w:type="pct"/>
            <w:tcBorders>
              <w:top w:val="nil"/>
              <w:left w:val="single" w:sz="4" w:space="0" w:color="auto"/>
              <w:bottom w:val="nil"/>
              <w:right w:val="single" w:sz="4" w:space="0" w:color="auto"/>
            </w:tcBorders>
          </w:tcPr>
          <w:p w14:paraId="0734CBBC" w14:textId="77777777" w:rsidR="0024083E" w:rsidRPr="0049394D" w:rsidRDefault="0024083E" w:rsidP="00465819">
            <w:pPr>
              <w:pStyle w:val="TableText0"/>
              <w:keepLines/>
              <w:spacing w:line="257" w:lineRule="auto"/>
              <w:jc w:val="center"/>
              <w:rPr>
                <w:lang w:eastAsia="en-US"/>
              </w:rPr>
            </w:pPr>
            <w:r w:rsidRPr="0049394D">
              <w:rPr>
                <w:lang w:eastAsia="en-US"/>
              </w:rPr>
              <w:t>14 (23.0)</w:t>
            </w:r>
          </w:p>
        </w:tc>
        <w:tc>
          <w:tcPr>
            <w:tcW w:w="1519" w:type="pct"/>
            <w:tcBorders>
              <w:top w:val="nil"/>
              <w:left w:val="single" w:sz="4" w:space="0" w:color="auto"/>
              <w:bottom w:val="nil"/>
              <w:right w:val="single" w:sz="4" w:space="0" w:color="auto"/>
            </w:tcBorders>
          </w:tcPr>
          <w:p w14:paraId="0F78ADFD" w14:textId="77777777" w:rsidR="0024083E" w:rsidRPr="0049394D" w:rsidRDefault="0024083E" w:rsidP="00465819">
            <w:pPr>
              <w:pStyle w:val="TableText0"/>
              <w:keepLines/>
              <w:spacing w:line="257" w:lineRule="auto"/>
              <w:jc w:val="center"/>
              <w:rPr>
                <w:lang w:eastAsia="en-US"/>
              </w:rPr>
            </w:pPr>
            <w:r w:rsidRPr="0049394D">
              <w:rPr>
                <w:lang w:eastAsia="en-US"/>
              </w:rPr>
              <w:t>3 (4.9)</w:t>
            </w:r>
          </w:p>
        </w:tc>
      </w:tr>
      <w:tr w:rsidR="0024083E" w:rsidRPr="0049394D" w14:paraId="5E4B6851" w14:textId="77777777" w:rsidTr="00242CB1">
        <w:tc>
          <w:tcPr>
            <w:tcW w:w="1962" w:type="pct"/>
            <w:tcBorders>
              <w:top w:val="nil"/>
              <w:left w:val="single" w:sz="4" w:space="0" w:color="auto"/>
              <w:bottom w:val="nil"/>
              <w:right w:val="single" w:sz="4" w:space="0" w:color="auto"/>
            </w:tcBorders>
          </w:tcPr>
          <w:p w14:paraId="4E515C24" w14:textId="77777777" w:rsidR="0024083E" w:rsidRPr="0049394D" w:rsidRDefault="0024083E" w:rsidP="00465819">
            <w:pPr>
              <w:pStyle w:val="TableText0"/>
              <w:keepLines/>
              <w:spacing w:line="257" w:lineRule="auto"/>
              <w:ind w:left="112"/>
              <w:rPr>
                <w:lang w:eastAsia="en-US"/>
              </w:rPr>
            </w:pPr>
            <w:r w:rsidRPr="0049394D">
              <w:rPr>
                <w:lang w:eastAsia="en-US"/>
              </w:rPr>
              <w:t>Arthralgia</w:t>
            </w:r>
          </w:p>
        </w:tc>
        <w:tc>
          <w:tcPr>
            <w:tcW w:w="1519" w:type="pct"/>
            <w:tcBorders>
              <w:top w:val="nil"/>
              <w:left w:val="single" w:sz="4" w:space="0" w:color="auto"/>
              <w:bottom w:val="nil"/>
              <w:right w:val="single" w:sz="4" w:space="0" w:color="auto"/>
            </w:tcBorders>
          </w:tcPr>
          <w:p w14:paraId="22489EA2" w14:textId="77777777" w:rsidR="0024083E" w:rsidRPr="0049394D" w:rsidRDefault="0024083E" w:rsidP="00465819">
            <w:pPr>
              <w:pStyle w:val="TableText0"/>
              <w:keepLines/>
              <w:spacing w:line="257" w:lineRule="auto"/>
              <w:jc w:val="center"/>
              <w:rPr>
                <w:lang w:eastAsia="en-US"/>
              </w:rPr>
            </w:pPr>
            <w:r w:rsidRPr="0049394D">
              <w:rPr>
                <w:lang w:eastAsia="en-US"/>
              </w:rPr>
              <w:t>13 (21.3)</w:t>
            </w:r>
          </w:p>
        </w:tc>
        <w:tc>
          <w:tcPr>
            <w:tcW w:w="1519" w:type="pct"/>
            <w:tcBorders>
              <w:top w:val="nil"/>
              <w:left w:val="single" w:sz="4" w:space="0" w:color="auto"/>
              <w:bottom w:val="nil"/>
              <w:right w:val="single" w:sz="4" w:space="0" w:color="auto"/>
            </w:tcBorders>
          </w:tcPr>
          <w:p w14:paraId="56FA6040" w14:textId="77777777" w:rsidR="0024083E" w:rsidRPr="0049394D" w:rsidRDefault="0024083E" w:rsidP="00465819">
            <w:pPr>
              <w:pStyle w:val="TableText0"/>
              <w:keepLines/>
              <w:spacing w:line="257" w:lineRule="auto"/>
              <w:jc w:val="center"/>
              <w:rPr>
                <w:lang w:eastAsia="en-US"/>
              </w:rPr>
            </w:pPr>
            <w:r w:rsidRPr="0049394D">
              <w:rPr>
                <w:lang w:eastAsia="en-US"/>
              </w:rPr>
              <w:t>5 (8.2)</w:t>
            </w:r>
          </w:p>
        </w:tc>
      </w:tr>
      <w:tr w:rsidR="0024083E" w:rsidRPr="0049394D" w14:paraId="46969003" w14:textId="77777777" w:rsidTr="00242CB1">
        <w:tc>
          <w:tcPr>
            <w:tcW w:w="1962" w:type="pct"/>
            <w:tcBorders>
              <w:top w:val="nil"/>
              <w:left w:val="single" w:sz="4" w:space="0" w:color="auto"/>
              <w:bottom w:val="single" w:sz="4" w:space="0" w:color="auto"/>
              <w:right w:val="single" w:sz="4" w:space="0" w:color="auto"/>
            </w:tcBorders>
          </w:tcPr>
          <w:p w14:paraId="0DEDC8F1" w14:textId="77777777" w:rsidR="0024083E" w:rsidRPr="0049394D" w:rsidRDefault="0024083E" w:rsidP="00465819">
            <w:pPr>
              <w:pStyle w:val="TableText0"/>
              <w:keepLines/>
              <w:spacing w:line="257" w:lineRule="auto"/>
              <w:ind w:left="112"/>
              <w:rPr>
                <w:lang w:eastAsia="en-US"/>
              </w:rPr>
            </w:pPr>
            <w:r w:rsidRPr="0049394D">
              <w:rPr>
                <w:lang w:eastAsia="en-US"/>
              </w:rPr>
              <w:t>Vision Blurred</w:t>
            </w:r>
          </w:p>
        </w:tc>
        <w:tc>
          <w:tcPr>
            <w:tcW w:w="1519" w:type="pct"/>
            <w:tcBorders>
              <w:top w:val="nil"/>
              <w:left w:val="single" w:sz="4" w:space="0" w:color="auto"/>
              <w:bottom w:val="single" w:sz="4" w:space="0" w:color="auto"/>
              <w:right w:val="single" w:sz="4" w:space="0" w:color="auto"/>
            </w:tcBorders>
          </w:tcPr>
          <w:p w14:paraId="76426D09" w14:textId="77777777" w:rsidR="0024083E" w:rsidRPr="0049394D" w:rsidRDefault="0024083E" w:rsidP="00465819">
            <w:pPr>
              <w:pStyle w:val="TableText0"/>
              <w:keepLines/>
              <w:spacing w:line="257" w:lineRule="auto"/>
              <w:jc w:val="center"/>
              <w:rPr>
                <w:lang w:eastAsia="en-US"/>
              </w:rPr>
            </w:pPr>
            <w:r w:rsidRPr="0049394D">
              <w:rPr>
                <w:lang w:eastAsia="en-US"/>
              </w:rPr>
              <w:t>13 (21.3)</w:t>
            </w:r>
          </w:p>
        </w:tc>
        <w:tc>
          <w:tcPr>
            <w:tcW w:w="1519" w:type="pct"/>
            <w:tcBorders>
              <w:top w:val="nil"/>
              <w:left w:val="single" w:sz="4" w:space="0" w:color="auto"/>
              <w:bottom w:val="single" w:sz="4" w:space="0" w:color="auto"/>
              <w:right w:val="single" w:sz="4" w:space="0" w:color="auto"/>
            </w:tcBorders>
          </w:tcPr>
          <w:p w14:paraId="6D5DE7E8" w14:textId="77777777" w:rsidR="0024083E" w:rsidRPr="0049394D" w:rsidRDefault="0024083E" w:rsidP="00465819">
            <w:pPr>
              <w:pStyle w:val="TableText0"/>
              <w:keepLines/>
              <w:spacing w:line="257" w:lineRule="auto"/>
              <w:jc w:val="center"/>
              <w:rPr>
                <w:lang w:eastAsia="en-US"/>
              </w:rPr>
            </w:pPr>
            <w:r w:rsidRPr="0049394D">
              <w:rPr>
                <w:lang w:eastAsia="en-US"/>
              </w:rPr>
              <w:t>5 (8.2)</w:t>
            </w:r>
          </w:p>
        </w:tc>
      </w:tr>
    </w:tbl>
    <w:p w14:paraId="191FB01D" w14:textId="262DBB07" w:rsidR="0024083E" w:rsidRPr="0049394D" w:rsidRDefault="0024083E" w:rsidP="0024083E">
      <w:pPr>
        <w:pStyle w:val="FooterTableFigure"/>
        <w:rPr>
          <w:sz w:val="20"/>
        </w:rPr>
      </w:pPr>
      <w:r w:rsidRPr="0049394D">
        <w:t>Source: LS-004 CSR, Table 12-1, 8, Table 13.3-21and Table 14.3-33, of LS-004 CSR and Table 2.5-13, of the submission.</w:t>
      </w:r>
    </w:p>
    <w:p w14:paraId="6FB40706" w14:textId="77777777" w:rsidR="0024083E" w:rsidRPr="0049394D" w:rsidRDefault="0024083E" w:rsidP="0024083E">
      <w:pPr>
        <w:pStyle w:val="FooterTableFigure"/>
        <w:rPr>
          <w:rFonts w:eastAsia="Calibri"/>
        </w:rPr>
      </w:pPr>
      <w:r w:rsidRPr="0049394D">
        <w:rPr>
          <w:rFonts w:eastAsia="Calibri"/>
        </w:rPr>
        <w:t>AE = adverse event; n = number of participants reporting data; SAE = serious adverse event; TEAE = treatment-emergent adverse event; TREA = treatment-related adverse event.</w:t>
      </w:r>
    </w:p>
    <w:p w14:paraId="687E5DC0" w14:textId="3BDF205A" w:rsidR="0024083E" w:rsidRPr="0049394D" w:rsidRDefault="0024083E" w:rsidP="0024083E">
      <w:pPr>
        <w:pStyle w:val="FooterTableFigure"/>
      </w:pPr>
      <w:r w:rsidRPr="0049394D">
        <w:rPr>
          <w:vertAlign w:val="superscript"/>
        </w:rPr>
        <w:t>a</w:t>
      </w:r>
      <w:r w:rsidRPr="0049394D">
        <w:rPr>
          <w:vertAlign w:val="superscript"/>
        </w:rPr>
        <w:tab/>
      </w:r>
      <w:r w:rsidRPr="0049394D">
        <w:t xml:space="preserve">Data cut-off 1st </w:t>
      </w:r>
      <w:r w:rsidR="008C077D" w:rsidRPr="0049394D">
        <w:t>April</w:t>
      </w:r>
      <w:r w:rsidRPr="0049394D">
        <w:t xml:space="preserve"> 2022.</w:t>
      </w:r>
    </w:p>
    <w:p w14:paraId="52DF703B" w14:textId="77777777" w:rsidR="0024083E" w:rsidRPr="0049394D" w:rsidRDefault="0024083E" w:rsidP="0024083E">
      <w:pPr>
        <w:pStyle w:val="FooterTableFigure"/>
        <w:rPr>
          <w:sz w:val="20"/>
        </w:rPr>
      </w:pPr>
      <w:r w:rsidRPr="0049394D">
        <w:rPr>
          <w:sz w:val="20"/>
          <w:vertAlign w:val="superscript"/>
        </w:rPr>
        <w:t>b</w:t>
      </w:r>
      <w:r w:rsidRPr="0049394D">
        <w:rPr>
          <w:sz w:val="20"/>
          <w:vertAlign w:val="superscript"/>
        </w:rPr>
        <w:tab/>
      </w:r>
      <w:r w:rsidRPr="00B248BF">
        <w:rPr>
          <w:rFonts w:eastAsia="Calibri"/>
        </w:rPr>
        <w:t>Investigator assessed.</w:t>
      </w:r>
    </w:p>
    <w:p w14:paraId="60E16D56" w14:textId="18046270" w:rsidR="0024083E" w:rsidRPr="0049394D" w:rsidRDefault="0024083E" w:rsidP="0024083E">
      <w:pPr>
        <w:pStyle w:val="3-BodyText"/>
      </w:pPr>
      <w:r w:rsidRPr="00B248BF">
        <w:t>All</w:t>
      </w:r>
      <w:r w:rsidRPr="00BF3570">
        <w:rPr>
          <w:iCs/>
        </w:rPr>
        <w:t xml:space="preserve"> </w:t>
      </w:r>
      <w:r w:rsidRPr="0049394D">
        <w:t>patients in LS-004 experienced at least 1 AE and nearly half had a grade 3</w:t>
      </w:r>
      <w:r w:rsidR="00ED3B5C" w:rsidRPr="0049394D">
        <w:rPr>
          <w:rFonts w:cstheme="minorHAnsi"/>
        </w:rPr>
        <w:t>−</w:t>
      </w:r>
      <w:r w:rsidRPr="0049394D">
        <w:t>5 AE, over the median 37.7 months of follow-up.</w:t>
      </w:r>
      <w:r w:rsidR="00B70081">
        <w:t xml:space="preserve"> </w:t>
      </w:r>
      <w:r w:rsidRPr="0049394D">
        <w:t>The most common AEs were anaemia (90.2%) followed by fatigue (73.8%), headache (47.5%) and dizziness (45.9%). The incidence of adverse events was highest in the first 3 months of treatment (396 events at a rate of 216.48 events per 100 person-months), and reduced to 35.19 events per 100 person-months for those continuing treatment beyond 18 months.</w:t>
      </w:r>
    </w:p>
    <w:p w14:paraId="432C5748" w14:textId="77777777" w:rsidR="0024083E" w:rsidRPr="0049394D" w:rsidRDefault="0024083E" w:rsidP="0024083E">
      <w:pPr>
        <w:pStyle w:val="3-BodyText"/>
      </w:pPr>
      <w:r w:rsidRPr="0049394D">
        <w:t>Two patients died during the study period (1 suicide attempt and 1 of toxicity to various agents) but neither death was considered by investigators to be related to belzutifan. Most patients (82%) had a dose interruption during the study period. The most frequently reported AEs leading to treatment interruption were fatigue (11.5%), nausea (9.8%), headache (6.6%), dizziness (4.9%) and influenza-like illness (4.9%). The dose of belzutifan was reduced to 80 mg in 11 (18%) patients, and to 40 mg in 4 (6.6%) patients. The most frequently reported AEs leading to dose reduction were fatigue (8.2%) and anaemia (3.3%).</w:t>
      </w:r>
    </w:p>
    <w:p w14:paraId="171D333C" w14:textId="53F0F373" w:rsidR="0024083E" w:rsidRDefault="0024083E" w:rsidP="0024083E">
      <w:pPr>
        <w:pStyle w:val="3-BodyText"/>
      </w:pPr>
      <w:r w:rsidRPr="0049394D">
        <w:t>Belzutifan is associated with a high level of anaemia because HIF-2</w:t>
      </w:r>
      <w:r w:rsidRPr="0049394D">
        <w:rPr>
          <w:rFonts w:cs="Calibri"/>
        </w:rPr>
        <w:t>α</w:t>
      </w:r>
      <w:r w:rsidRPr="0049394D">
        <w:t xml:space="preserve"> inhibition reduces erythropoietin levels, leading to reduced haemoglobin levels. Most episodes of anaemia were classified as grade 1 or 2, and the median time to onset of the first episode of any grade anaemia was 30 days (range: 1 to 255). Anaemia led to a dose interruption in 2 patients, and 2 patients had a dose reduction. No episodes of anaemia resulted in discontinuation. </w:t>
      </w:r>
      <w:r w:rsidR="00474996" w:rsidRPr="0049394D">
        <w:t>While m</w:t>
      </w:r>
      <w:r w:rsidRPr="0049394D">
        <w:t xml:space="preserve">ost patients (65.5%) did not require </w:t>
      </w:r>
      <w:r w:rsidRPr="0049394D">
        <w:lastRenderedPageBreak/>
        <w:t>treatment for their anaemia, 14 (25.4%) patients received an erythropoiesis-stimulating agent with or without a blood transfusion and 1 patient received a blood transfusion only. The median time to an erythropoiesis-stimulating agent was 151 days (range: 59 to 886) and the median number of doses was 5 (range 1 to 35).</w:t>
      </w:r>
    </w:p>
    <w:p w14:paraId="1206CCF1" w14:textId="3754F387" w:rsidR="00B248BF" w:rsidRPr="00BF3570" w:rsidRDefault="00B248BF" w:rsidP="0024083E">
      <w:pPr>
        <w:pStyle w:val="3-BodyText"/>
        <w:rPr>
          <w:iCs/>
        </w:rPr>
      </w:pPr>
      <w:r w:rsidRPr="00BF3570">
        <w:rPr>
          <w:iCs/>
        </w:rPr>
        <w:t>Overall, while noting that all patients in LS-004 experienced at l</w:t>
      </w:r>
      <w:r w:rsidR="00E06BC9" w:rsidRPr="00BF3570">
        <w:rPr>
          <w:iCs/>
        </w:rPr>
        <w:t>e</w:t>
      </w:r>
      <w:r w:rsidRPr="00BF3570">
        <w:rPr>
          <w:iCs/>
        </w:rPr>
        <w:t xml:space="preserve">ast 1 AE and 50 </w:t>
      </w:r>
      <w:r w:rsidR="00E06BC9" w:rsidRPr="00BF3570">
        <w:rPr>
          <w:iCs/>
        </w:rPr>
        <w:t xml:space="preserve">patients </w:t>
      </w:r>
      <w:r w:rsidRPr="00BF3570">
        <w:rPr>
          <w:iCs/>
        </w:rPr>
        <w:t>(82</w:t>
      </w:r>
      <w:r w:rsidR="00E06BC9" w:rsidRPr="00BF3570">
        <w:rPr>
          <w:iCs/>
        </w:rPr>
        <w:t>.0</w:t>
      </w:r>
      <w:r w:rsidRPr="00BF3570">
        <w:rPr>
          <w:iCs/>
        </w:rPr>
        <w:t>%) required a dose interruption over the course of the study, the ESC noted</w:t>
      </w:r>
      <w:r w:rsidR="00E06BC9" w:rsidRPr="00BF3570">
        <w:rPr>
          <w:iCs/>
        </w:rPr>
        <w:t xml:space="preserve"> that</w:t>
      </w:r>
      <w:r w:rsidRPr="00BF3570">
        <w:rPr>
          <w:iCs/>
        </w:rPr>
        <w:t xml:space="preserve"> only </w:t>
      </w:r>
      <w:r w:rsidR="00E06BC9" w:rsidRPr="00BF3570">
        <w:rPr>
          <w:iCs/>
        </w:rPr>
        <w:t>4 patients (6.6</w:t>
      </w:r>
      <w:r w:rsidRPr="00BF3570">
        <w:rPr>
          <w:iCs/>
        </w:rPr>
        <w:t>%</w:t>
      </w:r>
      <w:r w:rsidR="00E06BC9" w:rsidRPr="00BF3570">
        <w:rPr>
          <w:iCs/>
        </w:rPr>
        <w:t>)</w:t>
      </w:r>
      <w:r w:rsidRPr="00BF3570">
        <w:rPr>
          <w:iCs/>
        </w:rPr>
        <w:t xml:space="preserve"> discontinued</w:t>
      </w:r>
      <w:r w:rsidR="00CF015C" w:rsidRPr="00BF3570">
        <w:rPr>
          <w:iCs/>
        </w:rPr>
        <w:t xml:space="preserve"> treatment</w:t>
      </w:r>
      <w:r w:rsidR="00E06BC9" w:rsidRPr="00BF3570">
        <w:rPr>
          <w:iCs/>
        </w:rPr>
        <w:t xml:space="preserve"> due to a drug-related AE, and considered </w:t>
      </w:r>
      <w:r w:rsidR="00CF015C" w:rsidRPr="00BF3570">
        <w:rPr>
          <w:iCs/>
        </w:rPr>
        <w:t xml:space="preserve">it was likely that </w:t>
      </w:r>
      <w:r w:rsidR="00E06BC9" w:rsidRPr="00BF3570">
        <w:rPr>
          <w:iCs/>
        </w:rPr>
        <w:t>belzutifan was relatively well tolerated.</w:t>
      </w:r>
      <w:r w:rsidR="00CF015C" w:rsidRPr="00BF3570">
        <w:rPr>
          <w:iCs/>
        </w:rPr>
        <w:t xml:space="preserve"> </w:t>
      </w:r>
    </w:p>
    <w:p w14:paraId="5643429D" w14:textId="77777777" w:rsidR="0024083E" w:rsidRPr="0049394D" w:rsidRDefault="0024083E" w:rsidP="0024083E">
      <w:pPr>
        <w:pStyle w:val="4-SubsectionHeading"/>
      </w:pPr>
      <w:bookmarkStart w:id="50" w:name="_Toc22897643"/>
      <w:bookmarkStart w:id="51" w:name="_Toc167277635"/>
      <w:r w:rsidRPr="0049394D">
        <w:t>Benefits/harms</w:t>
      </w:r>
      <w:bookmarkEnd w:id="50"/>
      <w:bookmarkEnd w:id="51"/>
    </w:p>
    <w:p w14:paraId="6D5F5541" w14:textId="77777777" w:rsidR="0024083E" w:rsidRPr="0049394D" w:rsidRDefault="0024083E" w:rsidP="0024083E">
      <w:pPr>
        <w:pStyle w:val="3-BodyText"/>
      </w:pPr>
      <w:bookmarkStart w:id="52" w:name="_Ref172207012"/>
      <w:r w:rsidRPr="0049394D">
        <w:rPr>
          <w:snapToGrid/>
        </w:rPr>
        <w:t>The side-by-side comparison of outcomes in LS-004 and the VHL-NHS presented in the submission did not allow for a quantitative comparison of the benefits and harms of belzutifan + active surveillance and active surveillance. Accordingly, a benefits/harms table has not been presented.</w:t>
      </w:r>
      <w:r w:rsidRPr="0049394D">
        <w:t xml:space="preserve"> </w:t>
      </w:r>
      <w:r w:rsidRPr="0049394D">
        <w:rPr>
          <w:snapToGrid/>
        </w:rPr>
        <w:t>Based on the limited presented results from the MAIC, the comparison resulted in:</w:t>
      </w:r>
      <w:bookmarkEnd w:id="52"/>
    </w:p>
    <w:p w14:paraId="7D567EBE" w14:textId="77777777" w:rsidR="0024083E" w:rsidRPr="0049394D" w:rsidRDefault="0024083E" w:rsidP="0024083E">
      <w:pPr>
        <w:pStyle w:val="ListParagraph"/>
        <w:ind w:left="1134"/>
        <w:rPr>
          <w:snapToGrid/>
        </w:rPr>
      </w:pPr>
      <w:r w:rsidRPr="0049394D">
        <w:rPr>
          <w:snapToGrid/>
        </w:rPr>
        <w:t>Approximately an 85% reduction in the risk of renal surgery over a median duration of follow-up of 37.7 months for patients with VHL-associated RCC. The submission did not indicate what difference in surgery rate was considered to be clinically meaningful.</w:t>
      </w:r>
    </w:p>
    <w:p w14:paraId="7A494105" w14:textId="77777777" w:rsidR="0024083E" w:rsidRPr="0049394D" w:rsidRDefault="0024083E" w:rsidP="0024083E">
      <w:pPr>
        <w:pStyle w:val="ListParagraph"/>
        <w:ind w:left="1134"/>
        <w:rPr>
          <w:snapToGrid/>
        </w:rPr>
      </w:pPr>
      <w:r w:rsidRPr="0049394D">
        <w:rPr>
          <w:snapToGrid/>
        </w:rPr>
        <w:t>Approximately an 88% reduction in the risk of surgery for other (non-renal) VHL-associated manifestations over a median duration of follow-up of 37.7 months for patient with VHL-associated RCC. The submission did not indicate what difference in surgery rate was considered to be clinically meaningful.</w:t>
      </w:r>
    </w:p>
    <w:p w14:paraId="5498444E" w14:textId="77777777" w:rsidR="0024083E" w:rsidRPr="0049394D" w:rsidRDefault="0024083E" w:rsidP="0024083E">
      <w:pPr>
        <w:pStyle w:val="4-SubsectionHeading"/>
      </w:pPr>
      <w:bookmarkStart w:id="53" w:name="_Toc22897644"/>
      <w:bookmarkStart w:id="54" w:name="_Toc167277636"/>
      <w:r w:rsidRPr="0049394D">
        <w:t>Clinical claim</w:t>
      </w:r>
      <w:bookmarkEnd w:id="53"/>
      <w:bookmarkEnd w:id="54"/>
    </w:p>
    <w:p w14:paraId="5A0D0914" w14:textId="41C478C3" w:rsidR="00B70081" w:rsidRDefault="0024083E" w:rsidP="0082385A">
      <w:pPr>
        <w:pStyle w:val="3-BodyText"/>
      </w:pPr>
      <w:bookmarkStart w:id="55" w:name="_Hlk166495577"/>
      <w:r w:rsidRPr="0082385A">
        <w:t xml:space="preserve">The submission described </w:t>
      </w:r>
      <w:r w:rsidR="00F36B40" w:rsidRPr="0082385A">
        <w:t>belzutifan + active surveillance</w:t>
      </w:r>
      <w:r w:rsidRPr="0082385A">
        <w:t xml:space="preserve"> as </w:t>
      </w:r>
      <w:r w:rsidR="00F36B40" w:rsidRPr="0082385A">
        <w:t>superior</w:t>
      </w:r>
      <w:r w:rsidRPr="0082385A">
        <w:t xml:space="preserve"> in terms of effectiveness </w:t>
      </w:r>
      <w:r w:rsidR="00301D92" w:rsidRPr="0082385A">
        <w:t xml:space="preserve">and inferior in terms of safety </w:t>
      </w:r>
      <w:r w:rsidRPr="0082385A">
        <w:t xml:space="preserve">compared to </w:t>
      </w:r>
      <w:r w:rsidR="00F36B40" w:rsidRPr="0082385A">
        <w:t>active surveillance</w:t>
      </w:r>
      <w:r w:rsidRPr="0082385A">
        <w:t xml:space="preserve">. </w:t>
      </w:r>
      <w:r w:rsidR="00301D92" w:rsidRPr="00BF3570">
        <w:rPr>
          <w:iCs/>
        </w:rPr>
        <w:t xml:space="preserve">The </w:t>
      </w:r>
      <w:r w:rsidR="003E2FF6" w:rsidRPr="00BF3570">
        <w:rPr>
          <w:iCs/>
        </w:rPr>
        <w:t>ESC</w:t>
      </w:r>
      <w:r w:rsidR="00171BE9" w:rsidRPr="00BF3570">
        <w:rPr>
          <w:iCs/>
        </w:rPr>
        <w:t xml:space="preserve"> considered that the</w:t>
      </w:r>
      <w:r w:rsidR="00171BE9" w:rsidRPr="0082385A">
        <w:t xml:space="preserve"> </w:t>
      </w:r>
      <w:r w:rsidR="00301D92" w:rsidRPr="0082385A">
        <w:t>clinical claim was supported by the evidence presented in LS-004 alone (e.g. tumour growth rates before and after belzutifan</w:t>
      </w:r>
      <w:r w:rsidR="007401D2" w:rsidRPr="0082385A">
        <w:t xml:space="preserve">, number of surgeries before and after belzutifan, </w:t>
      </w:r>
      <w:r w:rsidR="002C378E" w:rsidRPr="0082385A">
        <w:t>and</w:t>
      </w:r>
      <w:r w:rsidR="00301D92" w:rsidRPr="0082385A">
        <w:t xml:space="preserve"> tumour response rates). However, due to the small non-randomised nature of the evidence provided by LS-004 and the largely uninformative MAIC, there was</w:t>
      </w:r>
      <w:r w:rsidR="0007448D" w:rsidRPr="0082385A">
        <w:t xml:space="preserve"> a moderate to high</w:t>
      </w:r>
      <w:r w:rsidR="00301D92" w:rsidRPr="0082385A">
        <w:t xml:space="preserve"> degree of uncertainty around the magnitude of these treatment effects and the generalisability of the results to the Australian population living with VHL disease. In addition, whilst these outcomes may translate into improvements in quality of life and life expectancy </w:t>
      </w:r>
      <w:r w:rsidR="00171BE9" w:rsidRPr="0082385A">
        <w:t>–</w:t>
      </w:r>
      <w:r w:rsidR="00301D92" w:rsidRPr="0082385A">
        <w:t xml:space="preserve"> through a potential reduction in the cumulative morbidity associated with surgery and its complications in this life-long disease – the relationship between these intermediary and more final </w:t>
      </w:r>
      <w:r w:rsidR="003E2FF6" w:rsidRPr="00BF3570">
        <w:rPr>
          <w:iCs/>
        </w:rPr>
        <w:t>and long-term</w:t>
      </w:r>
      <w:r w:rsidR="003E2FF6" w:rsidRPr="0082385A">
        <w:t xml:space="preserve"> </w:t>
      </w:r>
      <w:r w:rsidR="00301D92" w:rsidRPr="0082385A">
        <w:t xml:space="preserve">outcomes </w:t>
      </w:r>
      <w:r w:rsidR="003E2FF6" w:rsidRPr="0082385A">
        <w:t xml:space="preserve">is </w:t>
      </w:r>
      <w:r w:rsidR="00301D92" w:rsidRPr="0082385A">
        <w:t>unknown.</w:t>
      </w:r>
      <w:r w:rsidR="00171BE9" w:rsidRPr="0082385A">
        <w:t xml:space="preserve"> </w:t>
      </w:r>
    </w:p>
    <w:p w14:paraId="589D28B9" w14:textId="5F711B56" w:rsidR="00FF34D7" w:rsidRPr="00CE42B4" w:rsidRDefault="00FF34D7" w:rsidP="00FF34D7">
      <w:pPr>
        <w:widowControl w:val="0"/>
        <w:numPr>
          <w:ilvl w:val="1"/>
          <w:numId w:val="1"/>
        </w:numPr>
        <w:spacing w:after="120"/>
        <w:rPr>
          <w:rFonts w:asciiTheme="minorHAnsi" w:hAnsiTheme="minorHAnsi"/>
          <w:snapToGrid w:val="0"/>
          <w:szCs w:val="20"/>
        </w:rPr>
      </w:pPr>
      <w:bookmarkStart w:id="56"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p>
    <w:p w14:paraId="03FD9476" w14:textId="31DD15F6" w:rsidR="00FF34D7" w:rsidRPr="00FF34D7" w:rsidRDefault="00FF34D7" w:rsidP="00FF34D7">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The PBAC considered that the claim of inferior comparative safety was reasonable.</w:t>
      </w:r>
      <w:bookmarkEnd w:id="56"/>
    </w:p>
    <w:p w14:paraId="1C499CF7" w14:textId="73E408D1" w:rsidR="00E20F5E" w:rsidRPr="0082385A" w:rsidRDefault="00E20F5E" w:rsidP="00E20F5E">
      <w:pPr>
        <w:pStyle w:val="4-SubsectionHeading"/>
      </w:pPr>
      <w:bookmarkStart w:id="57" w:name="_Toc22897645"/>
      <w:bookmarkStart w:id="58" w:name="_Toc166442893"/>
      <w:bookmarkStart w:id="59" w:name="_Toc167277637"/>
      <w:bookmarkStart w:id="60" w:name="_Toc22897646"/>
      <w:bookmarkEnd w:id="55"/>
      <w:r w:rsidRPr="0082385A">
        <w:lastRenderedPageBreak/>
        <w:t>Economic analysis</w:t>
      </w:r>
      <w:bookmarkEnd w:id="57"/>
      <w:bookmarkEnd w:id="58"/>
      <w:bookmarkEnd w:id="59"/>
    </w:p>
    <w:p w14:paraId="4F175E8F" w14:textId="5BD8148C" w:rsidR="00E20F5E" w:rsidRPr="0049394D" w:rsidRDefault="00E20F5E" w:rsidP="00E20F5E">
      <w:pPr>
        <w:pStyle w:val="3-BodyText"/>
      </w:pPr>
      <w:r w:rsidRPr="0049394D">
        <w:t xml:space="preserve">The submission presented a modelled economic evaluation of belzutifan plus active surveillance (belzutifan arm, BEL+AS) compared to active surveillance (AS arm) </w:t>
      </w:r>
      <w:r w:rsidR="008C077D" w:rsidRPr="0049394D">
        <w:t>for the</w:t>
      </w:r>
      <w:r w:rsidR="00185F02" w:rsidRPr="0049394D">
        <w:t xml:space="preserve"> </w:t>
      </w:r>
      <w:r w:rsidRPr="0049394D">
        <w:t>treatment of VHL disease associate</w:t>
      </w:r>
      <w:r w:rsidR="00A101F0" w:rsidRPr="0049394D">
        <w:t>d</w:t>
      </w:r>
      <w:r w:rsidRPr="0049394D">
        <w:t xml:space="preserve"> tumours; based on results from the MAIC using data from LS-004 and VHL-NHS (see Comparative effectiveness), non-randomised data from the pre-treatment period of LS-004 and real-world observational data from the Optum Clinformatics claims database (Optum CDM). The submission </w:t>
      </w:r>
      <w:r w:rsidR="008C077D" w:rsidRPr="0049394D">
        <w:t>argued that</w:t>
      </w:r>
      <w:r w:rsidRPr="0049394D">
        <w:t xml:space="preserve"> the centres in LS-004 and VHL-NHS represented best practice for patients and therefore adjusted the model for real-world time to surgery and metastases from Optum CDM data.</w:t>
      </w:r>
    </w:p>
    <w:p w14:paraId="4E9381F2" w14:textId="6E1E7E4D" w:rsidR="00E20F5E" w:rsidRPr="0049394D" w:rsidRDefault="00E20F5E" w:rsidP="00E20F5E">
      <w:pPr>
        <w:pStyle w:val="3-BodyText"/>
      </w:pPr>
      <w:r w:rsidRPr="0049394D">
        <w:t xml:space="preserve">Optum CDM was a retrospective study based on a US Claims database with </w:t>
      </w:r>
      <w:r w:rsidR="00400749" w:rsidRPr="0049394D">
        <w:t>administrative</w:t>
      </w:r>
      <w:r w:rsidR="001D4640" w:rsidRPr="0049394D">
        <w:t xml:space="preserve"> </w:t>
      </w:r>
      <w:r w:rsidRPr="0049394D">
        <w:t>data</w:t>
      </w:r>
      <w:r w:rsidR="00B14E0C" w:rsidRPr="0049394D">
        <w:t xml:space="preserve"> of VHL patients (identified via an algorithm)</w:t>
      </w:r>
      <w:r w:rsidRPr="0049394D">
        <w:t xml:space="preserve"> between 2007 and 2020 that has previously been utilised in Wang 2023</w:t>
      </w:r>
      <w:r w:rsidR="00400749" w:rsidRPr="0049394D">
        <w:rPr>
          <w:rStyle w:val="FootnoteReference"/>
        </w:rPr>
        <w:footnoteReference w:id="10"/>
      </w:r>
      <w:r w:rsidRPr="0049394D">
        <w:t xml:space="preserve"> </w:t>
      </w:r>
      <w:r w:rsidR="00B14E0C" w:rsidRPr="0049394D">
        <w:t>(a cost-consequ</w:t>
      </w:r>
      <w:r w:rsidR="009268C0" w:rsidRPr="0049394D">
        <w:t>en</w:t>
      </w:r>
      <w:r w:rsidR="00B14E0C" w:rsidRPr="0049394D">
        <w:t>ce study of belzutifan).</w:t>
      </w:r>
      <w:r w:rsidR="001D4640" w:rsidRPr="0049394D">
        <w:t xml:space="preserve"> </w:t>
      </w:r>
      <w:r w:rsidRPr="0049394D">
        <w:t xml:space="preserve">As VHL diagnoses were not explicitly recorded in the database, patients were identified with an algorithm (Figure A.4-1 of the submission appendix 4) and </w:t>
      </w:r>
      <w:r w:rsidR="0071364A" w:rsidRPr="0049394D">
        <w:t xml:space="preserve">the </w:t>
      </w:r>
      <w:r w:rsidRPr="0049394D">
        <w:t xml:space="preserve">index date was </w:t>
      </w:r>
      <w:r w:rsidR="000D52A7" w:rsidRPr="0049394D">
        <w:t xml:space="preserve">the </w:t>
      </w:r>
      <w:r w:rsidRPr="0049394D">
        <w:t xml:space="preserve">first observed tumour diagnosis. </w:t>
      </w:r>
      <w:r w:rsidRPr="0049394D">
        <w:rPr>
          <w:iCs/>
        </w:rPr>
        <w:t xml:space="preserve">Separate but likely overlapping cohorts were identified for the RCC, CNS Hb and pNET models. The submission did not detail how the claims data was converted to transition probabilities and did not provide baseline patient characteristics for comparison with LS-004 or VHL-NHS. As no patient characteristics for the Optum CDM cohort were available, it </w:t>
      </w:r>
      <w:r w:rsidR="00792FDD" w:rsidRPr="0049394D">
        <w:rPr>
          <w:iCs/>
        </w:rPr>
        <w:t>wa</w:t>
      </w:r>
      <w:r w:rsidRPr="0049394D">
        <w:rPr>
          <w:iCs/>
        </w:rPr>
        <w:t>s not possible to assess the applicability of th</w:t>
      </w:r>
      <w:r w:rsidR="00865222" w:rsidRPr="0049394D">
        <w:rPr>
          <w:iCs/>
        </w:rPr>
        <w:t>e</w:t>
      </w:r>
      <w:r w:rsidRPr="0049394D">
        <w:rPr>
          <w:iCs/>
        </w:rPr>
        <w:t xml:space="preserve"> US claims data to an Australian cohort.</w:t>
      </w:r>
    </w:p>
    <w:p w14:paraId="0BECED45" w14:textId="64D8A6B6" w:rsidR="00E20F5E" w:rsidRPr="0049394D" w:rsidRDefault="00E20F5E" w:rsidP="00E20F5E">
      <w:pPr>
        <w:pStyle w:val="3-BodyText"/>
      </w:pPr>
      <w:r w:rsidRPr="0049394D">
        <w:t xml:space="preserve">Separate modelled analyses were presented for each of the target tumour body systems identified in the requested restriction: RCC, CNS and pNETs. These are henceforth referred to as the RCC model, CNS Hb model and pNET model. A summary of the key model inputs is presented in </w:t>
      </w:r>
      <w:r>
        <w:fldChar w:fldCharType="begin" w:fldLock="1"/>
      </w:r>
      <w:r>
        <w:instrText xml:space="preserve"> REF _Ref166363049 </w:instrText>
      </w:r>
      <w:r>
        <w:fldChar w:fldCharType="separate"/>
      </w:r>
      <w:r w:rsidR="00437B51" w:rsidRPr="0049394D">
        <w:t xml:space="preserve">Table </w:t>
      </w:r>
      <w:r w:rsidR="00437B51">
        <w:rPr>
          <w:noProof/>
        </w:rPr>
        <w:t>11</w:t>
      </w:r>
      <w:r>
        <w:rPr>
          <w:noProof/>
        </w:rPr>
        <w:fldChar w:fldCharType="end"/>
      </w:r>
      <w:r w:rsidRPr="0049394D">
        <w:t>.</w:t>
      </w:r>
    </w:p>
    <w:p w14:paraId="1B572711" w14:textId="1E8B1718" w:rsidR="00E20F5E" w:rsidRPr="0049394D" w:rsidRDefault="00E20F5E" w:rsidP="00465819">
      <w:pPr>
        <w:pStyle w:val="Caption"/>
        <w:jc w:val="left"/>
        <w:rPr>
          <w:rStyle w:val="CommentReference"/>
          <w:b/>
          <w:szCs w:val="24"/>
        </w:rPr>
      </w:pPr>
      <w:bookmarkStart w:id="61" w:name="_Ref166363049"/>
      <w:r w:rsidRPr="0049394D">
        <w:lastRenderedPageBreak/>
        <w:t xml:space="preserve">Table </w:t>
      </w:r>
      <w:r>
        <w:fldChar w:fldCharType="begin" w:fldLock="1"/>
      </w:r>
      <w:r>
        <w:instrText xml:space="preserve"> SEQ Table \* ARABIC </w:instrText>
      </w:r>
      <w:r>
        <w:fldChar w:fldCharType="separate"/>
      </w:r>
      <w:r w:rsidR="00437B51">
        <w:rPr>
          <w:noProof/>
        </w:rPr>
        <w:t>11</w:t>
      </w:r>
      <w:r>
        <w:rPr>
          <w:noProof/>
        </w:rPr>
        <w:fldChar w:fldCharType="end"/>
      </w:r>
      <w:bookmarkEnd w:id="61"/>
      <w:r w:rsidRPr="0049394D">
        <w:t>:</w:t>
      </w:r>
      <w:r w:rsidRPr="0049394D">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w:tblPr>
      <w:tblGrid>
        <w:gridCol w:w="1555"/>
        <w:gridCol w:w="7462"/>
      </w:tblGrid>
      <w:tr w:rsidR="00E20F5E" w:rsidRPr="0049394D" w14:paraId="5D393ED8" w14:textId="77777777" w:rsidTr="00465819">
        <w:trPr>
          <w:cantSplit/>
          <w:tblHeader/>
        </w:trPr>
        <w:tc>
          <w:tcPr>
            <w:tcW w:w="862" w:type="pct"/>
            <w:shd w:val="clear" w:color="auto" w:fill="auto"/>
            <w:vAlign w:val="center"/>
          </w:tcPr>
          <w:p w14:paraId="79827716" w14:textId="77777777" w:rsidR="00E20F5E" w:rsidRPr="0049394D" w:rsidRDefault="00E20F5E" w:rsidP="00465819">
            <w:pPr>
              <w:pStyle w:val="In-tableHeading"/>
              <w:keepLines/>
              <w:rPr>
                <w:lang w:val="en-AU"/>
              </w:rPr>
            </w:pPr>
            <w:r w:rsidRPr="0049394D">
              <w:rPr>
                <w:lang w:val="en-AU"/>
              </w:rPr>
              <w:t>Component</w:t>
            </w:r>
          </w:p>
        </w:tc>
        <w:tc>
          <w:tcPr>
            <w:tcW w:w="4138" w:type="pct"/>
            <w:shd w:val="clear" w:color="auto" w:fill="auto"/>
            <w:vAlign w:val="center"/>
          </w:tcPr>
          <w:p w14:paraId="1D1F84E0" w14:textId="77777777" w:rsidR="00E20F5E" w:rsidRPr="0049394D" w:rsidRDefault="00E20F5E" w:rsidP="00465819">
            <w:pPr>
              <w:pStyle w:val="In-tableHeading"/>
              <w:keepLines/>
              <w:rPr>
                <w:lang w:val="en-AU"/>
              </w:rPr>
            </w:pPr>
            <w:r w:rsidRPr="0049394D">
              <w:rPr>
                <w:lang w:val="en-AU"/>
              </w:rPr>
              <w:t>Summary</w:t>
            </w:r>
          </w:p>
        </w:tc>
      </w:tr>
      <w:tr w:rsidR="00E20F5E" w:rsidRPr="0049394D" w14:paraId="783CB827" w14:textId="77777777" w:rsidTr="00465819">
        <w:trPr>
          <w:cantSplit/>
        </w:trPr>
        <w:tc>
          <w:tcPr>
            <w:tcW w:w="862" w:type="pct"/>
            <w:shd w:val="clear" w:color="auto" w:fill="auto"/>
            <w:vAlign w:val="center"/>
          </w:tcPr>
          <w:p w14:paraId="782CCA85" w14:textId="77777777" w:rsidR="00E20F5E" w:rsidRPr="0049394D" w:rsidRDefault="00E20F5E" w:rsidP="00465819">
            <w:pPr>
              <w:pStyle w:val="TableText0"/>
              <w:keepLines/>
            </w:pPr>
            <w:r w:rsidRPr="0049394D">
              <w:t>Treatments</w:t>
            </w:r>
          </w:p>
        </w:tc>
        <w:tc>
          <w:tcPr>
            <w:tcW w:w="4138" w:type="pct"/>
            <w:shd w:val="clear" w:color="auto" w:fill="auto"/>
            <w:vAlign w:val="center"/>
          </w:tcPr>
          <w:p w14:paraId="6962394A" w14:textId="77777777" w:rsidR="00E20F5E" w:rsidRPr="0049394D" w:rsidRDefault="00E20F5E" w:rsidP="00465819">
            <w:pPr>
              <w:pStyle w:val="TableText0"/>
              <w:keepLines/>
              <w:rPr>
                <w:i/>
                <w:iCs/>
              </w:rPr>
            </w:pPr>
            <w:r w:rsidRPr="0049394D">
              <w:t xml:space="preserve">Belzutifan plus active surveillance (BEL+AS) vs active surveillance alone (AS). </w:t>
            </w:r>
            <w:r w:rsidRPr="0049394D">
              <w:rPr>
                <w:iCs/>
              </w:rPr>
              <w:t>The comparator was appropriate.</w:t>
            </w:r>
          </w:p>
        </w:tc>
      </w:tr>
      <w:tr w:rsidR="00E20F5E" w:rsidRPr="0049394D" w14:paraId="7AB3FE81" w14:textId="77777777" w:rsidTr="00465819">
        <w:trPr>
          <w:cantSplit/>
        </w:trPr>
        <w:tc>
          <w:tcPr>
            <w:tcW w:w="862" w:type="pct"/>
            <w:shd w:val="clear" w:color="auto" w:fill="auto"/>
            <w:vAlign w:val="center"/>
          </w:tcPr>
          <w:p w14:paraId="4C719C10" w14:textId="79DDFF84" w:rsidR="00E20F5E" w:rsidRPr="0049394D" w:rsidRDefault="00E20F5E" w:rsidP="00465819">
            <w:pPr>
              <w:pStyle w:val="TableText0"/>
              <w:keepLines/>
            </w:pPr>
            <w:r w:rsidRPr="0049394D">
              <w:t>Time horizon</w:t>
            </w:r>
            <w:r w:rsidR="008679A4" w:rsidRPr="0049394D">
              <w:t xml:space="preserve"> / Starting age</w:t>
            </w:r>
          </w:p>
        </w:tc>
        <w:tc>
          <w:tcPr>
            <w:tcW w:w="4138" w:type="pct"/>
            <w:shd w:val="clear" w:color="auto" w:fill="auto"/>
          </w:tcPr>
          <w:p w14:paraId="3D7D013B" w14:textId="490CEBDA" w:rsidR="00E20F5E" w:rsidRPr="0049394D" w:rsidRDefault="00E20F5E" w:rsidP="00465819">
            <w:pPr>
              <w:pStyle w:val="TableText0"/>
              <w:keepLines/>
            </w:pPr>
            <w:r w:rsidRPr="0049394D">
              <w:t>40 years in the model base case vs. 38.1 months (mean) in LS-004 and 112.0 months (mean) in VHL-NHS</w:t>
            </w:r>
            <w:r w:rsidR="000B5176" w:rsidRPr="0049394D">
              <w:t>. Starting age was 41.0 years based of the mean age of the population in LS-004.</w:t>
            </w:r>
          </w:p>
          <w:p w14:paraId="7FA51217" w14:textId="48722B64" w:rsidR="00E20F5E" w:rsidRPr="0049394D" w:rsidRDefault="00E20F5E" w:rsidP="00465819">
            <w:pPr>
              <w:pStyle w:val="TableText0"/>
              <w:keepLines/>
            </w:pPr>
            <w:r w:rsidRPr="0049394D">
              <w:rPr>
                <w:iCs/>
              </w:rPr>
              <w:t xml:space="preserve">While VHL is a life-long condition, the extrapolated period far exceeds the length of the belzutifan study follow up and the majority of the belzutifan benefit </w:t>
            </w:r>
            <w:r w:rsidR="00EC7951" w:rsidRPr="0049394D">
              <w:rPr>
                <w:iCs/>
              </w:rPr>
              <w:t xml:space="preserve">was </w:t>
            </w:r>
            <w:r w:rsidRPr="0049394D">
              <w:rPr>
                <w:iCs/>
              </w:rPr>
              <w:t>accrued beyond the study period. The model also did not utilise KM data directly, instead with extrapolations and summary transition probabilities implemented from the first cycle (i.e. Time 0).</w:t>
            </w:r>
            <w:r w:rsidR="000B5176" w:rsidRPr="0049394D">
              <w:rPr>
                <w:iCs/>
              </w:rPr>
              <w:t xml:space="preserve"> The starting age was reasonable in that it matched the clinical evidence, but may not represent the population who utilises belzutifan if preferred use is in CNS Hb, which first occur</w:t>
            </w:r>
            <w:r w:rsidR="008679A4" w:rsidRPr="0049394D">
              <w:rPr>
                <w:iCs/>
              </w:rPr>
              <w:t>s</w:t>
            </w:r>
            <w:r w:rsidR="000B5176" w:rsidRPr="0049394D">
              <w:rPr>
                <w:iCs/>
              </w:rPr>
              <w:t xml:space="preserve"> at a younger age. No evidence was provided that could model a theoretical cohort of younger patients in either treatment arm.</w:t>
            </w:r>
          </w:p>
        </w:tc>
      </w:tr>
      <w:tr w:rsidR="00E20F5E" w:rsidRPr="0049394D" w14:paraId="7AE7516C" w14:textId="77777777" w:rsidTr="00465819">
        <w:trPr>
          <w:cantSplit/>
        </w:trPr>
        <w:tc>
          <w:tcPr>
            <w:tcW w:w="862" w:type="pct"/>
            <w:shd w:val="clear" w:color="auto" w:fill="auto"/>
            <w:vAlign w:val="center"/>
          </w:tcPr>
          <w:p w14:paraId="66378855" w14:textId="77777777" w:rsidR="00E20F5E" w:rsidRPr="0049394D" w:rsidRDefault="00E20F5E" w:rsidP="00465819">
            <w:pPr>
              <w:pStyle w:val="TableText0"/>
              <w:keepLines/>
            </w:pPr>
            <w:r w:rsidRPr="0049394D">
              <w:t>Outcomes</w:t>
            </w:r>
          </w:p>
        </w:tc>
        <w:tc>
          <w:tcPr>
            <w:tcW w:w="4138" w:type="pct"/>
            <w:shd w:val="clear" w:color="auto" w:fill="auto"/>
          </w:tcPr>
          <w:p w14:paraId="7B760D40" w14:textId="6EC018F1" w:rsidR="00E20F5E" w:rsidRPr="0049394D" w:rsidRDefault="00E20F5E" w:rsidP="00465819">
            <w:pPr>
              <w:pStyle w:val="TableText0"/>
              <w:keepLines/>
              <w:rPr>
                <w:i/>
                <w:iCs/>
              </w:rPr>
            </w:pPr>
            <w:r w:rsidRPr="0049394D">
              <w:t xml:space="preserve">Life years gained, quality-adjusted life years. </w:t>
            </w:r>
            <w:r w:rsidRPr="00BF3570">
              <w:t>The</w:t>
            </w:r>
            <w:r w:rsidR="004A3669" w:rsidRPr="00BF3570">
              <w:t xml:space="preserve"> evaluation considered that the</w:t>
            </w:r>
            <w:r w:rsidRPr="00BF3570">
              <w:t>se</w:t>
            </w:r>
            <w:r w:rsidRPr="0049394D">
              <w:rPr>
                <w:iCs/>
              </w:rPr>
              <w:t xml:space="preserve"> were reasonable, </w:t>
            </w:r>
            <w:r w:rsidR="006715DF" w:rsidRPr="0049394D">
              <w:rPr>
                <w:iCs/>
              </w:rPr>
              <w:t xml:space="preserve">however </w:t>
            </w:r>
            <w:r w:rsidRPr="0049394D">
              <w:rPr>
                <w:iCs/>
              </w:rPr>
              <w:t>as a clinical outcome of interest to patients is avoidance of surgeries, the number of surgeries would also be an informative outcome.</w:t>
            </w:r>
            <w:r w:rsidR="004A3669" w:rsidRPr="0049394D">
              <w:rPr>
                <w:iCs/>
              </w:rPr>
              <w:t xml:space="preserve"> </w:t>
            </w:r>
            <w:r w:rsidR="004A3669" w:rsidRPr="00BF3570">
              <w:t>The ESC noted that cost per responder would also be an informative outcome.</w:t>
            </w:r>
          </w:p>
        </w:tc>
      </w:tr>
      <w:tr w:rsidR="00E20F5E" w:rsidRPr="0049394D" w14:paraId="5E0B605F" w14:textId="77777777" w:rsidTr="00465819">
        <w:trPr>
          <w:cantSplit/>
        </w:trPr>
        <w:tc>
          <w:tcPr>
            <w:tcW w:w="862" w:type="pct"/>
            <w:shd w:val="clear" w:color="auto" w:fill="auto"/>
            <w:vAlign w:val="center"/>
          </w:tcPr>
          <w:p w14:paraId="172BA222" w14:textId="77777777" w:rsidR="00E20F5E" w:rsidRPr="0049394D" w:rsidRDefault="00E20F5E" w:rsidP="00282F0D">
            <w:pPr>
              <w:pStyle w:val="TableText0"/>
              <w:keepNext w:val="0"/>
            </w:pPr>
            <w:r w:rsidRPr="0049394D">
              <w:t>Methods used to generate results</w:t>
            </w:r>
          </w:p>
        </w:tc>
        <w:tc>
          <w:tcPr>
            <w:tcW w:w="4138" w:type="pct"/>
            <w:shd w:val="clear" w:color="auto" w:fill="auto"/>
            <w:vAlign w:val="center"/>
          </w:tcPr>
          <w:p w14:paraId="7FF7BC9A" w14:textId="68AC0EF0" w:rsidR="00E20F5E" w:rsidRPr="0049394D" w:rsidRDefault="00E20F5E" w:rsidP="00282F0D">
            <w:pPr>
              <w:pStyle w:val="TableText0"/>
              <w:keepNext w:val="0"/>
            </w:pPr>
            <w:r w:rsidRPr="0049394D">
              <w:t xml:space="preserve">Three Markov cohort models for RCC, CNS Hb and pNET populations. </w:t>
            </w:r>
            <w:r w:rsidR="00036C9D" w:rsidRPr="00BF3570">
              <w:t>The ESC considered that while</w:t>
            </w:r>
            <w:r w:rsidR="00036C9D" w:rsidRPr="0049394D">
              <w:rPr>
                <w:iCs/>
              </w:rPr>
              <w:t xml:space="preserve"> </w:t>
            </w:r>
            <w:r w:rsidRPr="0049394D">
              <w:rPr>
                <w:iCs/>
              </w:rPr>
              <w:t xml:space="preserve">a Markov approach </w:t>
            </w:r>
            <w:r w:rsidR="00036C9D" w:rsidRPr="0049394D">
              <w:rPr>
                <w:iCs/>
              </w:rPr>
              <w:t>wa</w:t>
            </w:r>
            <w:r w:rsidRPr="0049394D">
              <w:rPr>
                <w:iCs/>
              </w:rPr>
              <w:t>s reasonable, the models</w:t>
            </w:r>
            <w:r w:rsidR="001F5CFF" w:rsidRPr="0049394D">
              <w:rPr>
                <w:iCs/>
              </w:rPr>
              <w:t xml:space="preserve"> </w:t>
            </w:r>
            <w:r w:rsidR="001F5CFF" w:rsidRPr="00BF3570">
              <w:t>were overly complex and</w:t>
            </w:r>
            <w:r w:rsidRPr="0049394D">
              <w:rPr>
                <w:iCs/>
              </w:rPr>
              <w:t xml:space="preserve"> relied on multiple data sources and assumptions to populate the large number of health states, which included tunnel states to allow the model to memorise patient history in terms of number of surgeries.</w:t>
            </w:r>
          </w:p>
        </w:tc>
      </w:tr>
      <w:tr w:rsidR="00E20F5E" w:rsidRPr="0049394D" w14:paraId="5590AAD1" w14:textId="77777777" w:rsidTr="00465819">
        <w:trPr>
          <w:cantSplit/>
        </w:trPr>
        <w:tc>
          <w:tcPr>
            <w:tcW w:w="862" w:type="pct"/>
            <w:shd w:val="clear" w:color="auto" w:fill="auto"/>
            <w:vAlign w:val="center"/>
          </w:tcPr>
          <w:p w14:paraId="757D033C" w14:textId="77777777" w:rsidR="00E20F5E" w:rsidRPr="0049394D" w:rsidRDefault="00E20F5E" w:rsidP="00282F0D">
            <w:pPr>
              <w:pStyle w:val="TableText0"/>
              <w:keepNext w:val="0"/>
            </w:pPr>
            <w:r w:rsidRPr="0049394D">
              <w:t>Health states</w:t>
            </w:r>
          </w:p>
        </w:tc>
        <w:tc>
          <w:tcPr>
            <w:tcW w:w="4138" w:type="pct"/>
            <w:shd w:val="clear" w:color="auto" w:fill="auto"/>
            <w:vAlign w:val="center"/>
          </w:tcPr>
          <w:p w14:paraId="57F2161F" w14:textId="77777777" w:rsidR="00E20F5E" w:rsidRPr="0049394D" w:rsidRDefault="00E20F5E" w:rsidP="00282F0D">
            <w:pPr>
              <w:pStyle w:val="TableText0"/>
              <w:keepNext w:val="0"/>
            </w:pPr>
            <w:r w:rsidRPr="0049394D">
              <w:t>12 health states in the AS arm:</w:t>
            </w:r>
          </w:p>
          <w:p w14:paraId="7D4790E1" w14:textId="77777777" w:rsidR="00E20F5E" w:rsidRPr="0049394D" w:rsidRDefault="00E20F5E" w:rsidP="003E71CC">
            <w:pPr>
              <w:pStyle w:val="TableText0"/>
              <w:keepNext w:val="0"/>
              <w:numPr>
                <w:ilvl w:val="0"/>
                <w:numId w:val="12"/>
              </w:numPr>
              <w:ind w:left="289" w:hanging="147"/>
            </w:pPr>
            <w:r w:rsidRPr="0049394D">
              <w:t>Pre-surgery state</w:t>
            </w:r>
          </w:p>
          <w:p w14:paraId="3D8DFDFA" w14:textId="77777777" w:rsidR="00E20F5E" w:rsidRPr="0049394D" w:rsidRDefault="00E20F5E" w:rsidP="003E71CC">
            <w:pPr>
              <w:pStyle w:val="TableText0"/>
              <w:keepNext w:val="0"/>
              <w:numPr>
                <w:ilvl w:val="0"/>
                <w:numId w:val="12"/>
              </w:numPr>
              <w:ind w:left="289" w:hanging="147"/>
            </w:pPr>
            <w:r w:rsidRPr="0049394D">
              <w:t>3 surgery tunnel states (1</w:t>
            </w:r>
            <w:r w:rsidRPr="0049394D">
              <w:rPr>
                <w:vertAlign w:val="superscript"/>
              </w:rPr>
              <w:t xml:space="preserve">st, </w:t>
            </w:r>
            <w:r w:rsidRPr="0049394D">
              <w:t>2</w:t>
            </w:r>
            <w:r w:rsidRPr="0049394D">
              <w:rPr>
                <w:vertAlign w:val="superscript"/>
              </w:rPr>
              <w:t>nd</w:t>
            </w:r>
            <w:r w:rsidRPr="0049394D">
              <w:t xml:space="preserve"> or 3</w:t>
            </w:r>
            <w:r w:rsidRPr="0049394D">
              <w:rPr>
                <w:vertAlign w:val="superscript"/>
              </w:rPr>
              <w:t>rd</w:t>
            </w:r>
            <w:r w:rsidRPr="0049394D">
              <w:t>+ surgery)</w:t>
            </w:r>
          </w:p>
          <w:p w14:paraId="0B552B94" w14:textId="77777777" w:rsidR="00E20F5E" w:rsidRPr="0049394D" w:rsidRDefault="00E20F5E" w:rsidP="003E71CC">
            <w:pPr>
              <w:pStyle w:val="TableText0"/>
              <w:keepNext w:val="0"/>
              <w:numPr>
                <w:ilvl w:val="0"/>
                <w:numId w:val="12"/>
              </w:numPr>
              <w:ind w:left="289" w:hanging="147"/>
            </w:pPr>
            <w:r w:rsidRPr="0049394D">
              <w:t>3 EFS post-surgery (post 1</w:t>
            </w:r>
            <w:r w:rsidRPr="0049394D">
              <w:rPr>
                <w:vertAlign w:val="superscript"/>
              </w:rPr>
              <w:t xml:space="preserve">st, </w:t>
            </w:r>
            <w:r w:rsidRPr="0049394D">
              <w:t>2</w:t>
            </w:r>
            <w:r w:rsidRPr="0049394D">
              <w:rPr>
                <w:vertAlign w:val="superscript"/>
              </w:rPr>
              <w:t>nd</w:t>
            </w:r>
            <w:r w:rsidRPr="0049394D">
              <w:t xml:space="preserve"> or 3</w:t>
            </w:r>
            <w:r w:rsidRPr="0049394D">
              <w:rPr>
                <w:vertAlign w:val="superscript"/>
              </w:rPr>
              <w:t>rd</w:t>
            </w:r>
            <w:r w:rsidRPr="0049394D">
              <w:t>+ surgery)</w:t>
            </w:r>
          </w:p>
          <w:p w14:paraId="5D757261" w14:textId="48980067" w:rsidR="00E20F5E" w:rsidRPr="0049394D" w:rsidRDefault="00E20F5E" w:rsidP="003E71CC">
            <w:pPr>
              <w:pStyle w:val="TableText0"/>
              <w:keepNext w:val="0"/>
              <w:numPr>
                <w:ilvl w:val="0"/>
                <w:numId w:val="12"/>
              </w:numPr>
              <w:ind w:left="289" w:hanging="147"/>
            </w:pPr>
            <w:r w:rsidRPr="0049394D">
              <w:t>4 Metastatic disease states (by number of surgeries 0-3+), where metastatic disease referred to metastatic pNETs or RCC and could occur in all models</w:t>
            </w:r>
            <w:r w:rsidR="009F725C" w:rsidRPr="0049394D">
              <w:t>.</w:t>
            </w:r>
          </w:p>
          <w:p w14:paraId="7DB1D41E" w14:textId="77777777" w:rsidR="00E20F5E" w:rsidRPr="0049394D" w:rsidRDefault="00E20F5E" w:rsidP="003E71CC">
            <w:pPr>
              <w:pStyle w:val="TableText0"/>
              <w:keepNext w:val="0"/>
              <w:numPr>
                <w:ilvl w:val="0"/>
                <w:numId w:val="12"/>
              </w:numPr>
              <w:ind w:left="289" w:hanging="147"/>
            </w:pPr>
            <w:r w:rsidRPr="0049394D">
              <w:t>Dead</w:t>
            </w:r>
          </w:p>
          <w:p w14:paraId="2A237DC8" w14:textId="77777777" w:rsidR="00E20F5E" w:rsidRPr="0049394D" w:rsidRDefault="00E20F5E" w:rsidP="00282F0D">
            <w:pPr>
              <w:pStyle w:val="TableText0"/>
              <w:keepNext w:val="0"/>
            </w:pPr>
            <w:r w:rsidRPr="0049394D">
              <w:t>19 health states in the BEL+AS arm:</w:t>
            </w:r>
          </w:p>
          <w:p w14:paraId="2E9D374D" w14:textId="16EB3F4D" w:rsidR="00E20F5E" w:rsidRPr="0049394D" w:rsidRDefault="00E20F5E" w:rsidP="003E71CC">
            <w:pPr>
              <w:pStyle w:val="TableText0"/>
              <w:keepNext w:val="0"/>
              <w:numPr>
                <w:ilvl w:val="0"/>
                <w:numId w:val="12"/>
              </w:numPr>
              <w:ind w:left="289" w:hanging="147"/>
            </w:pPr>
            <w:r w:rsidRPr="0049394D">
              <w:t>12 health states as AS arm, plus 7 on treatment (pre-surgery, surgery 1,2,3+, EFS post-surgery 1,2,3+)</w:t>
            </w:r>
          </w:p>
          <w:p w14:paraId="492917BD" w14:textId="378DE25F" w:rsidR="00887C73" w:rsidRPr="0049394D" w:rsidRDefault="00E20F5E" w:rsidP="00282F0D">
            <w:pPr>
              <w:pStyle w:val="TableText0"/>
              <w:keepNext w:val="0"/>
            </w:pPr>
            <w:r w:rsidRPr="0049394D">
              <w:t xml:space="preserve">Health states refer only to target tumour (tumour in model body system). </w:t>
            </w:r>
            <w:r w:rsidR="00887C73" w:rsidRPr="00BF3570">
              <w:rPr>
                <w:iCs/>
              </w:rPr>
              <w:t>The ESC noted that</w:t>
            </w:r>
            <w:r w:rsidR="00887C73" w:rsidRPr="0049394D">
              <w:t xml:space="preserve"> c</w:t>
            </w:r>
            <w:r w:rsidRPr="0049394D">
              <w:t xml:space="preserve">osts and disutilities for non-target tumour surgeries were modelled independently of health state transitions. </w:t>
            </w:r>
            <w:r w:rsidR="00887C73" w:rsidRPr="00BF3570">
              <w:rPr>
                <w:iCs/>
              </w:rPr>
              <w:t>The ESC considered that</w:t>
            </w:r>
            <w:r w:rsidR="00A415E7" w:rsidRPr="00BF3570">
              <w:rPr>
                <w:iCs/>
              </w:rPr>
              <w:t xml:space="preserve"> this was inappropriate and advised that</w:t>
            </w:r>
            <w:r w:rsidR="00887C73" w:rsidRPr="00BF3570">
              <w:rPr>
                <w:iCs/>
              </w:rPr>
              <w:t xml:space="preserve"> non-target tumour surgeries </w:t>
            </w:r>
            <w:r w:rsidR="00A415E7" w:rsidRPr="00BF3570">
              <w:rPr>
                <w:iCs/>
              </w:rPr>
              <w:t xml:space="preserve">should </w:t>
            </w:r>
            <w:r w:rsidR="001430C4" w:rsidRPr="00BF3570">
              <w:rPr>
                <w:iCs/>
              </w:rPr>
              <w:t xml:space="preserve">have </w:t>
            </w:r>
            <w:r w:rsidR="00A415E7" w:rsidRPr="00BF3570">
              <w:rPr>
                <w:iCs/>
              </w:rPr>
              <w:t>be</w:t>
            </w:r>
            <w:r w:rsidR="001430C4" w:rsidRPr="00BF3570">
              <w:rPr>
                <w:iCs/>
              </w:rPr>
              <w:t>en</w:t>
            </w:r>
            <w:r w:rsidR="00887C73" w:rsidRPr="00BF3570">
              <w:rPr>
                <w:iCs/>
              </w:rPr>
              <w:t xml:space="preserve"> incorporated into the transition probabilities and model structure.</w:t>
            </w:r>
          </w:p>
          <w:p w14:paraId="438EDCB6" w14:textId="77777777" w:rsidR="00E20F5E" w:rsidRPr="0049394D" w:rsidRDefault="00E20F5E" w:rsidP="00282F0D">
            <w:pPr>
              <w:pStyle w:val="TableText0"/>
              <w:keepNext w:val="0"/>
            </w:pPr>
            <w:r w:rsidRPr="0049394D">
              <w:t>EFS post-surgery and metastatic states were modelled similarly regardless of entry state, but were included as separate states in the Markov trace sheets to allow the model to remember patient history. Metastatic and death states also had a first and subsequent cycle sub states to track event costs and disutilities.</w:t>
            </w:r>
          </w:p>
          <w:p w14:paraId="5AB611B9" w14:textId="77777777" w:rsidR="00E20F5E" w:rsidRPr="0049394D" w:rsidRDefault="00E20F5E" w:rsidP="00282F0D">
            <w:pPr>
              <w:pStyle w:val="TableText0"/>
              <w:keepNext w:val="0"/>
            </w:pPr>
          </w:p>
          <w:p w14:paraId="15D2DDB8" w14:textId="77777777" w:rsidR="00E20F5E" w:rsidRPr="0049394D" w:rsidRDefault="00E20F5E" w:rsidP="00282F0D">
            <w:pPr>
              <w:pStyle w:val="TableText0"/>
              <w:keepNext w:val="0"/>
            </w:pPr>
            <w:r w:rsidRPr="0049394D">
              <w:t>Surgery states lasted 1 cycle (one week) and patients moved either to EFS post-surgery or to death in the next cycle.</w:t>
            </w:r>
          </w:p>
        </w:tc>
      </w:tr>
      <w:tr w:rsidR="00E20F5E" w:rsidRPr="0049394D" w14:paraId="24F5129E" w14:textId="77777777" w:rsidTr="00465819">
        <w:trPr>
          <w:cantSplit/>
        </w:trPr>
        <w:tc>
          <w:tcPr>
            <w:tcW w:w="862" w:type="pct"/>
            <w:shd w:val="clear" w:color="auto" w:fill="auto"/>
            <w:vAlign w:val="center"/>
          </w:tcPr>
          <w:p w14:paraId="29F5FF00" w14:textId="77777777" w:rsidR="00E20F5E" w:rsidRPr="0049394D" w:rsidRDefault="00E20F5E" w:rsidP="00282F0D">
            <w:pPr>
              <w:pStyle w:val="TableText0"/>
              <w:keepNext w:val="0"/>
            </w:pPr>
            <w:r w:rsidRPr="0049394D">
              <w:t>Cycle length</w:t>
            </w:r>
          </w:p>
        </w:tc>
        <w:tc>
          <w:tcPr>
            <w:tcW w:w="4138" w:type="pct"/>
            <w:shd w:val="clear" w:color="auto" w:fill="auto"/>
            <w:vAlign w:val="center"/>
          </w:tcPr>
          <w:p w14:paraId="5D446C21" w14:textId="5075C2A1" w:rsidR="00E20F5E" w:rsidRPr="0049394D" w:rsidRDefault="00E20F5E" w:rsidP="00282F0D">
            <w:pPr>
              <w:pStyle w:val="TableText0"/>
              <w:keepNext w:val="0"/>
              <w:rPr>
                <w:i/>
                <w:iCs/>
              </w:rPr>
            </w:pPr>
            <w:r w:rsidRPr="0049394D">
              <w:t xml:space="preserve">1 week with half cycle correction for </w:t>
            </w:r>
            <w:r w:rsidR="008B34DB" w:rsidRPr="0049394D">
              <w:t>s</w:t>
            </w:r>
            <w:r w:rsidRPr="0049394D">
              <w:t xml:space="preserve">ome outcomes (i.e., not applied to drug costs). </w:t>
            </w:r>
            <w:r w:rsidRPr="00BF3570">
              <w:t>Th</w:t>
            </w:r>
            <w:r w:rsidR="00B76F97" w:rsidRPr="00BF3570">
              <w:t xml:space="preserve">e evaluation considered that this </w:t>
            </w:r>
            <w:r w:rsidRPr="0049394D">
              <w:rPr>
                <w:iCs/>
              </w:rPr>
              <w:t>was reasonable.</w:t>
            </w:r>
          </w:p>
        </w:tc>
      </w:tr>
      <w:tr w:rsidR="00E20F5E" w:rsidRPr="0049394D" w14:paraId="1AED2231" w14:textId="77777777" w:rsidTr="00465819">
        <w:trPr>
          <w:cantSplit/>
        </w:trPr>
        <w:tc>
          <w:tcPr>
            <w:tcW w:w="862" w:type="pct"/>
            <w:shd w:val="clear" w:color="auto" w:fill="auto"/>
            <w:vAlign w:val="center"/>
          </w:tcPr>
          <w:p w14:paraId="68D80F10" w14:textId="77777777" w:rsidR="00E20F5E" w:rsidRPr="0049394D" w:rsidRDefault="00E20F5E" w:rsidP="00282F0D">
            <w:pPr>
              <w:pStyle w:val="TableText0"/>
              <w:keepNext w:val="0"/>
            </w:pPr>
            <w:r w:rsidRPr="0049394D">
              <w:lastRenderedPageBreak/>
              <w:t xml:space="preserve">Transition probabilities </w:t>
            </w:r>
          </w:p>
        </w:tc>
        <w:tc>
          <w:tcPr>
            <w:tcW w:w="4138" w:type="pct"/>
            <w:shd w:val="clear" w:color="auto" w:fill="auto"/>
            <w:vAlign w:val="center"/>
          </w:tcPr>
          <w:p w14:paraId="43C6C695" w14:textId="7D4EDB6F" w:rsidR="00E20F5E" w:rsidRPr="0049394D" w:rsidRDefault="00E20F5E" w:rsidP="00282F0D">
            <w:pPr>
              <w:pStyle w:val="TableText0"/>
              <w:keepNext w:val="0"/>
            </w:pPr>
            <w:r w:rsidRPr="0049394D">
              <w:t>Transition probabilities in the AS arm were primarily sourced from the VHL-NHS cohorts reweighted in the MAIC (pre-surgery to surgery, RCC model; pre-surgery to metastases, all models; pre-surgery to dead, all models), LS-004 pre-treatment period (pre-surgery to surgery, CNS Hb and pNET models); and Optum CDM (applied to all models to adjust time to subsequent surgeries and time to metastases to ‘real world’). Time to surgeries and metastases from EFS post-surgery states were based on pre-surgery rates. Time to death from metastatic disease was based on multiple studies of first line treatment of metastatic RCC and pNETs. Death from surgery was derived from published literature</w:t>
            </w:r>
            <w:r w:rsidR="008F5385" w:rsidRPr="0049394D">
              <w:t xml:space="preserve"> (Johnson 2008</w:t>
            </w:r>
            <w:r w:rsidR="008F5385" w:rsidRPr="0049394D">
              <w:rPr>
                <w:rStyle w:val="FootnoteReference"/>
              </w:rPr>
              <w:footnoteReference w:id="11"/>
            </w:r>
            <w:r w:rsidR="008F5385" w:rsidRPr="0049394D">
              <w:t>, Lonser 2003</w:t>
            </w:r>
            <w:r w:rsidR="008F5385" w:rsidRPr="0049394D">
              <w:rPr>
                <w:rStyle w:val="FootnoteReference"/>
              </w:rPr>
              <w:footnoteReference w:id="12"/>
            </w:r>
            <w:r w:rsidR="008F5385" w:rsidRPr="0049394D">
              <w:t xml:space="preserve"> Krauss 2018</w:t>
            </w:r>
            <w:r w:rsidR="008F5385" w:rsidRPr="0049394D">
              <w:rPr>
                <w:rStyle w:val="FootnoteReference"/>
              </w:rPr>
              <w:footnoteReference w:id="13"/>
            </w:r>
            <w:r w:rsidR="008F5385" w:rsidRPr="0049394D">
              <w:t>)</w:t>
            </w:r>
            <w:r w:rsidRPr="0049394D">
              <w:t xml:space="preserve">. </w:t>
            </w:r>
          </w:p>
          <w:p w14:paraId="5FFB3A67" w14:textId="77777777" w:rsidR="006C225C" w:rsidRPr="0049394D" w:rsidRDefault="006C225C" w:rsidP="00282F0D">
            <w:pPr>
              <w:pStyle w:val="TableText0"/>
              <w:keepNext w:val="0"/>
            </w:pPr>
          </w:p>
          <w:p w14:paraId="5691675F" w14:textId="4101FB18" w:rsidR="006C225C" w:rsidRPr="0049394D" w:rsidRDefault="00E20F5E" w:rsidP="00282F0D">
            <w:pPr>
              <w:pStyle w:val="TableText0"/>
              <w:keepNext w:val="0"/>
            </w:pPr>
            <w:r w:rsidRPr="0049394D">
              <w:t xml:space="preserve">Treatment benefit in the BEL+AS arm was based on time to surgery in LS-004 vs the AS arm, and the benefit applied to transition probabilities across the models: pre-surgery to surgery, EFS post-surgery to subsequent surgery; pre-surgery or EFS post-surgery to metastatic disease; and pre-surgery or EFS post-surgery to death (for a proportion of patients in each model assumed to have CNS Hb tumours). </w:t>
            </w:r>
          </w:p>
          <w:p w14:paraId="3025380C" w14:textId="77777777" w:rsidR="006C225C" w:rsidRPr="0049394D" w:rsidRDefault="006C225C" w:rsidP="00282F0D">
            <w:pPr>
              <w:pStyle w:val="TableText0"/>
              <w:keepNext w:val="0"/>
            </w:pPr>
          </w:p>
          <w:p w14:paraId="462603D8" w14:textId="46FC37BA" w:rsidR="00BB19CF" w:rsidRPr="0049394D" w:rsidRDefault="00E20F5E" w:rsidP="00282F0D">
            <w:pPr>
              <w:pStyle w:val="TableText0"/>
              <w:keepNext w:val="0"/>
            </w:pPr>
            <w:r w:rsidRPr="0049394D">
              <w:t>The benefit applied for patients on treatment, plus discontinued patients up to Year 3.84</w:t>
            </w:r>
            <w:r w:rsidR="008F5385" w:rsidRPr="0049394D">
              <w:t xml:space="preserve">, </w:t>
            </w:r>
            <w:r w:rsidR="008F5385" w:rsidRPr="0049394D">
              <w:rPr>
                <w:iCs/>
              </w:rPr>
              <w:t>which</w:t>
            </w:r>
            <w:r w:rsidR="008F5385" w:rsidRPr="00BF3570">
              <w:t xml:space="preserve"> </w:t>
            </w:r>
            <w:r w:rsidR="00994467" w:rsidRPr="00BF3570">
              <w:t xml:space="preserve">the </w:t>
            </w:r>
            <w:r w:rsidR="003A1273" w:rsidRPr="00BF3570">
              <w:t>ESC</w:t>
            </w:r>
            <w:r w:rsidR="00994467" w:rsidRPr="00BF3570">
              <w:t xml:space="preserve"> considered</w:t>
            </w:r>
            <w:r w:rsidR="008B3F86" w:rsidRPr="00BF3570">
              <w:t xml:space="preserve"> </w:t>
            </w:r>
            <w:r w:rsidR="008F5385" w:rsidRPr="0049394D">
              <w:rPr>
                <w:iCs/>
              </w:rPr>
              <w:t>was reasonable as the estimated benefit included discontinued patients to this time point</w:t>
            </w:r>
            <w:r w:rsidRPr="0049394D">
              <w:t xml:space="preserve">. For discontinued patients, a linear treatment waning effect was applied between Year 3.84 and 6.55, and they were modelled with AS transition probabilities thereafter. </w:t>
            </w:r>
          </w:p>
          <w:p w14:paraId="1F1BA3F7" w14:textId="77777777" w:rsidR="00BB19CF" w:rsidRPr="0049394D" w:rsidRDefault="00BB19CF" w:rsidP="00282F0D">
            <w:pPr>
              <w:pStyle w:val="TableText0"/>
              <w:keepNext w:val="0"/>
            </w:pPr>
          </w:p>
          <w:p w14:paraId="3BBD1FF1" w14:textId="12493FA7" w:rsidR="00E20F5E" w:rsidRPr="0049394D" w:rsidRDefault="00E20F5E" w:rsidP="00282F0D">
            <w:pPr>
              <w:pStyle w:val="TableText0"/>
              <w:keepNext w:val="0"/>
            </w:pPr>
            <w:r w:rsidRPr="0049394D">
              <w:t>Time on belzutifan was based on LS-004.</w:t>
            </w:r>
          </w:p>
          <w:p w14:paraId="617F23E9" w14:textId="77777777" w:rsidR="00E20F5E" w:rsidRPr="0049394D" w:rsidRDefault="00E20F5E" w:rsidP="00282F0D">
            <w:pPr>
              <w:pStyle w:val="TableText0"/>
              <w:keepNext w:val="0"/>
            </w:pPr>
          </w:p>
          <w:p w14:paraId="344F3F33" w14:textId="7A741C56" w:rsidR="00756116" w:rsidRPr="0049394D" w:rsidRDefault="00E20F5E" w:rsidP="00282F0D">
            <w:pPr>
              <w:pStyle w:val="TableText0"/>
              <w:keepNext w:val="0"/>
            </w:pPr>
            <w:r w:rsidRPr="0049394D">
              <w:t xml:space="preserve">Full details of the transition probabilities are provided in </w:t>
            </w:r>
            <w:r>
              <w:fldChar w:fldCharType="begin" w:fldLock="1"/>
            </w:r>
            <w:r>
              <w:instrText xml:space="preserve"> REF _Ref166338427 </w:instrText>
            </w:r>
            <w:r>
              <w:fldChar w:fldCharType="separate"/>
            </w:r>
            <w:r w:rsidR="00437B51" w:rsidRPr="0049394D">
              <w:t xml:space="preserve">Table </w:t>
            </w:r>
            <w:r w:rsidR="00437B51">
              <w:rPr>
                <w:noProof/>
              </w:rPr>
              <w:t>12</w:t>
            </w:r>
            <w:r>
              <w:rPr>
                <w:noProof/>
              </w:rPr>
              <w:fldChar w:fldCharType="end"/>
            </w:r>
            <w:r w:rsidRPr="0049394D">
              <w:t xml:space="preserve">. </w:t>
            </w:r>
          </w:p>
          <w:p w14:paraId="112FE27F" w14:textId="77777777" w:rsidR="00756116" w:rsidRPr="0049394D" w:rsidRDefault="00756116" w:rsidP="00282F0D">
            <w:pPr>
              <w:pStyle w:val="TableText0"/>
              <w:keepNext w:val="0"/>
              <w:rPr>
                <w:iCs/>
              </w:rPr>
            </w:pPr>
          </w:p>
          <w:p w14:paraId="659186CC" w14:textId="4C3C765F" w:rsidR="00E20F5E" w:rsidRPr="0049394D" w:rsidRDefault="00994467" w:rsidP="00282F0D">
            <w:pPr>
              <w:pStyle w:val="TableText0"/>
              <w:keepNext w:val="0"/>
            </w:pPr>
            <w:r w:rsidRPr="00BF3570">
              <w:t>The ESC considered that</w:t>
            </w:r>
            <w:r w:rsidR="00E20F5E" w:rsidRPr="0049394D">
              <w:rPr>
                <w:iCs/>
              </w:rPr>
              <w:t xml:space="preserve"> there was </w:t>
            </w:r>
            <w:r w:rsidR="00924321" w:rsidRPr="0049394D">
              <w:rPr>
                <w:iCs/>
              </w:rPr>
              <w:t xml:space="preserve">a </w:t>
            </w:r>
            <w:r w:rsidR="00E20F5E" w:rsidRPr="0049394D">
              <w:rPr>
                <w:iCs/>
              </w:rPr>
              <w:t xml:space="preserve">high </w:t>
            </w:r>
            <w:r w:rsidR="00924321" w:rsidRPr="0049394D">
              <w:rPr>
                <w:iCs/>
              </w:rPr>
              <w:t xml:space="preserve">level of </w:t>
            </w:r>
            <w:r w:rsidR="00E20F5E" w:rsidRPr="0049394D">
              <w:rPr>
                <w:iCs/>
              </w:rPr>
              <w:t xml:space="preserve">uncertainty in the model transitions, based on the multiple data sources and assumptions </w:t>
            </w:r>
            <w:r w:rsidR="00CB0F0D" w:rsidRPr="0049394D">
              <w:rPr>
                <w:iCs/>
              </w:rPr>
              <w:t>for</w:t>
            </w:r>
            <w:r w:rsidR="00E20F5E" w:rsidRPr="0049394D">
              <w:rPr>
                <w:iCs/>
              </w:rPr>
              <w:t xml:space="preserve"> the benefit of belzutifan. Clinical evidence appeared to demonstrate a possible increase in time to surgery and reduction in linear growth rate for belzutifan compared to standard practice,</w:t>
            </w:r>
            <w:r w:rsidR="00E20F5E" w:rsidRPr="0049394D">
              <w:t xml:space="preserve"> </w:t>
            </w:r>
            <w:r w:rsidR="00E20F5E" w:rsidRPr="0049394D">
              <w:rPr>
                <w:iCs/>
              </w:rPr>
              <w:t xml:space="preserve">but there was no evidence of how much this may increase time to metastases or improvement in overall survival. </w:t>
            </w:r>
          </w:p>
        </w:tc>
      </w:tr>
      <w:tr w:rsidR="00E20F5E" w:rsidRPr="0049394D" w14:paraId="5C062EAD" w14:textId="77777777" w:rsidTr="00465819">
        <w:trPr>
          <w:cantSplit/>
        </w:trPr>
        <w:tc>
          <w:tcPr>
            <w:tcW w:w="862" w:type="pct"/>
            <w:shd w:val="clear" w:color="auto" w:fill="auto"/>
            <w:vAlign w:val="center"/>
          </w:tcPr>
          <w:p w14:paraId="164582BA" w14:textId="77777777" w:rsidR="00E20F5E" w:rsidRPr="0049394D" w:rsidRDefault="00E20F5E" w:rsidP="00282F0D">
            <w:pPr>
              <w:pStyle w:val="TableText0"/>
              <w:keepNext w:val="0"/>
            </w:pPr>
            <w:r w:rsidRPr="0049394D">
              <w:t>Extrapolation method</w:t>
            </w:r>
          </w:p>
        </w:tc>
        <w:tc>
          <w:tcPr>
            <w:tcW w:w="4138" w:type="pct"/>
            <w:shd w:val="clear" w:color="auto" w:fill="auto"/>
            <w:vAlign w:val="center"/>
          </w:tcPr>
          <w:p w14:paraId="4B280BA6" w14:textId="137865E7" w:rsidR="00E20F5E" w:rsidRPr="00BF3570" w:rsidRDefault="00E20F5E" w:rsidP="00282F0D">
            <w:pPr>
              <w:pStyle w:val="TableText0"/>
              <w:keepNext w:val="0"/>
              <w:rPr>
                <w:iCs/>
              </w:rPr>
            </w:pPr>
            <w:r w:rsidRPr="0049394D">
              <w:rPr>
                <w:u w:val="single"/>
              </w:rPr>
              <w:t>Pre-surgery to surgery</w:t>
            </w:r>
            <w:r w:rsidRPr="0049394D">
              <w:t xml:space="preserve">: exponential extrapolations were chosen from 7 distributions (exponential, Weibull, Gompertz, log-normal, log-logistic, generalised Gamma, Gamma) based on statistical and visual fit and clinical plausibility once inserted into the overall model (i.e., once all other transitions were decided). </w:t>
            </w:r>
            <w:r w:rsidRPr="001B0A7C">
              <w:t>All other transitions were assumed to be constant probabilities</w:t>
            </w:r>
            <w:r w:rsidRPr="0020305B">
              <w:t>.</w:t>
            </w:r>
            <w:r w:rsidRPr="0049394D">
              <w:t xml:space="preserve"> </w:t>
            </w:r>
            <w:r w:rsidRPr="0049394D">
              <w:rPr>
                <w:iCs/>
              </w:rPr>
              <w:t xml:space="preserve">The submission did not provide the majority of the underlying KM data to verify the transition probabilities. </w:t>
            </w:r>
            <w:r w:rsidR="00A3473B" w:rsidRPr="00BF3570">
              <w:t xml:space="preserve">The PSCR presented the KM data from the VHL-NHS MAIC analysis (unweighted and reweighted) for (i) time to first surgery, (ii) time between surgeries, (iii) time to metastatic disease (from pre-surgery) and (iv) time to death (from pre-surgery). </w:t>
            </w:r>
            <w:r w:rsidR="006F31E0" w:rsidRPr="00BF3570">
              <w:t>However, the ESC noted t</w:t>
            </w:r>
            <w:r w:rsidR="00A3473B" w:rsidRPr="00BF3570">
              <w:t xml:space="preserve">he PSCR did not present KM data for time to surgery in the belzutifan arm of the CNS Hb model, nor the underlying KM data for time to metastases or death from EFS post-surgery in the RCC model, or the unweighted VHL-NHS data for the ‘other’ surgeries in each model, and therefore </w:t>
            </w:r>
            <w:r w:rsidR="006F31E0" w:rsidRPr="00BF3570">
              <w:t xml:space="preserve">these transitions </w:t>
            </w:r>
            <w:r w:rsidR="00A3473B" w:rsidRPr="00BF3570">
              <w:t>could not be validated</w:t>
            </w:r>
            <w:r w:rsidR="00AE25FB">
              <w:t>.</w:t>
            </w:r>
          </w:p>
          <w:p w14:paraId="5A53CDAC" w14:textId="469EA96C" w:rsidR="00E20F5E" w:rsidRPr="0049394D" w:rsidRDefault="00E20F5E" w:rsidP="00282F0D">
            <w:pPr>
              <w:pStyle w:val="TableText0"/>
              <w:keepNext w:val="0"/>
            </w:pPr>
            <w:r w:rsidRPr="00BF3570">
              <w:t>Time on belzutifan:  Weibull extrapolations</w:t>
            </w:r>
            <w:r w:rsidRPr="0049394D">
              <w:t xml:space="preserve"> were chosen from 7 distributions (exponential, Weibull, Gompertz, log-normal, log-logistic, generalised Gamma, Gamma) based on statistical and visual fit and clinical plausibility compared to the LS-004 KM data.</w:t>
            </w:r>
            <w:r w:rsidR="008F5385" w:rsidRPr="0049394D">
              <w:t xml:space="preserve"> No patient could receive belzutifan in the metastatic disease states</w:t>
            </w:r>
            <w:r w:rsidR="008679A4" w:rsidRPr="0049394D">
              <w:t>.</w:t>
            </w:r>
            <w:r w:rsidRPr="0049394D">
              <w:t xml:space="preserve"> </w:t>
            </w:r>
            <w:r w:rsidR="00FD3320" w:rsidRPr="00BF3570">
              <w:rPr>
                <w:iCs/>
              </w:rPr>
              <w:t xml:space="preserve">The </w:t>
            </w:r>
            <w:r w:rsidR="008B3F86" w:rsidRPr="00BF3570">
              <w:rPr>
                <w:iCs/>
              </w:rPr>
              <w:t>ESC</w:t>
            </w:r>
            <w:r w:rsidR="00FD3320" w:rsidRPr="00BF3570">
              <w:rPr>
                <w:iCs/>
              </w:rPr>
              <w:t xml:space="preserve"> considered that </w:t>
            </w:r>
            <w:r w:rsidR="00FD3320" w:rsidRPr="0049394D">
              <w:t>t</w:t>
            </w:r>
            <w:r w:rsidRPr="0049394D">
              <w:t>ime</w:t>
            </w:r>
            <w:r w:rsidRPr="0049394D">
              <w:rPr>
                <w:iCs/>
              </w:rPr>
              <w:t xml:space="preserve"> on belzutifan </w:t>
            </w:r>
            <w:r w:rsidR="008B3F86" w:rsidRPr="00BF3570">
              <w:t>was</w:t>
            </w:r>
            <w:r w:rsidRPr="0049394D">
              <w:rPr>
                <w:iCs/>
              </w:rPr>
              <w:t xml:space="preserve"> underestimated compared to </w:t>
            </w:r>
            <w:r w:rsidR="00FD3320" w:rsidRPr="00BF3570">
              <w:t>clinical</w:t>
            </w:r>
            <w:r w:rsidR="00FD3320" w:rsidRPr="0049394D">
              <w:rPr>
                <w:iCs/>
              </w:rPr>
              <w:t xml:space="preserve"> </w:t>
            </w:r>
            <w:r w:rsidRPr="0049394D">
              <w:rPr>
                <w:iCs/>
              </w:rPr>
              <w:t xml:space="preserve">practice where no other treatments are available. The significant treatment discontinuation from Year 3 was informed by a limited number of patients (less than 20% were at risk by Year 3.2). </w:t>
            </w:r>
          </w:p>
        </w:tc>
      </w:tr>
      <w:tr w:rsidR="00E20F5E" w:rsidRPr="0049394D" w14:paraId="7E5213E4" w14:textId="77777777" w:rsidTr="00465819">
        <w:trPr>
          <w:cantSplit/>
        </w:trPr>
        <w:tc>
          <w:tcPr>
            <w:tcW w:w="862" w:type="pct"/>
            <w:shd w:val="clear" w:color="auto" w:fill="auto"/>
            <w:vAlign w:val="center"/>
          </w:tcPr>
          <w:p w14:paraId="743991F7" w14:textId="77777777" w:rsidR="00E20F5E" w:rsidRPr="0049394D" w:rsidRDefault="00E20F5E" w:rsidP="00282F0D">
            <w:pPr>
              <w:pStyle w:val="TableText0"/>
              <w:keepNext w:val="0"/>
            </w:pPr>
            <w:r w:rsidRPr="0049394D">
              <w:lastRenderedPageBreak/>
              <w:t>Non-transition event-probabilities</w:t>
            </w:r>
          </w:p>
        </w:tc>
        <w:tc>
          <w:tcPr>
            <w:tcW w:w="4138" w:type="pct"/>
            <w:shd w:val="clear" w:color="auto" w:fill="auto"/>
            <w:vAlign w:val="center"/>
          </w:tcPr>
          <w:p w14:paraId="5FA198E1" w14:textId="2E5070ED" w:rsidR="00E20F5E" w:rsidRPr="0049394D" w:rsidRDefault="00E20F5E" w:rsidP="00282F0D">
            <w:pPr>
              <w:pStyle w:val="TableText0"/>
              <w:keepNext w:val="0"/>
            </w:pPr>
            <w:r w:rsidRPr="0049394D">
              <w:t xml:space="preserve">‘Other’ tumour surgeries (surgeries in body systems other than the primary tumour system, including RCC, CNS Hb, pNET, adrenal lesion, endolymphatic sac tumour, epididymal cystadenoma, and retinal Hb) </w:t>
            </w:r>
            <w:r w:rsidR="003C16C6" w:rsidRPr="0049394D">
              <w:t xml:space="preserve">was </w:t>
            </w:r>
            <w:r w:rsidRPr="0049394D">
              <w:t>based on LS-004, VHL-NHS; adjusted for 36.8% patients without RCC (QoL Disease Burden Study 2022)</w:t>
            </w:r>
            <w:r w:rsidR="004541EB" w:rsidRPr="0049394D">
              <w:t>.</w:t>
            </w:r>
          </w:p>
          <w:p w14:paraId="5572DC29" w14:textId="2CD2AADA" w:rsidR="00E20F5E" w:rsidRPr="0049394D" w:rsidRDefault="00E20F5E" w:rsidP="00282F0D">
            <w:pPr>
              <w:pStyle w:val="TableText0"/>
              <w:keepNext w:val="0"/>
            </w:pPr>
            <w:r w:rsidRPr="0049394D">
              <w:t>Probability of surgery complications: Optum CDM</w:t>
            </w:r>
            <w:r w:rsidR="004541EB" w:rsidRPr="0049394D">
              <w:t>.</w:t>
            </w:r>
          </w:p>
          <w:p w14:paraId="3274E45E" w14:textId="616A20AC" w:rsidR="00E20F5E" w:rsidRPr="0049394D" w:rsidRDefault="00E20F5E" w:rsidP="00282F0D">
            <w:pPr>
              <w:pStyle w:val="TableText0"/>
              <w:keepNext w:val="0"/>
            </w:pPr>
            <w:r w:rsidRPr="0049394D">
              <w:t>AEs were included in the belzutifan arms of the models: 11.5% anaemia and 4.9% fatigue based on LS-004</w:t>
            </w:r>
            <w:r w:rsidR="002A09B1" w:rsidRPr="0049394D">
              <w:t>.</w:t>
            </w:r>
          </w:p>
          <w:p w14:paraId="75D07DC6" w14:textId="675CE50B" w:rsidR="00E20F5E" w:rsidRPr="0049394D" w:rsidRDefault="00E20F5E" w:rsidP="00282F0D">
            <w:pPr>
              <w:pStyle w:val="TableText0"/>
              <w:keepNext w:val="0"/>
              <w:rPr>
                <w:iCs/>
              </w:rPr>
            </w:pPr>
            <w:r w:rsidRPr="0049394D">
              <w:rPr>
                <w:iCs/>
              </w:rPr>
              <w:t>Non-transition events did not affect survival or transition</w:t>
            </w:r>
            <w:r w:rsidR="003C16C6" w:rsidRPr="0049394D">
              <w:rPr>
                <w:iCs/>
              </w:rPr>
              <w:t>s</w:t>
            </w:r>
            <w:r w:rsidRPr="0049394D">
              <w:rPr>
                <w:iCs/>
              </w:rPr>
              <w:t xml:space="preserve"> through health states, but did contribute to the incremental costs and QALYs. </w:t>
            </w:r>
          </w:p>
          <w:p w14:paraId="5A761009" w14:textId="114F141D" w:rsidR="00E20F5E" w:rsidRPr="0049394D" w:rsidRDefault="00E20F5E" w:rsidP="00282F0D">
            <w:pPr>
              <w:pStyle w:val="TableText0"/>
              <w:keepNext w:val="0"/>
            </w:pPr>
            <w:r w:rsidRPr="0049394D">
              <w:rPr>
                <w:iCs/>
              </w:rPr>
              <w:t>The</w:t>
            </w:r>
            <w:r w:rsidR="003C16C6" w:rsidRPr="0049394D">
              <w:rPr>
                <w:iCs/>
              </w:rPr>
              <w:t xml:space="preserve"> </w:t>
            </w:r>
            <w:r w:rsidR="003C16C6" w:rsidRPr="00BF3570">
              <w:t>evaluation considered that the</w:t>
            </w:r>
            <w:r w:rsidRPr="0049394D">
              <w:rPr>
                <w:iCs/>
              </w:rPr>
              <w:t xml:space="preserve"> models likely underestimated the effect of belzutifan AEs, 31.1% (19 patients) received treatment for anaemia during LS-004, compared to 11.5% in the model, and the models did not account for recurring AEs, however AE incidence was not a key driver of the ICERs.</w:t>
            </w:r>
          </w:p>
        </w:tc>
      </w:tr>
      <w:tr w:rsidR="00E20F5E" w:rsidRPr="0049394D" w14:paraId="39593A14" w14:textId="77777777" w:rsidTr="00465819">
        <w:trPr>
          <w:cantSplit/>
        </w:trPr>
        <w:tc>
          <w:tcPr>
            <w:tcW w:w="862" w:type="pct"/>
            <w:shd w:val="clear" w:color="auto" w:fill="auto"/>
            <w:vAlign w:val="center"/>
          </w:tcPr>
          <w:p w14:paraId="2DD1FDE0" w14:textId="77777777" w:rsidR="00E20F5E" w:rsidRPr="0049394D" w:rsidRDefault="00E20F5E" w:rsidP="00282F0D">
            <w:pPr>
              <w:pStyle w:val="TableText0"/>
              <w:keepNext w:val="0"/>
            </w:pPr>
            <w:r w:rsidRPr="0049394D">
              <w:t>Health related quality of life</w:t>
            </w:r>
          </w:p>
        </w:tc>
        <w:tc>
          <w:tcPr>
            <w:tcW w:w="4138" w:type="pct"/>
            <w:shd w:val="clear" w:color="auto" w:fill="auto"/>
            <w:vAlign w:val="center"/>
          </w:tcPr>
          <w:p w14:paraId="6C055184" w14:textId="77777777" w:rsidR="00E20F5E" w:rsidRPr="0049394D" w:rsidRDefault="00E20F5E" w:rsidP="00282F0D">
            <w:pPr>
              <w:pStyle w:val="TableText0"/>
              <w:keepNext w:val="0"/>
            </w:pPr>
            <w:r w:rsidRPr="0049394D">
              <w:t xml:space="preserve">Health state utilities pre-surgery, surgery and EFS post-surgery states were the same (0.728 in AS arms of all models; in the BEL+AS arms, 0.762 in the RCC model, 0.758 in the CNS Hb model, 0.790 in the pNET model) based on KEYNOTE-564 and QoL Disease Burden study weighted by treatment response in each arm. Treatment waning effect was applied to patients discontinuing belzutifan. </w:t>
            </w:r>
          </w:p>
          <w:p w14:paraId="2315184F" w14:textId="77777777" w:rsidR="00E20F5E" w:rsidRPr="0049394D" w:rsidRDefault="00E20F5E" w:rsidP="00282F0D">
            <w:pPr>
              <w:pStyle w:val="TableText0"/>
              <w:keepNext w:val="0"/>
            </w:pPr>
            <w:r w:rsidRPr="0049394D">
              <w:t>Metastatic disease states utilities (0.445 in the RCC model, 0.443 in the CNS Hb model, 0.441 in the pNET model) were based on weighted PFS: PD from 1</w:t>
            </w:r>
            <w:r w:rsidRPr="0049394D">
              <w:rPr>
                <w:vertAlign w:val="superscript"/>
              </w:rPr>
              <w:t>st</w:t>
            </w:r>
            <w:r w:rsidRPr="0049394D">
              <w:t xml:space="preserve"> line treatment studies of RCC and pNETs and utilities from QoL Disease Burden Study. </w:t>
            </w:r>
          </w:p>
          <w:p w14:paraId="7B526324" w14:textId="77777777" w:rsidR="00E20F5E" w:rsidRPr="0049394D" w:rsidRDefault="00E20F5E" w:rsidP="00282F0D">
            <w:pPr>
              <w:pStyle w:val="TableText0"/>
              <w:keepNext w:val="0"/>
            </w:pPr>
            <w:r w:rsidRPr="0049394D">
              <w:t>Additional disutilities were included for short- and long-term complications from surgery (from the literature) and AEs (KEYNOTE-564)</w:t>
            </w:r>
          </w:p>
          <w:p w14:paraId="22B2511E" w14:textId="77777777" w:rsidR="00E20F5E" w:rsidRPr="0049394D" w:rsidRDefault="00E20F5E" w:rsidP="00282F0D">
            <w:pPr>
              <w:pStyle w:val="TableText0"/>
              <w:keepNext w:val="0"/>
            </w:pPr>
          </w:p>
          <w:p w14:paraId="2DDEBB40" w14:textId="18347477" w:rsidR="00E20F5E" w:rsidRPr="0049394D" w:rsidRDefault="00E20F5E" w:rsidP="00282F0D">
            <w:pPr>
              <w:pStyle w:val="TableText0"/>
              <w:keepNext w:val="0"/>
              <w:rPr>
                <w:iCs/>
              </w:rPr>
            </w:pPr>
            <w:r w:rsidRPr="0049394D">
              <w:rPr>
                <w:iCs/>
              </w:rPr>
              <w:t>No utility data was presented in LS-004 or VHL-NHS and no treatment utility benefit was established</w:t>
            </w:r>
            <w:r w:rsidR="00E111A8" w:rsidRPr="0049394D">
              <w:rPr>
                <w:iCs/>
              </w:rPr>
              <w:t xml:space="preserve"> for BEL+AS vs AS</w:t>
            </w:r>
            <w:r w:rsidRPr="0049394D">
              <w:rPr>
                <w:iCs/>
              </w:rPr>
              <w:t xml:space="preserve"> in the clinical claim.</w:t>
            </w:r>
            <w:r w:rsidR="00525DD4" w:rsidRPr="0049394D">
              <w:rPr>
                <w:iCs/>
              </w:rPr>
              <w:t xml:space="preserve"> </w:t>
            </w:r>
            <w:r w:rsidR="003C16C6" w:rsidRPr="00BF3570">
              <w:t>The ESC advised that it was not</w:t>
            </w:r>
            <w:r w:rsidR="00AD19F9" w:rsidRPr="0049394D">
              <w:rPr>
                <w:iCs/>
              </w:rPr>
              <w:t xml:space="preserve"> </w:t>
            </w:r>
            <w:r w:rsidR="00525DD4" w:rsidRPr="0049394D">
              <w:rPr>
                <w:iCs/>
              </w:rPr>
              <w:t>appropriate to include this treatment benefit.</w:t>
            </w:r>
            <w:r w:rsidRPr="0049394D">
              <w:rPr>
                <w:iCs/>
              </w:rPr>
              <w:t xml:space="preserve"> </w:t>
            </w:r>
          </w:p>
          <w:p w14:paraId="54C24770" w14:textId="77777777" w:rsidR="00E20F5E" w:rsidRPr="0049394D" w:rsidRDefault="00E20F5E" w:rsidP="00282F0D">
            <w:pPr>
              <w:pStyle w:val="TableText0"/>
              <w:keepNext w:val="0"/>
              <w:rPr>
                <w:iCs/>
              </w:rPr>
            </w:pPr>
          </w:p>
          <w:p w14:paraId="3C3B6E93" w14:textId="5D34C3FC" w:rsidR="00E20F5E" w:rsidRPr="0049394D" w:rsidRDefault="00E20F5E" w:rsidP="00282F0D">
            <w:pPr>
              <w:pStyle w:val="TableText0"/>
              <w:keepNext w:val="0"/>
            </w:pPr>
            <w:r w:rsidRPr="0049394D">
              <w:rPr>
                <w:iCs/>
              </w:rPr>
              <w:t>Surgery complications were a significant driver of the QALY gains, but the surgery disutilities were from a variety of sources and none specific to VHL. Disutilities were estimated and applied additively rather than multiplicatively potentially overestimating their effect.</w:t>
            </w:r>
            <w:r w:rsidR="00525DD4" w:rsidRPr="0049394D">
              <w:rPr>
                <w:iCs/>
              </w:rPr>
              <w:t xml:space="preserve"> Further, health state utilities for the QoL Disease Burden study likely captured some of the ongoing disutility from surgeries which could have resulted in some double</w:t>
            </w:r>
            <w:r w:rsidR="008679A4" w:rsidRPr="0049394D">
              <w:rPr>
                <w:iCs/>
              </w:rPr>
              <w:t xml:space="preserve"> </w:t>
            </w:r>
            <w:r w:rsidR="00525DD4" w:rsidRPr="0049394D">
              <w:rPr>
                <w:iCs/>
              </w:rPr>
              <w:t>counting of the effect. Patients in the QoL Disease Burden study did however have fewer prior surgeries, so some additional surgery disutility may be reasonable.</w:t>
            </w:r>
            <w:r w:rsidRPr="0049394D">
              <w:t xml:space="preserve"> </w:t>
            </w:r>
          </w:p>
          <w:p w14:paraId="4F0DE3E7" w14:textId="77777777" w:rsidR="00E20F5E" w:rsidRPr="0049394D" w:rsidRDefault="00E20F5E" w:rsidP="00282F0D">
            <w:pPr>
              <w:pStyle w:val="TableText0"/>
              <w:keepNext w:val="0"/>
            </w:pPr>
          </w:p>
          <w:p w14:paraId="62ED0156" w14:textId="732A77F8" w:rsidR="00E20F5E" w:rsidRPr="0049394D" w:rsidRDefault="00E20F5E" w:rsidP="00282F0D">
            <w:pPr>
              <w:pStyle w:val="TableText0"/>
              <w:keepNext w:val="0"/>
            </w:pPr>
            <w:r w:rsidRPr="0049394D">
              <w:t xml:space="preserve">A sensitivity analysis included carer disutilities, </w:t>
            </w:r>
            <w:r w:rsidRPr="0049394D">
              <w:rPr>
                <w:iCs/>
              </w:rPr>
              <w:t>which was driven by utility loss to carer’s associated with premature death of the VHL patient (accrued over 19.2 years in the AS arm and 15.0 years in the BEL+AS arm of the RCC model)</w:t>
            </w:r>
            <w:r w:rsidR="002A35D9" w:rsidRPr="0049394D">
              <w:rPr>
                <w:iCs/>
              </w:rPr>
              <w:t>,</w:t>
            </w:r>
            <w:r w:rsidRPr="0049394D">
              <w:rPr>
                <w:iCs/>
              </w:rPr>
              <w:t xml:space="preserve"> was not informed by VHL patient carers or an Australian population. However, ICERs were not sensitive to the inclusion of carer disutility.</w:t>
            </w:r>
          </w:p>
        </w:tc>
      </w:tr>
      <w:tr w:rsidR="00E20F5E" w:rsidRPr="0049394D" w14:paraId="5A3E3C93" w14:textId="77777777" w:rsidTr="00465819">
        <w:trPr>
          <w:cantSplit/>
        </w:trPr>
        <w:tc>
          <w:tcPr>
            <w:tcW w:w="862" w:type="pct"/>
            <w:shd w:val="clear" w:color="auto" w:fill="auto"/>
            <w:vAlign w:val="center"/>
          </w:tcPr>
          <w:p w14:paraId="2F15D214" w14:textId="77777777" w:rsidR="00E20F5E" w:rsidRPr="0049394D" w:rsidRDefault="00E20F5E" w:rsidP="00282F0D">
            <w:pPr>
              <w:pStyle w:val="TableText0"/>
              <w:keepNext w:val="0"/>
            </w:pPr>
            <w:r w:rsidRPr="0049394D">
              <w:lastRenderedPageBreak/>
              <w:t xml:space="preserve">Costs </w:t>
            </w:r>
          </w:p>
        </w:tc>
        <w:tc>
          <w:tcPr>
            <w:tcW w:w="4138" w:type="pct"/>
            <w:shd w:val="clear" w:color="auto" w:fill="auto"/>
            <w:vAlign w:val="center"/>
          </w:tcPr>
          <w:p w14:paraId="732927AC" w14:textId="7C371B19" w:rsidR="00E20F5E" w:rsidRPr="0049394D" w:rsidRDefault="00E20F5E" w:rsidP="00282F0D">
            <w:pPr>
              <w:pStyle w:val="TableText0"/>
              <w:keepNext w:val="0"/>
              <w:keepLines/>
              <w:rPr>
                <w:iCs/>
              </w:rPr>
            </w:pPr>
            <w:r w:rsidRPr="0049394D">
              <w:t xml:space="preserve">The model included costs for drugs, surgeries, healthcare resource use, complications from surgery, and adverse events. </w:t>
            </w:r>
            <w:r w:rsidR="002A35D9" w:rsidRPr="00BF3570">
              <w:rPr>
                <w:iCs/>
              </w:rPr>
              <w:t>The evaluation considered that</w:t>
            </w:r>
            <w:r w:rsidR="002A35D9" w:rsidRPr="0049394D">
              <w:t xml:space="preserve"> c</w:t>
            </w:r>
            <w:r w:rsidRPr="0049394D">
              <w:t xml:space="preserve">osts sources were generally reasonable, </w:t>
            </w:r>
            <w:r w:rsidR="00911891" w:rsidRPr="0049394D">
              <w:t xml:space="preserve">mostly </w:t>
            </w:r>
            <w:r w:rsidRPr="0049394D">
              <w:t xml:space="preserve">based on PBS, MBS and AR-DRG costs. </w:t>
            </w:r>
            <w:r w:rsidRPr="0049394D">
              <w:rPr>
                <w:iCs/>
              </w:rPr>
              <w:t>The methodology of costs for metastatic treatments (for 10 drugs, 13 treatment regimens over 2 lines of treatment) and surgical complications (7 surgery types resulting in 24 different complications) were complex</w:t>
            </w:r>
            <w:r w:rsidRPr="0049394D">
              <w:t xml:space="preserve">. </w:t>
            </w:r>
            <w:r w:rsidRPr="0049394D">
              <w:rPr>
                <w:iCs/>
              </w:rPr>
              <w:t>Metastatic drug costs were large but the ICERs were not sensitive to them as they were the same across arms in the models (RCC model $</w:t>
            </w:r>
            <w:r w:rsidR="00501C36" w:rsidRPr="00501C36">
              <w:rPr>
                <w:iCs/>
                <w:color w:val="000000"/>
                <w:spacing w:val="53"/>
                <w:shd w:val="solid" w:color="000000" w:fill="000000"/>
                <w:fitText w:val="330" w:id="-893684733"/>
                <w14:textFill>
                  <w14:solidFill>
                    <w14:srgbClr w14:val="000000">
                      <w14:alpha w14:val="100000"/>
                    </w14:srgbClr>
                  </w14:solidFill>
                </w14:textFill>
              </w:rPr>
              <w:t>|||</w:t>
            </w:r>
            <w:r w:rsidR="00501C36" w:rsidRPr="00501C36">
              <w:rPr>
                <w:iCs/>
                <w:color w:val="000000"/>
                <w:spacing w:val="1"/>
                <w:shd w:val="solid" w:color="000000" w:fill="000000"/>
                <w:fitText w:val="330" w:id="-893684733"/>
                <w14:textFill>
                  <w14:solidFill>
                    <w14:srgbClr w14:val="000000">
                      <w14:alpha w14:val="100000"/>
                    </w14:srgbClr>
                  </w14:solidFill>
                </w14:textFill>
              </w:rPr>
              <w:t>|</w:t>
            </w:r>
            <w:r w:rsidRPr="0049394D">
              <w:rPr>
                <w:iCs/>
              </w:rPr>
              <w:t>, CNS Hb model $</w:t>
            </w:r>
            <w:r w:rsidR="00501C36" w:rsidRPr="00501C36">
              <w:rPr>
                <w:iCs/>
                <w:color w:val="000000"/>
                <w:spacing w:val="53"/>
                <w:shd w:val="solid" w:color="000000" w:fill="000000"/>
                <w:fitText w:val="330" w:id="-893684732"/>
                <w14:textFill>
                  <w14:solidFill>
                    <w14:srgbClr w14:val="000000">
                      <w14:alpha w14:val="100000"/>
                    </w14:srgbClr>
                  </w14:solidFill>
                </w14:textFill>
              </w:rPr>
              <w:t>|||</w:t>
            </w:r>
            <w:r w:rsidR="00501C36" w:rsidRPr="00501C36">
              <w:rPr>
                <w:iCs/>
                <w:color w:val="000000"/>
                <w:spacing w:val="1"/>
                <w:shd w:val="solid" w:color="000000" w:fill="000000"/>
                <w:fitText w:val="330" w:id="-893684732"/>
                <w14:textFill>
                  <w14:solidFill>
                    <w14:srgbClr w14:val="000000">
                      <w14:alpha w14:val="100000"/>
                    </w14:srgbClr>
                  </w14:solidFill>
                </w14:textFill>
              </w:rPr>
              <w:t>|</w:t>
            </w:r>
            <w:r w:rsidRPr="0049394D">
              <w:rPr>
                <w:iCs/>
              </w:rPr>
              <w:t>, pNET model $</w:t>
            </w:r>
            <w:r w:rsidR="00501C36" w:rsidRPr="00501C36">
              <w:rPr>
                <w:iCs/>
                <w:color w:val="000000"/>
                <w:spacing w:val="53"/>
                <w:shd w:val="solid" w:color="000000" w:fill="000000"/>
                <w:fitText w:val="330" w:id="-893684731"/>
                <w14:textFill>
                  <w14:solidFill>
                    <w14:srgbClr w14:val="000000">
                      <w14:alpha w14:val="100000"/>
                    </w14:srgbClr>
                  </w14:solidFill>
                </w14:textFill>
              </w:rPr>
              <w:t>|||</w:t>
            </w:r>
            <w:r w:rsidR="00501C36" w:rsidRPr="00501C36">
              <w:rPr>
                <w:iCs/>
                <w:color w:val="000000"/>
                <w:spacing w:val="1"/>
                <w:shd w:val="solid" w:color="000000" w:fill="000000"/>
                <w:fitText w:val="330" w:id="-893684731"/>
                <w14:textFill>
                  <w14:solidFill>
                    <w14:srgbClr w14:val="000000">
                      <w14:alpha w14:val="100000"/>
                    </w14:srgbClr>
                  </w14:solidFill>
                </w14:textFill>
              </w:rPr>
              <w:t>|</w:t>
            </w:r>
            <w:r w:rsidRPr="0049394D">
              <w:rPr>
                <w:iCs/>
              </w:rPr>
              <w:t xml:space="preserve"> applied upon entry to metastatic disease states). Each surgery had one off and ongoing costs as reported in the table below. The ICERs were not sensitive to long term complication costs but were moderately sensitive to the removal of costs for ‘other’ tumour surgeries.</w:t>
            </w:r>
          </w:p>
          <w:p w14:paraId="0CE3EC98" w14:textId="77777777" w:rsidR="00E20F5E" w:rsidRPr="0049394D" w:rsidRDefault="00E20F5E" w:rsidP="00282F0D">
            <w:pPr>
              <w:pStyle w:val="TableText0"/>
              <w:keepNext w:val="0"/>
              <w:keepLines/>
              <w:rPr>
                <w:iCs/>
              </w:rPr>
            </w:pPr>
          </w:p>
          <w:tbl>
            <w:tblPr>
              <w:tblStyle w:val="TableGrid"/>
              <w:tblW w:w="0" w:type="auto"/>
              <w:tblLayout w:type="fixed"/>
              <w:tblLook w:val="04A0" w:firstRow="1" w:lastRow="0" w:firstColumn="1" w:lastColumn="0" w:noHBand="0" w:noVBand="1"/>
            </w:tblPr>
            <w:tblGrid>
              <w:gridCol w:w="2690"/>
              <w:gridCol w:w="1134"/>
              <w:gridCol w:w="1276"/>
              <w:gridCol w:w="1333"/>
            </w:tblGrid>
            <w:tr w:rsidR="00E20F5E" w:rsidRPr="0049394D" w14:paraId="2D839024" w14:textId="77777777" w:rsidTr="00282F0D">
              <w:tc>
                <w:tcPr>
                  <w:tcW w:w="2690" w:type="dxa"/>
                  <w:vMerge w:val="restart"/>
                  <w:vAlign w:val="center"/>
                </w:tcPr>
                <w:p w14:paraId="1EF8477B" w14:textId="77777777" w:rsidR="00E20F5E" w:rsidRPr="0049394D" w:rsidRDefault="00E20F5E" w:rsidP="00282F0D">
                  <w:pPr>
                    <w:pStyle w:val="In-tableHeading"/>
                    <w:rPr>
                      <w:lang w:val="en-AU"/>
                    </w:rPr>
                  </w:pPr>
                  <w:r w:rsidRPr="0049394D">
                    <w:rPr>
                      <w:lang w:val="en-AU"/>
                    </w:rPr>
                    <w:t>Surgery type</w:t>
                  </w:r>
                </w:p>
              </w:tc>
              <w:tc>
                <w:tcPr>
                  <w:tcW w:w="3743" w:type="dxa"/>
                  <w:gridSpan w:val="3"/>
                  <w:vAlign w:val="center"/>
                </w:tcPr>
                <w:p w14:paraId="35DAFF5E" w14:textId="77777777" w:rsidR="00E20F5E" w:rsidRPr="0049394D" w:rsidRDefault="00E20F5E" w:rsidP="00282F0D">
                  <w:pPr>
                    <w:pStyle w:val="In-tableHeading"/>
                    <w:jc w:val="center"/>
                    <w:rPr>
                      <w:lang w:val="en-AU"/>
                    </w:rPr>
                  </w:pPr>
                  <w:r w:rsidRPr="0049394D">
                    <w:rPr>
                      <w:lang w:val="en-AU"/>
                    </w:rPr>
                    <w:t>Costs</w:t>
                  </w:r>
                </w:p>
              </w:tc>
            </w:tr>
            <w:tr w:rsidR="00E20F5E" w:rsidRPr="0049394D" w14:paraId="53232260" w14:textId="77777777" w:rsidTr="00282F0D">
              <w:tc>
                <w:tcPr>
                  <w:tcW w:w="2690" w:type="dxa"/>
                  <w:vMerge/>
                </w:tcPr>
                <w:p w14:paraId="2B3D8A7F" w14:textId="77777777" w:rsidR="00E20F5E" w:rsidRPr="0049394D" w:rsidRDefault="00E20F5E" w:rsidP="00282F0D">
                  <w:pPr>
                    <w:pStyle w:val="In-tableHeading"/>
                    <w:rPr>
                      <w:lang w:val="en-AU"/>
                    </w:rPr>
                  </w:pPr>
                </w:p>
              </w:tc>
              <w:tc>
                <w:tcPr>
                  <w:tcW w:w="1134" w:type="dxa"/>
                  <w:vMerge w:val="restart"/>
                  <w:vAlign w:val="center"/>
                </w:tcPr>
                <w:p w14:paraId="72F706AC" w14:textId="77777777" w:rsidR="00E20F5E" w:rsidRPr="0049394D" w:rsidRDefault="00E20F5E" w:rsidP="00282F0D">
                  <w:pPr>
                    <w:pStyle w:val="In-tableHeading"/>
                    <w:jc w:val="center"/>
                    <w:rPr>
                      <w:lang w:val="en-AU"/>
                    </w:rPr>
                  </w:pPr>
                  <w:r w:rsidRPr="0049394D">
                    <w:rPr>
                      <w:lang w:val="en-AU"/>
                    </w:rPr>
                    <w:t>Surgery (one-off)</w:t>
                  </w:r>
                </w:p>
              </w:tc>
              <w:tc>
                <w:tcPr>
                  <w:tcW w:w="2609" w:type="dxa"/>
                  <w:gridSpan w:val="2"/>
                  <w:vAlign w:val="center"/>
                </w:tcPr>
                <w:p w14:paraId="09C7DAD7" w14:textId="77777777" w:rsidR="00E20F5E" w:rsidRPr="0049394D" w:rsidRDefault="00E20F5E" w:rsidP="00282F0D">
                  <w:pPr>
                    <w:pStyle w:val="In-tableHeading"/>
                    <w:jc w:val="center"/>
                    <w:rPr>
                      <w:lang w:val="en-AU"/>
                    </w:rPr>
                  </w:pPr>
                  <w:r w:rsidRPr="0049394D">
                    <w:rPr>
                      <w:lang w:val="en-AU"/>
                    </w:rPr>
                    <w:t>Complications</w:t>
                  </w:r>
                </w:p>
              </w:tc>
            </w:tr>
            <w:tr w:rsidR="00E20F5E" w:rsidRPr="0049394D" w14:paraId="286E7DF6" w14:textId="77777777" w:rsidTr="00282F0D">
              <w:tc>
                <w:tcPr>
                  <w:tcW w:w="2690" w:type="dxa"/>
                  <w:vMerge/>
                </w:tcPr>
                <w:p w14:paraId="05EAA687" w14:textId="77777777" w:rsidR="00E20F5E" w:rsidRPr="0049394D" w:rsidRDefault="00E20F5E" w:rsidP="00282F0D">
                  <w:pPr>
                    <w:pStyle w:val="In-tableHeading"/>
                    <w:rPr>
                      <w:lang w:val="en-AU"/>
                    </w:rPr>
                  </w:pPr>
                </w:p>
              </w:tc>
              <w:tc>
                <w:tcPr>
                  <w:tcW w:w="1134" w:type="dxa"/>
                  <w:vMerge/>
                  <w:vAlign w:val="center"/>
                </w:tcPr>
                <w:p w14:paraId="160340DE" w14:textId="77777777" w:rsidR="00E20F5E" w:rsidRPr="0049394D" w:rsidRDefault="00E20F5E" w:rsidP="00282F0D">
                  <w:pPr>
                    <w:pStyle w:val="In-tableHeading"/>
                    <w:jc w:val="center"/>
                    <w:rPr>
                      <w:lang w:val="en-AU"/>
                    </w:rPr>
                  </w:pPr>
                </w:p>
              </w:tc>
              <w:tc>
                <w:tcPr>
                  <w:tcW w:w="1276" w:type="dxa"/>
                  <w:vAlign w:val="center"/>
                </w:tcPr>
                <w:p w14:paraId="15DC447E" w14:textId="77777777" w:rsidR="00E20F5E" w:rsidRPr="0049394D" w:rsidRDefault="00E20F5E" w:rsidP="00282F0D">
                  <w:pPr>
                    <w:pStyle w:val="In-tableHeading"/>
                    <w:jc w:val="center"/>
                    <w:rPr>
                      <w:lang w:val="en-AU"/>
                    </w:rPr>
                  </w:pPr>
                  <w:r w:rsidRPr="0049394D">
                    <w:rPr>
                      <w:lang w:val="en-AU"/>
                    </w:rPr>
                    <w:t>Short term (one-off)</w:t>
                  </w:r>
                </w:p>
              </w:tc>
              <w:tc>
                <w:tcPr>
                  <w:tcW w:w="1333" w:type="dxa"/>
                  <w:vAlign w:val="center"/>
                </w:tcPr>
                <w:p w14:paraId="3E3C3FF5" w14:textId="77777777" w:rsidR="00E20F5E" w:rsidRPr="0049394D" w:rsidRDefault="00E20F5E" w:rsidP="00282F0D">
                  <w:pPr>
                    <w:pStyle w:val="In-tableHeading"/>
                    <w:jc w:val="center"/>
                    <w:rPr>
                      <w:lang w:val="en-AU"/>
                    </w:rPr>
                  </w:pPr>
                  <w:r w:rsidRPr="0049394D">
                    <w:rPr>
                      <w:lang w:val="en-AU"/>
                    </w:rPr>
                    <w:t>Long term (per cycle)</w:t>
                  </w:r>
                </w:p>
              </w:tc>
            </w:tr>
            <w:tr w:rsidR="00E20F5E" w:rsidRPr="0049394D" w14:paraId="2B6FFC37" w14:textId="77777777" w:rsidTr="00282F0D">
              <w:tc>
                <w:tcPr>
                  <w:tcW w:w="2690" w:type="dxa"/>
                  <w:vAlign w:val="center"/>
                </w:tcPr>
                <w:p w14:paraId="31E305AF" w14:textId="77777777" w:rsidR="00E20F5E" w:rsidRPr="0049394D" w:rsidRDefault="00E20F5E" w:rsidP="00282F0D">
                  <w:pPr>
                    <w:pStyle w:val="TableText0"/>
                    <w:keepNext w:val="0"/>
                    <w:keepLines/>
                    <w:rPr>
                      <w:i/>
                      <w:iCs/>
                    </w:rPr>
                  </w:pPr>
                  <w:r w:rsidRPr="0049394D">
                    <w:t>RCC surgery</w:t>
                  </w:r>
                </w:p>
              </w:tc>
              <w:tc>
                <w:tcPr>
                  <w:tcW w:w="1134" w:type="dxa"/>
                  <w:vAlign w:val="center"/>
                </w:tcPr>
                <w:p w14:paraId="6D5DD0B4" w14:textId="77777777" w:rsidR="00E20F5E" w:rsidRPr="0049394D" w:rsidRDefault="00E20F5E" w:rsidP="00282F0D">
                  <w:pPr>
                    <w:pStyle w:val="TableText0"/>
                    <w:keepNext w:val="0"/>
                    <w:keepLines/>
                    <w:jc w:val="center"/>
                    <w:rPr>
                      <w:i/>
                      <w:iCs/>
                    </w:rPr>
                  </w:pPr>
                  <w:r w:rsidRPr="0049394D">
                    <w:t>$50,575.91</w:t>
                  </w:r>
                </w:p>
              </w:tc>
              <w:tc>
                <w:tcPr>
                  <w:tcW w:w="1276" w:type="dxa"/>
                  <w:vAlign w:val="center"/>
                </w:tcPr>
                <w:p w14:paraId="431C8A31" w14:textId="77777777" w:rsidR="00E20F5E" w:rsidRPr="0049394D" w:rsidRDefault="00E20F5E" w:rsidP="00282F0D">
                  <w:pPr>
                    <w:pStyle w:val="TableText0"/>
                    <w:keepNext w:val="0"/>
                    <w:keepLines/>
                    <w:jc w:val="center"/>
                    <w:rPr>
                      <w:i/>
                      <w:iCs/>
                    </w:rPr>
                  </w:pPr>
                  <w:r w:rsidRPr="0049394D">
                    <w:t>$9,470.33</w:t>
                  </w:r>
                </w:p>
              </w:tc>
              <w:tc>
                <w:tcPr>
                  <w:tcW w:w="1333" w:type="dxa"/>
                  <w:vAlign w:val="center"/>
                </w:tcPr>
                <w:p w14:paraId="38EE5CEF" w14:textId="77777777" w:rsidR="00E20F5E" w:rsidRPr="0049394D" w:rsidRDefault="00E20F5E" w:rsidP="00282F0D">
                  <w:pPr>
                    <w:pStyle w:val="TableText0"/>
                    <w:keepNext w:val="0"/>
                    <w:keepLines/>
                    <w:jc w:val="center"/>
                    <w:rPr>
                      <w:i/>
                      <w:iCs/>
                    </w:rPr>
                  </w:pPr>
                  <w:r w:rsidRPr="0049394D">
                    <w:t>$94.69</w:t>
                  </w:r>
                </w:p>
              </w:tc>
            </w:tr>
            <w:tr w:rsidR="00E20F5E" w:rsidRPr="0049394D" w14:paraId="24C1FEB6" w14:textId="77777777" w:rsidTr="00282F0D">
              <w:tc>
                <w:tcPr>
                  <w:tcW w:w="2690" w:type="dxa"/>
                  <w:vAlign w:val="center"/>
                </w:tcPr>
                <w:p w14:paraId="022B9716" w14:textId="77777777" w:rsidR="00E20F5E" w:rsidRPr="0049394D" w:rsidRDefault="00E20F5E" w:rsidP="00282F0D">
                  <w:pPr>
                    <w:pStyle w:val="TableText0"/>
                    <w:keepNext w:val="0"/>
                    <w:keepLines/>
                    <w:rPr>
                      <w:i/>
                      <w:iCs/>
                    </w:rPr>
                  </w:pPr>
                  <w:r w:rsidRPr="0049394D">
                    <w:t>CNS Hb surgery</w:t>
                  </w:r>
                </w:p>
              </w:tc>
              <w:tc>
                <w:tcPr>
                  <w:tcW w:w="1134" w:type="dxa"/>
                  <w:vAlign w:val="center"/>
                </w:tcPr>
                <w:p w14:paraId="5D4FD6F2" w14:textId="77777777" w:rsidR="00E20F5E" w:rsidRPr="0049394D" w:rsidRDefault="00E20F5E" w:rsidP="00282F0D">
                  <w:pPr>
                    <w:pStyle w:val="TableText0"/>
                    <w:keepNext w:val="0"/>
                    <w:keepLines/>
                    <w:jc w:val="center"/>
                    <w:rPr>
                      <w:i/>
                      <w:iCs/>
                    </w:rPr>
                  </w:pPr>
                  <w:r w:rsidRPr="0049394D">
                    <w:t>$63,329.97</w:t>
                  </w:r>
                </w:p>
              </w:tc>
              <w:tc>
                <w:tcPr>
                  <w:tcW w:w="1276" w:type="dxa"/>
                  <w:vAlign w:val="center"/>
                </w:tcPr>
                <w:p w14:paraId="5AF5E558" w14:textId="77777777" w:rsidR="00E20F5E" w:rsidRPr="0049394D" w:rsidRDefault="00E20F5E" w:rsidP="00282F0D">
                  <w:pPr>
                    <w:pStyle w:val="TableText0"/>
                    <w:keepNext w:val="0"/>
                    <w:keepLines/>
                    <w:jc w:val="center"/>
                    <w:rPr>
                      <w:i/>
                      <w:iCs/>
                    </w:rPr>
                  </w:pPr>
                  <w:r w:rsidRPr="0049394D">
                    <w:t>$9,351.72</w:t>
                  </w:r>
                </w:p>
              </w:tc>
              <w:tc>
                <w:tcPr>
                  <w:tcW w:w="1333" w:type="dxa"/>
                  <w:vAlign w:val="center"/>
                </w:tcPr>
                <w:p w14:paraId="266C533C" w14:textId="77777777" w:rsidR="00E20F5E" w:rsidRPr="0049394D" w:rsidRDefault="00E20F5E" w:rsidP="00282F0D">
                  <w:pPr>
                    <w:pStyle w:val="TableText0"/>
                    <w:keepNext w:val="0"/>
                    <w:keepLines/>
                    <w:jc w:val="center"/>
                    <w:rPr>
                      <w:i/>
                      <w:iCs/>
                    </w:rPr>
                  </w:pPr>
                  <w:r w:rsidRPr="0049394D">
                    <w:t>$183.56</w:t>
                  </w:r>
                </w:p>
              </w:tc>
            </w:tr>
            <w:tr w:rsidR="00E20F5E" w:rsidRPr="0049394D" w14:paraId="1A24A8D1" w14:textId="77777777" w:rsidTr="00282F0D">
              <w:tc>
                <w:tcPr>
                  <w:tcW w:w="2690" w:type="dxa"/>
                  <w:vAlign w:val="center"/>
                </w:tcPr>
                <w:p w14:paraId="415564C2" w14:textId="77777777" w:rsidR="00E20F5E" w:rsidRPr="0049394D" w:rsidRDefault="00E20F5E" w:rsidP="00282F0D">
                  <w:pPr>
                    <w:pStyle w:val="TableText0"/>
                    <w:keepNext w:val="0"/>
                    <w:keepLines/>
                    <w:rPr>
                      <w:i/>
                      <w:iCs/>
                    </w:rPr>
                  </w:pPr>
                  <w:r w:rsidRPr="0049394D">
                    <w:t>pNET surgery</w:t>
                  </w:r>
                </w:p>
              </w:tc>
              <w:tc>
                <w:tcPr>
                  <w:tcW w:w="1134" w:type="dxa"/>
                  <w:vAlign w:val="center"/>
                </w:tcPr>
                <w:p w14:paraId="04073BC0" w14:textId="77777777" w:rsidR="00E20F5E" w:rsidRPr="0049394D" w:rsidRDefault="00E20F5E" w:rsidP="00282F0D">
                  <w:pPr>
                    <w:pStyle w:val="TableText0"/>
                    <w:keepNext w:val="0"/>
                    <w:keepLines/>
                    <w:jc w:val="center"/>
                    <w:rPr>
                      <w:i/>
                      <w:iCs/>
                    </w:rPr>
                  </w:pPr>
                  <w:r w:rsidRPr="0049394D">
                    <w:t>$52,764.83</w:t>
                  </w:r>
                </w:p>
              </w:tc>
              <w:tc>
                <w:tcPr>
                  <w:tcW w:w="1276" w:type="dxa"/>
                  <w:vAlign w:val="center"/>
                </w:tcPr>
                <w:p w14:paraId="248BDCFD" w14:textId="77777777" w:rsidR="00E20F5E" w:rsidRPr="0049394D" w:rsidRDefault="00E20F5E" w:rsidP="00282F0D">
                  <w:pPr>
                    <w:pStyle w:val="TableText0"/>
                    <w:keepNext w:val="0"/>
                    <w:keepLines/>
                    <w:jc w:val="center"/>
                    <w:rPr>
                      <w:i/>
                      <w:iCs/>
                    </w:rPr>
                  </w:pPr>
                  <w:r w:rsidRPr="0049394D">
                    <w:t>$17,131.97</w:t>
                  </w:r>
                </w:p>
              </w:tc>
              <w:tc>
                <w:tcPr>
                  <w:tcW w:w="1333" w:type="dxa"/>
                  <w:vAlign w:val="center"/>
                </w:tcPr>
                <w:p w14:paraId="24A99E25" w14:textId="77777777" w:rsidR="00E20F5E" w:rsidRPr="0049394D" w:rsidRDefault="00E20F5E" w:rsidP="00282F0D">
                  <w:pPr>
                    <w:pStyle w:val="TableText0"/>
                    <w:keepNext w:val="0"/>
                    <w:keepLines/>
                    <w:jc w:val="center"/>
                    <w:rPr>
                      <w:i/>
                      <w:iCs/>
                    </w:rPr>
                  </w:pPr>
                  <w:r w:rsidRPr="0049394D">
                    <w:t>$72.16</w:t>
                  </w:r>
                </w:p>
              </w:tc>
            </w:tr>
            <w:tr w:rsidR="00E20F5E" w:rsidRPr="0049394D" w14:paraId="71E4CDB2" w14:textId="77777777" w:rsidTr="00282F0D">
              <w:tc>
                <w:tcPr>
                  <w:tcW w:w="2690" w:type="dxa"/>
                  <w:vAlign w:val="center"/>
                </w:tcPr>
                <w:p w14:paraId="0B6D1652" w14:textId="77777777" w:rsidR="00E20F5E" w:rsidRPr="0049394D" w:rsidRDefault="00E20F5E" w:rsidP="00282F0D">
                  <w:pPr>
                    <w:pStyle w:val="TableText0"/>
                    <w:keepNext w:val="0"/>
                    <w:keepLines/>
                    <w:rPr>
                      <w:i/>
                      <w:iCs/>
                    </w:rPr>
                  </w:pPr>
                  <w:r w:rsidRPr="0049394D">
                    <w:t>Retinal Hb surgery</w:t>
                  </w:r>
                </w:p>
              </w:tc>
              <w:tc>
                <w:tcPr>
                  <w:tcW w:w="1134" w:type="dxa"/>
                  <w:vAlign w:val="center"/>
                </w:tcPr>
                <w:p w14:paraId="72FE0AB2" w14:textId="77777777" w:rsidR="00E20F5E" w:rsidRPr="0049394D" w:rsidRDefault="00E20F5E" w:rsidP="00282F0D">
                  <w:pPr>
                    <w:pStyle w:val="TableText0"/>
                    <w:keepNext w:val="0"/>
                    <w:keepLines/>
                    <w:jc w:val="center"/>
                    <w:rPr>
                      <w:i/>
                      <w:iCs/>
                    </w:rPr>
                  </w:pPr>
                  <w:r w:rsidRPr="0049394D">
                    <w:t>$5,587.44</w:t>
                  </w:r>
                </w:p>
              </w:tc>
              <w:tc>
                <w:tcPr>
                  <w:tcW w:w="1276" w:type="dxa"/>
                  <w:vAlign w:val="center"/>
                </w:tcPr>
                <w:p w14:paraId="16ED56BD" w14:textId="77777777" w:rsidR="00E20F5E" w:rsidRPr="0049394D" w:rsidRDefault="00E20F5E" w:rsidP="00282F0D">
                  <w:pPr>
                    <w:pStyle w:val="TableText0"/>
                    <w:keepNext w:val="0"/>
                    <w:keepLines/>
                    <w:jc w:val="center"/>
                    <w:rPr>
                      <w:i/>
                      <w:iCs/>
                    </w:rPr>
                  </w:pPr>
                  <w:r w:rsidRPr="0049394D">
                    <w:t>$1,054.39</w:t>
                  </w:r>
                </w:p>
              </w:tc>
              <w:tc>
                <w:tcPr>
                  <w:tcW w:w="1333" w:type="dxa"/>
                  <w:vAlign w:val="center"/>
                </w:tcPr>
                <w:p w14:paraId="2A253EBE" w14:textId="77777777" w:rsidR="00E20F5E" w:rsidRPr="0049394D" w:rsidRDefault="00E20F5E" w:rsidP="00282F0D">
                  <w:pPr>
                    <w:pStyle w:val="TableText0"/>
                    <w:keepNext w:val="0"/>
                    <w:keepLines/>
                    <w:jc w:val="center"/>
                    <w:rPr>
                      <w:i/>
                      <w:iCs/>
                    </w:rPr>
                  </w:pPr>
                  <w:r w:rsidRPr="0049394D">
                    <w:t>$5.97</w:t>
                  </w:r>
                </w:p>
              </w:tc>
            </w:tr>
            <w:tr w:rsidR="00E20F5E" w:rsidRPr="0049394D" w14:paraId="2EBECEA3" w14:textId="77777777" w:rsidTr="00282F0D">
              <w:tc>
                <w:tcPr>
                  <w:tcW w:w="2690" w:type="dxa"/>
                  <w:vAlign w:val="center"/>
                </w:tcPr>
                <w:p w14:paraId="71B41B39" w14:textId="77777777" w:rsidR="00E20F5E" w:rsidRPr="0049394D" w:rsidRDefault="00E20F5E" w:rsidP="00282F0D">
                  <w:pPr>
                    <w:pStyle w:val="TableText0"/>
                    <w:keepNext w:val="0"/>
                    <w:keepLines/>
                    <w:rPr>
                      <w:i/>
                      <w:iCs/>
                    </w:rPr>
                  </w:pPr>
                  <w:r w:rsidRPr="0049394D">
                    <w:t>Adrenal lesion surgery</w:t>
                  </w:r>
                </w:p>
              </w:tc>
              <w:tc>
                <w:tcPr>
                  <w:tcW w:w="1134" w:type="dxa"/>
                  <w:vAlign w:val="center"/>
                </w:tcPr>
                <w:p w14:paraId="258559C3" w14:textId="77777777" w:rsidR="00E20F5E" w:rsidRPr="0049394D" w:rsidRDefault="00E20F5E" w:rsidP="00282F0D">
                  <w:pPr>
                    <w:pStyle w:val="TableText0"/>
                    <w:keepNext w:val="0"/>
                    <w:keepLines/>
                    <w:jc w:val="center"/>
                    <w:rPr>
                      <w:i/>
                      <w:iCs/>
                    </w:rPr>
                  </w:pPr>
                  <w:r w:rsidRPr="0049394D">
                    <w:t>$18,916.96</w:t>
                  </w:r>
                </w:p>
              </w:tc>
              <w:tc>
                <w:tcPr>
                  <w:tcW w:w="1276" w:type="dxa"/>
                  <w:vAlign w:val="center"/>
                </w:tcPr>
                <w:p w14:paraId="07D151A7" w14:textId="77777777" w:rsidR="00E20F5E" w:rsidRPr="0049394D" w:rsidRDefault="00E20F5E" w:rsidP="00282F0D">
                  <w:pPr>
                    <w:pStyle w:val="TableText0"/>
                    <w:keepNext w:val="0"/>
                    <w:keepLines/>
                    <w:jc w:val="center"/>
                    <w:rPr>
                      <w:i/>
                      <w:iCs/>
                    </w:rPr>
                  </w:pPr>
                  <w:r w:rsidRPr="0049394D">
                    <w:t>$9,152.72</w:t>
                  </w:r>
                </w:p>
              </w:tc>
              <w:tc>
                <w:tcPr>
                  <w:tcW w:w="1333" w:type="dxa"/>
                  <w:vAlign w:val="center"/>
                </w:tcPr>
                <w:p w14:paraId="043635E9" w14:textId="77777777" w:rsidR="00E20F5E" w:rsidRPr="0049394D" w:rsidRDefault="00E20F5E" w:rsidP="00282F0D">
                  <w:pPr>
                    <w:pStyle w:val="TableText0"/>
                    <w:keepNext w:val="0"/>
                    <w:keepLines/>
                    <w:jc w:val="center"/>
                    <w:rPr>
                      <w:i/>
                      <w:iCs/>
                    </w:rPr>
                  </w:pPr>
                  <w:r w:rsidRPr="0049394D">
                    <w:t>$92.31</w:t>
                  </w:r>
                </w:p>
              </w:tc>
            </w:tr>
            <w:tr w:rsidR="00E20F5E" w:rsidRPr="0049394D" w14:paraId="1E1BC94A" w14:textId="77777777" w:rsidTr="00282F0D">
              <w:tc>
                <w:tcPr>
                  <w:tcW w:w="2690" w:type="dxa"/>
                  <w:vAlign w:val="center"/>
                </w:tcPr>
                <w:p w14:paraId="690A1662" w14:textId="77777777" w:rsidR="00E20F5E" w:rsidRPr="0049394D" w:rsidRDefault="00E20F5E" w:rsidP="00282F0D">
                  <w:pPr>
                    <w:pStyle w:val="TableText0"/>
                    <w:keepNext w:val="0"/>
                    <w:keepLines/>
                    <w:rPr>
                      <w:iCs/>
                    </w:rPr>
                  </w:pPr>
                  <w:r w:rsidRPr="0049394D">
                    <w:t>Endolymphatic sac surgery</w:t>
                  </w:r>
                </w:p>
              </w:tc>
              <w:tc>
                <w:tcPr>
                  <w:tcW w:w="1134" w:type="dxa"/>
                  <w:vAlign w:val="center"/>
                </w:tcPr>
                <w:p w14:paraId="43099F45" w14:textId="77777777" w:rsidR="00E20F5E" w:rsidRPr="0049394D" w:rsidRDefault="00E20F5E" w:rsidP="00282F0D">
                  <w:pPr>
                    <w:pStyle w:val="TableText0"/>
                    <w:keepNext w:val="0"/>
                    <w:keepLines/>
                    <w:jc w:val="center"/>
                    <w:rPr>
                      <w:iCs/>
                    </w:rPr>
                  </w:pPr>
                  <w:r w:rsidRPr="0049394D">
                    <w:t>$14,134.18</w:t>
                  </w:r>
                </w:p>
              </w:tc>
              <w:tc>
                <w:tcPr>
                  <w:tcW w:w="1276" w:type="dxa"/>
                  <w:vAlign w:val="center"/>
                </w:tcPr>
                <w:p w14:paraId="632FE298" w14:textId="77777777" w:rsidR="00E20F5E" w:rsidRPr="0049394D" w:rsidRDefault="00E20F5E" w:rsidP="00282F0D">
                  <w:pPr>
                    <w:pStyle w:val="TableText0"/>
                    <w:keepNext w:val="0"/>
                    <w:keepLines/>
                    <w:jc w:val="center"/>
                    <w:rPr>
                      <w:iCs/>
                    </w:rPr>
                  </w:pPr>
                  <w:r w:rsidRPr="0049394D">
                    <w:t>$5,898.69</w:t>
                  </w:r>
                </w:p>
              </w:tc>
              <w:tc>
                <w:tcPr>
                  <w:tcW w:w="1333" w:type="dxa"/>
                  <w:vAlign w:val="center"/>
                </w:tcPr>
                <w:p w14:paraId="3F14DAD4" w14:textId="77777777" w:rsidR="00E20F5E" w:rsidRPr="0049394D" w:rsidRDefault="00E20F5E" w:rsidP="00282F0D">
                  <w:pPr>
                    <w:pStyle w:val="TableText0"/>
                    <w:keepNext w:val="0"/>
                    <w:keepLines/>
                    <w:jc w:val="center"/>
                    <w:rPr>
                      <w:iCs/>
                    </w:rPr>
                  </w:pPr>
                  <w:r w:rsidRPr="0049394D">
                    <w:rPr>
                      <w:iCs/>
                    </w:rPr>
                    <w:t>-</w:t>
                  </w:r>
                </w:p>
              </w:tc>
            </w:tr>
            <w:tr w:rsidR="00E20F5E" w:rsidRPr="0049394D" w14:paraId="29FEBE34" w14:textId="77777777" w:rsidTr="00282F0D">
              <w:tc>
                <w:tcPr>
                  <w:tcW w:w="2690" w:type="dxa"/>
                  <w:vAlign w:val="center"/>
                </w:tcPr>
                <w:p w14:paraId="2B05E04B" w14:textId="77777777" w:rsidR="00E20F5E" w:rsidRPr="0049394D" w:rsidRDefault="00E20F5E" w:rsidP="00282F0D">
                  <w:pPr>
                    <w:pStyle w:val="TableText0"/>
                    <w:keepNext w:val="0"/>
                    <w:keepLines/>
                  </w:pPr>
                  <w:r w:rsidRPr="0049394D">
                    <w:t>Epididymal cystadenoma surgery</w:t>
                  </w:r>
                </w:p>
              </w:tc>
              <w:tc>
                <w:tcPr>
                  <w:tcW w:w="1134" w:type="dxa"/>
                  <w:vAlign w:val="center"/>
                </w:tcPr>
                <w:p w14:paraId="1B7A70DE" w14:textId="77777777" w:rsidR="00E20F5E" w:rsidRPr="0049394D" w:rsidRDefault="00E20F5E" w:rsidP="00282F0D">
                  <w:pPr>
                    <w:pStyle w:val="TableText0"/>
                    <w:keepNext w:val="0"/>
                    <w:keepLines/>
                    <w:jc w:val="center"/>
                  </w:pPr>
                  <w:r w:rsidRPr="0049394D">
                    <w:t>$7,844.01</w:t>
                  </w:r>
                </w:p>
              </w:tc>
              <w:tc>
                <w:tcPr>
                  <w:tcW w:w="1276" w:type="dxa"/>
                  <w:vAlign w:val="center"/>
                </w:tcPr>
                <w:p w14:paraId="4348C366" w14:textId="77777777" w:rsidR="00E20F5E" w:rsidRPr="0049394D" w:rsidRDefault="00E20F5E" w:rsidP="00282F0D">
                  <w:pPr>
                    <w:pStyle w:val="TableText0"/>
                    <w:keepNext w:val="0"/>
                    <w:keepLines/>
                    <w:jc w:val="center"/>
                    <w:rPr>
                      <w:iCs/>
                    </w:rPr>
                  </w:pPr>
                  <w:r w:rsidRPr="0049394D">
                    <w:rPr>
                      <w:iCs/>
                    </w:rPr>
                    <w:t>-</w:t>
                  </w:r>
                </w:p>
              </w:tc>
              <w:tc>
                <w:tcPr>
                  <w:tcW w:w="1333" w:type="dxa"/>
                  <w:vAlign w:val="center"/>
                </w:tcPr>
                <w:p w14:paraId="597CF639" w14:textId="77777777" w:rsidR="00E20F5E" w:rsidRPr="0049394D" w:rsidRDefault="00E20F5E" w:rsidP="00282F0D">
                  <w:pPr>
                    <w:pStyle w:val="TableText0"/>
                    <w:keepNext w:val="0"/>
                    <w:keepLines/>
                    <w:jc w:val="center"/>
                    <w:rPr>
                      <w:iCs/>
                    </w:rPr>
                  </w:pPr>
                  <w:r w:rsidRPr="0049394D">
                    <w:rPr>
                      <w:iCs/>
                    </w:rPr>
                    <w:t>-</w:t>
                  </w:r>
                </w:p>
              </w:tc>
            </w:tr>
          </w:tbl>
          <w:p w14:paraId="2CD38E09" w14:textId="77777777" w:rsidR="00E20F5E" w:rsidRPr="0049394D" w:rsidRDefault="00E20F5E" w:rsidP="00282F0D">
            <w:pPr>
              <w:pStyle w:val="TableText0"/>
              <w:keepNext w:val="0"/>
            </w:pPr>
          </w:p>
          <w:p w14:paraId="4AFCAB23" w14:textId="77777777" w:rsidR="00E20F5E" w:rsidRPr="0049394D" w:rsidRDefault="00E20F5E" w:rsidP="00282F0D">
            <w:pPr>
              <w:pStyle w:val="TableText0"/>
              <w:keepNext w:val="0"/>
            </w:pPr>
            <w:r w:rsidRPr="0049394D">
              <w:t xml:space="preserve">Cost sensitivity analyses presented by the submission included the cost of productivity loss, either due to early death compared to general population (which decreased the ICERs in all models significantly compared to the base cases), or paid work productivity loss due to VHL while alive (which increased the ICERs slightly compared to the base cases). </w:t>
            </w:r>
            <w:r w:rsidRPr="0049394D">
              <w:rPr>
                <w:iCs/>
              </w:rPr>
              <w:t>The cost of productivity loss was uncertain, and the long-term cost of early death may be overestimated.</w:t>
            </w:r>
          </w:p>
        </w:tc>
      </w:tr>
    </w:tbl>
    <w:p w14:paraId="3929A3C8" w14:textId="77777777" w:rsidR="009C7DBD" w:rsidRPr="0049394D" w:rsidRDefault="009C7DBD" w:rsidP="009C7DBD">
      <w:pPr>
        <w:pStyle w:val="TableFigureFooter"/>
        <w:spacing w:after="0"/>
        <w:rPr>
          <w:rStyle w:val="CommentReference"/>
          <w:b w:val="0"/>
          <w:bCs/>
          <w:sz w:val="18"/>
          <w:szCs w:val="18"/>
        </w:rPr>
      </w:pPr>
      <w:r w:rsidRPr="0049394D">
        <w:rPr>
          <w:rStyle w:val="CommentReference"/>
          <w:b w:val="0"/>
          <w:bCs/>
          <w:sz w:val="18"/>
          <w:szCs w:val="18"/>
        </w:rPr>
        <w:t>Source: compiled during the evaluation.</w:t>
      </w:r>
    </w:p>
    <w:p w14:paraId="03CE3EF7" w14:textId="143BDFAA" w:rsidR="00E20F5E" w:rsidRPr="0049394D" w:rsidRDefault="009C7DBD" w:rsidP="005C19E6">
      <w:pPr>
        <w:pStyle w:val="TableFigureFooter"/>
        <w:rPr>
          <w:bCs/>
          <w:szCs w:val="18"/>
        </w:rPr>
      </w:pPr>
      <w:r w:rsidRPr="0049394D">
        <w:rPr>
          <w:rStyle w:val="CommentReference"/>
          <w:b w:val="0"/>
          <w:bCs/>
          <w:sz w:val="18"/>
          <w:szCs w:val="18"/>
        </w:rPr>
        <w:t>AE=adverse event; AR-DRG=Australian Refined Diagnosis Related Groups; AS=active surveillance; BEL=belzutifan; EFS=event free survival; ICER=incremental cost-effectiveness ratio; KM=Kaplan-Meier; MAIC=matched adjusted indirect comparison; MBS=Medicare Benefits Schedule; PBS=Pharmaceutical Benefits Scheme; PFS=progression free survival; PD=progressed disease; QALY=quality-adjusted life-year; QoL=quality of life; OS=overall survival.</w:t>
      </w:r>
    </w:p>
    <w:p w14:paraId="1A52295A" w14:textId="6B92352C" w:rsidR="00E20F5E" w:rsidRPr="0049394D" w:rsidRDefault="00E20F5E" w:rsidP="00E20F5E">
      <w:pPr>
        <w:pStyle w:val="3-BodyText"/>
      </w:pPr>
      <w:r w:rsidRPr="0049394D">
        <w:t xml:space="preserve">A summary of the model structure has been reproduced in </w:t>
      </w:r>
      <w:r>
        <w:fldChar w:fldCharType="begin" w:fldLock="1"/>
      </w:r>
      <w:r>
        <w:instrText xml:space="preserve"> REF _Ref166337000 </w:instrText>
      </w:r>
      <w:r>
        <w:fldChar w:fldCharType="separate"/>
      </w:r>
      <w:r w:rsidR="00437B51" w:rsidRPr="0049394D">
        <w:t xml:space="preserve">Figure </w:t>
      </w:r>
      <w:r w:rsidR="00437B51">
        <w:rPr>
          <w:noProof/>
        </w:rPr>
        <w:t>4</w:t>
      </w:r>
      <w:r>
        <w:rPr>
          <w:noProof/>
        </w:rPr>
        <w:fldChar w:fldCharType="end"/>
      </w:r>
      <w:r w:rsidRPr="0049394D">
        <w:t>.</w:t>
      </w:r>
    </w:p>
    <w:p w14:paraId="5D092E32" w14:textId="1F686064" w:rsidR="00E20F5E" w:rsidRPr="0049394D" w:rsidRDefault="00E20F5E" w:rsidP="007E7F19">
      <w:pPr>
        <w:pStyle w:val="Caption"/>
      </w:pPr>
      <w:bookmarkStart w:id="62" w:name="_Ref166337000"/>
      <w:bookmarkStart w:id="63" w:name="_Ref172210423"/>
      <w:r w:rsidRPr="0049394D">
        <w:lastRenderedPageBreak/>
        <w:t xml:space="preserve">Figure </w:t>
      </w:r>
      <w:r>
        <w:fldChar w:fldCharType="begin" w:fldLock="1"/>
      </w:r>
      <w:r>
        <w:instrText xml:space="preserve"> SEQ Figure \* ARABIC </w:instrText>
      </w:r>
      <w:r>
        <w:fldChar w:fldCharType="separate"/>
      </w:r>
      <w:r w:rsidR="00437B51">
        <w:rPr>
          <w:noProof/>
        </w:rPr>
        <w:t>4</w:t>
      </w:r>
      <w:r>
        <w:rPr>
          <w:noProof/>
        </w:rPr>
        <w:fldChar w:fldCharType="end"/>
      </w:r>
      <w:bookmarkEnd w:id="62"/>
      <w:r w:rsidRPr="0049394D">
        <w:t>: Model structure</w:t>
      </w:r>
      <w:bookmarkEnd w:id="63"/>
    </w:p>
    <w:p w14:paraId="443E1F76" w14:textId="77777777" w:rsidR="00E20F5E" w:rsidRPr="0049394D" w:rsidRDefault="00E20F5E" w:rsidP="007E7F19">
      <w:pPr>
        <w:keepNext/>
      </w:pPr>
      <w:r w:rsidRPr="0049394D">
        <w:rPr>
          <w:noProof/>
        </w:rPr>
        <w:drawing>
          <wp:inline distT="0" distB="0" distL="0" distR="0" wp14:anchorId="0902E7C7" wp14:editId="2BF8E4A5">
            <wp:extent cx="5705856" cy="2096268"/>
            <wp:effectExtent l="0" t="0" r="9525" b="0"/>
            <wp:docPr id="2" name="Picture 2" descr="Figure 4: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4: Model stru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671" cy="2146532"/>
                    </a:xfrm>
                    <a:prstGeom prst="rect">
                      <a:avLst/>
                    </a:prstGeom>
                    <a:noFill/>
                  </pic:spPr>
                </pic:pic>
              </a:graphicData>
            </a:graphic>
          </wp:inline>
        </w:drawing>
      </w:r>
    </w:p>
    <w:p w14:paraId="1E49CFE8" w14:textId="77777777" w:rsidR="00E20F5E" w:rsidRPr="0049394D" w:rsidRDefault="00E20F5E" w:rsidP="007E7F19">
      <w:pPr>
        <w:pStyle w:val="TableFigureFooter"/>
        <w:keepNext/>
      </w:pPr>
      <w:r w:rsidRPr="0049394D">
        <w:t>Source: compiled during the evaluation</w:t>
      </w:r>
    </w:p>
    <w:p w14:paraId="10B9A930" w14:textId="77777777" w:rsidR="00E20F5E" w:rsidRPr="0049394D" w:rsidRDefault="00E20F5E" w:rsidP="007E7F19">
      <w:pPr>
        <w:pStyle w:val="TableFigureFooter"/>
        <w:keepNext/>
      </w:pPr>
      <w:r w:rsidRPr="0049394D">
        <w:t>EFS=event free survival, S=surgery</w:t>
      </w:r>
    </w:p>
    <w:p w14:paraId="3D9C48DD" w14:textId="77777777" w:rsidR="00E20F5E" w:rsidRPr="0049394D" w:rsidRDefault="00E20F5E" w:rsidP="005C19E6">
      <w:pPr>
        <w:pStyle w:val="TableFigureFooter"/>
        <w:keepLines/>
      </w:pPr>
      <w:r w:rsidRPr="0049394D">
        <w:t>Green boxes and transitions were included in the belzutifan plus active surveillance arm only. Surgery states last only one cycle (one week). Patients in any pre-surgery, surgery or EFS post-surgery state (on/off treatment) can move to metastases post that (pre)surgery. Patients in EFS post-surgery 3+ could accrue further surgeries and return to the EFS post-surgery 3+ health state, until metastases or death. Metastases and death states are further divided in the model into a ‘first cycle’ and a ‘subsequent cycles’ states to allow for certain one-off costs (e.g. cost of metastatic treatment) and disutilities (e.g. sensitivity analysis including carer disutilities) to be applied, these substates are not depicted here.</w:t>
      </w:r>
    </w:p>
    <w:p w14:paraId="76757992" w14:textId="4ACEA245" w:rsidR="00E36A92" w:rsidRPr="0049394D" w:rsidRDefault="00E20F5E" w:rsidP="00E36A92">
      <w:pPr>
        <w:pStyle w:val="3-BodyText"/>
      </w:pPr>
      <w:r w:rsidRPr="0049394D">
        <w:t xml:space="preserve">Patients entered the models in a pre-surgery state (on treatment in the belzutifan arm, off treatment in the active surveillance arm) and could progress to surgery, metastases or death. Patients who received a specified body system tumour surgery (e.g., RCC surgery in the RCC model, CNS Hb surgery in the CNS Hb model) moved to event free survival (EFS) post-surgery the next cycle or progress to death. Patients in an EFS post-surgery state could stay in that state, move to death, metastases or further surgery. The models tracked patients up to 3 different surgeries for tumours of the specified body system in that model, though patients could accrue more than 3 surgeries (i.e., return to the surgery 3+ health state). Metastatic disease referred to RCC or pNET metastases (which patients in all models could develop at different rates) and from metastases patients could stay in </w:t>
      </w:r>
      <w:r w:rsidR="0038457B" w:rsidRPr="0049394D">
        <w:t xml:space="preserve">the health </w:t>
      </w:r>
      <w:r w:rsidRPr="0049394D">
        <w:t>state or die. Patients in the belzutifan arm could remain on treatment in any of the pre-surgery, surgery or EFS post-surgery states or move off treatment the following cycle.</w:t>
      </w:r>
      <w:r w:rsidR="00A5209D" w:rsidRPr="0049394D">
        <w:t xml:space="preserve"> </w:t>
      </w:r>
      <w:r w:rsidR="00E15310" w:rsidRPr="0049394D">
        <w:t>Discontinuation of belzutifan was not driven by health state allocation, except that</w:t>
      </w:r>
      <w:r w:rsidRPr="0049394D">
        <w:t xml:space="preserve"> </w:t>
      </w:r>
      <w:r w:rsidR="00E15310" w:rsidRPr="0049394D">
        <w:t>n</w:t>
      </w:r>
      <w:r w:rsidRPr="0049394D">
        <w:t xml:space="preserve">o patients could receive belzutifan in the metastatic disease states, </w:t>
      </w:r>
      <w:r w:rsidR="008561E9" w:rsidRPr="0049394D">
        <w:t>this was consistent with</w:t>
      </w:r>
      <w:r w:rsidRPr="0049394D">
        <w:t xml:space="preserve"> the requested PBS restriction.</w:t>
      </w:r>
      <w:r w:rsidR="00E15310" w:rsidRPr="0049394D">
        <w:t xml:space="preserve"> As such</w:t>
      </w:r>
      <w:r w:rsidR="008679A4" w:rsidRPr="0049394D">
        <w:t>,</w:t>
      </w:r>
      <w:r w:rsidR="00E15310" w:rsidRPr="0049394D">
        <w:t xml:space="preserve"> patients in the pre-surgery, surgery, and EFS post-surgery states could be on or off treatment.</w:t>
      </w:r>
      <w:r w:rsidRPr="0049394D">
        <w:t xml:space="preserve"> Tumour surgeries in body systems not specific to the model (henceforth referred to as ‘other’ tumour surgeries) were modelled independently of health state allocation</w:t>
      </w:r>
      <w:r w:rsidR="00E36A92" w:rsidRPr="0049394D">
        <w:t xml:space="preserve"> </w:t>
      </w:r>
      <w:r w:rsidR="00E36A92" w:rsidRPr="00BF3570">
        <w:rPr>
          <w:iCs/>
        </w:rPr>
        <w:t>and had no impact on survival</w:t>
      </w:r>
      <w:r w:rsidRPr="0049394D">
        <w:t xml:space="preserve">. </w:t>
      </w:r>
      <w:r w:rsidR="0038457B" w:rsidRPr="00BF3570">
        <w:rPr>
          <w:iCs/>
        </w:rPr>
        <w:t xml:space="preserve">The ESC considered that this was inappropriate and advised that ‘other’ tumour surgeries </w:t>
      </w:r>
      <w:r w:rsidR="008B48AC" w:rsidRPr="00BF3570">
        <w:rPr>
          <w:iCs/>
        </w:rPr>
        <w:t xml:space="preserve">should </w:t>
      </w:r>
      <w:r w:rsidR="00420981" w:rsidRPr="00BF3570">
        <w:rPr>
          <w:iCs/>
        </w:rPr>
        <w:t>have been</w:t>
      </w:r>
      <w:r w:rsidR="0038457B" w:rsidRPr="00BF3570">
        <w:rPr>
          <w:iCs/>
        </w:rPr>
        <w:t xml:space="preserve"> incorporated into the transition probabilities and model structure</w:t>
      </w:r>
      <w:r w:rsidR="00E36A92" w:rsidRPr="00BF3570">
        <w:rPr>
          <w:iCs/>
        </w:rPr>
        <w:t xml:space="preserve"> (see paragraph </w:t>
      </w:r>
      <w:r w:rsidR="00E36A92" w:rsidRPr="00BF3570">
        <w:rPr>
          <w:iCs/>
        </w:rPr>
        <w:fldChar w:fldCharType="begin" w:fldLock="1"/>
      </w:r>
      <w:r w:rsidR="00E36A92" w:rsidRPr="00BF3570">
        <w:rPr>
          <w:iCs/>
        </w:rPr>
        <w:instrText xml:space="preserve"> REF _Ref169274335 \r \h </w:instrText>
      </w:r>
      <w:r w:rsidR="00E36A92" w:rsidRPr="00BF3570">
        <w:rPr>
          <w:iCs/>
        </w:rPr>
      </w:r>
      <w:r w:rsidR="00E36A92" w:rsidRPr="00BF3570">
        <w:rPr>
          <w:iCs/>
        </w:rPr>
        <w:fldChar w:fldCharType="separate"/>
      </w:r>
      <w:r w:rsidR="00437B51">
        <w:rPr>
          <w:iCs/>
        </w:rPr>
        <w:t>6.51</w:t>
      </w:r>
      <w:r w:rsidR="00E36A92" w:rsidRPr="00BF3570">
        <w:rPr>
          <w:iCs/>
        </w:rPr>
        <w:fldChar w:fldCharType="end"/>
      </w:r>
      <w:r w:rsidR="00E36A92" w:rsidRPr="00BF3570">
        <w:rPr>
          <w:iCs/>
        </w:rPr>
        <w:t>)</w:t>
      </w:r>
      <w:r w:rsidR="0038457B" w:rsidRPr="00BF3570">
        <w:rPr>
          <w:iCs/>
        </w:rPr>
        <w:t>.</w:t>
      </w:r>
      <w:r w:rsidR="00E36A92" w:rsidRPr="00BF3570">
        <w:rPr>
          <w:iCs/>
        </w:rPr>
        <w:t xml:space="preserve"> </w:t>
      </w:r>
    </w:p>
    <w:p w14:paraId="47D88D22" w14:textId="3595D03C" w:rsidR="00E20F5E" w:rsidRPr="0049394D" w:rsidRDefault="00C35304" w:rsidP="00E36A92">
      <w:pPr>
        <w:pStyle w:val="3-BodyText"/>
      </w:pPr>
      <w:r>
        <w:fldChar w:fldCharType="begin" w:fldLock="1"/>
      </w:r>
      <w:r>
        <w:instrText xml:space="preserve"> REF _Ref166337738 </w:instrText>
      </w:r>
      <w:r>
        <w:fldChar w:fldCharType="separate"/>
      </w:r>
      <w:r w:rsidR="00437B51" w:rsidRPr="0049394D">
        <w:t xml:space="preserve">Figure </w:t>
      </w:r>
      <w:r w:rsidR="00437B51">
        <w:rPr>
          <w:noProof/>
        </w:rPr>
        <w:t>5</w:t>
      </w:r>
      <w:r>
        <w:rPr>
          <w:noProof/>
        </w:rPr>
        <w:fldChar w:fldCharType="end"/>
      </w:r>
      <w:r w:rsidR="00E20F5E" w:rsidRPr="0049394D">
        <w:t xml:space="preserve"> summarises the KM data presented in the models from LS-004, LS-004 pre-treatment period, and VHL-NHS (MAIC, reweighted). </w:t>
      </w:r>
      <w:r w:rsidR="00E20F5E" w:rsidRPr="0049394D">
        <w:rPr>
          <w:iCs/>
        </w:rPr>
        <w:t xml:space="preserve">However, the transition probabilities in the models were not based on this specific data (e.g., VHL-NHS KM </w:t>
      </w:r>
      <w:r w:rsidR="00E20F5E" w:rsidRPr="0049394D">
        <w:rPr>
          <w:iCs/>
        </w:rPr>
        <w:lastRenderedPageBreak/>
        <w:t>data in the model was for time to surgery, metastases or death, whereas the extrapolations appeared to be based on KM data for time to surgery only), and instead the KM data in the model was used for validation of the overall model. Neither the VHL-NHS data in the CSR (used to assess clinical effectiveness) or unweighted VHL-NHS data in the MAIC (i.e. before matching) were provided for comparison with the reweighted VHL-NHS data in the MAIC (i.e. after matching). No other data were presented for transitions from other states.</w:t>
      </w:r>
      <w:r w:rsidR="004726F8" w:rsidRPr="0049394D">
        <w:rPr>
          <w:iCs/>
        </w:rPr>
        <w:t xml:space="preserve"> </w:t>
      </w:r>
      <w:r w:rsidR="008B48AC" w:rsidRPr="00BF3570">
        <w:t xml:space="preserve"> The PSCR presented the KM data from the VHL-NHS MAIC analysis (unweighted and reweighted) for (i) time to first surgery, (ii) time between surgeries, (iii) time to metastatic disease (from pre-surgery) and (iv) time to death (from pre-surgery). In all KM data other events were counted as censoring events, e.g., patients who had a surgery prior to death were censored for the time to death data. These data have been used to validate the active surveillance arms by comparing to the modelled transitions, and where appropriate, the different KM data in the model, and possible extrapolations</w:t>
      </w:r>
      <w:r w:rsidR="00A800A7" w:rsidRPr="00BF3570">
        <w:t xml:space="preserve">. </w:t>
      </w:r>
      <w:r w:rsidR="00380F95" w:rsidRPr="00BF3570">
        <w:t xml:space="preserve">Overall, the unweighted and reweighted KM data presented in the PSCR was similar, particularly for time to next surgery and time to metastases and death from pre-surgery. </w:t>
      </w:r>
      <w:r w:rsidR="008B48AC" w:rsidRPr="00BF3570">
        <w:t xml:space="preserve">The PSCR did not present KM data for time to surgery in the belzutifan arm of the CNS Hb model, nor the underlying KM data for time to metastases or death from EFS post-surgery in the RCC model, or the unweighted VHL-NHS data for the ‘other’ surgeries in each model, so these could not be validated. </w:t>
      </w:r>
    </w:p>
    <w:p w14:paraId="59AB1A55" w14:textId="3FB59AFB" w:rsidR="00E20F5E" w:rsidRPr="0049394D" w:rsidRDefault="00E20F5E" w:rsidP="00E20F5E">
      <w:pPr>
        <w:pStyle w:val="TableFigureHeading"/>
        <w:rPr>
          <w:rStyle w:val="CommentReference"/>
          <w:b/>
          <w:szCs w:val="24"/>
        </w:rPr>
      </w:pPr>
      <w:bookmarkStart w:id="64" w:name="_Ref166337738"/>
      <w:r w:rsidRPr="0049394D">
        <w:t xml:space="preserve">Figure </w:t>
      </w:r>
      <w:r>
        <w:fldChar w:fldCharType="begin" w:fldLock="1"/>
      </w:r>
      <w:r>
        <w:instrText xml:space="preserve"> SEQ Figure \* ARABIC </w:instrText>
      </w:r>
      <w:r>
        <w:fldChar w:fldCharType="separate"/>
      </w:r>
      <w:r w:rsidR="00437B51">
        <w:rPr>
          <w:noProof/>
        </w:rPr>
        <w:t>5</w:t>
      </w:r>
      <w:r>
        <w:rPr>
          <w:noProof/>
        </w:rPr>
        <w:fldChar w:fldCharType="end"/>
      </w:r>
      <w:bookmarkEnd w:id="64"/>
      <w:r w:rsidRPr="0049394D">
        <w:t xml:space="preserve">: </w:t>
      </w:r>
      <w:r w:rsidRPr="0049394D">
        <w:rPr>
          <w:rStyle w:val="CommentReference"/>
          <w:b/>
          <w:szCs w:val="24"/>
        </w:rPr>
        <w:t>KM data presented in the model</w:t>
      </w:r>
      <w:r w:rsidR="0011700D" w:rsidRPr="0049394D">
        <w:rPr>
          <w:rStyle w:val="CommentReference"/>
          <w:b/>
          <w:szCs w:val="24"/>
        </w:rPr>
        <w:t xml:space="preserve"> for validation purposes</w:t>
      </w:r>
      <w:r w:rsidR="000B27C3" w:rsidRPr="0049394D">
        <w:rPr>
          <w:rStyle w:val="CommentReference"/>
          <w:b/>
          <w:szCs w:val="24"/>
        </w:rPr>
        <w:t>.</w:t>
      </w:r>
    </w:p>
    <w:p w14:paraId="141E0593" w14:textId="77777777" w:rsidR="00E20F5E" w:rsidRPr="0049394D" w:rsidRDefault="00E20F5E" w:rsidP="00E20F5E">
      <w:pPr>
        <w:pStyle w:val="In-tableHeading"/>
        <w:rPr>
          <w:lang w:val="en-AU"/>
        </w:rPr>
      </w:pPr>
      <w:r w:rsidRPr="0049394D">
        <w:rPr>
          <w:noProof/>
          <w:lang w:val="en-AU"/>
        </w:rPr>
        <w:drawing>
          <wp:inline distT="0" distB="0" distL="0" distR="0" wp14:anchorId="5BD953F8" wp14:editId="4C9249B2">
            <wp:extent cx="5400000" cy="3526726"/>
            <wp:effectExtent l="0" t="0" r="0" b="0"/>
            <wp:docPr id="12" name="Picture 12" descr="Figure 5: KM data presented in the model for validation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5: KM data presented in the model for validation purpos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3526726"/>
                    </a:xfrm>
                    <a:prstGeom prst="rect">
                      <a:avLst/>
                    </a:prstGeom>
                    <a:noFill/>
                  </pic:spPr>
                </pic:pic>
              </a:graphicData>
            </a:graphic>
          </wp:inline>
        </w:drawing>
      </w:r>
    </w:p>
    <w:p w14:paraId="5EC891F2" w14:textId="77777777" w:rsidR="00E20F5E" w:rsidRPr="0049394D" w:rsidRDefault="00E20F5E" w:rsidP="00E20F5E">
      <w:pPr>
        <w:pStyle w:val="TableFigureFooter"/>
        <w:keepNext/>
      </w:pPr>
      <w:r w:rsidRPr="0049394D">
        <w:t>Source: compiled during the evaluation using Sheet ‘Raw_Observed KM curves’ of Excel Workbook ‘Attachment 7 (CUA).xlsm’</w:t>
      </w:r>
    </w:p>
    <w:p w14:paraId="4F93DDEF" w14:textId="77777777" w:rsidR="00E20F5E" w:rsidRPr="0049394D" w:rsidRDefault="00E20F5E" w:rsidP="00E20F5E">
      <w:pPr>
        <w:pStyle w:val="TableFigureFooter"/>
        <w:keepNext/>
      </w:pPr>
      <w:r w:rsidRPr="0049394D">
        <w:t>AS=active surveillance, BEL=belzutifan</w:t>
      </w:r>
    </w:p>
    <w:p w14:paraId="1073CF65" w14:textId="511CF54C" w:rsidR="00761B55" w:rsidRPr="0049394D" w:rsidRDefault="00E20F5E" w:rsidP="00380F95">
      <w:pPr>
        <w:pStyle w:val="TableFigureFooter"/>
        <w:ind w:left="165" w:hanging="165"/>
      </w:pPr>
      <w:r w:rsidRPr="0049394D">
        <w:t>*</w:t>
      </w:r>
      <w:r w:rsidR="002E2D07" w:rsidRPr="0049394D">
        <w:tab/>
      </w:r>
      <w:r w:rsidRPr="0049394D">
        <w:t xml:space="preserve">pre-treatment period set date of first belzutifan dose as Time 0 and looked backwards to the most recent CNS Hb/pNET surgery (i.e., 5 years in the LS-004 pre-treatment period is equal to 5 years prior to first belzutifan dose). </w:t>
      </w:r>
    </w:p>
    <w:p w14:paraId="3EF81F6B" w14:textId="7DF60FE5" w:rsidR="00E20F5E" w:rsidRPr="0049394D" w:rsidRDefault="00E20F5E" w:rsidP="00E20F5E">
      <w:pPr>
        <w:pStyle w:val="3-BodyText"/>
        <w:rPr>
          <w:iCs/>
        </w:rPr>
      </w:pPr>
      <w:r w:rsidRPr="0049394D">
        <w:lastRenderedPageBreak/>
        <w:t xml:space="preserve">The data used to inform the transition probabilities in the models are summarised in </w:t>
      </w:r>
      <w:r>
        <w:fldChar w:fldCharType="begin" w:fldLock="1"/>
      </w:r>
      <w:r>
        <w:instrText xml:space="preserve"> REF _Ref166338427 </w:instrText>
      </w:r>
      <w:r>
        <w:fldChar w:fldCharType="separate"/>
      </w:r>
      <w:r w:rsidR="00437B51" w:rsidRPr="0049394D">
        <w:t xml:space="preserve">Table </w:t>
      </w:r>
      <w:r w:rsidR="00437B51">
        <w:rPr>
          <w:noProof/>
        </w:rPr>
        <w:t>12</w:t>
      </w:r>
      <w:r>
        <w:rPr>
          <w:noProof/>
        </w:rPr>
        <w:fldChar w:fldCharType="end"/>
      </w:r>
      <w:r w:rsidRPr="0049394D">
        <w:t xml:space="preserve">. </w:t>
      </w:r>
    </w:p>
    <w:p w14:paraId="4FDA2D5A" w14:textId="1A8DF5FA" w:rsidR="00E20F5E" w:rsidRPr="0049394D" w:rsidRDefault="00E20F5E" w:rsidP="00E20F5E">
      <w:pPr>
        <w:pStyle w:val="Caption"/>
      </w:pPr>
      <w:bookmarkStart w:id="65" w:name="_Ref166338427"/>
      <w:r w:rsidRPr="0049394D">
        <w:t xml:space="preserve">Table </w:t>
      </w:r>
      <w:r>
        <w:fldChar w:fldCharType="begin" w:fldLock="1"/>
      </w:r>
      <w:r>
        <w:instrText xml:space="preserve"> SEQ Table \* ARABIC </w:instrText>
      </w:r>
      <w:r>
        <w:fldChar w:fldCharType="separate"/>
      </w:r>
      <w:r w:rsidR="00437B51">
        <w:rPr>
          <w:noProof/>
        </w:rPr>
        <w:t>12</w:t>
      </w:r>
      <w:r>
        <w:rPr>
          <w:noProof/>
        </w:rPr>
        <w:fldChar w:fldCharType="end"/>
      </w:r>
      <w:bookmarkEnd w:id="65"/>
      <w:r w:rsidRPr="0049394D">
        <w:t>: Transition probabilities</w:t>
      </w:r>
      <w:r w:rsidR="002E5C8A" w:rsidRPr="0049394D">
        <w:t xml:space="preserve"> (per week cycle)</w:t>
      </w:r>
      <w:r w:rsidRPr="0049394D">
        <w:t xml:space="preserve"> in the models</w:t>
      </w:r>
    </w:p>
    <w:tbl>
      <w:tblPr>
        <w:tblStyle w:val="TableGrid"/>
        <w:tblW w:w="5000" w:type="pct"/>
        <w:tblCellMar>
          <w:left w:w="28" w:type="dxa"/>
          <w:right w:w="28" w:type="dxa"/>
        </w:tblCellMar>
        <w:tblLook w:val="04A0" w:firstRow="1" w:lastRow="0" w:firstColumn="1" w:lastColumn="0" w:noHBand="0" w:noVBand="1"/>
        <w:tblCaption w:val="Table 12: Transition probabilities (per week cycle) in the models"/>
      </w:tblPr>
      <w:tblGrid>
        <w:gridCol w:w="995"/>
        <w:gridCol w:w="700"/>
        <w:gridCol w:w="3340"/>
        <w:gridCol w:w="3982"/>
      </w:tblGrid>
      <w:tr w:rsidR="00E20F5E" w:rsidRPr="0049394D" w14:paraId="3080576B" w14:textId="77777777" w:rsidTr="00465819">
        <w:trPr>
          <w:cantSplit/>
          <w:tblHeader/>
        </w:trPr>
        <w:tc>
          <w:tcPr>
            <w:tcW w:w="552" w:type="pct"/>
          </w:tcPr>
          <w:p w14:paraId="000ABB9A" w14:textId="77777777" w:rsidR="00E20F5E" w:rsidRPr="0049394D" w:rsidRDefault="00E20F5E" w:rsidP="00282F0D">
            <w:pPr>
              <w:pStyle w:val="In-tableHeading"/>
              <w:rPr>
                <w:lang w:val="en-AU"/>
              </w:rPr>
            </w:pPr>
            <w:r w:rsidRPr="0049394D">
              <w:rPr>
                <w:lang w:val="en-AU"/>
              </w:rPr>
              <w:t>Transition</w:t>
            </w:r>
          </w:p>
        </w:tc>
        <w:tc>
          <w:tcPr>
            <w:tcW w:w="388" w:type="pct"/>
          </w:tcPr>
          <w:p w14:paraId="36CBB79F" w14:textId="77777777" w:rsidR="00E20F5E" w:rsidRPr="0049394D" w:rsidRDefault="00E20F5E" w:rsidP="00282F0D">
            <w:pPr>
              <w:pStyle w:val="In-tableHeading"/>
              <w:rPr>
                <w:lang w:val="en-AU"/>
              </w:rPr>
            </w:pPr>
            <w:r w:rsidRPr="0049394D">
              <w:rPr>
                <w:lang w:val="en-AU"/>
              </w:rPr>
              <w:t>Model</w:t>
            </w:r>
          </w:p>
        </w:tc>
        <w:tc>
          <w:tcPr>
            <w:tcW w:w="1852" w:type="pct"/>
          </w:tcPr>
          <w:p w14:paraId="40501CD7" w14:textId="77777777" w:rsidR="00E20F5E" w:rsidRPr="0049394D" w:rsidRDefault="00E20F5E" w:rsidP="00282F0D">
            <w:pPr>
              <w:pStyle w:val="In-tableHeading"/>
              <w:rPr>
                <w:lang w:val="en-AU"/>
              </w:rPr>
            </w:pPr>
            <w:r w:rsidRPr="0049394D">
              <w:rPr>
                <w:lang w:val="en-AU"/>
              </w:rPr>
              <w:t>AS</w:t>
            </w:r>
          </w:p>
        </w:tc>
        <w:tc>
          <w:tcPr>
            <w:tcW w:w="2208" w:type="pct"/>
          </w:tcPr>
          <w:p w14:paraId="5C6F2F8F" w14:textId="77777777" w:rsidR="00E20F5E" w:rsidRPr="0049394D" w:rsidRDefault="00E20F5E" w:rsidP="00282F0D">
            <w:pPr>
              <w:pStyle w:val="In-tableHeading"/>
              <w:rPr>
                <w:lang w:val="en-AU"/>
              </w:rPr>
            </w:pPr>
            <w:r w:rsidRPr="0049394D">
              <w:rPr>
                <w:lang w:val="en-AU"/>
              </w:rPr>
              <w:t>BEL+AS</w:t>
            </w:r>
          </w:p>
        </w:tc>
      </w:tr>
      <w:tr w:rsidR="00E20F5E" w:rsidRPr="0049394D" w14:paraId="4C317718" w14:textId="77777777" w:rsidTr="00465819">
        <w:trPr>
          <w:cantSplit/>
          <w:trHeight w:val="995"/>
        </w:trPr>
        <w:tc>
          <w:tcPr>
            <w:tcW w:w="552" w:type="pct"/>
            <w:vMerge w:val="restart"/>
            <w:vAlign w:val="center"/>
          </w:tcPr>
          <w:p w14:paraId="46A66EE0" w14:textId="77777777" w:rsidR="00E20F5E" w:rsidRPr="0049394D" w:rsidRDefault="00E20F5E" w:rsidP="00282F0D">
            <w:pPr>
              <w:pStyle w:val="TableText0"/>
            </w:pPr>
            <w:r w:rsidRPr="0049394D">
              <w:t>Pre-surgery to surgery 1</w:t>
            </w:r>
          </w:p>
        </w:tc>
        <w:tc>
          <w:tcPr>
            <w:tcW w:w="388" w:type="pct"/>
          </w:tcPr>
          <w:p w14:paraId="79F85A64" w14:textId="77777777" w:rsidR="00E20F5E" w:rsidRPr="0049394D" w:rsidRDefault="00E20F5E" w:rsidP="00282F0D">
            <w:pPr>
              <w:pStyle w:val="TableText0"/>
            </w:pPr>
            <w:r w:rsidRPr="0049394D">
              <w:t>RCC</w:t>
            </w:r>
          </w:p>
        </w:tc>
        <w:tc>
          <w:tcPr>
            <w:tcW w:w="1852" w:type="pct"/>
          </w:tcPr>
          <w:p w14:paraId="47B0B86C" w14:textId="5F356381" w:rsidR="00E20F5E" w:rsidRPr="0049394D" w:rsidRDefault="00E20F5E" w:rsidP="00282F0D">
            <w:pPr>
              <w:pStyle w:val="TableText0"/>
              <w:rPr>
                <w:u w:val="single"/>
              </w:rPr>
            </w:pPr>
            <w:r w:rsidRPr="0049394D">
              <w:t>Exponential extrapolation from Time 0, VHL-NHS reweighted RCC surgery KM data</w:t>
            </w:r>
            <w:r w:rsidR="002E5C8A" w:rsidRPr="0049394D">
              <w:t>. Transition probability each cycle adjusted for Optum CDM EFS- VHL-NHS EFS.</w:t>
            </w:r>
          </w:p>
        </w:tc>
        <w:tc>
          <w:tcPr>
            <w:tcW w:w="2208" w:type="pct"/>
          </w:tcPr>
          <w:p w14:paraId="619FD815" w14:textId="7AE1D9A6" w:rsidR="00E20F5E" w:rsidRPr="0049394D" w:rsidRDefault="00E20F5E" w:rsidP="00282F0D">
            <w:pPr>
              <w:pStyle w:val="TableText0"/>
            </w:pPr>
            <w:r w:rsidRPr="0049394D">
              <w:t>On treatment (and off treatment before Year 3.84): Exponential extrapolation of LS-004 KM data from Time 0. Treatment waning</w:t>
            </w:r>
            <w:r w:rsidRPr="0049394D">
              <w:rPr>
                <w:vertAlign w:val="superscript"/>
              </w:rPr>
              <w:t>a</w:t>
            </w:r>
            <w:r w:rsidRPr="0049394D">
              <w:t xml:space="preserve"> </w:t>
            </w:r>
            <w:r w:rsidR="00031340" w:rsidRPr="0049394D">
              <w:t xml:space="preserve">for discontinued patients </w:t>
            </w:r>
            <w:r w:rsidRPr="0049394D">
              <w:t>from Year 3.84</w:t>
            </w:r>
            <w:r w:rsidR="0062640D" w:rsidRPr="0049394D">
              <w:t xml:space="preserve"> to 6.55.</w:t>
            </w:r>
          </w:p>
        </w:tc>
      </w:tr>
      <w:tr w:rsidR="00E20F5E" w:rsidRPr="0049394D" w14:paraId="7C746C1A" w14:textId="77777777" w:rsidTr="00465819">
        <w:trPr>
          <w:cantSplit/>
          <w:trHeight w:val="995"/>
        </w:trPr>
        <w:tc>
          <w:tcPr>
            <w:tcW w:w="552" w:type="pct"/>
            <w:vMerge/>
          </w:tcPr>
          <w:p w14:paraId="20B2A8EA" w14:textId="77777777" w:rsidR="00E20F5E" w:rsidRPr="0049394D" w:rsidRDefault="00E20F5E" w:rsidP="00282F0D">
            <w:pPr>
              <w:pStyle w:val="TableText0"/>
            </w:pPr>
          </w:p>
        </w:tc>
        <w:tc>
          <w:tcPr>
            <w:tcW w:w="388" w:type="pct"/>
          </w:tcPr>
          <w:p w14:paraId="0106E0A5" w14:textId="77777777" w:rsidR="00E20F5E" w:rsidRPr="0049394D" w:rsidRDefault="00E20F5E" w:rsidP="00282F0D">
            <w:pPr>
              <w:pStyle w:val="TableText0"/>
            </w:pPr>
            <w:r w:rsidRPr="0049394D">
              <w:t>CNS Hb</w:t>
            </w:r>
          </w:p>
        </w:tc>
        <w:tc>
          <w:tcPr>
            <w:tcW w:w="1852" w:type="pct"/>
          </w:tcPr>
          <w:p w14:paraId="7FE4BFED" w14:textId="77777777" w:rsidR="00E20F5E" w:rsidRPr="0049394D" w:rsidRDefault="00E20F5E" w:rsidP="00282F0D">
            <w:pPr>
              <w:pStyle w:val="TableText0"/>
            </w:pPr>
            <w:r w:rsidRPr="0049394D">
              <w:t>Exponential extrapolation from Time 0, LS-004 pre-treatment CNS Hb surgery KM data - looking backwards from baseline to most recent prior CNS Hb surgery</w:t>
            </w:r>
          </w:p>
        </w:tc>
        <w:tc>
          <w:tcPr>
            <w:tcW w:w="2208" w:type="pct"/>
          </w:tcPr>
          <w:p w14:paraId="05A3EAD4" w14:textId="1D4C227A" w:rsidR="00E20F5E" w:rsidRPr="0049394D" w:rsidRDefault="00E20F5E" w:rsidP="00282F0D">
            <w:pPr>
              <w:pStyle w:val="TableText0"/>
              <w:rPr>
                <w:u w:val="single"/>
              </w:rPr>
            </w:pPr>
            <w:r w:rsidRPr="0049394D">
              <w:t>On treatment (and off treatment before Year 3.84): Exponential extrapolation of LS-004 KM data from Time 0. Treatment waning</w:t>
            </w:r>
            <w:r w:rsidRPr="0049394D">
              <w:rPr>
                <w:vertAlign w:val="superscript"/>
              </w:rPr>
              <w:t>a</w:t>
            </w:r>
            <w:r w:rsidR="00031340" w:rsidRPr="0049394D">
              <w:rPr>
                <w:vertAlign w:val="superscript"/>
              </w:rPr>
              <w:t xml:space="preserve"> </w:t>
            </w:r>
            <w:r w:rsidR="00031340" w:rsidRPr="0049394D">
              <w:t>for discontinued patients</w:t>
            </w:r>
            <w:r w:rsidRPr="0049394D">
              <w:t xml:space="preserve"> from Year 3.84</w:t>
            </w:r>
            <w:r w:rsidR="0062640D" w:rsidRPr="0049394D">
              <w:t xml:space="preserve"> to 6.55.</w:t>
            </w:r>
          </w:p>
        </w:tc>
      </w:tr>
      <w:tr w:rsidR="00E20F5E" w:rsidRPr="0049394D" w14:paraId="18B05606" w14:textId="77777777" w:rsidTr="00465819">
        <w:trPr>
          <w:cantSplit/>
          <w:trHeight w:val="995"/>
        </w:trPr>
        <w:tc>
          <w:tcPr>
            <w:tcW w:w="552" w:type="pct"/>
            <w:vMerge/>
          </w:tcPr>
          <w:p w14:paraId="19641E47" w14:textId="77777777" w:rsidR="00E20F5E" w:rsidRPr="0049394D" w:rsidRDefault="00E20F5E" w:rsidP="00282F0D">
            <w:pPr>
              <w:pStyle w:val="TableText0"/>
              <w:keepNext w:val="0"/>
            </w:pPr>
          </w:p>
        </w:tc>
        <w:tc>
          <w:tcPr>
            <w:tcW w:w="388" w:type="pct"/>
          </w:tcPr>
          <w:p w14:paraId="30EA54F3" w14:textId="77777777" w:rsidR="00E20F5E" w:rsidRPr="0049394D" w:rsidRDefault="00E20F5E" w:rsidP="00282F0D">
            <w:pPr>
              <w:pStyle w:val="TableText0"/>
              <w:keepNext w:val="0"/>
            </w:pPr>
            <w:r w:rsidRPr="0049394D">
              <w:t>pNET</w:t>
            </w:r>
          </w:p>
        </w:tc>
        <w:tc>
          <w:tcPr>
            <w:tcW w:w="1852" w:type="pct"/>
          </w:tcPr>
          <w:p w14:paraId="28C9A8DF" w14:textId="77777777" w:rsidR="00E20F5E" w:rsidRPr="0049394D" w:rsidRDefault="00E20F5E" w:rsidP="00282F0D">
            <w:pPr>
              <w:pStyle w:val="TableText0"/>
              <w:keepNext w:val="0"/>
            </w:pPr>
            <w:r w:rsidRPr="0049394D">
              <w:t>Exponential extrapolation from Time 0, LS-004 pre-treatment pNET surgery KM data - looking backwards from baseline to most recent prior pNET surgery</w:t>
            </w:r>
          </w:p>
        </w:tc>
        <w:tc>
          <w:tcPr>
            <w:tcW w:w="2208" w:type="pct"/>
          </w:tcPr>
          <w:p w14:paraId="5B604E7F" w14:textId="26D95361" w:rsidR="00E20F5E" w:rsidRPr="0049394D" w:rsidRDefault="00E20F5E" w:rsidP="00282F0D">
            <w:pPr>
              <w:pStyle w:val="TableText0"/>
              <w:keepNext w:val="0"/>
              <w:rPr>
                <w:u w:val="single"/>
              </w:rPr>
            </w:pPr>
            <w:r w:rsidRPr="0049394D">
              <w:t>On treatment (and off treatment before Year 3.84): HR 0.037 applied to AS curve (based on ratio of BEL+AS vs AS pre-surgery to 1</w:t>
            </w:r>
            <w:r w:rsidRPr="0049394D">
              <w:rPr>
                <w:vertAlign w:val="superscript"/>
              </w:rPr>
              <w:t>st</w:t>
            </w:r>
            <w:r w:rsidRPr="0049394D">
              <w:t xml:space="preserve"> surgery transition probabilities from the RCC model</w:t>
            </w:r>
            <w:r w:rsidRPr="0049394D" w:rsidDel="00934E18">
              <w:t xml:space="preserve"> </w:t>
            </w:r>
            <w:r w:rsidRPr="0049394D">
              <w:t>multiplied by RCC ORR/pNET ORR from LS-004) Treatment waning</w:t>
            </w:r>
            <w:r w:rsidRPr="0049394D">
              <w:rPr>
                <w:vertAlign w:val="superscript"/>
              </w:rPr>
              <w:t>a</w:t>
            </w:r>
            <w:r w:rsidRPr="0049394D">
              <w:t xml:space="preserve"> </w:t>
            </w:r>
            <w:r w:rsidR="00031340" w:rsidRPr="0049394D">
              <w:t xml:space="preserve">for discontinued patients </w:t>
            </w:r>
            <w:r w:rsidRPr="0049394D">
              <w:t>from Year 3.84</w:t>
            </w:r>
            <w:r w:rsidR="00E0666D" w:rsidRPr="0049394D">
              <w:t xml:space="preserve"> to 6.55.</w:t>
            </w:r>
          </w:p>
        </w:tc>
      </w:tr>
      <w:tr w:rsidR="00E20F5E" w:rsidRPr="0049394D" w14:paraId="5FAB4160" w14:textId="77777777" w:rsidTr="00465819">
        <w:trPr>
          <w:cantSplit/>
          <w:trHeight w:val="1225"/>
        </w:trPr>
        <w:tc>
          <w:tcPr>
            <w:tcW w:w="552" w:type="pct"/>
            <w:vMerge w:val="restart"/>
            <w:vAlign w:val="center"/>
          </w:tcPr>
          <w:p w14:paraId="3FE0EFA2" w14:textId="77777777" w:rsidR="00E20F5E" w:rsidRPr="0049394D" w:rsidRDefault="00E20F5E" w:rsidP="00282F0D">
            <w:pPr>
              <w:pStyle w:val="TableText0"/>
              <w:keepNext w:val="0"/>
            </w:pPr>
            <w:r w:rsidRPr="0049394D">
              <w:t>Pre-surgery to metastatic disease</w:t>
            </w:r>
          </w:p>
        </w:tc>
        <w:tc>
          <w:tcPr>
            <w:tcW w:w="388" w:type="pct"/>
          </w:tcPr>
          <w:p w14:paraId="3355F052" w14:textId="77777777" w:rsidR="00E20F5E" w:rsidRPr="0049394D" w:rsidRDefault="00E20F5E" w:rsidP="00282F0D">
            <w:pPr>
              <w:pStyle w:val="TableText0"/>
              <w:keepNext w:val="0"/>
            </w:pPr>
            <w:r w:rsidRPr="0049394D">
              <w:t>RCC</w:t>
            </w:r>
          </w:p>
        </w:tc>
        <w:tc>
          <w:tcPr>
            <w:tcW w:w="1852" w:type="pct"/>
          </w:tcPr>
          <w:p w14:paraId="02F144CC" w14:textId="77777777" w:rsidR="00E20F5E" w:rsidRPr="0049394D" w:rsidRDefault="00E20F5E" w:rsidP="00282F0D">
            <w:pPr>
              <w:pStyle w:val="TableText0"/>
              <w:keepNext w:val="0"/>
            </w:pPr>
            <w:r w:rsidRPr="0049394D">
              <w:t xml:space="preserve">Constant probability 0.0012 </w:t>
            </w:r>
          </w:p>
          <w:p w14:paraId="7CE8F2C3" w14:textId="77777777" w:rsidR="00E20F5E" w:rsidRPr="0049394D" w:rsidRDefault="00E20F5E" w:rsidP="00282F0D">
            <w:pPr>
              <w:pStyle w:val="TableText0"/>
              <w:keepNext w:val="0"/>
            </w:pPr>
            <w:r w:rsidRPr="0049394D">
              <w:t>VHL-NHS pre-surgery to MD + (Optum CDM EFS- VHL-NHS EFS)</w:t>
            </w:r>
          </w:p>
        </w:tc>
        <w:tc>
          <w:tcPr>
            <w:tcW w:w="2208" w:type="pct"/>
          </w:tcPr>
          <w:p w14:paraId="0FB62CF0" w14:textId="77777777" w:rsidR="00E20F5E" w:rsidRPr="0049394D" w:rsidRDefault="00E20F5E" w:rsidP="00282F0D">
            <w:pPr>
              <w:pStyle w:val="TableText0"/>
              <w:keepNext w:val="0"/>
            </w:pPr>
            <w:r w:rsidRPr="0049394D">
              <w:t>On treatment (and off treatment before Year 3.84): 0.0002 based on 0.147 HR applied to AS curve (HRs estimated from ratio of BEL+AS vs AS pre-surgery to 1</w:t>
            </w:r>
            <w:r w:rsidRPr="0049394D">
              <w:rPr>
                <w:vertAlign w:val="superscript"/>
              </w:rPr>
              <w:t>st</w:t>
            </w:r>
            <w:r w:rsidRPr="0049394D">
              <w:t xml:space="preserve"> surgery exponential hazards in the RCC model)</w:t>
            </w:r>
          </w:p>
          <w:p w14:paraId="5AE6B499" w14:textId="6458F60A"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7A0A5F" w:rsidRPr="0049394D">
              <w:t xml:space="preserve"> to 6.55.</w:t>
            </w:r>
          </w:p>
        </w:tc>
      </w:tr>
      <w:tr w:rsidR="00E20F5E" w:rsidRPr="0049394D" w14:paraId="027C7FE0" w14:textId="77777777" w:rsidTr="00465819">
        <w:trPr>
          <w:cantSplit/>
          <w:trHeight w:val="1225"/>
        </w:trPr>
        <w:tc>
          <w:tcPr>
            <w:tcW w:w="552" w:type="pct"/>
            <w:vMerge/>
          </w:tcPr>
          <w:p w14:paraId="47F7DA03" w14:textId="77777777" w:rsidR="00E20F5E" w:rsidRPr="0049394D" w:rsidRDefault="00E20F5E" w:rsidP="00282F0D">
            <w:pPr>
              <w:pStyle w:val="TableText0"/>
              <w:keepNext w:val="0"/>
            </w:pPr>
          </w:p>
        </w:tc>
        <w:tc>
          <w:tcPr>
            <w:tcW w:w="388" w:type="pct"/>
          </w:tcPr>
          <w:p w14:paraId="0A7392A3" w14:textId="77777777" w:rsidR="00E20F5E" w:rsidRPr="0049394D" w:rsidRDefault="00E20F5E" w:rsidP="00282F0D">
            <w:pPr>
              <w:pStyle w:val="TableText0"/>
              <w:keepNext w:val="0"/>
            </w:pPr>
            <w:r w:rsidRPr="0049394D">
              <w:t>CNS Hb</w:t>
            </w:r>
          </w:p>
        </w:tc>
        <w:tc>
          <w:tcPr>
            <w:tcW w:w="1852" w:type="pct"/>
          </w:tcPr>
          <w:p w14:paraId="0ECD4020" w14:textId="77777777" w:rsidR="00E20F5E" w:rsidRPr="0049394D" w:rsidRDefault="00E20F5E" w:rsidP="00282F0D">
            <w:pPr>
              <w:pStyle w:val="TableText0"/>
              <w:keepNext w:val="0"/>
            </w:pPr>
            <w:r w:rsidRPr="0049394D">
              <w:t xml:space="preserve">Constant probability 0.0011 </w:t>
            </w:r>
          </w:p>
          <w:p w14:paraId="7321B4FC" w14:textId="77777777" w:rsidR="00E20F5E" w:rsidRPr="0049394D" w:rsidRDefault="00E20F5E" w:rsidP="00282F0D">
            <w:pPr>
              <w:pStyle w:val="TableText0"/>
              <w:keepNext w:val="0"/>
            </w:pPr>
            <w:r w:rsidRPr="0049394D">
              <w:t>VHL-NHS pre-surgery to MD + (Optum CDM RCC EFS- VHL-NHS RCC EFS)*VHL-NHS CNS Hb EFS/VHL-NHS RCC EFS</w:t>
            </w:r>
          </w:p>
          <w:p w14:paraId="6F290B93" w14:textId="77777777" w:rsidR="00E20F5E" w:rsidRPr="0049394D" w:rsidRDefault="00E20F5E" w:rsidP="00282F0D">
            <w:pPr>
              <w:pStyle w:val="TableText0"/>
              <w:keepNext w:val="0"/>
            </w:pPr>
          </w:p>
        </w:tc>
        <w:tc>
          <w:tcPr>
            <w:tcW w:w="2208" w:type="pct"/>
          </w:tcPr>
          <w:p w14:paraId="14ADF320" w14:textId="7DAF5404" w:rsidR="00E20F5E" w:rsidRPr="0049394D" w:rsidRDefault="00E20F5E" w:rsidP="00282F0D">
            <w:pPr>
              <w:pStyle w:val="TableText0"/>
              <w:keepNext w:val="0"/>
            </w:pPr>
            <w:r w:rsidRPr="0049394D">
              <w:t>On treatment (and off treatment before Year 3.84): 0.0001 based on 0.049 HR applied to AS curve (HRs estimated from ratio of BEL+AS vs AS pre-surgery to 1</w:t>
            </w:r>
            <w:r w:rsidRPr="0049394D">
              <w:rPr>
                <w:vertAlign w:val="superscript"/>
              </w:rPr>
              <w:t>st</w:t>
            </w:r>
            <w:r w:rsidRPr="0049394D">
              <w:t xml:space="preserve"> surgery exponential hazards in the CNS Hb model)</w:t>
            </w:r>
          </w:p>
          <w:p w14:paraId="7054DBAD" w14:textId="1549C8DE"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7A0A5F" w:rsidRPr="0049394D">
              <w:t xml:space="preserve"> to 6.55.</w:t>
            </w:r>
          </w:p>
        </w:tc>
      </w:tr>
      <w:tr w:rsidR="00E20F5E" w:rsidRPr="0049394D" w14:paraId="7E793702" w14:textId="77777777" w:rsidTr="00465819">
        <w:trPr>
          <w:cantSplit/>
          <w:trHeight w:val="1225"/>
        </w:trPr>
        <w:tc>
          <w:tcPr>
            <w:tcW w:w="552" w:type="pct"/>
            <w:vMerge/>
          </w:tcPr>
          <w:p w14:paraId="7D4269F2" w14:textId="77777777" w:rsidR="00E20F5E" w:rsidRPr="0049394D" w:rsidRDefault="00E20F5E" w:rsidP="00282F0D">
            <w:pPr>
              <w:pStyle w:val="TableText0"/>
              <w:keepNext w:val="0"/>
            </w:pPr>
          </w:p>
        </w:tc>
        <w:tc>
          <w:tcPr>
            <w:tcW w:w="388" w:type="pct"/>
          </w:tcPr>
          <w:p w14:paraId="77E7643F" w14:textId="77777777" w:rsidR="00E20F5E" w:rsidRPr="0049394D" w:rsidRDefault="00E20F5E" w:rsidP="00282F0D">
            <w:pPr>
              <w:pStyle w:val="TableText0"/>
              <w:keepNext w:val="0"/>
            </w:pPr>
            <w:r w:rsidRPr="0049394D">
              <w:t>pNET</w:t>
            </w:r>
          </w:p>
        </w:tc>
        <w:tc>
          <w:tcPr>
            <w:tcW w:w="1852" w:type="pct"/>
          </w:tcPr>
          <w:p w14:paraId="02FDB50F" w14:textId="77777777" w:rsidR="00E20F5E" w:rsidRPr="0049394D" w:rsidRDefault="00E20F5E" w:rsidP="00282F0D">
            <w:pPr>
              <w:pStyle w:val="TableText0"/>
              <w:keepNext w:val="0"/>
            </w:pPr>
            <w:r w:rsidRPr="0049394D">
              <w:t>Constant probability 0.0027</w:t>
            </w:r>
          </w:p>
          <w:p w14:paraId="5A17B0C7" w14:textId="77777777" w:rsidR="00E20F5E" w:rsidRPr="0049394D" w:rsidRDefault="00E20F5E" w:rsidP="00282F0D">
            <w:pPr>
              <w:pStyle w:val="TableText0"/>
              <w:keepNext w:val="0"/>
            </w:pPr>
            <w:r w:rsidRPr="0049394D">
              <w:t>VHL-NHS pre-surgery to MD + (Optum CDM RCC EFS- VHL-NHS RCC EFS)*VHL-NHS pNET EFS/VHL-NHS RCC EFS</w:t>
            </w:r>
          </w:p>
        </w:tc>
        <w:tc>
          <w:tcPr>
            <w:tcW w:w="2208" w:type="pct"/>
          </w:tcPr>
          <w:p w14:paraId="59E5A234" w14:textId="77777777" w:rsidR="00E20F5E" w:rsidRPr="0049394D" w:rsidRDefault="00E20F5E" w:rsidP="00282F0D">
            <w:pPr>
              <w:pStyle w:val="TableText0"/>
              <w:keepNext w:val="0"/>
            </w:pPr>
            <w:r w:rsidRPr="0049394D">
              <w:t>On treatment (and off treatment before Year 3.84): 0.0001 based on 0.037 HR applied to AS curve (HRs estimated from ratio of BEL+AS vs AS pre-surgery to 1</w:t>
            </w:r>
            <w:r w:rsidRPr="0049394D">
              <w:rPr>
                <w:vertAlign w:val="superscript"/>
              </w:rPr>
              <w:t>st</w:t>
            </w:r>
            <w:r w:rsidRPr="0049394D">
              <w:t xml:space="preserve"> surgery exponential hazards in the CNS Hb model)</w:t>
            </w:r>
          </w:p>
          <w:p w14:paraId="598C828D" w14:textId="38BCD42C"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7A0A5F" w:rsidRPr="0049394D">
              <w:t xml:space="preserve"> to 6.55.</w:t>
            </w:r>
          </w:p>
        </w:tc>
      </w:tr>
      <w:tr w:rsidR="00E20F5E" w:rsidRPr="0049394D" w14:paraId="5231BAD3" w14:textId="77777777" w:rsidTr="00465819">
        <w:trPr>
          <w:cantSplit/>
          <w:trHeight w:val="230"/>
        </w:trPr>
        <w:tc>
          <w:tcPr>
            <w:tcW w:w="552" w:type="pct"/>
            <w:vMerge w:val="restart"/>
            <w:vAlign w:val="center"/>
          </w:tcPr>
          <w:p w14:paraId="0B403520" w14:textId="77777777" w:rsidR="00E20F5E" w:rsidRPr="0049394D" w:rsidRDefault="00E20F5E" w:rsidP="00282F0D">
            <w:pPr>
              <w:pStyle w:val="TableText0"/>
              <w:keepNext w:val="0"/>
            </w:pPr>
            <w:r w:rsidRPr="0049394D">
              <w:t>Pre-surgery to dead</w:t>
            </w:r>
          </w:p>
        </w:tc>
        <w:tc>
          <w:tcPr>
            <w:tcW w:w="388" w:type="pct"/>
          </w:tcPr>
          <w:p w14:paraId="3942C798" w14:textId="77777777" w:rsidR="00E20F5E" w:rsidRPr="0049394D" w:rsidRDefault="00E20F5E" w:rsidP="00282F0D">
            <w:pPr>
              <w:pStyle w:val="TableText0"/>
              <w:keepNext w:val="0"/>
            </w:pPr>
            <w:r w:rsidRPr="0049394D">
              <w:t>RCC</w:t>
            </w:r>
          </w:p>
        </w:tc>
        <w:tc>
          <w:tcPr>
            <w:tcW w:w="1852" w:type="pct"/>
          </w:tcPr>
          <w:p w14:paraId="51EFEA2F" w14:textId="63545393" w:rsidR="00E20F5E" w:rsidRPr="0049394D" w:rsidRDefault="00E20F5E" w:rsidP="00282F0D">
            <w:pPr>
              <w:pStyle w:val="TableText0"/>
              <w:keepNext w:val="0"/>
            </w:pPr>
            <w:r w:rsidRPr="0049394D">
              <w:t>Constant probability 0.0001</w:t>
            </w:r>
          </w:p>
          <w:p w14:paraId="7BF7F05A" w14:textId="77777777" w:rsidR="00E20F5E" w:rsidRPr="0049394D" w:rsidRDefault="00E20F5E" w:rsidP="00282F0D">
            <w:pPr>
              <w:pStyle w:val="TableText0"/>
              <w:keepNext w:val="0"/>
            </w:pPr>
            <w:r w:rsidRPr="0049394D">
              <w:t>VHL-NHS reweighted RCC cohort</w:t>
            </w:r>
          </w:p>
        </w:tc>
        <w:tc>
          <w:tcPr>
            <w:tcW w:w="2208" w:type="pct"/>
            <w:vAlign w:val="center"/>
          </w:tcPr>
          <w:p w14:paraId="71CCA062" w14:textId="32CE9E15" w:rsidR="00E20F5E" w:rsidRPr="0049394D" w:rsidRDefault="00E20F5E" w:rsidP="00282F0D">
            <w:pPr>
              <w:pStyle w:val="TableText0"/>
              <w:keepNext w:val="0"/>
            </w:pPr>
            <w:r w:rsidRPr="0049394D">
              <w:t>On treatment (and off treatment before Year 3.84): 0.00</w:t>
            </w:r>
            <w:r w:rsidR="00130FBD" w:rsidRPr="0049394D">
              <w:t>007</w:t>
            </w:r>
            <w:r w:rsidRPr="0049394D">
              <w:t xml:space="preserve"> based on HR 0.049 applied to AS curve for % CNS deaths. AS curve otherwise. Treatment waning</w:t>
            </w:r>
            <w:r w:rsidRPr="0049394D">
              <w:rPr>
                <w:vertAlign w:val="superscript"/>
              </w:rPr>
              <w:t>a</w:t>
            </w:r>
            <w:r w:rsidRPr="0049394D">
              <w:t xml:space="preserve"> </w:t>
            </w:r>
            <w:r w:rsidR="00031340" w:rsidRPr="0049394D">
              <w:t xml:space="preserve">for discontinued patients </w:t>
            </w:r>
            <w:r w:rsidRPr="0049394D">
              <w:t>from Year 3.84</w:t>
            </w:r>
            <w:r w:rsidR="007A0A5F" w:rsidRPr="0049394D">
              <w:t xml:space="preserve"> to 6.55.</w:t>
            </w:r>
          </w:p>
        </w:tc>
      </w:tr>
      <w:tr w:rsidR="00E20F5E" w:rsidRPr="0049394D" w14:paraId="7341CB05" w14:textId="77777777" w:rsidTr="00465819">
        <w:trPr>
          <w:cantSplit/>
          <w:trHeight w:val="230"/>
        </w:trPr>
        <w:tc>
          <w:tcPr>
            <w:tcW w:w="552" w:type="pct"/>
            <w:vMerge/>
          </w:tcPr>
          <w:p w14:paraId="58D907CB" w14:textId="77777777" w:rsidR="00E20F5E" w:rsidRPr="0049394D" w:rsidRDefault="00E20F5E" w:rsidP="00282F0D">
            <w:pPr>
              <w:pStyle w:val="TableText0"/>
              <w:keepNext w:val="0"/>
            </w:pPr>
          </w:p>
        </w:tc>
        <w:tc>
          <w:tcPr>
            <w:tcW w:w="388" w:type="pct"/>
          </w:tcPr>
          <w:p w14:paraId="190CDA1B" w14:textId="77777777" w:rsidR="00E20F5E" w:rsidRPr="0049394D" w:rsidRDefault="00E20F5E" w:rsidP="00282F0D">
            <w:pPr>
              <w:pStyle w:val="TableText0"/>
              <w:keepNext w:val="0"/>
            </w:pPr>
            <w:r w:rsidRPr="0049394D">
              <w:t>CNS Hb</w:t>
            </w:r>
          </w:p>
        </w:tc>
        <w:tc>
          <w:tcPr>
            <w:tcW w:w="1852" w:type="pct"/>
          </w:tcPr>
          <w:p w14:paraId="1D17EBBE" w14:textId="77777777" w:rsidR="00E20F5E" w:rsidRPr="0049394D" w:rsidRDefault="00E20F5E" w:rsidP="00282F0D">
            <w:pPr>
              <w:pStyle w:val="TableText0"/>
              <w:keepNext w:val="0"/>
            </w:pPr>
            <w:r w:rsidRPr="0049394D">
              <w:t>Constant probability 0.0003</w:t>
            </w:r>
          </w:p>
          <w:p w14:paraId="39BB98C3" w14:textId="77777777" w:rsidR="00E20F5E" w:rsidRPr="0049394D" w:rsidRDefault="00E20F5E" w:rsidP="00282F0D">
            <w:pPr>
              <w:pStyle w:val="TableText0"/>
              <w:keepNext w:val="0"/>
            </w:pPr>
            <w:r w:rsidRPr="0049394D">
              <w:t>VHL-NHS reweighted CNS Hb cohort</w:t>
            </w:r>
          </w:p>
        </w:tc>
        <w:tc>
          <w:tcPr>
            <w:tcW w:w="2208" w:type="pct"/>
            <w:vAlign w:val="center"/>
          </w:tcPr>
          <w:p w14:paraId="6CE04847" w14:textId="5AE5BCF1" w:rsidR="00E20F5E" w:rsidRPr="0049394D" w:rsidRDefault="00E20F5E" w:rsidP="00282F0D">
            <w:pPr>
              <w:pStyle w:val="TableText0"/>
              <w:keepNext w:val="0"/>
            </w:pPr>
            <w:r w:rsidRPr="0049394D">
              <w:t>On treatment (and off treatment before Year 3.84): 0.0001 based on HR 0.049 applied to AS curve for % CNS deaths. AS curve otherwise. Treatment waning</w:t>
            </w:r>
            <w:r w:rsidRPr="0049394D">
              <w:rPr>
                <w:vertAlign w:val="superscript"/>
              </w:rPr>
              <w:t>a</w:t>
            </w:r>
            <w:r w:rsidRPr="0049394D">
              <w:t xml:space="preserve"> </w:t>
            </w:r>
            <w:r w:rsidR="00031340" w:rsidRPr="0049394D">
              <w:t xml:space="preserve">for discontinued patients </w:t>
            </w:r>
            <w:r w:rsidRPr="0049394D">
              <w:t>from Year 3.84</w:t>
            </w:r>
            <w:r w:rsidR="007A0A5F" w:rsidRPr="0049394D">
              <w:t xml:space="preserve"> to 6.55.</w:t>
            </w:r>
          </w:p>
        </w:tc>
      </w:tr>
      <w:tr w:rsidR="00E20F5E" w:rsidRPr="0049394D" w14:paraId="4666931A" w14:textId="77777777" w:rsidTr="00465819">
        <w:trPr>
          <w:cantSplit/>
          <w:trHeight w:val="230"/>
        </w:trPr>
        <w:tc>
          <w:tcPr>
            <w:tcW w:w="552" w:type="pct"/>
            <w:vMerge/>
          </w:tcPr>
          <w:p w14:paraId="3E166924" w14:textId="77777777" w:rsidR="00E20F5E" w:rsidRPr="0049394D" w:rsidRDefault="00E20F5E" w:rsidP="00282F0D">
            <w:pPr>
              <w:pStyle w:val="TableText0"/>
              <w:keepNext w:val="0"/>
            </w:pPr>
          </w:p>
        </w:tc>
        <w:tc>
          <w:tcPr>
            <w:tcW w:w="388" w:type="pct"/>
          </w:tcPr>
          <w:p w14:paraId="7CCC5A53" w14:textId="77777777" w:rsidR="00E20F5E" w:rsidRPr="0049394D" w:rsidRDefault="00E20F5E" w:rsidP="00282F0D">
            <w:pPr>
              <w:pStyle w:val="TableText0"/>
              <w:keepNext w:val="0"/>
            </w:pPr>
            <w:r w:rsidRPr="0049394D">
              <w:t>pNET</w:t>
            </w:r>
          </w:p>
        </w:tc>
        <w:tc>
          <w:tcPr>
            <w:tcW w:w="1852" w:type="pct"/>
          </w:tcPr>
          <w:p w14:paraId="46B21099" w14:textId="77777777" w:rsidR="00E20F5E" w:rsidRPr="0049394D" w:rsidRDefault="00E20F5E" w:rsidP="00282F0D">
            <w:pPr>
              <w:pStyle w:val="TableText0"/>
              <w:keepNext w:val="0"/>
            </w:pPr>
            <w:r w:rsidRPr="0049394D">
              <w:t>Constant probability 0.0002</w:t>
            </w:r>
          </w:p>
          <w:p w14:paraId="38338D88" w14:textId="77777777" w:rsidR="00E20F5E" w:rsidRPr="0049394D" w:rsidRDefault="00E20F5E" w:rsidP="00282F0D">
            <w:pPr>
              <w:pStyle w:val="TableText0"/>
              <w:keepNext w:val="0"/>
            </w:pPr>
            <w:r w:rsidRPr="0049394D">
              <w:t>VHL-NHS reweighted pNET cohort</w:t>
            </w:r>
          </w:p>
        </w:tc>
        <w:tc>
          <w:tcPr>
            <w:tcW w:w="2208" w:type="pct"/>
            <w:vAlign w:val="center"/>
          </w:tcPr>
          <w:p w14:paraId="2CC96CFB" w14:textId="31CDFA12" w:rsidR="00E20F5E" w:rsidRPr="0049394D" w:rsidRDefault="00E20F5E" w:rsidP="00282F0D">
            <w:pPr>
              <w:pStyle w:val="TableText0"/>
              <w:keepNext w:val="0"/>
            </w:pPr>
            <w:r w:rsidRPr="0049394D">
              <w:t>On treatment (and off treatment before Year 3.84): 0.0001 based on HR 0.049 applied to AS curve for % CNS deaths. AS curve otherwise. Treatment waning</w:t>
            </w:r>
            <w:r w:rsidRPr="0049394D">
              <w:rPr>
                <w:vertAlign w:val="superscript"/>
              </w:rPr>
              <w:t>a</w:t>
            </w:r>
            <w:r w:rsidRPr="0049394D">
              <w:t xml:space="preserve"> </w:t>
            </w:r>
            <w:r w:rsidR="00031340" w:rsidRPr="0049394D">
              <w:t xml:space="preserve">for discontinued patients </w:t>
            </w:r>
            <w:r w:rsidRPr="0049394D">
              <w:t>from Year 3.84</w:t>
            </w:r>
            <w:r w:rsidR="007A0A5F" w:rsidRPr="0049394D">
              <w:t xml:space="preserve"> to 6.55.</w:t>
            </w:r>
          </w:p>
        </w:tc>
      </w:tr>
      <w:tr w:rsidR="00E20F5E" w:rsidRPr="0049394D" w14:paraId="2FD0C36B" w14:textId="77777777" w:rsidTr="00465819">
        <w:trPr>
          <w:cantSplit/>
          <w:trHeight w:val="155"/>
        </w:trPr>
        <w:tc>
          <w:tcPr>
            <w:tcW w:w="552" w:type="pct"/>
            <w:vMerge w:val="restart"/>
          </w:tcPr>
          <w:p w14:paraId="682635F1" w14:textId="77777777" w:rsidR="00E20F5E" w:rsidRPr="0049394D" w:rsidRDefault="00E20F5E" w:rsidP="00282F0D">
            <w:pPr>
              <w:pStyle w:val="TableText0"/>
              <w:keepNext w:val="0"/>
            </w:pPr>
            <w:r w:rsidRPr="0049394D">
              <w:t>Surgery to EFS post-surgery</w:t>
            </w:r>
          </w:p>
        </w:tc>
        <w:tc>
          <w:tcPr>
            <w:tcW w:w="388" w:type="pct"/>
          </w:tcPr>
          <w:p w14:paraId="1CF0552A" w14:textId="77777777" w:rsidR="00E20F5E" w:rsidRPr="0049394D" w:rsidRDefault="00E20F5E" w:rsidP="00282F0D">
            <w:pPr>
              <w:pStyle w:val="TableText0"/>
              <w:keepNext w:val="0"/>
            </w:pPr>
            <w:r w:rsidRPr="0049394D">
              <w:t>RCC</w:t>
            </w:r>
          </w:p>
        </w:tc>
        <w:tc>
          <w:tcPr>
            <w:tcW w:w="1852" w:type="pct"/>
            <w:vMerge w:val="restart"/>
            <w:vAlign w:val="center"/>
          </w:tcPr>
          <w:p w14:paraId="4AFFF457" w14:textId="77777777" w:rsidR="00E20F5E" w:rsidRPr="0049394D" w:rsidRDefault="00E20F5E" w:rsidP="00282F0D">
            <w:pPr>
              <w:pStyle w:val="TableText0"/>
              <w:keepNext w:val="0"/>
            </w:pPr>
            <w:r w:rsidRPr="0049394D">
              <w:t>Assumed 1 in absence of event</w:t>
            </w:r>
          </w:p>
        </w:tc>
        <w:tc>
          <w:tcPr>
            <w:tcW w:w="2208" w:type="pct"/>
            <w:vMerge w:val="restart"/>
            <w:vAlign w:val="center"/>
          </w:tcPr>
          <w:p w14:paraId="584D7D67" w14:textId="77777777" w:rsidR="00E20F5E" w:rsidRPr="0049394D" w:rsidRDefault="00E20F5E" w:rsidP="00282F0D">
            <w:pPr>
              <w:pStyle w:val="TableText0"/>
              <w:keepNext w:val="0"/>
            </w:pPr>
            <w:r w:rsidRPr="0049394D">
              <w:t>Assumed 1 in absence of event</w:t>
            </w:r>
          </w:p>
        </w:tc>
      </w:tr>
      <w:tr w:rsidR="00E20F5E" w:rsidRPr="0049394D" w14:paraId="6F5C2176" w14:textId="77777777" w:rsidTr="00465819">
        <w:trPr>
          <w:cantSplit/>
          <w:trHeight w:val="155"/>
        </w:trPr>
        <w:tc>
          <w:tcPr>
            <w:tcW w:w="552" w:type="pct"/>
            <w:vMerge/>
          </w:tcPr>
          <w:p w14:paraId="76E5A208" w14:textId="77777777" w:rsidR="00E20F5E" w:rsidRPr="0049394D" w:rsidRDefault="00E20F5E" w:rsidP="00282F0D">
            <w:pPr>
              <w:pStyle w:val="TableText0"/>
              <w:keepNext w:val="0"/>
            </w:pPr>
          </w:p>
        </w:tc>
        <w:tc>
          <w:tcPr>
            <w:tcW w:w="388" w:type="pct"/>
          </w:tcPr>
          <w:p w14:paraId="6285F5A7" w14:textId="77777777" w:rsidR="00E20F5E" w:rsidRPr="0049394D" w:rsidRDefault="00E20F5E" w:rsidP="00282F0D">
            <w:pPr>
              <w:pStyle w:val="TableText0"/>
              <w:keepNext w:val="0"/>
            </w:pPr>
            <w:r w:rsidRPr="0049394D">
              <w:t>CNS Hb</w:t>
            </w:r>
          </w:p>
        </w:tc>
        <w:tc>
          <w:tcPr>
            <w:tcW w:w="1852" w:type="pct"/>
            <w:vMerge/>
          </w:tcPr>
          <w:p w14:paraId="482E0579" w14:textId="77777777" w:rsidR="00E20F5E" w:rsidRPr="0049394D" w:rsidRDefault="00E20F5E" w:rsidP="00282F0D">
            <w:pPr>
              <w:pStyle w:val="TableText0"/>
              <w:keepNext w:val="0"/>
            </w:pPr>
          </w:p>
        </w:tc>
        <w:tc>
          <w:tcPr>
            <w:tcW w:w="2208" w:type="pct"/>
            <w:vMerge/>
          </w:tcPr>
          <w:p w14:paraId="2894CBD3" w14:textId="77777777" w:rsidR="00E20F5E" w:rsidRPr="0049394D" w:rsidRDefault="00E20F5E" w:rsidP="00282F0D">
            <w:pPr>
              <w:pStyle w:val="TableText0"/>
              <w:keepNext w:val="0"/>
            </w:pPr>
          </w:p>
        </w:tc>
      </w:tr>
      <w:tr w:rsidR="00E20F5E" w:rsidRPr="0049394D" w14:paraId="3EAF0629" w14:textId="77777777" w:rsidTr="00465819">
        <w:trPr>
          <w:cantSplit/>
          <w:trHeight w:val="155"/>
        </w:trPr>
        <w:tc>
          <w:tcPr>
            <w:tcW w:w="552" w:type="pct"/>
            <w:vMerge/>
          </w:tcPr>
          <w:p w14:paraId="3C7C9478" w14:textId="77777777" w:rsidR="00E20F5E" w:rsidRPr="0049394D" w:rsidRDefault="00E20F5E" w:rsidP="00282F0D">
            <w:pPr>
              <w:pStyle w:val="TableText0"/>
              <w:keepNext w:val="0"/>
            </w:pPr>
          </w:p>
        </w:tc>
        <w:tc>
          <w:tcPr>
            <w:tcW w:w="388" w:type="pct"/>
          </w:tcPr>
          <w:p w14:paraId="125888F4" w14:textId="77777777" w:rsidR="00E20F5E" w:rsidRPr="0049394D" w:rsidRDefault="00E20F5E" w:rsidP="00282F0D">
            <w:pPr>
              <w:pStyle w:val="TableText0"/>
              <w:keepNext w:val="0"/>
            </w:pPr>
            <w:r w:rsidRPr="0049394D">
              <w:t>pNET</w:t>
            </w:r>
          </w:p>
        </w:tc>
        <w:tc>
          <w:tcPr>
            <w:tcW w:w="1852" w:type="pct"/>
            <w:vMerge/>
          </w:tcPr>
          <w:p w14:paraId="698AA572" w14:textId="77777777" w:rsidR="00E20F5E" w:rsidRPr="0049394D" w:rsidRDefault="00E20F5E" w:rsidP="00282F0D">
            <w:pPr>
              <w:pStyle w:val="TableText0"/>
              <w:keepNext w:val="0"/>
            </w:pPr>
          </w:p>
        </w:tc>
        <w:tc>
          <w:tcPr>
            <w:tcW w:w="2208" w:type="pct"/>
            <w:vMerge/>
          </w:tcPr>
          <w:p w14:paraId="06F9F816" w14:textId="77777777" w:rsidR="00E20F5E" w:rsidRPr="0049394D" w:rsidRDefault="00E20F5E" w:rsidP="00282F0D">
            <w:pPr>
              <w:pStyle w:val="TableText0"/>
              <w:keepNext w:val="0"/>
            </w:pPr>
          </w:p>
        </w:tc>
      </w:tr>
      <w:tr w:rsidR="00E20F5E" w:rsidRPr="0049394D" w14:paraId="11FA6FB7" w14:textId="77777777" w:rsidTr="00465819">
        <w:trPr>
          <w:cantSplit/>
          <w:trHeight w:val="230"/>
        </w:trPr>
        <w:tc>
          <w:tcPr>
            <w:tcW w:w="552" w:type="pct"/>
            <w:vMerge w:val="restart"/>
          </w:tcPr>
          <w:p w14:paraId="5B8C2623" w14:textId="77777777" w:rsidR="00E20F5E" w:rsidRPr="0049394D" w:rsidRDefault="00E20F5E" w:rsidP="00282F0D">
            <w:pPr>
              <w:pStyle w:val="TableText0"/>
              <w:keepNext w:val="0"/>
            </w:pPr>
            <w:r w:rsidRPr="0049394D">
              <w:t>Surgery 1,2,3+ to dead</w:t>
            </w:r>
          </w:p>
        </w:tc>
        <w:tc>
          <w:tcPr>
            <w:tcW w:w="388" w:type="pct"/>
          </w:tcPr>
          <w:p w14:paraId="2AA0055A" w14:textId="77777777" w:rsidR="00E20F5E" w:rsidRPr="0049394D" w:rsidRDefault="00E20F5E" w:rsidP="00282F0D">
            <w:pPr>
              <w:pStyle w:val="TableText0"/>
              <w:keepNext w:val="0"/>
            </w:pPr>
            <w:r w:rsidRPr="0049394D">
              <w:t>RCC</w:t>
            </w:r>
          </w:p>
        </w:tc>
        <w:tc>
          <w:tcPr>
            <w:tcW w:w="1852" w:type="pct"/>
          </w:tcPr>
          <w:p w14:paraId="57FA121B" w14:textId="23072DA8" w:rsidR="00E20F5E" w:rsidRPr="0049394D" w:rsidRDefault="00E20F5E" w:rsidP="00282F0D">
            <w:pPr>
              <w:pStyle w:val="TableText0"/>
              <w:keepNext w:val="0"/>
            </w:pPr>
            <w:r w:rsidRPr="0049394D">
              <w:t>Constant probability 0.0196 (Johnson 2008)</w:t>
            </w:r>
          </w:p>
        </w:tc>
        <w:tc>
          <w:tcPr>
            <w:tcW w:w="2208" w:type="pct"/>
          </w:tcPr>
          <w:p w14:paraId="2F95696E" w14:textId="77777777" w:rsidR="00E20F5E" w:rsidRPr="0049394D" w:rsidRDefault="00E20F5E" w:rsidP="00282F0D">
            <w:pPr>
              <w:pStyle w:val="TableText0"/>
              <w:keepNext w:val="0"/>
            </w:pPr>
            <w:r w:rsidRPr="0049394D">
              <w:t>Same as AS</w:t>
            </w:r>
          </w:p>
        </w:tc>
      </w:tr>
      <w:tr w:rsidR="00E20F5E" w:rsidRPr="0049394D" w14:paraId="1DA582A4" w14:textId="77777777" w:rsidTr="00465819">
        <w:trPr>
          <w:cantSplit/>
          <w:trHeight w:val="230"/>
        </w:trPr>
        <w:tc>
          <w:tcPr>
            <w:tcW w:w="552" w:type="pct"/>
            <w:vMerge/>
          </w:tcPr>
          <w:p w14:paraId="4F9C6F49" w14:textId="77777777" w:rsidR="00E20F5E" w:rsidRPr="0049394D" w:rsidRDefault="00E20F5E" w:rsidP="00282F0D">
            <w:pPr>
              <w:pStyle w:val="TableText0"/>
              <w:keepNext w:val="0"/>
            </w:pPr>
          </w:p>
        </w:tc>
        <w:tc>
          <w:tcPr>
            <w:tcW w:w="388" w:type="pct"/>
          </w:tcPr>
          <w:p w14:paraId="3F661903" w14:textId="77777777" w:rsidR="00E20F5E" w:rsidRPr="0049394D" w:rsidRDefault="00E20F5E" w:rsidP="00282F0D">
            <w:pPr>
              <w:pStyle w:val="TableText0"/>
              <w:keepNext w:val="0"/>
            </w:pPr>
            <w:r w:rsidRPr="0049394D">
              <w:t>CNS Hb</w:t>
            </w:r>
          </w:p>
        </w:tc>
        <w:tc>
          <w:tcPr>
            <w:tcW w:w="1852" w:type="pct"/>
          </w:tcPr>
          <w:p w14:paraId="4ADA6B98" w14:textId="77777777" w:rsidR="00E20F5E" w:rsidRPr="0049394D" w:rsidRDefault="00E20F5E" w:rsidP="00282F0D">
            <w:pPr>
              <w:pStyle w:val="TableText0"/>
              <w:keepNext w:val="0"/>
            </w:pPr>
            <w:r w:rsidRPr="0049394D">
              <w:t>Constant probability 0.0182 (Lonser 2003)</w:t>
            </w:r>
          </w:p>
        </w:tc>
        <w:tc>
          <w:tcPr>
            <w:tcW w:w="2208" w:type="pct"/>
          </w:tcPr>
          <w:p w14:paraId="385E8873" w14:textId="77777777" w:rsidR="00E20F5E" w:rsidRPr="0049394D" w:rsidRDefault="00E20F5E" w:rsidP="00282F0D">
            <w:pPr>
              <w:pStyle w:val="TableText0"/>
              <w:keepNext w:val="0"/>
            </w:pPr>
            <w:r w:rsidRPr="0049394D">
              <w:t>Same as AS</w:t>
            </w:r>
          </w:p>
        </w:tc>
      </w:tr>
      <w:tr w:rsidR="00E20F5E" w:rsidRPr="0049394D" w14:paraId="49FBAAE2" w14:textId="77777777" w:rsidTr="00465819">
        <w:trPr>
          <w:cantSplit/>
          <w:trHeight w:val="230"/>
        </w:trPr>
        <w:tc>
          <w:tcPr>
            <w:tcW w:w="552" w:type="pct"/>
            <w:vMerge/>
          </w:tcPr>
          <w:p w14:paraId="71917F67" w14:textId="77777777" w:rsidR="00E20F5E" w:rsidRPr="0049394D" w:rsidRDefault="00E20F5E" w:rsidP="00282F0D">
            <w:pPr>
              <w:pStyle w:val="TableText0"/>
              <w:keepNext w:val="0"/>
            </w:pPr>
          </w:p>
        </w:tc>
        <w:tc>
          <w:tcPr>
            <w:tcW w:w="388" w:type="pct"/>
          </w:tcPr>
          <w:p w14:paraId="75D18A9A" w14:textId="77777777" w:rsidR="00E20F5E" w:rsidRPr="0049394D" w:rsidRDefault="00E20F5E" w:rsidP="00282F0D">
            <w:pPr>
              <w:pStyle w:val="TableText0"/>
              <w:keepNext w:val="0"/>
            </w:pPr>
            <w:r w:rsidRPr="0049394D">
              <w:t>pNET</w:t>
            </w:r>
          </w:p>
        </w:tc>
        <w:tc>
          <w:tcPr>
            <w:tcW w:w="1852" w:type="pct"/>
          </w:tcPr>
          <w:p w14:paraId="02BF1D47" w14:textId="77777777" w:rsidR="00E20F5E" w:rsidRPr="0049394D" w:rsidRDefault="00E20F5E" w:rsidP="00282F0D">
            <w:pPr>
              <w:pStyle w:val="TableText0"/>
              <w:keepNext w:val="0"/>
            </w:pPr>
            <w:r w:rsidRPr="0049394D">
              <w:t>Constant probability 0.0171 (Krauss 2018)</w:t>
            </w:r>
          </w:p>
        </w:tc>
        <w:tc>
          <w:tcPr>
            <w:tcW w:w="2208" w:type="pct"/>
          </w:tcPr>
          <w:p w14:paraId="78D2CC7C" w14:textId="77777777" w:rsidR="00E20F5E" w:rsidRPr="0049394D" w:rsidRDefault="00E20F5E" w:rsidP="00282F0D">
            <w:pPr>
              <w:pStyle w:val="TableText0"/>
              <w:keepNext w:val="0"/>
            </w:pPr>
            <w:r w:rsidRPr="0049394D">
              <w:t>Same as AS</w:t>
            </w:r>
          </w:p>
        </w:tc>
      </w:tr>
      <w:tr w:rsidR="00E20F5E" w:rsidRPr="0049394D" w14:paraId="200B3CC4" w14:textId="77777777" w:rsidTr="00465819">
        <w:trPr>
          <w:cantSplit/>
          <w:trHeight w:val="765"/>
        </w:trPr>
        <w:tc>
          <w:tcPr>
            <w:tcW w:w="552" w:type="pct"/>
            <w:vMerge w:val="restart"/>
            <w:vAlign w:val="center"/>
          </w:tcPr>
          <w:p w14:paraId="56D777FE" w14:textId="77777777" w:rsidR="00E20F5E" w:rsidRPr="0049394D" w:rsidRDefault="00E20F5E" w:rsidP="00282F0D">
            <w:pPr>
              <w:pStyle w:val="TableText0"/>
              <w:keepNext w:val="0"/>
            </w:pPr>
            <w:r w:rsidRPr="0049394D">
              <w:t>EFS 1,2,3+ to next surgery</w:t>
            </w:r>
          </w:p>
        </w:tc>
        <w:tc>
          <w:tcPr>
            <w:tcW w:w="388" w:type="pct"/>
          </w:tcPr>
          <w:p w14:paraId="23232796" w14:textId="77777777" w:rsidR="00E20F5E" w:rsidRPr="0049394D" w:rsidRDefault="00E20F5E" w:rsidP="00282F0D">
            <w:pPr>
              <w:pStyle w:val="TableText0"/>
              <w:keepNext w:val="0"/>
            </w:pPr>
            <w:r w:rsidRPr="0049394D">
              <w:t>RCC</w:t>
            </w:r>
          </w:p>
        </w:tc>
        <w:tc>
          <w:tcPr>
            <w:tcW w:w="1852" w:type="pct"/>
          </w:tcPr>
          <w:p w14:paraId="16B276F1" w14:textId="77777777" w:rsidR="00E20F5E" w:rsidRPr="0049394D" w:rsidRDefault="00E20F5E" w:rsidP="00282F0D">
            <w:pPr>
              <w:pStyle w:val="TableText0"/>
              <w:keepNext w:val="0"/>
            </w:pPr>
            <w:r w:rsidRPr="0049394D">
              <w:t>Constant probability 0.0006 (Optum CDM)</w:t>
            </w:r>
          </w:p>
          <w:p w14:paraId="5789C009" w14:textId="77777777" w:rsidR="00E20F5E" w:rsidRPr="0049394D" w:rsidRDefault="00E20F5E" w:rsidP="00282F0D">
            <w:pPr>
              <w:pStyle w:val="TableText0"/>
              <w:keepNext w:val="0"/>
            </w:pPr>
          </w:p>
        </w:tc>
        <w:tc>
          <w:tcPr>
            <w:tcW w:w="2208" w:type="pct"/>
          </w:tcPr>
          <w:p w14:paraId="5A98F3DB" w14:textId="77777777" w:rsidR="00E20F5E" w:rsidRPr="0049394D" w:rsidRDefault="00E20F5E" w:rsidP="00282F0D">
            <w:pPr>
              <w:pStyle w:val="TableText0"/>
              <w:keepNext w:val="0"/>
            </w:pPr>
            <w:r w:rsidRPr="0049394D">
              <w:t>On treatment (and off treatment before Year 3.84): 0.0001 based on 0.147 HR applied to AS curve (HR estimated from ratio of BEL+AS vs AS pre-surgery to 1</w:t>
            </w:r>
            <w:r w:rsidRPr="0049394D">
              <w:rPr>
                <w:vertAlign w:val="superscript"/>
              </w:rPr>
              <w:t>st</w:t>
            </w:r>
            <w:r w:rsidRPr="0049394D">
              <w:t xml:space="preserve"> surgery exponential hazards in the RCC model). </w:t>
            </w:r>
          </w:p>
          <w:p w14:paraId="38D0098D" w14:textId="5109C574"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51B84303" w14:textId="77777777" w:rsidTr="00465819">
        <w:trPr>
          <w:cantSplit/>
          <w:trHeight w:val="765"/>
        </w:trPr>
        <w:tc>
          <w:tcPr>
            <w:tcW w:w="552" w:type="pct"/>
            <w:vMerge/>
          </w:tcPr>
          <w:p w14:paraId="6A26FD2C" w14:textId="77777777" w:rsidR="00E20F5E" w:rsidRPr="0049394D" w:rsidRDefault="00E20F5E" w:rsidP="00282F0D">
            <w:pPr>
              <w:pStyle w:val="TableText0"/>
              <w:keepNext w:val="0"/>
            </w:pPr>
          </w:p>
        </w:tc>
        <w:tc>
          <w:tcPr>
            <w:tcW w:w="388" w:type="pct"/>
          </w:tcPr>
          <w:p w14:paraId="74CB763F" w14:textId="77777777" w:rsidR="00E20F5E" w:rsidRPr="0049394D" w:rsidRDefault="00E20F5E" w:rsidP="00282F0D">
            <w:pPr>
              <w:pStyle w:val="TableText0"/>
              <w:keepNext w:val="0"/>
            </w:pPr>
            <w:r w:rsidRPr="0049394D">
              <w:t>CNS Hb</w:t>
            </w:r>
          </w:p>
        </w:tc>
        <w:tc>
          <w:tcPr>
            <w:tcW w:w="1852" w:type="pct"/>
          </w:tcPr>
          <w:p w14:paraId="3C8432FE" w14:textId="77777777" w:rsidR="00E20F5E" w:rsidRPr="0049394D" w:rsidRDefault="00E20F5E" w:rsidP="00282F0D">
            <w:pPr>
              <w:pStyle w:val="TableText0"/>
              <w:keepNext w:val="0"/>
            </w:pPr>
            <w:r w:rsidRPr="0049394D">
              <w:t>Constant probability 0.0020, equal to pre-surgery to surgery hazards</w:t>
            </w:r>
          </w:p>
        </w:tc>
        <w:tc>
          <w:tcPr>
            <w:tcW w:w="2208" w:type="pct"/>
          </w:tcPr>
          <w:p w14:paraId="36A50787" w14:textId="77777777" w:rsidR="00E20F5E" w:rsidRPr="0049394D" w:rsidRDefault="00E20F5E" w:rsidP="00282F0D">
            <w:pPr>
              <w:pStyle w:val="TableText0"/>
              <w:keepNext w:val="0"/>
            </w:pPr>
            <w:r w:rsidRPr="0049394D">
              <w:t>On treatment (and off treatment before Year 3.84): 0.0001 based on 0.049 HR applied to AS curve (HRs estimated from ratio of BEL+AS vs AS pre-surgery to 1</w:t>
            </w:r>
            <w:r w:rsidRPr="0049394D">
              <w:rPr>
                <w:vertAlign w:val="superscript"/>
              </w:rPr>
              <w:t>st</w:t>
            </w:r>
            <w:r w:rsidRPr="0049394D">
              <w:t xml:space="preserve"> surgery exponential hazards in the CNS Hb model)</w:t>
            </w:r>
          </w:p>
          <w:p w14:paraId="741E83EE" w14:textId="465F9016"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6159579B" w14:textId="77777777" w:rsidTr="00465819">
        <w:trPr>
          <w:cantSplit/>
          <w:trHeight w:val="765"/>
        </w:trPr>
        <w:tc>
          <w:tcPr>
            <w:tcW w:w="552" w:type="pct"/>
            <w:vMerge/>
          </w:tcPr>
          <w:p w14:paraId="24EFA62E" w14:textId="77777777" w:rsidR="00E20F5E" w:rsidRPr="0049394D" w:rsidRDefault="00E20F5E" w:rsidP="00282F0D">
            <w:pPr>
              <w:pStyle w:val="TableText0"/>
              <w:keepNext w:val="0"/>
            </w:pPr>
          </w:p>
        </w:tc>
        <w:tc>
          <w:tcPr>
            <w:tcW w:w="388" w:type="pct"/>
          </w:tcPr>
          <w:p w14:paraId="18C6EF41" w14:textId="77777777" w:rsidR="00E20F5E" w:rsidRPr="0049394D" w:rsidRDefault="00E20F5E" w:rsidP="00282F0D">
            <w:pPr>
              <w:pStyle w:val="TableText0"/>
              <w:keepNext w:val="0"/>
            </w:pPr>
            <w:r w:rsidRPr="0049394D">
              <w:t>pNET</w:t>
            </w:r>
          </w:p>
        </w:tc>
        <w:tc>
          <w:tcPr>
            <w:tcW w:w="1852" w:type="pct"/>
          </w:tcPr>
          <w:p w14:paraId="22D56177" w14:textId="77777777" w:rsidR="00E20F5E" w:rsidRPr="0049394D" w:rsidRDefault="00E20F5E" w:rsidP="00282F0D">
            <w:pPr>
              <w:pStyle w:val="TableText0"/>
              <w:keepNext w:val="0"/>
            </w:pPr>
            <w:r w:rsidRPr="0049394D">
              <w:t>Constant probability 0.0002 equal to pre-surgery to surgery hazards</w:t>
            </w:r>
          </w:p>
        </w:tc>
        <w:tc>
          <w:tcPr>
            <w:tcW w:w="2208" w:type="pct"/>
          </w:tcPr>
          <w:p w14:paraId="6F08C554" w14:textId="77777777" w:rsidR="00E20F5E" w:rsidRPr="0049394D" w:rsidRDefault="00E20F5E" w:rsidP="00282F0D">
            <w:pPr>
              <w:pStyle w:val="TableText0"/>
              <w:keepNext w:val="0"/>
            </w:pPr>
            <w:r w:rsidRPr="0049394D">
              <w:t>On treatment (and off treatment before Year 3.84): 0.00001 based on 0.037 HR applied to AS curve (HRs estimated from ratio of BEL+AS vs AS pre-surgery to 1</w:t>
            </w:r>
            <w:r w:rsidRPr="0049394D">
              <w:rPr>
                <w:vertAlign w:val="superscript"/>
              </w:rPr>
              <w:t>st</w:t>
            </w:r>
            <w:r w:rsidRPr="0049394D">
              <w:t xml:space="preserve"> surgery exponential hazards in the CNS Hb model)</w:t>
            </w:r>
          </w:p>
          <w:p w14:paraId="3E872313" w14:textId="12760E59"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5191166C" w14:textId="77777777" w:rsidTr="00465819">
        <w:trPr>
          <w:cantSplit/>
          <w:trHeight w:val="765"/>
        </w:trPr>
        <w:tc>
          <w:tcPr>
            <w:tcW w:w="552" w:type="pct"/>
            <w:vMerge w:val="restart"/>
            <w:vAlign w:val="center"/>
          </w:tcPr>
          <w:p w14:paraId="3B82CEFE" w14:textId="77777777" w:rsidR="00E20F5E" w:rsidRPr="0049394D" w:rsidRDefault="00E20F5E" w:rsidP="00282F0D">
            <w:pPr>
              <w:pStyle w:val="TableText0"/>
              <w:keepNext w:val="0"/>
            </w:pPr>
            <w:r w:rsidRPr="0049394D">
              <w:t>EFS post-surgery 1,2,3+ to metastatic</w:t>
            </w:r>
          </w:p>
        </w:tc>
        <w:tc>
          <w:tcPr>
            <w:tcW w:w="388" w:type="pct"/>
          </w:tcPr>
          <w:p w14:paraId="244BBF84" w14:textId="77777777" w:rsidR="00E20F5E" w:rsidRPr="0049394D" w:rsidRDefault="00E20F5E" w:rsidP="00282F0D">
            <w:pPr>
              <w:pStyle w:val="TableText0"/>
              <w:keepNext w:val="0"/>
            </w:pPr>
            <w:r w:rsidRPr="0049394D">
              <w:t>RCC</w:t>
            </w:r>
          </w:p>
        </w:tc>
        <w:tc>
          <w:tcPr>
            <w:tcW w:w="1852" w:type="pct"/>
          </w:tcPr>
          <w:p w14:paraId="08FEEB3F" w14:textId="77777777" w:rsidR="00E20F5E" w:rsidRPr="0049394D" w:rsidRDefault="00E20F5E" w:rsidP="00282F0D">
            <w:pPr>
              <w:pStyle w:val="TableText0"/>
              <w:keepNext w:val="0"/>
            </w:pPr>
            <w:r w:rsidRPr="0049394D">
              <w:t>Constant probability 0.0012 (Optum CDM)</w:t>
            </w:r>
          </w:p>
        </w:tc>
        <w:tc>
          <w:tcPr>
            <w:tcW w:w="2208" w:type="pct"/>
          </w:tcPr>
          <w:p w14:paraId="36937D85" w14:textId="77777777" w:rsidR="00E20F5E" w:rsidRPr="0049394D" w:rsidRDefault="00E20F5E" w:rsidP="00282F0D">
            <w:pPr>
              <w:pStyle w:val="TableText0"/>
              <w:keepNext w:val="0"/>
            </w:pPr>
            <w:r w:rsidRPr="0049394D">
              <w:t>On treatment (and off treatment before Year 3.84): 0.0002 based on 0.147 HR applied to AS curve (HR estimated from ratio of BEL+AS vs AS pre-surgery to 1</w:t>
            </w:r>
            <w:r w:rsidRPr="0049394D">
              <w:rPr>
                <w:vertAlign w:val="superscript"/>
              </w:rPr>
              <w:t>st</w:t>
            </w:r>
            <w:r w:rsidRPr="0049394D">
              <w:t xml:space="preserve"> surgery exponential hazards in the RCC model). </w:t>
            </w:r>
          </w:p>
          <w:p w14:paraId="5343228B" w14:textId="6D007736"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39ADD5AF" w14:textId="77777777" w:rsidTr="00465819">
        <w:trPr>
          <w:cantSplit/>
          <w:trHeight w:val="765"/>
        </w:trPr>
        <w:tc>
          <w:tcPr>
            <w:tcW w:w="552" w:type="pct"/>
            <w:vMerge/>
          </w:tcPr>
          <w:p w14:paraId="4616049A" w14:textId="77777777" w:rsidR="00E20F5E" w:rsidRPr="0049394D" w:rsidRDefault="00E20F5E" w:rsidP="00282F0D">
            <w:pPr>
              <w:pStyle w:val="TableText0"/>
              <w:keepNext w:val="0"/>
            </w:pPr>
          </w:p>
        </w:tc>
        <w:tc>
          <w:tcPr>
            <w:tcW w:w="388" w:type="pct"/>
          </w:tcPr>
          <w:p w14:paraId="55BB59D7" w14:textId="77777777" w:rsidR="00E20F5E" w:rsidRPr="0049394D" w:rsidRDefault="00E20F5E" w:rsidP="00282F0D">
            <w:pPr>
              <w:pStyle w:val="TableText0"/>
              <w:keepNext w:val="0"/>
            </w:pPr>
            <w:r w:rsidRPr="0049394D">
              <w:t>CNS Hb</w:t>
            </w:r>
          </w:p>
        </w:tc>
        <w:tc>
          <w:tcPr>
            <w:tcW w:w="1852" w:type="pct"/>
          </w:tcPr>
          <w:p w14:paraId="0F727B67" w14:textId="77777777" w:rsidR="00E20F5E" w:rsidRPr="0049394D" w:rsidRDefault="00E20F5E" w:rsidP="00282F0D">
            <w:pPr>
              <w:pStyle w:val="TableText0"/>
              <w:keepNext w:val="0"/>
            </w:pPr>
            <w:r w:rsidRPr="0049394D">
              <w:t>Constant probability 0.0011 equal to pre-surgery to metastatic hazards</w:t>
            </w:r>
          </w:p>
        </w:tc>
        <w:tc>
          <w:tcPr>
            <w:tcW w:w="2208" w:type="pct"/>
          </w:tcPr>
          <w:p w14:paraId="35F4E048" w14:textId="77777777" w:rsidR="00E20F5E" w:rsidRPr="0049394D" w:rsidRDefault="00E20F5E" w:rsidP="00282F0D">
            <w:pPr>
              <w:pStyle w:val="TableText0"/>
              <w:keepNext w:val="0"/>
            </w:pPr>
            <w:r w:rsidRPr="0049394D">
              <w:t>On treatment (and off treatment before Year 3.84): 0.0001 based on 0.049 HR applied to AS curve (HRs estimated from ratio of BEL+AS vs AS pre-surgery to 1</w:t>
            </w:r>
            <w:r w:rsidRPr="0049394D">
              <w:rPr>
                <w:vertAlign w:val="superscript"/>
              </w:rPr>
              <w:t>st</w:t>
            </w:r>
            <w:r w:rsidRPr="0049394D">
              <w:t xml:space="preserve"> surgery exponential hazards in the CNS Hb model)</w:t>
            </w:r>
          </w:p>
          <w:p w14:paraId="0E4CF709" w14:textId="44DD890F"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676556A0" w14:textId="77777777" w:rsidTr="00465819">
        <w:trPr>
          <w:cantSplit/>
          <w:trHeight w:val="765"/>
        </w:trPr>
        <w:tc>
          <w:tcPr>
            <w:tcW w:w="552" w:type="pct"/>
            <w:vMerge/>
          </w:tcPr>
          <w:p w14:paraId="5CEB6401" w14:textId="77777777" w:rsidR="00E20F5E" w:rsidRPr="0049394D" w:rsidRDefault="00E20F5E" w:rsidP="00282F0D">
            <w:pPr>
              <w:pStyle w:val="TableText0"/>
              <w:keepNext w:val="0"/>
            </w:pPr>
          </w:p>
        </w:tc>
        <w:tc>
          <w:tcPr>
            <w:tcW w:w="388" w:type="pct"/>
          </w:tcPr>
          <w:p w14:paraId="4D685480" w14:textId="77777777" w:rsidR="00E20F5E" w:rsidRPr="0049394D" w:rsidRDefault="00E20F5E" w:rsidP="00282F0D">
            <w:pPr>
              <w:pStyle w:val="TableText0"/>
              <w:keepNext w:val="0"/>
            </w:pPr>
            <w:r w:rsidRPr="0049394D">
              <w:t>pNET</w:t>
            </w:r>
          </w:p>
        </w:tc>
        <w:tc>
          <w:tcPr>
            <w:tcW w:w="1852" w:type="pct"/>
          </w:tcPr>
          <w:p w14:paraId="367EA00C" w14:textId="77777777" w:rsidR="00E20F5E" w:rsidRPr="0049394D" w:rsidRDefault="00E20F5E" w:rsidP="00282F0D">
            <w:pPr>
              <w:pStyle w:val="TableText0"/>
              <w:keepNext w:val="0"/>
            </w:pPr>
            <w:r w:rsidRPr="0049394D">
              <w:t>Constant probability 0.0027 equal to pre-surgery to metastatic hazards</w:t>
            </w:r>
          </w:p>
        </w:tc>
        <w:tc>
          <w:tcPr>
            <w:tcW w:w="2208" w:type="pct"/>
          </w:tcPr>
          <w:p w14:paraId="32CEB544" w14:textId="77777777" w:rsidR="00E20F5E" w:rsidRPr="0049394D" w:rsidRDefault="00E20F5E" w:rsidP="00282F0D">
            <w:pPr>
              <w:pStyle w:val="TableText0"/>
              <w:keepNext w:val="0"/>
            </w:pPr>
            <w:r w:rsidRPr="0049394D">
              <w:t>On treatment (and off treatment before Year 3.84): 0.0001 based on 0.037 HR applied to AS curve (HRs estimated from ratio of BEL+AS vs AS pre-surgery to 1</w:t>
            </w:r>
            <w:r w:rsidRPr="0049394D">
              <w:rPr>
                <w:vertAlign w:val="superscript"/>
              </w:rPr>
              <w:t>st</w:t>
            </w:r>
            <w:r w:rsidRPr="0049394D">
              <w:t xml:space="preserve"> surgery exponential hazards in the CNS Hb model)</w:t>
            </w:r>
          </w:p>
          <w:p w14:paraId="3F0CC16D" w14:textId="0598E076" w:rsidR="00E20F5E" w:rsidRPr="0049394D" w:rsidRDefault="00E20F5E" w:rsidP="00282F0D">
            <w:pPr>
              <w:pStyle w:val="TableText0"/>
              <w:keepNext w:val="0"/>
            </w:pPr>
            <w:r w:rsidRPr="0049394D">
              <w:t>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54B9840B" w14:textId="77777777" w:rsidTr="00465819">
        <w:trPr>
          <w:cantSplit/>
          <w:trHeight w:val="690"/>
        </w:trPr>
        <w:tc>
          <w:tcPr>
            <w:tcW w:w="552" w:type="pct"/>
            <w:vMerge w:val="restart"/>
            <w:vAlign w:val="center"/>
          </w:tcPr>
          <w:p w14:paraId="35B924C6" w14:textId="77777777" w:rsidR="00E20F5E" w:rsidRPr="0049394D" w:rsidRDefault="00E20F5E" w:rsidP="00282F0D">
            <w:pPr>
              <w:pStyle w:val="TableText0"/>
              <w:keepNext w:val="0"/>
            </w:pPr>
            <w:r w:rsidRPr="0049394D">
              <w:t>EFS post-surgery 1,2,3+ to dead</w:t>
            </w:r>
          </w:p>
        </w:tc>
        <w:tc>
          <w:tcPr>
            <w:tcW w:w="388" w:type="pct"/>
          </w:tcPr>
          <w:p w14:paraId="1AC481F2" w14:textId="77777777" w:rsidR="00E20F5E" w:rsidRPr="0049394D" w:rsidRDefault="00E20F5E" w:rsidP="00282F0D">
            <w:pPr>
              <w:pStyle w:val="TableText0"/>
              <w:keepNext w:val="0"/>
            </w:pPr>
            <w:r w:rsidRPr="0049394D">
              <w:t>RCC</w:t>
            </w:r>
          </w:p>
        </w:tc>
        <w:tc>
          <w:tcPr>
            <w:tcW w:w="1852" w:type="pct"/>
          </w:tcPr>
          <w:p w14:paraId="7FB9D55C" w14:textId="77777777" w:rsidR="00E20F5E" w:rsidRPr="0049394D" w:rsidRDefault="00E20F5E" w:rsidP="00282F0D">
            <w:pPr>
              <w:pStyle w:val="TableText0"/>
              <w:keepNext w:val="0"/>
            </w:pPr>
            <w:r w:rsidRPr="0049394D">
              <w:t>Constant probability 0.0002 (VHL-NHS reweighted RCC cohort)</w:t>
            </w:r>
          </w:p>
        </w:tc>
        <w:tc>
          <w:tcPr>
            <w:tcW w:w="2208" w:type="pct"/>
            <w:vAlign w:val="center"/>
          </w:tcPr>
          <w:p w14:paraId="173B3052" w14:textId="3E9F9126" w:rsidR="00E20F5E" w:rsidRPr="0049394D" w:rsidRDefault="00E20F5E" w:rsidP="00282F0D">
            <w:pPr>
              <w:pStyle w:val="TableText0"/>
              <w:keepNext w:val="0"/>
            </w:pPr>
            <w:r w:rsidRPr="0049394D">
              <w:t>On treatment (and off treatment before Year 3.84): 0.0001 based on HR 0.049 applied to AS curve for % CNS Hb deaths. AS curve otherwise. 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23B72356" w14:textId="77777777" w:rsidTr="00465819">
        <w:trPr>
          <w:cantSplit/>
          <w:trHeight w:val="690"/>
        </w:trPr>
        <w:tc>
          <w:tcPr>
            <w:tcW w:w="552" w:type="pct"/>
            <w:vMerge/>
          </w:tcPr>
          <w:p w14:paraId="6C0B740F" w14:textId="77777777" w:rsidR="00E20F5E" w:rsidRPr="0049394D" w:rsidRDefault="00E20F5E" w:rsidP="00282F0D">
            <w:pPr>
              <w:pStyle w:val="TableText0"/>
              <w:keepNext w:val="0"/>
            </w:pPr>
          </w:p>
        </w:tc>
        <w:tc>
          <w:tcPr>
            <w:tcW w:w="388" w:type="pct"/>
          </w:tcPr>
          <w:p w14:paraId="0E704A08" w14:textId="77777777" w:rsidR="00E20F5E" w:rsidRPr="0049394D" w:rsidRDefault="00E20F5E" w:rsidP="00282F0D">
            <w:pPr>
              <w:pStyle w:val="TableText0"/>
              <w:keepNext w:val="0"/>
            </w:pPr>
            <w:r w:rsidRPr="0049394D">
              <w:t>CNS Hb</w:t>
            </w:r>
          </w:p>
        </w:tc>
        <w:tc>
          <w:tcPr>
            <w:tcW w:w="1852" w:type="pct"/>
          </w:tcPr>
          <w:p w14:paraId="04D4BBA6" w14:textId="77777777" w:rsidR="00E20F5E" w:rsidRPr="0049394D" w:rsidRDefault="00E20F5E" w:rsidP="00282F0D">
            <w:pPr>
              <w:pStyle w:val="TableText0"/>
              <w:keepNext w:val="0"/>
            </w:pPr>
            <w:r w:rsidRPr="0049394D">
              <w:t>EFS post-surgery 1 and 2 constant probability 0.0003 (VHL-NHS reweighted CNS Hb cohort)</w:t>
            </w:r>
          </w:p>
          <w:p w14:paraId="702F7F42" w14:textId="77777777" w:rsidR="00E20F5E" w:rsidRPr="0049394D" w:rsidRDefault="00E20F5E" w:rsidP="00282F0D">
            <w:pPr>
              <w:pStyle w:val="TableText0"/>
              <w:keepNext w:val="0"/>
            </w:pPr>
          </w:p>
          <w:p w14:paraId="6931EA67" w14:textId="77777777" w:rsidR="00E20F5E" w:rsidRPr="0049394D" w:rsidRDefault="00E20F5E" w:rsidP="00282F0D">
            <w:pPr>
              <w:pStyle w:val="TableText0"/>
              <w:keepNext w:val="0"/>
            </w:pPr>
          </w:p>
          <w:p w14:paraId="3AFA731F" w14:textId="77777777" w:rsidR="00E20F5E" w:rsidRPr="0049394D" w:rsidRDefault="00E20F5E" w:rsidP="00282F0D">
            <w:pPr>
              <w:pStyle w:val="TableText0"/>
              <w:keepNext w:val="0"/>
            </w:pPr>
          </w:p>
          <w:p w14:paraId="351F2FD9" w14:textId="77777777" w:rsidR="00E20F5E" w:rsidRPr="0049394D" w:rsidRDefault="00E20F5E" w:rsidP="00282F0D">
            <w:pPr>
              <w:pStyle w:val="TableText0"/>
              <w:keepNext w:val="0"/>
            </w:pPr>
            <w:r w:rsidRPr="0049394D">
              <w:t>EFS post-surgery 3+ constant probability 0.0001 equal to BEL+AS (likely an error)</w:t>
            </w:r>
          </w:p>
        </w:tc>
        <w:tc>
          <w:tcPr>
            <w:tcW w:w="2208" w:type="pct"/>
            <w:vAlign w:val="center"/>
          </w:tcPr>
          <w:p w14:paraId="087B6B88" w14:textId="45FF5A7B" w:rsidR="00E20F5E" w:rsidRPr="0049394D" w:rsidRDefault="00E20F5E" w:rsidP="00282F0D">
            <w:pPr>
              <w:pStyle w:val="TableText0"/>
              <w:keepNext w:val="0"/>
            </w:pPr>
            <w:r w:rsidRPr="0049394D">
              <w:t>On treatment (and off treatment before Year 3.84): 0.0001 based on HR 0.049 applied to AS curve for % CNS Hb deaths. AS curve otherwise 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p w14:paraId="01D8EFC4" w14:textId="77777777" w:rsidR="00E20F5E" w:rsidRPr="0049394D" w:rsidRDefault="00E20F5E" w:rsidP="00282F0D">
            <w:pPr>
              <w:pStyle w:val="TableText0"/>
              <w:keepNext w:val="0"/>
            </w:pPr>
          </w:p>
          <w:p w14:paraId="7A72DDE2" w14:textId="77777777" w:rsidR="00E20F5E" w:rsidRPr="0049394D" w:rsidRDefault="00E20F5E" w:rsidP="00282F0D">
            <w:pPr>
              <w:pStyle w:val="TableText0"/>
              <w:keepNext w:val="0"/>
            </w:pPr>
            <w:r w:rsidRPr="0049394D">
              <w:t>EFS Post-surgery 3+ rate estimated by applying 0.049 HR to post-surgery 2 AS rates.</w:t>
            </w:r>
          </w:p>
        </w:tc>
      </w:tr>
      <w:tr w:rsidR="00E20F5E" w:rsidRPr="0049394D" w14:paraId="7023E3D3" w14:textId="77777777" w:rsidTr="00465819">
        <w:trPr>
          <w:cantSplit/>
          <w:trHeight w:val="690"/>
        </w:trPr>
        <w:tc>
          <w:tcPr>
            <w:tcW w:w="552" w:type="pct"/>
            <w:vMerge/>
          </w:tcPr>
          <w:p w14:paraId="43D36AF1" w14:textId="77777777" w:rsidR="00E20F5E" w:rsidRPr="0049394D" w:rsidRDefault="00E20F5E" w:rsidP="00282F0D">
            <w:pPr>
              <w:pStyle w:val="TableText0"/>
              <w:keepNext w:val="0"/>
            </w:pPr>
          </w:p>
        </w:tc>
        <w:tc>
          <w:tcPr>
            <w:tcW w:w="388" w:type="pct"/>
          </w:tcPr>
          <w:p w14:paraId="20BA6B15" w14:textId="77777777" w:rsidR="00E20F5E" w:rsidRPr="0049394D" w:rsidRDefault="00E20F5E" w:rsidP="00282F0D">
            <w:pPr>
              <w:pStyle w:val="TableText0"/>
              <w:keepNext w:val="0"/>
            </w:pPr>
            <w:r w:rsidRPr="0049394D">
              <w:t>pNET</w:t>
            </w:r>
          </w:p>
        </w:tc>
        <w:tc>
          <w:tcPr>
            <w:tcW w:w="1852" w:type="pct"/>
          </w:tcPr>
          <w:p w14:paraId="2AAABBB4" w14:textId="77777777" w:rsidR="00E20F5E" w:rsidRPr="0049394D" w:rsidRDefault="00E20F5E" w:rsidP="00282F0D">
            <w:pPr>
              <w:pStyle w:val="TableText0"/>
              <w:keepNext w:val="0"/>
            </w:pPr>
            <w:r w:rsidRPr="0049394D">
              <w:t>Constant probability 0.0002 (VHL-NHS reweighted pNET cohort)</w:t>
            </w:r>
          </w:p>
        </w:tc>
        <w:tc>
          <w:tcPr>
            <w:tcW w:w="2208" w:type="pct"/>
            <w:vAlign w:val="center"/>
          </w:tcPr>
          <w:p w14:paraId="72EFAF45" w14:textId="703F07A2" w:rsidR="00E20F5E" w:rsidRPr="0049394D" w:rsidRDefault="00E20F5E" w:rsidP="00282F0D">
            <w:pPr>
              <w:pStyle w:val="TableText0"/>
              <w:keepNext w:val="0"/>
            </w:pPr>
            <w:r w:rsidRPr="0049394D">
              <w:t>On treatment (and off treatment before Year 3.84): 0.0001 based on HR 0.049 applied to AS curve for % CNS deaths. AS curve otherwise. Treatment waning</w:t>
            </w:r>
            <w:r w:rsidRPr="0049394D">
              <w:rPr>
                <w:vertAlign w:val="superscript"/>
              </w:rPr>
              <w:t>a</w:t>
            </w:r>
            <w:r w:rsidRPr="0049394D">
              <w:t xml:space="preserve"> </w:t>
            </w:r>
            <w:r w:rsidR="00031340" w:rsidRPr="0049394D">
              <w:t xml:space="preserve">for discontinued patients </w:t>
            </w:r>
            <w:r w:rsidRPr="0049394D">
              <w:t>from Year 3.84</w:t>
            </w:r>
            <w:r w:rsidR="009536F3" w:rsidRPr="0049394D">
              <w:t xml:space="preserve"> to 6.55.</w:t>
            </w:r>
          </w:p>
        </w:tc>
      </w:tr>
      <w:tr w:rsidR="00E20F5E" w:rsidRPr="0049394D" w14:paraId="061F3081" w14:textId="77777777" w:rsidTr="00465819">
        <w:trPr>
          <w:cantSplit/>
          <w:trHeight w:val="305"/>
        </w:trPr>
        <w:tc>
          <w:tcPr>
            <w:tcW w:w="552" w:type="pct"/>
            <w:vMerge w:val="restart"/>
            <w:vAlign w:val="center"/>
          </w:tcPr>
          <w:p w14:paraId="2BE7F5F0" w14:textId="77777777" w:rsidR="00E20F5E" w:rsidRPr="0049394D" w:rsidRDefault="00E20F5E" w:rsidP="00282F0D">
            <w:pPr>
              <w:pStyle w:val="TableText0"/>
              <w:keepNext w:val="0"/>
            </w:pPr>
            <w:r w:rsidRPr="0049394D">
              <w:t>Metastatic disease to dead</w:t>
            </w:r>
          </w:p>
        </w:tc>
        <w:tc>
          <w:tcPr>
            <w:tcW w:w="388" w:type="pct"/>
          </w:tcPr>
          <w:p w14:paraId="7CD2BB65" w14:textId="77777777" w:rsidR="00E20F5E" w:rsidRPr="0049394D" w:rsidRDefault="00E20F5E" w:rsidP="00282F0D">
            <w:pPr>
              <w:pStyle w:val="TableText0"/>
              <w:keepNext w:val="0"/>
            </w:pPr>
            <w:r w:rsidRPr="0049394D">
              <w:t>RCC</w:t>
            </w:r>
          </w:p>
        </w:tc>
        <w:tc>
          <w:tcPr>
            <w:tcW w:w="1852" w:type="pct"/>
          </w:tcPr>
          <w:p w14:paraId="3B6C0F46" w14:textId="77777777" w:rsidR="00E20F5E" w:rsidRPr="0049394D" w:rsidRDefault="00E20F5E" w:rsidP="00282F0D">
            <w:pPr>
              <w:pStyle w:val="TableText0"/>
              <w:keepNext w:val="0"/>
            </w:pPr>
            <w:r w:rsidRPr="0049394D">
              <w:t>Constant probability 0.0030, based on proportion of RCC patients with metastatic RCC or pNETs (VHL-NHS reweighted) and first line treatment OS from the literature</w:t>
            </w:r>
          </w:p>
        </w:tc>
        <w:tc>
          <w:tcPr>
            <w:tcW w:w="2208" w:type="pct"/>
          </w:tcPr>
          <w:p w14:paraId="3B92B464" w14:textId="77777777" w:rsidR="00E20F5E" w:rsidRPr="0049394D" w:rsidRDefault="00E20F5E" w:rsidP="00282F0D">
            <w:pPr>
              <w:pStyle w:val="TableText0"/>
              <w:keepNext w:val="0"/>
            </w:pPr>
            <w:r w:rsidRPr="0049394D">
              <w:t>Same as AS</w:t>
            </w:r>
          </w:p>
        </w:tc>
      </w:tr>
      <w:tr w:rsidR="00E20F5E" w:rsidRPr="0049394D" w14:paraId="6FAEABE1" w14:textId="77777777" w:rsidTr="00465819">
        <w:trPr>
          <w:cantSplit/>
          <w:trHeight w:val="305"/>
        </w:trPr>
        <w:tc>
          <w:tcPr>
            <w:tcW w:w="552" w:type="pct"/>
            <w:vMerge/>
          </w:tcPr>
          <w:p w14:paraId="759485F9" w14:textId="77777777" w:rsidR="00E20F5E" w:rsidRPr="0049394D" w:rsidRDefault="00E20F5E" w:rsidP="00282F0D">
            <w:pPr>
              <w:pStyle w:val="TableText0"/>
              <w:keepNext w:val="0"/>
            </w:pPr>
          </w:p>
        </w:tc>
        <w:tc>
          <w:tcPr>
            <w:tcW w:w="388" w:type="pct"/>
          </w:tcPr>
          <w:p w14:paraId="5DE49BBD" w14:textId="77777777" w:rsidR="00E20F5E" w:rsidRPr="0049394D" w:rsidRDefault="00E20F5E" w:rsidP="00282F0D">
            <w:pPr>
              <w:pStyle w:val="TableText0"/>
              <w:keepNext w:val="0"/>
            </w:pPr>
            <w:r w:rsidRPr="0049394D">
              <w:t>CNS Hb</w:t>
            </w:r>
          </w:p>
        </w:tc>
        <w:tc>
          <w:tcPr>
            <w:tcW w:w="1852" w:type="pct"/>
          </w:tcPr>
          <w:p w14:paraId="26378C49" w14:textId="77777777" w:rsidR="00E20F5E" w:rsidRPr="0049394D" w:rsidRDefault="00E20F5E" w:rsidP="00282F0D">
            <w:pPr>
              <w:pStyle w:val="TableText0"/>
              <w:keepNext w:val="0"/>
            </w:pPr>
            <w:r w:rsidRPr="0049394D">
              <w:t>Constant probability 0.0029, based on proportion of CNS Hb patients with metastatic RCC or pNETs (VHL-NHS reweighted) and first line treatment OS from the literature</w:t>
            </w:r>
          </w:p>
        </w:tc>
        <w:tc>
          <w:tcPr>
            <w:tcW w:w="2208" w:type="pct"/>
          </w:tcPr>
          <w:p w14:paraId="3C0D9234" w14:textId="77777777" w:rsidR="00E20F5E" w:rsidRPr="0049394D" w:rsidRDefault="00E20F5E" w:rsidP="00282F0D">
            <w:pPr>
              <w:pStyle w:val="TableText0"/>
              <w:keepNext w:val="0"/>
            </w:pPr>
            <w:r w:rsidRPr="0049394D">
              <w:t>Same as AS</w:t>
            </w:r>
          </w:p>
        </w:tc>
      </w:tr>
      <w:tr w:rsidR="00E20F5E" w:rsidRPr="0049394D" w14:paraId="09511DAF" w14:textId="77777777" w:rsidTr="00465819">
        <w:trPr>
          <w:cantSplit/>
          <w:trHeight w:val="305"/>
        </w:trPr>
        <w:tc>
          <w:tcPr>
            <w:tcW w:w="552" w:type="pct"/>
            <w:vMerge/>
          </w:tcPr>
          <w:p w14:paraId="1B04D286" w14:textId="77777777" w:rsidR="00E20F5E" w:rsidRPr="0049394D" w:rsidRDefault="00E20F5E" w:rsidP="00282F0D">
            <w:pPr>
              <w:pStyle w:val="TableText0"/>
              <w:keepNext w:val="0"/>
            </w:pPr>
          </w:p>
        </w:tc>
        <w:tc>
          <w:tcPr>
            <w:tcW w:w="388" w:type="pct"/>
          </w:tcPr>
          <w:p w14:paraId="230D14DB" w14:textId="77777777" w:rsidR="00E20F5E" w:rsidRPr="0049394D" w:rsidRDefault="00E20F5E" w:rsidP="00282F0D">
            <w:pPr>
              <w:pStyle w:val="TableText0"/>
              <w:keepNext w:val="0"/>
            </w:pPr>
            <w:r w:rsidRPr="0049394D">
              <w:t>pNET</w:t>
            </w:r>
          </w:p>
        </w:tc>
        <w:tc>
          <w:tcPr>
            <w:tcW w:w="1852" w:type="pct"/>
          </w:tcPr>
          <w:p w14:paraId="47E5D58C" w14:textId="77777777" w:rsidR="00E20F5E" w:rsidRPr="0049394D" w:rsidRDefault="00E20F5E" w:rsidP="00282F0D">
            <w:pPr>
              <w:pStyle w:val="TableText0"/>
              <w:keepNext w:val="0"/>
            </w:pPr>
            <w:r w:rsidRPr="0049394D">
              <w:t>Constant probability 0.0028 based on proportion of pNET patients with metastatic RCC or pNETs (VHL-NHS reweighted) and first line treatment OS from the literature</w:t>
            </w:r>
          </w:p>
        </w:tc>
        <w:tc>
          <w:tcPr>
            <w:tcW w:w="2208" w:type="pct"/>
          </w:tcPr>
          <w:p w14:paraId="573E3A58" w14:textId="77777777" w:rsidR="00E20F5E" w:rsidRPr="0049394D" w:rsidRDefault="00E20F5E" w:rsidP="00282F0D">
            <w:pPr>
              <w:pStyle w:val="TableText0"/>
              <w:keepNext w:val="0"/>
            </w:pPr>
            <w:r w:rsidRPr="0049394D">
              <w:t>Same as AS</w:t>
            </w:r>
          </w:p>
        </w:tc>
      </w:tr>
      <w:tr w:rsidR="00E20F5E" w:rsidRPr="0049394D" w14:paraId="158D404E" w14:textId="77777777" w:rsidTr="00465819">
        <w:trPr>
          <w:cantSplit/>
          <w:trHeight w:val="155"/>
        </w:trPr>
        <w:tc>
          <w:tcPr>
            <w:tcW w:w="552" w:type="pct"/>
            <w:vMerge w:val="restart"/>
          </w:tcPr>
          <w:p w14:paraId="07EC82A4" w14:textId="77777777" w:rsidR="00E20F5E" w:rsidRPr="0049394D" w:rsidRDefault="00E20F5E" w:rsidP="00282F0D">
            <w:pPr>
              <w:pStyle w:val="TableText0"/>
              <w:keepNext w:val="0"/>
            </w:pPr>
            <w:r w:rsidRPr="0049394D">
              <w:t xml:space="preserve">Background mortality </w:t>
            </w:r>
          </w:p>
        </w:tc>
        <w:tc>
          <w:tcPr>
            <w:tcW w:w="388" w:type="pct"/>
          </w:tcPr>
          <w:p w14:paraId="175C8CAC" w14:textId="77777777" w:rsidR="00E20F5E" w:rsidRPr="0049394D" w:rsidRDefault="00E20F5E" w:rsidP="00282F0D">
            <w:pPr>
              <w:pStyle w:val="TableText0"/>
              <w:keepNext w:val="0"/>
            </w:pPr>
            <w:r w:rsidRPr="0049394D">
              <w:t>RCC</w:t>
            </w:r>
          </w:p>
        </w:tc>
        <w:tc>
          <w:tcPr>
            <w:tcW w:w="1852" w:type="pct"/>
            <w:vMerge w:val="restart"/>
            <w:vAlign w:val="center"/>
          </w:tcPr>
          <w:p w14:paraId="548D53B6" w14:textId="77777777" w:rsidR="00E20F5E" w:rsidRPr="0049394D" w:rsidRDefault="00E20F5E" w:rsidP="00282F0D">
            <w:pPr>
              <w:pStyle w:val="TableText0"/>
              <w:keepNext w:val="0"/>
            </w:pPr>
            <w:r w:rsidRPr="0049394D">
              <w:t>Age based general population mortality applied to all states</w:t>
            </w:r>
          </w:p>
        </w:tc>
        <w:tc>
          <w:tcPr>
            <w:tcW w:w="2208" w:type="pct"/>
            <w:vMerge w:val="restart"/>
            <w:vAlign w:val="center"/>
          </w:tcPr>
          <w:p w14:paraId="4CD153EB" w14:textId="77777777" w:rsidR="00E20F5E" w:rsidRPr="0049394D" w:rsidRDefault="00E20F5E" w:rsidP="00282F0D">
            <w:pPr>
              <w:pStyle w:val="TableText0"/>
              <w:keepNext w:val="0"/>
            </w:pPr>
            <w:r w:rsidRPr="0049394D">
              <w:t>Same as AS</w:t>
            </w:r>
          </w:p>
        </w:tc>
      </w:tr>
      <w:tr w:rsidR="00E20F5E" w:rsidRPr="0049394D" w14:paraId="7C38E0E4" w14:textId="77777777" w:rsidTr="00465819">
        <w:trPr>
          <w:cantSplit/>
          <w:trHeight w:val="155"/>
        </w:trPr>
        <w:tc>
          <w:tcPr>
            <w:tcW w:w="552" w:type="pct"/>
            <w:vMerge/>
          </w:tcPr>
          <w:p w14:paraId="66E8B352" w14:textId="77777777" w:rsidR="00E20F5E" w:rsidRPr="0049394D" w:rsidRDefault="00E20F5E" w:rsidP="00282F0D">
            <w:pPr>
              <w:pStyle w:val="TableText0"/>
              <w:keepNext w:val="0"/>
            </w:pPr>
          </w:p>
        </w:tc>
        <w:tc>
          <w:tcPr>
            <w:tcW w:w="388" w:type="pct"/>
          </w:tcPr>
          <w:p w14:paraId="08343978" w14:textId="77777777" w:rsidR="00E20F5E" w:rsidRPr="0049394D" w:rsidRDefault="00E20F5E" w:rsidP="00282F0D">
            <w:pPr>
              <w:pStyle w:val="TableText0"/>
              <w:keepNext w:val="0"/>
            </w:pPr>
            <w:r w:rsidRPr="0049394D">
              <w:t>CNS Hb</w:t>
            </w:r>
          </w:p>
        </w:tc>
        <w:tc>
          <w:tcPr>
            <w:tcW w:w="1852" w:type="pct"/>
            <w:vMerge/>
          </w:tcPr>
          <w:p w14:paraId="568D5A8D" w14:textId="77777777" w:rsidR="00E20F5E" w:rsidRPr="0049394D" w:rsidRDefault="00E20F5E" w:rsidP="00282F0D">
            <w:pPr>
              <w:pStyle w:val="TableText0"/>
              <w:keepNext w:val="0"/>
            </w:pPr>
          </w:p>
        </w:tc>
        <w:tc>
          <w:tcPr>
            <w:tcW w:w="2208" w:type="pct"/>
            <w:vMerge/>
          </w:tcPr>
          <w:p w14:paraId="07D7C8A4" w14:textId="77777777" w:rsidR="00E20F5E" w:rsidRPr="0049394D" w:rsidRDefault="00E20F5E" w:rsidP="00282F0D">
            <w:pPr>
              <w:pStyle w:val="TableText0"/>
              <w:keepNext w:val="0"/>
            </w:pPr>
          </w:p>
        </w:tc>
      </w:tr>
      <w:tr w:rsidR="00E20F5E" w:rsidRPr="0049394D" w14:paraId="46F077ED" w14:textId="77777777" w:rsidTr="00465819">
        <w:trPr>
          <w:cantSplit/>
          <w:trHeight w:val="155"/>
        </w:trPr>
        <w:tc>
          <w:tcPr>
            <w:tcW w:w="552" w:type="pct"/>
            <w:vMerge/>
          </w:tcPr>
          <w:p w14:paraId="2D187634" w14:textId="77777777" w:rsidR="00E20F5E" w:rsidRPr="0049394D" w:rsidRDefault="00E20F5E" w:rsidP="00282F0D">
            <w:pPr>
              <w:pStyle w:val="TableText0"/>
              <w:keepNext w:val="0"/>
            </w:pPr>
          </w:p>
        </w:tc>
        <w:tc>
          <w:tcPr>
            <w:tcW w:w="388" w:type="pct"/>
          </w:tcPr>
          <w:p w14:paraId="1E7B679C" w14:textId="77777777" w:rsidR="00E20F5E" w:rsidRPr="0049394D" w:rsidRDefault="00E20F5E" w:rsidP="00282F0D">
            <w:pPr>
              <w:pStyle w:val="TableText0"/>
              <w:keepNext w:val="0"/>
            </w:pPr>
            <w:r w:rsidRPr="0049394D">
              <w:t>pNET</w:t>
            </w:r>
          </w:p>
        </w:tc>
        <w:tc>
          <w:tcPr>
            <w:tcW w:w="1852" w:type="pct"/>
            <w:vMerge/>
          </w:tcPr>
          <w:p w14:paraId="7F42806B" w14:textId="77777777" w:rsidR="00E20F5E" w:rsidRPr="0049394D" w:rsidRDefault="00E20F5E" w:rsidP="00282F0D">
            <w:pPr>
              <w:pStyle w:val="TableText0"/>
              <w:keepNext w:val="0"/>
            </w:pPr>
          </w:p>
        </w:tc>
        <w:tc>
          <w:tcPr>
            <w:tcW w:w="2208" w:type="pct"/>
            <w:vMerge/>
          </w:tcPr>
          <w:p w14:paraId="35458447" w14:textId="77777777" w:rsidR="00E20F5E" w:rsidRPr="0049394D" w:rsidRDefault="00E20F5E" w:rsidP="00282F0D">
            <w:pPr>
              <w:pStyle w:val="TableText0"/>
              <w:keepNext w:val="0"/>
            </w:pPr>
          </w:p>
        </w:tc>
      </w:tr>
    </w:tbl>
    <w:p w14:paraId="12359AAA" w14:textId="55051D6A" w:rsidR="00E20F5E" w:rsidRPr="0049394D" w:rsidRDefault="00E20F5E" w:rsidP="00E20F5E">
      <w:pPr>
        <w:pStyle w:val="TableFigureFooter"/>
      </w:pPr>
      <w:r w:rsidRPr="0049394D">
        <w:t>Source: compiled during the evaluation</w:t>
      </w:r>
    </w:p>
    <w:p w14:paraId="2D7B1DE3" w14:textId="77777777" w:rsidR="00E20F5E" w:rsidRPr="0049394D" w:rsidRDefault="00E20F5E" w:rsidP="00E20F5E">
      <w:pPr>
        <w:pStyle w:val="TableFigureFooter"/>
      </w:pPr>
      <w:r w:rsidRPr="0049394D">
        <w:t>AS=active surveillance, BEL=belzutifan, HR=hazard ratio</w:t>
      </w:r>
    </w:p>
    <w:p w14:paraId="673654CB" w14:textId="77777777" w:rsidR="00E20F5E" w:rsidRPr="0049394D" w:rsidRDefault="00E20F5E" w:rsidP="00E20F5E">
      <w:pPr>
        <w:pStyle w:val="TableFigureFooter"/>
      </w:pPr>
      <w:r w:rsidRPr="0049394D">
        <w:rPr>
          <w:vertAlign w:val="superscript"/>
        </w:rPr>
        <w:t>a</w:t>
      </w:r>
      <w:r w:rsidRPr="0049394D">
        <w:tab/>
        <w:t>Treatment waning for belzutifan discontinued patients between Year 3.84 and 6.55: proportion (linear change by time point) of on treatment and AS curves, from Year 6.55: AS curve</w:t>
      </w:r>
    </w:p>
    <w:p w14:paraId="753ABC80" w14:textId="0A2C28B4" w:rsidR="00372A9F" w:rsidRPr="00372A9F" w:rsidRDefault="00E20F5E" w:rsidP="00E20F5E">
      <w:pPr>
        <w:pStyle w:val="3-BodyText"/>
        <w:rPr>
          <w:iCs/>
        </w:rPr>
      </w:pPr>
      <w:r w:rsidRPr="0049394D">
        <w:t>For the RCC model, time to surgery was extrapolated from VHL-NHS reweighted data for the active surveillance arm and LS-004 data for the belzutifan arm. Similarly</w:t>
      </w:r>
      <w:r w:rsidR="00C63277" w:rsidRPr="0049394D">
        <w:t>,</w:t>
      </w:r>
      <w:r w:rsidRPr="0049394D">
        <w:t xml:space="preserve"> in the CNS Hb model, time to surgery in the belzutifan arm was extrapolated from LS-004 data. For the CNS Hb and pNET models retrospective LS-004 data that looked backwards from treatment initiation to last prior surgery</w:t>
      </w:r>
      <w:r w:rsidR="00673E59" w:rsidRPr="0049394D">
        <w:t xml:space="preserve"> (i.e., time since last surgery prior to starting belzutifan)</w:t>
      </w:r>
      <w:r w:rsidRPr="0049394D">
        <w:t xml:space="preserve"> was used as a surrogate to time to CNS Hb and pNET surgery in the active surveillance arm</w:t>
      </w:r>
      <w:r w:rsidR="0084179D">
        <w:t xml:space="preserve">. </w:t>
      </w:r>
      <w:r w:rsidR="0084179D" w:rsidRPr="00BF3570">
        <w:t>T</w:t>
      </w:r>
      <w:r w:rsidR="00372A9F" w:rsidRPr="00BF3570">
        <w:t>he evaluation considered</w:t>
      </w:r>
      <w:r w:rsidR="0084179D" w:rsidRPr="00BF3570">
        <w:t xml:space="preserve"> that </w:t>
      </w:r>
      <w:r w:rsidR="0084179D" w:rsidRPr="00BF3570">
        <w:rPr>
          <w:iCs/>
        </w:rPr>
        <w:t>looking backwards to prior surgeries was unlikely to be the same as estimating time to next surgery</w:t>
      </w:r>
      <w:r w:rsidRPr="00BF3570">
        <w:t xml:space="preserve">. </w:t>
      </w:r>
      <w:r w:rsidR="00372A9F" w:rsidRPr="00BF3570">
        <w:rPr>
          <w:iCs/>
        </w:rPr>
        <w:t xml:space="preserve">The </w:t>
      </w:r>
      <w:r w:rsidR="008C077D" w:rsidRPr="00BF3570">
        <w:rPr>
          <w:iCs/>
        </w:rPr>
        <w:t>PSCR argued</w:t>
      </w:r>
      <w:r w:rsidR="0046380A" w:rsidRPr="00BF3570">
        <w:rPr>
          <w:iCs/>
        </w:rPr>
        <w:t xml:space="preserve"> </w:t>
      </w:r>
      <w:r w:rsidR="00372A9F" w:rsidRPr="00BF3570">
        <w:rPr>
          <w:iCs/>
        </w:rPr>
        <w:t xml:space="preserve">that the approach </w:t>
      </w:r>
      <w:r w:rsidR="00A9590E" w:rsidRPr="00BF3570">
        <w:rPr>
          <w:iCs/>
        </w:rPr>
        <w:t>for</w:t>
      </w:r>
      <w:r w:rsidR="00372A9F" w:rsidRPr="00BF3570">
        <w:rPr>
          <w:iCs/>
        </w:rPr>
        <w:t xml:space="preserve"> time to surgery in the active surveillance arms of the CNS Hb and pNET models was appropriate </w:t>
      </w:r>
      <w:r w:rsidR="00D511EB" w:rsidRPr="00BF3570">
        <w:rPr>
          <w:iCs/>
        </w:rPr>
        <w:t>as it</w:t>
      </w:r>
      <w:r w:rsidR="00372A9F" w:rsidRPr="00BF3570">
        <w:rPr>
          <w:iCs/>
        </w:rPr>
        <w:t xml:space="preserve"> provided internal controls and minimised bias</w:t>
      </w:r>
      <w:r w:rsidR="00372A9F" w:rsidRPr="00372A9F">
        <w:t xml:space="preserve">. </w:t>
      </w:r>
    </w:p>
    <w:p w14:paraId="2A5FECF4" w14:textId="3CF2628C" w:rsidR="00E20F5E" w:rsidRPr="0049394D" w:rsidRDefault="00E20F5E" w:rsidP="00E20F5E">
      <w:pPr>
        <w:pStyle w:val="3-BodyText"/>
        <w:rPr>
          <w:iCs/>
        </w:rPr>
      </w:pPr>
      <w:r w:rsidRPr="0049394D">
        <w:t xml:space="preserve">Exponential extrapolations were chosen for all arms of all models where KM data were available. </w:t>
      </w:r>
      <w:r w:rsidRPr="0049394D">
        <w:rPr>
          <w:iCs/>
        </w:rPr>
        <w:t>Exponential extrapolations had the best statistical fit for the active surveillance arms of all 3 models, and given the limited data available, exponential distributions for the model may be a reasonable approach. However, the estimated hazards were uncertain, and if the 95%</w:t>
      </w:r>
      <w:r w:rsidR="002E17A1" w:rsidRPr="0049394D">
        <w:rPr>
          <w:iCs/>
        </w:rPr>
        <w:t> </w:t>
      </w:r>
      <w:r w:rsidRPr="0049394D">
        <w:rPr>
          <w:iCs/>
        </w:rPr>
        <w:t>CI</w:t>
      </w:r>
      <w:r w:rsidR="00E36045" w:rsidRPr="0049394D">
        <w:rPr>
          <w:iCs/>
        </w:rPr>
        <w:t>s</w:t>
      </w:r>
      <w:r w:rsidRPr="0049394D">
        <w:rPr>
          <w:iCs/>
        </w:rPr>
        <w:t xml:space="preserve"> of the exponential parameter inputs for both the belzutifan and the active surveillance arms were </w:t>
      </w:r>
      <w:r w:rsidR="00BC4A73" w:rsidRPr="0049394D">
        <w:rPr>
          <w:iCs/>
        </w:rPr>
        <w:t xml:space="preserve">applied </w:t>
      </w:r>
      <w:r w:rsidRPr="0049394D">
        <w:rPr>
          <w:iCs/>
        </w:rPr>
        <w:t xml:space="preserve">the </w:t>
      </w:r>
      <w:r w:rsidR="00BC5608">
        <w:rPr>
          <w:iCs/>
        </w:rPr>
        <w:t>incremental cost-effectiveness ratios (</w:t>
      </w:r>
      <w:r w:rsidRPr="0049394D">
        <w:rPr>
          <w:iCs/>
        </w:rPr>
        <w:t>ICERs</w:t>
      </w:r>
      <w:r w:rsidR="00BC5608">
        <w:rPr>
          <w:iCs/>
        </w:rPr>
        <w:t>)</w:t>
      </w:r>
      <w:r w:rsidRPr="0049394D">
        <w:rPr>
          <w:iCs/>
        </w:rPr>
        <w:t xml:space="preserve"> in the RCC model ranged from $</w:t>
      </w:r>
      <w:r w:rsidR="005A4289" w:rsidRPr="005A4289">
        <w:rPr>
          <w:iCs/>
        </w:rPr>
        <w:t>155,000 to &lt; $255,000</w:t>
      </w:r>
      <w:r w:rsidRPr="0049394D">
        <w:rPr>
          <w:iCs/>
        </w:rPr>
        <w:t xml:space="preserve"> to $</w:t>
      </w:r>
      <w:r w:rsidR="005A4289" w:rsidRPr="005A4289">
        <w:rPr>
          <w:iCs/>
        </w:rPr>
        <w:t>255,000 to &lt; $355,000</w:t>
      </w:r>
      <w:r w:rsidRPr="0049394D">
        <w:rPr>
          <w:iCs/>
        </w:rPr>
        <w:t xml:space="preserve"> per QALY gained. </w:t>
      </w:r>
      <w:r w:rsidRPr="0049394D">
        <w:t>Response rates to belzutifan for RCC and pNETs were used as a surrogate to estimate time to surgery in the belzutifan arm of the pNET model where no surgeries were observed during LS-004.</w:t>
      </w:r>
      <w:r w:rsidR="00FD3320" w:rsidRPr="0049394D">
        <w:t xml:space="preserve"> The pNET model was less affected by the time to surgery benefit, as very few patients in either arm were expected to experience pNET surgery.</w:t>
      </w:r>
    </w:p>
    <w:p w14:paraId="3D12141F" w14:textId="6E393973" w:rsidR="00E20F5E" w:rsidRPr="0049394D" w:rsidRDefault="00E20F5E" w:rsidP="00E20F5E">
      <w:pPr>
        <w:pStyle w:val="3-BodyText"/>
      </w:pPr>
      <w:r w:rsidRPr="0049394D">
        <w:lastRenderedPageBreak/>
        <w:t xml:space="preserve">For downstream events where evidence of a belzutifan benefit had not been observed, the model utilised further surrogate outcomes in LS-004 and external data sources (including Optum CDM RCC data). For example, increase in time to </w:t>
      </w:r>
      <w:r w:rsidR="00031340" w:rsidRPr="0049394D">
        <w:t xml:space="preserve">first </w:t>
      </w:r>
      <w:r w:rsidRPr="0049394D">
        <w:t>surgery</w:t>
      </w:r>
      <w:r w:rsidR="00031340" w:rsidRPr="0049394D">
        <w:t xml:space="preserve"> since model entry</w:t>
      </w:r>
      <w:r w:rsidR="00294461" w:rsidRPr="0049394D">
        <w:t xml:space="preserve"> (</w:t>
      </w:r>
      <w:r w:rsidR="00031340" w:rsidRPr="0049394D">
        <w:t>pati</w:t>
      </w:r>
      <w:r w:rsidR="00294461" w:rsidRPr="0049394D">
        <w:t>e</w:t>
      </w:r>
      <w:r w:rsidR="00031340" w:rsidRPr="0049394D">
        <w:t>nts could have</w:t>
      </w:r>
      <w:r w:rsidR="00294461" w:rsidRPr="0049394D">
        <w:t xml:space="preserve"> had</w:t>
      </w:r>
      <w:r w:rsidR="00031340" w:rsidRPr="0049394D">
        <w:t xml:space="preserve"> a history of surgery prior to model entry)</w:t>
      </w:r>
      <w:r w:rsidRPr="0049394D">
        <w:t xml:space="preserve"> for the belzutifan arm compared to the active surveillance arm was used as </w:t>
      </w:r>
      <w:r w:rsidR="00AC3386" w:rsidRPr="0049394D">
        <w:t xml:space="preserve">a </w:t>
      </w:r>
      <w:r w:rsidRPr="0049394D">
        <w:t>surrogate for increased time to metastases and time to death for patients with CNS Hb tumours in all models. The submission justified the use of these surrogates for metastases and survival based on evidence of reduced linear growth rates in LS-004, but the relationship between linear growth rate and metastases and death has not been quantified. Many of the downstream transitions were equal to or based on the transitions from pre-surgery (e.g., time to next surgery in the active surveillance arms of the CNS Hb and pNET models was assumed equal to time to first surgery).</w:t>
      </w:r>
      <w:r w:rsidR="001D5BD8">
        <w:t xml:space="preserve"> </w:t>
      </w:r>
    </w:p>
    <w:p w14:paraId="799ACE09" w14:textId="07649B52" w:rsidR="00E20F5E" w:rsidRPr="0049394D" w:rsidRDefault="00E20F5E" w:rsidP="00E20F5E">
      <w:pPr>
        <w:pStyle w:val="3-BodyText"/>
      </w:pPr>
      <w:r w:rsidRPr="0049394D">
        <w:t xml:space="preserve">The real-world adjustment for time to </w:t>
      </w:r>
      <w:r w:rsidR="008930FD" w:rsidRPr="0049394D">
        <w:t xml:space="preserve">RCC </w:t>
      </w:r>
      <w:r w:rsidRPr="0049394D">
        <w:t xml:space="preserve">surgeries and time to metastases in the active surveillance arm of the RCC model was calculated by taking the difference between the transition probabilities from the Optum CDM and the VHL-NHS reweighted data for the RCC post-surgery cohort, and adding it to the VHL-NHS reweighted transition probabilities in the RCC model (-0.001 added to time to next surgery, 0.001 to time to metastases from pre-surgery or EFS post-surgery). Time to metastases in the active surveillance arms of the CNS Hb and pNET models was adjusted similarly, with difference between the transition probabilities from the Optum CDM and the VHL-NHS reweighted data for the RCC post-surgery cohort adjusted for the difference in transition to metastases for the VHL-NHS CNS Hb and pNET cohorts compared to the NVHL-NHS RCC cohort. Time to subsequent surgeries in the CNS Hb and pNET models was not adjusted for the Optum CDM data. </w:t>
      </w:r>
      <w:r w:rsidRPr="0049394D">
        <w:rPr>
          <w:iCs/>
        </w:rPr>
        <w:t>Overall, the real-world adjustment resulted in fewer subsequent surgeries in the RCC model, and increased rates of metastatic disease in all models. As an indirect consequence, the increased rates of metastatic disease increased mortality, resulting in reduced overall survival in all models.</w:t>
      </w:r>
      <w:r w:rsidR="00294461" w:rsidRPr="0049394D">
        <w:rPr>
          <w:iCs/>
        </w:rPr>
        <w:t xml:space="preserve"> The </w:t>
      </w:r>
      <w:r w:rsidR="00182DD8" w:rsidRPr="00BF3570">
        <w:t>evaluation considered that the</w:t>
      </w:r>
      <w:r w:rsidR="00182DD8" w:rsidRPr="0049394D">
        <w:rPr>
          <w:iCs/>
        </w:rPr>
        <w:t xml:space="preserve"> </w:t>
      </w:r>
      <w:r w:rsidR="00294461" w:rsidRPr="0049394D">
        <w:rPr>
          <w:iCs/>
        </w:rPr>
        <w:t>real-world adjustment appeared to result in more reasonable overall survival in the models compared to the base cases (without it ~40</w:t>
      </w:r>
      <w:r w:rsidR="00130FBD" w:rsidRPr="0049394D">
        <w:rPr>
          <w:rFonts w:cstheme="minorHAnsi"/>
          <w:iCs/>
        </w:rPr>
        <w:t>−</w:t>
      </w:r>
      <w:r w:rsidR="00294461" w:rsidRPr="0049394D">
        <w:rPr>
          <w:iCs/>
        </w:rPr>
        <w:t>50% patients remained alive by the end of the 40</w:t>
      </w:r>
      <w:r w:rsidR="00CA7E1E" w:rsidRPr="0049394D">
        <w:rPr>
          <w:iCs/>
        </w:rPr>
        <w:t>-</w:t>
      </w:r>
      <w:r w:rsidR="00294461" w:rsidRPr="0049394D">
        <w:rPr>
          <w:iCs/>
        </w:rPr>
        <w:t xml:space="preserve">year time horizon), but applying the change in hazards through addition of the difference between Optum CDM and VHL-NHS </w:t>
      </w:r>
      <w:r w:rsidR="008930FD" w:rsidRPr="0049394D">
        <w:rPr>
          <w:iCs/>
        </w:rPr>
        <w:t xml:space="preserve">was </w:t>
      </w:r>
      <w:r w:rsidR="00CA7E1E" w:rsidRPr="0049394D">
        <w:rPr>
          <w:iCs/>
        </w:rPr>
        <w:t>unlikely to be reasonable. Further,</w:t>
      </w:r>
      <w:r w:rsidR="00294461" w:rsidRPr="0049394D">
        <w:rPr>
          <w:iCs/>
        </w:rPr>
        <w:t xml:space="preserve"> as the underlying Optum CDM data were not provided </w:t>
      </w:r>
      <w:r w:rsidR="00CA7E1E" w:rsidRPr="0049394D">
        <w:rPr>
          <w:iCs/>
        </w:rPr>
        <w:t>n</w:t>
      </w:r>
      <w:r w:rsidR="00294461" w:rsidRPr="0049394D">
        <w:rPr>
          <w:iCs/>
        </w:rPr>
        <w:t>or externally validated,</w:t>
      </w:r>
      <w:r w:rsidR="00CA7E1E" w:rsidRPr="0049394D">
        <w:rPr>
          <w:iCs/>
        </w:rPr>
        <w:t xml:space="preserve"> and the baseline characteristics of the Optum CDM population were not provided,</w:t>
      </w:r>
      <w:r w:rsidR="00294461" w:rsidRPr="0049394D">
        <w:rPr>
          <w:iCs/>
        </w:rPr>
        <w:t xml:space="preserve"> it was not possible to </w:t>
      </w:r>
      <w:r w:rsidR="00CA7E1E" w:rsidRPr="0049394D">
        <w:rPr>
          <w:iCs/>
        </w:rPr>
        <w:t>confirm the reasonableness of the approach.</w:t>
      </w:r>
      <w:r w:rsidR="00294461" w:rsidRPr="0049394D">
        <w:rPr>
          <w:iCs/>
        </w:rPr>
        <w:t xml:space="preserve"> </w:t>
      </w:r>
    </w:p>
    <w:p w14:paraId="42DF3B3C" w14:textId="71A31DA9" w:rsidR="00E20F5E" w:rsidRPr="0049394D" w:rsidRDefault="00E20F5E" w:rsidP="00E20F5E">
      <w:pPr>
        <w:pStyle w:val="3-BodyText"/>
        <w:rPr>
          <w:iCs/>
        </w:rPr>
      </w:pPr>
      <w:r w:rsidRPr="0049394D">
        <w:t>Overall survival in the submission was calculated as the sum of death from pre-surgery, surgery, EFS post-surgery, and metastatic disease states, with real world adjustment. The active surveillance arm transition probabilities for time to death from pre-surgery were based on VHL-NHS data</w:t>
      </w:r>
      <w:r w:rsidR="004D1F9E" w:rsidRPr="0049394D">
        <w:t>.</w:t>
      </w:r>
      <w:r w:rsidRPr="0049394D">
        <w:rPr>
          <w:iCs/>
        </w:rPr>
        <w:t xml:space="preserve"> </w:t>
      </w:r>
      <w:r w:rsidRPr="0049394D">
        <w:t xml:space="preserve">Probability of death from EFS post-surgery states were based on Optum CDM data in the active surveillance arm of the RCC model and assumed equal to the death from pre-surgery state in the CNS Hb and pNET </w:t>
      </w:r>
      <w:r w:rsidRPr="0049394D">
        <w:lastRenderedPageBreak/>
        <w:t xml:space="preserve">models. </w:t>
      </w:r>
      <w:r w:rsidRPr="0049394D">
        <w:rPr>
          <w:iCs/>
        </w:rPr>
        <w:t>No underlying KM data for the Optum CDM data was presented and therefore this could not be validated.</w:t>
      </w:r>
    </w:p>
    <w:p w14:paraId="08F05254" w14:textId="4A7E1861" w:rsidR="00E20F5E" w:rsidRPr="0049394D" w:rsidRDefault="00E20F5E" w:rsidP="00E20F5E">
      <w:pPr>
        <w:pStyle w:val="3-BodyText"/>
        <w:rPr>
          <w:iCs/>
        </w:rPr>
      </w:pPr>
      <w:bookmarkStart w:id="66" w:name="_Ref172282252"/>
      <w:r w:rsidRPr="0049394D">
        <w:t>Time on belzutifan was extrapolated by fitting 7 parametric distributions to the data (exponential, Weibull, Gompertz, log-normal, log-logistic, generalised gamma and gamma) to the time on belzutifan KM data for the whole LS-004 cohort (</w:t>
      </w:r>
      <w:r>
        <w:fldChar w:fldCharType="begin" w:fldLock="1"/>
      </w:r>
      <w:r>
        <w:instrText xml:space="preserve"> REF _Ref166443209 </w:instrText>
      </w:r>
      <w:r>
        <w:fldChar w:fldCharType="separate"/>
      </w:r>
      <w:r w:rsidR="00437B51" w:rsidRPr="0049394D">
        <w:t xml:space="preserve">Figure </w:t>
      </w:r>
      <w:r w:rsidR="00437B51">
        <w:rPr>
          <w:noProof/>
        </w:rPr>
        <w:t>6</w:t>
      </w:r>
      <w:r>
        <w:rPr>
          <w:noProof/>
        </w:rPr>
        <w:fldChar w:fldCharType="end"/>
      </w:r>
      <w:r w:rsidRPr="0049394D">
        <w:t>)</w:t>
      </w:r>
      <w:r w:rsidR="007C7610" w:rsidRPr="0049394D">
        <w:t xml:space="preserve">. </w:t>
      </w:r>
      <w:r w:rsidR="00B92B8F">
        <w:t>T</w:t>
      </w:r>
      <w:r w:rsidR="007C7610" w:rsidRPr="0049394D">
        <w:t>he</w:t>
      </w:r>
      <w:r w:rsidRPr="0049394D">
        <w:t xml:space="preserve"> Weibull distribution was chosen as it had second best statistical fit and yielded moderate time on treatment projections </w:t>
      </w:r>
      <w:r w:rsidR="008C077D" w:rsidRPr="0049394D">
        <w:t>(‘</w:t>
      </w:r>
      <w:r w:rsidRPr="0049394D">
        <w:t>Appendices LS-004 V1 Submission.docx</w:t>
      </w:r>
      <w:r w:rsidR="004359C3" w:rsidRPr="0049394D">
        <w:t>’</w:t>
      </w:r>
      <w:r w:rsidRPr="0049394D">
        <w:t>).</w:t>
      </w:r>
      <w:bookmarkEnd w:id="66"/>
    </w:p>
    <w:p w14:paraId="069318B7" w14:textId="0B3F3C0B" w:rsidR="00E20F5E" w:rsidRPr="0049394D" w:rsidRDefault="00E20F5E" w:rsidP="00E20F5E">
      <w:pPr>
        <w:pStyle w:val="TableFigureHeading"/>
      </w:pPr>
      <w:bookmarkStart w:id="67" w:name="_Ref166443209"/>
      <w:r w:rsidRPr="0049394D">
        <w:t xml:space="preserve">Figure </w:t>
      </w:r>
      <w:r>
        <w:fldChar w:fldCharType="begin" w:fldLock="1"/>
      </w:r>
      <w:r>
        <w:instrText xml:space="preserve"> SEQ Figure \* ARABIC </w:instrText>
      </w:r>
      <w:r>
        <w:fldChar w:fldCharType="separate"/>
      </w:r>
      <w:r w:rsidR="00437B51">
        <w:rPr>
          <w:noProof/>
        </w:rPr>
        <w:t>6</w:t>
      </w:r>
      <w:r>
        <w:rPr>
          <w:noProof/>
        </w:rPr>
        <w:fldChar w:fldCharType="end"/>
      </w:r>
      <w:bookmarkEnd w:id="67"/>
      <w:r w:rsidRPr="0049394D">
        <w:t>: Time on belzutifan extrapolations</w:t>
      </w:r>
    </w:p>
    <w:p w14:paraId="5427E0CC" w14:textId="77777777" w:rsidR="00E20F5E" w:rsidRPr="0049394D" w:rsidRDefault="00E20F5E" w:rsidP="00E20F5E">
      <w:r w:rsidRPr="0049394D">
        <w:rPr>
          <w:noProof/>
        </w:rPr>
        <w:drawing>
          <wp:inline distT="0" distB="0" distL="0" distR="0" wp14:anchorId="659D05A8" wp14:editId="17B58C92">
            <wp:extent cx="5580000" cy="3645605"/>
            <wp:effectExtent l="0" t="0" r="1905" b="0"/>
            <wp:docPr id="10" name="Picture 10" descr="Figure 6: Time on belzutifan extrapo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6: Time on belzutifan extrapolati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0000" cy="3645605"/>
                    </a:xfrm>
                    <a:prstGeom prst="rect">
                      <a:avLst/>
                    </a:prstGeom>
                    <a:noFill/>
                  </pic:spPr>
                </pic:pic>
              </a:graphicData>
            </a:graphic>
          </wp:inline>
        </w:drawing>
      </w:r>
    </w:p>
    <w:p w14:paraId="18E7D46B" w14:textId="77777777" w:rsidR="00E20F5E" w:rsidRPr="0049394D" w:rsidRDefault="00E20F5E" w:rsidP="00E20F5E">
      <w:pPr>
        <w:pStyle w:val="TableFigureFooter"/>
      </w:pPr>
      <w:r w:rsidRPr="0049394D">
        <w:t>Source: compiled during the evaluation</w:t>
      </w:r>
    </w:p>
    <w:p w14:paraId="10CCCC57" w14:textId="77777777" w:rsidR="00E20F5E" w:rsidRPr="0049394D" w:rsidRDefault="00E20F5E" w:rsidP="00E20F5E">
      <w:pPr>
        <w:pStyle w:val="TableFigureFooter"/>
      </w:pPr>
      <w:r w:rsidRPr="0049394D">
        <w:t>KM=Kaplan-Meier</w:t>
      </w:r>
    </w:p>
    <w:p w14:paraId="1BC7D350" w14:textId="1444511F" w:rsidR="00E20F5E" w:rsidRPr="0049394D" w:rsidRDefault="00E20F5E" w:rsidP="00AC294F">
      <w:pPr>
        <w:pStyle w:val="3-BodyText"/>
      </w:pPr>
      <w:bookmarkStart w:id="68" w:name="_Ref169532159"/>
      <w:bookmarkStart w:id="69" w:name="_Ref172880588"/>
      <w:bookmarkStart w:id="70" w:name="_Ref173162275"/>
      <w:r w:rsidRPr="00BF3570">
        <w:t>T</w:t>
      </w:r>
      <w:r w:rsidR="007C7610" w:rsidRPr="00BF3570">
        <w:t xml:space="preserve">he </w:t>
      </w:r>
      <w:r w:rsidR="003A1273" w:rsidRPr="00BF3570">
        <w:t>ESC</w:t>
      </w:r>
      <w:r w:rsidR="007C7610" w:rsidRPr="00BF3570">
        <w:t xml:space="preserve"> considered that</w:t>
      </w:r>
      <w:r w:rsidR="007C7610" w:rsidRPr="0049394D">
        <w:rPr>
          <w:iCs/>
        </w:rPr>
        <w:t xml:space="preserve"> t</w:t>
      </w:r>
      <w:r w:rsidRPr="0049394D">
        <w:rPr>
          <w:iCs/>
        </w:rPr>
        <w:t>ime on treatment was likely underestimated in the model. The extrapolations in the submission utilised the whole of the follow up period from LS-004, but there was a significant decrease in patients remaining on treatment towards the end of the follow up period. If events beyond Week 162 were censored (e.g., the period where the number at risk is &gt;50% of the total number patients in LS-004), the extrapolations resulted in a longer time on treatment (</w:t>
      </w:r>
      <w:r w:rsidR="007B1AD0" w:rsidRPr="0049394D">
        <w:rPr>
          <w:iCs/>
        </w:rPr>
        <w:fldChar w:fldCharType="begin" w:fldLock="1"/>
      </w:r>
      <w:r w:rsidR="007B1AD0" w:rsidRPr="0049394D">
        <w:rPr>
          <w:iCs/>
        </w:rPr>
        <w:instrText xml:space="preserve"> REF _Ref166443209 </w:instrText>
      </w:r>
      <w:r w:rsidR="0063452D" w:rsidRPr="0049394D">
        <w:rPr>
          <w:iCs/>
        </w:rPr>
        <w:instrText xml:space="preserve"> \* MERGEFORMAT </w:instrText>
      </w:r>
      <w:r w:rsidR="007B1AD0" w:rsidRPr="0049394D">
        <w:rPr>
          <w:iCs/>
        </w:rPr>
        <w:fldChar w:fldCharType="separate"/>
      </w:r>
      <w:r w:rsidR="00437B51" w:rsidRPr="00437B51">
        <w:rPr>
          <w:iCs/>
        </w:rPr>
        <w:t xml:space="preserve">Figure </w:t>
      </w:r>
      <w:r w:rsidR="00437B51" w:rsidRPr="00437B51">
        <w:rPr>
          <w:iCs/>
          <w:noProof/>
        </w:rPr>
        <w:t>6</w:t>
      </w:r>
      <w:r w:rsidR="007B1AD0" w:rsidRPr="0049394D">
        <w:rPr>
          <w:iCs/>
          <w:noProof/>
        </w:rPr>
        <w:fldChar w:fldCharType="end"/>
      </w:r>
      <w:r w:rsidRPr="0049394D">
        <w:rPr>
          <w:iCs/>
        </w:rPr>
        <w:t>).</w:t>
      </w:r>
      <w:r w:rsidR="00D32D91" w:rsidRPr="00BF3570">
        <w:t xml:space="preserve"> The resulting mean time on treatment in the models was 4.52</w:t>
      </w:r>
      <w:r w:rsidR="00D32D91" w:rsidRPr="00BF3570">
        <w:rPr>
          <w:rFonts w:cstheme="minorHAnsi"/>
        </w:rPr>
        <w:t>−</w:t>
      </w:r>
      <w:r w:rsidR="00D32D91" w:rsidRPr="00BF3570">
        <w:t xml:space="preserve">4.57 years, and assumed once in a lifetime treatment, </w:t>
      </w:r>
      <w:r w:rsidR="00A9590E" w:rsidRPr="00BF3570">
        <w:t>however</w:t>
      </w:r>
      <w:r w:rsidR="00D32D91" w:rsidRPr="00BF3570">
        <w:t xml:space="preserve"> the current restriction allows patients to remain on treatment until metastatic disease. </w:t>
      </w:r>
      <w:r w:rsidR="007C7610" w:rsidRPr="0049394D">
        <w:rPr>
          <w:iCs/>
        </w:rPr>
        <w:t xml:space="preserve">If treatment discontinuation occurred </w:t>
      </w:r>
      <w:r w:rsidR="007C7610" w:rsidRPr="0093402D">
        <w:rPr>
          <w:iCs/>
        </w:rPr>
        <w:t>only</w:t>
      </w:r>
      <w:r w:rsidR="007C7610" w:rsidRPr="0049394D">
        <w:rPr>
          <w:iCs/>
          <w:u w:val="single"/>
        </w:rPr>
        <w:t xml:space="preserve"> </w:t>
      </w:r>
      <w:r w:rsidR="007C7610" w:rsidRPr="0049394D">
        <w:rPr>
          <w:iCs/>
        </w:rPr>
        <w:t xml:space="preserve">when patients transitioned to the metastatic health states </w:t>
      </w:r>
      <w:r w:rsidR="008B3BB1" w:rsidRPr="00BE323C">
        <w:rPr>
          <w:iCs/>
        </w:rPr>
        <w:t xml:space="preserve">(i.e., no treatment discontinuation occurred in the pre-surgery, surgery or, event free survival post-surgery health states) </w:t>
      </w:r>
      <w:r w:rsidR="007C7610" w:rsidRPr="0049394D">
        <w:rPr>
          <w:iCs/>
        </w:rPr>
        <w:t xml:space="preserve">the ICER increased to </w:t>
      </w:r>
      <w:r w:rsidR="00D11B16" w:rsidRPr="00BE323C">
        <w:rPr>
          <w:iCs/>
        </w:rPr>
        <w:t>$</w:t>
      </w:r>
      <w:r w:rsidR="002E4FB7" w:rsidRPr="002E4FB7">
        <w:rPr>
          <w:iCs/>
        </w:rPr>
        <w:t>355,000 to &lt; $455,000</w:t>
      </w:r>
      <w:r w:rsidR="00D11B16" w:rsidRPr="00BE323C">
        <w:rPr>
          <w:iCs/>
        </w:rPr>
        <w:t>, $</w:t>
      </w:r>
      <w:r w:rsidR="002E4FB7" w:rsidRPr="002E4FB7">
        <w:rPr>
          <w:iCs/>
        </w:rPr>
        <w:t>255,000 to &lt; $355,000</w:t>
      </w:r>
      <w:r w:rsidR="00D11B16" w:rsidRPr="00BE323C">
        <w:rPr>
          <w:iCs/>
        </w:rPr>
        <w:t>, $</w:t>
      </w:r>
      <w:r w:rsidR="002E4FB7" w:rsidRPr="002E4FB7">
        <w:rPr>
          <w:iCs/>
        </w:rPr>
        <w:t>255,000 to &lt; $355,000</w:t>
      </w:r>
      <w:r w:rsidR="00F96C75">
        <w:rPr>
          <w:iCs/>
        </w:rPr>
        <w:t xml:space="preserve"> </w:t>
      </w:r>
      <w:r w:rsidR="00D11B16" w:rsidRPr="00BE323C">
        <w:rPr>
          <w:iCs/>
        </w:rPr>
        <w:t xml:space="preserve">per QALY gained in the RCC, CNS Hb and pNET </w:t>
      </w:r>
      <w:r w:rsidR="00D11B16" w:rsidRPr="00BE323C">
        <w:rPr>
          <w:iCs/>
        </w:rPr>
        <w:lastRenderedPageBreak/>
        <w:t>models respectively</w:t>
      </w:r>
      <w:r w:rsidR="00D11B16">
        <w:rPr>
          <w:iCs/>
        </w:rPr>
        <w:t xml:space="preserve">. </w:t>
      </w:r>
      <w:r w:rsidR="00D32D91" w:rsidRPr="00BF3570">
        <w:t xml:space="preserve"> </w:t>
      </w:r>
      <w:r w:rsidR="00D11B16" w:rsidRPr="00BE323C">
        <w:rPr>
          <w:iCs/>
        </w:rPr>
        <w:t xml:space="preserve">As time on treatment and time in the health states were linked in the base case, this sensitivity analysis required the removal of the treatment waning effect and likely overestimated both mean time in non-metastatic disease and time on treatment (29.9 years in the RCC model, 32.2 years in the CNS Hb model, 31.5 years in the pNET model). </w:t>
      </w:r>
      <w:r w:rsidR="00341769" w:rsidRPr="00BF3570">
        <w:t xml:space="preserve">The </w:t>
      </w:r>
      <w:r w:rsidR="008C077D" w:rsidRPr="00BF3570">
        <w:t>PSCR stated</w:t>
      </w:r>
      <w:r w:rsidR="00AC294F" w:rsidRPr="00BF3570">
        <w:t xml:space="preserve"> </w:t>
      </w:r>
      <w:r w:rsidR="00341769" w:rsidRPr="00BF3570">
        <w:t>that retreatment was not modelled to limit complexity in the model structure</w:t>
      </w:r>
      <w:r w:rsidR="00AC294F" w:rsidRPr="00BF3570">
        <w:t xml:space="preserve"> </w:t>
      </w:r>
      <w:r w:rsidR="00A9590E" w:rsidRPr="00BF3570">
        <w:t>and</w:t>
      </w:r>
      <w:r w:rsidR="00AC294F" w:rsidRPr="00BF3570">
        <w:t xml:space="preserve"> also </w:t>
      </w:r>
      <w:r w:rsidR="00C3249B" w:rsidRPr="00BF3570">
        <w:t>claimed that</w:t>
      </w:r>
      <w:r w:rsidR="00AC294F" w:rsidRPr="00BF3570">
        <w:t xml:space="preserve"> time on treatment was not underestimated in the model and was reflective of practice in Australia. </w:t>
      </w:r>
      <w:r w:rsidR="0003157A" w:rsidRPr="00BF3570">
        <w:t>T</w:t>
      </w:r>
      <w:r w:rsidR="00D32D91" w:rsidRPr="00BF3570">
        <w:t>he ESC considered time on treatment in practice remains uncertain, particularly for a different population of patients (e.g. younger patients, patients without a history of surgery, patients with only CNS Hb or pNETs), for which no data exists.</w:t>
      </w:r>
      <w:bookmarkEnd w:id="68"/>
      <w:r w:rsidR="003A1273" w:rsidRPr="00BF3570">
        <w:t xml:space="preserve"> The ESC considered that </w:t>
      </w:r>
      <w:r w:rsidR="005C431C" w:rsidRPr="00BF3570">
        <w:t>patients</w:t>
      </w:r>
      <w:r w:rsidR="003A1273" w:rsidRPr="00BF3570">
        <w:t xml:space="preserve"> in practice would </w:t>
      </w:r>
      <w:r w:rsidR="001A76CE" w:rsidRPr="00BF3570">
        <w:t>likely remain on treatment indefinitely provided there was a perceived benefit of doing so, including after surgery, until the development of metastatic disease or unacceptable toxicity, and considered that this use was not reflected in the base case of the economic model.</w:t>
      </w:r>
      <w:r w:rsidR="00EB7F58">
        <w:t xml:space="preserve"> The pre-PBAC response provided a </w:t>
      </w:r>
      <w:r w:rsidR="00AB367C">
        <w:t>revised modell</w:t>
      </w:r>
      <w:r w:rsidR="004B652E">
        <w:t>ing</w:t>
      </w:r>
      <w:r w:rsidR="00AB367C">
        <w:t xml:space="preserve"> analysis for PBAC consideration that included amendment to the</w:t>
      </w:r>
      <w:r w:rsidR="00EB7F58">
        <w:t xml:space="preserve"> time on treatment with </w:t>
      </w:r>
      <w:r w:rsidR="00EB7F58" w:rsidRPr="00EB7F58">
        <w:t>treatment discontinuation only occur</w:t>
      </w:r>
      <w:r w:rsidR="00EB7F58">
        <w:t>ring</w:t>
      </w:r>
      <w:r w:rsidR="00EB7F58" w:rsidRPr="00EB7F58">
        <w:t xml:space="preserve"> once patients develop metastases</w:t>
      </w:r>
      <w:r w:rsidR="00AB367C">
        <w:t>. This revision was aligned with the sensitivity analysis undertaken by the evaluation</w:t>
      </w:r>
      <w:r w:rsidR="00EB7F58" w:rsidRPr="00EB7F58">
        <w:t>.</w:t>
      </w:r>
      <w:r w:rsidR="00EB7F58">
        <w:t xml:space="preserve"> </w:t>
      </w:r>
      <w:r w:rsidR="00AB367C">
        <w:t>As stated above this</w:t>
      </w:r>
      <w:r w:rsidR="00EB7F58">
        <w:t xml:space="preserve"> extended </w:t>
      </w:r>
      <w:r w:rsidR="00436191">
        <w:t xml:space="preserve">the </w:t>
      </w:r>
      <w:r w:rsidR="00EB7F58">
        <w:t xml:space="preserve">modelled time on treatment to </w:t>
      </w:r>
      <w:r w:rsidR="00436191">
        <w:t>between</w:t>
      </w:r>
      <w:r w:rsidR="00EB7F58">
        <w:t xml:space="preserve"> </w:t>
      </w:r>
      <w:r w:rsidR="00436191" w:rsidRPr="00436191">
        <w:t>29.9 to 32.2 years</w:t>
      </w:r>
      <w:r w:rsidR="00436191">
        <w:t>.</w:t>
      </w:r>
      <w:bookmarkEnd w:id="69"/>
      <w:r w:rsidR="00436191">
        <w:t xml:space="preserve"> </w:t>
      </w:r>
      <w:r w:rsidR="000705E7">
        <w:t>The pre-PBAC response considered the extended treatment duration to be a biased overestimate.</w:t>
      </w:r>
      <w:bookmarkEnd w:id="70"/>
    </w:p>
    <w:p w14:paraId="5C027642" w14:textId="1BE8DC38" w:rsidR="00E20F5E" w:rsidRPr="0049394D" w:rsidRDefault="00E20F5E" w:rsidP="00E20F5E">
      <w:pPr>
        <w:pStyle w:val="3-BodyText"/>
      </w:pPr>
      <w:r w:rsidRPr="0049394D">
        <w:t>In the belzutifan arms of every model, treatment waning was applied for discontinued patients beyond Year 3.84</w:t>
      </w:r>
      <w:r w:rsidR="00CA7E1E" w:rsidRPr="0049394D">
        <w:t>. B</w:t>
      </w:r>
      <w:r w:rsidRPr="0049394D">
        <w:t>etween Year</w:t>
      </w:r>
      <w:r w:rsidR="00CA7E1E" w:rsidRPr="0049394D">
        <w:t>s</w:t>
      </w:r>
      <w:r w:rsidRPr="0049394D">
        <w:t xml:space="preserve"> 3.84 and 6.55 </w:t>
      </w:r>
      <w:r w:rsidR="00CA7E1E" w:rsidRPr="0049394D">
        <w:t>discontinued patie</w:t>
      </w:r>
      <w:r w:rsidR="0011700D" w:rsidRPr="0049394D">
        <w:t>n</w:t>
      </w:r>
      <w:r w:rsidR="00CA7E1E" w:rsidRPr="0049394D">
        <w:t>ts were assumed to have transitions equal to a weighted average of the on treatment and active surveillance arm transitions, with the weights changing linearly over time (e.g. at Year 3.84 100% discontinued patients were modelled as on treatment, 0% as the active surveillance arm; and at Year 6.55 0% discontinued patients were modelled as on treatment, 100% as the active surveillance arm)</w:t>
      </w:r>
      <w:r w:rsidRPr="0049394D">
        <w:t>. From Year 6.55 all discontinued patients were assumed to have transitions equal to the active surveillance arm. Year 3.84</w:t>
      </w:r>
      <w:r w:rsidR="00CD1A2E" w:rsidRPr="0049394D">
        <w:t xml:space="preserve"> was chosen as the start of the treatment waning period as it</w:t>
      </w:r>
      <w:r w:rsidRPr="0049394D">
        <w:t xml:space="preserve"> represented the length of LS-004 follow up and Year 6.55 was</w:t>
      </w:r>
      <w:r w:rsidR="00CD1A2E" w:rsidRPr="0049394D">
        <w:t xml:space="preserve"> chosen as the end of the treatment waning period</w:t>
      </w:r>
      <w:r w:rsidRPr="0049394D">
        <w:t xml:space="preserve"> based on </w:t>
      </w:r>
      <w:r w:rsidR="00CD1A2E" w:rsidRPr="0049394D">
        <w:t xml:space="preserve">the </w:t>
      </w:r>
      <w:r w:rsidRPr="0049394D">
        <w:t>estimated return to pre-belzutifan linear growth rates</w:t>
      </w:r>
      <w:r w:rsidR="00CD1A2E" w:rsidRPr="0049394D">
        <w:t xml:space="preserve"> for RCC tumours</w:t>
      </w:r>
      <w:r w:rsidRPr="0049394D">
        <w:t xml:space="preserve">. Treatment waning was applied throughout the models to time to surgery, time to metastases, time to death, utilities and ‘other’ tumour surgery probabilities. </w:t>
      </w:r>
      <w:r w:rsidRPr="0049394D">
        <w:rPr>
          <w:iCs/>
        </w:rPr>
        <w:t>If no benefit was assumed for patients off treatment after the trial period the ICERs in all models increase</w:t>
      </w:r>
      <w:r w:rsidR="00E8554B" w:rsidRPr="0049394D">
        <w:rPr>
          <w:iCs/>
        </w:rPr>
        <w:t>d</w:t>
      </w:r>
      <w:r w:rsidRPr="0049394D">
        <w:rPr>
          <w:iCs/>
        </w:rPr>
        <w:t xml:space="preserve"> ~15%, e.g., the RCC model ICER increased from $</w:t>
      </w:r>
      <w:r w:rsidR="002E4FB7" w:rsidRPr="002E4FB7">
        <w:rPr>
          <w:iCs/>
        </w:rPr>
        <w:t>155,000 to &lt; $255,000</w:t>
      </w:r>
      <w:r w:rsidRPr="0049394D">
        <w:rPr>
          <w:iCs/>
        </w:rPr>
        <w:t xml:space="preserve"> in the base case to $</w:t>
      </w:r>
      <w:r w:rsidR="002E4FB7" w:rsidRPr="002E4FB7">
        <w:rPr>
          <w:iCs/>
        </w:rPr>
        <w:t>255,000 to &lt; $355,000</w:t>
      </w:r>
      <w:r w:rsidR="00F96C75">
        <w:rPr>
          <w:iCs/>
        </w:rPr>
        <w:t xml:space="preserve"> </w:t>
      </w:r>
      <w:r w:rsidRPr="0049394D">
        <w:rPr>
          <w:iCs/>
        </w:rPr>
        <w:t>per QALY gained.</w:t>
      </w:r>
    </w:p>
    <w:p w14:paraId="657FA5C7" w14:textId="3D1714F6" w:rsidR="00E20F5E" w:rsidRPr="0049394D" w:rsidRDefault="00E20F5E" w:rsidP="00E20F5E">
      <w:pPr>
        <w:pStyle w:val="3-BodyText"/>
      </w:pPr>
      <w:r w:rsidRPr="0049394D">
        <w:t>As well as transition probabilities, each model captured per cycle event probabilities for ’other’ tumour surgeries in the non-specified body system (i.e. surgery for CNS Hb, pNET, retinal Hb, adrenal lesion, endolymphatic sac, and epididymal cystadenoma</w:t>
      </w:r>
      <w:r w:rsidRPr="0049394D" w:rsidDel="00A1491A">
        <w:t xml:space="preserve"> </w:t>
      </w:r>
      <w:r w:rsidRPr="0049394D">
        <w:t>in the RCC model), and two AEs for the belzutifan arm (</w:t>
      </w:r>
      <w:r w:rsidR="00CD1A2E" w:rsidRPr="0049394D">
        <w:t xml:space="preserve">one-off probabilities of </w:t>
      </w:r>
      <w:r w:rsidRPr="0049394D">
        <w:t>11.5% anaemia and 4.9% fatigue, based on LS-004 data</w:t>
      </w:r>
      <w:r w:rsidR="005B033C" w:rsidRPr="0049394D">
        <w:t xml:space="preserve"> serious adverse events</w:t>
      </w:r>
      <w:r w:rsidRPr="0049394D">
        <w:t xml:space="preserve"> </w:t>
      </w:r>
      <w:r w:rsidR="005B033C" w:rsidRPr="0049394D">
        <w:t>[</w:t>
      </w:r>
      <w:r w:rsidRPr="0049394D">
        <w:t>SAEs</w:t>
      </w:r>
      <w:r w:rsidR="005B033C" w:rsidRPr="0049394D">
        <w:t>]</w:t>
      </w:r>
      <w:r w:rsidRPr="0049394D">
        <w:t xml:space="preserve"> grade </w:t>
      </w:r>
      <w:r w:rsidRPr="0049394D">
        <w:lastRenderedPageBreak/>
        <w:t xml:space="preserve">3-5). ‘Other’ tumour surgery probabilities each cycle were based on LS-004 (pre and post-treatment periods) and VHL-NHS reweighted RCC data, with the probabilities adjusted in the CNS Hb and pNET models for 36.8% of patients in the QoL Disease Burden Study who had CNS Hb or pNET but not RCC. Surgical complications were applied for both the model body system and ‘other’ tumours. The rate of short and long-term complications was based on Optum CDM 28 day (short-term) and 180 day (long-term) follow up, short-term complications applied for one cycle and long-term complications for the lifetime of the patients (or to the end of the time horizon). </w:t>
      </w:r>
      <w:r w:rsidRPr="0049394D">
        <w:rPr>
          <w:iCs/>
        </w:rPr>
        <w:t>The effect of long-term complications was therefore extrapolated far beyond the 180 days of follow up from Optum CDM.</w:t>
      </w:r>
    </w:p>
    <w:p w14:paraId="2A6D0D0B" w14:textId="605E38FC" w:rsidR="006B55B7" w:rsidRPr="006B55B7" w:rsidRDefault="00E20F5E" w:rsidP="00E20F5E">
      <w:pPr>
        <w:pStyle w:val="3-BodyText"/>
      </w:pPr>
      <w:bookmarkStart w:id="71" w:name="_Ref169274335"/>
      <w:r w:rsidRPr="00E47776">
        <w:rPr>
          <w:iCs/>
        </w:rPr>
        <w:t>‘Other’ tumour surgeries accounted for the largest number of surgeries in either arm of the model (in the RCC model 2.95 ‘other’ tumour surgeries occurred in the belzutifan arm, compared to 0.98 RCC surgeries; and similarly</w:t>
      </w:r>
      <w:r w:rsidR="00E8554B" w:rsidRPr="00E47776">
        <w:rPr>
          <w:iCs/>
        </w:rPr>
        <w:t>,</w:t>
      </w:r>
      <w:r w:rsidRPr="00E47776">
        <w:rPr>
          <w:iCs/>
        </w:rPr>
        <w:t xml:space="preserve"> 3.15 ’other’ tumour surgeries versus 1.01 RCC surgeries in the active surveillance arm). </w:t>
      </w:r>
      <w:r w:rsidR="00E36A92" w:rsidRPr="00E47776">
        <w:rPr>
          <w:iCs/>
        </w:rPr>
        <w:t>The ESC noted that in all models, reduction in ‘other’ tumour surgeries represented the majority of the overall reduction in tumour surgeries (89% in the RCC model, 62% in the CNS Hb model and 97.4% in the pNET model) and were a key driver of the model despite not directly affecting survival or transitions through the health states.</w:t>
      </w:r>
      <w:r w:rsidR="00E36A92" w:rsidRPr="0049394D">
        <w:t xml:space="preserve"> </w:t>
      </w:r>
      <w:r w:rsidR="00E36A92" w:rsidRPr="00E47776">
        <w:rPr>
          <w:iCs/>
        </w:rPr>
        <w:t xml:space="preserve">The ESC considered that this was inappropriate and advised that ‘other’ tumour surgeries should be incorporated into the transition probabilities and model structure. </w:t>
      </w:r>
      <w:bookmarkEnd w:id="71"/>
      <w:r w:rsidRPr="00E47776">
        <w:rPr>
          <w:iCs/>
        </w:rPr>
        <w:t>If ‘other’ tumour surgeries were removed from the model, the ICER increased from $</w:t>
      </w:r>
      <w:r w:rsidR="002E4FB7" w:rsidRPr="002E4FB7">
        <w:rPr>
          <w:iCs/>
        </w:rPr>
        <w:t>155,000 to &lt; $255,000</w:t>
      </w:r>
      <w:r w:rsidR="00F96C75">
        <w:rPr>
          <w:iCs/>
        </w:rPr>
        <w:t xml:space="preserve"> </w:t>
      </w:r>
      <w:r w:rsidRPr="00E47776">
        <w:rPr>
          <w:iCs/>
        </w:rPr>
        <w:t>per QALY gained in the RCC model base case to $</w:t>
      </w:r>
      <w:r w:rsidR="002E4FB7" w:rsidRPr="002E4FB7">
        <w:rPr>
          <w:iCs/>
        </w:rPr>
        <w:t>255,000 to &lt; $355,000</w:t>
      </w:r>
      <w:r w:rsidR="002E4FB7" w:rsidRPr="002E4FB7" w:rsidDel="002E4FB7">
        <w:rPr>
          <w:iCs/>
        </w:rPr>
        <w:t xml:space="preserve"> </w:t>
      </w:r>
      <w:r w:rsidRPr="00E47776">
        <w:rPr>
          <w:iCs/>
        </w:rPr>
        <w:t>(CNS Hb model: $</w:t>
      </w:r>
      <w:r w:rsidR="002E4FB7" w:rsidRPr="002E4FB7">
        <w:rPr>
          <w:iCs/>
        </w:rPr>
        <w:t>155,000 to &lt; $255,000</w:t>
      </w:r>
      <w:r w:rsidR="00F96C75">
        <w:rPr>
          <w:iCs/>
        </w:rPr>
        <w:t xml:space="preserve"> </w:t>
      </w:r>
      <w:r w:rsidRPr="00E47776">
        <w:rPr>
          <w:iCs/>
        </w:rPr>
        <w:t>to $</w:t>
      </w:r>
      <w:r w:rsidR="002E4FB7" w:rsidRPr="002E4FB7">
        <w:rPr>
          <w:iCs/>
        </w:rPr>
        <w:t>255,000 to &lt; $355,000</w:t>
      </w:r>
      <w:r w:rsidR="00F96C75">
        <w:rPr>
          <w:iCs/>
        </w:rPr>
        <w:t xml:space="preserve"> </w:t>
      </w:r>
      <w:r w:rsidRPr="00E47776">
        <w:rPr>
          <w:iCs/>
        </w:rPr>
        <w:t>per QALY gained; pNET model: $</w:t>
      </w:r>
      <w:r w:rsidR="002E4FB7" w:rsidRPr="002E4FB7">
        <w:rPr>
          <w:iCs/>
        </w:rPr>
        <w:t>155,000 to &lt; $255,000</w:t>
      </w:r>
      <w:r w:rsidR="00F96C75">
        <w:rPr>
          <w:iCs/>
        </w:rPr>
        <w:t xml:space="preserve"> </w:t>
      </w:r>
      <w:r w:rsidRPr="00E47776">
        <w:rPr>
          <w:iCs/>
        </w:rPr>
        <w:t>to $</w:t>
      </w:r>
      <w:r w:rsidR="002E4FB7" w:rsidRPr="002E4FB7">
        <w:rPr>
          <w:iCs/>
        </w:rPr>
        <w:t>155,000 to &lt; $255,000</w:t>
      </w:r>
      <w:r w:rsidR="00F96C75">
        <w:rPr>
          <w:iCs/>
        </w:rPr>
        <w:t xml:space="preserve"> </w:t>
      </w:r>
      <w:r w:rsidRPr="00E47776">
        <w:rPr>
          <w:iCs/>
        </w:rPr>
        <w:t>per QALY gained).</w:t>
      </w:r>
      <w:r w:rsidR="00360F05" w:rsidRPr="00E47776">
        <w:rPr>
          <w:iCs/>
        </w:rPr>
        <w:t xml:space="preserve"> The</w:t>
      </w:r>
      <w:r w:rsidR="00E47776" w:rsidRPr="00E47776">
        <w:rPr>
          <w:iCs/>
        </w:rPr>
        <w:t xml:space="preserve"> pre-PBAC</w:t>
      </w:r>
      <w:r w:rsidR="00360F05" w:rsidRPr="00E47776">
        <w:rPr>
          <w:iCs/>
        </w:rPr>
        <w:t xml:space="preserve"> </w:t>
      </w:r>
      <w:r w:rsidR="008C077D" w:rsidRPr="00E47776">
        <w:rPr>
          <w:iCs/>
        </w:rPr>
        <w:t>response argued</w:t>
      </w:r>
      <w:r w:rsidR="00360F05" w:rsidRPr="00E47776">
        <w:rPr>
          <w:iCs/>
        </w:rPr>
        <w:t xml:space="preserve"> that </w:t>
      </w:r>
      <w:r w:rsidR="00E47776" w:rsidRPr="00630355">
        <w:rPr>
          <w:iCs/>
        </w:rPr>
        <w:t xml:space="preserve">VHL disease </w:t>
      </w:r>
      <w:r w:rsidR="00E47776">
        <w:rPr>
          <w:iCs/>
        </w:rPr>
        <w:t>causes</w:t>
      </w:r>
      <w:r w:rsidR="00E47776" w:rsidRPr="00630355">
        <w:rPr>
          <w:iCs/>
        </w:rPr>
        <w:t xml:space="preserve"> the manifestation of multiple tumour types</w:t>
      </w:r>
      <w:r w:rsidR="00E47776">
        <w:rPr>
          <w:iCs/>
        </w:rPr>
        <w:t xml:space="preserve"> </w:t>
      </w:r>
      <w:r w:rsidR="00E47776">
        <w:t xml:space="preserve">and </w:t>
      </w:r>
      <w:r w:rsidR="00E47776">
        <w:rPr>
          <w:iCs/>
        </w:rPr>
        <w:t>removing</w:t>
      </w:r>
      <w:r w:rsidR="00360F05" w:rsidRPr="00E47776">
        <w:rPr>
          <w:iCs/>
        </w:rPr>
        <w:t xml:space="preserve"> non-target tumours </w:t>
      </w:r>
      <w:r w:rsidR="00E47776">
        <w:rPr>
          <w:iCs/>
        </w:rPr>
        <w:t xml:space="preserve">from the economic model </w:t>
      </w:r>
      <w:r w:rsidR="00360F05" w:rsidRPr="00E47776">
        <w:rPr>
          <w:iCs/>
        </w:rPr>
        <w:t>would</w:t>
      </w:r>
      <w:r w:rsidR="00E47776">
        <w:rPr>
          <w:iCs/>
        </w:rPr>
        <w:t xml:space="preserve"> </w:t>
      </w:r>
      <w:r w:rsidR="00360F05" w:rsidRPr="00E47776">
        <w:rPr>
          <w:iCs/>
        </w:rPr>
        <w:t>bias against belzutifan and underestimate the incremental benefit</w:t>
      </w:r>
      <w:r w:rsidR="00E47776">
        <w:rPr>
          <w:iCs/>
        </w:rPr>
        <w:t>.</w:t>
      </w:r>
      <w:r w:rsidR="006B55B7">
        <w:rPr>
          <w:iCs/>
        </w:rPr>
        <w:t xml:space="preserve"> </w:t>
      </w:r>
    </w:p>
    <w:p w14:paraId="5D93346E" w14:textId="13E19E3A" w:rsidR="00E20F5E" w:rsidRPr="0049394D" w:rsidRDefault="00E20F5E" w:rsidP="00E20F5E">
      <w:pPr>
        <w:pStyle w:val="3-BodyText"/>
        <w:rPr>
          <w:iCs/>
        </w:rPr>
      </w:pPr>
      <w:r w:rsidRPr="0049394D">
        <w:rPr>
          <w:iCs/>
        </w:rPr>
        <w:t>Neither LS-004 or VHL-NHS reported quality of life data for patients</w:t>
      </w:r>
      <w:r w:rsidRPr="0049394D">
        <w:t>. Instead</w:t>
      </w:r>
      <w:r w:rsidR="00465819">
        <w:t>,</w:t>
      </w:r>
      <w:r w:rsidRPr="0049394D">
        <w:t xml:space="preserve"> health state utilities by response were informed by the QoL Disease Burden Study (2022) (informing metastatic utilities and PR, SD, PD of non-metastatic disease) and KEYNOTE-564 (informing CR in non-metastatic disease). </w:t>
      </w:r>
      <w:r w:rsidRPr="00BF3570">
        <w:t>The</w:t>
      </w:r>
      <w:r w:rsidR="00B610D6" w:rsidRPr="00BF3570">
        <w:t xml:space="preserve"> ESC considered the</w:t>
      </w:r>
      <w:r w:rsidRPr="00BF3570">
        <w:t xml:space="preserve"> </w:t>
      </w:r>
      <w:r w:rsidRPr="0049394D">
        <w:rPr>
          <w:iCs/>
        </w:rPr>
        <w:t xml:space="preserve">direct utility benefit for belzutifan was </w:t>
      </w:r>
      <w:r w:rsidR="00B610D6" w:rsidRPr="00BF3570">
        <w:t>not appropriate.</w:t>
      </w:r>
      <w:r w:rsidR="00B610D6" w:rsidRPr="0049394D">
        <w:rPr>
          <w:iCs/>
        </w:rPr>
        <w:t xml:space="preserve"> N</w:t>
      </w:r>
      <w:r w:rsidRPr="0049394D">
        <w:rPr>
          <w:iCs/>
        </w:rPr>
        <w:t xml:space="preserve">o </w:t>
      </w:r>
      <w:r w:rsidR="00465819" w:rsidRPr="0049394D">
        <w:rPr>
          <w:iCs/>
        </w:rPr>
        <w:t>quality-of-life</w:t>
      </w:r>
      <w:r w:rsidRPr="0049394D">
        <w:rPr>
          <w:iCs/>
        </w:rPr>
        <w:t xml:space="preserve"> </w:t>
      </w:r>
      <w:r w:rsidR="00A5552F" w:rsidRPr="0049394D">
        <w:rPr>
          <w:iCs/>
        </w:rPr>
        <w:t>data was collected</w:t>
      </w:r>
      <w:r w:rsidRPr="0049394D">
        <w:rPr>
          <w:iCs/>
        </w:rPr>
        <w:t xml:space="preserve"> in LS-004 and response rates were based on best response over the length of LS-004 follow up. The model therefore did not take account of time to response (median 11.1, 5.4, 8.2 months in the RCC, CNS Hb and pNET cohorts respectively, with minimum time to response 2.3 months and maximum 33.1 months) or duration of the response. If the utility treatment benefit for belzutifan</w:t>
      </w:r>
      <w:r w:rsidR="00CD1A2E" w:rsidRPr="0049394D">
        <w:rPr>
          <w:iCs/>
        </w:rPr>
        <w:t xml:space="preserve"> (in all non-metastatic health states),</w:t>
      </w:r>
      <w:r w:rsidRPr="0049394D">
        <w:rPr>
          <w:iCs/>
        </w:rPr>
        <w:t xml:space="preserve"> was removed from the models,</w:t>
      </w:r>
      <w:r w:rsidR="00CD1A2E" w:rsidRPr="0049394D">
        <w:rPr>
          <w:iCs/>
        </w:rPr>
        <w:t xml:space="preserve"> i.e. the active surveillance arm utilities were applied to both arms,</w:t>
      </w:r>
      <w:r w:rsidRPr="0049394D">
        <w:rPr>
          <w:iCs/>
        </w:rPr>
        <w:t xml:space="preserve"> the ICER increased to $</w:t>
      </w:r>
      <w:r w:rsidR="002E4FB7" w:rsidRPr="002E4FB7">
        <w:rPr>
          <w:iCs/>
        </w:rPr>
        <w:t>255,000 to &lt; $355,000</w:t>
      </w:r>
      <w:r w:rsidR="00F96C75">
        <w:rPr>
          <w:iCs/>
        </w:rPr>
        <w:t xml:space="preserve"> </w:t>
      </w:r>
      <w:r w:rsidRPr="0049394D">
        <w:rPr>
          <w:iCs/>
        </w:rPr>
        <w:t>per QALY gained in the RCC model ($</w:t>
      </w:r>
      <w:r w:rsidR="002E4FB7" w:rsidRPr="002E4FB7">
        <w:rPr>
          <w:iCs/>
        </w:rPr>
        <w:t>155,000 to &lt; $255,000</w:t>
      </w:r>
      <w:r w:rsidR="00F96C75">
        <w:rPr>
          <w:iCs/>
        </w:rPr>
        <w:t xml:space="preserve"> </w:t>
      </w:r>
      <w:r w:rsidRPr="0049394D">
        <w:rPr>
          <w:iCs/>
        </w:rPr>
        <w:t>CNS Hb model, $</w:t>
      </w:r>
      <w:r w:rsidR="002E4FB7" w:rsidRPr="002E4FB7">
        <w:rPr>
          <w:iCs/>
        </w:rPr>
        <w:t>155,000 to &lt; $255,000</w:t>
      </w:r>
      <w:r w:rsidR="00F96C75">
        <w:rPr>
          <w:iCs/>
        </w:rPr>
        <w:t xml:space="preserve"> </w:t>
      </w:r>
      <w:r w:rsidRPr="0049394D">
        <w:rPr>
          <w:iCs/>
        </w:rPr>
        <w:t>pNET model), from $</w:t>
      </w:r>
      <w:r w:rsidR="002E4FB7" w:rsidRPr="002E4FB7">
        <w:rPr>
          <w:iCs/>
        </w:rPr>
        <w:t>155,000 to &lt; $255,000</w:t>
      </w:r>
      <w:r w:rsidR="002E4FB7" w:rsidRPr="002E4FB7" w:rsidDel="002E4FB7">
        <w:rPr>
          <w:iCs/>
        </w:rPr>
        <w:t xml:space="preserve"> </w:t>
      </w:r>
      <w:r w:rsidRPr="0049394D">
        <w:rPr>
          <w:iCs/>
        </w:rPr>
        <w:t>($</w:t>
      </w:r>
      <w:r w:rsidR="002E4FB7" w:rsidRPr="002E4FB7">
        <w:rPr>
          <w:iCs/>
        </w:rPr>
        <w:t>155,000 to &lt; $255,000</w:t>
      </w:r>
      <w:r w:rsidR="00F96C75">
        <w:rPr>
          <w:iCs/>
        </w:rPr>
        <w:t xml:space="preserve"> </w:t>
      </w:r>
      <w:r w:rsidRPr="0049394D">
        <w:rPr>
          <w:iCs/>
        </w:rPr>
        <w:t>CNS Hb model, $</w:t>
      </w:r>
      <w:r w:rsidR="002E4FB7" w:rsidRPr="002E4FB7">
        <w:rPr>
          <w:iCs/>
        </w:rPr>
        <w:t>155,000 to &lt;</w:t>
      </w:r>
      <w:r w:rsidR="00F96C75">
        <w:rPr>
          <w:iCs/>
        </w:rPr>
        <w:t> </w:t>
      </w:r>
      <w:r w:rsidR="002E4FB7" w:rsidRPr="002E4FB7">
        <w:rPr>
          <w:iCs/>
        </w:rPr>
        <w:t>$255,000</w:t>
      </w:r>
      <w:r w:rsidR="00F96C75">
        <w:rPr>
          <w:iCs/>
        </w:rPr>
        <w:t xml:space="preserve"> </w:t>
      </w:r>
      <w:r w:rsidRPr="0049394D">
        <w:rPr>
          <w:iCs/>
        </w:rPr>
        <w:t>pNET model) in the submitted base case.</w:t>
      </w:r>
    </w:p>
    <w:p w14:paraId="734F39CC" w14:textId="5AA41A3E" w:rsidR="00E20F5E" w:rsidRPr="0049394D" w:rsidRDefault="00E20F5E" w:rsidP="00E20F5E">
      <w:pPr>
        <w:pStyle w:val="3-BodyText"/>
        <w:rPr>
          <w:iCs/>
        </w:rPr>
      </w:pPr>
      <w:r w:rsidRPr="0049394D">
        <w:lastRenderedPageBreak/>
        <w:t>In addition to the health state utilities, the model applied one-off QALY losses for short term surgical complications (calculated as 4 weeks of disutility multiplied by the probability of the complication) and recurring QALY losses for long term surgical complications applied every model cycle for patients who received at least one surgery, until the end of the time horizon (or death). The model did not allow for multiple long term disutilities for the same surgery type. The model also applied one-off QALY losses for A</w:t>
      </w:r>
      <w:r w:rsidR="0067576E">
        <w:t>E</w:t>
      </w:r>
      <w:r w:rsidRPr="0049394D">
        <w:t>s applied in the first cycle of the model.</w:t>
      </w:r>
      <w:r w:rsidRPr="0049394D" w:rsidDel="005C17EC">
        <w:rPr>
          <w:rStyle w:val="CommentReference"/>
          <w:rFonts w:cs="Times New Roman"/>
          <w:snapToGrid/>
        </w:rPr>
        <w:t xml:space="preserve"> </w:t>
      </w:r>
      <w:r w:rsidRPr="0049394D">
        <w:rPr>
          <w:iCs/>
        </w:rPr>
        <w:t>The disutilities for surgical complications were derived from multiple sources, with few sourced that were VHL or body system specific, and therefore their applicability to VHL-associated surgeries was uncertain. Disutilities were applied additively, which was likely to overestimate the impact of disutilities, particularly where similar long term disutilities (such as chronic pain) were applied for multiple surgery types. If long-term surgery complication disutilities for surgeries of ‘other’ tumours (e.g. non-RCC tumour surgeries in the RCC model) were excluded from the model, the ICERs increased to $</w:t>
      </w:r>
      <w:r w:rsidR="002E4FB7" w:rsidRPr="002E4FB7">
        <w:rPr>
          <w:iCs/>
        </w:rPr>
        <w:t>255,000 to &lt; $355,000</w:t>
      </w:r>
      <w:r w:rsidR="00F96C75">
        <w:rPr>
          <w:iCs/>
        </w:rPr>
        <w:t xml:space="preserve"> </w:t>
      </w:r>
      <w:r w:rsidRPr="0049394D">
        <w:rPr>
          <w:iCs/>
        </w:rPr>
        <w:t>per QALY gained in the RCC model ($</w:t>
      </w:r>
      <w:r w:rsidR="002E4FB7" w:rsidRPr="002E4FB7">
        <w:rPr>
          <w:iCs/>
        </w:rPr>
        <w:t>155,000 to &lt; $255,000</w:t>
      </w:r>
      <w:r w:rsidR="00F96C75">
        <w:rPr>
          <w:iCs/>
        </w:rPr>
        <w:t xml:space="preserve"> </w:t>
      </w:r>
      <w:r w:rsidRPr="0049394D">
        <w:rPr>
          <w:iCs/>
        </w:rPr>
        <w:t>CNS Hb model; $</w:t>
      </w:r>
      <w:r w:rsidR="002E4FB7" w:rsidRPr="002E4FB7">
        <w:rPr>
          <w:iCs/>
        </w:rPr>
        <w:t>155,000 to &lt; $255,000</w:t>
      </w:r>
      <w:r w:rsidR="00F96C75">
        <w:rPr>
          <w:iCs/>
        </w:rPr>
        <w:t xml:space="preserve"> </w:t>
      </w:r>
      <w:r w:rsidRPr="0049394D">
        <w:rPr>
          <w:iCs/>
        </w:rPr>
        <w:t xml:space="preserve">pNET model), </w:t>
      </w:r>
      <w:r w:rsidR="00DE3FDB" w:rsidRPr="0049394D">
        <w:rPr>
          <w:iCs/>
        </w:rPr>
        <w:t>from</w:t>
      </w:r>
      <w:r w:rsidRPr="0049394D">
        <w:rPr>
          <w:iCs/>
        </w:rPr>
        <w:t xml:space="preserve"> $</w:t>
      </w:r>
      <w:r w:rsidR="002E4FB7" w:rsidRPr="002E4FB7">
        <w:rPr>
          <w:iCs/>
        </w:rPr>
        <w:t>155,000 to &lt; $255,000</w:t>
      </w:r>
      <w:r w:rsidR="00F96C75">
        <w:rPr>
          <w:iCs/>
        </w:rPr>
        <w:t xml:space="preserve"> </w:t>
      </w:r>
      <w:r w:rsidRPr="0049394D">
        <w:rPr>
          <w:iCs/>
        </w:rPr>
        <w:t>in the base case ($</w:t>
      </w:r>
      <w:r w:rsidR="002E4FB7" w:rsidRPr="002E4FB7">
        <w:rPr>
          <w:iCs/>
        </w:rPr>
        <w:t>155,000 to &lt; $255,000</w:t>
      </w:r>
      <w:r w:rsidR="00F96C75">
        <w:rPr>
          <w:iCs/>
        </w:rPr>
        <w:t xml:space="preserve"> </w:t>
      </w:r>
      <w:r w:rsidRPr="0049394D">
        <w:rPr>
          <w:iCs/>
        </w:rPr>
        <w:t>CNS Hb model; $</w:t>
      </w:r>
      <w:r w:rsidR="002E4FB7" w:rsidRPr="002E4FB7">
        <w:rPr>
          <w:iCs/>
        </w:rPr>
        <w:t>155,000 to &lt; $255,000</w:t>
      </w:r>
      <w:r w:rsidR="00F96C75">
        <w:rPr>
          <w:iCs/>
        </w:rPr>
        <w:t xml:space="preserve"> </w:t>
      </w:r>
      <w:r w:rsidRPr="0049394D">
        <w:rPr>
          <w:iCs/>
        </w:rPr>
        <w:t>pNET model).</w:t>
      </w:r>
    </w:p>
    <w:p w14:paraId="7DA847FA" w14:textId="4D6FD516" w:rsidR="00E20F5E" w:rsidRPr="0049394D" w:rsidRDefault="00E20F5E" w:rsidP="00E20F5E">
      <w:pPr>
        <w:pStyle w:val="3-BodyText"/>
        <w:rPr>
          <w:iCs/>
        </w:rPr>
      </w:pPr>
      <w:r w:rsidRPr="0049394D">
        <w:t xml:space="preserve">Belzutifan was costed as </w:t>
      </w:r>
      <w:r w:rsidR="00CD1A2E" w:rsidRPr="0049394D">
        <w:t>DPMQ</w:t>
      </w:r>
      <w:r w:rsidRPr="0049394D">
        <w:t xml:space="preserve"> $</w:t>
      </w:r>
      <w:r w:rsidR="00501C36" w:rsidRPr="008C077D">
        <w:rPr>
          <w:color w:val="000000"/>
          <w:spacing w:val="6"/>
          <w:w w:val="61"/>
          <w:shd w:val="solid" w:color="000000" w:fill="000000"/>
          <w:fitText w:val="475" w:id="-893684730"/>
          <w14:textFill>
            <w14:solidFill>
              <w14:srgbClr w14:val="000000">
                <w14:alpha w14:val="100000"/>
              </w14:srgbClr>
            </w14:solidFill>
          </w14:textFill>
        </w:rPr>
        <w:t>||</w:t>
      </w:r>
      <w:r w:rsidR="008C077D" w:rsidRPr="008C077D">
        <w:rPr>
          <w:color w:val="000000"/>
          <w:spacing w:val="6"/>
          <w:w w:val="61"/>
          <w:shd w:val="solid" w:color="000000" w:fill="000000"/>
          <w:fitText w:val="475" w:id="-893684730"/>
          <w14:textFill>
            <w14:solidFill>
              <w14:srgbClr w14:val="000000">
                <w14:alpha w14:val="100000"/>
              </w14:srgbClr>
            </w14:solidFill>
          </w14:textFill>
        </w:rPr>
        <w:t>| |</w:t>
      </w:r>
      <w:r w:rsidR="00501C36" w:rsidRPr="008C077D">
        <w:rPr>
          <w:color w:val="000000"/>
          <w:spacing w:val="6"/>
          <w:w w:val="61"/>
          <w:shd w:val="solid" w:color="000000" w:fill="000000"/>
          <w:fitText w:val="475" w:id="-893684730"/>
          <w14:textFill>
            <w14:solidFill>
              <w14:srgbClr w14:val="000000">
                <w14:alpha w14:val="100000"/>
              </w14:srgbClr>
            </w14:solidFill>
          </w14:textFill>
        </w:rPr>
        <w:t>|</w:t>
      </w:r>
      <w:r w:rsidR="00501C36" w:rsidRPr="008C077D">
        <w:rPr>
          <w:color w:val="000000"/>
          <w:spacing w:val="3"/>
          <w:w w:val="61"/>
          <w:shd w:val="solid" w:color="000000" w:fill="000000"/>
          <w:fitText w:val="475" w:id="-893684730"/>
          <w14:textFill>
            <w14:solidFill>
              <w14:srgbClr w14:val="000000">
                <w14:alpha w14:val="100000"/>
              </w14:srgbClr>
            </w14:solidFill>
          </w14:textFill>
        </w:rPr>
        <w:t>|</w:t>
      </w:r>
      <w:r w:rsidRPr="0049394D">
        <w:t xml:space="preserve"> for 90 x 40mg tablets. Cost per tablet was estimated to be $</w:t>
      </w:r>
      <w:r w:rsidR="008C077D" w:rsidRPr="006F175E">
        <w:rPr>
          <w:color w:val="000000"/>
          <w:w w:val="15"/>
          <w:shd w:val="solid" w:color="000000" w:fill="000000"/>
          <w:fitText w:val="-20" w:id="-893684729"/>
          <w14:textFill>
            <w14:solidFill>
              <w14:srgbClr w14:val="000000">
                <w14:alpha w14:val="100000"/>
              </w14:srgbClr>
            </w14:solidFill>
          </w14:textFill>
        </w:rPr>
        <w:t xml:space="preserve">| </w:t>
      </w:r>
      <w:r w:rsidR="008C077D" w:rsidRPr="006F175E">
        <w:rPr>
          <w:color w:val="000000"/>
          <w:spacing w:val="-61"/>
          <w:w w:val="15"/>
          <w:shd w:val="solid" w:color="000000" w:fill="000000"/>
          <w:fitText w:val="-20" w:id="-893684729"/>
          <w14:textFill>
            <w14:solidFill>
              <w14:srgbClr w14:val="000000">
                <w14:alpha w14:val="100000"/>
              </w14:srgbClr>
            </w14:solidFill>
          </w14:textFill>
        </w:rPr>
        <w:t>|</w:t>
      </w:r>
      <w:r w:rsidRPr="0049394D">
        <w:t xml:space="preserve">. With 120mg (3x40mg tablets) dose per day and 92.5% dose intensity, 77.7 tablets were assumed to be dispensed per 4-week period costing </w:t>
      </w:r>
      <w:r w:rsidR="00CD1A2E" w:rsidRPr="0049394D">
        <w:t>$</w:t>
      </w:r>
      <w:r w:rsidR="008C077D" w:rsidRPr="006F175E">
        <w:rPr>
          <w:color w:val="000000"/>
          <w:w w:val="15"/>
          <w:shd w:val="solid" w:color="000000" w:fill="000000"/>
          <w:fitText w:val="-20" w:id="-893684728"/>
          <w14:textFill>
            <w14:solidFill>
              <w14:srgbClr w14:val="000000">
                <w14:alpha w14:val="100000"/>
              </w14:srgbClr>
            </w14:solidFill>
          </w14:textFill>
        </w:rPr>
        <w:t xml:space="preserve">| </w:t>
      </w:r>
      <w:r w:rsidR="008C077D" w:rsidRPr="006F175E">
        <w:rPr>
          <w:color w:val="000000"/>
          <w:spacing w:val="-61"/>
          <w:w w:val="15"/>
          <w:shd w:val="solid" w:color="000000" w:fill="000000"/>
          <w:fitText w:val="-20" w:id="-893684728"/>
          <w14:textFill>
            <w14:solidFill>
              <w14:srgbClr w14:val="000000">
                <w14:alpha w14:val="100000"/>
              </w14:srgbClr>
            </w14:solidFill>
          </w14:textFill>
        </w:rPr>
        <w:t>|</w:t>
      </w:r>
      <w:r w:rsidRPr="0049394D">
        <w:t>. This was applied in the first week of every 4</w:t>
      </w:r>
      <w:r w:rsidR="00C63277" w:rsidRPr="0049394D">
        <w:t>-</w:t>
      </w:r>
      <w:r w:rsidRPr="0049394D">
        <w:t xml:space="preserve">week period up until treatment discontinuation as modelled. </w:t>
      </w:r>
      <w:r w:rsidR="00436191">
        <w:rPr>
          <w:iCs/>
        </w:rPr>
        <w:t xml:space="preserve">The pre-PBAC response offered a </w:t>
      </w:r>
      <w:r w:rsidR="008C077D" w:rsidRPr="006F175E">
        <w:rPr>
          <w:iCs/>
          <w:color w:val="000000"/>
          <w:w w:val="15"/>
          <w:shd w:val="solid" w:color="000000" w:fill="000000"/>
          <w:fitText w:val="-20" w:id="-893684727"/>
          <w14:textFill>
            <w14:solidFill>
              <w14:srgbClr w14:val="000000">
                <w14:alpha w14:val="100000"/>
              </w14:srgbClr>
            </w14:solidFill>
          </w14:textFill>
        </w:rPr>
        <w:t xml:space="preserve">| </w:t>
      </w:r>
      <w:r w:rsidR="008C077D" w:rsidRPr="006F175E">
        <w:rPr>
          <w:iCs/>
          <w:color w:val="000000"/>
          <w:spacing w:val="-61"/>
          <w:w w:val="15"/>
          <w:shd w:val="solid" w:color="000000" w:fill="000000"/>
          <w:fitText w:val="-20" w:id="-893684727"/>
          <w14:textFill>
            <w14:solidFill>
              <w14:srgbClr w14:val="000000">
                <w14:alpha w14:val="100000"/>
              </w14:srgbClr>
            </w14:solidFill>
          </w14:textFill>
        </w:rPr>
        <w:t>|</w:t>
      </w:r>
      <w:r w:rsidR="00436191">
        <w:rPr>
          <w:iCs/>
        </w:rPr>
        <w:t xml:space="preserve">% price reduction </w:t>
      </w:r>
      <w:r w:rsidR="00746E03">
        <w:rPr>
          <w:iCs/>
        </w:rPr>
        <w:t>with a new effective DPMQ of</w:t>
      </w:r>
      <w:r w:rsidR="00436191">
        <w:rPr>
          <w:iCs/>
        </w:rPr>
        <w:t xml:space="preserve"> </w:t>
      </w:r>
      <w:r w:rsidR="00CE3948">
        <w:rPr>
          <w:iCs/>
        </w:rPr>
        <w:t>$</w:t>
      </w:r>
      <w:r w:rsidR="00501C36" w:rsidRPr="006F175E">
        <w:rPr>
          <w:iCs/>
          <w:color w:val="000000"/>
          <w:w w:val="15"/>
          <w:shd w:val="solid" w:color="000000" w:fill="000000"/>
          <w:fitText w:val="-20" w:id="-893684726"/>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6"/>
          <w14:textFill>
            <w14:solidFill>
              <w14:srgbClr w14:val="000000">
                <w14:alpha w14:val="100000"/>
              </w14:srgbClr>
            </w14:solidFill>
          </w14:textFill>
        </w:rPr>
        <w:t>|</w:t>
      </w:r>
      <w:r w:rsidR="00CE3948">
        <w:rPr>
          <w:iCs/>
        </w:rPr>
        <w:t>.</w:t>
      </w:r>
    </w:p>
    <w:p w14:paraId="07D18538" w14:textId="25C5CD14" w:rsidR="00431FB7" w:rsidRPr="0049394D" w:rsidRDefault="00E20F5E" w:rsidP="00E20F5E">
      <w:pPr>
        <w:pStyle w:val="3-BodyText"/>
        <w:rPr>
          <w:iCs/>
        </w:rPr>
      </w:pPr>
      <w:r w:rsidRPr="0049394D">
        <w:t>The model included other costs for metastatic drugs, surgeries, healthcare resource use, complications from surgery, and adverse events. Costs were reported at 2023 prices and were based on Australian sources (MBS, PBS, AR-DRG codes) and published source</w:t>
      </w:r>
      <w:r w:rsidR="005E5CAA" w:rsidRPr="0049394D">
        <w:t>s</w:t>
      </w:r>
      <w:r w:rsidRPr="0049394D">
        <w:t xml:space="preserve"> (Deloitte Access Economics 2023, Dewey 2003). </w:t>
      </w:r>
      <w:r w:rsidRPr="0049394D">
        <w:rPr>
          <w:iCs/>
        </w:rPr>
        <w:t>The estimates for these costs were often complex, but none were significant drivers of the incremental costs in any of the models.</w:t>
      </w:r>
    </w:p>
    <w:p w14:paraId="019411E6" w14:textId="1DD9D5A0" w:rsidR="00431FB7" w:rsidRPr="0049394D" w:rsidRDefault="00431FB7" w:rsidP="00E20F5E">
      <w:pPr>
        <w:pStyle w:val="3-BodyText"/>
        <w:rPr>
          <w:iCs/>
        </w:rPr>
      </w:pPr>
      <w:r w:rsidRPr="0049394D">
        <w:rPr>
          <w:iCs/>
        </w:rPr>
        <w:fldChar w:fldCharType="begin" w:fldLock="1"/>
      </w:r>
      <w:r w:rsidRPr="0049394D">
        <w:rPr>
          <w:iCs/>
        </w:rPr>
        <w:instrText xml:space="preserve"> REF _Ref166505625 \h  \* MERGEFORMAT </w:instrText>
      </w:r>
      <w:r w:rsidRPr="0049394D">
        <w:rPr>
          <w:iCs/>
        </w:rPr>
      </w:r>
      <w:r w:rsidRPr="0049394D">
        <w:rPr>
          <w:iCs/>
        </w:rPr>
        <w:fldChar w:fldCharType="separate"/>
      </w:r>
      <w:r w:rsidR="00437B51" w:rsidRPr="0049394D">
        <w:t xml:space="preserve">Figure </w:t>
      </w:r>
      <w:r w:rsidR="00437B51">
        <w:rPr>
          <w:noProof/>
        </w:rPr>
        <w:t>7</w:t>
      </w:r>
      <w:r w:rsidRPr="0049394D">
        <w:rPr>
          <w:iCs/>
        </w:rPr>
        <w:fldChar w:fldCharType="end"/>
      </w:r>
      <w:r w:rsidRPr="0049394D">
        <w:rPr>
          <w:iCs/>
        </w:rPr>
        <w:t xml:space="preserve"> </w:t>
      </w:r>
      <w:r w:rsidRPr="0049394D">
        <w:t>presents</w:t>
      </w:r>
      <w:r w:rsidRPr="0049394D">
        <w:rPr>
          <w:iCs/>
        </w:rPr>
        <w:t xml:space="preserve"> health state allocation plots conducted during the evaluation, with and without the </w:t>
      </w:r>
      <w:r w:rsidR="00C63277" w:rsidRPr="0049394D">
        <w:rPr>
          <w:iCs/>
        </w:rPr>
        <w:t>real-</w:t>
      </w:r>
      <w:r w:rsidRPr="0049394D">
        <w:rPr>
          <w:iCs/>
        </w:rPr>
        <w:t>world adjustment from the Optum CDM data. The health state allocation plots demonstrate the differences in the three models. In the RCC model, patients in the belzutifan arm spent most time (conditional on survival) in the EFS post-surgery states (similarly in the active surveillance arm), in the CNS Hb and pNET models patients in the belzutifan arm spen</w:t>
      </w:r>
      <w:r w:rsidR="000E53E6" w:rsidRPr="0049394D">
        <w:rPr>
          <w:iCs/>
        </w:rPr>
        <w:t>t</w:t>
      </w:r>
      <w:r w:rsidRPr="0049394D">
        <w:rPr>
          <w:iCs/>
        </w:rPr>
        <w:t xml:space="preserve"> most time (conditional on survival) in the pre-surgery health state (similarly for the active surveillance arm in the pNET model, but active surveillance patients in the CNS Hb model spent most time in EFS post-surgery states). In the RCC and CNS Hb models ~10% patients were alive by Year 40, compared to ~3% in the pNET model</w:t>
      </w:r>
      <w:r w:rsidR="00233555" w:rsidRPr="0049394D">
        <w:rPr>
          <w:iCs/>
        </w:rPr>
        <w:t>.</w:t>
      </w:r>
      <w:r w:rsidR="000E53E6" w:rsidRPr="0049394D">
        <w:rPr>
          <w:iCs/>
        </w:rPr>
        <w:t xml:space="preserve"> </w:t>
      </w:r>
      <w:r w:rsidR="000E53E6" w:rsidRPr="00BF3570">
        <w:t>The evaluation considered that</w:t>
      </w:r>
      <w:r w:rsidR="00CD1A2E" w:rsidRPr="0049394D">
        <w:rPr>
          <w:iCs/>
        </w:rPr>
        <w:t xml:space="preserve"> </w:t>
      </w:r>
      <w:r w:rsidR="000E53E6" w:rsidRPr="0049394D">
        <w:rPr>
          <w:iCs/>
        </w:rPr>
        <w:t>a</w:t>
      </w:r>
      <w:r w:rsidR="00CD1A2E" w:rsidRPr="0049394D">
        <w:rPr>
          <w:iCs/>
        </w:rPr>
        <w:t>s starting age in the model was 4</w:t>
      </w:r>
      <w:r w:rsidR="007C0AE2" w:rsidRPr="0049394D">
        <w:rPr>
          <w:iCs/>
        </w:rPr>
        <w:t>1.0</w:t>
      </w:r>
      <w:r w:rsidR="00CD1A2E" w:rsidRPr="0049394D">
        <w:rPr>
          <w:iCs/>
        </w:rPr>
        <w:t> years,</w:t>
      </w:r>
      <w:r w:rsidR="000E53E6" w:rsidRPr="0049394D">
        <w:rPr>
          <w:iCs/>
        </w:rPr>
        <w:t xml:space="preserve"> </w:t>
      </w:r>
      <w:r w:rsidR="00CD1A2E" w:rsidRPr="0049394D">
        <w:rPr>
          <w:iCs/>
        </w:rPr>
        <w:t xml:space="preserve">this survival may be reasonable, although </w:t>
      </w:r>
      <w:r w:rsidR="00565773" w:rsidRPr="0049394D">
        <w:rPr>
          <w:iCs/>
        </w:rPr>
        <w:t xml:space="preserve">external validation </w:t>
      </w:r>
      <w:r w:rsidR="00565773" w:rsidRPr="0049394D">
        <w:rPr>
          <w:iCs/>
        </w:rPr>
        <w:lastRenderedPageBreak/>
        <w:t>conducted during the evaluation suggested that there is likely heterogeneity in the survival of VHL patients</w:t>
      </w:r>
      <w:r w:rsidR="00CD1A2E" w:rsidRPr="0049394D">
        <w:rPr>
          <w:iCs/>
        </w:rPr>
        <w:t>.</w:t>
      </w:r>
      <w:r w:rsidR="00565773" w:rsidRPr="0049394D">
        <w:rPr>
          <w:iCs/>
        </w:rPr>
        <w:t xml:space="preserve"> This is discussed further in later</w:t>
      </w:r>
      <w:r w:rsidR="00385B88" w:rsidRPr="0049394D">
        <w:rPr>
          <w:iCs/>
        </w:rPr>
        <w:t xml:space="preserve"> </w:t>
      </w:r>
      <w:r w:rsidR="00565773" w:rsidRPr="0049394D">
        <w:rPr>
          <w:iCs/>
        </w:rPr>
        <w:t xml:space="preserve">paragraphs. </w:t>
      </w:r>
    </w:p>
    <w:p w14:paraId="152B5472" w14:textId="6FE45920" w:rsidR="00E20F5E" w:rsidRPr="0049394D" w:rsidRDefault="00E20F5E" w:rsidP="009C7DBD">
      <w:pPr>
        <w:pStyle w:val="3-BodyText"/>
        <w:rPr>
          <w:iCs/>
        </w:rPr>
      </w:pPr>
      <w:r w:rsidRPr="0049394D">
        <w:rPr>
          <w:iCs/>
        </w:rPr>
        <w:t xml:space="preserve">Without the </w:t>
      </w:r>
      <w:r w:rsidR="00C63277" w:rsidRPr="0049394D">
        <w:rPr>
          <w:iCs/>
        </w:rPr>
        <w:t>real-</w:t>
      </w:r>
      <w:r w:rsidRPr="0049394D">
        <w:rPr>
          <w:iCs/>
        </w:rPr>
        <w:t xml:space="preserve">world adjustment (fewer subsequent surgeries in the RCC model, increased rates of metastatic disease and mortality in all models), very few patients entered metastatic disease states, remaining alive and </w:t>
      </w:r>
      <w:r w:rsidR="006E36E1" w:rsidRPr="0049394D">
        <w:rPr>
          <w:iCs/>
        </w:rPr>
        <w:t xml:space="preserve">in </w:t>
      </w:r>
      <w:r w:rsidRPr="0049394D">
        <w:rPr>
          <w:iCs/>
        </w:rPr>
        <w:t>either pre-surgery (pNETs model) or in EFS post-surgery states (RCC and CNS Hb models). Survival also increased with &gt;40% of patients alive at Year 40 in all arms of all models, and &gt;50% patients alive at the end of the time horizon for the belzutifan arm of the RCC model.</w:t>
      </w:r>
      <w:r w:rsidR="00CD1A2E" w:rsidRPr="0049394D">
        <w:rPr>
          <w:iCs/>
        </w:rPr>
        <w:t xml:space="preserve"> This survival is likely less reasonable than the base case</w:t>
      </w:r>
      <w:r w:rsidR="00565773" w:rsidRPr="0049394D">
        <w:rPr>
          <w:iCs/>
        </w:rPr>
        <w:t>.</w:t>
      </w:r>
    </w:p>
    <w:p w14:paraId="3A534566" w14:textId="377CB605" w:rsidR="00E20F5E" w:rsidRPr="0049394D" w:rsidRDefault="00E20F5E" w:rsidP="00A85E1A">
      <w:pPr>
        <w:pStyle w:val="TableFigureHeading"/>
      </w:pPr>
      <w:bookmarkStart w:id="72" w:name="_Ref166505625"/>
      <w:bookmarkStart w:id="73" w:name="_Ref166484120"/>
      <w:r w:rsidRPr="0049394D">
        <w:lastRenderedPageBreak/>
        <w:t xml:space="preserve">Figure </w:t>
      </w:r>
      <w:r>
        <w:fldChar w:fldCharType="begin" w:fldLock="1"/>
      </w:r>
      <w:r>
        <w:instrText xml:space="preserve"> SEQ Figure \* ARABIC </w:instrText>
      </w:r>
      <w:r>
        <w:fldChar w:fldCharType="separate"/>
      </w:r>
      <w:r w:rsidR="00437B51">
        <w:rPr>
          <w:noProof/>
        </w:rPr>
        <w:t>7</w:t>
      </w:r>
      <w:r>
        <w:rPr>
          <w:noProof/>
        </w:rPr>
        <w:fldChar w:fldCharType="end"/>
      </w:r>
      <w:bookmarkEnd w:id="72"/>
      <w:r w:rsidRPr="0049394D">
        <w:t>: Health state allocation</w:t>
      </w:r>
      <w:bookmarkEnd w:id="73"/>
    </w:p>
    <w:tbl>
      <w:tblPr>
        <w:tblStyle w:val="TableGrid"/>
        <w:tblW w:w="0" w:type="auto"/>
        <w:tblLook w:val="04A0" w:firstRow="1" w:lastRow="0" w:firstColumn="1" w:lastColumn="0" w:noHBand="0" w:noVBand="1"/>
      </w:tblPr>
      <w:tblGrid>
        <w:gridCol w:w="3667"/>
        <w:gridCol w:w="3667"/>
        <w:gridCol w:w="1683"/>
      </w:tblGrid>
      <w:tr w:rsidR="00E20F5E" w:rsidRPr="0049394D" w14:paraId="19F1AFF1" w14:textId="77777777" w:rsidTr="00282F0D">
        <w:tc>
          <w:tcPr>
            <w:tcW w:w="3522" w:type="dxa"/>
          </w:tcPr>
          <w:p w14:paraId="279A256F" w14:textId="77777777" w:rsidR="00E20F5E" w:rsidRPr="0049394D" w:rsidRDefault="00E20F5E" w:rsidP="00A85E1A">
            <w:pPr>
              <w:pStyle w:val="In-tableHeading"/>
              <w:jc w:val="center"/>
              <w:rPr>
                <w:lang w:val="en-AU"/>
              </w:rPr>
            </w:pPr>
            <w:r w:rsidRPr="0049394D">
              <w:rPr>
                <w:lang w:val="en-AU"/>
              </w:rPr>
              <w:t>Submitted base case</w:t>
            </w:r>
          </w:p>
        </w:tc>
        <w:tc>
          <w:tcPr>
            <w:tcW w:w="3523" w:type="dxa"/>
          </w:tcPr>
          <w:p w14:paraId="5F9AE2D2" w14:textId="12635C13" w:rsidR="00E20F5E" w:rsidRPr="0049394D" w:rsidRDefault="00E20F5E" w:rsidP="00A85E1A">
            <w:pPr>
              <w:pStyle w:val="In-tableHeading"/>
              <w:jc w:val="center"/>
              <w:rPr>
                <w:lang w:val="en-AU"/>
              </w:rPr>
            </w:pPr>
            <w:r w:rsidRPr="0049394D">
              <w:rPr>
                <w:lang w:val="en-AU"/>
              </w:rPr>
              <w:t>No real</w:t>
            </w:r>
            <w:r w:rsidR="00565773" w:rsidRPr="0049394D">
              <w:rPr>
                <w:lang w:val="en-AU"/>
              </w:rPr>
              <w:t>-</w:t>
            </w:r>
            <w:r w:rsidRPr="0049394D">
              <w:rPr>
                <w:lang w:val="en-AU"/>
              </w:rPr>
              <w:t>world adjustment</w:t>
            </w:r>
          </w:p>
        </w:tc>
        <w:tc>
          <w:tcPr>
            <w:tcW w:w="1972" w:type="dxa"/>
            <w:vMerge w:val="restart"/>
          </w:tcPr>
          <w:p w14:paraId="53FC87C7" w14:textId="77777777" w:rsidR="00E20F5E" w:rsidRPr="0049394D" w:rsidRDefault="00E20F5E" w:rsidP="00A85E1A">
            <w:pPr>
              <w:pStyle w:val="In-tableHeading"/>
              <w:jc w:val="center"/>
              <w:rPr>
                <w:lang w:val="en-AU"/>
              </w:rPr>
            </w:pPr>
            <w:r w:rsidRPr="0049394D">
              <w:rPr>
                <w:lang w:val="en-AU"/>
              </w:rPr>
              <w:t>Legend</w:t>
            </w:r>
          </w:p>
        </w:tc>
      </w:tr>
      <w:tr w:rsidR="00E20F5E" w:rsidRPr="0049394D" w14:paraId="7B604BCC" w14:textId="77777777" w:rsidTr="00282F0D">
        <w:tc>
          <w:tcPr>
            <w:tcW w:w="7045" w:type="dxa"/>
            <w:gridSpan w:val="2"/>
          </w:tcPr>
          <w:p w14:paraId="67F77170" w14:textId="77777777" w:rsidR="00E20F5E" w:rsidRPr="0049394D" w:rsidRDefault="00E20F5E" w:rsidP="00A85E1A">
            <w:pPr>
              <w:pStyle w:val="In-tableHeading"/>
              <w:jc w:val="center"/>
              <w:rPr>
                <w:lang w:val="en-AU"/>
              </w:rPr>
            </w:pPr>
            <w:r w:rsidRPr="0049394D">
              <w:rPr>
                <w:lang w:val="en-AU"/>
              </w:rPr>
              <w:t>RCC model</w:t>
            </w:r>
          </w:p>
        </w:tc>
        <w:tc>
          <w:tcPr>
            <w:tcW w:w="1972" w:type="dxa"/>
            <w:vMerge/>
          </w:tcPr>
          <w:p w14:paraId="1AC7BB11" w14:textId="77777777" w:rsidR="00E20F5E" w:rsidRPr="0049394D" w:rsidRDefault="00E20F5E" w:rsidP="00A85E1A">
            <w:pPr>
              <w:pStyle w:val="In-tableHeading"/>
              <w:jc w:val="center"/>
              <w:rPr>
                <w:lang w:val="en-AU"/>
              </w:rPr>
            </w:pPr>
          </w:p>
        </w:tc>
      </w:tr>
      <w:tr w:rsidR="00E20F5E" w:rsidRPr="0049394D" w14:paraId="5DAD4277" w14:textId="77777777" w:rsidTr="00282F0D">
        <w:tc>
          <w:tcPr>
            <w:tcW w:w="3522" w:type="dxa"/>
          </w:tcPr>
          <w:p w14:paraId="3848BC08" w14:textId="77777777" w:rsidR="00E20F5E" w:rsidRPr="0049394D" w:rsidRDefault="00E20F5E" w:rsidP="00A85E1A">
            <w:pPr>
              <w:pStyle w:val="TableText0"/>
              <w:jc w:val="center"/>
            </w:pPr>
            <w:r w:rsidRPr="0049394D">
              <w:rPr>
                <w:noProof/>
              </w:rPr>
              <w:drawing>
                <wp:inline distT="0" distB="0" distL="0" distR="0" wp14:anchorId="1259F872" wp14:editId="226361AA">
                  <wp:extent cx="2336647" cy="2249805"/>
                  <wp:effectExtent l="0" t="0" r="6985" b="0"/>
                  <wp:docPr id="13" name="Picture 13" descr="Submitted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ubmitted base cas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345961" cy="22587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3" w:type="dxa"/>
          </w:tcPr>
          <w:p w14:paraId="59626089" w14:textId="77777777" w:rsidR="00E20F5E" w:rsidRPr="0049394D" w:rsidRDefault="00E20F5E" w:rsidP="00A85E1A">
            <w:pPr>
              <w:pStyle w:val="TableText0"/>
              <w:jc w:val="center"/>
              <w:rPr>
                <w:noProof/>
              </w:rPr>
            </w:pPr>
            <w:r w:rsidRPr="0049394D">
              <w:rPr>
                <w:noProof/>
              </w:rPr>
              <w:drawing>
                <wp:inline distT="0" distB="0" distL="0" distR="0" wp14:anchorId="400FDE1C" wp14:editId="1FB9FE3C">
                  <wp:extent cx="2336400" cy="2231809"/>
                  <wp:effectExtent l="0" t="0" r="6985" b="0"/>
                  <wp:docPr id="11" name="Picture 11" descr="No real-world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o real-world adjustmen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336400" cy="22318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72" w:type="dxa"/>
            <w:vMerge w:val="restart"/>
            <w:vAlign w:val="center"/>
          </w:tcPr>
          <w:p w14:paraId="2E1E5B9C" w14:textId="77777777" w:rsidR="00E20F5E" w:rsidRPr="0049394D" w:rsidRDefault="00E20F5E" w:rsidP="00A85E1A">
            <w:pPr>
              <w:pStyle w:val="TableText0"/>
              <w:jc w:val="center"/>
              <w:rPr>
                <w:noProof/>
              </w:rPr>
            </w:pPr>
            <w:r w:rsidRPr="0049394D">
              <w:rPr>
                <w:noProof/>
              </w:rPr>
              <w:drawing>
                <wp:inline distT="0" distB="0" distL="0" distR="0" wp14:anchorId="1BE95FB5" wp14:editId="310E8CE0">
                  <wp:extent cx="996315" cy="2395855"/>
                  <wp:effectExtent l="0" t="0" r="0" b="4445"/>
                  <wp:docPr id="20" name="Picture 20" descr="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ege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6315" cy="2395855"/>
                          </a:xfrm>
                          <a:prstGeom prst="rect">
                            <a:avLst/>
                          </a:prstGeom>
                          <a:noFill/>
                        </pic:spPr>
                      </pic:pic>
                    </a:graphicData>
                  </a:graphic>
                </wp:inline>
              </w:drawing>
            </w:r>
          </w:p>
        </w:tc>
      </w:tr>
      <w:tr w:rsidR="00E20F5E" w:rsidRPr="0049394D" w14:paraId="10F1901A" w14:textId="77777777" w:rsidTr="00282F0D">
        <w:tc>
          <w:tcPr>
            <w:tcW w:w="7045" w:type="dxa"/>
            <w:gridSpan w:val="2"/>
          </w:tcPr>
          <w:p w14:paraId="5ADBC46B" w14:textId="77777777" w:rsidR="00E20F5E" w:rsidRPr="0049394D" w:rsidRDefault="00E20F5E" w:rsidP="00A85E1A">
            <w:pPr>
              <w:pStyle w:val="TableText0"/>
              <w:jc w:val="center"/>
              <w:rPr>
                <w:b/>
                <w:bCs w:val="0"/>
              </w:rPr>
            </w:pPr>
            <w:r w:rsidRPr="0049394D">
              <w:rPr>
                <w:b/>
                <w:bCs w:val="0"/>
              </w:rPr>
              <w:t>CNS Hb</w:t>
            </w:r>
          </w:p>
        </w:tc>
        <w:tc>
          <w:tcPr>
            <w:tcW w:w="1972" w:type="dxa"/>
            <w:vMerge/>
          </w:tcPr>
          <w:p w14:paraId="3C0B1A02" w14:textId="77777777" w:rsidR="00E20F5E" w:rsidRPr="0049394D" w:rsidRDefault="00E20F5E" w:rsidP="00A85E1A">
            <w:pPr>
              <w:pStyle w:val="TableText0"/>
              <w:jc w:val="center"/>
              <w:rPr>
                <w:b/>
                <w:bCs w:val="0"/>
              </w:rPr>
            </w:pPr>
          </w:p>
        </w:tc>
      </w:tr>
      <w:tr w:rsidR="00E20F5E" w:rsidRPr="0049394D" w14:paraId="2F952375" w14:textId="77777777" w:rsidTr="00282F0D">
        <w:tc>
          <w:tcPr>
            <w:tcW w:w="3522" w:type="dxa"/>
          </w:tcPr>
          <w:p w14:paraId="1E31F2F7" w14:textId="77777777" w:rsidR="00E20F5E" w:rsidRPr="0049394D" w:rsidRDefault="00E20F5E" w:rsidP="00A85E1A">
            <w:pPr>
              <w:pStyle w:val="TableText0"/>
              <w:jc w:val="center"/>
            </w:pPr>
            <w:r w:rsidRPr="0049394D">
              <w:rPr>
                <w:noProof/>
              </w:rPr>
              <w:drawing>
                <wp:inline distT="0" distB="0" distL="0" distR="0" wp14:anchorId="78970318" wp14:editId="5EBAA02A">
                  <wp:extent cx="2311855" cy="2255855"/>
                  <wp:effectExtent l="0" t="0" r="0" b="0"/>
                  <wp:docPr id="1" name="Picture 1" descr="Submitted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bmitted base cas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323523" cy="22672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3" w:type="dxa"/>
          </w:tcPr>
          <w:p w14:paraId="7D42A613" w14:textId="77777777" w:rsidR="00E20F5E" w:rsidRPr="0049394D" w:rsidRDefault="00E20F5E" w:rsidP="00A85E1A">
            <w:pPr>
              <w:pStyle w:val="TableText0"/>
              <w:jc w:val="center"/>
              <w:rPr>
                <w:noProof/>
              </w:rPr>
            </w:pPr>
            <w:r w:rsidRPr="0049394D">
              <w:rPr>
                <w:noProof/>
              </w:rPr>
              <w:drawing>
                <wp:inline distT="0" distB="0" distL="0" distR="0" wp14:anchorId="4D98B90A" wp14:editId="6DC152C8">
                  <wp:extent cx="2336400" cy="2243618"/>
                  <wp:effectExtent l="0" t="0" r="6985" b="4445"/>
                  <wp:docPr id="23" name="Picture 23" descr="No real-world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No real-world adjustment"/>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336400" cy="22436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72" w:type="dxa"/>
            <w:vMerge/>
          </w:tcPr>
          <w:p w14:paraId="00EA1786" w14:textId="77777777" w:rsidR="00E20F5E" w:rsidRPr="0049394D" w:rsidRDefault="00E20F5E" w:rsidP="00A85E1A">
            <w:pPr>
              <w:pStyle w:val="TableText0"/>
              <w:jc w:val="center"/>
              <w:rPr>
                <w:noProof/>
              </w:rPr>
            </w:pPr>
          </w:p>
        </w:tc>
      </w:tr>
      <w:tr w:rsidR="00E20F5E" w:rsidRPr="0049394D" w14:paraId="3070A858" w14:textId="77777777" w:rsidTr="00282F0D">
        <w:tc>
          <w:tcPr>
            <w:tcW w:w="7045" w:type="dxa"/>
            <w:gridSpan w:val="2"/>
          </w:tcPr>
          <w:p w14:paraId="077E06B1" w14:textId="77777777" w:rsidR="00E20F5E" w:rsidRPr="0049394D" w:rsidRDefault="00E20F5E" w:rsidP="00A85E1A">
            <w:pPr>
              <w:pStyle w:val="TableText0"/>
              <w:jc w:val="center"/>
              <w:rPr>
                <w:b/>
                <w:bCs w:val="0"/>
              </w:rPr>
            </w:pPr>
            <w:r w:rsidRPr="0049394D">
              <w:rPr>
                <w:b/>
                <w:bCs w:val="0"/>
              </w:rPr>
              <w:t>pNET model</w:t>
            </w:r>
          </w:p>
        </w:tc>
        <w:tc>
          <w:tcPr>
            <w:tcW w:w="1972" w:type="dxa"/>
            <w:vMerge/>
          </w:tcPr>
          <w:p w14:paraId="08D36259" w14:textId="77777777" w:rsidR="00E20F5E" w:rsidRPr="0049394D" w:rsidRDefault="00E20F5E" w:rsidP="00A85E1A">
            <w:pPr>
              <w:pStyle w:val="TableText0"/>
              <w:jc w:val="center"/>
              <w:rPr>
                <w:b/>
                <w:bCs w:val="0"/>
              </w:rPr>
            </w:pPr>
          </w:p>
        </w:tc>
      </w:tr>
      <w:tr w:rsidR="00E20F5E" w:rsidRPr="0049394D" w14:paraId="5896A974" w14:textId="77777777" w:rsidTr="00282F0D">
        <w:tc>
          <w:tcPr>
            <w:tcW w:w="3522" w:type="dxa"/>
          </w:tcPr>
          <w:p w14:paraId="6CF6F60B" w14:textId="77777777" w:rsidR="00E20F5E" w:rsidRPr="0049394D" w:rsidRDefault="00E20F5E" w:rsidP="00A85E1A">
            <w:pPr>
              <w:pStyle w:val="TableText0"/>
              <w:jc w:val="center"/>
            </w:pPr>
            <w:r w:rsidRPr="0049394D">
              <w:rPr>
                <w:noProof/>
              </w:rPr>
              <w:drawing>
                <wp:inline distT="0" distB="0" distL="0" distR="0" wp14:anchorId="43D037BA" wp14:editId="4F766C53">
                  <wp:extent cx="2280975" cy="2249914"/>
                  <wp:effectExtent l="0" t="0" r="5080" b="0"/>
                  <wp:docPr id="14" name="Picture 14" descr="Submitted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ubmitted base cas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294323" cy="22630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23" w:type="dxa"/>
          </w:tcPr>
          <w:p w14:paraId="594A03C9" w14:textId="77777777" w:rsidR="00E20F5E" w:rsidRPr="0049394D" w:rsidRDefault="00E20F5E" w:rsidP="00A85E1A">
            <w:pPr>
              <w:pStyle w:val="TableText0"/>
              <w:jc w:val="center"/>
            </w:pPr>
            <w:r w:rsidRPr="0049394D">
              <w:rPr>
                <w:noProof/>
              </w:rPr>
              <w:drawing>
                <wp:inline distT="0" distB="0" distL="0" distR="0" wp14:anchorId="02B945BD" wp14:editId="3AC13C40">
                  <wp:extent cx="2336400" cy="2243616"/>
                  <wp:effectExtent l="0" t="0" r="6985" b="4445"/>
                  <wp:docPr id="24" name="Picture 24" descr="No real-world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No real-world adjustmen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336400" cy="22436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72" w:type="dxa"/>
            <w:vMerge/>
          </w:tcPr>
          <w:p w14:paraId="07801AF4" w14:textId="77777777" w:rsidR="00E20F5E" w:rsidRPr="0049394D" w:rsidRDefault="00E20F5E" w:rsidP="00A85E1A">
            <w:pPr>
              <w:pStyle w:val="TableText0"/>
              <w:jc w:val="center"/>
            </w:pPr>
          </w:p>
        </w:tc>
      </w:tr>
    </w:tbl>
    <w:p w14:paraId="26EFA46E" w14:textId="77777777" w:rsidR="00E20F5E" w:rsidRPr="0049394D" w:rsidRDefault="00E20F5E" w:rsidP="00A85E1A">
      <w:pPr>
        <w:pStyle w:val="TableFigureFooter"/>
        <w:keepNext/>
      </w:pPr>
      <w:r w:rsidRPr="0049394D">
        <w:t>Source: compiled during the evaluation</w:t>
      </w:r>
    </w:p>
    <w:p w14:paraId="5283C8E8" w14:textId="77777777" w:rsidR="00E20F5E" w:rsidRPr="0049394D" w:rsidRDefault="00E20F5E" w:rsidP="00A85E1A">
      <w:pPr>
        <w:pStyle w:val="TableFigureFooter"/>
        <w:keepNext/>
      </w:pPr>
      <w:r w:rsidRPr="0049394D">
        <w:t xml:space="preserve">EFS=event free survival, AS=active surveillance, BEL=belzutifan, </w:t>
      </w:r>
    </w:p>
    <w:p w14:paraId="06D6F2F5" w14:textId="5F4EBB57" w:rsidR="002C4F3B" w:rsidRPr="0049394D" w:rsidRDefault="00E20F5E" w:rsidP="00E20F5E">
      <w:pPr>
        <w:pStyle w:val="3-BodyText"/>
        <w:rPr>
          <w:iCs/>
        </w:rPr>
      </w:pPr>
      <w:r w:rsidRPr="0049394D">
        <w:rPr>
          <w:iCs/>
        </w:rPr>
        <w:lastRenderedPageBreak/>
        <w:fldChar w:fldCharType="begin" w:fldLock="1"/>
      </w:r>
      <w:r w:rsidRPr="0049394D">
        <w:rPr>
          <w:iCs/>
        </w:rPr>
        <w:instrText xml:space="preserve"> REF _Ref166348138  \* MERGEFORMAT </w:instrText>
      </w:r>
      <w:r w:rsidRPr="0049394D">
        <w:rPr>
          <w:iCs/>
        </w:rPr>
        <w:fldChar w:fldCharType="separate"/>
      </w:r>
      <w:r w:rsidR="00437B51" w:rsidRPr="0049394D">
        <w:t xml:space="preserve">Figure </w:t>
      </w:r>
      <w:r w:rsidR="00437B51">
        <w:rPr>
          <w:noProof/>
        </w:rPr>
        <w:t>8</w:t>
      </w:r>
      <w:r w:rsidRPr="0049394D">
        <w:rPr>
          <w:iCs/>
        </w:rPr>
        <w:fldChar w:fldCharType="end"/>
      </w:r>
      <w:r w:rsidRPr="0049394D">
        <w:rPr>
          <w:iCs/>
        </w:rPr>
        <w:t xml:space="preserve"> presents internal validation plots of the model. </w:t>
      </w:r>
      <w:r w:rsidRPr="0049394D">
        <w:t xml:space="preserve">The submission provided internal validation of the time to surgery extrapolations for the RCC and CNS Hb model belzutifan arms and RCC model active surveillance arm, by assessing the extrapolations in the context of the model compared to the KM data for time to surgery, metastases or death both visually and statistically using mean squared error (MSE), and compared for clinical plausibility. The submission also presented overall survival validation against the VHL-NHS reweighted data (excluding the real-world adjustment). </w:t>
      </w:r>
      <w:r w:rsidRPr="0049394D">
        <w:rPr>
          <w:iCs/>
        </w:rPr>
        <w:t xml:space="preserve">The </w:t>
      </w:r>
      <w:r w:rsidR="00BF2F91" w:rsidRPr="00BF3570">
        <w:t>evaluation considered that the</w:t>
      </w:r>
      <w:r w:rsidR="00BF2F91" w:rsidRPr="0049394D">
        <w:rPr>
          <w:iCs/>
        </w:rPr>
        <w:t xml:space="preserve"> </w:t>
      </w:r>
      <w:r w:rsidRPr="0049394D">
        <w:rPr>
          <w:iCs/>
        </w:rPr>
        <w:t>modelled overall survival was a poor fit to the overall survival of RCC in VHL-NHS reweighted KM data.</w:t>
      </w:r>
    </w:p>
    <w:p w14:paraId="44C2B0A7" w14:textId="09A238F7" w:rsidR="002C4F3B" w:rsidRPr="0049394D" w:rsidRDefault="00E20F5E" w:rsidP="00E20F5E">
      <w:pPr>
        <w:pStyle w:val="3-BodyText"/>
        <w:rPr>
          <w:iCs/>
        </w:rPr>
      </w:pPr>
      <w:r w:rsidRPr="0049394D">
        <w:rPr>
          <w:iCs/>
        </w:rPr>
        <w:t xml:space="preserve">The submission did not provide any external validation of the model results, but there </w:t>
      </w:r>
      <w:r w:rsidR="00E8554B" w:rsidRPr="0049394D">
        <w:rPr>
          <w:iCs/>
        </w:rPr>
        <w:t>wa</w:t>
      </w:r>
      <w:r w:rsidRPr="0049394D">
        <w:rPr>
          <w:iCs/>
        </w:rPr>
        <w:t>s some evidence that the model underestimated survival. Total life expectancy estimated from the RCC model (starting age</w:t>
      </w:r>
      <w:r w:rsidR="00565773" w:rsidRPr="0049394D">
        <w:rPr>
          <w:iCs/>
        </w:rPr>
        <w:t xml:space="preserve"> of 4</w:t>
      </w:r>
      <w:r w:rsidR="007C0AE2" w:rsidRPr="0049394D">
        <w:rPr>
          <w:iCs/>
        </w:rPr>
        <w:t>1.0</w:t>
      </w:r>
      <w:r w:rsidR="00565773" w:rsidRPr="0049394D">
        <w:rPr>
          <w:iCs/>
        </w:rPr>
        <w:t> years</w:t>
      </w:r>
      <w:r w:rsidRPr="0049394D">
        <w:rPr>
          <w:iCs/>
        </w:rPr>
        <w:t xml:space="preserve"> plus </w:t>
      </w:r>
      <w:r w:rsidR="00565773" w:rsidRPr="0049394D">
        <w:rPr>
          <w:iCs/>
        </w:rPr>
        <w:t xml:space="preserve">undiscounted mean </w:t>
      </w:r>
      <w:r w:rsidRPr="0049394D">
        <w:rPr>
          <w:iCs/>
        </w:rPr>
        <w:t>life years accrued) was 58.6</w:t>
      </w:r>
      <w:r w:rsidR="00565773" w:rsidRPr="0049394D">
        <w:rPr>
          <w:iCs/>
        </w:rPr>
        <w:t> </w:t>
      </w:r>
      <w:r w:rsidRPr="0049394D">
        <w:rPr>
          <w:iCs/>
        </w:rPr>
        <w:t>years in the AS arm (58.5</w:t>
      </w:r>
      <w:r w:rsidR="00565773" w:rsidRPr="0049394D">
        <w:rPr>
          <w:iCs/>
        </w:rPr>
        <w:t> </w:t>
      </w:r>
      <w:r w:rsidRPr="0049394D">
        <w:rPr>
          <w:iCs/>
        </w:rPr>
        <w:t>year</w:t>
      </w:r>
      <w:r w:rsidR="00C63277" w:rsidRPr="0049394D">
        <w:rPr>
          <w:iCs/>
        </w:rPr>
        <w:t>s</w:t>
      </w:r>
      <w:r w:rsidRPr="0049394D">
        <w:rPr>
          <w:iCs/>
        </w:rPr>
        <w:t xml:space="preserve"> CNS Hb model, 53.7</w:t>
      </w:r>
      <w:r w:rsidR="00565773" w:rsidRPr="0049394D">
        <w:rPr>
          <w:iCs/>
        </w:rPr>
        <w:t> </w:t>
      </w:r>
      <w:r w:rsidRPr="0049394D">
        <w:rPr>
          <w:iCs/>
        </w:rPr>
        <w:t>years pNETs model) and 62.7</w:t>
      </w:r>
      <w:r w:rsidR="00565773" w:rsidRPr="0049394D">
        <w:rPr>
          <w:iCs/>
        </w:rPr>
        <w:t> </w:t>
      </w:r>
      <w:r w:rsidRPr="0049394D">
        <w:rPr>
          <w:iCs/>
        </w:rPr>
        <w:t>years in the belzutifan arm (62.8</w:t>
      </w:r>
      <w:r w:rsidR="00565773" w:rsidRPr="0049394D">
        <w:rPr>
          <w:iCs/>
        </w:rPr>
        <w:t> </w:t>
      </w:r>
      <w:r w:rsidRPr="0049394D">
        <w:rPr>
          <w:iCs/>
        </w:rPr>
        <w:t>years CNS Hb model, 58.9</w:t>
      </w:r>
      <w:r w:rsidR="00565773" w:rsidRPr="0049394D">
        <w:rPr>
          <w:iCs/>
        </w:rPr>
        <w:t> </w:t>
      </w:r>
      <w:r w:rsidRPr="0049394D">
        <w:rPr>
          <w:iCs/>
        </w:rPr>
        <w:t>years pNETs model) compared to 60 years for females and 67 years for males in Binderup 2017.</w:t>
      </w:r>
      <w:r w:rsidR="002C4F3B" w:rsidRPr="0049394D">
        <w:rPr>
          <w:iCs/>
        </w:rPr>
        <w:t xml:space="preserve"> </w:t>
      </w:r>
      <w:r w:rsidRPr="0049394D">
        <w:rPr>
          <w:iCs/>
        </w:rPr>
        <w:t xml:space="preserve">Overall, other published studies demonstrated that VHL patients are a heterogeneous population, and therefore the ICERs in the submission </w:t>
      </w:r>
      <w:r w:rsidR="00E8554B" w:rsidRPr="0049394D">
        <w:rPr>
          <w:iCs/>
        </w:rPr>
        <w:t>we</w:t>
      </w:r>
      <w:r w:rsidRPr="0049394D">
        <w:rPr>
          <w:iCs/>
        </w:rPr>
        <w:t>re likely to be highly uncertain.</w:t>
      </w:r>
    </w:p>
    <w:p w14:paraId="24BF47EC" w14:textId="561942C6" w:rsidR="00E20F5E" w:rsidRPr="0049394D" w:rsidRDefault="004F0647" w:rsidP="00E20F5E">
      <w:pPr>
        <w:pStyle w:val="3-BodyText"/>
        <w:rPr>
          <w:iCs/>
        </w:rPr>
      </w:pPr>
      <w:r w:rsidRPr="0049394D">
        <w:rPr>
          <w:iCs/>
        </w:rPr>
        <w:t>One possible concern for future belzutifan use would be a different case</w:t>
      </w:r>
      <w:r w:rsidR="00D64C15" w:rsidRPr="0049394D">
        <w:rPr>
          <w:iCs/>
        </w:rPr>
        <w:t xml:space="preserve"> </w:t>
      </w:r>
      <w:r w:rsidRPr="0049394D">
        <w:rPr>
          <w:iCs/>
        </w:rPr>
        <w:t>mix of belzutifan patients. LS-004 and the VHL-NHS reweighted populations considered a prevalent population of patients with mean age 41.0 years and a mean number of prior surgeries o</w:t>
      </w:r>
      <w:r w:rsidR="00CE3948">
        <w:rPr>
          <w:iCs/>
        </w:rPr>
        <w:t>f</w:t>
      </w:r>
      <w:r w:rsidRPr="0049394D">
        <w:rPr>
          <w:iCs/>
        </w:rPr>
        <w:t xml:space="preserve"> 2.4 in the RCC model, 2.8 in the CNS Hb model and 0.2 in the pNET populations. Currently it </w:t>
      </w:r>
      <w:r w:rsidR="00E8554B" w:rsidRPr="0049394D">
        <w:rPr>
          <w:iCs/>
        </w:rPr>
        <w:t>wa</w:t>
      </w:r>
      <w:r w:rsidRPr="0049394D">
        <w:rPr>
          <w:iCs/>
        </w:rPr>
        <w:t>s unclear which tumours and at what life stage clinicians will prefer to use belzutifan, but potentially future cohorts of patients who are eligible for belzutifan will be younger and have had fewer tumours or surgeries.</w:t>
      </w:r>
    </w:p>
    <w:p w14:paraId="5936E1D4" w14:textId="605BA26E" w:rsidR="00E20F5E" w:rsidRPr="0049394D" w:rsidRDefault="00E20F5E" w:rsidP="00A85E1A">
      <w:pPr>
        <w:pStyle w:val="TableFigureHeading"/>
      </w:pPr>
      <w:bookmarkStart w:id="74" w:name="_Ref166348138"/>
      <w:r w:rsidRPr="0049394D">
        <w:lastRenderedPageBreak/>
        <w:t xml:space="preserve">Figure </w:t>
      </w:r>
      <w:r>
        <w:fldChar w:fldCharType="begin" w:fldLock="1"/>
      </w:r>
      <w:r>
        <w:instrText xml:space="preserve"> SEQ Figure \* ARABIC </w:instrText>
      </w:r>
      <w:r>
        <w:fldChar w:fldCharType="separate"/>
      </w:r>
      <w:r w:rsidR="00437B51">
        <w:rPr>
          <w:noProof/>
        </w:rPr>
        <w:t>8</w:t>
      </w:r>
      <w:r>
        <w:rPr>
          <w:noProof/>
        </w:rPr>
        <w:fldChar w:fldCharType="end"/>
      </w:r>
      <w:bookmarkEnd w:id="74"/>
      <w:r w:rsidRPr="0049394D">
        <w:t>: Model validations in the submission</w:t>
      </w:r>
    </w:p>
    <w:tbl>
      <w:tblPr>
        <w:tblStyle w:val="TableGrid"/>
        <w:tblW w:w="0" w:type="auto"/>
        <w:tblLook w:val="04A0" w:firstRow="1" w:lastRow="0" w:firstColumn="1" w:lastColumn="0" w:noHBand="0" w:noVBand="1"/>
      </w:tblPr>
      <w:tblGrid>
        <w:gridCol w:w="4508"/>
        <w:gridCol w:w="4509"/>
      </w:tblGrid>
      <w:tr w:rsidR="00E20F5E" w:rsidRPr="0049394D" w14:paraId="702737DC" w14:textId="77777777" w:rsidTr="00282F0D">
        <w:tc>
          <w:tcPr>
            <w:tcW w:w="4508" w:type="dxa"/>
            <w:vAlign w:val="center"/>
          </w:tcPr>
          <w:p w14:paraId="29826B97" w14:textId="77777777" w:rsidR="00E20F5E" w:rsidRPr="0049394D" w:rsidRDefault="00E20F5E" w:rsidP="00A85E1A">
            <w:pPr>
              <w:pStyle w:val="In-tableHeading"/>
              <w:jc w:val="center"/>
              <w:rPr>
                <w:lang w:val="en-AU"/>
              </w:rPr>
            </w:pPr>
            <w:r w:rsidRPr="0049394D">
              <w:rPr>
                <w:lang w:val="en-AU"/>
              </w:rPr>
              <w:t>Time to surgery metastases, death</w:t>
            </w:r>
          </w:p>
        </w:tc>
        <w:tc>
          <w:tcPr>
            <w:tcW w:w="4509" w:type="dxa"/>
            <w:vAlign w:val="center"/>
          </w:tcPr>
          <w:p w14:paraId="0B665713" w14:textId="77777777" w:rsidR="00E20F5E" w:rsidRPr="0049394D" w:rsidRDefault="00E20F5E" w:rsidP="00A85E1A">
            <w:pPr>
              <w:pStyle w:val="In-tableHeading"/>
              <w:jc w:val="center"/>
              <w:rPr>
                <w:lang w:val="en-AU"/>
              </w:rPr>
            </w:pPr>
            <w:r w:rsidRPr="0049394D">
              <w:rPr>
                <w:lang w:val="en-AU"/>
              </w:rPr>
              <w:t>Overall survival</w:t>
            </w:r>
          </w:p>
        </w:tc>
      </w:tr>
      <w:tr w:rsidR="00E20F5E" w:rsidRPr="0049394D" w14:paraId="57871521" w14:textId="77777777" w:rsidTr="00282F0D">
        <w:tc>
          <w:tcPr>
            <w:tcW w:w="9017" w:type="dxa"/>
            <w:gridSpan w:val="2"/>
            <w:vAlign w:val="center"/>
          </w:tcPr>
          <w:p w14:paraId="2B96E976" w14:textId="77777777" w:rsidR="00E20F5E" w:rsidRPr="0049394D" w:rsidRDefault="00E20F5E" w:rsidP="00A85E1A">
            <w:pPr>
              <w:pStyle w:val="In-tableHeading"/>
              <w:jc w:val="center"/>
              <w:rPr>
                <w:lang w:val="en-AU"/>
              </w:rPr>
            </w:pPr>
            <w:r w:rsidRPr="0049394D">
              <w:rPr>
                <w:lang w:val="en-AU"/>
              </w:rPr>
              <w:t>RCC</w:t>
            </w:r>
          </w:p>
        </w:tc>
      </w:tr>
      <w:tr w:rsidR="00E20F5E" w:rsidRPr="0049394D" w14:paraId="15EEC5B5" w14:textId="77777777" w:rsidTr="00282F0D">
        <w:tc>
          <w:tcPr>
            <w:tcW w:w="4508" w:type="dxa"/>
            <w:vAlign w:val="center"/>
          </w:tcPr>
          <w:p w14:paraId="744274D7" w14:textId="77777777" w:rsidR="00E20F5E" w:rsidRPr="0049394D" w:rsidRDefault="00E20F5E" w:rsidP="00A85E1A">
            <w:pPr>
              <w:pStyle w:val="In-tableHeading"/>
              <w:jc w:val="center"/>
              <w:rPr>
                <w:lang w:val="en-AU"/>
              </w:rPr>
            </w:pPr>
            <w:r w:rsidRPr="0049394D">
              <w:rPr>
                <w:noProof/>
                <w:lang w:val="en-AU"/>
              </w:rPr>
              <w:drawing>
                <wp:inline distT="0" distB="0" distL="0" distR="0" wp14:anchorId="73938A6D" wp14:editId="0DF66E39">
                  <wp:extent cx="2790000" cy="1822142"/>
                  <wp:effectExtent l="0" t="0" r="0" b="6985"/>
                  <wp:docPr id="27" name="Picture 27" descr="Time to surgery metastases,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ime to surgery metastases, deat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0000" cy="1822142"/>
                          </a:xfrm>
                          <a:prstGeom prst="rect">
                            <a:avLst/>
                          </a:prstGeom>
                          <a:noFill/>
                        </pic:spPr>
                      </pic:pic>
                    </a:graphicData>
                  </a:graphic>
                </wp:inline>
              </w:drawing>
            </w:r>
          </w:p>
        </w:tc>
        <w:tc>
          <w:tcPr>
            <w:tcW w:w="4509" w:type="dxa"/>
            <w:vAlign w:val="center"/>
          </w:tcPr>
          <w:p w14:paraId="348964DA" w14:textId="77777777" w:rsidR="00E20F5E" w:rsidRPr="0049394D" w:rsidRDefault="00E20F5E" w:rsidP="00A85E1A">
            <w:pPr>
              <w:pStyle w:val="In-tableHeading"/>
              <w:jc w:val="center"/>
              <w:rPr>
                <w:lang w:val="en-AU"/>
              </w:rPr>
            </w:pPr>
            <w:r w:rsidRPr="0049394D">
              <w:rPr>
                <w:noProof/>
                <w:lang w:val="en-AU"/>
              </w:rPr>
              <w:drawing>
                <wp:inline distT="0" distB="0" distL="0" distR="0" wp14:anchorId="6D8A4EEA" wp14:editId="25990C72">
                  <wp:extent cx="2790000" cy="1439659"/>
                  <wp:effectExtent l="0" t="0" r="0" b="8255"/>
                  <wp:docPr id="31" name="Picture 31" descr="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Overall surviva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0000" cy="1439659"/>
                          </a:xfrm>
                          <a:prstGeom prst="rect">
                            <a:avLst/>
                          </a:prstGeom>
                          <a:noFill/>
                        </pic:spPr>
                      </pic:pic>
                    </a:graphicData>
                  </a:graphic>
                </wp:inline>
              </w:drawing>
            </w:r>
          </w:p>
        </w:tc>
      </w:tr>
      <w:tr w:rsidR="00E20F5E" w:rsidRPr="0049394D" w14:paraId="5C58E226" w14:textId="77777777" w:rsidTr="00282F0D">
        <w:tc>
          <w:tcPr>
            <w:tcW w:w="9017" w:type="dxa"/>
            <w:gridSpan w:val="2"/>
            <w:vAlign w:val="center"/>
          </w:tcPr>
          <w:p w14:paraId="04236150" w14:textId="77777777" w:rsidR="00E20F5E" w:rsidRPr="0049394D" w:rsidRDefault="00E20F5E" w:rsidP="00A85E1A">
            <w:pPr>
              <w:pStyle w:val="In-tableHeading"/>
              <w:jc w:val="center"/>
              <w:rPr>
                <w:lang w:val="en-AU"/>
              </w:rPr>
            </w:pPr>
            <w:r w:rsidRPr="0049394D">
              <w:rPr>
                <w:lang w:val="en-AU"/>
              </w:rPr>
              <w:t>CNS Hb model</w:t>
            </w:r>
          </w:p>
        </w:tc>
      </w:tr>
      <w:tr w:rsidR="00E20F5E" w:rsidRPr="0049394D" w14:paraId="68EC1079" w14:textId="77777777" w:rsidTr="00282F0D">
        <w:tc>
          <w:tcPr>
            <w:tcW w:w="4508" w:type="dxa"/>
            <w:vAlign w:val="center"/>
          </w:tcPr>
          <w:p w14:paraId="58E8AC76" w14:textId="77777777" w:rsidR="00E20F5E" w:rsidRPr="0049394D" w:rsidRDefault="00E20F5E" w:rsidP="00A85E1A">
            <w:pPr>
              <w:pStyle w:val="In-tableHeading"/>
              <w:jc w:val="center"/>
              <w:rPr>
                <w:lang w:val="en-AU"/>
              </w:rPr>
            </w:pPr>
            <w:r w:rsidRPr="0049394D">
              <w:rPr>
                <w:noProof/>
                <w:lang w:val="en-AU"/>
              </w:rPr>
              <w:drawing>
                <wp:inline distT="0" distB="0" distL="0" distR="0" wp14:anchorId="6B72690E" wp14:editId="6CEE2AD5">
                  <wp:extent cx="2790000" cy="1822142"/>
                  <wp:effectExtent l="0" t="0" r="0" b="6985"/>
                  <wp:docPr id="28" name="Picture 28" descr="Time to surgery metastases,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ime to surgery metastases, deat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0000" cy="1822142"/>
                          </a:xfrm>
                          <a:prstGeom prst="rect">
                            <a:avLst/>
                          </a:prstGeom>
                          <a:noFill/>
                        </pic:spPr>
                      </pic:pic>
                    </a:graphicData>
                  </a:graphic>
                </wp:inline>
              </w:drawing>
            </w:r>
          </w:p>
        </w:tc>
        <w:tc>
          <w:tcPr>
            <w:tcW w:w="4509" w:type="dxa"/>
            <w:vAlign w:val="center"/>
          </w:tcPr>
          <w:p w14:paraId="712D10D8" w14:textId="77777777" w:rsidR="00E20F5E" w:rsidRPr="0049394D" w:rsidRDefault="00E20F5E" w:rsidP="00A85E1A">
            <w:pPr>
              <w:pStyle w:val="In-tableHeading"/>
              <w:jc w:val="center"/>
              <w:rPr>
                <w:lang w:val="en-AU"/>
              </w:rPr>
            </w:pPr>
            <w:r w:rsidRPr="0049394D">
              <w:rPr>
                <w:noProof/>
                <w:lang w:val="en-AU"/>
              </w:rPr>
              <w:drawing>
                <wp:inline distT="0" distB="0" distL="0" distR="0" wp14:anchorId="54F4990C" wp14:editId="29645760">
                  <wp:extent cx="2790000" cy="1451025"/>
                  <wp:effectExtent l="0" t="0" r="0" b="0"/>
                  <wp:docPr id="32" name="Picture 32" descr="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Overall surviva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0000" cy="1451025"/>
                          </a:xfrm>
                          <a:prstGeom prst="rect">
                            <a:avLst/>
                          </a:prstGeom>
                          <a:noFill/>
                        </pic:spPr>
                      </pic:pic>
                    </a:graphicData>
                  </a:graphic>
                </wp:inline>
              </w:drawing>
            </w:r>
          </w:p>
        </w:tc>
      </w:tr>
      <w:tr w:rsidR="00E20F5E" w:rsidRPr="0049394D" w14:paraId="2B357BFC" w14:textId="77777777" w:rsidTr="00282F0D">
        <w:tc>
          <w:tcPr>
            <w:tcW w:w="9017" w:type="dxa"/>
            <w:gridSpan w:val="2"/>
            <w:vAlign w:val="center"/>
          </w:tcPr>
          <w:p w14:paraId="4340E246" w14:textId="77777777" w:rsidR="00E20F5E" w:rsidRPr="0049394D" w:rsidRDefault="00E20F5E" w:rsidP="00A85E1A">
            <w:pPr>
              <w:pStyle w:val="In-tableHeading"/>
              <w:jc w:val="center"/>
              <w:rPr>
                <w:lang w:val="en-AU"/>
              </w:rPr>
            </w:pPr>
            <w:r w:rsidRPr="0049394D">
              <w:rPr>
                <w:lang w:val="en-AU"/>
              </w:rPr>
              <w:t>pNET model</w:t>
            </w:r>
          </w:p>
        </w:tc>
      </w:tr>
      <w:tr w:rsidR="00E20F5E" w:rsidRPr="0049394D" w14:paraId="5E3626F1" w14:textId="77777777" w:rsidTr="00282F0D">
        <w:tc>
          <w:tcPr>
            <w:tcW w:w="4508" w:type="dxa"/>
            <w:vAlign w:val="center"/>
          </w:tcPr>
          <w:p w14:paraId="3DE2433F" w14:textId="77777777" w:rsidR="00E20F5E" w:rsidRPr="0049394D" w:rsidRDefault="00E20F5E" w:rsidP="00A85E1A">
            <w:pPr>
              <w:pStyle w:val="In-tableHeading"/>
              <w:jc w:val="center"/>
              <w:rPr>
                <w:lang w:val="en-AU"/>
              </w:rPr>
            </w:pPr>
            <w:r w:rsidRPr="0049394D">
              <w:rPr>
                <w:noProof/>
                <w:lang w:val="en-AU"/>
              </w:rPr>
              <w:drawing>
                <wp:inline distT="0" distB="0" distL="0" distR="0" wp14:anchorId="0E5EEA6F" wp14:editId="7453BD1F">
                  <wp:extent cx="2790000" cy="1822142"/>
                  <wp:effectExtent l="0" t="0" r="0" b="6985"/>
                  <wp:docPr id="29" name="Picture 29" descr="Time to surgery metastases,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ime to surgery metastases, deat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0000" cy="1822142"/>
                          </a:xfrm>
                          <a:prstGeom prst="rect">
                            <a:avLst/>
                          </a:prstGeom>
                          <a:noFill/>
                        </pic:spPr>
                      </pic:pic>
                    </a:graphicData>
                  </a:graphic>
                </wp:inline>
              </w:drawing>
            </w:r>
          </w:p>
        </w:tc>
        <w:tc>
          <w:tcPr>
            <w:tcW w:w="4509" w:type="dxa"/>
            <w:vAlign w:val="center"/>
          </w:tcPr>
          <w:p w14:paraId="2C3A936A" w14:textId="77777777" w:rsidR="00E20F5E" w:rsidRPr="0049394D" w:rsidRDefault="00E20F5E" w:rsidP="00A85E1A">
            <w:pPr>
              <w:pStyle w:val="In-tableHeading"/>
              <w:jc w:val="center"/>
              <w:rPr>
                <w:lang w:val="en-AU"/>
              </w:rPr>
            </w:pPr>
            <w:r w:rsidRPr="0049394D">
              <w:rPr>
                <w:noProof/>
                <w:lang w:val="en-AU"/>
              </w:rPr>
              <w:drawing>
                <wp:inline distT="0" distB="0" distL="0" distR="0" wp14:anchorId="3F4C1592" wp14:editId="6606C1EA">
                  <wp:extent cx="2790000" cy="1451025"/>
                  <wp:effectExtent l="0" t="0" r="0" b="0"/>
                  <wp:docPr id="33" name="Picture 33" descr="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Overall surviva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0000" cy="1451025"/>
                          </a:xfrm>
                          <a:prstGeom prst="rect">
                            <a:avLst/>
                          </a:prstGeom>
                          <a:noFill/>
                        </pic:spPr>
                      </pic:pic>
                    </a:graphicData>
                  </a:graphic>
                </wp:inline>
              </w:drawing>
            </w:r>
          </w:p>
        </w:tc>
      </w:tr>
    </w:tbl>
    <w:p w14:paraId="5E80D8CB" w14:textId="77777777" w:rsidR="00E20F5E" w:rsidRPr="0049394D" w:rsidRDefault="00E20F5E" w:rsidP="00A85E1A">
      <w:pPr>
        <w:pStyle w:val="TableFigureFooter"/>
        <w:keepNext/>
      </w:pPr>
      <w:r w:rsidRPr="0049394D">
        <w:t>Source: compiled from Appendix A.7 and sheets ‘Effectiveness Validations_OS’, ‘Distrib Validations’ of Excel workbook Attachment 7 (CUA).xlsm</w:t>
      </w:r>
    </w:p>
    <w:p w14:paraId="1009DD82" w14:textId="77777777" w:rsidR="00E20F5E" w:rsidRPr="0049394D" w:rsidRDefault="00E20F5E" w:rsidP="00A85E1A">
      <w:pPr>
        <w:pStyle w:val="TableFigureFooter"/>
        <w:keepNext/>
      </w:pPr>
      <w:r w:rsidRPr="0049394D">
        <w:t>VHL-NHS refers to VHL-NHS reweighted data from the MAIC. Validation plots exclude real world adjustment.</w:t>
      </w:r>
    </w:p>
    <w:p w14:paraId="65837E12" w14:textId="5C025DD1" w:rsidR="00E20F5E" w:rsidRPr="0049394D" w:rsidRDefault="00E20F5E" w:rsidP="00E20F5E">
      <w:pPr>
        <w:pStyle w:val="3-BodyText"/>
      </w:pPr>
      <w:r w:rsidRPr="0049394D">
        <w:t xml:space="preserve">A summary of the key model drivers is presented in </w:t>
      </w:r>
      <w:r w:rsidRPr="0049394D">
        <w:fldChar w:fldCharType="begin" w:fldLock="1"/>
      </w:r>
      <w:r w:rsidRPr="0049394D">
        <w:instrText xml:space="preserve"> REF _Ref104805122 \h  \* MERGEFORMAT </w:instrText>
      </w:r>
      <w:r w:rsidRPr="0049394D">
        <w:fldChar w:fldCharType="separate"/>
      </w:r>
      <w:r w:rsidR="00437B51" w:rsidRPr="0049394D">
        <w:t xml:space="preserve">Table </w:t>
      </w:r>
      <w:r w:rsidR="00437B51">
        <w:t>13</w:t>
      </w:r>
      <w:r w:rsidRPr="0049394D">
        <w:fldChar w:fldCharType="end"/>
      </w:r>
      <w:r w:rsidRPr="0049394D">
        <w:t xml:space="preserve">. </w:t>
      </w:r>
    </w:p>
    <w:p w14:paraId="00885B13" w14:textId="59EF993F" w:rsidR="00E20F5E" w:rsidRPr="0049394D" w:rsidRDefault="00E20F5E" w:rsidP="00E20F5E">
      <w:pPr>
        <w:pStyle w:val="Caption"/>
        <w:jc w:val="left"/>
        <w:rPr>
          <w:rStyle w:val="CommentReference"/>
          <w:b/>
          <w:szCs w:val="24"/>
        </w:rPr>
      </w:pPr>
      <w:bookmarkStart w:id="75" w:name="_Ref104805122"/>
      <w:r w:rsidRPr="0049394D">
        <w:lastRenderedPageBreak/>
        <w:t xml:space="preserve">Table </w:t>
      </w:r>
      <w:r>
        <w:fldChar w:fldCharType="begin" w:fldLock="1"/>
      </w:r>
      <w:r>
        <w:instrText xml:space="preserve"> SEQ Table \* ARABIC </w:instrText>
      </w:r>
      <w:r>
        <w:fldChar w:fldCharType="separate"/>
      </w:r>
      <w:r w:rsidR="00437B51">
        <w:rPr>
          <w:noProof/>
        </w:rPr>
        <w:t>13</w:t>
      </w:r>
      <w:r>
        <w:rPr>
          <w:noProof/>
        </w:rPr>
        <w:fldChar w:fldCharType="end"/>
      </w:r>
      <w:bookmarkEnd w:id="75"/>
      <w:r w:rsidRPr="0049394D">
        <w:t>:</w:t>
      </w:r>
      <w:r w:rsidRPr="0049394D">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129"/>
        <w:gridCol w:w="5104"/>
        <w:gridCol w:w="2784"/>
      </w:tblGrid>
      <w:tr w:rsidR="00E20F5E" w:rsidRPr="0049394D" w14:paraId="0A60A853" w14:textId="77777777" w:rsidTr="00465819">
        <w:trPr>
          <w:cantSplit/>
          <w:tblHeader/>
        </w:trPr>
        <w:tc>
          <w:tcPr>
            <w:tcW w:w="626" w:type="pct"/>
            <w:shd w:val="clear" w:color="auto" w:fill="auto"/>
            <w:vAlign w:val="center"/>
          </w:tcPr>
          <w:p w14:paraId="0A1A95E9" w14:textId="77777777" w:rsidR="00E20F5E" w:rsidRPr="0049394D" w:rsidRDefault="00E20F5E" w:rsidP="00282F0D">
            <w:pPr>
              <w:pStyle w:val="In-tableHeading"/>
              <w:keepNext w:val="0"/>
              <w:jc w:val="center"/>
              <w:rPr>
                <w:lang w:val="en-AU"/>
              </w:rPr>
            </w:pPr>
            <w:r w:rsidRPr="0049394D">
              <w:rPr>
                <w:lang w:val="en-AU"/>
              </w:rPr>
              <w:t>Description</w:t>
            </w:r>
          </w:p>
        </w:tc>
        <w:tc>
          <w:tcPr>
            <w:tcW w:w="2830" w:type="pct"/>
            <w:shd w:val="clear" w:color="auto" w:fill="auto"/>
            <w:vAlign w:val="center"/>
          </w:tcPr>
          <w:p w14:paraId="38F5D35A" w14:textId="77777777" w:rsidR="00E20F5E" w:rsidRPr="0049394D" w:rsidRDefault="00E20F5E" w:rsidP="00282F0D">
            <w:pPr>
              <w:pStyle w:val="In-tableHeading"/>
              <w:keepNext w:val="0"/>
              <w:jc w:val="center"/>
              <w:rPr>
                <w:lang w:val="en-AU"/>
              </w:rPr>
            </w:pPr>
            <w:r w:rsidRPr="0049394D">
              <w:rPr>
                <w:lang w:val="en-AU"/>
              </w:rPr>
              <w:t>Method/Value</w:t>
            </w:r>
          </w:p>
        </w:tc>
        <w:tc>
          <w:tcPr>
            <w:tcW w:w="1544" w:type="pct"/>
            <w:shd w:val="clear" w:color="auto" w:fill="auto"/>
            <w:vAlign w:val="center"/>
          </w:tcPr>
          <w:p w14:paraId="49BA0284" w14:textId="77777777" w:rsidR="00E20F5E" w:rsidRPr="0049394D" w:rsidRDefault="00E20F5E" w:rsidP="00282F0D">
            <w:pPr>
              <w:pStyle w:val="In-tableHeading"/>
              <w:keepNext w:val="0"/>
              <w:jc w:val="center"/>
              <w:rPr>
                <w:lang w:val="en-AU"/>
              </w:rPr>
            </w:pPr>
            <w:r w:rsidRPr="0049394D">
              <w:rPr>
                <w:lang w:val="en-AU"/>
              </w:rPr>
              <w:t>Impact</w:t>
            </w:r>
          </w:p>
          <w:p w14:paraId="7FFF69CD" w14:textId="77777777" w:rsidR="00E20F5E" w:rsidRPr="0049394D" w:rsidRDefault="00E20F5E" w:rsidP="00282F0D">
            <w:pPr>
              <w:pStyle w:val="In-tableHeading"/>
              <w:keepNext w:val="0"/>
              <w:jc w:val="center"/>
              <w:rPr>
                <w:lang w:val="en-AU"/>
              </w:rPr>
            </w:pPr>
            <w:r w:rsidRPr="0049394D">
              <w:rPr>
                <w:lang w:val="en-AU"/>
              </w:rPr>
              <w:t>Base case:</w:t>
            </w:r>
          </w:p>
          <w:p w14:paraId="048AD43D" w14:textId="03B27E3A" w:rsidR="00E20F5E" w:rsidRPr="0049394D" w:rsidRDefault="00E20F5E" w:rsidP="00282F0D">
            <w:pPr>
              <w:pStyle w:val="In-tableHeading"/>
              <w:keepNext w:val="0"/>
              <w:jc w:val="center"/>
              <w:rPr>
                <w:lang w:val="en-AU"/>
              </w:rPr>
            </w:pPr>
            <w:r w:rsidRPr="0049394D">
              <w:rPr>
                <w:lang w:val="en-AU"/>
              </w:rPr>
              <w:t>$</w:t>
            </w:r>
            <w:r w:rsidR="00501C36" w:rsidRPr="00501C36">
              <w:rPr>
                <w:rFonts w:hint="eastAsia"/>
                <w:color w:val="000000"/>
                <w:w w:val="15"/>
                <w:shd w:val="solid" w:color="000000" w:fill="000000"/>
                <w:fitText w:val="30" w:id="-893684725"/>
                <w:lang w:val="en-AU"/>
                <w14:textFill>
                  <w14:solidFill>
                    <w14:srgbClr w14:val="000000">
                      <w14:alpha w14:val="100000"/>
                    </w14:srgbClr>
                  </w14:solidFill>
                </w14:textFill>
              </w:rPr>
              <w:t xml:space="preserve">　</w:t>
            </w:r>
            <w:r w:rsidR="00501C36" w:rsidRPr="00501C36">
              <w:rPr>
                <w:color w:val="000000"/>
                <w:w w:val="15"/>
                <w:shd w:val="solid" w:color="000000" w:fill="000000"/>
                <w:fitText w:val="30" w:id="-893684725"/>
                <w:lang w:val="en-AU"/>
                <w14:textFill>
                  <w14:solidFill>
                    <w14:srgbClr w14:val="000000">
                      <w14:alpha w14:val="100000"/>
                    </w14:srgbClr>
                  </w14:solidFill>
                </w14:textFill>
              </w:rPr>
              <w:t>|</w:t>
            </w:r>
            <w:r w:rsidR="00501C36" w:rsidRPr="00501C36">
              <w:rPr>
                <w:rFonts w:hint="eastAsia"/>
                <w:color w:val="000000"/>
                <w:spacing w:val="-36"/>
                <w:w w:val="15"/>
                <w:shd w:val="solid" w:color="000000" w:fill="000000"/>
                <w:fitText w:val="30" w:id="-893684725"/>
                <w:lang w:val="en-AU"/>
                <w14:textFill>
                  <w14:solidFill>
                    <w14:srgbClr w14:val="000000">
                      <w14:alpha w14:val="100000"/>
                    </w14:srgbClr>
                  </w14:solidFill>
                </w14:textFill>
              </w:rPr>
              <w:t xml:space="preserve">　</w:t>
            </w:r>
            <w:r w:rsidR="00641419" w:rsidRPr="0009066F">
              <w:rPr>
                <w:vertAlign w:val="superscript"/>
                <w:lang w:val="en-AU"/>
              </w:rPr>
              <w:t>1</w:t>
            </w:r>
            <w:r w:rsidRPr="0049394D">
              <w:rPr>
                <w:lang w:val="en-AU"/>
              </w:rPr>
              <w:t>/QALY</w:t>
            </w:r>
            <w:r w:rsidR="00565773" w:rsidRPr="0049394D">
              <w:rPr>
                <w:lang w:val="en-AU"/>
              </w:rPr>
              <w:t xml:space="preserve"> RCC model</w:t>
            </w:r>
          </w:p>
          <w:p w14:paraId="5CFCD7E3" w14:textId="33BE5926" w:rsidR="00E20F5E" w:rsidRPr="0049394D" w:rsidRDefault="00E20F5E" w:rsidP="00282F0D">
            <w:pPr>
              <w:pStyle w:val="In-tableHeading"/>
              <w:keepNext w:val="0"/>
              <w:jc w:val="center"/>
              <w:rPr>
                <w:lang w:val="en-AU"/>
              </w:rPr>
            </w:pPr>
            <w:r w:rsidRPr="0049394D">
              <w:rPr>
                <w:lang w:val="en-AU"/>
              </w:rPr>
              <w:t>$</w:t>
            </w:r>
            <w:r w:rsidR="00501C36" w:rsidRPr="00501C36">
              <w:rPr>
                <w:rFonts w:hint="eastAsia"/>
                <w:color w:val="000000"/>
                <w:w w:val="33"/>
                <w:shd w:val="solid" w:color="000000" w:fill="000000"/>
                <w:fitText w:val="150" w:id="-893684724"/>
                <w:lang w:val="en-AU"/>
                <w14:textFill>
                  <w14:solidFill>
                    <w14:srgbClr w14:val="000000">
                      <w14:alpha w14:val="100000"/>
                    </w14:srgbClr>
                  </w14:solidFill>
                </w14:textFill>
              </w:rPr>
              <w:t xml:space="preserve">　</w:t>
            </w:r>
            <w:r w:rsidR="00501C36" w:rsidRPr="00501C36">
              <w:rPr>
                <w:color w:val="000000"/>
                <w:w w:val="33"/>
                <w:shd w:val="solid" w:color="000000" w:fill="000000"/>
                <w:fitText w:val="150" w:id="-893684724"/>
                <w:lang w:val="en-AU"/>
                <w14:textFill>
                  <w14:solidFill>
                    <w14:srgbClr w14:val="000000">
                      <w14:alpha w14:val="100000"/>
                    </w14:srgbClr>
                  </w14:solidFill>
                </w14:textFill>
              </w:rPr>
              <w:t>|</w:t>
            </w:r>
            <w:r w:rsidR="00501C36" w:rsidRPr="00501C36">
              <w:rPr>
                <w:rFonts w:hint="eastAsia"/>
                <w:color w:val="000000"/>
                <w:spacing w:val="3"/>
                <w:w w:val="33"/>
                <w:shd w:val="solid" w:color="000000" w:fill="000000"/>
                <w:fitText w:val="150" w:id="-893684724"/>
                <w:lang w:val="en-AU"/>
                <w14:textFill>
                  <w14:solidFill>
                    <w14:srgbClr w14:val="000000">
                      <w14:alpha w14:val="100000"/>
                    </w14:srgbClr>
                  </w14:solidFill>
                </w14:textFill>
              </w:rPr>
              <w:t xml:space="preserve">　</w:t>
            </w:r>
            <w:r w:rsidR="00641419" w:rsidRPr="003F0AD1">
              <w:rPr>
                <w:vertAlign w:val="superscript"/>
                <w:lang w:val="en-AU"/>
              </w:rPr>
              <w:t>1</w:t>
            </w:r>
            <w:r w:rsidRPr="0049394D">
              <w:rPr>
                <w:lang w:val="en-AU"/>
              </w:rPr>
              <w:t>/QALY</w:t>
            </w:r>
            <w:r w:rsidR="00565773" w:rsidRPr="0049394D">
              <w:rPr>
                <w:lang w:val="en-AU"/>
              </w:rPr>
              <w:t xml:space="preserve"> CNS Hb model</w:t>
            </w:r>
          </w:p>
          <w:p w14:paraId="6AF3145A" w14:textId="5C0CC621" w:rsidR="00E20F5E" w:rsidRPr="0049394D" w:rsidRDefault="00E20F5E" w:rsidP="00282F0D">
            <w:pPr>
              <w:pStyle w:val="In-tableHeading"/>
              <w:keepNext w:val="0"/>
              <w:jc w:val="center"/>
              <w:rPr>
                <w:lang w:val="en-AU"/>
              </w:rPr>
            </w:pPr>
            <w:r w:rsidRPr="0049394D">
              <w:rPr>
                <w:lang w:val="en-AU"/>
              </w:rPr>
              <w:t>$</w:t>
            </w:r>
            <w:r w:rsidR="00501C36" w:rsidRPr="00501C36">
              <w:rPr>
                <w:rFonts w:hint="eastAsia"/>
                <w:color w:val="000000"/>
                <w:w w:val="15"/>
                <w:shd w:val="solid" w:color="000000" w:fill="000000"/>
                <w:fitText w:val="60" w:id="-893684723"/>
                <w:lang w:val="en-AU"/>
                <w14:textFill>
                  <w14:solidFill>
                    <w14:srgbClr w14:val="000000">
                      <w14:alpha w14:val="100000"/>
                    </w14:srgbClr>
                  </w14:solidFill>
                </w14:textFill>
              </w:rPr>
              <w:t xml:space="preserve">　</w:t>
            </w:r>
            <w:r w:rsidR="00501C36" w:rsidRPr="00501C36">
              <w:rPr>
                <w:color w:val="000000"/>
                <w:w w:val="15"/>
                <w:shd w:val="solid" w:color="000000" w:fill="000000"/>
                <w:fitText w:val="60" w:id="-893684723"/>
                <w:lang w:val="en-AU"/>
                <w14:textFill>
                  <w14:solidFill>
                    <w14:srgbClr w14:val="000000">
                      <w14:alpha w14:val="100000"/>
                    </w14:srgbClr>
                  </w14:solidFill>
                </w14:textFill>
              </w:rPr>
              <w:t>|</w:t>
            </w:r>
            <w:r w:rsidR="00501C36" w:rsidRPr="00501C36">
              <w:rPr>
                <w:rFonts w:hint="eastAsia"/>
                <w:color w:val="000000"/>
                <w:spacing w:val="-6"/>
                <w:w w:val="15"/>
                <w:shd w:val="solid" w:color="000000" w:fill="000000"/>
                <w:fitText w:val="60" w:id="-893684723"/>
                <w:lang w:val="en-AU"/>
                <w14:textFill>
                  <w14:solidFill>
                    <w14:srgbClr w14:val="000000">
                      <w14:alpha w14:val="100000"/>
                    </w14:srgbClr>
                  </w14:solidFill>
                </w14:textFill>
              </w:rPr>
              <w:t xml:space="preserve">　</w:t>
            </w:r>
            <w:r w:rsidR="00641419" w:rsidRPr="003F0AD1">
              <w:rPr>
                <w:vertAlign w:val="superscript"/>
                <w:lang w:val="en-AU"/>
              </w:rPr>
              <w:t>1</w:t>
            </w:r>
            <w:r w:rsidRPr="0049394D">
              <w:rPr>
                <w:lang w:val="en-AU"/>
              </w:rPr>
              <w:t>/QALY</w:t>
            </w:r>
            <w:r w:rsidR="00565773" w:rsidRPr="0049394D">
              <w:rPr>
                <w:lang w:val="en-AU"/>
              </w:rPr>
              <w:t xml:space="preserve"> pNET model</w:t>
            </w:r>
          </w:p>
        </w:tc>
      </w:tr>
      <w:tr w:rsidR="00E20F5E" w:rsidRPr="0049394D" w14:paraId="2BE6B3A5" w14:textId="77777777" w:rsidTr="00465819">
        <w:trPr>
          <w:cantSplit/>
        </w:trPr>
        <w:tc>
          <w:tcPr>
            <w:tcW w:w="626" w:type="pct"/>
            <w:shd w:val="clear" w:color="auto" w:fill="auto"/>
            <w:vAlign w:val="center"/>
          </w:tcPr>
          <w:p w14:paraId="392633B9" w14:textId="77777777" w:rsidR="00E20F5E" w:rsidRPr="0049394D" w:rsidRDefault="00E20F5E" w:rsidP="00282F0D">
            <w:pPr>
              <w:pStyle w:val="TableText0"/>
              <w:keepNext w:val="0"/>
            </w:pPr>
            <w:r w:rsidRPr="0049394D">
              <w:t>Extrapolation period</w:t>
            </w:r>
          </w:p>
        </w:tc>
        <w:tc>
          <w:tcPr>
            <w:tcW w:w="2830" w:type="pct"/>
            <w:shd w:val="clear" w:color="auto" w:fill="auto"/>
            <w:vAlign w:val="center"/>
          </w:tcPr>
          <w:p w14:paraId="099B0332" w14:textId="59F7A5E6" w:rsidR="00E20F5E" w:rsidRPr="0049394D" w:rsidRDefault="00E20F5E" w:rsidP="00282F0D">
            <w:pPr>
              <w:pStyle w:val="TableText0"/>
              <w:keepNext w:val="0"/>
            </w:pPr>
            <w:r w:rsidRPr="0049394D">
              <w:t>The models extrapolated from Time 0 to 40 years compared to 38.1 months (mean) in LS-004 and 112.0 months (mean) in VHL-NHS.</w:t>
            </w:r>
          </w:p>
        </w:tc>
        <w:tc>
          <w:tcPr>
            <w:tcW w:w="1544" w:type="pct"/>
            <w:shd w:val="clear" w:color="auto" w:fill="auto"/>
            <w:vAlign w:val="center"/>
          </w:tcPr>
          <w:p w14:paraId="1AD6577A" w14:textId="16D12FEB" w:rsidR="00E20F5E" w:rsidRPr="0049394D" w:rsidRDefault="00E20F5E" w:rsidP="00282F0D">
            <w:pPr>
              <w:pStyle w:val="TableText0"/>
              <w:keepNext w:val="0"/>
            </w:pPr>
            <w:r w:rsidRPr="0049394D">
              <w:t>High, favoured belzutifan. If the time horizon was restricted to 4 years</w:t>
            </w:r>
            <w:r w:rsidR="00565773" w:rsidRPr="0049394D">
              <w:t xml:space="preserve"> (</w:t>
            </w:r>
            <w:r w:rsidR="00D64C15" w:rsidRPr="0049394D">
              <w:t>i.e</w:t>
            </w:r>
            <w:r w:rsidR="00565773" w:rsidRPr="0049394D">
              <w:t>. end of the data period)</w:t>
            </w:r>
            <w:r w:rsidRPr="0049394D">
              <w:t xml:space="preserve"> the ICER increased to</w:t>
            </w:r>
            <w:r w:rsidR="00DC28BF" w:rsidRPr="0049394D">
              <w:t xml:space="preserve"> </w:t>
            </w:r>
            <w:r w:rsidRPr="0049394D">
              <w:t>$</w:t>
            </w:r>
            <w:r w:rsidR="00501C36" w:rsidRPr="00501C36">
              <w:rPr>
                <w:color w:val="000000"/>
                <w:spacing w:val="53"/>
                <w:shd w:val="solid" w:color="000000" w:fill="000000"/>
                <w:fitText w:val="330" w:id="-893684722"/>
                <w14:textFill>
                  <w14:solidFill>
                    <w14:srgbClr w14:val="000000">
                      <w14:alpha w14:val="100000"/>
                    </w14:srgbClr>
                  </w14:solidFill>
                </w14:textFill>
              </w:rPr>
              <w:t>|||</w:t>
            </w:r>
            <w:r w:rsidR="00501C36" w:rsidRPr="00501C36">
              <w:rPr>
                <w:color w:val="000000"/>
                <w:spacing w:val="1"/>
                <w:shd w:val="solid" w:color="000000" w:fill="000000"/>
                <w:fitText w:val="330" w:id="-893684722"/>
                <w14:textFill>
                  <w14:solidFill>
                    <w14:srgbClr w14:val="000000">
                      <w14:alpha w14:val="100000"/>
                    </w14:srgbClr>
                  </w14:solidFill>
                </w14:textFill>
              </w:rPr>
              <w:t>|</w:t>
            </w:r>
            <w:r w:rsidR="00641419" w:rsidRPr="0009066F">
              <w:rPr>
                <w:vertAlign w:val="superscript"/>
              </w:rPr>
              <w:t>2</w:t>
            </w:r>
            <w:r w:rsidR="00565773" w:rsidRPr="0049394D">
              <w:t>/QALY</w:t>
            </w:r>
            <w:r w:rsidRPr="0049394D">
              <w:t xml:space="preserve"> </w:t>
            </w:r>
            <w:r w:rsidR="00565773" w:rsidRPr="0049394D">
              <w:t xml:space="preserve">RCC model; </w:t>
            </w:r>
            <w:r w:rsidRPr="0049394D">
              <w:t>$</w:t>
            </w:r>
            <w:r w:rsidR="00501C36" w:rsidRPr="00501C36">
              <w:rPr>
                <w:color w:val="000000"/>
                <w:spacing w:val="53"/>
                <w:shd w:val="solid" w:color="000000" w:fill="000000"/>
                <w:fitText w:val="330" w:id="-893684721"/>
                <w14:textFill>
                  <w14:solidFill>
                    <w14:srgbClr w14:val="000000">
                      <w14:alpha w14:val="100000"/>
                    </w14:srgbClr>
                  </w14:solidFill>
                </w14:textFill>
              </w:rPr>
              <w:t>|||</w:t>
            </w:r>
            <w:r w:rsidR="00501C36" w:rsidRPr="00501C36">
              <w:rPr>
                <w:color w:val="000000"/>
                <w:spacing w:val="1"/>
                <w:shd w:val="solid" w:color="000000" w:fill="000000"/>
                <w:fitText w:val="330" w:id="-893684721"/>
                <w14:textFill>
                  <w14:solidFill>
                    <w14:srgbClr w14:val="000000">
                      <w14:alpha w14:val="100000"/>
                    </w14:srgbClr>
                  </w14:solidFill>
                </w14:textFill>
              </w:rPr>
              <w:t>|</w:t>
            </w:r>
            <w:r w:rsidR="00641419" w:rsidRPr="003F0AD1">
              <w:rPr>
                <w:vertAlign w:val="superscript"/>
              </w:rPr>
              <w:t>2</w:t>
            </w:r>
            <w:r w:rsidR="00565773" w:rsidRPr="0049394D">
              <w:t>/QALY CNS Hb model</w:t>
            </w:r>
            <w:r w:rsidRPr="0049394D">
              <w:t>; $</w:t>
            </w:r>
            <w:r w:rsidR="00501C36" w:rsidRPr="00501C36">
              <w:rPr>
                <w:color w:val="000000"/>
                <w:spacing w:val="53"/>
                <w:shd w:val="solid" w:color="000000" w:fill="000000"/>
                <w:fitText w:val="330" w:id="-893684720"/>
                <w14:textFill>
                  <w14:solidFill>
                    <w14:srgbClr w14:val="000000">
                      <w14:alpha w14:val="100000"/>
                    </w14:srgbClr>
                  </w14:solidFill>
                </w14:textFill>
              </w:rPr>
              <w:t>|||</w:t>
            </w:r>
            <w:r w:rsidR="00501C36" w:rsidRPr="00501C36">
              <w:rPr>
                <w:color w:val="000000"/>
                <w:spacing w:val="1"/>
                <w:shd w:val="solid" w:color="000000" w:fill="000000"/>
                <w:fitText w:val="330" w:id="-893684720"/>
                <w14:textFill>
                  <w14:solidFill>
                    <w14:srgbClr w14:val="000000">
                      <w14:alpha w14:val="100000"/>
                    </w14:srgbClr>
                  </w14:solidFill>
                </w14:textFill>
              </w:rPr>
              <w:t>|</w:t>
            </w:r>
            <w:r w:rsidR="00641419" w:rsidRPr="0009066F">
              <w:rPr>
                <w:vertAlign w:val="superscript"/>
              </w:rPr>
              <w:t>3</w:t>
            </w:r>
            <w:r w:rsidRPr="0049394D">
              <w:t>/QALY</w:t>
            </w:r>
            <w:r w:rsidR="00565773" w:rsidRPr="0049394D">
              <w:t xml:space="preserve"> pNET model</w:t>
            </w:r>
            <w:r w:rsidRPr="0049394D">
              <w:t>.</w:t>
            </w:r>
          </w:p>
        </w:tc>
      </w:tr>
      <w:tr w:rsidR="00E20F5E" w:rsidRPr="0049394D" w14:paraId="15A56450" w14:textId="77777777" w:rsidTr="00465819">
        <w:trPr>
          <w:cantSplit/>
        </w:trPr>
        <w:tc>
          <w:tcPr>
            <w:tcW w:w="626" w:type="pct"/>
            <w:shd w:val="clear" w:color="auto" w:fill="auto"/>
            <w:vAlign w:val="center"/>
          </w:tcPr>
          <w:p w14:paraId="4C868FFE" w14:textId="77777777" w:rsidR="00E20F5E" w:rsidRPr="0049394D" w:rsidRDefault="00E20F5E" w:rsidP="00282F0D">
            <w:pPr>
              <w:pStyle w:val="TableText0"/>
              <w:keepNext w:val="0"/>
            </w:pPr>
            <w:r w:rsidRPr="0049394D">
              <w:t>Pre-surgery to surgery extrapolation</w:t>
            </w:r>
          </w:p>
        </w:tc>
        <w:tc>
          <w:tcPr>
            <w:tcW w:w="2830" w:type="pct"/>
            <w:shd w:val="clear" w:color="auto" w:fill="auto"/>
            <w:vAlign w:val="center"/>
          </w:tcPr>
          <w:p w14:paraId="614ECEF3" w14:textId="710D6F17" w:rsidR="00E20F5E" w:rsidRPr="0049394D" w:rsidRDefault="00E20F5E" w:rsidP="00282F0D">
            <w:pPr>
              <w:pStyle w:val="TableText0"/>
              <w:keepNext w:val="0"/>
            </w:pPr>
            <w:r w:rsidRPr="0049394D">
              <w:t>In the base case pre-surgery to surgery was modelled with an exponential extrapolation in all arms of all model</w:t>
            </w:r>
            <w:r w:rsidR="00A91F14" w:rsidRPr="0049394D">
              <w:t>s</w:t>
            </w:r>
            <w:r w:rsidRPr="0049394D">
              <w:t xml:space="preserve">. </w:t>
            </w:r>
            <w:r w:rsidRPr="0049394D">
              <w:rPr>
                <w:iCs/>
              </w:rPr>
              <w:t xml:space="preserve">While exponential curves fit the </w:t>
            </w:r>
            <w:r w:rsidR="00565773" w:rsidRPr="0049394D">
              <w:rPr>
                <w:iCs/>
              </w:rPr>
              <w:t>provided KM</w:t>
            </w:r>
            <w:r w:rsidRPr="0049394D">
              <w:rPr>
                <w:iCs/>
              </w:rPr>
              <w:t xml:space="preserve"> data well </w:t>
            </w:r>
            <w:r w:rsidR="00E35C91" w:rsidRPr="0049394D">
              <w:rPr>
                <w:iCs/>
              </w:rPr>
              <w:t>visually once they were incorporated into the overall models, exponential was not the best statistical fit for the belzutifan KM data (Gompertz had the smallest mean squared</w:t>
            </w:r>
            <w:r w:rsidR="006133EB" w:rsidRPr="0049394D">
              <w:rPr>
                <w:iCs/>
              </w:rPr>
              <w:t xml:space="preserve"> </w:t>
            </w:r>
            <w:r w:rsidR="00E35C91" w:rsidRPr="0049394D">
              <w:rPr>
                <w:iCs/>
              </w:rPr>
              <w:t>error)</w:t>
            </w:r>
            <w:r w:rsidR="00A5209D" w:rsidRPr="0049394D">
              <w:rPr>
                <w:iCs/>
              </w:rPr>
              <w:t>.</w:t>
            </w:r>
            <w:r w:rsidR="00A5209D" w:rsidRPr="0049394D">
              <w:t xml:space="preserve"> </w:t>
            </w:r>
          </w:p>
        </w:tc>
        <w:tc>
          <w:tcPr>
            <w:tcW w:w="1544" w:type="pct"/>
            <w:shd w:val="clear" w:color="auto" w:fill="auto"/>
            <w:vAlign w:val="center"/>
          </w:tcPr>
          <w:p w14:paraId="27662BA7" w14:textId="15519169" w:rsidR="00E20F5E" w:rsidRPr="0049394D" w:rsidRDefault="00E20F5E" w:rsidP="00282F0D">
            <w:pPr>
              <w:pStyle w:val="TableText0"/>
              <w:keepNext w:val="0"/>
            </w:pPr>
            <w:r w:rsidRPr="0049394D">
              <w:t>High, favoured belzutifan in RCC and pNET models. Alternative distributions favoured belzutifan in the CNS Hb model. For example, if the best statistical fit was chosen for each arm in each model, the ICERs increased in the RCC and pNET models ($</w:t>
            </w:r>
            <w:r w:rsidR="00501C36" w:rsidRPr="00501C36">
              <w:rPr>
                <w:color w:val="000000"/>
                <w:spacing w:val="53"/>
                <w:shd w:val="solid" w:color="000000" w:fill="000000"/>
                <w:fitText w:val="330" w:id="-893684736"/>
                <w14:textFill>
                  <w14:solidFill>
                    <w14:srgbClr w14:val="000000">
                      <w14:alpha w14:val="100000"/>
                    </w14:srgbClr>
                  </w14:solidFill>
                </w14:textFill>
              </w:rPr>
              <w:t>|||</w:t>
            </w:r>
            <w:r w:rsidR="00501C36" w:rsidRPr="00501C36">
              <w:rPr>
                <w:color w:val="000000"/>
                <w:spacing w:val="1"/>
                <w:shd w:val="solid" w:color="000000" w:fill="000000"/>
                <w:fitText w:val="330" w:id="-893684736"/>
                <w14:textFill>
                  <w14:solidFill>
                    <w14:srgbClr w14:val="000000">
                      <w14:alpha w14:val="100000"/>
                    </w14:srgbClr>
                  </w14:solidFill>
                </w14:textFill>
              </w:rPr>
              <w:t>|</w:t>
            </w:r>
            <w:r w:rsidR="00641419" w:rsidRPr="003F0AD1">
              <w:rPr>
                <w:vertAlign w:val="superscript"/>
              </w:rPr>
              <w:t>3</w:t>
            </w:r>
            <w:r w:rsidR="00A5209D" w:rsidRPr="0049394D">
              <w:t>/QALY</w:t>
            </w:r>
            <w:r w:rsidRPr="0049394D">
              <w:t xml:space="preserve"> and $</w:t>
            </w:r>
            <w:r w:rsidR="00501C36" w:rsidRPr="00501C36">
              <w:rPr>
                <w:color w:val="000000"/>
                <w:spacing w:val="53"/>
                <w:shd w:val="solid" w:color="000000" w:fill="000000"/>
                <w:fitText w:val="330" w:id="-893684735"/>
                <w14:textFill>
                  <w14:solidFill>
                    <w14:srgbClr w14:val="000000">
                      <w14:alpha w14:val="100000"/>
                    </w14:srgbClr>
                  </w14:solidFill>
                </w14:textFill>
              </w:rPr>
              <w:t>|||</w:t>
            </w:r>
            <w:r w:rsidR="00501C36" w:rsidRPr="00501C36">
              <w:rPr>
                <w:color w:val="000000"/>
                <w:spacing w:val="1"/>
                <w:shd w:val="solid" w:color="000000" w:fill="000000"/>
                <w:fitText w:val="330" w:id="-893684735"/>
                <w14:textFill>
                  <w14:solidFill>
                    <w14:srgbClr w14:val="000000">
                      <w14:alpha w14:val="100000"/>
                    </w14:srgbClr>
                  </w14:solidFill>
                </w14:textFill>
              </w:rPr>
              <w:t>|</w:t>
            </w:r>
            <w:r w:rsidR="00641419" w:rsidRPr="003F0AD1">
              <w:rPr>
                <w:vertAlign w:val="superscript"/>
              </w:rPr>
              <w:t>1</w:t>
            </w:r>
            <w:r w:rsidRPr="0049394D">
              <w:t>/QALY respectively), but decreased for the CNS Hb model ($</w:t>
            </w:r>
            <w:r w:rsidR="00501C36" w:rsidRPr="00501C36">
              <w:rPr>
                <w:color w:val="000000"/>
                <w:spacing w:val="53"/>
                <w:shd w:val="solid" w:color="000000" w:fill="000000"/>
                <w:fitText w:val="330" w:id="-893684734"/>
                <w14:textFill>
                  <w14:solidFill>
                    <w14:srgbClr w14:val="000000">
                      <w14:alpha w14:val="100000"/>
                    </w14:srgbClr>
                  </w14:solidFill>
                </w14:textFill>
              </w:rPr>
              <w:t>|||</w:t>
            </w:r>
            <w:r w:rsidR="00501C36" w:rsidRPr="00501C36">
              <w:rPr>
                <w:color w:val="000000"/>
                <w:spacing w:val="1"/>
                <w:shd w:val="solid" w:color="000000" w:fill="000000"/>
                <w:fitText w:val="330" w:id="-893684734"/>
                <w14:textFill>
                  <w14:solidFill>
                    <w14:srgbClr w14:val="000000">
                      <w14:alpha w14:val="100000"/>
                    </w14:srgbClr>
                  </w14:solidFill>
                </w14:textFill>
              </w:rPr>
              <w:t>|</w:t>
            </w:r>
            <w:r w:rsidR="00641419" w:rsidRPr="003F0AD1">
              <w:rPr>
                <w:vertAlign w:val="superscript"/>
              </w:rPr>
              <w:t>1</w:t>
            </w:r>
            <w:r w:rsidRPr="0049394D">
              <w:t>/QALY)</w:t>
            </w:r>
            <w:r w:rsidR="00DC28BF" w:rsidRPr="0049394D">
              <w:t>.</w:t>
            </w:r>
          </w:p>
        </w:tc>
      </w:tr>
      <w:tr w:rsidR="00E20F5E" w:rsidRPr="0049394D" w14:paraId="35338C50" w14:textId="77777777" w:rsidTr="00465819">
        <w:trPr>
          <w:cantSplit/>
        </w:trPr>
        <w:tc>
          <w:tcPr>
            <w:tcW w:w="626" w:type="pct"/>
            <w:shd w:val="clear" w:color="auto" w:fill="auto"/>
            <w:vAlign w:val="center"/>
          </w:tcPr>
          <w:p w14:paraId="74919951" w14:textId="77777777" w:rsidR="00E20F5E" w:rsidRPr="0049394D" w:rsidRDefault="00E20F5E" w:rsidP="00282F0D">
            <w:pPr>
              <w:pStyle w:val="TableText0"/>
              <w:keepNext w:val="0"/>
            </w:pPr>
            <w:r w:rsidRPr="0049394D">
              <w:t>Real world adjustment</w:t>
            </w:r>
          </w:p>
        </w:tc>
        <w:tc>
          <w:tcPr>
            <w:tcW w:w="2830" w:type="pct"/>
            <w:shd w:val="clear" w:color="auto" w:fill="auto"/>
            <w:vAlign w:val="center"/>
          </w:tcPr>
          <w:p w14:paraId="10B3A3E0" w14:textId="18EA09AE" w:rsidR="00E20F5E" w:rsidRPr="0049394D" w:rsidRDefault="00E20F5E" w:rsidP="00282F0D">
            <w:pPr>
              <w:pStyle w:val="TableText0"/>
              <w:keepNext w:val="0"/>
            </w:pPr>
            <w:r w:rsidRPr="0049394D">
              <w:t>The submission stated that LS-004 and VHL-NHS represented patients receiving best practice care. As such</w:t>
            </w:r>
            <w:r w:rsidR="00A91F14" w:rsidRPr="0049394D">
              <w:t>,</w:t>
            </w:r>
            <w:r w:rsidRPr="0049394D">
              <w:t xml:space="preserve"> the models were adjusted using US claims data (Optum CDM)</w:t>
            </w:r>
            <w:r w:rsidR="00534CB8" w:rsidRPr="0049394D">
              <w:t>.</w:t>
            </w:r>
          </w:p>
        </w:tc>
        <w:tc>
          <w:tcPr>
            <w:tcW w:w="1544" w:type="pct"/>
            <w:shd w:val="clear" w:color="auto" w:fill="auto"/>
            <w:vAlign w:val="center"/>
          </w:tcPr>
          <w:p w14:paraId="56A28E22" w14:textId="0FFF1279" w:rsidR="00E20F5E" w:rsidRPr="0049394D" w:rsidRDefault="00E20F5E" w:rsidP="00282F0D">
            <w:pPr>
              <w:pStyle w:val="TableText0"/>
              <w:keepNext w:val="0"/>
            </w:pPr>
            <w:r w:rsidRPr="0049394D">
              <w:t>High, favoured belzutifan. Without the Optum CDM adjustment the ICERs increased: $</w:t>
            </w:r>
            <w:r w:rsidR="00501C36" w:rsidRPr="00501C36">
              <w:rPr>
                <w:color w:val="000000"/>
                <w:spacing w:val="53"/>
                <w:shd w:val="solid" w:color="000000" w:fill="000000"/>
                <w:fitText w:val="330" w:id="-893684733"/>
                <w14:textFill>
                  <w14:solidFill>
                    <w14:srgbClr w14:val="000000">
                      <w14:alpha w14:val="100000"/>
                    </w14:srgbClr>
                  </w14:solidFill>
                </w14:textFill>
              </w:rPr>
              <w:t>|||</w:t>
            </w:r>
            <w:r w:rsidR="00501C36" w:rsidRPr="00501C36">
              <w:rPr>
                <w:color w:val="000000"/>
                <w:spacing w:val="1"/>
                <w:shd w:val="solid" w:color="000000" w:fill="000000"/>
                <w:fitText w:val="330" w:id="-893684733"/>
                <w14:textFill>
                  <w14:solidFill>
                    <w14:srgbClr w14:val="000000">
                      <w14:alpha w14:val="100000"/>
                    </w14:srgbClr>
                  </w14:solidFill>
                </w14:textFill>
              </w:rPr>
              <w:t>|</w:t>
            </w:r>
            <w:r w:rsidR="009869E1" w:rsidRPr="003F0AD1">
              <w:rPr>
                <w:vertAlign w:val="superscript"/>
              </w:rPr>
              <w:t>4</w:t>
            </w:r>
            <w:r w:rsidR="00A5209D" w:rsidRPr="0049394D">
              <w:t>/QALY RCC model</w:t>
            </w:r>
            <w:r w:rsidRPr="0049394D">
              <w:t>; $</w:t>
            </w:r>
            <w:r w:rsidR="00501C36" w:rsidRPr="00501C36">
              <w:rPr>
                <w:color w:val="000000"/>
                <w:spacing w:val="53"/>
                <w:shd w:val="solid" w:color="000000" w:fill="000000"/>
                <w:fitText w:val="330" w:id="-893684732"/>
                <w14:textFill>
                  <w14:solidFill>
                    <w14:srgbClr w14:val="000000">
                      <w14:alpha w14:val="100000"/>
                    </w14:srgbClr>
                  </w14:solidFill>
                </w14:textFill>
              </w:rPr>
              <w:t>|||</w:t>
            </w:r>
            <w:r w:rsidR="00501C36" w:rsidRPr="00501C36">
              <w:rPr>
                <w:color w:val="000000"/>
                <w:spacing w:val="1"/>
                <w:shd w:val="solid" w:color="000000" w:fill="000000"/>
                <w:fitText w:val="330" w:id="-893684732"/>
                <w14:textFill>
                  <w14:solidFill>
                    <w14:srgbClr w14:val="000000">
                      <w14:alpha w14:val="100000"/>
                    </w14:srgbClr>
                  </w14:solidFill>
                </w14:textFill>
              </w:rPr>
              <w:t>|</w:t>
            </w:r>
            <w:r w:rsidR="009869E1" w:rsidRPr="003F0AD1">
              <w:rPr>
                <w:vertAlign w:val="superscript"/>
              </w:rPr>
              <w:t>4</w:t>
            </w:r>
            <w:r w:rsidR="00A5209D" w:rsidRPr="0049394D">
              <w:t>/QALY CNS Hb model</w:t>
            </w:r>
            <w:r w:rsidRPr="0049394D">
              <w:t>; $</w:t>
            </w:r>
            <w:r w:rsidR="00501C36" w:rsidRPr="00501C36">
              <w:rPr>
                <w:color w:val="000000"/>
                <w:spacing w:val="53"/>
                <w:shd w:val="solid" w:color="000000" w:fill="000000"/>
                <w:fitText w:val="330" w:id="-893684731"/>
                <w14:textFill>
                  <w14:solidFill>
                    <w14:srgbClr w14:val="000000">
                      <w14:alpha w14:val="100000"/>
                    </w14:srgbClr>
                  </w14:solidFill>
                </w14:textFill>
              </w:rPr>
              <w:t>|||</w:t>
            </w:r>
            <w:r w:rsidR="00501C36" w:rsidRPr="00501C36">
              <w:rPr>
                <w:color w:val="000000"/>
                <w:spacing w:val="1"/>
                <w:shd w:val="solid" w:color="000000" w:fill="000000"/>
                <w:fitText w:val="330" w:id="-893684731"/>
                <w14:textFill>
                  <w14:solidFill>
                    <w14:srgbClr w14:val="000000">
                      <w14:alpha w14:val="100000"/>
                    </w14:srgbClr>
                  </w14:solidFill>
                </w14:textFill>
              </w:rPr>
              <w:t>|</w:t>
            </w:r>
            <w:r w:rsidR="009869E1" w:rsidRPr="003F0AD1">
              <w:rPr>
                <w:vertAlign w:val="superscript"/>
              </w:rPr>
              <w:t>4</w:t>
            </w:r>
            <w:r w:rsidRPr="0049394D">
              <w:t>/QALY</w:t>
            </w:r>
            <w:r w:rsidR="00A5209D" w:rsidRPr="0049394D">
              <w:t xml:space="preserve"> pNET model</w:t>
            </w:r>
          </w:p>
        </w:tc>
      </w:tr>
      <w:tr w:rsidR="00E20F5E" w:rsidRPr="0049394D" w14:paraId="6E607AFE" w14:textId="77777777" w:rsidTr="00465819">
        <w:trPr>
          <w:cantSplit/>
        </w:trPr>
        <w:tc>
          <w:tcPr>
            <w:tcW w:w="626" w:type="pct"/>
            <w:shd w:val="clear" w:color="auto" w:fill="auto"/>
            <w:vAlign w:val="center"/>
          </w:tcPr>
          <w:p w14:paraId="159AAA5D" w14:textId="77777777" w:rsidR="00E20F5E" w:rsidRPr="0049394D" w:rsidRDefault="00E20F5E" w:rsidP="00282F0D">
            <w:pPr>
              <w:pStyle w:val="TableText0"/>
              <w:keepNext w:val="0"/>
            </w:pPr>
            <w:r w:rsidRPr="0049394D">
              <w:t>Treatment waning</w:t>
            </w:r>
          </w:p>
        </w:tc>
        <w:tc>
          <w:tcPr>
            <w:tcW w:w="2830" w:type="pct"/>
            <w:shd w:val="clear" w:color="auto" w:fill="auto"/>
            <w:vAlign w:val="center"/>
          </w:tcPr>
          <w:p w14:paraId="69866855" w14:textId="133B1919" w:rsidR="00E20F5E" w:rsidRPr="0049394D" w:rsidRDefault="00E20F5E" w:rsidP="00282F0D">
            <w:pPr>
              <w:pStyle w:val="TableText0"/>
              <w:keepNext w:val="0"/>
            </w:pPr>
            <w:r w:rsidRPr="0049394D">
              <w:t>Up to Year 3.84, patients who discontinued belzutifan were still modelled equal to those still receiving treatment. Year 3.84 to Year 6.55 assumed a proportion (linear reduction over time) of discontinued patients would still be modelled equal to those receiving treatment, the re</w:t>
            </w:r>
            <w:r w:rsidR="0049394D" w:rsidRPr="0049394D">
              <w:t>maining proportion were assumed to</w:t>
            </w:r>
            <w:r w:rsidRPr="0049394D">
              <w:t xml:space="preserve"> equal the active surveillance arm. From Year 6.55, discontinued patients were assumed equal to the active surveillance arm. The length of the treatment waning period was based on the changes in the RCC linear growth rate from LS-004.</w:t>
            </w:r>
          </w:p>
        </w:tc>
        <w:tc>
          <w:tcPr>
            <w:tcW w:w="1544" w:type="pct"/>
            <w:shd w:val="clear" w:color="auto" w:fill="auto"/>
            <w:vAlign w:val="center"/>
          </w:tcPr>
          <w:p w14:paraId="645D67B5" w14:textId="5729B51A" w:rsidR="00E20F5E" w:rsidRPr="0049394D" w:rsidRDefault="00E20F5E" w:rsidP="00282F0D">
            <w:pPr>
              <w:pStyle w:val="TableText0"/>
              <w:keepNext w:val="0"/>
            </w:pPr>
            <w:r w:rsidRPr="0049394D">
              <w:t>High, length of effect favoured belzutifan. If convergence occurred at Year 3.84 for patients discontinuing belzutifan the ICERs increased: $</w:t>
            </w:r>
            <w:r w:rsidR="00501C36" w:rsidRPr="00501C36">
              <w:rPr>
                <w:color w:val="000000"/>
                <w:spacing w:val="53"/>
                <w:shd w:val="solid" w:color="000000" w:fill="000000"/>
                <w:fitText w:val="330" w:id="-893684730"/>
                <w14:textFill>
                  <w14:solidFill>
                    <w14:srgbClr w14:val="000000">
                      <w14:alpha w14:val="100000"/>
                    </w14:srgbClr>
                  </w14:solidFill>
                </w14:textFill>
              </w:rPr>
              <w:t>|||</w:t>
            </w:r>
            <w:r w:rsidR="00501C36" w:rsidRPr="00501C36">
              <w:rPr>
                <w:color w:val="000000"/>
                <w:spacing w:val="1"/>
                <w:shd w:val="solid" w:color="000000" w:fill="000000"/>
                <w:fitText w:val="330" w:id="-893684730"/>
                <w14:textFill>
                  <w14:solidFill>
                    <w14:srgbClr w14:val="000000">
                      <w14:alpha w14:val="100000"/>
                    </w14:srgbClr>
                  </w14:solidFill>
                </w14:textFill>
              </w:rPr>
              <w:t>|</w:t>
            </w:r>
            <w:r w:rsidR="009869E1" w:rsidRPr="003F0AD1">
              <w:rPr>
                <w:vertAlign w:val="superscript"/>
              </w:rPr>
              <w:t>4</w:t>
            </w:r>
            <w:r w:rsidR="00A5209D" w:rsidRPr="0049394D">
              <w:t>/QALY RCC model</w:t>
            </w:r>
            <w:r w:rsidRPr="0049394D">
              <w:t>; $</w:t>
            </w:r>
            <w:r w:rsidR="00501C36" w:rsidRPr="00501C36">
              <w:rPr>
                <w:color w:val="000000"/>
                <w:spacing w:val="53"/>
                <w:shd w:val="solid" w:color="000000" w:fill="000000"/>
                <w:fitText w:val="330" w:id="-893684729"/>
                <w14:textFill>
                  <w14:solidFill>
                    <w14:srgbClr w14:val="000000">
                      <w14:alpha w14:val="100000"/>
                    </w14:srgbClr>
                  </w14:solidFill>
                </w14:textFill>
              </w:rPr>
              <w:t>|||</w:t>
            </w:r>
            <w:r w:rsidR="00501C36" w:rsidRPr="00501C36">
              <w:rPr>
                <w:color w:val="000000"/>
                <w:spacing w:val="1"/>
                <w:shd w:val="solid" w:color="000000" w:fill="000000"/>
                <w:fitText w:val="330" w:id="-893684729"/>
                <w14:textFill>
                  <w14:solidFill>
                    <w14:srgbClr w14:val="000000">
                      <w14:alpha w14:val="100000"/>
                    </w14:srgbClr>
                  </w14:solidFill>
                </w14:textFill>
              </w:rPr>
              <w:t>|</w:t>
            </w:r>
            <w:r w:rsidR="009869E1" w:rsidRPr="003F0AD1">
              <w:rPr>
                <w:vertAlign w:val="superscript"/>
              </w:rPr>
              <w:t>4</w:t>
            </w:r>
            <w:r w:rsidR="00A5209D" w:rsidRPr="0049394D">
              <w:t>/QALY CNS Hb model</w:t>
            </w:r>
            <w:r w:rsidRPr="0049394D">
              <w:t>; $</w:t>
            </w:r>
            <w:r w:rsidR="00501C36" w:rsidRPr="00501C36">
              <w:rPr>
                <w:color w:val="000000"/>
                <w:spacing w:val="53"/>
                <w:shd w:val="solid" w:color="000000" w:fill="000000"/>
                <w:fitText w:val="330" w:id="-893684728"/>
                <w14:textFill>
                  <w14:solidFill>
                    <w14:srgbClr w14:val="000000">
                      <w14:alpha w14:val="100000"/>
                    </w14:srgbClr>
                  </w14:solidFill>
                </w14:textFill>
              </w:rPr>
              <w:t>|||</w:t>
            </w:r>
            <w:r w:rsidR="00501C36" w:rsidRPr="00501C36">
              <w:rPr>
                <w:color w:val="000000"/>
                <w:spacing w:val="1"/>
                <w:shd w:val="solid" w:color="000000" w:fill="000000"/>
                <w:fitText w:val="330" w:id="-893684728"/>
                <w14:textFill>
                  <w14:solidFill>
                    <w14:srgbClr w14:val="000000">
                      <w14:alpha w14:val="100000"/>
                    </w14:srgbClr>
                  </w14:solidFill>
                </w14:textFill>
              </w:rPr>
              <w:t>|</w:t>
            </w:r>
            <w:r w:rsidR="00641419" w:rsidRPr="003F0AD1">
              <w:rPr>
                <w:vertAlign w:val="superscript"/>
              </w:rPr>
              <w:t>1</w:t>
            </w:r>
            <w:r w:rsidRPr="0049394D">
              <w:t>/QALY</w:t>
            </w:r>
            <w:r w:rsidR="00A5209D" w:rsidRPr="0049394D">
              <w:t xml:space="preserve"> pNET model</w:t>
            </w:r>
            <w:r w:rsidRPr="0049394D">
              <w:t>.</w:t>
            </w:r>
          </w:p>
        </w:tc>
      </w:tr>
      <w:tr w:rsidR="00E20F5E" w:rsidRPr="0049394D" w14:paraId="50A18C03" w14:textId="77777777" w:rsidTr="00465819">
        <w:trPr>
          <w:cantSplit/>
        </w:trPr>
        <w:tc>
          <w:tcPr>
            <w:tcW w:w="626" w:type="pct"/>
            <w:shd w:val="clear" w:color="auto" w:fill="auto"/>
            <w:vAlign w:val="center"/>
          </w:tcPr>
          <w:p w14:paraId="065B663A" w14:textId="77777777" w:rsidR="00E20F5E" w:rsidRPr="0049394D" w:rsidRDefault="00E20F5E" w:rsidP="00282F0D">
            <w:pPr>
              <w:pStyle w:val="TableText0"/>
              <w:keepNext w:val="0"/>
            </w:pPr>
            <w:r w:rsidRPr="0049394D">
              <w:t>Time on belzutifan</w:t>
            </w:r>
          </w:p>
        </w:tc>
        <w:tc>
          <w:tcPr>
            <w:tcW w:w="2830" w:type="pct"/>
            <w:shd w:val="clear" w:color="auto" w:fill="auto"/>
            <w:vAlign w:val="center"/>
          </w:tcPr>
          <w:p w14:paraId="7B6D6D99" w14:textId="77777777" w:rsidR="00E20F5E" w:rsidRPr="0049394D" w:rsidRDefault="00E20F5E" w:rsidP="00282F0D">
            <w:pPr>
              <w:pStyle w:val="TableText0"/>
              <w:keepNext w:val="0"/>
            </w:pPr>
            <w:r w:rsidRPr="0049394D">
              <w:t>Time on belzutifan was extrapolated from all follow up KM data from LS-004 using a Weibull distribution. Very few patients remained at risk from Year 3.2 (19 patients), which informed the shape of the extrapolation.</w:t>
            </w:r>
          </w:p>
        </w:tc>
        <w:tc>
          <w:tcPr>
            <w:tcW w:w="1544" w:type="pct"/>
            <w:shd w:val="clear" w:color="auto" w:fill="auto"/>
            <w:vAlign w:val="center"/>
          </w:tcPr>
          <w:p w14:paraId="30127F11" w14:textId="377767D4" w:rsidR="00E20F5E" w:rsidRPr="0049394D" w:rsidRDefault="00E20F5E" w:rsidP="00282F0D">
            <w:pPr>
              <w:pStyle w:val="TableText0"/>
              <w:keepNext w:val="0"/>
            </w:pPr>
            <w:r w:rsidRPr="0049394D">
              <w:t xml:space="preserve">High, favoured belzutifan. If </w:t>
            </w:r>
            <w:r w:rsidR="00A5209D" w:rsidRPr="0049394D">
              <w:t>treatment discontinuation occurred only when patients developed metastases</w:t>
            </w:r>
            <w:r w:rsidRPr="0049394D">
              <w:t xml:space="preserve"> the ICERs increased: $</w:t>
            </w:r>
            <w:r w:rsidR="00501C36" w:rsidRPr="00501C36">
              <w:rPr>
                <w:color w:val="000000"/>
                <w:spacing w:val="53"/>
                <w:shd w:val="solid" w:color="000000" w:fill="000000"/>
                <w:fitText w:val="330" w:id="-893684727"/>
                <w14:textFill>
                  <w14:solidFill>
                    <w14:srgbClr w14:val="000000">
                      <w14:alpha w14:val="100000"/>
                    </w14:srgbClr>
                  </w14:solidFill>
                </w14:textFill>
              </w:rPr>
              <w:t>|||</w:t>
            </w:r>
            <w:r w:rsidR="00501C36" w:rsidRPr="00501C36">
              <w:rPr>
                <w:color w:val="000000"/>
                <w:spacing w:val="1"/>
                <w:shd w:val="solid" w:color="000000" w:fill="000000"/>
                <w:fitText w:val="330" w:id="-893684727"/>
                <w14:textFill>
                  <w14:solidFill>
                    <w14:srgbClr w14:val="000000">
                      <w14:alpha w14:val="100000"/>
                    </w14:srgbClr>
                  </w14:solidFill>
                </w14:textFill>
              </w:rPr>
              <w:t>|</w:t>
            </w:r>
            <w:r w:rsidR="009869E1" w:rsidRPr="0009066F">
              <w:rPr>
                <w:vertAlign w:val="superscript"/>
              </w:rPr>
              <w:t>3</w:t>
            </w:r>
            <w:r w:rsidR="00A5209D" w:rsidRPr="0049394D">
              <w:t>/QALY RCC model</w:t>
            </w:r>
            <w:r w:rsidRPr="0049394D">
              <w:t>; $</w:t>
            </w:r>
            <w:r w:rsidR="00501C36" w:rsidRPr="00501C36">
              <w:rPr>
                <w:color w:val="000000"/>
                <w:spacing w:val="53"/>
                <w:shd w:val="solid" w:color="000000" w:fill="000000"/>
                <w:fitText w:val="330" w:id="-893684726"/>
                <w14:textFill>
                  <w14:solidFill>
                    <w14:srgbClr w14:val="000000">
                      <w14:alpha w14:val="100000"/>
                    </w14:srgbClr>
                  </w14:solidFill>
                </w14:textFill>
              </w:rPr>
              <w:t>|||</w:t>
            </w:r>
            <w:r w:rsidR="00501C36" w:rsidRPr="00501C36">
              <w:rPr>
                <w:color w:val="000000"/>
                <w:spacing w:val="1"/>
                <w:shd w:val="solid" w:color="000000" w:fill="000000"/>
                <w:fitText w:val="330" w:id="-893684726"/>
                <w14:textFill>
                  <w14:solidFill>
                    <w14:srgbClr w14:val="000000">
                      <w14:alpha w14:val="100000"/>
                    </w14:srgbClr>
                  </w14:solidFill>
                </w14:textFill>
              </w:rPr>
              <w:t>|</w:t>
            </w:r>
            <w:r w:rsidR="009869E1" w:rsidRPr="0009066F">
              <w:rPr>
                <w:vertAlign w:val="superscript"/>
              </w:rPr>
              <w:t>4</w:t>
            </w:r>
            <w:r w:rsidR="00A5209D" w:rsidRPr="0049394D">
              <w:t>/QALY CNS Hb model</w:t>
            </w:r>
            <w:r w:rsidRPr="0049394D">
              <w:t>; $</w:t>
            </w:r>
            <w:r w:rsidR="00501C36" w:rsidRPr="00501C36">
              <w:rPr>
                <w:color w:val="000000"/>
                <w:spacing w:val="53"/>
                <w:shd w:val="solid" w:color="000000" w:fill="000000"/>
                <w:fitText w:val="330" w:id="-893684725"/>
                <w14:textFill>
                  <w14:solidFill>
                    <w14:srgbClr w14:val="000000">
                      <w14:alpha w14:val="100000"/>
                    </w14:srgbClr>
                  </w14:solidFill>
                </w14:textFill>
              </w:rPr>
              <w:t>|||</w:t>
            </w:r>
            <w:r w:rsidR="00501C36" w:rsidRPr="00501C36">
              <w:rPr>
                <w:color w:val="000000"/>
                <w:spacing w:val="1"/>
                <w:shd w:val="solid" w:color="000000" w:fill="000000"/>
                <w:fitText w:val="330" w:id="-893684725"/>
                <w14:textFill>
                  <w14:solidFill>
                    <w14:srgbClr w14:val="000000">
                      <w14:alpha w14:val="100000"/>
                    </w14:srgbClr>
                  </w14:solidFill>
                </w14:textFill>
              </w:rPr>
              <w:t>|</w:t>
            </w:r>
            <w:r w:rsidR="009869E1" w:rsidRPr="003F0AD1">
              <w:rPr>
                <w:vertAlign w:val="superscript"/>
              </w:rPr>
              <w:t>4</w:t>
            </w:r>
            <w:r w:rsidRPr="0049394D">
              <w:t>/QALY</w:t>
            </w:r>
            <w:r w:rsidR="00A5209D" w:rsidRPr="0049394D">
              <w:t xml:space="preserve"> pNET model.</w:t>
            </w:r>
          </w:p>
        </w:tc>
      </w:tr>
      <w:tr w:rsidR="00E20F5E" w:rsidRPr="0049394D" w14:paraId="7DF76DB8" w14:textId="77777777" w:rsidTr="00465819">
        <w:trPr>
          <w:cantSplit/>
        </w:trPr>
        <w:tc>
          <w:tcPr>
            <w:tcW w:w="626" w:type="pct"/>
            <w:shd w:val="clear" w:color="auto" w:fill="auto"/>
            <w:vAlign w:val="center"/>
          </w:tcPr>
          <w:p w14:paraId="60852AF3" w14:textId="77777777" w:rsidR="00E20F5E" w:rsidRPr="0049394D" w:rsidRDefault="00E20F5E" w:rsidP="00282F0D">
            <w:pPr>
              <w:pStyle w:val="TableText0"/>
              <w:keepNext w:val="0"/>
            </w:pPr>
            <w:r w:rsidRPr="0049394D">
              <w:t>Utilities</w:t>
            </w:r>
          </w:p>
        </w:tc>
        <w:tc>
          <w:tcPr>
            <w:tcW w:w="2830" w:type="pct"/>
            <w:shd w:val="clear" w:color="auto" w:fill="auto"/>
            <w:vAlign w:val="center"/>
          </w:tcPr>
          <w:p w14:paraId="6FCDA0A3" w14:textId="77777777" w:rsidR="00E20F5E" w:rsidRPr="0049394D" w:rsidRDefault="00E20F5E" w:rsidP="00282F0D">
            <w:pPr>
              <w:pStyle w:val="TableText0"/>
              <w:keepNext w:val="0"/>
            </w:pPr>
            <w:r w:rsidRPr="0049394D">
              <w:t>Health state utilities were calculated by response rates in each arm of each model and therefore included a direct utility benefit for belzutifan associated with complete response. Quality of life was not assessed in LS-004 nor VHL-NHS.</w:t>
            </w:r>
          </w:p>
        </w:tc>
        <w:tc>
          <w:tcPr>
            <w:tcW w:w="1544" w:type="pct"/>
            <w:shd w:val="clear" w:color="auto" w:fill="auto"/>
            <w:vAlign w:val="center"/>
          </w:tcPr>
          <w:p w14:paraId="3E9890CA" w14:textId="31B9870D" w:rsidR="00E20F5E" w:rsidRPr="0049394D" w:rsidRDefault="00E20F5E" w:rsidP="00282F0D">
            <w:pPr>
              <w:pStyle w:val="TableText0"/>
              <w:keepNext w:val="0"/>
            </w:pPr>
            <w:r w:rsidRPr="0049394D">
              <w:t>Moderate, favoured belzutifan. If no treatment benefit was assumed for belzutifan</w:t>
            </w:r>
            <w:r w:rsidR="00E15310" w:rsidRPr="0049394D">
              <w:t xml:space="preserve"> </w:t>
            </w:r>
            <w:r w:rsidRPr="0049394D">
              <w:t>the ICER</w:t>
            </w:r>
            <w:r w:rsidR="00E15310" w:rsidRPr="0049394D">
              <w:t>s</w:t>
            </w:r>
            <w:r w:rsidRPr="0049394D">
              <w:t xml:space="preserve"> increased: $</w:t>
            </w:r>
            <w:r w:rsidR="00501C36" w:rsidRPr="00501C36">
              <w:rPr>
                <w:color w:val="000000"/>
                <w:spacing w:val="53"/>
                <w:shd w:val="solid" w:color="000000" w:fill="000000"/>
                <w:fitText w:val="330" w:id="-893684724"/>
                <w14:textFill>
                  <w14:solidFill>
                    <w14:srgbClr w14:val="000000">
                      <w14:alpha w14:val="100000"/>
                    </w14:srgbClr>
                  </w14:solidFill>
                </w14:textFill>
              </w:rPr>
              <w:t>|||</w:t>
            </w:r>
            <w:r w:rsidR="00501C36" w:rsidRPr="00501C36">
              <w:rPr>
                <w:color w:val="000000"/>
                <w:spacing w:val="1"/>
                <w:shd w:val="solid" w:color="000000" w:fill="000000"/>
                <w:fitText w:val="330" w:id="-893684724"/>
                <w14:textFill>
                  <w14:solidFill>
                    <w14:srgbClr w14:val="000000">
                      <w14:alpha w14:val="100000"/>
                    </w14:srgbClr>
                  </w14:solidFill>
                </w14:textFill>
              </w:rPr>
              <w:t>|</w:t>
            </w:r>
            <w:r w:rsidR="009869E1" w:rsidRPr="003F0AD1">
              <w:rPr>
                <w:vertAlign w:val="superscript"/>
              </w:rPr>
              <w:t>4</w:t>
            </w:r>
            <w:r w:rsidR="00441BD7" w:rsidRPr="0049394D">
              <w:t>/QALY RCC model</w:t>
            </w:r>
            <w:r w:rsidRPr="0049394D">
              <w:t>; $</w:t>
            </w:r>
            <w:r w:rsidR="00501C36" w:rsidRPr="00501C36">
              <w:rPr>
                <w:color w:val="000000"/>
                <w:spacing w:val="53"/>
                <w:shd w:val="solid" w:color="000000" w:fill="000000"/>
                <w:fitText w:val="330" w:id="-893684723"/>
                <w14:textFill>
                  <w14:solidFill>
                    <w14:srgbClr w14:val="000000">
                      <w14:alpha w14:val="100000"/>
                    </w14:srgbClr>
                  </w14:solidFill>
                </w14:textFill>
              </w:rPr>
              <w:t>|||</w:t>
            </w:r>
            <w:r w:rsidR="00501C36" w:rsidRPr="00501C36">
              <w:rPr>
                <w:color w:val="000000"/>
                <w:spacing w:val="1"/>
                <w:shd w:val="solid" w:color="000000" w:fill="000000"/>
                <w:fitText w:val="330" w:id="-893684723"/>
                <w14:textFill>
                  <w14:solidFill>
                    <w14:srgbClr w14:val="000000">
                      <w14:alpha w14:val="100000"/>
                    </w14:srgbClr>
                  </w14:solidFill>
                </w14:textFill>
              </w:rPr>
              <w:t>|</w:t>
            </w:r>
            <w:r w:rsidR="00641419" w:rsidRPr="003F0AD1">
              <w:rPr>
                <w:vertAlign w:val="superscript"/>
              </w:rPr>
              <w:t>1</w:t>
            </w:r>
            <w:r w:rsidR="00441BD7" w:rsidRPr="0049394D">
              <w:t>/QALY CNS Hb model</w:t>
            </w:r>
            <w:r w:rsidRPr="0049394D">
              <w:t>; $</w:t>
            </w:r>
            <w:r w:rsidR="00501C36" w:rsidRPr="00501C36">
              <w:rPr>
                <w:color w:val="000000"/>
                <w:spacing w:val="53"/>
                <w:shd w:val="solid" w:color="000000" w:fill="000000"/>
                <w:fitText w:val="330" w:id="-893684722"/>
                <w14:textFill>
                  <w14:solidFill>
                    <w14:srgbClr w14:val="000000">
                      <w14:alpha w14:val="100000"/>
                    </w14:srgbClr>
                  </w14:solidFill>
                </w14:textFill>
              </w:rPr>
              <w:t>|||</w:t>
            </w:r>
            <w:r w:rsidR="00501C36" w:rsidRPr="00501C36">
              <w:rPr>
                <w:color w:val="000000"/>
                <w:spacing w:val="1"/>
                <w:shd w:val="solid" w:color="000000" w:fill="000000"/>
                <w:fitText w:val="330" w:id="-893684722"/>
                <w14:textFill>
                  <w14:solidFill>
                    <w14:srgbClr w14:val="000000">
                      <w14:alpha w14:val="100000"/>
                    </w14:srgbClr>
                  </w14:solidFill>
                </w14:textFill>
              </w:rPr>
              <w:t>|</w:t>
            </w:r>
            <w:r w:rsidR="00641419" w:rsidRPr="003F0AD1">
              <w:rPr>
                <w:vertAlign w:val="superscript"/>
              </w:rPr>
              <w:t>1</w:t>
            </w:r>
            <w:r w:rsidRPr="0049394D">
              <w:t>/QALY</w:t>
            </w:r>
            <w:r w:rsidR="00441BD7" w:rsidRPr="0049394D">
              <w:t xml:space="preserve"> pNET model</w:t>
            </w:r>
            <w:r w:rsidRPr="0049394D">
              <w:t>.</w:t>
            </w:r>
            <w:r w:rsidR="00441BD7" w:rsidRPr="0049394D">
              <w:t xml:space="preserve"> If non-metastatic utilities were reduced </w:t>
            </w:r>
            <w:r w:rsidR="00A91F14" w:rsidRPr="0049394D">
              <w:t xml:space="preserve">by </w:t>
            </w:r>
            <w:r w:rsidR="00501C36" w:rsidRPr="00501C36">
              <w:rPr>
                <w:color w:val="000000"/>
                <w:spacing w:val="53"/>
                <w:shd w:val="solid" w:color="000000" w:fill="000000"/>
                <w:fitText w:val="330" w:id="-893684721"/>
                <w14:textFill>
                  <w14:solidFill>
                    <w14:srgbClr w14:val="000000">
                      <w14:alpha w14:val="100000"/>
                    </w14:srgbClr>
                  </w14:solidFill>
                </w14:textFill>
              </w:rPr>
              <w:t>|||</w:t>
            </w:r>
            <w:r w:rsidR="00501C36" w:rsidRPr="00501C36">
              <w:rPr>
                <w:color w:val="000000"/>
                <w:spacing w:val="1"/>
                <w:shd w:val="solid" w:color="000000" w:fill="000000"/>
                <w:fitText w:val="330" w:id="-893684721"/>
                <w14:textFill>
                  <w14:solidFill>
                    <w14:srgbClr w14:val="000000">
                      <w14:alpha w14:val="100000"/>
                    </w14:srgbClr>
                  </w14:solidFill>
                </w14:textFill>
              </w:rPr>
              <w:t>|</w:t>
            </w:r>
            <w:r w:rsidR="00441BD7" w:rsidRPr="0049394D">
              <w:t>% the ICERs increased to $</w:t>
            </w:r>
            <w:r w:rsidR="00501C36" w:rsidRPr="00501C36">
              <w:rPr>
                <w:color w:val="000000"/>
                <w:spacing w:val="53"/>
                <w:shd w:val="solid" w:color="000000" w:fill="000000"/>
                <w:fitText w:val="330" w:id="-893684720"/>
                <w14:textFill>
                  <w14:solidFill>
                    <w14:srgbClr w14:val="000000">
                      <w14:alpha w14:val="100000"/>
                    </w14:srgbClr>
                  </w14:solidFill>
                </w14:textFill>
              </w:rPr>
              <w:t>|||</w:t>
            </w:r>
            <w:r w:rsidR="00501C36" w:rsidRPr="00501C36">
              <w:rPr>
                <w:color w:val="000000"/>
                <w:spacing w:val="1"/>
                <w:shd w:val="solid" w:color="000000" w:fill="000000"/>
                <w:fitText w:val="330" w:id="-893684720"/>
                <w14:textFill>
                  <w14:solidFill>
                    <w14:srgbClr w14:val="000000">
                      <w14:alpha w14:val="100000"/>
                    </w14:srgbClr>
                  </w14:solidFill>
                </w14:textFill>
              </w:rPr>
              <w:t>|</w:t>
            </w:r>
            <w:r w:rsidR="009869E1" w:rsidRPr="003F0AD1">
              <w:rPr>
                <w:vertAlign w:val="superscript"/>
              </w:rPr>
              <w:t>4</w:t>
            </w:r>
            <w:r w:rsidR="00441BD7" w:rsidRPr="0049394D">
              <w:t>/QALY RCC model; $</w:t>
            </w:r>
            <w:r w:rsidR="00501C36" w:rsidRPr="00501C36">
              <w:rPr>
                <w:color w:val="000000"/>
                <w:spacing w:val="53"/>
                <w:shd w:val="solid" w:color="000000" w:fill="000000"/>
                <w:fitText w:val="330" w:id="-893684736"/>
                <w14:textFill>
                  <w14:solidFill>
                    <w14:srgbClr w14:val="000000">
                      <w14:alpha w14:val="100000"/>
                    </w14:srgbClr>
                  </w14:solidFill>
                </w14:textFill>
              </w:rPr>
              <w:t>|||</w:t>
            </w:r>
            <w:r w:rsidR="00501C36" w:rsidRPr="00501C36">
              <w:rPr>
                <w:color w:val="000000"/>
                <w:spacing w:val="1"/>
                <w:shd w:val="solid" w:color="000000" w:fill="000000"/>
                <w:fitText w:val="330" w:id="-893684736"/>
                <w14:textFill>
                  <w14:solidFill>
                    <w14:srgbClr w14:val="000000">
                      <w14:alpha w14:val="100000"/>
                    </w14:srgbClr>
                  </w14:solidFill>
                </w14:textFill>
              </w:rPr>
              <w:t>|</w:t>
            </w:r>
            <w:r w:rsidR="009869E1" w:rsidRPr="003F0AD1">
              <w:rPr>
                <w:vertAlign w:val="superscript"/>
              </w:rPr>
              <w:t>4</w:t>
            </w:r>
            <w:r w:rsidR="00441BD7" w:rsidRPr="0049394D">
              <w:t>/QALY CNS Hb model; $</w:t>
            </w:r>
            <w:r w:rsidR="00501C36" w:rsidRPr="00501C36">
              <w:rPr>
                <w:color w:val="000000"/>
                <w:spacing w:val="53"/>
                <w:shd w:val="solid" w:color="000000" w:fill="000000"/>
                <w:fitText w:val="330" w:id="-893684735"/>
                <w14:textFill>
                  <w14:solidFill>
                    <w14:srgbClr w14:val="000000">
                      <w14:alpha w14:val="100000"/>
                    </w14:srgbClr>
                  </w14:solidFill>
                </w14:textFill>
              </w:rPr>
              <w:t>|||</w:t>
            </w:r>
            <w:r w:rsidR="00501C36" w:rsidRPr="00501C36">
              <w:rPr>
                <w:color w:val="000000"/>
                <w:spacing w:val="1"/>
                <w:shd w:val="solid" w:color="000000" w:fill="000000"/>
                <w:fitText w:val="330" w:id="-893684735"/>
                <w14:textFill>
                  <w14:solidFill>
                    <w14:srgbClr w14:val="000000">
                      <w14:alpha w14:val="100000"/>
                    </w14:srgbClr>
                  </w14:solidFill>
                </w14:textFill>
              </w:rPr>
              <w:t>|</w:t>
            </w:r>
            <w:r w:rsidR="00641419" w:rsidRPr="003F0AD1">
              <w:rPr>
                <w:vertAlign w:val="superscript"/>
              </w:rPr>
              <w:t>1</w:t>
            </w:r>
            <w:r w:rsidR="00441BD7" w:rsidRPr="0049394D">
              <w:t>/QALY pNET model</w:t>
            </w:r>
          </w:p>
        </w:tc>
      </w:tr>
      <w:tr w:rsidR="00E20F5E" w:rsidRPr="0049394D" w14:paraId="38B20BA3" w14:textId="77777777" w:rsidTr="00465819">
        <w:trPr>
          <w:cantSplit/>
        </w:trPr>
        <w:tc>
          <w:tcPr>
            <w:tcW w:w="626" w:type="pct"/>
            <w:shd w:val="clear" w:color="auto" w:fill="auto"/>
            <w:vAlign w:val="center"/>
          </w:tcPr>
          <w:p w14:paraId="183931F8" w14:textId="77777777" w:rsidR="00E20F5E" w:rsidRPr="0049394D" w:rsidRDefault="00E20F5E" w:rsidP="00282F0D">
            <w:pPr>
              <w:pStyle w:val="TableText0"/>
              <w:keepNext w:val="0"/>
            </w:pPr>
            <w:r w:rsidRPr="0049394D">
              <w:lastRenderedPageBreak/>
              <w:t>Long term surgery complications</w:t>
            </w:r>
          </w:p>
        </w:tc>
        <w:tc>
          <w:tcPr>
            <w:tcW w:w="2830" w:type="pct"/>
            <w:shd w:val="clear" w:color="auto" w:fill="auto"/>
            <w:vAlign w:val="center"/>
          </w:tcPr>
          <w:p w14:paraId="653EAFF6" w14:textId="77777777" w:rsidR="00E20F5E" w:rsidRPr="0049394D" w:rsidRDefault="00E20F5E" w:rsidP="00282F0D">
            <w:pPr>
              <w:pStyle w:val="TableText0"/>
              <w:keepNext w:val="0"/>
            </w:pPr>
            <w:r w:rsidRPr="0049394D">
              <w:t>The model estimated long term costs and disutilities for some VHL-associated tumour surgeries (RCC, CNS Hb, pNET, adrenal lesion, retinal Hb). These were applied for the lifetime of patients, or to the end of the time horizon.</w:t>
            </w:r>
          </w:p>
        </w:tc>
        <w:tc>
          <w:tcPr>
            <w:tcW w:w="1544" w:type="pct"/>
            <w:shd w:val="clear" w:color="auto" w:fill="auto"/>
            <w:vAlign w:val="center"/>
          </w:tcPr>
          <w:p w14:paraId="30F16B67" w14:textId="6C4A109E" w:rsidR="00E20F5E" w:rsidRPr="0049394D" w:rsidRDefault="00E20F5E" w:rsidP="00E76E56">
            <w:pPr>
              <w:pStyle w:val="TableText0"/>
              <w:keepNext w:val="0"/>
            </w:pPr>
            <w:r w:rsidRPr="0049394D">
              <w:t>High, favoured belzutifan. If long term surgery disutilities were removed from the model, the ICERs increased: $</w:t>
            </w:r>
            <w:r w:rsidR="00501C36" w:rsidRPr="00501C36">
              <w:rPr>
                <w:color w:val="000000"/>
                <w:spacing w:val="53"/>
                <w:shd w:val="solid" w:color="000000" w:fill="000000"/>
                <w:fitText w:val="330" w:id="-893684734"/>
                <w14:textFill>
                  <w14:solidFill>
                    <w14:srgbClr w14:val="000000">
                      <w14:alpha w14:val="100000"/>
                    </w14:srgbClr>
                  </w14:solidFill>
                </w14:textFill>
              </w:rPr>
              <w:t>|||</w:t>
            </w:r>
            <w:r w:rsidR="00501C36" w:rsidRPr="00501C36">
              <w:rPr>
                <w:color w:val="000000"/>
                <w:spacing w:val="1"/>
                <w:shd w:val="solid" w:color="000000" w:fill="000000"/>
                <w:fitText w:val="330" w:id="-893684734"/>
                <w14:textFill>
                  <w14:solidFill>
                    <w14:srgbClr w14:val="000000">
                      <w14:alpha w14:val="100000"/>
                    </w14:srgbClr>
                  </w14:solidFill>
                </w14:textFill>
              </w:rPr>
              <w:t>|</w:t>
            </w:r>
            <w:r w:rsidR="009869E1" w:rsidRPr="003F0AD1">
              <w:rPr>
                <w:vertAlign w:val="superscript"/>
              </w:rPr>
              <w:t>4</w:t>
            </w:r>
            <w:r w:rsidR="00441BD7" w:rsidRPr="0049394D">
              <w:t>/QALY RCC model</w:t>
            </w:r>
            <w:r w:rsidRPr="0049394D">
              <w:t>; $</w:t>
            </w:r>
            <w:r w:rsidR="00501C36" w:rsidRPr="00501C36">
              <w:rPr>
                <w:color w:val="000000"/>
                <w:spacing w:val="53"/>
                <w:shd w:val="solid" w:color="000000" w:fill="000000"/>
                <w:fitText w:val="330" w:id="-893684733"/>
                <w14:textFill>
                  <w14:solidFill>
                    <w14:srgbClr w14:val="000000">
                      <w14:alpha w14:val="100000"/>
                    </w14:srgbClr>
                  </w14:solidFill>
                </w14:textFill>
              </w:rPr>
              <w:t>|||</w:t>
            </w:r>
            <w:r w:rsidR="00501C36" w:rsidRPr="00501C36">
              <w:rPr>
                <w:color w:val="000000"/>
                <w:spacing w:val="1"/>
                <w:shd w:val="solid" w:color="000000" w:fill="000000"/>
                <w:fitText w:val="330" w:id="-893684733"/>
                <w14:textFill>
                  <w14:solidFill>
                    <w14:srgbClr w14:val="000000">
                      <w14:alpha w14:val="100000"/>
                    </w14:srgbClr>
                  </w14:solidFill>
                </w14:textFill>
              </w:rPr>
              <w:t>|</w:t>
            </w:r>
            <w:r w:rsidR="009869E1" w:rsidRPr="003F0AD1">
              <w:rPr>
                <w:vertAlign w:val="superscript"/>
              </w:rPr>
              <w:t>4</w:t>
            </w:r>
            <w:r w:rsidR="00441BD7" w:rsidRPr="0049394D">
              <w:t>/QALY CNS Hb model</w:t>
            </w:r>
            <w:r w:rsidRPr="0049394D">
              <w:t>; $</w:t>
            </w:r>
            <w:r w:rsidR="00501C36" w:rsidRPr="00501C36">
              <w:rPr>
                <w:color w:val="000000"/>
                <w:spacing w:val="53"/>
                <w:shd w:val="solid" w:color="000000" w:fill="000000"/>
                <w:fitText w:val="330" w:id="-893684732"/>
                <w14:textFill>
                  <w14:solidFill>
                    <w14:srgbClr w14:val="000000">
                      <w14:alpha w14:val="100000"/>
                    </w14:srgbClr>
                  </w14:solidFill>
                </w14:textFill>
              </w:rPr>
              <w:t>|||</w:t>
            </w:r>
            <w:r w:rsidR="00501C36" w:rsidRPr="00501C36">
              <w:rPr>
                <w:color w:val="000000"/>
                <w:spacing w:val="1"/>
                <w:shd w:val="solid" w:color="000000" w:fill="000000"/>
                <w:fitText w:val="330" w:id="-893684732"/>
                <w14:textFill>
                  <w14:solidFill>
                    <w14:srgbClr w14:val="000000">
                      <w14:alpha w14:val="100000"/>
                    </w14:srgbClr>
                  </w14:solidFill>
                </w14:textFill>
              </w:rPr>
              <w:t>|</w:t>
            </w:r>
            <w:r w:rsidR="009869E1" w:rsidRPr="003F0AD1">
              <w:rPr>
                <w:vertAlign w:val="superscript"/>
              </w:rPr>
              <w:t>1</w:t>
            </w:r>
            <w:r w:rsidRPr="0049394D">
              <w:t>/QALY</w:t>
            </w:r>
            <w:r w:rsidR="00441BD7" w:rsidRPr="0049394D">
              <w:t xml:space="preserve"> pNET model</w:t>
            </w:r>
            <w:r w:rsidRPr="0049394D">
              <w:t>.</w:t>
            </w:r>
          </w:p>
        </w:tc>
      </w:tr>
    </w:tbl>
    <w:p w14:paraId="21752F0E" w14:textId="54195FBF" w:rsidR="00E20F5E" w:rsidRPr="0049394D" w:rsidRDefault="00E20F5E" w:rsidP="00E20F5E">
      <w:pPr>
        <w:pStyle w:val="FooterTableFigure"/>
        <w:rPr>
          <w:iCs/>
        </w:rPr>
      </w:pPr>
      <w:r w:rsidRPr="0049394D">
        <w:t xml:space="preserve">Source: </w:t>
      </w:r>
      <w:r w:rsidRPr="0049394D">
        <w:rPr>
          <w:iCs/>
        </w:rPr>
        <w:t xml:space="preserve">compiled during the evaluation </w:t>
      </w:r>
    </w:p>
    <w:p w14:paraId="6C7B11F4" w14:textId="1E3BA480" w:rsidR="00441BD7" w:rsidRDefault="00441BD7" w:rsidP="00E20F5E">
      <w:pPr>
        <w:pStyle w:val="FooterTableFigure"/>
      </w:pPr>
      <w:r w:rsidRPr="0049394D">
        <w:t>ICER=incremental cost-effectiveness ratio, KM=Kaplan-Meier, QALY=quality-adjusted life-year</w:t>
      </w:r>
    </w:p>
    <w:p w14:paraId="146566EB" w14:textId="77777777" w:rsidR="00641419" w:rsidRPr="0009066F" w:rsidRDefault="00641419" w:rsidP="00641419">
      <w:pPr>
        <w:pStyle w:val="FooterTableFigure"/>
        <w:rPr>
          <w:i/>
          <w:iCs/>
        </w:rPr>
      </w:pPr>
      <w:r w:rsidRPr="0009066F">
        <w:rPr>
          <w:i/>
          <w:iCs/>
        </w:rPr>
        <w:t>The redacted values correspond to the following ranges:</w:t>
      </w:r>
    </w:p>
    <w:p w14:paraId="3510DB0C" w14:textId="633ACC72" w:rsidR="00641419" w:rsidRDefault="00641419" w:rsidP="00641419">
      <w:pPr>
        <w:pStyle w:val="FooterTableFigure"/>
        <w:rPr>
          <w:i/>
          <w:iCs/>
        </w:rPr>
      </w:pPr>
      <w:r>
        <w:rPr>
          <w:i/>
          <w:iCs/>
        </w:rPr>
        <w:t>1</w:t>
      </w:r>
      <w:r w:rsidRPr="0009066F">
        <w:rPr>
          <w:i/>
          <w:iCs/>
        </w:rPr>
        <w:t xml:space="preserve"> $155,000 to &lt; $255,000</w:t>
      </w:r>
    </w:p>
    <w:p w14:paraId="4D2F8F1F" w14:textId="17BA7D09" w:rsidR="00641419" w:rsidRDefault="00641419" w:rsidP="00641419">
      <w:pPr>
        <w:pStyle w:val="FooterTableFigure"/>
        <w:rPr>
          <w:i/>
          <w:iCs/>
        </w:rPr>
      </w:pPr>
      <w:r>
        <w:rPr>
          <w:i/>
          <w:iCs/>
        </w:rPr>
        <w:t xml:space="preserve">2 </w:t>
      </w:r>
      <w:r w:rsidRPr="00641419">
        <w:rPr>
          <w:i/>
          <w:iCs/>
        </w:rPr>
        <w:t>$755,000 to &lt; $855,000</w:t>
      </w:r>
    </w:p>
    <w:p w14:paraId="39AE2586" w14:textId="453DAFD5" w:rsidR="00641419" w:rsidRDefault="00641419" w:rsidP="00641419">
      <w:pPr>
        <w:pStyle w:val="FooterTableFigure"/>
        <w:rPr>
          <w:i/>
          <w:iCs/>
        </w:rPr>
      </w:pPr>
      <w:r>
        <w:rPr>
          <w:i/>
          <w:iCs/>
        </w:rPr>
        <w:t xml:space="preserve">3 </w:t>
      </w:r>
      <w:r w:rsidRPr="00641419">
        <w:rPr>
          <w:i/>
          <w:iCs/>
        </w:rPr>
        <w:t>$355,000 to &lt; $455,000</w:t>
      </w:r>
    </w:p>
    <w:p w14:paraId="31D1A7E0" w14:textId="3E991A8B" w:rsidR="00641419" w:rsidRPr="0009066F" w:rsidRDefault="00641419" w:rsidP="00641419">
      <w:pPr>
        <w:pStyle w:val="FooterTableFigure"/>
        <w:rPr>
          <w:i/>
          <w:iCs/>
        </w:rPr>
      </w:pPr>
      <w:r>
        <w:rPr>
          <w:i/>
          <w:iCs/>
        </w:rPr>
        <w:t xml:space="preserve">4 </w:t>
      </w:r>
      <w:r w:rsidRPr="00641419">
        <w:rPr>
          <w:i/>
          <w:iCs/>
        </w:rPr>
        <w:t>$255,000 to &lt; $355,000</w:t>
      </w:r>
    </w:p>
    <w:p w14:paraId="279AE076" w14:textId="4D76E6A7" w:rsidR="00E20F5E" w:rsidRPr="0049394D" w:rsidRDefault="00E20F5E" w:rsidP="00E20F5E">
      <w:pPr>
        <w:pStyle w:val="3-BodyText"/>
      </w:pPr>
      <w:r w:rsidRPr="0049394D">
        <w:t xml:space="preserve">The summary base case results are presented in </w:t>
      </w:r>
      <w:r w:rsidRPr="0049394D">
        <w:fldChar w:fldCharType="begin" w:fldLock="1"/>
      </w:r>
      <w:r w:rsidRPr="0049394D">
        <w:instrText xml:space="preserve"> REF _Ref104805181 \h  \* MERGEFORMAT </w:instrText>
      </w:r>
      <w:r w:rsidRPr="0049394D">
        <w:fldChar w:fldCharType="separate"/>
      </w:r>
      <w:r w:rsidR="00437B51" w:rsidRPr="0049394D">
        <w:t xml:space="preserve">Table </w:t>
      </w:r>
      <w:r w:rsidR="00437B51">
        <w:t>14</w:t>
      </w:r>
      <w:r w:rsidRPr="0049394D">
        <w:fldChar w:fldCharType="end"/>
      </w:r>
      <w:r w:rsidRPr="0049394D">
        <w:t>.</w:t>
      </w:r>
      <w:r w:rsidR="00441BD7" w:rsidRPr="0049394D">
        <w:t xml:space="preserve"> </w:t>
      </w:r>
      <w:r w:rsidR="00441BD7" w:rsidRPr="0049394D">
        <w:rPr>
          <w:iCs/>
        </w:rPr>
        <w:t>No stepped analysis was presented</w:t>
      </w:r>
      <w:r w:rsidR="00D64C15" w:rsidRPr="0049394D">
        <w:rPr>
          <w:iCs/>
        </w:rPr>
        <w:t xml:space="preserve"> by the submission</w:t>
      </w:r>
      <w:r w:rsidR="00441BD7" w:rsidRPr="0049394D">
        <w:rPr>
          <w:iCs/>
        </w:rPr>
        <w:t>.</w:t>
      </w:r>
      <w:r w:rsidRPr="0049394D">
        <w:t xml:space="preserve"> Belzutifan was associated with ICERs of $</w:t>
      </w:r>
      <w:r w:rsidR="009869E1" w:rsidRPr="009869E1">
        <w:t>155,000 to &lt; $255,000</w:t>
      </w:r>
      <w:r w:rsidRPr="0049394D">
        <w:t>per QALY gained ($</w:t>
      </w:r>
      <w:r w:rsidR="009869E1" w:rsidRPr="009869E1">
        <w:t>255,000 to &lt; $355,000</w:t>
      </w:r>
      <w:r w:rsidR="00F96C75">
        <w:t xml:space="preserve"> </w:t>
      </w:r>
      <w:r w:rsidRPr="0049394D">
        <w:t>per life year gained) in the RCC model, $</w:t>
      </w:r>
      <w:r w:rsidR="009869E1" w:rsidRPr="009869E1">
        <w:t>155,000 to &lt; $255,000</w:t>
      </w:r>
      <w:r w:rsidR="00F96C75">
        <w:t xml:space="preserve"> </w:t>
      </w:r>
      <w:r w:rsidRPr="0049394D">
        <w:t>per QALY gained ($</w:t>
      </w:r>
      <w:r w:rsidR="009869E1" w:rsidRPr="009869E1">
        <w:t>255,000 to &lt; $355,000</w:t>
      </w:r>
      <w:r w:rsidR="00F96C75">
        <w:t xml:space="preserve"> </w:t>
      </w:r>
      <w:r w:rsidRPr="0049394D">
        <w:t>per life year gained) in the CNS Hb model, and $</w:t>
      </w:r>
      <w:r w:rsidR="009869E1" w:rsidRPr="009869E1">
        <w:t>155,000 to &lt; $255,000</w:t>
      </w:r>
      <w:r w:rsidR="00F96C75">
        <w:t xml:space="preserve"> </w:t>
      </w:r>
      <w:r w:rsidRPr="0049394D">
        <w:t>per QALY gained ($</w:t>
      </w:r>
      <w:r w:rsidR="009869E1" w:rsidRPr="009869E1">
        <w:t>155,000 to &lt; $255,000</w:t>
      </w:r>
      <w:r w:rsidR="00F96C75">
        <w:t xml:space="preserve"> </w:t>
      </w:r>
      <w:r w:rsidRPr="0049394D">
        <w:t xml:space="preserve">per life year gained) in the pNET model. </w:t>
      </w:r>
    </w:p>
    <w:p w14:paraId="7BA1E76E" w14:textId="56A1030F" w:rsidR="00E20F5E" w:rsidRPr="0049394D" w:rsidRDefault="00E20F5E" w:rsidP="00E20F5E">
      <w:pPr>
        <w:pStyle w:val="Caption"/>
        <w:rPr>
          <w:rStyle w:val="CommentReference"/>
          <w:b/>
          <w:szCs w:val="24"/>
        </w:rPr>
      </w:pPr>
      <w:bookmarkStart w:id="76" w:name="_Ref104805181"/>
      <w:r w:rsidRPr="0049394D">
        <w:t xml:space="preserve">Table </w:t>
      </w:r>
      <w:r>
        <w:fldChar w:fldCharType="begin" w:fldLock="1"/>
      </w:r>
      <w:r>
        <w:instrText xml:space="preserve"> SEQ Table \* ARABIC </w:instrText>
      </w:r>
      <w:r>
        <w:fldChar w:fldCharType="separate"/>
      </w:r>
      <w:r w:rsidR="00437B51">
        <w:rPr>
          <w:noProof/>
        </w:rPr>
        <w:t>14</w:t>
      </w:r>
      <w:r>
        <w:rPr>
          <w:noProof/>
        </w:rPr>
        <w:fldChar w:fldCharType="end"/>
      </w:r>
      <w:bookmarkEnd w:id="76"/>
      <w:r w:rsidRPr="0049394D">
        <w:rPr>
          <w:rStyle w:val="CommentReference"/>
          <w:b/>
          <w:szCs w:val="24"/>
        </w:rPr>
        <w:t>: Results of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economic evaluation (discounted)"/>
      </w:tblPr>
      <w:tblGrid>
        <w:gridCol w:w="3235"/>
        <w:gridCol w:w="1973"/>
        <w:gridCol w:w="1867"/>
        <w:gridCol w:w="1942"/>
      </w:tblGrid>
      <w:tr w:rsidR="00E20F5E" w:rsidRPr="0049394D" w14:paraId="0DAD2F5E" w14:textId="77777777" w:rsidTr="00465819">
        <w:trPr>
          <w:trHeight w:val="56"/>
          <w:tblHeader/>
        </w:trPr>
        <w:tc>
          <w:tcPr>
            <w:tcW w:w="1794" w:type="pct"/>
            <w:vAlign w:val="center"/>
          </w:tcPr>
          <w:p w14:paraId="0D385BA1" w14:textId="77777777" w:rsidR="00E20F5E" w:rsidRPr="0049394D" w:rsidRDefault="00E20F5E" w:rsidP="00282F0D">
            <w:pPr>
              <w:pStyle w:val="In-tableHeading"/>
              <w:rPr>
                <w:lang w:val="en-AU"/>
              </w:rPr>
            </w:pPr>
            <w:r w:rsidRPr="0049394D">
              <w:rPr>
                <w:lang w:val="en-AU"/>
              </w:rPr>
              <w:t>Component</w:t>
            </w:r>
          </w:p>
        </w:tc>
        <w:tc>
          <w:tcPr>
            <w:tcW w:w="1094" w:type="pct"/>
            <w:vAlign w:val="center"/>
          </w:tcPr>
          <w:p w14:paraId="461FDBEC" w14:textId="77777777" w:rsidR="00E20F5E" w:rsidRPr="0049394D" w:rsidRDefault="00E20F5E" w:rsidP="00282F0D">
            <w:pPr>
              <w:pStyle w:val="In-tableHeading"/>
              <w:jc w:val="center"/>
              <w:rPr>
                <w:lang w:val="en-AU"/>
              </w:rPr>
            </w:pPr>
            <w:r w:rsidRPr="0049394D">
              <w:rPr>
                <w:lang w:val="en-AU"/>
              </w:rPr>
              <w:t>BEL+AS arm</w:t>
            </w:r>
          </w:p>
        </w:tc>
        <w:tc>
          <w:tcPr>
            <w:tcW w:w="1035" w:type="pct"/>
            <w:vAlign w:val="center"/>
          </w:tcPr>
          <w:p w14:paraId="4F44BB8F" w14:textId="77777777" w:rsidR="00E20F5E" w:rsidRPr="0049394D" w:rsidRDefault="00E20F5E" w:rsidP="00282F0D">
            <w:pPr>
              <w:pStyle w:val="In-tableHeading"/>
              <w:jc w:val="center"/>
              <w:rPr>
                <w:lang w:val="en-AU"/>
              </w:rPr>
            </w:pPr>
            <w:r w:rsidRPr="0049394D">
              <w:rPr>
                <w:lang w:val="en-AU"/>
              </w:rPr>
              <w:t>AS arm</w:t>
            </w:r>
          </w:p>
        </w:tc>
        <w:tc>
          <w:tcPr>
            <w:tcW w:w="1077" w:type="pct"/>
            <w:vAlign w:val="center"/>
          </w:tcPr>
          <w:p w14:paraId="1ADC3A16" w14:textId="77777777" w:rsidR="00E20F5E" w:rsidRPr="0049394D" w:rsidRDefault="00E20F5E" w:rsidP="00282F0D">
            <w:pPr>
              <w:pStyle w:val="In-tableHeading"/>
              <w:jc w:val="center"/>
              <w:rPr>
                <w:lang w:val="en-AU"/>
              </w:rPr>
            </w:pPr>
            <w:r w:rsidRPr="0049394D">
              <w:rPr>
                <w:lang w:val="en-AU"/>
              </w:rPr>
              <w:t>Increment</w:t>
            </w:r>
          </w:p>
        </w:tc>
      </w:tr>
      <w:tr w:rsidR="00E20F5E" w:rsidRPr="0049394D" w14:paraId="4E5B88EB" w14:textId="77777777" w:rsidTr="00465819">
        <w:trPr>
          <w:tblHeader/>
        </w:trPr>
        <w:tc>
          <w:tcPr>
            <w:tcW w:w="1794" w:type="pct"/>
            <w:vAlign w:val="center"/>
          </w:tcPr>
          <w:p w14:paraId="47FEE6AA" w14:textId="77777777" w:rsidR="00E20F5E" w:rsidRPr="0049394D" w:rsidRDefault="00E20F5E" w:rsidP="00282F0D">
            <w:pPr>
              <w:pStyle w:val="In-tableHeading"/>
              <w:rPr>
                <w:lang w:val="en-AU"/>
              </w:rPr>
            </w:pPr>
            <w:r w:rsidRPr="0049394D">
              <w:rPr>
                <w:lang w:val="en-AU"/>
              </w:rPr>
              <w:t>RCC model</w:t>
            </w:r>
          </w:p>
        </w:tc>
        <w:tc>
          <w:tcPr>
            <w:tcW w:w="1094" w:type="pct"/>
            <w:vAlign w:val="center"/>
          </w:tcPr>
          <w:p w14:paraId="18E3E678" w14:textId="77777777" w:rsidR="00E20F5E" w:rsidRPr="0049394D" w:rsidRDefault="00E20F5E" w:rsidP="00282F0D">
            <w:pPr>
              <w:pStyle w:val="In-tableHeading"/>
              <w:jc w:val="center"/>
              <w:rPr>
                <w:lang w:val="en-AU"/>
              </w:rPr>
            </w:pPr>
          </w:p>
        </w:tc>
        <w:tc>
          <w:tcPr>
            <w:tcW w:w="1035" w:type="pct"/>
            <w:vAlign w:val="center"/>
          </w:tcPr>
          <w:p w14:paraId="7A0D53D8" w14:textId="77777777" w:rsidR="00E20F5E" w:rsidRPr="0049394D" w:rsidRDefault="00E20F5E" w:rsidP="00282F0D">
            <w:pPr>
              <w:pStyle w:val="In-tableHeading"/>
              <w:jc w:val="center"/>
              <w:rPr>
                <w:lang w:val="en-AU"/>
              </w:rPr>
            </w:pPr>
          </w:p>
        </w:tc>
        <w:tc>
          <w:tcPr>
            <w:tcW w:w="1077" w:type="pct"/>
            <w:vAlign w:val="center"/>
          </w:tcPr>
          <w:p w14:paraId="6C5685E5" w14:textId="77777777" w:rsidR="00E20F5E" w:rsidRPr="0049394D" w:rsidRDefault="00E20F5E" w:rsidP="00282F0D">
            <w:pPr>
              <w:pStyle w:val="In-tableHeading"/>
              <w:jc w:val="center"/>
              <w:rPr>
                <w:lang w:val="en-AU"/>
              </w:rPr>
            </w:pPr>
          </w:p>
        </w:tc>
      </w:tr>
      <w:tr w:rsidR="00E20F5E" w:rsidRPr="0049394D" w14:paraId="17E973B1" w14:textId="77777777" w:rsidTr="00465819">
        <w:tc>
          <w:tcPr>
            <w:tcW w:w="1794" w:type="pct"/>
            <w:vAlign w:val="center"/>
          </w:tcPr>
          <w:p w14:paraId="28A07A69" w14:textId="77777777" w:rsidR="00E20F5E" w:rsidRPr="0049394D" w:rsidRDefault="00E20F5E" w:rsidP="00282F0D">
            <w:pPr>
              <w:pStyle w:val="TableText0"/>
              <w:rPr>
                <w:rFonts w:ascii="Times" w:hAnsi="Times"/>
              </w:rPr>
            </w:pPr>
            <w:r w:rsidRPr="0049394D">
              <w:t>Costs</w:t>
            </w:r>
          </w:p>
        </w:tc>
        <w:tc>
          <w:tcPr>
            <w:tcW w:w="1094" w:type="pct"/>
            <w:vAlign w:val="center"/>
          </w:tcPr>
          <w:p w14:paraId="2F84DC39" w14:textId="75947331"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c>
          <w:tcPr>
            <w:tcW w:w="1035" w:type="pct"/>
            <w:vAlign w:val="center"/>
          </w:tcPr>
          <w:p w14:paraId="17013487" w14:textId="269B3D00"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c>
          <w:tcPr>
            <w:tcW w:w="1077" w:type="pct"/>
            <w:vAlign w:val="center"/>
          </w:tcPr>
          <w:p w14:paraId="2448CCE7" w14:textId="3D27CEBE"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r>
      <w:tr w:rsidR="00E20F5E" w:rsidRPr="0049394D" w14:paraId="1C46C58B" w14:textId="77777777" w:rsidTr="00465819">
        <w:tc>
          <w:tcPr>
            <w:tcW w:w="1794" w:type="pct"/>
            <w:vAlign w:val="center"/>
          </w:tcPr>
          <w:p w14:paraId="7208027F" w14:textId="77777777" w:rsidR="00E20F5E" w:rsidRPr="0049394D" w:rsidRDefault="00E20F5E" w:rsidP="00282F0D">
            <w:pPr>
              <w:pStyle w:val="TableText0"/>
              <w:rPr>
                <w:rFonts w:ascii="Times" w:hAnsi="Times"/>
              </w:rPr>
            </w:pPr>
            <w:r w:rsidRPr="0049394D">
              <w:t>LYs</w:t>
            </w:r>
          </w:p>
        </w:tc>
        <w:tc>
          <w:tcPr>
            <w:tcW w:w="1094" w:type="pct"/>
            <w:vAlign w:val="center"/>
          </w:tcPr>
          <w:p w14:paraId="3854C0FE" w14:textId="77777777" w:rsidR="00E20F5E" w:rsidRPr="0049394D" w:rsidRDefault="00E20F5E" w:rsidP="00282F0D">
            <w:pPr>
              <w:pStyle w:val="TableText0"/>
              <w:jc w:val="center"/>
              <w:rPr>
                <w:rFonts w:ascii="Times" w:hAnsi="Times"/>
              </w:rPr>
            </w:pPr>
            <w:r w:rsidRPr="0049394D">
              <w:t>12.67</w:t>
            </w:r>
          </w:p>
        </w:tc>
        <w:tc>
          <w:tcPr>
            <w:tcW w:w="1035" w:type="pct"/>
            <w:vAlign w:val="center"/>
          </w:tcPr>
          <w:p w14:paraId="267C97AF" w14:textId="77777777" w:rsidR="00E20F5E" w:rsidRPr="0049394D" w:rsidRDefault="00E20F5E" w:rsidP="00282F0D">
            <w:pPr>
              <w:pStyle w:val="TableText0"/>
              <w:jc w:val="center"/>
              <w:rPr>
                <w:rFonts w:ascii="Times" w:hAnsi="Times"/>
              </w:rPr>
            </w:pPr>
            <w:r w:rsidRPr="0049394D">
              <w:t>10.75</w:t>
            </w:r>
          </w:p>
        </w:tc>
        <w:tc>
          <w:tcPr>
            <w:tcW w:w="1077" w:type="pct"/>
            <w:vAlign w:val="center"/>
          </w:tcPr>
          <w:p w14:paraId="14D3CC06" w14:textId="77777777" w:rsidR="00E20F5E" w:rsidRPr="0049394D" w:rsidRDefault="00E20F5E" w:rsidP="00282F0D">
            <w:pPr>
              <w:pStyle w:val="TableText0"/>
              <w:jc w:val="center"/>
            </w:pPr>
            <w:r w:rsidRPr="0049394D">
              <w:t>1.93</w:t>
            </w:r>
          </w:p>
        </w:tc>
      </w:tr>
      <w:tr w:rsidR="00E20F5E" w:rsidRPr="0049394D" w14:paraId="0D18E9C8" w14:textId="77777777" w:rsidTr="00465819">
        <w:tc>
          <w:tcPr>
            <w:tcW w:w="1794" w:type="pct"/>
            <w:vAlign w:val="center"/>
          </w:tcPr>
          <w:p w14:paraId="62152449" w14:textId="77777777" w:rsidR="00E20F5E" w:rsidRPr="0049394D" w:rsidRDefault="00E20F5E" w:rsidP="00282F0D">
            <w:pPr>
              <w:pStyle w:val="TableText0"/>
            </w:pPr>
            <w:r w:rsidRPr="0049394D">
              <w:t>QALYs</w:t>
            </w:r>
          </w:p>
        </w:tc>
        <w:tc>
          <w:tcPr>
            <w:tcW w:w="1094" w:type="pct"/>
            <w:vAlign w:val="center"/>
          </w:tcPr>
          <w:p w14:paraId="601DE699" w14:textId="77777777" w:rsidR="00E20F5E" w:rsidRPr="0049394D" w:rsidRDefault="00E20F5E" w:rsidP="00282F0D">
            <w:pPr>
              <w:pStyle w:val="TableText0"/>
              <w:jc w:val="center"/>
            </w:pPr>
            <w:r w:rsidRPr="0049394D">
              <w:t>7.39</w:t>
            </w:r>
          </w:p>
        </w:tc>
        <w:tc>
          <w:tcPr>
            <w:tcW w:w="1035" w:type="pct"/>
            <w:vAlign w:val="center"/>
          </w:tcPr>
          <w:p w14:paraId="762472DD" w14:textId="77777777" w:rsidR="00E20F5E" w:rsidRPr="0049394D" w:rsidRDefault="00E20F5E" w:rsidP="00282F0D">
            <w:pPr>
              <w:pStyle w:val="TableText0"/>
              <w:jc w:val="center"/>
            </w:pPr>
            <w:r w:rsidRPr="0049394D">
              <w:t>5.18</w:t>
            </w:r>
          </w:p>
        </w:tc>
        <w:tc>
          <w:tcPr>
            <w:tcW w:w="1077" w:type="pct"/>
            <w:vAlign w:val="center"/>
          </w:tcPr>
          <w:p w14:paraId="6F578F14" w14:textId="77777777" w:rsidR="00E20F5E" w:rsidRPr="0049394D" w:rsidRDefault="00E20F5E" w:rsidP="00282F0D">
            <w:pPr>
              <w:pStyle w:val="TableText0"/>
              <w:jc w:val="center"/>
            </w:pPr>
            <w:r w:rsidRPr="0049394D">
              <w:t>2.21</w:t>
            </w:r>
          </w:p>
        </w:tc>
      </w:tr>
      <w:tr w:rsidR="00E20F5E" w:rsidRPr="0049394D" w14:paraId="7DB1CA4F" w14:textId="77777777" w:rsidTr="00465819">
        <w:tc>
          <w:tcPr>
            <w:tcW w:w="3923" w:type="pct"/>
            <w:gridSpan w:val="3"/>
            <w:vAlign w:val="center"/>
          </w:tcPr>
          <w:p w14:paraId="0FCD4658" w14:textId="77777777" w:rsidR="00E20F5E" w:rsidRPr="0049394D" w:rsidRDefault="00E20F5E" w:rsidP="00282F0D">
            <w:pPr>
              <w:pStyle w:val="TableText0"/>
              <w:rPr>
                <w:rFonts w:ascii="Times" w:hAnsi="Times"/>
                <w:b/>
              </w:rPr>
            </w:pPr>
            <w:r w:rsidRPr="0049394D">
              <w:rPr>
                <w:b/>
              </w:rPr>
              <w:t>Incremental cost/extra LY gained</w:t>
            </w:r>
          </w:p>
        </w:tc>
        <w:tc>
          <w:tcPr>
            <w:tcW w:w="1077" w:type="pct"/>
            <w:vAlign w:val="center"/>
          </w:tcPr>
          <w:p w14:paraId="511069A5" w14:textId="3951CCC4" w:rsidR="00E20F5E" w:rsidRPr="0049394D" w:rsidRDefault="00E20F5E" w:rsidP="00282F0D">
            <w:pPr>
              <w:pStyle w:val="TableText0"/>
              <w:jc w:val="center"/>
              <w:rPr>
                <w:rFonts w:ascii="Times" w:hAnsi="Times"/>
                <w:b/>
                <w:iCs/>
              </w:rPr>
            </w:pPr>
            <w:r w:rsidRPr="0049394D">
              <w:rPr>
                <w:b/>
                <w:iCs/>
              </w:rPr>
              <w:t>$</w:t>
            </w:r>
            <w:r w:rsidR="00501C36" w:rsidRPr="00501C36">
              <w:rPr>
                <w:b/>
                <w:iCs/>
                <w:color w:val="000000"/>
                <w:shd w:val="solid" w:color="000000" w:fill="000000"/>
                <w14:textFill>
                  <w14:solidFill>
                    <w14:srgbClr w14:val="000000">
                      <w14:alpha w14:val="100000"/>
                    </w14:srgbClr>
                  </w14:solidFill>
                </w14:textFill>
              </w:rPr>
              <w:t>|</w:t>
            </w:r>
            <w:r w:rsidR="00325A64">
              <w:rPr>
                <w:b/>
                <w:iCs/>
                <w:vertAlign w:val="superscript"/>
              </w:rPr>
              <w:t>1</w:t>
            </w:r>
            <w:r w:rsidRPr="0049394D">
              <w:rPr>
                <w:b/>
                <w:iCs/>
                <w:vertAlign w:val="superscript"/>
              </w:rPr>
              <w:t>a</w:t>
            </w:r>
          </w:p>
        </w:tc>
      </w:tr>
      <w:tr w:rsidR="00E20F5E" w:rsidRPr="0049394D" w14:paraId="539B66F4" w14:textId="77777777" w:rsidTr="00465819">
        <w:tc>
          <w:tcPr>
            <w:tcW w:w="3923" w:type="pct"/>
            <w:gridSpan w:val="3"/>
            <w:vAlign w:val="center"/>
          </w:tcPr>
          <w:p w14:paraId="28AB4411" w14:textId="77777777" w:rsidR="00E20F5E" w:rsidRPr="0049394D" w:rsidRDefault="00E20F5E" w:rsidP="00282F0D">
            <w:pPr>
              <w:pStyle w:val="TableText0"/>
              <w:rPr>
                <w:b/>
              </w:rPr>
            </w:pPr>
            <w:r w:rsidRPr="0049394D">
              <w:rPr>
                <w:b/>
              </w:rPr>
              <w:t>Incremental cost/extra QALY gained</w:t>
            </w:r>
          </w:p>
        </w:tc>
        <w:tc>
          <w:tcPr>
            <w:tcW w:w="1077" w:type="pct"/>
            <w:vAlign w:val="center"/>
          </w:tcPr>
          <w:p w14:paraId="4D5F1452" w14:textId="7E80984C" w:rsidR="00E20F5E" w:rsidRPr="0049394D" w:rsidRDefault="00E20F5E" w:rsidP="00282F0D">
            <w:pPr>
              <w:pStyle w:val="TableText0"/>
              <w:jc w:val="center"/>
              <w:rPr>
                <w:b/>
              </w:rPr>
            </w:pPr>
            <w:r w:rsidRPr="0049394D">
              <w:rPr>
                <w:b/>
              </w:rPr>
              <w:t>$</w:t>
            </w:r>
            <w:r w:rsidR="00501C36" w:rsidRPr="00501C36">
              <w:rPr>
                <w:b/>
                <w:color w:val="000000"/>
                <w:shd w:val="solid" w:color="000000" w:fill="000000"/>
                <w14:textFill>
                  <w14:solidFill>
                    <w14:srgbClr w14:val="000000">
                      <w14:alpha w14:val="100000"/>
                    </w14:srgbClr>
                  </w14:solidFill>
                </w14:textFill>
              </w:rPr>
              <w:t>|</w:t>
            </w:r>
            <w:r w:rsidR="00325A64" w:rsidRPr="0009066F">
              <w:rPr>
                <w:b/>
                <w:vertAlign w:val="superscript"/>
              </w:rPr>
              <w:t>2</w:t>
            </w:r>
          </w:p>
        </w:tc>
      </w:tr>
      <w:tr w:rsidR="00E20F5E" w:rsidRPr="0049394D" w14:paraId="292AC6E6" w14:textId="77777777" w:rsidTr="00465819">
        <w:tc>
          <w:tcPr>
            <w:tcW w:w="1794" w:type="pct"/>
            <w:vAlign w:val="center"/>
          </w:tcPr>
          <w:p w14:paraId="0BC97E54" w14:textId="77777777" w:rsidR="00E20F5E" w:rsidRPr="0049394D" w:rsidRDefault="00E20F5E" w:rsidP="00282F0D">
            <w:pPr>
              <w:pStyle w:val="TableText0"/>
              <w:rPr>
                <w:b/>
                <w:bCs w:val="0"/>
              </w:rPr>
            </w:pPr>
            <w:r w:rsidRPr="0049394D">
              <w:rPr>
                <w:b/>
                <w:bCs w:val="0"/>
              </w:rPr>
              <w:t>CNS Hb model</w:t>
            </w:r>
          </w:p>
        </w:tc>
        <w:tc>
          <w:tcPr>
            <w:tcW w:w="1094" w:type="pct"/>
            <w:vAlign w:val="center"/>
          </w:tcPr>
          <w:p w14:paraId="4C000E45" w14:textId="77777777" w:rsidR="00E20F5E" w:rsidRPr="0049394D" w:rsidRDefault="00E20F5E" w:rsidP="00282F0D">
            <w:pPr>
              <w:pStyle w:val="TableText0"/>
              <w:jc w:val="center"/>
            </w:pPr>
          </w:p>
        </w:tc>
        <w:tc>
          <w:tcPr>
            <w:tcW w:w="1035" w:type="pct"/>
            <w:vAlign w:val="center"/>
          </w:tcPr>
          <w:p w14:paraId="393037EC" w14:textId="77777777" w:rsidR="00E20F5E" w:rsidRPr="0049394D" w:rsidRDefault="00E20F5E" w:rsidP="00282F0D">
            <w:pPr>
              <w:pStyle w:val="TableText0"/>
              <w:jc w:val="center"/>
            </w:pPr>
          </w:p>
        </w:tc>
        <w:tc>
          <w:tcPr>
            <w:tcW w:w="1077" w:type="pct"/>
            <w:vAlign w:val="center"/>
          </w:tcPr>
          <w:p w14:paraId="09DE1DD2" w14:textId="77777777" w:rsidR="00E20F5E" w:rsidRPr="0049394D" w:rsidRDefault="00E20F5E" w:rsidP="00282F0D">
            <w:pPr>
              <w:pStyle w:val="TableText0"/>
              <w:jc w:val="center"/>
            </w:pPr>
          </w:p>
        </w:tc>
      </w:tr>
      <w:tr w:rsidR="00E20F5E" w:rsidRPr="0049394D" w14:paraId="68887DD0" w14:textId="77777777" w:rsidTr="00465819">
        <w:tc>
          <w:tcPr>
            <w:tcW w:w="1794" w:type="pct"/>
            <w:vAlign w:val="center"/>
          </w:tcPr>
          <w:p w14:paraId="691D3593" w14:textId="77777777" w:rsidR="00E20F5E" w:rsidRPr="0049394D" w:rsidRDefault="00E20F5E" w:rsidP="00282F0D">
            <w:pPr>
              <w:pStyle w:val="TableText0"/>
              <w:rPr>
                <w:rFonts w:ascii="Times" w:hAnsi="Times"/>
              </w:rPr>
            </w:pPr>
            <w:r w:rsidRPr="0049394D">
              <w:t>Costs</w:t>
            </w:r>
          </w:p>
        </w:tc>
        <w:tc>
          <w:tcPr>
            <w:tcW w:w="1094" w:type="pct"/>
            <w:vAlign w:val="center"/>
          </w:tcPr>
          <w:p w14:paraId="209D484F" w14:textId="15522C15"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c>
          <w:tcPr>
            <w:tcW w:w="1035" w:type="pct"/>
            <w:vAlign w:val="center"/>
          </w:tcPr>
          <w:p w14:paraId="4CEBB47F" w14:textId="26636373"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c>
          <w:tcPr>
            <w:tcW w:w="1077" w:type="pct"/>
            <w:vAlign w:val="center"/>
          </w:tcPr>
          <w:p w14:paraId="09785604" w14:textId="6917A5D0"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r>
      <w:tr w:rsidR="00E20F5E" w:rsidRPr="0049394D" w14:paraId="47A79EB7" w14:textId="77777777" w:rsidTr="00465819">
        <w:tc>
          <w:tcPr>
            <w:tcW w:w="1794" w:type="pct"/>
            <w:vAlign w:val="center"/>
          </w:tcPr>
          <w:p w14:paraId="574F94C4" w14:textId="77777777" w:rsidR="00E20F5E" w:rsidRPr="0049394D" w:rsidRDefault="00E20F5E" w:rsidP="00282F0D">
            <w:pPr>
              <w:pStyle w:val="TableText0"/>
              <w:rPr>
                <w:rFonts w:ascii="Times" w:hAnsi="Times"/>
              </w:rPr>
            </w:pPr>
            <w:r w:rsidRPr="0049394D">
              <w:t>LYs</w:t>
            </w:r>
          </w:p>
        </w:tc>
        <w:tc>
          <w:tcPr>
            <w:tcW w:w="1094" w:type="pct"/>
            <w:vAlign w:val="center"/>
          </w:tcPr>
          <w:p w14:paraId="230AF4E1" w14:textId="77777777" w:rsidR="00E20F5E" w:rsidRPr="0049394D" w:rsidRDefault="00E20F5E" w:rsidP="00282F0D">
            <w:pPr>
              <w:pStyle w:val="TableText0"/>
              <w:jc w:val="center"/>
              <w:rPr>
                <w:rFonts w:ascii="Times" w:hAnsi="Times"/>
              </w:rPr>
            </w:pPr>
            <w:r w:rsidRPr="0049394D">
              <w:t>12.64</w:t>
            </w:r>
          </w:p>
        </w:tc>
        <w:tc>
          <w:tcPr>
            <w:tcW w:w="1035" w:type="pct"/>
            <w:vAlign w:val="center"/>
          </w:tcPr>
          <w:p w14:paraId="76610EC3" w14:textId="77777777" w:rsidR="00E20F5E" w:rsidRPr="0049394D" w:rsidRDefault="00E20F5E" w:rsidP="00282F0D">
            <w:pPr>
              <w:pStyle w:val="TableText0"/>
              <w:jc w:val="center"/>
              <w:rPr>
                <w:rFonts w:ascii="Times" w:hAnsi="Times"/>
              </w:rPr>
            </w:pPr>
            <w:r w:rsidRPr="0049394D">
              <w:t>10.64</w:t>
            </w:r>
          </w:p>
        </w:tc>
        <w:tc>
          <w:tcPr>
            <w:tcW w:w="1077" w:type="pct"/>
            <w:vAlign w:val="center"/>
          </w:tcPr>
          <w:p w14:paraId="0480436F" w14:textId="77777777" w:rsidR="00E20F5E" w:rsidRPr="0049394D" w:rsidRDefault="00E20F5E" w:rsidP="00282F0D">
            <w:pPr>
              <w:pStyle w:val="TableText0"/>
              <w:jc w:val="center"/>
            </w:pPr>
            <w:r w:rsidRPr="0049394D">
              <w:t>2.00</w:t>
            </w:r>
          </w:p>
        </w:tc>
      </w:tr>
      <w:tr w:rsidR="00E20F5E" w:rsidRPr="0049394D" w14:paraId="2BBA5861" w14:textId="77777777" w:rsidTr="00465819">
        <w:tc>
          <w:tcPr>
            <w:tcW w:w="1794" w:type="pct"/>
            <w:vAlign w:val="center"/>
          </w:tcPr>
          <w:p w14:paraId="04809E76" w14:textId="77777777" w:rsidR="00E20F5E" w:rsidRPr="0049394D" w:rsidRDefault="00E20F5E" w:rsidP="00282F0D">
            <w:pPr>
              <w:pStyle w:val="TableText0"/>
            </w:pPr>
            <w:r w:rsidRPr="0049394D">
              <w:t>QALYs</w:t>
            </w:r>
          </w:p>
        </w:tc>
        <w:tc>
          <w:tcPr>
            <w:tcW w:w="1094" w:type="pct"/>
            <w:vAlign w:val="center"/>
          </w:tcPr>
          <w:p w14:paraId="554BCF63" w14:textId="77777777" w:rsidR="00E20F5E" w:rsidRPr="0049394D" w:rsidRDefault="00E20F5E" w:rsidP="00282F0D">
            <w:pPr>
              <w:pStyle w:val="TableText0"/>
              <w:jc w:val="center"/>
            </w:pPr>
            <w:r w:rsidRPr="0049394D">
              <w:t>7.42</w:t>
            </w:r>
          </w:p>
        </w:tc>
        <w:tc>
          <w:tcPr>
            <w:tcW w:w="1035" w:type="pct"/>
            <w:vAlign w:val="center"/>
          </w:tcPr>
          <w:p w14:paraId="585FDD7C" w14:textId="77777777" w:rsidR="00E20F5E" w:rsidRPr="0049394D" w:rsidRDefault="00E20F5E" w:rsidP="00282F0D">
            <w:pPr>
              <w:pStyle w:val="TableText0"/>
              <w:jc w:val="center"/>
            </w:pPr>
            <w:r w:rsidRPr="0049394D">
              <w:t>5.08</w:t>
            </w:r>
          </w:p>
        </w:tc>
        <w:tc>
          <w:tcPr>
            <w:tcW w:w="1077" w:type="pct"/>
            <w:vAlign w:val="center"/>
          </w:tcPr>
          <w:p w14:paraId="70C0B3B0" w14:textId="77777777" w:rsidR="00E20F5E" w:rsidRPr="0049394D" w:rsidRDefault="00E20F5E" w:rsidP="00282F0D">
            <w:pPr>
              <w:pStyle w:val="TableText0"/>
              <w:jc w:val="center"/>
            </w:pPr>
            <w:r w:rsidRPr="0049394D">
              <w:t>2.34</w:t>
            </w:r>
          </w:p>
        </w:tc>
      </w:tr>
      <w:tr w:rsidR="00E20F5E" w:rsidRPr="0049394D" w14:paraId="56E47B23" w14:textId="77777777" w:rsidTr="00465819">
        <w:tc>
          <w:tcPr>
            <w:tcW w:w="3923" w:type="pct"/>
            <w:gridSpan w:val="3"/>
            <w:vAlign w:val="center"/>
          </w:tcPr>
          <w:p w14:paraId="26DD5B61" w14:textId="77777777" w:rsidR="00E20F5E" w:rsidRPr="0049394D" w:rsidRDefault="00E20F5E" w:rsidP="00282F0D">
            <w:pPr>
              <w:pStyle w:val="TableText0"/>
              <w:rPr>
                <w:rFonts w:ascii="Times" w:hAnsi="Times"/>
                <w:b/>
              </w:rPr>
            </w:pPr>
            <w:r w:rsidRPr="0049394D">
              <w:rPr>
                <w:b/>
              </w:rPr>
              <w:t>Incremental cost/extra LY gained</w:t>
            </w:r>
          </w:p>
        </w:tc>
        <w:tc>
          <w:tcPr>
            <w:tcW w:w="1077" w:type="pct"/>
            <w:vAlign w:val="center"/>
          </w:tcPr>
          <w:p w14:paraId="15075F6C" w14:textId="217B6FAD" w:rsidR="00E20F5E" w:rsidRPr="0049394D" w:rsidRDefault="00E20F5E" w:rsidP="00282F0D">
            <w:pPr>
              <w:pStyle w:val="TableText0"/>
              <w:jc w:val="center"/>
              <w:rPr>
                <w:rFonts w:ascii="Times" w:hAnsi="Times"/>
                <w:b/>
                <w:iCs/>
              </w:rPr>
            </w:pPr>
            <w:r w:rsidRPr="0049394D">
              <w:rPr>
                <w:b/>
                <w:iCs/>
              </w:rPr>
              <w:t>$</w:t>
            </w:r>
            <w:r w:rsidR="00501C36" w:rsidRPr="00501C36">
              <w:rPr>
                <w:b/>
                <w:iCs/>
                <w:color w:val="000000"/>
                <w:shd w:val="solid" w:color="000000" w:fill="000000"/>
                <w14:textFill>
                  <w14:solidFill>
                    <w14:srgbClr w14:val="000000">
                      <w14:alpha w14:val="100000"/>
                    </w14:srgbClr>
                  </w14:solidFill>
                </w14:textFill>
              </w:rPr>
              <w:t>|</w:t>
            </w:r>
            <w:r w:rsidR="00325A64">
              <w:rPr>
                <w:b/>
                <w:iCs/>
                <w:vertAlign w:val="superscript"/>
              </w:rPr>
              <w:t>1</w:t>
            </w:r>
            <w:r w:rsidRPr="0049394D">
              <w:rPr>
                <w:b/>
                <w:iCs/>
                <w:vertAlign w:val="superscript"/>
              </w:rPr>
              <w:t>a</w:t>
            </w:r>
          </w:p>
        </w:tc>
      </w:tr>
      <w:tr w:rsidR="00E20F5E" w:rsidRPr="0049394D" w14:paraId="045D0226" w14:textId="77777777" w:rsidTr="00465819">
        <w:tc>
          <w:tcPr>
            <w:tcW w:w="3923" w:type="pct"/>
            <w:gridSpan w:val="3"/>
            <w:vAlign w:val="center"/>
          </w:tcPr>
          <w:p w14:paraId="1654E3CE" w14:textId="77777777" w:rsidR="00E20F5E" w:rsidRPr="0049394D" w:rsidRDefault="00E20F5E" w:rsidP="00282F0D">
            <w:pPr>
              <w:pStyle w:val="TableText0"/>
              <w:rPr>
                <w:b/>
              </w:rPr>
            </w:pPr>
            <w:r w:rsidRPr="0049394D">
              <w:rPr>
                <w:b/>
              </w:rPr>
              <w:t>Incremental cost/extra QALY gained</w:t>
            </w:r>
          </w:p>
        </w:tc>
        <w:tc>
          <w:tcPr>
            <w:tcW w:w="1077" w:type="pct"/>
            <w:vAlign w:val="center"/>
          </w:tcPr>
          <w:p w14:paraId="51B41380" w14:textId="6A8B1F0F" w:rsidR="00E20F5E" w:rsidRPr="0049394D" w:rsidRDefault="00E20F5E" w:rsidP="00282F0D">
            <w:pPr>
              <w:pStyle w:val="TableText0"/>
              <w:jc w:val="center"/>
              <w:rPr>
                <w:b/>
              </w:rPr>
            </w:pPr>
            <w:r w:rsidRPr="0049394D">
              <w:rPr>
                <w:b/>
              </w:rPr>
              <w:t>$</w:t>
            </w:r>
            <w:r w:rsidR="00501C36" w:rsidRPr="00501C36">
              <w:rPr>
                <w:b/>
                <w:color w:val="000000"/>
                <w:shd w:val="solid" w:color="000000" w:fill="000000"/>
                <w14:textFill>
                  <w14:solidFill>
                    <w14:srgbClr w14:val="000000">
                      <w14:alpha w14:val="100000"/>
                    </w14:srgbClr>
                  </w14:solidFill>
                </w14:textFill>
              </w:rPr>
              <w:t>|</w:t>
            </w:r>
            <w:r w:rsidR="00325A64">
              <w:rPr>
                <w:b/>
                <w:vertAlign w:val="superscript"/>
              </w:rPr>
              <w:t>2</w:t>
            </w:r>
          </w:p>
        </w:tc>
      </w:tr>
      <w:tr w:rsidR="00E20F5E" w:rsidRPr="0049394D" w14:paraId="1B818332" w14:textId="77777777" w:rsidTr="00465819">
        <w:tc>
          <w:tcPr>
            <w:tcW w:w="3923" w:type="pct"/>
            <w:gridSpan w:val="3"/>
            <w:vAlign w:val="center"/>
          </w:tcPr>
          <w:p w14:paraId="7F282DD0" w14:textId="77777777" w:rsidR="00E20F5E" w:rsidRPr="0049394D" w:rsidRDefault="00E20F5E" w:rsidP="00282F0D">
            <w:pPr>
              <w:pStyle w:val="TableText0"/>
              <w:rPr>
                <w:b/>
              </w:rPr>
            </w:pPr>
            <w:r w:rsidRPr="0049394D">
              <w:rPr>
                <w:b/>
              </w:rPr>
              <w:t>pNET model</w:t>
            </w:r>
          </w:p>
        </w:tc>
        <w:tc>
          <w:tcPr>
            <w:tcW w:w="1077" w:type="pct"/>
            <w:vAlign w:val="center"/>
          </w:tcPr>
          <w:p w14:paraId="437285BD" w14:textId="77777777" w:rsidR="00E20F5E" w:rsidRPr="0049394D" w:rsidRDefault="00E20F5E" w:rsidP="00282F0D">
            <w:pPr>
              <w:pStyle w:val="TableText0"/>
              <w:jc w:val="center"/>
              <w:rPr>
                <w:b/>
              </w:rPr>
            </w:pPr>
          </w:p>
        </w:tc>
      </w:tr>
      <w:tr w:rsidR="00E20F5E" w:rsidRPr="0049394D" w14:paraId="37C30178" w14:textId="77777777" w:rsidTr="00465819">
        <w:tc>
          <w:tcPr>
            <w:tcW w:w="1794" w:type="pct"/>
            <w:vAlign w:val="center"/>
          </w:tcPr>
          <w:p w14:paraId="5292DF58" w14:textId="77777777" w:rsidR="00E20F5E" w:rsidRPr="0049394D" w:rsidRDefault="00E20F5E" w:rsidP="00282F0D">
            <w:pPr>
              <w:pStyle w:val="TableText0"/>
              <w:rPr>
                <w:rFonts w:ascii="Times" w:hAnsi="Times"/>
              </w:rPr>
            </w:pPr>
            <w:r w:rsidRPr="0049394D">
              <w:t>Costs</w:t>
            </w:r>
          </w:p>
        </w:tc>
        <w:tc>
          <w:tcPr>
            <w:tcW w:w="1094" w:type="pct"/>
            <w:vAlign w:val="center"/>
          </w:tcPr>
          <w:p w14:paraId="678F0610" w14:textId="7115706D"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c>
          <w:tcPr>
            <w:tcW w:w="1035" w:type="pct"/>
            <w:vAlign w:val="center"/>
          </w:tcPr>
          <w:p w14:paraId="74E87E82" w14:textId="4A2DA293"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c>
          <w:tcPr>
            <w:tcW w:w="1077" w:type="pct"/>
            <w:vAlign w:val="center"/>
          </w:tcPr>
          <w:p w14:paraId="164A343F" w14:textId="3D734C82" w:rsidR="00E20F5E" w:rsidRPr="0049394D" w:rsidRDefault="00E20F5E" w:rsidP="00282F0D">
            <w:pPr>
              <w:pStyle w:val="TableText0"/>
              <w:jc w:val="center"/>
              <w:rPr>
                <w:rFonts w:ascii="Times" w:hAnsi="Times"/>
              </w:rPr>
            </w:pPr>
            <w:r w:rsidRPr="0049394D">
              <w:t>$</w:t>
            </w:r>
            <w:r w:rsidR="00501C36" w:rsidRPr="00501C36">
              <w:rPr>
                <w:color w:val="000000"/>
                <w:shd w:val="solid" w:color="000000" w:fill="000000"/>
                <w14:textFill>
                  <w14:solidFill>
                    <w14:srgbClr w14:val="000000">
                      <w14:alpha w14:val="100000"/>
                    </w14:srgbClr>
                  </w14:solidFill>
                </w14:textFill>
              </w:rPr>
              <w:t>|</w:t>
            </w:r>
          </w:p>
        </w:tc>
      </w:tr>
      <w:tr w:rsidR="00E20F5E" w:rsidRPr="0049394D" w14:paraId="7E84F3B5" w14:textId="77777777" w:rsidTr="00465819">
        <w:tc>
          <w:tcPr>
            <w:tcW w:w="1794" w:type="pct"/>
            <w:vAlign w:val="center"/>
          </w:tcPr>
          <w:p w14:paraId="4F1C355B" w14:textId="77777777" w:rsidR="00E20F5E" w:rsidRPr="0049394D" w:rsidRDefault="00E20F5E" w:rsidP="00282F0D">
            <w:pPr>
              <w:pStyle w:val="TableText0"/>
              <w:rPr>
                <w:rFonts w:ascii="Times" w:hAnsi="Times"/>
              </w:rPr>
            </w:pPr>
            <w:r w:rsidRPr="0049394D">
              <w:t>LYs</w:t>
            </w:r>
          </w:p>
        </w:tc>
        <w:tc>
          <w:tcPr>
            <w:tcW w:w="1094" w:type="pct"/>
            <w:vAlign w:val="center"/>
          </w:tcPr>
          <w:p w14:paraId="0837B8F5" w14:textId="77777777" w:rsidR="00E20F5E" w:rsidRPr="0049394D" w:rsidRDefault="00E20F5E" w:rsidP="00282F0D">
            <w:pPr>
              <w:pStyle w:val="TableText0"/>
              <w:jc w:val="center"/>
              <w:rPr>
                <w:rFonts w:ascii="Times" w:hAnsi="Times"/>
              </w:rPr>
            </w:pPr>
            <w:r w:rsidRPr="0049394D">
              <w:t>11.40</w:t>
            </w:r>
          </w:p>
        </w:tc>
        <w:tc>
          <w:tcPr>
            <w:tcW w:w="1035" w:type="pct"/>
            <w:vAlign w:val="center"/>
          </w:tcPr>
          <w:p w14:paraId="5CBF3AC3" w14:textId="77777777" w:rsidR="00E20F5E" w:rsidRPr="0049394D" w:rsidRDefault="00E20F5E" w:rsidP="00282F0D">
            <w:pPr>
              <w:pStyle w:val="TableText0"/>
              <w:jc w:val="center"/>
              <w:rPr>
                <w:rFonts w:ascii="Times" w:hAnsi="Times"/>
              </w:rPr>
            </w:pPr>
            <w:r w:rsidRPr="0049394D">
              <w:t>8.75</w:t>
            </w:r>
          </w:p>
        </w:tc>
        <w:tc>
          <w:tcPr>
            <w:tcW w:w="1077" w:type="pct"/>
            <w:vAlign w:val="center"/>
          </w:tcPr>
          <w:p w14:paraId="2F3E27AD" w14:textId="77777777" w:rsidR="00E20F5E" w:rsidRPr="0049394D" w:rsidRDefault="00E20F5E" w:rsidP="00282F0D">
            <w:pPr>
              <w:pStyle w:val="TableText0"/>
              <w:jc w:val="center"/>
            </w:pPr>
            <w:r w:rsidRPr="0049394D">
              <w:t>2.65</w:t>
            </w:r>
          </w:p>
        </w:tc>
      </w:tr>
      <w:tr w:rsidR="00E20F5E" w:rsidRPr="0049394D" w14:paraId="3BA253B2" w14:textId="77777777" w:rsidTr="00465819">
        <w:tc>
          <w:tcPr>
            <w:tcW w:w="1794" w:type="pct"/>
            <w:vAlign w:val="center"/>
          </w:tcPr>
          <w:p w14:paraId="4D865B1E" w14:textId="77777777" w:rsidR="00E20F5E" w:rsidRPr="0049394D" w:rsidRDefault="00E20F5E" w:rsidP="00282F0D">
            <w:pPr>
              <w:pStyle w:val="TableText0"/>
            </w:pPr>
            <w:r w:rsidRPr="0049394D">
              <w:t>QALYs</w:t>
            </w:r>
          </w:p>
        </w:tc>
        <w:tc>
          <w:tcPr>
            <w:tcW w:w="1094" w:type="pct"/>
            <w:vAlign w:val="center"/>
          </w:tcPr>
          <w:p w14:paraId="36626B2F" w14:textId="77777777" w:rsidR="00E20F5E" w:rsidRPr="0049394D" w:rsidRDefault="00E20F5E" w:rsidP="00282F0D">
            <w:pPr>
              <w:pStyle w:val="TableText0"/>
              <w:jc w:val="center"/>
            </w:pPr>
            <w:r w:rsidRPr="0049394D">
              <w:t>6.79</w:t>
            </w:r>
          </w:p>
        </w:tc>
        <w:tc>
          <w:tcPr>
            <w:tcW w:w="1035" w:type="pct"/>
            <w:vAlign w:val="center"/>
          </w:tcPr>
          <w:p w14:paraId="78B6C961" w14:textId="77777777" w:rsidR="00E20F5E" w:rsidRPr="0049394D" w:rsidRDefault="00E20F5E" w:rsidP="00282F0D">
            <w:pPr>
              <w:pStyle w:val="TableText0"/>
              <w:jc w:val="center"/>
            </w:pPr>
            <w:r w:rsidRPr="0049394D">
              <w:t>3.98</w:t>
            </w:r>
          </w:p>
        </w:tc>
        <w:tc>
          <w:tcPr>
            <w:tcW w:w="1077" w:type="pct"/>
            <w:vAlign w:val="center"/>
          </w:tcPr>
          <w:p w14:paraId="1758903E" w14:textId="77777777" w:rsidR="00E20F5E" w:rsidRPr="0049394D" w:rsidRDefault="00E20F5E" w:rsidP="00282F0D">
            <w:pPr>
              <w:pStyle w:val="TableText0"/>
              <w:jc w:val="center"/>
            </w:pPr>
            <w:r w:rsidRPr="0049394D">
              <w:t>2.81</w:t>
            </w:r>
          </w:p>
        </w:tc>
      </w:tr>
      <w:tr w:rsidR="00E20F5E" w:rsidRPr="0049394D" w14:paraId="11F09103" w14:textId="77777777" w:rsidTr="00465819">
        <w:tc>
          <w:tcPr>
            <w:tcW w:w="3923" w:type="pct"/>
            <w:gridSpan w:val="3"/>
            <w:vAlign w:val="center"/>
          </w:tcPr>
          <w:p w14:paraId="5D719DD7" w14:textId="77777777" w:rsidR="00E20F5E" w:rsidRPr="0049394D" w:rsidRDefault="00E20F5E" w:rsidP="00282F0D">
            <w:pPr>
              <w:pStyle w:val="TableText0"/>
              <w:rPr>
                <w:rFonts w:ascii="Times" w:hAnsi="Times"/>
                <w:b/>
              </w:rPr>
            </w:pPr>
            <w:r w:rsidRPr="0049394D">
              <w:rPr>
                <w:b/>
              </w:rPr>
              <w:t>Incremental cost/extra LY gained</w:t>
            </w:r>
          </w:p>
        </w:tc>
        <w:tc>
          <w:tcPr>
            <w:tcW w:w="1077" w:type="pct"/>
            <w:vAlign w:val="center"/>
          </w:tcPr>
          <w:p w14:paraId="6AC13A90" w14:textId="2274774E" w:rsidR="00E20F5E" w:rsidRPr="0049394D" w:rsidRDefault="00E20F5E" w:rsidP="00282F0D">
            <w:pPr>
              <w:pStyle w:val="TableText0"/>
              <w:jc w:val="center"/>
              <w:rPr>
                <w:rFonts w:ascii="Times" w:hAnsi="Times"/>
                <w:b/>
                <w:iCs/>
              </w:rPr>
            </w:pPr>
            <w:r w:rsidRPr="0049394D">
              <w:rPr>
                <w:b/>
                <w:iCs/>
              </w:rPr>
              <w:t>$</w:t>
            </w:r>
            <w:r w:rsidR="00501C36" w:rsidRPr="00501C36">
              <w:rPr>
                <w:b/>
                <w:iCs/>
                <w:color w:val="000000"/>
                <w:shd w:val="solid" w:color="000000" w:fill="000000"/>
                <w14:textFill>
                  <w14:solidFill>
                    <w14:srgbClr w14:val="000000">
                      <w14:alpha w14:val="100000"/>
                    </w14:srgbClr>
                  </w14:solidFill>
                </w14:textFill>
              </w:rPr>
              <w:t>|</w:t>
            </w:r>
            <w:r w:rsidRPr="0049394D">
              <w:rPr>
                <w:b/>
                <w:iCs/>
                <w:vertAlign w:val="superscript"/>
              </w:rPr>
              <w:t xml:space="preserve"> </w:t>
            </w:r>
            <w:r w:rsidR="00325A64">
              <w:rPr>
                <w:b/>
                <w:vertAlign w:val="superscript"/>
              </w:rPr>
              <w:t>2</w:t>
            </w:r>
            <w:r w:rsidRPr="0049394D">
              <w:rPr>
                <w:b/>
                <w:iCs/>
                <w:vertAlign w:val="superscript"/>
              </w:rPr>
              <w:t>a</w:t>
            </w:r>
          </w:p>
        </w:tc>
      </w:tr>
      <w:tr w:rsidR="00E20F5E" w:rsidRPr="0049394D" w14:paraId="6E35B1FB" w14:textId="77777777" w:rsidTr="00465819">
        <w:tc>
          <w:tcPr>
            <w:tcW w:w="3923" w:type="pct"/>
            <w:gridSpan w:val="3"/>
            <w:vAlign w:val="center"/>
          </w:tcPr>
          <w:p w14:paraId="54F7ECBE" w14:textId="77777777" w:rsidR="00E20F5E" w:rsidRPr="0049394D" w:rsidRDefault="00E20F5E" w:rsidP="00282F0D">
            <w:pPr>
              <w:pStyle w:val="TableText0"/>
              <w:rPr>
                <w:b/>
              </w:rPr>
            </w:pPr>
            <w:r w:rsidRPr="0049394D">
              <w:rPr>
                <w:b/>
              </w:rPr>
              <w:t>Incremental cost/extra QALY gained</w:t>
            </w:r>
          </w:p>
        </w:tc>
        <w:tc>
          <w:tcPr>
            <w:tcW w:w="1077" w:type="pct"/>
            <w:vAlign w:val="center"/>
          </w:tcPr>
          <w:p w14:paraId="464207E5" w14:textId="3EF3CC6C" w:rsidR="00E20F5E" w:rsidRPr="0049394D" w:rsidRDefault="00E20F5E" w:rsidP="00282F0D">
            <w:pPr>
              <w:pStyle w:val="TableText0"/>
              <w:jc w:val="center"/>
              <w:rPr>
                <w:b/>
              </w:rPr>
            </w:pPr>
            <w:r w:rsidRPr="0049394D">
              <w:rPr>
                <w:b/>
              </w:rPr>
              <w:t>$</w:t>
            </w:r>
            <w:r w:rsidR="00501C36" w:rsidRPr="00501C36">
              <w:rPr>
                <w:b/>
                <w:color w:val="000000"/>
                <w:shd w:val="solid" w:color="000000" w:fill="000000"/>
                <w14:textFill>
                  <w14:solidFill>
                    <w14:srgbClr w14:val="000000">
                      <w14:alpha w14:val="100000"/>
                    </w14:srgbClr>
                  </w14:solidFill>
                </w14:textFill>
              </w:rPr>
              <w:t>|</w:t>
            </w:r>
            <w:r w:rsidR="00325A64">
              <w:rPr>
                <w:b/>
                <w:vertAlign w:val="superscript"/>
              </w:rPr>
              <w:t>2</w:t>
            </w:r>
          </w:p>
        </w:tc>
      </w:tr>
    </w:tbl>
    <w:p w14:paraId="1CF9E990" w14:textId="77777777" w:rsidR="00E20F5E" w:rsidRPr="0049394D" w:rsidRDefault="00E20F5E" w:rsidP="00E20F5E">
      <w:pPr>
        <w:pStyle w:val="FooterTableFigure"/>
      </w:pPr>
      <w:r w:rsidRPr="0049394D">
        <w:t xml:space="preserve">Source: Tables 3.8-9, 3.8-10, 3.8-11, 3.8-12, 3.8-13, 3.8-14 and </w:t>
      </w:r>
      <w:r w:rsidRPr="0049394D">
        <w:rPr>
          <w:iCs/>
        </w:rPr>
        <w:t>compiled during the evaluation</w:t>
      </w:r>
    </w:p>
    <w:p w14:paraId="3A820B0F" w14:textId="77777777" w:rsidR="00E20F5E" w:rsidRPr="0049394D" w:rsidRDefault="00E20F5E" w:rsidP="00E20F5E">
      <w:pPr>
        <w:pStyle w:val="FooterTableFigure"/>
      </w:pPr>
      <w:r w:rsidRPr="0049394D">
        <w:t>AS=active surveillance, BEL=belzutifan, LY=life year, QALY=quality adjusted life year</w:t>
      </w:r>
    </w:p>
    <w:p w14:paraId="29EF1ECF" w14:textId="188F1617" w:rsidR="00E20F5E" w:rsidRDefault="00E20F5E" w:rsidP="00E20F5E">
      <w:pPr>
        <w:pStyle w:val="FooterTableFigure"/>
      </w:pPr>
      <w:r w:rsidRPr="0049394D">
        <w:rPr>
          <w:vertAlign w:val="superscript"/>
        </w:rPr>
        <w:t>a</w:t>
      </w:r>
      <w:r w:rsidRPr="0049394D">
        <w:rPr>
          <w:vertAlign w:val="superscript"/>
        </w:rPr>
        <w:tab/>
      </w:r>
      <w:r w:rsidRPr="0049394D">
        <w:t xml:space="preserve">Incremental cost per life year gained in the submission appeared to be estimated for published prices of belzutifan, rather than effective price. Effective price ICERs are reported </w:t>
      </w:r>
      <w:r w:rsidR="009548E6" w:rsidRPr="0049394D">
        <w:t>in this table</w:t>
      </w:r>
      <w:r w:rsidRPr="0049394D">
        <w:t>.</w:t>
      </w:r>
    </w:p>
    <w:p w14:paraId="60726B31" w14:textId="77777777" w:rsidR="00AC16BD" w:rsidRPr="00AC16BD" w:rsidRDefault="00AC16BD" w:rsidP="00AC16BD">
      <w:pPr>
        <w:pStyle w:val="FooterTableFigure"/>
        <w:rPr>
          <w:i/>
          <w:iCs/>
        </w:rPr>
      </w:pPr>
      <w:r w:rsidRPr="00AC16BD">
        <w:rPr>
          <w:i/>
          <w:iCs/>
        </w:rPr>
        <w:t>The redacted values correspond to the following ranges:</w:t>
      </w:r>
    </w:p>
    <w:p w14:paraId="52AD2822" w14:textId="26DDF867" w:rsidR="00AC16BD" w:rsidRDefault="00325A64" w:rsidP="00AC16BD">
      <w:pPr>
        <w:pStyle w:val="FooterTableFigure"/>
        <w:rPr>
          <w:i/>
          <w:iCs/>
        </w:rPr>
      </w:pPr>
      <w:r>
        <w:rPr>
          <w:i/>
          <w:iCs/>
        </w:rPr>
        <w:t>1</w:t>
      </w:r>
      <w:r w:rsidR="00AC16BD" w:rsidRPr="00AC16BD">
        <w:rPr>
          <w:i/>
          <w:iCs/>
        </w:rPr>
        <w:t xml:space="preserve"> $255,000 to &lt; $355,000</w:t>
      </w:r>
    </w:p>
    <w:p w14:paraId="435FD7C8" w14:textId="58003567" w:rsidR="00AC16BD" w:rsidRPr="005C19E6" w:rsidRDefault="00325A64" w:rsidP="00E20F5E">
      <w:pPr>
        <w:pStyle w:val="FooterTableFigure"/>
        <w:rPr>
          <w:i/>
          <w:iCs/>
        </w:rPr>
      </w:pPr>
      <w:r>
        <w:rPr>
          <w:i/>
          <w:iCs/>
        </w:rPr>
        <w:t>2</w:t>
      </w:r>
      <w:r w:rsidR="00AC16BD" w:rsidRPr="00AC16BD">
        <w:rPr>
          <w:i/>
          <w:iCs/>
        </w:rPr>
        <w:t xml:space="preserve"> $155,000 to &lt; $255,000</w:t>
      </w:r>
    </w:p>
    <w:p w14:paraId="557DB54D" w14:textId="34A06E3E" w:rsidR="00E20F5E" w:rsidRPr="0049394D" w:rsidRDefault="00E20F5E" w:rsidP="00E20F5E">
      <w:pPr>
        <w:pStyle w:val="3-BodyText"/>
        <w:rPr>
          <w:iCs/>
        </w:rPr>
      </w:pPr>
      <w:r w:rsidRPr="0049394D">
        <w:rPr>
          <w:iCs/>
        </w:rPr>
        <w:lastRenderedPageBreak/>
        <w:t>Incremental undiscounted costs</w:t>
      </w:r>
      <w:r w:rsidR="00316A59" w:rsidRPr="0049394D">
        <w:rPr>
          <w:iCs/>
        </w:rPr>
        <w:t xml:space="preserve"> (</w:t>
      </w:r>
      <w:r w:rsidR="00316A59" w:rsidRPr="0049394D">
        <w:rPr>
          <w:iCs/>
        </w:rPr>
        <w:fldChar w:fldCharType="begin" w:fldLock="1"/>
      </w:r>
      <w:r w:rsidR="00316A59" w:rsidRPr="0049394D">
        <w:rPr>
          <w:iCs/>
        </w:rPr>
        <w:instrText xml:space="preserve"> REF _Ref167023433 \h </w:instrText>
      </w:r>
      <w:r w:rsidR="004610BF" w:rsidRPr="0049394D">
        <w:rPr>
          <w:iCs/>
        </w:rPr>
        <w:instrText xml:space="preserve"> \* MERGEFORMAT </w:instrText>
      </w:r>
      <w:r w:rsidR="00316A59" w:rsidRPr="0049394D">
        <w:rPr>
          <w:iCs/>
        </w:rPr>
      </w:r>
      <w:r w:rsidR="00316A59" w:rsidRPr="0049394D">
        <w:rPr>
          <w:iCs/>
        </w:rPr>
        <w:fldChar w:fldCharType="separate"/>
      </w:r>
      <w:r w:rsidR="00437B51" w:rsidRPr="0049394D">
        <w:t xml:space="preserve">Table </w:t>
      </w:r>
      <w:r w:rsidR="00437B51">
        <w:rPr>
          <w:noProof/>
        </w:rPr>
        <w:t>15</w:t>
      </w:r>
      <w:r w:rsidR="00316A59" w:rsidRPr="0049394D">
        <w:rPr>
          <w:iCs/>
        </w:rPr>
        <w:fldChar w:fldCharType="end"/>
      </w:r>
      <w:r w:rsidR="00316A59" w:rsidRPr="0049394D">
        <w:rPr>
          <w:iCs/>
        </w:rPr>
        <w:t>)</w:t>
      </w:r>
      <w:r w:rsidRPr="0049394D">
        <w:rPr>
          <w:iCs/>
        </w:rPr>
        <w:t xml:space="preserve"> were driven by the cost of belzutifan, which resulted in undiscounted total costs &gt;$</w:t>
      </w:r>
      <w:r w:rsidR="00501C36" w:rsidRPr="006F175E">
        <w:rPr>
          <w:iCs/>
          <w:color w:val="000000"/>
          <w:w w:val="15"/>
          <w:shd w:val="solid" w:color="000000" w:fill="000000"/>
          <w:fitText w:val="-20" w:id="-893684731"/>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31"/>
          <w14:textFill>
            <w14:solidFill>
              <w14:srgbClr w14:val="000000">
                <w14:alpha w14:val="100000"/>
              </w14:srgbClr>
            </w14:solidFill>
          </w14:textFill>
        </w:rPr>
        <w:t>|</w:t>
      </w:r>
      <w:r w:rsidRPr="0049394D">
        <w:rPr>
          <w:iCs/>
        </w:rPr>
        <w:t xml:space="preserve"> in all models, equal to </w:t>
      </w:r>
      <w:r w:rsidR="00501C36" w:rsidRPr="006F175E">
        <w:rPr>
          <w:iCs/>
          <w:color w:val="000000"/>
          <w:w w:val="15"/>
          <w:shd w:val="solid" w:color="000000" w:fill="000000"/>
          <w:fitText w:val="-20" w:id="-893684730"/>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30"/>
          <w14:textFill>
            <w14:solidFill>
              <w14:srgbClr w14:val="000000">
                <w14:alpha w14:val="100000"/>
              </w14:srgbClr>
            </w14:solidFill>
          </w14:textFill>
        </w:rPr>
        <w:t>|</w:t>
      </w:r>
      <w:r w:rsidRPr="00A7606E">
        <w:rPr>
          <w:iCs/>
        </w:rPr>
        <w:t xml:space="preserve">%, </w:t>
      </w:r>
      <w:r w:rsidR="00501C36" w:rsidRPr="006F175E">
        <w:rPr>
          <w:iCs/>
          <w:color w:val="000000"/>
          <w:w w:val="15"/>
          <w:shd w:val="solid" w:color="000000" w:fill="000000"/>
          <w:fitText w:val="-20" w:id="-893684729"/>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9"/>
          <w14:textFill>
            <w14:solidFill>
              <w14:srgbClr w14:val="000000">
                <w14:alpha w14:val="100000"/>
              </w14:srgbClr>
            </w14:solidFill>
          </w14:textFill>
        </w:rPr>
        <w:t>|</w:t>
      </w:r>
      <w:r w:rsidRPr="00A7606E">
        <w:rPr>
          <w:iCs/>
        </w:rPr>
        <w:t>%,</w:t>
      </w:r>
      <w:r w:rsidR="00501C36" w:rsidRPr="006F175E">
        <w:rPr>
          <w:iCs/>
          <w:color w:val="000000"/>
          <w:w w:val="15"/>
          <w:shd w:val="solid" w:color="000000" w:fill="000000"/>
          <w:fitText w:val="-20" w:id="-893684728"/>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8"/>
          <w14:textFill>
            <w14:solidFill>
              <w14:srgbClr w14:val="000000">
                <w14:alpha w14:val="100000"/>
              </w14:srgbClr>
            </w14:solidFill>
          </w14:textFill>
        </w:rPr>
        <w:t>|</w:t>
      </w:r>
      <w:r w:rsidRPr="00A7606E">
        <w:rPr>
          <w:iCs/>
        </w:rPr>
        <w:t>%</w:t>
      </w:r>
      <w:r w:rsidRPr="0049394D">
        <w:rPr>
          <w:iCs/>
        </w:rPr>
        <w:t xml:space="preserve"> of incremental costs in the RCC, CNS Hb and pNET models</w:t>
      </w:r>
      <w:r w:rsidR="002E648F" w:rsidRPr="0049394D">
        <w:rPr>
          <w:iCs/>
        </w:rPr>
        <w:t>,</w:t>
      </w:r>
      <w:r w:rsidRPr="0049394D">
        <w:rPr>
          <w:iCs/>
        </w:rPr>
        <w:t xml:space="preserve"> respectively. Surgery and surgical complication costs for ‘other’ tumours resulted in the largest cost offset in the RCC and CNS Hb models </w:t>
      </w:r>
      <w:r w:rsidRPr="00A7606E">
        <w:rPr>
          <w:iCs/>
        </w:rPr>
        <w:t>(-</w:t>
      </w:r>
      <w:r w:rsidR="00501C36" w:rsidRPr="006F175E">
        <w:rPr>
          <w:iCs/>
          <w:color w:val="000000"/>
          <w:w w:val="15"/>
          <w:shd w:val="solid" w:color="000000" w:fill="000000"/>
          <w:fitText w:val="-20" w:id="-893684727"/>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7"/>
          <w14:textFill>
            <w14:solidFill>
              <w14:srgbClr w14:val="000000">
                <w14:alpha w14:val="100000"/>
              </w14:srgbClr>
            </w14:solidFill>
          </w14:textFill>
        </w:rPr>
        <w:t>|</w:t>
      </w:r>
      <w:r w:rsidRPr="00A7606E">
        <w:rPr>
          <w:iCs/>
        </w:rPr>
        <w:t>% and -</w:t>
      </w:r>
      <w:r w:rsidR="00501C36" w:rsidRPr="006F175E">
        <w:rPr>
          <w:iCs/>
          <w:color w:val="000000"/>
          <w:w w:val="15"/>
          <w:shd w:val="solid" w:color="000000" w:fill="000000"/>
          <w:fitText w:val="-20" w:id="-893684726"/>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6"/>
          <w14:textFill>
            <w14:solidFill>
              <w14:srgbClr w14:val="000000">
                <w14:alpha w14:val="100000"/>
              </w14:srgbClr>
            </w14:solidFill>
          </w14:textFill>
        </w:rPr>
        <w:t>|</w:t>
      </w:r>
      <w:r w:rsidRPr="00A7606E">
        <w:rPr>
          <w:iCs/>
        </w:rPr>
        <w:t>%</w:t>
      </w:r>
      <w:r w:rsidRPr="0049394D">
        <w:rPr>
          <w:iCs/>
        </w:rPr>
        <w:t xml:space="preserve"> of their total incremental costs respectively) and metastatic drugs were the largest cost-offset in the pNET model</w:t>
      </w:r>
      <w:r w:rsidR="002E648F" w:rsidRPr="0049394D">
        <w:rPr>
          <w:iCs/>
        </w:rPr>
        <w:t xml:space="preserve"> </w:t>
      </w:r>
      <w:r w:rsidRPr="00A7606E">
        <w:rPr>
          <w:iCs/>
        </w:rPr>
        <w:t>(</w:t>
      </w:r>
      <w:r w:rsidR="002E648F" w:rsidRPr="00A7606E">
        <w:rPr>
          <w:iCs/>
        </w:rPr>
        <w:t>-</w:t>
      </w:r>
      <w:r w:rsidR="00501C36" w:rsidRPr="006F175E">
        <w:rPr>
          <w:iCs/>
          <w:color w:val="000000"/>
          <w:w w:val="15"/>
          <w:shd w:val="solid" w:color="000000" w:fill="000000"/>
          <w:fitText w:val="-20" w:id="-893684725"/>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5"/>
          <w14:textFill>
            <w14:solidFill>
              <w14:srgbClr w14:val="000000">
                <w14:alpha w14:val="100000"/>
              </w14:srgbClr>
            </w14:solidFill>
          </w14:textFill>
        </w:rPr>
        <w:t>|</w:t>
      </w:r>
      <w:r w:rsidRPr="00A7606E">
        <w:rPr>
          <w:iCs/>
        </w:rPr>
        <w:t>%</w:t>
      </w:r>
      <w:r w:rsidRPr="0049394D">
        <w:rPr>
          <w:iCs/>
        </w:rPr>
        <w:t xml:space="preserve"> of the total incremental undiscounted cost). The disaggregated undiscounted costs demonstrated that the ICERs are not overly sensitive to cost-offsets.</w:t>
      </w:r>
    </w:p>
    <w:p w14:paraId="6E2876B9" w14:textId="195E8489" w:rsidR="00316A59" w:rsidRPr="0049394D" w:rsidRDefault="00316A59" w:rsidP="00316A59">
      <w:pPr>
        <w:pStyle w:val="TableFigureHeading"/>
        <w:rPr>
          <w:rStyle w:val="CommentReference"/>
          <w:b/>
          <w:szCs w:val="24"/>
        </w:rPr>
      </w:pPr>
      <w:bookmarkStart w:id="77" w:name="_Ref167023433"/>
      <w:r w:rsidRPr="0049394D">
        <w:t xml:space="preserve">Table </w:t>
      </w:r>
      <w:r>
        <w:fldChar w:fldCharType="begin" w:fldLock="1"/>
      </w:r>
      <w:r>
        <w:instrText xml:space="preserve"> SEQ Table \* ARABIC </w:instrText>
      </w:r>
      <w:r>
        <w:fldChar w:fldCharType="separate"/>
      </w:r>
      <w:r w:rsidR="00437B51">
        <w:rPr>
          <w:noProof/>
        </w:rPr>
        <w:t>15</w:t>
      </w:r>
      <w:r>
        <w:rPr>
          <w:noProof/>
        </w:rPr>
        <w:fldChar w:fldCharType="end"/>
      </w:r>
      <w:bookmarkEnd w:id="77"/>
      <w:r w:rsidRPr="0049394D">
        <w:rPr>
          <w:rStyle w:val="CommentReference"/>
          <w:b/>
          <w:szCs w:val="24"/>
        </w:rPr>
        <w:t>: Health care resource items: disaggregated summary of cost impacts (undiscounted)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Health care resource items: disaggregated summary of cost impacts (undiscounted)"/>
      </w:tblPr>
      <w:tblGrid>
        <w:gridCol w:w="1990"/>
        <w:gridCol w:w="1171"/>
        <w:gridCol w:w="1171"/>
        <w:gridCol w:w="1171"/>
        <w:gridCol w:w="1171"/>
        <w:gridCol w:w="1171"/>
        <w:gridCol w:w="1172"/>
      </w:tblGrid>
      <w:tr w:rsidR="00A91F14" w:rsidRPr="0049394D" w14:paraId="4B397A2F" w14:textId="77777777" w:rsidTr="004610BF">
        <w:trPr>
          <w:tblHeader/>
        </w:trPr>
        <w:tc>
          <w:tcPr>
            <w:tcW w:w="1990" w:type="dxa"/>
            <w:vMerge w:val="restart"/>
            <w:vAlign w:val="center"/>
          </w:tcPr>
          <w:p w14:paraId="215F8341" w14:textId="77777777" w:rsidR="00316A59" w:rsidRPr="0049394D" w:rsidRDefault="00316A59" w:rsidP="00052468">
            <w:pPr>
              <w:pStyle w:val="In-tableHeading"/>
              <w:rPr>
                <w:lang w:val="en-AU"/>
              </w:rPr>
            </w:pPr>
            <w:r w:rsidRPr="0049394D">
              <w:rPr>
                <w:lang w:val="en-AU"/>
              </w:rPr>
              <w:t>Resource item</w:t>
            </w:r>
          </w:p>
        </w:tc>
        <w:tc>
          <w:tcPr>
            <w:tcW w:w="2342" w:type="dxa"/>
            <w:gridSpan w:val="2"/>
            <w:vAlign w:val="center"/>
          </w:tcPr>
          <w:p w14:paraId="683B2BC1" w14:textId="77777777" w:rsidR="00316A59" w:rsidRPr="0049394D" w:rsidRDefault="00316A59" w:rsidP="00052468">
            <w:pPr>
              <w:pStyle w:val="In-tableHeading"/>
              <w:jc w:val="center"/>
              <w:rPr>
                <w:lang w:val="en-AU"/>
              </w:rPr>
            </w:pPr>
            <w:r w:rsidRPr="0049394D">
              <w:rPr>
                <w:lang w:val="en-AU"/>
              </w:rPr>
              <w:t>RCC model</w:t>
            </w:r>
          </w:p>
        </w:tc>
        <w:tc>
          <w:tcPr>
            <w:tcW w:w="2342" w:type="dxa"/>
            <w:gridSpan w:val="2"/>
            <w:vAlign w:val="center"/>
          </w:tcPr>
          <w:p w14:paraId="410A6E78" w14:textId="77777777" w:rsidR="00316A59" w:rsidRPr="0049394D" w:rsidRDefault="00316A59" w:rsidP="00052468">
            <w:pPr>
              <w:pStyle w:val="In-tableHeading"/>
              <w:jc w:val="center"/>
              <w:rPr>
                <w:lang w:val="en-AU"/>
              </w:rPr>
            </w:pPr>
            <w:r w:rsidRPr="0049394D">
              <w:rPr>
                <w:lang w:val="en-AU"/>
              </w:rPr>
              <w:t>CNS Hb model</w:t>
            </w:r>
          </w:p>
        </w:tc>
        <w:tc>
          <w:tcPr>
            <w:tcW w:w="2343" w:type="dxa"/>
            <w:gridSpan w:val="2"/>
          </w:tcPr>
          <w:p w14:paraId="483CC5E3" w14:textId="77777777" w:rsidR="00316A59" w:rsidRPr="0049394D" w:rsidRDefault="00316A59" w:rsidP="00052468">
            <w:pPr>
              <w:pStyle w:val="In-tableHeading"/>
              <w:jc w:val="center"/>
              <w:rPr>
                <w:lang w:val="en-AU"/>
              </w:rPr>
            </w:pPr>
            <w:r w:rsidRPr="0049394D">
              <w:rPr>
                <w:lang w:val="en-AU"/>
              </w:rPr>
              <w:t>pNET model</w:t>
            </w:r>
          </w:p>
        </w:tc>
      </w:tr>
      <w:tr w:rsidR="00A91F14" w:rsidRPr="0049394D" w14:paraId="2B0FB4CC" w14:textId="77777777" w:rsidTr="004610BF">
        <w:trPr>
          <w:tblHeader/>
        </w:trPr>
        <w:tc>
          <w:tcPr>
            <w:tcW w:w="1990" w:type="dxa"/>
            <w:vMerge/>
            <w:vAlign w:val="center"/>
          </w:tcPr>
          <w:p w14:paraId="02379E1F" w14:textId="77777777" w:rsidR="00316A59" w:rsidRPr="0049394D" w:rsidRDefault="00316A59" w:rsidP="00052468">
            <w:pPr>
              <w:pStyle w:val="In-tableHeading"/>
              <w:rPr>
                <w:lang w:val="en-AU"/>
              </w:rPr>
            </w:pPr>
          </w:p>
        </w:tc>
        <w:tc>
          <w:tcPr>
            <w:tcW w:w="1171" w:type="dxa"/>
            <w:vAlign w:val="center"/>
          </w:tcPr>
          <w:p w14:paraId="2AB9BDC4" w14:textId="77777777" w:rsidR="00316A59" w:rsidRPr="0049394D" w:rsidRDefault="00316A59" w:rsidP="00052468">
            <w:pPr>
              <w:pStyle w:val="In-tableHeading"/>
              <w:jc w:val="center"/>
              <w:rPr>
                <w:lang w:val="en-AU"/>
              </w:rPr>
            </w:pPr>
            <w:r w:rsidRPr="0049394D">
              <w:rPr>
                <w:lang w:val="en-AU"/>
              </w:rPr>
              <w:t>Incremental cost</w:t>
            </w:r>
          </w:p>
        </w:tc>
        <w:tc>
          <w:tcPr>
            <w:tcW w:w="1171" w:type="dxa"/>
            <w:vAlign w:val="center"/>
          </w:tcPr>
          <w:p w14:paraId="32B1CC04" w14:textId="77777777" w:rsidR="00316A59" w:rsidRPr="0049394D" w:rsidRDefault="00316A59" w:rsidP="00052468">
            <w:pPr>
              <w:pStyle w:val="In-tableHeading"/>
              <w:jc w:val="center"/>
              <w:rPr>
                <w:lang w:val="en-AU"/>
              </w:rPr>
            </w:pPr>
            <w:r w:rsidRPr="0049394D">
              <w:rPr>
                <w:lang w:val="en-AU"/>
              </w:rPr>
              <w:t>% of total incremental cost</w:t>
            </w:r>
          </w:p>
        </w:tc>
        <w:tc>
          <w:tcPr>
            <w:tcW w:w="1171" w:type="dxa"/>
            <w:vAlign w:val="center"/>
          </w:tcPr>
          <w:p w14:paraId="69EC8EB1" w14:textId="77777777" w:rsidR="00316A59" w:rsidRPr="0049394D" w:rsidRDefault="00316A59" w:rsidP="00052468">
            <w:pPr>
              <w:pStyle w:val="In-tableHeading"/>
              <w:jc w:val="center"/>
              <w:rPr>
                <w:lang w:val="en-AU"/>
              </w:rPr>
            </w:pPr>
            <w:r w:rsidRPr="0049394D">
              <w:rPr>
                <w:lang w:val="en-AU"/>
              </w:rPr>
              <w:t>Incremental cost</w:t>
            </w:r>
          </w:p>
        </w:tc>
        <w:tc>
          <w:tcPr>
            <w:tcW w:w="1171" w:type="dxa"/>
            <w:vAlign w:val="center"/>
          </w:tcPr>
          <w:p w14:paraId="332B02F4" w14:textId="77777777" w:rsidR="00316A59" w:rsidRPr="0049394D" w:rsidRDefault="00316A59" w:rsidP="00052468">
            <w:pPr>
              <w:pStyle w:val="In-tableHeading"/>
              <w:jc w:val="center"/>
              <w:rPr>
                <w:lang w:val="en-AU"/>
              </w:rPr>
            </w:pPr>
            <w:r w:rsidRPr="0049394D">
              <w:rPr>
                <w:lang w:val="en-AU"/>
              </w:rPr>
              <w:t>% of total incremental cost</w:t>
            </w:r>
          </w:p>
        </w:tc>
        <w:tc>
          <w:tcPr>
            <w:tcW w:w="1171" w:type="dxa"/>
            <w:vAlign w:val="center"/>
          </w:tcPr>
          <w:p w14:paraId="141D1EA3" w14:textId="77777777" w:rsidR="00316A59" w:rsidRPr="0049394D" w:rsidRDefault="00316A59" w:rsidP="00052468">
            <w:pPr>
              <w:pStyle w:val="In-tableHeading"/>
              <w:jc w:val="center"/>
              <w:rPr>
                <w:lang w:val="en-AU"/>
              </w:rPr>
            </w:pPr>
            <w:r w:rsidRPr="0049394D">
              <w:rPr>
                <w:lang w:val="en-AU"/>
              </w:rPr>
              <w:t>Incremental cost</w:t>
            </w:r>
          </w:p>
        </w:tc>
        <w:tc>
          <w:tcPr>
            <w:tcW w:w="1172" w:type="dxa"/>
            <w:vAlign w:val="center"/>
          </w:tcPr>
          <w:p w14:paraId="3C2D1E72" w14:textId="77777777" w:rsidR="00316A59" w:rsidRPr="0049394D" w:rsidRDefault="00316A59" w:rsidP="00052468">
            <w:pPr>
              <w:pStyle w:val="In-tableHeading"/>
              <w:jc w:val="center"/>
              <w:rPr>
                <w:lang w:val="en-AU"/>
              </w:rPr>
            </w:pPr>
            <w:r w:rsidRPr="0049394D">
              <w:rPr>
                <w:lang w:val="en-AU"/>
              </w:rPr>
              <w:t>% of total incremental cost</w:t>
            </w:r>
          </w:p>
        </w:tc>
      </w:tr>
      <w:tr w:rsidR="00A91F14" w:rsidRPr="0049394D" w14:paraId="6AFFDBCA" w14:textId="77777777" w:rsidTr="004610BF">
        <w:tc>
          <w:tcPr>
            <w:tcW w:w="1990" w:type="dxa"/>
            <w:vAlign w:val="center"/>
          </w:tcPr>
          <w:p w14:paraId="535F9A30" w14:textId="77777777" w:rsidR="00316A59" w:rsidRPr="0049394D" w:rsidRDefault="00316A59" w:rsidP="00052468">
            <w:pPr>
              <w:pStyle w:val="TableText0"/>
            </w:pPr>
            <w:r w:rsidRPr="0049394D">
              <w:t>Belzutifan</w:t>
            </w:r>
          </w:p>
        </w:tc>
        <w:tc>
          <w:tcPr>
            <w:tcW w:w="1171" w:type="dxa"/>
            <w:vAlign w:val="center"/>
          </w:tcPr>
          <w:p w14:paraId="15AAF556" w14:textId="603E6B43" w:rsidR="00316A59" w:rsidRPr="0049394D" w:rsidRDefault="00316A59" w:rsidP="004610BF">
            <w:pPr>
              <w:pStyle w:val="TableText0"/>
              <w:jc w:val="center"/>
              <w:rPr>
                <w:iCs/>
              </w:rPr>
            </w:pPr>
            <w:r w:rsidRPr="0049394D">
              <w:rPr>
                <w:iCs/>
              </w:rPr>
              <w:t>$</w:t>
            </w:r>
            <w:r w:rsidR="00501C36" w:rsidRPr="00501C36">
              <w:rPr>
                <w:rFonts w:hint="eastAsia"/>
                <w:iCs/>
                <w:color w:val="000000"/>
                <w:w w:val="23"/>
                <w:shd w:val="solid" w:color="000000" w:fill="000000"/>
                <w:fitText w:val="105" w:id="-893684724"/>
                <w14:textFill>
                  <w14:solidFill>
                    <w14:srgbClr w14:val="000000">
                      <w14:alpha w14:val="100000"/>
                    </w14:srgbClr>
                  </w14:solidFill>
                </w14:textFill>
              </w:rPr>
              <w:t xml:space="preserve">　</w:t>
            </w:r>
            <w:r w:rsidR="00501C36" w:rsidRPr="00501C36">
              <w:rPr>
                <w:iCs/>
                <w:color w:val="000000"/>
                <w:w w:val="23"/>
                <w:shd w:val="solid" w:color="000000" w:fill="000000"/>
                <w:fitText w:val="105" w:id="-893684724"/>
                <w14:textFill>
                  <w14:solidFill>
                    <w14:srgbClr w14:val="000000">
                      <w14:alpha w14:val="100000"/>
                    </w14:srgbClr>
                  </w14:solidFill>
                </w14:textFill>
              </w:rPr>
              <w:t>|</w:t>
            </w:r>
            <w:r w:rsidR="00501C36" w:rsidRPr="00501C36">
              <w:rPr>
                <w:rFonts w:hint="eastAsia"/>
                <w:iCs/>
                <w:color w:val="000000"/>
                <w:spacing w:val="4"/>
                <w:w w:val="23"/>
                <w:shd w:val="solid" w:color="000000" w:fill="000000"/>
                <w:fitText w:val="105" w:id="-893684724"/>
                <w14:textFill>
                  <w14:solidFill>
                    <w14:srgbClr w14:val="000000">
                      <w14:alpha w14:val="100000"/>
                    </w14:srgbClr>
                  </w14:solidFill>
                </w14:textFill>
              </w:rPr>
              <w:t xml:space="preserve">　</w:t>
            </w:r>
          </w:p>
        </w:tc>
        <w:tc>
          <w:tcPr>
            <w:tcW w:w="1171" w:type="dxa"/>
            <w:vAlign w:val="center"/>
          </w:tcPr>
          <w:p w14:paraId="5A92AC2C" w14:textId="128D64D7"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23"/>
                <w14:textFill>
                  <w14:solidFill>
                    <w14:srgbClr w14:val="000000">
                      <w14:alpha w14:val="100000"/>
                    </w14:srgbClr>
                  </w14:solidFill>
                </w14:textFill>
              </w:rPr>
              <w:t xml:space="preserve">　</w:t>
            </w:r>
            <w:r w:rsidRPr="00501C36">
              <w:rPr>
                <w:iCs/>
                <w:color w:val="000000"/>
                <w:w w:val="33"/>
                <w:shd w:val="solid" w:color="000000" w:fill="000000"/>
                <w:fitText w:val="150" w:id="-893684723"/>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23"/>
                <w14:textFill>
                  <w14:solidFill>
                    <w14:srgbClr w14:val="000000">
                      <w14:alpha w14:val="100000"/>
                    </w14:srgbClr>
                  </w14:solidFill>
                </w14:textFill>
              </w:rPr>
              <w:t xml:space="preserve">　</w:t>
            </w:r>
            <w:r w:rsidR="00316A59" w:rsidRPr="0049394D">
              <w:rPr>
                <w:iCs/>
              </w:rPr>
              <w:t>%</w:t>
            </w:r>
          </w:p>
        </w:tc>
        <w:tc>
          <w:tcPr>
            <w:tcW w:w="1171" w:type="dxa"/>
            <w:vAlign w:val="center"/>
          </w:tcPr>
          <w:p w14:paraId="47E3FC36" w14:textId="4DFFB5AF" w:rsidR="00316A59" w:rsidRPr="0049394D" w:rsidRDefault="00316A59" w:rsidP="004610BF">
            <w:pPr>
              <w:pStyle w:val="TableText0"/>
              <w:jc w:val="center"/>
              <w:rPr>
                <w:iCs/>
              </w:rPr>
            </w:pPr>
            <w:r w:rsidRPr="0049394D">
              <w:rPr>
                <w:iCs/>
              </w:rPr>
              <w:t>$</w:t>
            </w:r>
            <w:r w:rsidR="00501C36" w:rsidRPr="00501C36">
              <w:rPr>
                <w:rFonts w:hint="eastAsia"/>
                <w:iCs/>
                <w:color w:val="000000"/>
                <w:w w:val="23"/>
                <w:shd w:val="solid" w:color="000000" w:fill="000000"/>
                <w:fitText w:val="105" w:id="-893684722"/>
                <w14:textFill>
                  <w14:solidFill>
                    <w14:srgbClr w14:val="000000">
                      <w14:alpha w14:val="100000"/>
                    </w14:srgbClr>
                  </w14:solidFill>
                </w14:textFill>
              </w:rPr>
              <w:t xml:space="preserve">　</w:t>
            </w:r>
            <w:r w:rsidR="00501C36" w:rsidRPr="00501C36">
              <w:rPr>
                <w:iCs/>
                <w:color w:val="000000"/>
                <w:w w:val="23"/>
                <w:shd w:val="solid" w:color="000000" w:fill="000000"/>
                <w:fitText w:val="105" w:id="-893684722"/>
                <w14:textFill>
                  <w14:solidFill>
                    <w14:srgbClr w14:val="000000">
                      <w14:alpha w14:val="100000"/>
                    </w14:srgbClr>
                  </w14:solidFill>
                </w14:textFill>
              </w:rPr>
              <w:t>|</w:t>
            </w:r>
            <w:r w:rsidR="00501C36" w:rsidRPr="00501C36">
              <w:rPr>
                <w:rFonts w:hint="eastAsia"/>
                <w:iCs/>
                <w:color w:val="000000"/>
                <w:spacing w:val="4"/>
                <w:w w:val="23"/>
                <w:shd w:val="solid" w:color="000000" w:fill="000000"/>
                <w:fitText w:val="105" w:id="-893684722"/>
                <w14:textFill>
                  <w14:solidFill>
                    <w14:srgbClr w14:val="000000">
                      <w14:alpha w14:val="100000"/>
                    </w14:srgbClr>
                  </w14:solidFill>
                </w14:textFill>
              </w:rPr>
              <w:t xml:space="preserve">　</w:t>
            </w:r>
          </w:p>
        </w:tc>
        <w:tc>
          <w:tcPr>
            <w:tcW w:w="1171" w:type="dxa"/>
            <w:vAlign w:val="center"/>
          </w:tcPr>
          <w:p w14:paraId="104F707F" w14:textId="57193D2D"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21"/>
                <w14:textFill>
                  <w14:solidFill>
                    <w14:srgbClr w14:val="000000">
                      <w14:alpha w14:val="100000"/>
                    </w14:srgbClr>
                  </w14:solidFill>
                </w14:textFill>
              </w:rPr>
              <w:t xml:space="preserve">　</w:t>
            </w:r>
            <w:r w:rsidRPr="00501C36">
              <w:rPr>
                <w:iCs/>
                <w:color w:val="000000"/>
                <w:w w:val="33"/>
                <w:shd w:val="solid" w:color="000000" w:fill="000000"/>
                <w:fitText w:val="150" w:id="-893684721"/>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21"/>
                <w14:textFill>
                  <w14:solidFill>
                    <w14:srgbClr w14:val="000000">
                      <w14:alpha w14:val="100000"/>
                    </w14:srgbClr>
                  </w14:solidFill>
                </w14:textFill>
              </w:rPr>
              <w:t xml:space="preserve">　</w:t>
            </w:r>
            <w:r w:rsidR="00316A59" w:rsidRPr="0049394D">
              <w:rPr>
                <w:iCs/>
              </w:rPr>
              <w:t>%</w:t>
            </w:r>
          </w:p>
        </w:tc>
        <w:tc>
          <w:tcPr>
            <w:tcW w:w="1171" w:type="dxa"/>
            <w:vAlign w:val="center"/>
          </w:tcPr>
          <w:p w14:paraId="529B798C" w14:textId="4B38ED64" w:rsidR="00316A59" w:rsidRPr="0049394D" w:rsidRDefault="00316A59" w:rsidP="004610BF">
            <w:pPr>
              <w:pStyle w:val="TableText0"/>
              <w:jc w:val="center"/>
              <w:rPr>
                <w:iCs/>
              </w:rPr>
            </w:pPr>
            <w:r w:rsidRPr="0049394D">
              <w:rPr>
                <w:iCs/>
              </w:rPr>
              <w:t>$</w:t>
            </w:r>
            <w:r w:rsidR="00501C36" w:rsidRPr="00501C36">
              <w:rPr>
                <w:rFonts w:hint="eastAsia"/>
                <w:iCs/>
                <w:color w:val="000000"/>
                <w:w w:val="23"/>
                <w:shd w:val="solid" w:color="000000" w:fill="000000"/>
                <w:fitText w:val="105" w:id="-893684720"/>
                <w14:textFill>
                  <w14:solidFill>
                    <w14:srgbClr w14:val="000000">
                      <w14:alpha w14:val="100000"/>
                    </w14:srgbClr>
                  </w14:solidFill>
                </w14:textFill>
              </w:rPr>
              <w:t xml:space="preserve">　</w:t>
            </w:r>
            <w:r w:rsidR="00501C36" w:rsidRPr="00501C36">
              <w:rPr>
                <w:iCs/>
                <w:color w:val="000000"/>
                <w:w w:val="23"/>
                <w:shd w:val="solid" w:color="000000" w:fill="000000"/>
                <w:fitText w:val="105" w:id="-893684720"/>
                <w14:textFill>
                  <w14:solidFill>
                    <w14:srgbClr w14:val="000000">
                      <w14:alpha w14:val="100000"/>
                    </w14:srgbClr>
                  </w14:solidFill>
                </w14:textFill>
              </w:rPr>
              <w:t>|</w:t>
            </w:r>
            <w:r w:rsidR="00501C36" w:rsidRPr="00501C36">
              <w:rPr>
                <w:rFonts w:hint="eastAsia"/>
                <w:iCs/>
                <w:color w:val="000000"/>
                <w:spacing w:val="4"/>
                <w:w w:val="23"/>
                <w:shd w:val="solid" w:color="000000" w:fill="000000"/>
                <w:fitText w:val="105" w:id="-893684720"/>
                <w14:textFill>
                  <w14:solidFill>
                    <w14:srgbClr w14:val="000000">
                      <w14:alpha w14:val="100000"/>
                    </w14:srgbClr>
                  </w14:solidFill>
                </w14:textFill>
              </w:rPr>
              <w:t xml:space="preserve">　</w:t>
            </w:r>
          </w:p>
        </w:tc>
        <w:tc>
          <w:tcPr>
            <w:tcW w:w="1172" w:type="dxa"/>
            <w:vAlign w:val="center"/>
          </w:tcPr>
          <w:p w14:paraId="3192DFA7" w14:textId="2793F5D8"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36"/>
                <w14:textFill>
                  <w14:solidFill>
                    <w14:srgbClr w14:val="000000">
                      <w14:alpha w14:val="100000"/>
                    </w14:srgbClr>
                  </w14:solidFill>
                </w14:textFill>
              </w:rPr>
              <w:t xml:space="preserve">　</w:t>
            </w:r>
            <w:r w:rsidRPr="00501C36">
              <w:rPr>
                <w:iCs/>
                <w:color w:val="000000"/>
                <w:w w:val="33"/>
                <w:shd w:val="solid" w:color="000000" w:fill="000000"/>
                <w:fitText w:val="150" w:id="-893684736"/>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36"/>
                <w14:textFill>
                  <w14:solidFill>
                    <w14:srgbClr w14:val="000000">
                      <w14:alpha w14:val="100000"/>
                    </w14:srgbClr>
                  </w14:solidFill>
                </w14:textFill>
              </w:rPr>
              <w:t xml:space="preserve">　</w:t>
            </w:r>
            <w:r w:rsidR="00316A59" w:rsidRPr="0049394D">
              <w:rPr>
                <w:iCs/>
              </w:rPr>
              <w:t>%</w:t>
            </w:r>
          </w:p>
        </w:tc>
      </w:tr>
      <w:tr w:rsidR="00A91F14" w:rsidRPr="0049394D" w14:paraId="1950A5D9" w14:textId="77777777" w:rsidTr="004610BF">
        <w:tc>
          <w:tcPr>
            <w:tcW w:w="1990" w:type="dxa"/>
            <w:vAlign w:val="center"/>
          </w:tcPr>
          <w:p w14:paraId="53224361" w14:textId="77777777" w:rsidR="00316A59" w:rsidRPr="0049394D" w:rsidRDefault="00316A59" w:rsidP="00052468">
            <w:pPr>
              <w:pStyle w:val="TableText0"/>
            </w:pPr>
            <w:r w:rsidRPr="0049394D">
              <w:t>Metastatic drugs</w:t>
            </w:r>
          </w:p>
        </w:tc>
        <w:tc>
          <w:tcPr>
            <w:tcW w:w="1171" w:type="dxa"/>
            <w:vAlign w:val="center"/>
          </w:tcPr>
          <w:p w14:paraId="647FCF81" w14:textId="77777777" w:rsidR="00316A59" w:rsidRPr="0049394D" w:rsidRDefault="00316A59" w:rsidP="004610BF">
            <w:pPr>
              <w:pStyle w:val="TableText0"/>
              <w:jc w:val="center"/>
              <w:rPr>
                <w:iCs/>
              </w:rPr>
            </w:pPr>
            <w:r w:rsidRPr="0049394D">
              <w:rPr>
                <w:iCs/>
              </w:rPr>
              <w:t>-$8,888</w:t>
            </w:r>
          </w:p>
        </w:tc>
        <w:tc>
          <w:tcPr>
            <w:tcW w:w="1171" w:type="dxa"/>
            <w:vAlign w:val="center"/>
          </w:tcPr>
          <w:p w14:paraId="16487DF4" w14:textId="78DFC1C7"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5"/>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5"/>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5"/>
                <w14:textFill>
                  <w14:solidFill>
                    <w14:srgbClr w14:val="000000">
                      <w14:alpha w14:val="100000"/>
                    </w14:srgbClr>
                  </w14:solidFill>
                </w14:textFill>
              </w:rPr>
              <w:t xml:space="preserve">　</w:t>
            </w:r>
            <w:r w:rsidRPr="0049394D">
              <w:rPr>
                <w:iCs/>
              </w:rPr>
              <w:t>%</w:t>
            </w:r>
          </w:p>
        </w:tc>
        <w:tc>
          <w:tcPr>
            <w:tcW w:w="1171" w:type="dxa"/>
            <w:vAlign w:val="center"/>
          </w:tcPr>
          <w:p w14:paraId="7614B74E" w14:textId="77777777" w:rsidR="00316A59" w:rsidRPr="0049394D" w:rsidRDefault="00316A59" w:rsidP="004610BF">
            <w:pPr>
              <w:pStyle w:val="TableText0"/>
              <w:jc w:val="center"/>
              <w:rPr>
                <w:iCs/>
              </w:rPr>
            </w:pPr>
            <w:r w:rsidRPr="0049394D">
              <w:rPr>
                <w:iCs/>
              </w:rPr>
              <w:t>-$11,299</w:t>
            </w:r>
          </w:p>
        </w:tc>
        <w:tc>
          <w:tcPr>
            <w:tcW w:w="1171" w:type="dxa"/>
            <w:vAlign w:val="center"/>
          </w:tcPr>
          <w:p w14:paraId="13C917FC" w14:textId="246C1F7C"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4"/>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4"/>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4"/>
                <w14:textFill>
                  <w14:solidFill>
                    <w14:srgbClr w14:val="000000">
                      <w14:alpha w14:val="100000"/>
                    </w14:srgbClr>
                  </w14:solidFill>
                </w14:textFill>
              </w:rPr>
              <w:t xml:space="preserve">　</w:t>
            </w:r>
            <w:r w:rsidRPr="0049394D">
              <w:rPr>
                <w:iCs/>
              </w:rPr>
              <w:t>%</w:t>
            </w:r>
          </w:p>
        </w:tc>
        <w:tc>
          <w:tcPr>
            <w:tcW w:w="1171" w:type="dxa"/>
            <w:vAlign w:val="center"/>
          </w:tcPr>
          <w:p w14:paraId="24A9E0B6" w14:textId="77777777" w:rsidR="00316A59" w:rsidRPr="0049394D" w:rsidRDefault="00316A59" w:rsidP="004610BF">
            <w:pPr>
              <w:pStyle w:val="TableText0"/>
              <w:jc w:val="center"/>
              <w:rPr>
                <w:iCs/>
              </w:rPr>
            </w:pPr>
            <w:r w:rsidRPr="0049394D">
              <w:rPr>
                <w:iCs/>
              </w:rPr>
              <w:t>-$6,456</w:t>
            </w:r>
          </w:p>
        </w:tc>
        <w:tc>
          <w:tcPr>
            <w:tcW w:w="1172" w:type="dxa"/>
            <w:vAlign w:val="center"/>
          </w:tcPr>
          <w:p w14:paraId="241E6881" w14:textId="1372E790"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3"/>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3"/>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3"/>
                <w14:textFill>
                  <w14:solidFill>
                    <w14:srgbClr w14:val="000000">
                      <w14:alpha w14:val="100000"/>
                    </w14:srgbClr>
                  </w14:solidFill>
                </w14:textFill>
              </w:rPr>
              <w:t xml:space="preserve">　</w:t>
            </w:r>
            <w:r w:rsidRPr="0049394D">
              <w:rPr>
                <w:iCs/>
              </w:rPr>
              <w:t>%</w:t>
            </w:r>
          </w:p>
        </w:tc>
      </w:tr>
      <w:tr w:rsidR="00A91F14" w:rsidRPr="0049394D" w14:paraId="29D431E4" w14:textId="77777777" w:rsidTr="004610BF">
        <w:tc>
          <w:tcPr>
            <w:tcW w:w="1990" w:type="dxa"/>
            <w:vAlign w:val="center"/>
          </w:tcPr>
          <w:p w14:paraId="22F26D76" w14:textId="77777777" w:rsidR="00316A59" w:rsidRPr="0049394D" w:rsidRDefault="00316A59" w:rsidP="00052468">
            <w:pPr>
              <w:pStyle w:val="TableText0"/>
            </w:pPr>
            <w:r w:rsidRPr="0049394D">
              <w:t>Metastatic drug administration</w:t>
            </w:r>
          </w:p>
        </w:tc>
        <w:tc>
          <w:tcPr>
            <w:tcW w:w="1171" w:type="dxa"/>
            <w:vAlign w:val="center"/>
          </w:tcPr>
          <w:p w14:paraId="495E13EB" w14:textId="77777777" w:rsidR="00316A59" w:rsidRPr="0049394D" w:rsidRDefault="00316A59" w:rsidP="004610BF">
            <w:pPr>
              <w:pStyle w:val="TableText0"/>
              <w:jc w:val="center"/>
              <w:rPr>
                <w:iCs/>
              </w:rPr>
            </w:pPr>
            <w:r w:rsidRPr="0049394D">
              <w:rPr>
                <w:iCs/>
              </w:rPr>
              <w:t>-$119</w:t>
            </w:r>
          </w:p>
        </w:tc>
        <w:tc>
          <w:tcPr>
            <w:tcW w:w="1171" w:type="dxa"/>
            <w:vAlign w:val="center"/>
          </w:tcPr>
          <w:p w14:paraId="392F0639" w14:textId="3D6B3E97"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2"/>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2"/>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2"/>
                <w14:textFill>
                  <w14:solidFill>
                    <w14:srgbClr w14:val="000000">
                      <w14:alpha w14:val="100000"/>
                    </w14:srgbClr>
                  </w14:solidFill>
                </w14:textFill>
              </w:rPr>
              <w:t xml:space="preserve">　</w:t>
            </w:r>
            <w:r w:rsidRPr="0049394D">
              <w:rPr>
                <w:iCs/>
              </w:rPr>
              <w:t>%</w:t>
            </w:r>
          </w:p>
        </w:tc>
        <w:tc>
          <w:tcPr>
            <w:tcW w:w="1171" w:type="dxa"/>
            <w:vAlign w:val="center"/>
          </w:tcPr>
          <w:p w14:paraId="5C0E891B" w14:textId="77777777" w:rsidR="00316A59" w:rsidRPr="0049394D" w:rsidRDefault="00316A59" w:rsidP="004610BF">
            <w:pPr>
              <w:pStyle w:val="TableText0"/>
              <w:jc w:val="center"/>
              <w:rPr>
                <w:iCs/>
              </w:rPr>
            </w:pPr>
            <w:r w:rsidRPr="0049394D">
              <w:rPr>
                <w:iCs/>
              </w:rPr>
              <w:t>-$195</w:t>
            </w:r>
          </w:p>
        </w:tc>
        <w:tc>
          <w:tcPr>
            <w:tcW w:w="1171" w:type="dxa"/>
            <w:vAlign w:val="center"/>
          </w:tcPr>
          <w:p w14:paraId="34AEA6D4" w14:textId="186D4964"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31"/>
                <w14:textFill>
                  <w14:solidFill>
                    <w14:srgbClr w14:val="000000">
                      <w14:alpha w14:val="100000"/>
                    </w14:srgbClr>
                  </w14:solidFill>
                </w14:textFill>
              </w:rPr>
              <w:t xml:space="preserve">　</w:t>
            </w:r>
            <w:r w:rsidRPr="00501C36">
              <w:rPr>
                <w:iCs/>
                <w:color w:val="000000"/>
                <w:w w:val="33"/>
                <w:shd w:val="solid" w:color="000000" w:fill="000000"/>
                <w:fitText w:val="150" w:id="-893684731"/>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31"/>
                <w14:textFill>
                  <w14:solidFill>
                    <w14:srgbClr w14:val="000000">
                      <w14:alpha w14:val="100000"/>
                    </w14:srgbClr>
                  </w14:solidFill>
                </w14:textFill>
              </w:rPr>
              <w:t xml:space="preserve">　</w:t>
            </w:r>
            <w:r w:rsidR="00316A59" w:rsidRPr="0049394D">
              <w:rPr>
                <w:iCs/>
              </w:rPr>
              <w:t>%</w:t>
            </w:r>
          </w:p>
        </w:tc>
        <w:tc>
          <w:tcPr>
            <w:tcW w:w="1171" w:type="dxa"/>
            <w:vAlign w:val="center"/>
          </w:tcPr>
          <w:p w14:paraId="2B42DA93" w14:textId="77777777" w:rsidR="00316A59" w:rsidRPr="0049394D" w:rsidRDefault="00316A59" w:rsidP="004610BF">
            <w:pPr>
              <w:pStyle w:val="TableText0"/>
              <w:jc w:val="center"/>
              <w:rPr>
                <w:iCs/>
              </w:rPr>
            </w:pPr>
            <w:r w:rsidRPr="0049394D">
              <w:rPr>
                <w:iCs/>
              </w:rPr>
              <w:t>-$135</w:t>
            </w:r>
          </w:p>
        </w:tc>
        <w:tc>
          <w:tcPr>
            <w:tcW w:w="1172" w:type="dxa"/>
            <w:vAlign w:val="center"/>
          </w:tcPr>
          <w:p w14:paraId="3EC7FEC9" w14:textId="101D1B6F"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0"/>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0"/>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0"/>
                <w14:textFill>
                  <w14:solidFill>
                    <w14:srgbClr w14:val="000000">
                      <w14:alpha w14:val="100000"/>
                    </w14:srgbClr>
                  </w14:solidFill>
                </w14:textFill>
              </w:rPr>
              <w:t xml:space="preserve">　</w:t>
            </w:r>
            <w:r w:rsidRPr="0049394D">
              <w:rPr>
                <w:iCs/>
              </w:rPr>
              <w:t>%</w:t>
            </w:r>
          </w:p>
        </w:tc>
      </w:tr>
      <w:tr w:rsidR="00A91F14" w:rsidRPr="0049394D" w14:paraId="04DBA776" w14:textId="77777777" w:rsidTr="004610BF">
        <w:tc>
          <w:tcPr>
            <w:tcW w:w="1990" w:type="dxa"/>
          </w:tcPr>
          <w:p w14:paraId="4F4B8267" w14:textId="77777777" w:rsidR="00316A59" w:rsidRPr="0049394D" w:rsidRDefault="00316A59" w:rsidP="00052468">
            <w:pPr>
              <w:pStyle w:val="TableText0"/>
            </w:pPr>
            <w:r w:rsidRPr="0049394D">
              <w:t>Adverse event costs</w:t>
            </w:r>
          </w:p>
        </w:tc>
        <w:tc>
          <w:tcPr>
            <w:tcW w:w="1171" w:type="dxa"/>
            <w:vAlign w:val="center"/>
          </w:tcPr>
          <w:p w14:paraId="1ED68475" w14:textId="77777777" w:rsidR="00316A59" w:rsidRPr="0049394D" w:rsidRDefault="00316A59" w:rsidP="004610BF">
            <w:pPr>
              <w:pStyle w:val="TableText0"/>
              <w:jc w:val="center"/>
              <w:rPr>
                <w:iCs/>
              </w:rPr>
            </w:pPr>
            <w:r w:rsidRPr="0049394D">
              <w:rPr>
                <w:iCs/>
              </w:rPr>
              <w:t>$505</w:t>
            </w:r>
          </w:p>
        </w:tc>
        <w:tc>
          <w:tcPr>
            <w:tcW w:w="1171" w:type="dxa"/>
            <w:vAlign w:val="center"/>
          </w:tcPr>
          <w:p w14:paraId="26A44A95" w14:textId="6563119A"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29"/>
                <w14:textFill>
                  <w14:solidFill>
                    <w14:srgbClr w14:val="000000">
                      <w14:alpha w14:val="100000"/>
                    </w14:srgbClr>
                  </w14:solidFill>
                </w14:textFill>
              </w:rPr>
              <w:t xml:space="preserve">　</w:t>
            </w:r>
            <w:r w:rsidRPr="00501C36">
              <w:rPr>
                <w:iCs/>
                <w:color w:val="000000"/>
                <w:w w:val="33"/>
                <w:shd w:val="solid" w:color="000000" w:fill="000000"/>
                <w:fitText w:val="150" w:id="-893684729"/>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29"/>
                <w14:textFill>
                  <w14:solidFill>
                    <w14:srgbClr w14:val="000000">
                      <w14:alpha w14:val="100000"/>
                    </w14:srgbClr>
                  </w14:solidFill>
                </w14:textFill>
              </w:rPr>
              <w:t xml:space="preserve">　</w:t>
            </w:r>
            <w:r w:rsidR="00316A59" w:rsidRPr="0049394D">
              <w:rPr>
                <w:iCs/>
              </w:rPr>
              <w:t>%</w:t>
            </w:r>
          </w:p>
        </w:tc>
        <w:tc>
          <w:tcPr>
            <w:tcW w:w="1171" w:type="dxa"/>
            <w:vAlign w:val="center"/>
          </w:tcPr>
          <w:p w14:paraId="07CDF3F3" w14:textId="77777777" w:rsidR="00316A59" w:rsidRPr="0049394D" w:rsidRDefault="00316A59" w:rsidP="004610BF">
            <w:pPr>
              <w:pStyle w:val="TableText0"/>
              <w:jc w:val="center"/>
              <w:rPr>
                <w:iCs/>
              </w:rPr>
            </w:pPr>
            <w:r w:rsidRPr="0049394D">
              <w:rPr>
                <w:iCs/>
              </w:rPr>
              <w:t>$505</w:t>
            </w:r>
          </w:p>
        </w:tc>
        <w:tc>
          <w:tcPr>
            <w:tcW w:w="1171" w:type="dxa"/>
            <w:vAlign w:val="center"/>
          </w:tcPr>
          <w:p w14:paraId="03145F23" w14:textId="6AEBD7CF"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28"/>
                <w14:textFill>
                  <w14:solidFill>
                    <w14:srgbClr w14:val="000000">
                      <w14:alpha w14:val="100000"/>
                    </w14:srgbClr>
                  </w14:solidFill>
                </w14:textFill>
              </w:rPr>
              <w:t xml:space="preserve">　</w:t>
            </w:r>
            <w:r w:rsidRPr="00501C36">
              <w:rPr>
                <w:iCs/>
                <w:color w:val="000000"/>
                <w:w w:val="33"/>
                <w:shd w:val="solid" w:color="000000" w:fill="000000"/>
                <w:fitText w:val="150" w:id="-893684728"/>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28"/>
                <w14:textFill>
                  <w14:solidFill>
                    <w14:srgbClr w14:val="000000">
                      <w14:alpha w14:val="100000"/>
                    </w14:srgbClr>
                  </w14:solidFill>
                </w14:textFill>
              </w:rPr>
              <w:t xml:space="preserve">　</w:t>
            </w:r>
            <w:r w:rsidR="00316A59" w:rsidRPr="0049394D">
              <w:rPr>
                <w:iCs/>
              </w:rPr>
              <w:t>%</w:t>
            </w:r>
          </w:p>
        </w:tc>
        <w:tc>
          <w:tcPr>
            <w:tcW w:w="1171" w:type="dxa"/>
            <w:vAlign w:val="center"/>
          </w:tcPr>
          <w:p w14:paraId="3F927B7C" w14:textId="77777777" w:rsidR="00316A59" w:rsidRPr="0049394D" w:rsidRDefault="00316A59" w:rsidP="004610BF">
            <w:pPr>
              <w:pStyle w:val="TableText0"/>
              <w:jc w:val="center"/>
              <w:rPr>
                <w:iCs/>
              </w:rPr>
            </w:pPr>
            <w:r w:rsidRPr="0049394D">
              <w:rPr>
                <w:iCs/>
              </w:rPr>
              <w:t>$505</w:t>
            </w:r>
          </w:p>
        </w:tc>
        <w:tc>
          <w:tcPr>
            <w:tcW w:w="1172" w:type="dxa"/>
            <w:vAlign w:val="center"/>
          </w:tcPr>
          <w:p w14:paraId="71981F9C" w14:textId="386D6A0C"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27"/>
                <w14:textFill>
                  <w14:solidFill>
                    <w14:srgbClr w14:val="000000">
                      <w14:alpha w14:val="100000"/>
                    </w14:srgbClr>
                  </w14:solidFill>
                </w14:textFill>
              </w:rPr>
              <w:t xml:space="preserve">　</w:t>
            </w:r>
            <w:r w:rsidRPr="00501C36">
              <w:rPr>
                <w:iCs/>
                <w:color w:val="000000"/>
                <w:w w:val="33"/>
                <w:shd w:val="solid" w:color="000000" w:fill="000000"/>
                <w:fitText w:val="150" w:id="-893684727"/>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27"/>
                <w14:textFill>
                  <w14:solidFill>
                    <w14:srgbClr w14:val="000000">
                      <w14:alpha w14:val="100000"/>
                    </w14:srgbClr>
                  </w14:solidFill>
                </w14:textFill>
              </w:rPr>
              <w:t xml:space="preserve">　</w:t>
            </w:r>
            <w:r w:rsidR="00316A59" w:rsidRPr="0049394D">
              <w:rPr>
                <w:iCs/>
              </w:rPr>
              <w:t>%</w:t>
            </w:r>
          </w:p>
        </w:tc>
      </w:tr>
      <w:tr w:rsidR="00A91F14" w:rsidRPr="0049394D" w14:paraId="535424D8" w14:textId="77777777" w:rsidTr="004610BF">
        <w:tc>
          <w:tcPr>
            <w:tcW w:w="1990" w:type="dxa"/>
          </w:tcPr>
          <w:p w14:paraId="7B7796E2" w14:textId="77777777" w:rsidR="00316A59" w:rsidRPr="0049394D" w:rsidRDefault="00316A59" w:rsidP="00052468">
            <w:pPr>
              <w:pStyle w:val="TableText0"/>
            </w:pPr>
            <w:r w:rsidRPr="0049394D">
              <w:t>Surgery and surgical complication costs for model specific tumour</w:t>
            </w:r>
          </w:p>
        </w:tc>
        <w:tc>
          <w:tcPr>
            <w:tcW w:w="1171" w:type="dxa"/>
            <w:vAlign w:val="center"/>
          </w:tcPr>
          <w:p w14:paraId="35E45A35" w14:textId="77777777" w:rsidR="00316A59" w:rsidRPr="0049394D" w:rsidRDefault="00316A59" w:rsidP="004610BF">
            <w:pPr>
              <w:pStyle w:val="TableText0"/>
              <w:jc w:val="center"/>
              <w:rPr>
                <w:iCs/>
              </w:rPr>
            </w:pPr>
            <w:r w:rsidRPr="0049394D">
              <w:rPr>
                <w:iCs/>
              </w:rPr>
              <w:t>-$5,454</w:t>
            </w:r>
          </w:p>
        </w:tc>
        <w:tc>
          <w:tcPr>
            <w:tcW w:w="1171" w:type="dxa"/>
            <w:vAlign w:val="center"/>
          </w:tcPr>
          <w:p w14:paraId="146571B5" w14:textId="005514F4"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26"/>
                <w14:textFill>
                  <w14:solidFill>
                    <w14:srgbClr w14:val="000000">
                      <w14:alpha w14:val="100000"/>
                    </w14:srgbClr>
                  </w14:solidFill>
                </w14:textFill>
              </w:rPr>
              <w:t xml:space="preserve">　</w:t>
            </w:r>
            <w:r w:rsidR="00501C36" w:rsidRPr="00501C36">
              <w:rPr>
                <w:iCs/>
                <w:color w:val="000000"/>
                <w:w w:val="33"/>
                <w:shd w:val="solid" w:color="000000" w:fill="000000"/>
                <w:fitText w:val="150" w:id="-893684726"/>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26"/>
                <w14:textFill>
                  <w14:solidFill>
                    <w14:srgbClr w14:val="000000">
                      <w14:alpha w14:val="100000"/>
                    </w14:srgbClr>
                  </w14:solidFill>
                </w14:textFill>
              </w:rPr>
              <w:t xml:space="preserve">　</w:t>
            </w:r>
            <w:r w:rsidRPr="0049394D">
              <w:rPr>
                <w:iCs/>
              </w:rPr>
              <w:t>%</w:t>
            </w:r>
          </w:p>
        </w:tc>
        <w:tc>
          <w:tcPr>
            <w:tcW w:w="1171" w:type="dxa"/>
            <w:vAlign w:val="center"/>
          </w:tcPr>
          <w:p w14:paraId="12C7E70D" w14:textId="77777777" w:rsidR="00316A59" w:rsidRPr="0049394D" w:rsidRDefault="00316A59" w:rsidP="004610BF">
            <w:pPr>
              <w:pStyle w:val="TableText0"/>
              <w:jc w:val="center"/>
              <w:rPr>
                <w:iCs/>
              </w:rPr>
            </w:pPr>
            <w:r w:rsidRPr="0049394D">
              <w:rPr>
                <w:iCs/>
              </w:rPr>
              <w:t>-$24,634</w:t>
            </w:r>
          </w:p>
        </w:tc>
        <w:tc>
          <w:tcPr>
            <w:tcW w:w="1171" w:type="dxa"/>
            <w:vAlign w:val="center"/>
          </w:tcPr>
          <w:p w14:paraId="19F79D57" w14:textId="40DA6F06"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25"/>
                <w14:textFill>
                  <w14:solidFill>
                    <w14:srgbClr w14:val="000000">
                      <w14:alpha w14:val="100000"/>
                    </w14:srgbClr>
                  </w14:solidFill>
                </w14:textFill>
              </w:rPr>
              <w:t xml:space="preserve">　</w:t>
            </w:r>
            <w:r w:rsidR="00501C36" w:rsidRPr="00501C36">
              <w:rPr>
                <w:iCs/>
                <w:color w:val="000000"/>
                <w:w w:val="33"/>
                <w:shd w:val="solid" w:color="000000" w:fill="000000"/>
                <w:fitText w:val="150" w:id="-893684725"/>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25"/>
                <w14:textFill>
                  <w14:solidFill>
                    <w14:srgbClr w14:val="000000">
                      <w14:alpha w14:val="100000"/>
                    </w14:srgbClr>
                  </w14:solidFill>
                </w14:textFill>
              </w:rPr>
              <w:t xml:space="preserve">　</w:t>
            </w:r>
            <w:r w:rsidRPr="0049394D">
              <w:rPr>
                <w:iCs/>
              </w:rPr>
              <w:t>%</w:t>
            </w:r>
          </w:p>
        </w:tc>
        <w:tc>
          <w:tcPr>
            <w:tcW w:w="1171" w:type="dxa"/>
            <w:vAlign w:val="center"/>
          </w:tcPr>
          <w:p w14:paraId="4B5BCE3F" w14:textId="77777777" w:rsidR="00316A59" w:rsidRPr="0049394D" w:rsidRDefault="00316A59" w:rsidP="004610BF">
            <w:pPr>
              <w:pStyle w:val="TableText0"/>
              <w:jc w:val="center"/>
              <w:rPr>
                <w:iCs/>
              </w:rPr>
            </w:pPr>
            <w:r w:rsidRPr="0049394D">
              <w:rPr>
                <w:iCs/>
              </w:rPr>
              <w:t>-$325</w:t>
            </w:r>
          </w:p>
        </w:tc>
        <w:tc>
          <w:tcPr>
            <w:tcW w:w="1172" w:type="dxa"/>
            <w:vAlign w:val="center"/>
          </w:tcPr>
          <w:p w14:paraId="1C043735" w14:textId="5F8082E1"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24"/>
                <w14:textFill>
                  <w14:solidFill>
                    <w14:srgbClr w14:val="000000">
                      <w14:alpha w14:val="100000"/>
                    </w14:srgbClr>
                  </w14:solidFill>
                </w14:textFill>
              </w:rPr>
              <w:t xml:space="preserve">　</w:t>
            </w:r>
            <w:r w:rsidRPr="00501C36">
              <w:rPr>
                <w:iCs/>
                <w:color w:val="000000"/>
                <w:w w:val="33"/>
                <w:shd w:val="solid" w:color="000000" w:fill="000000"/>
                <w:fitText w:val="150" w:id="-893684724"/>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24"/>
                <w14:textFill>
                  <w14:solidFill>
                    <w14:srgbClr w14:val="000000">
                      <w14:alpha w14:val="100000"/>
                    </w14:srgbClr>
                  </w14:solidFill>
                </w14:textFill>
              </w:rPr>
              <w:t xml:space="preserve">　</w:t>
            </w:r>
            <w:r w:rsidR="00316A59" w:rsidRPr="0049394D">
              <w:rPr>
                <w:iCs/>
              </w:rPr>
              <w:t>%</w:t>
            </w:r>
          </w:p>
        </w:tc>
      </w:tr>
      <w:tr w:rsidR="00A91F14" w:rsidRPr="0049394D" w14:paraId="5E4E05CE" w14:textId="77777777" w:rsidTr="004610BF">
        <w:tc>
          <w:tcPr>
            <w:tcW w:w="1990" w:type="dxa"/>
          </w:tcPr>
          <w:p w14:paraId="2885A81D" w14:textId="77777777" w:rsidR="00316A59" w:rsidRPr="0049394D" w:rsidRDefault="00316A59" w:rsidP="00052468">
            <w:pPr>
              <w:pStyle w:val="TableText0"/>
            </w:pPr>
            <w:r w:rsidRPr="0049394D">
              <w:t>Surgery and surgical complication costs for other tumours</w:t>
            </w:r>
          </w:p>
        </w:tc>
        <w:tc>
          <w:tcPr>
            <w:tcW w:w="1171" w:type="dxa"/>
            <w:vAlign w:val="center"/>
          </w:tcPr>
          <w:p w14:paraId="2A8F2C11" w14:textId="77777777" w:rsidR="00316A59" w:rsidRPr="0049394D" w:rsidRDefault="00316A59" w:rsidP="004610BF">
            <w:pPr>
              <w:pStyle w:val="TableText0"/>
              <w:jc w:val="center"/>
              <w:rPr>
                <w:iCs/>
              </w:rPr>
            </w:pPr>
            <w:r w:rsidRPr="0049394D">
              <w:rPr>
                <w:iCs/>
              </w:rPr>
              <w:t>-$23,549</w:t>
            </w:r>
          </w:p>
        </w:tc>
        <w:tc>
          <w:tcPr>
            <w:tcW w:w="1171" w:type="dxa"/>
            <w:vAlign w:val="center"/>
          </w:tcPr>
          <w:p w14:paraId="519A3F3F" w14:textId="75FBFA61"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23"/>
                <w14:textFill>
                  <w14:solidFill>
                    <w14:srgbClr w14:val="000000">
                      <w14:alpha w14:val="100000"/>
                    </w14:srgbClr>
                  </w14:solidFill>
                </w14:textFill>
              </w:rPr>
              <w:t xml:space="preserve">　</w:t>
            </w:r>
            <w:r w:rsidR="00501C36" w:rsidRPr="00501C36">
              <w:rPr>
                <w:iCs/>
                <w:color w:val="000000"/>
                <w:w w:val="33"/>
                <w:shd w:val="solid" w:color="000000" w:fill="000000"/>
                <w:fitText w:val="150" w:id="-893684723"/>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23"/>
                <w14:textFill>
                  <w14:solidFill>
                    <w14:srgbClr w14:val="000000">
                      <w14:alpha w14:val="100000"/>
                    </w14:srgbClr>
                  </w14:solidFill>
                </w14:textFill>
              </w:rPr>
              <w:t xml:space="preserve">　</w:t>
            </w:r>
            <w:r w:rsidRPr="0049394D">
              <w:rPr>
                <w:iCs/>
              </w:rPr>
              <w:t>%</w:t>
            </w:r>
          </w:p>
        </w:tc>
        <w:tc>
          <w:tcPr>
            <w:tcW w:w="1171" w:type="dxa"/>
            <w:vAlign w:val="center"/>
          </w:tcPr>
          <w:p w14:paraId="25794122" w14:textId="77777777" w:rsidR="00316A59" w:rsidRPr="0049394D" w:rsidRDefault="00316A59" w:rsidP="004610BF">
            <w:pPr>
              <w:pStyle w:val="TableText0"/>
              <w:jc w:val="center"/>
              <w:rPr>
                <w:iCs/>
              </w:rPr>
            </w:pPr>
            <w:r w:rsidRPr="0049394D">
              <w:rPr>
                <w:iCs/>
              </w:rPr>
              <w:t>-$11,982</w:t>
            </w:r>
          </w:p>
        </w:tc>
        <w:tc>
          <w:tcPr>
            <w:tcW w:w="1171" w:type="dxa"/>
            <w:vAlign w:val="center"/>
          </w:tcPr>
          <w:p w14:paraId="37C488BF" w14:textId="605E05B9"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22"/>
                <w14:textFill>
                  <w14:solidFill>
                    <w14:srgbClr w14:val="000000">
                      <w14:alpha w14:val="100000"/>
                    </w14:srgbClr>
                  </w14:solidFill>
                </w14:textFill>
              </w:rPr>
              <w:t xml:space="preserve">　</w:t>
            </w:r>
            <w:r w:rsidR="00501C36" w:rsidRPr="00501C36">
              <w:rPr>
                <w:iCs/>
                <w:color w:val="000000"/>
                <w:w w:val="33"/>
                <w:shd w:val="solid" w:color="000000" w:fill="000000"/>
                <w:fitText w:val="150" w:id="-893684722"/>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22"/>
                <w14:textFill>
                  <w14:solidFill>
                    <w14:srgbClr w14:val="000000">
                      <w14:alpha w14:val="100000"/>
                    </w14:srgbClr>
                  </w14:solidFill>
                </w14:textFill>
              </w:rPr>
              <w:t xml:space="preserve">　</w:t>
            </w:r>
            <w:r w:rsidRPr="0049394D">
              <w:rPr>
                <w:iCs/>
              </w:rPr>
              <w:t>%</w:t>
            </w:r>
          </w:p>
        </w:tc>
        <w:tc>
          <w:tcPr>
            <w:tcW w:w="1171" w:type="dxa"/>
            <w:vAlign w:val="center"/>
          </w:tcPr>
          <w:p w14:paraId="09BEE799" w14:textId="77777777" w:rsidR="00316A59" w:rsidRPr="0049394D" w:rsidRDefault="00316A59" w:rsidP="004610BF">
            <w:pPr>
              <w:pStyle w:val="TableText0"/>
              <w:jc w:val="center"/>
              <w:rPr>
                <w:iCs/>
              </w:rPr>
            </w:pPr>
            <w:r w:rsidRPr="0049394D">
              <w:rPr>
                <w:iCs/>
              </w:rPr>
              <w:t>-$4,316</w:t>
            </w:r>
          </w:p>
        </w:tc>
        <w:tc>
          <w:tcPr>
            <w:tcW w:w="1172" w:type="dxa"/>
            <w:vAlign w:val="center"/>
          </w:tcPr>
          <w:p w14:paraId="7BC794BF" w14:textId="55CAC17A"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21"/>
                <w14:textFill>
                  <w14:solidFill>
                    <w14:srgbClr w14:val="000000">
                      <w14:alpha w14:val="100000"/>
                    </w14:srgbClr>
                  </w14:solidFill>
                </w14:textFill>
              </w:rPr>
              <w:t xml:space="preserve">　</w:t>
            </w:r>
            <w:r w:rsidR="00501C36" w:rsidRPr="00501C36">
              <w:rPr>
                <w:iCs/>
                <w:color w:val="000000"/>
                <w:w w:val="33"/>
                <w:shd w:val="solid" w:color="000000" w:fill="000000"/>
                <w:fitText w:val="150" w:id="-893684721"/>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21"/>
                <w14:textFill>
                  <w14:solidFill>
                    <w14:srgbClr w14:val="000000">
                      <w14:alpha w14:val="100000"/>
                    </w14:srgbClr>
                  </w14:solidFill>
                </w14:textFill>
              </w:rPr>
              <w:t xml:space="preserve">　</w:t>
            </w:r>
            <w:r w:rsidRPr="0049394D">
              <w:rPr>
                <w:iCs/>
              </w:rPr>
              <w:t>%</w:t>
            </w:r>
          </w:p>
        </w:tc>
      </w:tr>
      <w:tr w:rsidR="00A91F14" w:rsidRPr="0049394D" w14:paraId="0ACADA61" w14:textId="77777777" w:rsidTr="004610BF">
        <w:tc>
          <w:tcPr>
            <w:tcW w:w="1990" w:type="dxa"/>
          </w:tcPr>
          <w:p w14:paraId="1A01931F" w14:textId="77777777" w:rsidR="00316A59" w:rsidRPr="0049394D" w:rsidRDefault="00316A59" w:rsidP="00052468">
            <w:pPr>
              <w:pStyle w:val="TableText0"/>
            </w:pPr>
            <w:r w:rsidRPr="0049394D">
              <w:t>Disease management costs</w:t>
            </w:r>
          </w:p>
        </w:tc>
        <w:tc>
          <w:tcPr>
            <w:tcW w:w="1171" w:type="dxa"/>
            <w:vAlign w:val="center"/>
          </w:tcPr>
          <w:p w14:paraId="4975C728" w14:textId="77777777" w:rsidR="00316A59" w:rsidRPr="0049394D" w:rsidRDefault="00316A59" w:rsidP="004610BF">
            <w:pPr>
              <w:pStyle w:val="TableText0"/>
              <w:jc w:val="center"/>
              <w:rPr>
                <w:iCs/>
              </w:rPr>
            </w:pPr>
            <w:r w:rsidRPr="0049394D">
              <w:rPr>
                <w:iCs/>
              </w:rPr>
              <w:t>$1,204</w:t>
            </w:r>
          </w:p>
        </w:tc>
        <w:tc>
          <w:tcPr>
            <w:tcW w:w="1171" w:type="dxa"/>
            <w:vAlign w:val="center"/>
          </w:tcPr>
          <w:p w14:paraId="46661A87" w14:textId="7976F8EE"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20"/>
                <w14:textFill>
                  <w14:solidFill>
                    <w14:srgbClr w14:val="000000">
                      <w14:alpha w14:val="100000"/>
                    </w14:srgbClr>
                  </w14:solidFill>
                </w14:textFill>
              </w:rPr>
              <w:t xml:space="preserve">　</w:t>
            </w:r>
            <w:r w:rsidRPr="00501C36">
              <w:rPr>
                <w:iCs/>
                <w:color w:val="000000"/>
                <w:w w:val="33"/>
                <w:shd w:val="solid" w:color="000000" w:fill="000000"/>
                <w:fitText w:val="150" w:id="-893684720"/>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20"/>
                <w14:textFill>
                  <w14:solidFill>
                    <w14:srgbClr w14:val="000000">
                      <w14:alpha w14:val="100000"/>
                    </w14:srgbClr>
                  </w14:solidFill>
                </w14:textFill>
              </w:rPr>
              <w:t xml:space="preserve">　</w:t>
            </w:r>
            <w:r w:rsidR="00316A59" w:rsidRPr="0049394D">
              <w:rPr>
                <w:iCs/>
              </w:rPr>
              <w:t>%</w:t>
            </w:r>
          </w:p>
        </w:tc>
        <w:tc>
          <w:tcPr>
            <w:tcW w:w="1171" w:type="dxa"/>
            <w:vAlign w:val="center"/>
          </w:tcPr>
          <w:p w14:paraId="56149471" w14:textId="77777777" w:rsidR="00316A59" w:rsidRPr="0049394D" w:rsidRDefault="00316A59" w:rsidP="004610BF">
            <w:pPr>
              <w:pStyle w:val="TableText0"/>
              <w:jc w:val="center"/>
              <w:rPr>
                <w:iCs/>
              </w:rPr>
            </w:pPr>
            <w:r w:rsidRPr="0049394D">
              <w:rPr>
                <w:iCs/>
              </w:rPr>
              <w:t>$63</w:t>
            </w:r>
          </w:p>
        </w:tc>
        <w:tc>
          <w:tcPr>
            <w:tcW w:w="1171" w:type="dxa"/>
            <w:vAlign w:val="center"/>
          </w:tcPr>
          <w:p w14:paraId="6E8FA65D" w14:textId="045927DE"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36"/>
                <w14:textFill>
                  <w14:solidFill>
                    <w14:srgbClr w14:val="000000">
                      <w14:alpha w14:val="100000"/>
                    </w14:srgbClr>
                  </w14:solidFill>
                </w14:textFill>
              </w:rPr>
              <w:t xml:space="preserve">　</w:t>
            </w:r>
            <w:r w:rsidRPr="00501C36">
              <w:rPr>
                <w:iCs/>
                <w:color w:val="000000"/>
                <w:w w:val="33"/>
                <w:shd w:val="solid" w:color="000000" w:fill="000000"/>
                <w:fitText w:val="150" w:id="-893684736"/>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36"/>
                <w14:textFill>
                  <w14:solidFill>
                    <w14:srgbClr w14:val="000000">
                      <w14:alpha w14:val="100000"/>
                    </w14:srgbClr>
                  </w14:solidFill>
                </w14:textFill>
              </w:rPr>
              <w:t xml:space="preserve">　</w:t>
            </w:r>
            <w:r w:rsidR="00316A59" w:rsidRPr="0049394D">
              <w:rPr>
                <w:iCs/>
              </w:rPr>
              <w:t>%</w:t>
            </w:r>
          </w:p>
        </w:tc>
        <w:tc>
          <w:tcPr>
            <w:tcW w:w="1171" w:type="dxa"/>
            <w:vAlign w:val="center"/>
          </w:tcPr>
          <w:p w14:paraId="17EE2C88" w14:textId="77777777" w:rsidR="00316A59" w:rsidRPr="0049394D" w:rsidRDefault="00316A59" w:rsidP="004610BF">
            <w:pPr>
              <w:pStyle w:val="TableText0"/>
              <w:jc w:val="center"/>
              <w:rPr>
                <w:iCs/>
              </w:rPr>
            </w:pPr>
            <w:r w:rsidRPr="0049394D">
              <w:rPr>
                <w:iCs/>
              </w:rPr>
              <w:t>$1,864</w:t>
            </w:r>
          </w:p>
        </w:tc>
        <w:tc>
          <w:tcPr>
            <w:tcW w:w="1172" w:type="dxa"/>
            <w:vAlign w:val="center"/>
          </w:tcPr>
          <w:p w14:paraId="272F22DE" w14:textId="639A3044" w:rsidR="00316A59" w:rsidRPr="0049394D" w:rsidRDefault="00501C36" w:rsidP="004610BF">
            <w:pPr>
              <w:pStyle w:val="TableText0"/>
              <w:jc w:val="center"/>
              <w:rPr>
                <w:iCs/>
              </w:rPr>
            </w:pPr>
            <w:r w:rsidRPr="00501C36">
              <w:rPr>
                <w:rFonts w:hint="eastAsia"/>
                <w:iCs/>
                <w:color w:val="000000"/>
                <w:w w:val="33"/>
                <w:shd w:val="solid" w:color="000000" w:fill="000000"/>
                <w:fitText w:val="150" w:id="-893684735"/>
                <w14:textFill>
                  <w14:solidFill>
                    <w14:srgbClr w14:val="000000">
                      <w14:alpha w14:val="100000"/>
                    </w14:srgbClr>
                  </w14:solidFill>
                </w14:textFill>
              </w:rPr>
              <w:t xml:space="preserve">　</w:t>
            </w:r>
            <w:r w:rsidRPr="00501C36">
              <w:rPr>
                <w:iCs/>
                <w:color w:val="000000"/>
                <w:w w:val="33"/>
                <w:shd w:val="solid" w:color="000000" w:fill="000000"/>
                <w:fitText w:val="150" w:id="-893684735"/>
                <w14:textFill>
                  <w14:solidFill>
                    <w14:srgbClr w14:val="000000">
                      <w14:alpha w14:val="100000"/>
                    </w14:srgbClr>
                  </w14:solidFill>
                </w14:textFill>
              </w:rPr>
              <w:t>|</w:t>
            </w:r>
            <w:r w:rsidRPr="00501C36">
              <w:rPr>
                <w:rFonts w:hint="eastAsia"/>
                <w:iCs/>
                <w:color w:val="000000"/>
                <w:spacing w:val="4"/>
                <w:w w:val="33"/>
                <w:shd w:val="solid" w:color="000000" w:fill="000000"/>
                <w:fitText w:val="150" w:id="-893684735"/>
                <w14:textFill>
                  <w14:solidFill>
                    <w14:srgbClr w14:val="000000">
                      <w14:alpha w14:val="100000"/>
                    </w14:srgbClr>
                  </w14:solidFill>
                </w14:textFill>
              </w:rPr>
              <w:t xml:space="preserve">　</w:t>
            </w:r>
            <w:r w:rsidR="00316A59" w:rsidRPr="0049394D">
              <w:rPr>
                <w:iCs/>
              </w:rPr>
              <w:t>%</w:t>
            </w:r>
          </w:p>
        </w:tc>
      </w:tr>
      <w:tr w:rsidR="00A91F14" w:rsidRPr="0049394D" w14:paraId="1CAA2900" w14:textId="77777777" w:rsidTr="004610BF">
        <w:tc>
          <w:tcPr>
            <w:tcW w:w="1990" w:type="dxa"/>
          </w:tcPr>
          <w:p w14:paraId="3DE0EE14" w14:textId="77777777" w:rsidR="00316A59" w:rsidRPr="0049394D" w:rsidRDefault="00316A59" w:rsidP="00052468">
            <w:pPr>
              <w:pStyle w:val="TableText0"/>
            </w:pPr>
            <w:r w:rsidRPr="0049394D">
              <w:t>Terminal care costs</w:t>
            </w:r>
          </w:p>
        </w:tc>
        <w:tc>
          <w:tcPr>
            <w:tcW w:w="1171" w:type="dxa"/>
            <w:vAlign w:val="center"/>
          </w:tcPr>
          <w:p w14:paraId="791A50AD" w14:textId="77777777" w:rsidR="00316A59" w:rsidRPr="0049394D" w:rsidRDefault="00316A59" w:rsidP="004610BF">
            <w:pPr>
              <w:pStyle w:val="TableText0"/>
              <w:jc w:val="center"/>
              <w:rPr>
                <w:iCs/>
              </w:rPr>
            </w:pPr>
            <w:r w:rsidRPr="0049394D">
              <w:rPr>
                <w:iCs/>
              </w:rPr>
              <w:t>-$2,158</w:t>
            </w:r>
          </w:p>
        </w:tc>
        <w:tc>
          <w:tcPr>
            <w:tcW w:w="1171" w:type="dxa"/>
            <w:vAlign w:val="center"/>
          </w:tcPr>
          <w:p w14:paraId="0195EDC5" w14:textId="67E3C86D"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4"/>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4"/>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4"/>
                <w14:textFill>
                  <w14:solidFill>
                    <w14:srgbClr w14:val="000000">
                      <w14:alpha w14:val="100000"/>
                    </w14:srgbClr>
                  </w14:solidFill>
                </w14:textFill>
              </w:rPr>
              <w:t xml:space="preserve">　</w:t>
            </w:r>
            <w:r w:rsidRPr="0049394D">
              <w:rPr>
                <w:iCs/>
              </w:rPr>
              <w:t>%</w:t>
            </w:r>
          </w:p>
        </w:tc>
        <w:tc>
          <w:tcPr>
            <w:tcW w:w="1171" w:type="dxa"/>
            <w:vAlign w:val="center"/>
          </w:tcPr>
          <w:p w14:paraId="6FCF47D9" w14:textId="77777777" w:rsidR="00316A59" w:rsidRPr="0049394D" w:rsidRDefault="00316A59" w:rsidP="004610BF">
            <w:pPr>
              <w:pStyle w:val="TableText0"/>
              <w:jc w:val="center"/>
              <w:rPr>
                <w:iCs/>
              </w:rPr>
            </w:pPr>
            <w:r w:rsidRPr="0049394D">
              <w:rPr>
                <w:iCs/>
              </w:rPr>
              <w:t>-$2,277</w:t>
            </w:r>
          </w:p>
        </w:tc>
        <w:tc>
          <w:tcPr>
            <w:tcW w:w="1171" w:type="dxa"/>
            <w:vAlign w:val="center"/>
          </w:tcPr>
          <w:p w14:paraId="7E045341" w14:textId="77FA65E9"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3"/>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3"/>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3"/>
                <w14:textFill>
                  <w14:solidFill>
                    <w14:srgbClr w14:val="000000">
                      <w14:alpha w14:val="100000"/>
                    </w14:srgbClr>
                  </w14:solidFill>
                </w14:textFill>
              </w:rPr>
              <w:t xml:space="preserve">　</w:t>
            </w:r>
            <w:r w:rsidRPr="0049394D">
              <w:rPr>
                <w:iCs/>
              </w:rPr>
              <w:t>%</w:t>
            </w:r>
          </w:p>
        </w:tc>
        <w:tc>
          <w:tcPr>
            <w:tcW w:w="1171" w:type="dxa"/>
            <w:vAlign w:val="center"/>
          </w:tcPr>
          <w:p w14:paraId="06FAE0EC" w14:textId="77777777" w:rsidR="00316A59" w:rsidRPr="0049394D" w:rsidRDefault="00316A59" w:rsidP="004610BF">
            <w:pPr>
              <w:pStyle w:val="TableText0"/>
              <w:jc w:val="center"/>
              <w:rPr>
                <w:iCs/>
              </w:rPr>
            </w:pPr>
            <w:r w:rsidRPr="0049394D">
              <w:rPr>
                <w:iCs/>
              </w:rPr>
              <w:t>-$1,038</w:t>
            </w:r>
          </w:p>
        </w:tc>
        <w:tc>
          <w:tcPr>
            <w:tcW w:w="1172" w:type="dxa"/>
            <w:vAlign w:val="center"/>
          </w:tcPr>
          <w:p w14:paraId="61937E65" w14:textId="374666B0" w:rsidR="00316A59" w:rsidRPr="0049394D" w:rsidRDefault="00316A59" w:rsidP="004610BF">
            <w:pPr>
              <w:pStyle w:val="TableText0"/>
              <w:jc w:val="center"/>
              <w:rPr>
                <w:iCs/>
              </w:rPr>
            </w:pPr>
            <w:r w:rsidRPr="0049394D">
              <w:rPr>
                <w:iCs/>
              </w:rPr>
              <w:t>-</w:t>
            </w:r>
            <w:r w:rsidR="00501C36" w:rsidRPr="00501C36">
              <w:rPr>
                <w:rFonts w:hint="eastAsia"/>
                <w:iCs/>
                <w:color w:val="000000"/>
                <w:w w:val="33"/>
                <w:shd w:val="solid" w:color="000000" w:fill="000000"/>
                <w:fitText w:val="150" w:id="-893684732"/>
                <w14:textFill>
                  <w14:solidFill>
                    <w14:srgbClr w14:val="000000">
                      <w14:alpha w14:val="100000"/>
                    </w14:srgbClr>
                  </w14:solidFill>
                </w14:textFill>
              </w:rPr>
              <w:t xml:space="preserve">　</w:t>
            </w:r>
            <w:r w:rsidR="00501C36" w:rsidRPr="00501C36">
              <w:rPr>
                <w:iCs/>
                <w:color w:val="000000"/>
                <w:w w:val="33"/>
                <w:shd w:val="solid" w:color="000000" w:fill="000000"/>
                <w:fitText w:val="150" w:id="-893684732"/>
                <w14:textFill>
                  <w14:solidFill>
                    <w14:srgbClr w14:val="000000">
                      <w14:alpha w14:val="100000"/>
                    </w14:srgbClr>
                  </w14:solidFill>
                </w14:textFill>
              </w:rPr>
              <w:t>|</w:t>
            </w:r>
            <w:r w:rsidR="00501C36" w:rsidRPr="00501C36">
              <w:rPr>
                <w:rFonts w:hint="eastAsia"/>
                <w:iCs/>
                <w:color w:val="000000"/>
                <w:spacing w:val="4"/>
                <w:w w:val="33"/>
                <w:shd w:val="solid" w:color="000000" w:fill="000000"/>
                <w:fitText w:val="150" w:id="-893684732"/>
                <w14:textFill>
                  <w14:solidFill>
                    <w14:srgbClr w14:val="000000">
                      <w14:alpha w14:val="100000"/>
                    </w14:srgbClr>
                  </w14:solidFill>
                </w14:textFill>
              </w:rPr>
              <w:t xml:space="preserve">　</w:t>
            </w:r>
            <w:r w:rsidRPr="0049394D">
              <w:rPr>
                <w:iCs/>
              </w:rPr>
              <w:t>%</w:t>
            </w:r>
          </w:p>
        </w:tc>
      </w:tr>
      <w:tr w:rsidR="00A91F14" w:rsidRPr="0049394D" w14:paraId="53C08393" w14:textId="77777777" w:rsidTr="004610BF">
        <w:tc>
          <w:tcPr>
            <w:tcW w:w="1990" w:type="dxa"/>
          </w:tcPr>
          <w:p w14:paraId="22E01B08" w14:textId="77777777" w:rsidR="00316A59" w:rsidRPr="0049394D" w:rsidRDefault="00316A59" w:rsidP="00052468">
            <w:pPr>
              <w:pStyle w:val="TableText0"/>
              <w:rPr>
                <w:b/>
                <w:bCs w:val="0"/>
              </w:rPr>
            </w:pPr>
            <w:r w:rsidRPr="0049394D">
              <w:rPr>
                <w:b/>
                <w:bCs w:val="0"/>
              </w:rPr>
              <w:t>Total</w:t>
            </w:r>
          </w:p>
        </w:tc>
        <w:tc>
          <w:tcPr>
            <w:tcW w:w="1171" w:type="dxa"/>
            <w:vAlign w:val="center"/>
          </w:tcPr>
          <w:p w14:paraId="0A79C56C" w14:textId="22F42989" w:rsidR="00316A59" w:rsidRPr="0049394D" w:rsidRDefault="00316A59" w:rsidP="004610BF">
            <w:pPr>
              <w:pStyle w:val="TableText0"/>
              <w:jc w:val="center"/>
              <w:rPr>
                <w:b/>
                <w:bCs w:val="0"/>
                <w:iCs/>
              </w:rPr>
            </w:pPr>
            <w:r w:rsidRPr="0049394D">
              <w:rPr>
                <w:b/>
                <w:bCs w:val="0"/>
                <w:iCs/>
              </w:rPr>
              <w:t>$</w:t>
            </w:r>
            <w:r w:rsidR="00501C36" w:rsidRPr="00501C36">
              <w:rPr>
                <w:b/>
                <w:bCs w:val="0"/>
                <w:iCs/>
                <w:color w:val="000000"/>
                <w:spacing w:val="73"/>
                <w:shd w:val="solid" w:color="000000" w:fill="000000"/>
                <w:fitText w:val="165" w:id="-893684731"/>
                <w14:textFill>
                  <w14:solidFill>
                    <w14:srgbClr w14:val="000000">
                      <w14:alpha w14:val="100000"/>
                    </w14:srgbClr>
                  </w14:solidFill>
                </w14:textFill>
              </w:rPr>
              <w:t>|</w:t>
            </w:r>
            <w:r w:rsidR="00501C36" w:rsidRPr="00501C36">
              <w:rPr>
                <w:b/>
                <w:bCs w:val="0"/>
                <w:iCs/>
                <w:color w:val="000000"/>
                <w:spacing w:val="1"/>
                <w:shd w:val="solid" w:color="000000" w:fill="000000"/>
                <w:fitText w:val="165" w:id="-893684731"/>
                <w14:textFill>
                  <w14:solidFill>
                    <w14:srgbClr w14:val="000000">
                      <w14:alpha w14:val="100000"/>
                    </w14:srgbClr>
                  </w14:solidFill>
                </w14:textFill>
              </w:rPr>
              <w:t>|</w:t>
            </w:r>
          </w:p>
        </w:tc>
        <w:tc>
          <w:tcPr>
            <w:tcW w:w="1171" w:type="dxa"/>
            <w:vAlign w:val="center"/>
          </w:tcPr>
          <w:p w14:paraId="7C976698" w14:textId="0B4E4172" w:rsidR="00316A59" w:rsidRPr="0049394D" w:rsidRDefault="00501C36" w:rsidP="004610BF">
            <w:pPr>
              <w:pStyle w:val="TableText0"/>
              <w:jc w:val="center"/>
              <w:rPr>
                <w:b/>
                <w:bCs w:val="0"/>
                <w:iCs/>
              </w:rPr>
            </w:pPr>
            <w:r w:rsidRPr="00501C36">
              <w:rPr>
                <w:b/>
                <w:bCs w:val="0"/>
                <w:iCs/>
                <w:color w:val="000000"/>
                <w:spacing w:val="103"/>
                <w:shd w:val="solid" w:color="000000" w:fill="000000"/>
                <w:fitText w:val="195" w:id="-893684730"/>
                <w14:textFill>
                  <w14:solidFill>
                    <w14:srgbClr w14:val="000000">
                      <w14:alpha w14:val="100000"/>
                    </w14:srgbClr>
                  </w14:solidFill>
                </w14:textFill>
              </w:rPr>
              <w:t>|</w:t>
            </w:r>
            <w:r w:rsidRPr="00501C36">
              <w:rPr>
                <w:b/>
                <w:bCs w:val="0"/>
                <w:iCs/>
                <w:color w:val="000000"/>
                <w:spacing w:val="1"/>
                <w:shd w:val="solid" w:color="000000" w:fill="000000"/>
                <w:fitText w:val="195" w:id="-893684730"/>
                <w14:textFill>
                  <w14:solidFill>
                    <w14:srgbClr w14:val="000000">
                      <w14:alpha w14:val="100000"/>
                    </w14:srgbClr>
                  </w14:solidFill>
                </w14:textFill>
              </w:rPr>
              <w:t>|</w:t>
            </w:r>
            <w:r w:rsidR="00316A59" w:rsidRPr="0049394D">
              <w:rPr>
                <w:b/>
                <w:bCs w:val="0"/>
                <w:iCs/>
              </w:rPr>
              <w:t>%</w:t>
            </w:r>
          </w:p>
        </w:tc>
        <w:tc>
          <w:tcPr>
            <w:tcW w:w="1171" w:type="dxa"/>
            <w:vAlign w:val="center"/>
          </w:tcPr>
          <w:p w14:paraId="5747D56C" w14:textId="1DC1F687" w:rsidR="00316A59" w:rsidRPr="0049394D" w:rsidRDefault="00316A59" w:rsidP="004610BF">
            <w:pPr>
              <w:pStyle w:val="TableText0"/>
              <w:jc w:val="center"/>
              <w:rPr>
                <w:b/>
                <w:bCs w:val="0"/>
                <w:iCs/>
              </w:rPr>
            </w:pPr>
            <w:r w:rsidRPr="0049394D">
              <w:rPr>
                <w:b/>
                <w:bCs w:val="0"/>
                <w:iCs/>
              </w:rPr>
              <w:t>$</w:t>
            </w:r>
            <w:r w:rsidR="00501C36" w:rsidRPr="00501C36">
              <w:rPr>
                <w:b/>
                <w:bCs w:val="0"/>
                <w:iCs/>
                <w:color w:val="000000"/>
                <w:spacing w:val="73"/>
                <w:shd w:val="solid" w:color="000000" w:fill="000000"/>
                <w:fitText w:val="165" w:id="-893684729"/>
                <w14:textFill>
                  <w14:solidFill>
                    <w14:srgbClr w14:val="000000">
                      <w14:alpha w14:val="100000"/>
                    </w14:srgbClr>
                  </w14:solidFill>
                </w14:textFill>
              </w:rPr>
              <w:t>|</w:t>
            </w:r>
            <w:r w:rsidR="00501C36" w:rsidRPr="00501C36">
              <w:rPr>
                <w:b/>
                <w:bCs w:val="0"/>
                <w:iCs/>
                <w:color w:val="000000"/>
                <w:spacing w:val="1"/>
                <w:shd w:val="solid" w:color="000000" w:fill="000000"/>
                <w:fitText w:val="165" w:id="-893684729"/>
                <w14:textFill>
                  <w14:solidFill>
                    <w14:srgbClr w14:val="000000">
                      <w14:alpha w14:val="100000"/>
                    </w14:srgbClr>
                  </w14:solidFill>
                </w14:textFill>
              </w:rPr>
              <w:t>|</w:t>
            </w:r>
          </w:p>
        </w:tc>
        <w:tc>
          <w:tcPr>
            <w:tcW w:w="1171" w:type="dxa"/>
            <w:vAlign w:val="center"/>
          </w:tcPr>
          <w:p w14:paraId="79D361FA" w14:textId="0CCB6DC3" w:rsidR="00316A59" w:rsidRPr="0049394D" w:rsidRDefault="00501C36" w:rsidP="004610BF">
            <w:pPr>
              <w:pStyle w:val="TableText0"/>
              <w:jc w:val="center"/>
              <w:rPr>
                <w:b/>
                <w:bCs w:val="0"/>
                <w:iCs/>
              </w:rPr>
            </w:pPr>
            <w:r w:rsidRPr="00501C36">
              <w:rPr>
                <w:b/>
                <w:bCs w:val="0"/>
                <w:iCs/>
                <w:color w:val="000000"/>
                <w:spacing w:val="103"/>
                <w:shd w:val="solid" w:color="000000" w:fill="000000"/>
                <w:fitText w:val="195" w:id="-893684728"/>
                <w14:textFill>
                  <w14:solidFill>
                    <w14:srgbClr w14:val="000000">
                      <w14:alpha w14:val="100000"/>
                    </w14:srgbClr>
                  </w14:solidFill>
                </w14:textFill>
              </w:rPr>
              <w:t>|</w:t>
            </w:r>
            <w:r w:rsidRPr="00501C36">
              <w:rPr>
                <w:b/>
                <w:bCs w:val="0"/>
                <w:iCs/>
                <w:color w:val="000000"/>
                <w:spacing w:val="1"/>
                <w:shd w:val="solid" w:color="000000" w:fill="000000"/>
                <w:fitText w:val="195" w:id="-893684728"/>
                <w14:textFill>
                  <w14:solidFill>
                    <w14:srgbClr w14:val="000000">
                      <w14:alpha w14:val="100000"/>
                    </w14:srgbClr>
                  </w14:solidFill>
                </w14:textFill>
              </w:rPr>
              <w:t>|</w:t>
            </w:r>
            <w:r w:rsidR="00316A59" w:rsidRPr="0049394D">
              <w:rPr>
                <w:b/>
                <w:bCs w:val="0"/>
                <w:iCs/>
              </w:rPr>
              <w:t>%</w:t>
            </w:r>
          </w:p>
        </w:tc>
        <w:tc>
          <w:tcPr>
            <w:tcW w:w="1171" w:type="dxa"/>
            <w:vAlign w:val="center"/>
          </w:tcPr>
          <w:p w14:paraId="3D62BA8B" w14:textId="3A1B4B17" w:rsidR="00316A59" w:rsidRPr="0049394D" w:rsidRDefault="00316A59" w:rsidP="004610BF">
            <w:pPr>
              <w:pStyle w:val="TableText0"/>
              <w:jc w:val="center"/>
              <w:rPr>
                <w:b/>
                <w:bCs w:val="0"/>
                <w:iCs/>
              </w:rPr>
            </w:pPr>
            <w:r w:rsidRPr="0049394D">
              <w:rPr>
                <w:b/>
                <w:bCs w:val="0"/>
                <w:iCs/>
              </w:rPr>
              <w:t>$</w:t>
            </w:r>
            <w:r w:rsidR="00501C36" w:rsidRPr="00501C36">
              <w:rPr>
                <w:b/>
                <w:bCs w:val="0"/>
                <w:iCs/>
                <w:color w:val="000000"/>
                <w:spacing w:val="73"/>
                <w:shd w:val="solid" w:color="000000" w:fill="000000"/>
                <w:fitText w:val="165" w:id="-893684727"/>
                <w14:textFill>
                  <w14:solidFill>
                    <w14:srgbClr w14:val="000000">
                      <w14:alpha w14:val="100000"/>
                    </w14:srgbClr>
                  </w14:solidFill>
                </w14:textFill>
              </w:rPr>
              <w:t>|</w:t>
            </w:r>
            <w:r w:rsidR="00501C36" w:rsidRPr="00501C36">
              <w:rPr>
                <w:b/>
                <w:bCs w:val="0"/>
                <w:iCs/>
                <w:color w:val="000000"/>
                <w:spacing w:val="1"/>
                <w:shd w:val="solid" w:color="000000" w:fill="000000"/>
                <w:fitText w:val="165" w:id="-893684727"/>
                <w14:textFill>
                  <w14:solidFill>
                    <w14:srgbClr w14:val="000000">
                      <w14:alpha w14:val="100000"/>
                    </w14:srgbClr>
                  </w14:solidFill>
                </w14:textFill>
              </w:rPr>
              <w:t>|</w:t>
            </w:r>
          </w:p>
        </w:tc>
        <w:tc>
          <w:tcPr>
            <w:tcW w:w="1172" w:type="dxa"/>
            <w:vAlign w:val="center"/>
          </w:tcPr>
          <w:p w14:paraId="0F9B30C1" w14:textId="06888AFF" w:rsidR="00316A59" w:rsidRPr="0049394D" w:rsidRDefault="00501C36" w:rsidP="004610BF">
            <w:pPr>
              <w:pStyle w:val="TableText0"/>
              <w:jc w:val="center"/>
              <w:rPr>
                <w:b/>
                <w:bCs w:val="0"/>
                <w:iCs/>
              </w:rPr>
            </w:pPr>
            <w:r w:rsidRPr="00501C36">
              <w:rPr>
                <w:b/>
                <w:bCs w:val="0"/>
                <w:iCs/>
                <w:color w:val="000000"/>
                <w:spacing w:val="103"/>
                <w:shd w:val="solid" w:color="000000" w:fill="000000"/>
                <w:fitText w:val="195" w:id="-893684726"/>
                <w14:textFill>
                  <w14:solidFill>
                    <w14:srgbClr w14:val="000000">
                      <w14:alpha w14:val="100000"/>
                    </w14:srgbClr>
                  </w14:solidFill>
                </w14:textFill>
              </w:rPr>
              <w:t>|</w:t>
            </w:r>
            <w:r w:rsidRPr="00501C36">
              <w:rPr>
                <w:b/>
                <w:bCs w:val="0"/>
                <w:iCs/>
                <w:color w:val="000000"/>
                <w:spacing w:val="1"/>
                <w:shd w:val="solid" w:color="000000" w:fill="000000"/>
                <w:fitText w:val="195" w:id="-893684726"/>
                <w14:textFill>
                  <w14:solidFill>
                    <w14:srgbClr w14:val="000000">
                      <w14:alpha w14:val="100000"/>
                    </w14:srgbClr>
                  </w14:solidFill>
                </w14:textFill>
              </w:rPr>
              <w:t>|</w:t>
            </w:r>
            <w:r w:rsidR="00316A59" w:rsidRPr="0049394D">
              <w:rPr>
                <w:b/>
                <w:bCs w:val="0"/>
                <w:iCs/>
              </w:rPr>
              <w:t>%</w:t>
            </w:r>
          </w:p>
        </w:tc>
      </w:tr>
    </w:tbl>
    <w:p w14:paraId="4A2D8524" w14:textId="10BB8BF6" w:rsidR="00316A59" w:rsidRPr="0049394D" w:rsidRDefault="00316A59" w:rsidP="00316A59">
      <w:pPr>
        <w:pStyle w:val="FooterTableFigure"/>
        <w:rPr>
          <w:iCs/>
        </w:rPr>
      </w:pPr>
      <w:r w:rsidRPr="0049394D">
        <w:t xml:space="preserve">Source: </w:t>
      </w:r>
      <w:r w:rsidRPr="0049394D">
        <w:rPr>
          <w:iCs/>
        </w:rPr>
        <w:t>compiled during the evaluation using Sheet ‘Disaggregated Base-Case Results’ of the Excel workbook ‘Attachment 7 (CUA).xlsm’</w:t>
      </w:r>
      <w:r w:rsidR="00414956" w:rsidRPr="0049394D">
        <w:rPr>
          <w:iCs/>
        </w:rPr>
        <w:t>]</w:t>
      </w:r>
    </w:p>
    <w:p w14:paraId="2F04A245" w14:textId="6BDF9B1F" w:rsidR="00316A59" w:rsidRPr="0049394D" w:rsidRDefault="00316A59" w:rsidP="00316A59">
      <w:pPr>
        <w:pStyle w:val="TableFigureHeading"/>
        <w:rPr>
          <w:rStyle w:val="CommentReference"/>
          <w:b/>
          <w:szCs w:val="24"/>
        </w:rPr>
      </w:pPr>
      <w:bookmarkStart w:id="78" w:name="_Ref167023450"/>
      <w:r w:rsidRPr="0049394D">
        <w:lastRenderedPageBreak/>
        <w:t xml:space="preserve">Table </w:t>
      </w:r>
      <w:r>
        <w:fldChar w:fldCharType="begin" w:fldLock="1"/>
      </w:r>
      <w:r>
        <w:instrText xml:space="preserve"> SEQ Table \* ARABIC </w:instrText>
      </w:r>
      <w:r>
        <w:fldChar w:fldCharType="separate"/>
      </w:r>
      <w:r w:rsidR="00437B51">
        <w:rPr>
          <w:noProof/>
        </w:rPr>
        <w:t>16</w:t>
      </w:r>
      <w:r>
        <w:rPr>
          <w:noProof/>
        </w:rPr>
        <w:fldChar w:fldCharType="end"/>
      </w:r>
      <w:bookmarkEnd w:id="78"/>
      <w:r w:rsidRPr="0049394D">
        <w:rPr>
          <w:rStyle w:val="CommentReference"/>
          <w:b/>
          <w:szCs w:val="24"/>
        </w:rPr>
        <w:t>: Disaggregated summary of health outcomes included in the economic evaluation (undiscounted)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Disaggregated summary of health outcomes included in the economic evaluation (undiscounted)"/>
      </w:tblPr>
      <w:tblGrid>
        <w:gridCol w:w="2044"/>
        <w:gridCol w:w="1162"/>
        <w:gridCol w:w="1162"/>
        <w:gridCol w:w="1162"/>
        <w:gridCol w:w="1162"/>
        <w:gridCol w:w="1162"/>
        <w:gridCol w:w="1163"/>
      </w:tblGrid>
      <w:tr w:rsidR="00A91F14" w:rsidRPr="0049394D" w14:paraId="2CEE9865" w14:textId="77777777" w:rsidTr="004610BF">
        <w:trPr>
          <w:tblHeader/>
        </w:trPr>
        <w:tc>
          <w:tcPr>
            <w:tcW w:w="2044" w:type="dxa"/>
            <w:vMerge w:val="restart"/>
            <w:vAlign w:val="center"/>
          </w:tcPr>
          <w:p w14:paraId="5FD1F819" w14:textId="77777777" w:rsidR="00316A59" w:rsidRPr="0049394D" w:rsidRDefault="00316A59" w:rsidP="00052468">
            <w:pPr>
              <w:pStyle w:val="In-tableHeading"/>
              <w:rPr>
                <w:lang w:val="en-AU"/>
              </w:rPr>
            </w:pPr>
            <w:r w:rsidRPr="0049394D">
              <w:rPr>
                <w:lang w:val="en-AU"/>
              </w:rPr>
              <w:t>Outcome</w:t>
            </w:r>
          </w:p>
        </w:tc>
        <w:tc>
          <w:tcPr>
            <w:tcW w:w="2324" w:type="dxa"/>
            <w:gridSpan w:val="2"/>
            <w:vAlign w:val="center"/>
          </w:tcPr>
          <w:p w14:paraId="1527B86B" w14:textId="77777777" w:rsidR="00316A59" w:rsidRPr="0049394D" w:rsidRDefault="00316A59" w:rsidP="00052468">
            <w:pPr>
              <w:pStyle w:val="In-tableHeading"/>
              <w:jc w:val="center"/>
              <w:rPr>
                <w:lang w:val="en-AU"/>
              </w:rPr>
            </w:pPr>
            <w:r w:rsidRPr="0049394D">
              <w:rPr>
                <w:lang w:val="en-AU"/>
              </w:rPr>
              <w:t>RCC model</w:t>
            </w:r>
          </w:p>
        </w:tc>
        <w:tc>
          <w:tcPr>
            <w:tcW w:w="2324" w:type="dxa"/>
            <w:gridSpan w:val="2"/>
            <w:vAlign w:val="center"/>
          </w:tcPr>
          <w:p w14:paraId="2FDA927A" w14:textId="77777777" w:rsidR="00316A59" w:rsidRPr="0049394D" w:rsidRDefault="00316A59" w:rsidP="00052468">
            <w:pPr>
              <w:pStyle w:val="In-tableHeading"/>
              <w:jc w:val="center"/>
              <w:rPr>
                <w:lang w:val="en-AU"/>
              </w:rPr>
            </w:pPr>
            <w:r w:rsidRPr="0049394D">
              <w:rPr>
                <w:lang w:val="en-AU"/>
              </w:rPr>
              <w:t>CNS Hb model</w:t>
            </w:r>
          </w:p>
        </w:tc>
        <w:tc>
          <w:tcPr>
            <w:tcW w:w="2325" w:type="dxa"/>
            <w:gridSpan w:val="2"/>
          </w:tcPr>
          <w:p w14:paraId="6F320F3C" w14:textId="77777777" w:rsidR="00316A59" w:rsidRPr="0049394D" w:rsidRDefault="00316A59" w:rsidP="00052468">
            <w:pPr>
              <w:pStyle w:val="In-tableHeading"/>
              <w:jc w:val="center"/>
              <w:rPr>
                <w:lang w:val="en-AU"/>
              </w:rPr>
            </w:pPr>
            <w:r w:rsidRPr="0049394D">
              <w:rPr>
                <w:lang w:val="en-AU"/>
              </w:rPr>
              <w:t>pNET model</w:t>
            </w:r>
          </w:p>
        </w:tc>
      </w:tr>
      <w:tr w:rsidR="00A91F14" w:rsidRPr="0049394D" w14:paraId="15227BEE" w14:textId="77777777" w:rsidTr="004610BF">
        <w:trPr>
          <w:tblHeader/>
        </w:trPr>
        <w:tc>
          <w:tcPr>
            <w:tcW w:w="2044" w:type="dxa"/>
            <w:vMerge/>
            <w:vAlign w:val="center"/>
          </w:tcPr>
          <w:p w14:paraId="283ED445" w14:textId="77777777" w:rsidR="00316A59" w:rsidRPr="0049394D" w:rsidRDefault="00316A59" w:rsidP="00052468">
            <w:pPr>
              <w:pStyle w:val="In-tableHeading"/>
              <w:rPr>
                <w:lang w:val="en-AU"/>
              </w:rPr>
            </w:pPr>
          </w:p>
        </w:tc>
        <w:tc>
          <w:tcPr>
            <w:tcW w:w="1162" w:type="dxa"/>
            <w:vAlign w:val="center"/>
          </w:tcPr>
          <w:p w14:paraId="0D623236" w14:textId="77777777" w:rsidR="00316A59" w:rsidRPr="0049394D" w:rsidRDefault="00316A59" w:rsidP="00052468">
            <w:pPr>
              <w:pStyle w:val="In-tableHeading"/>
              <w:jc w:val="center"/>
              <w:rPr>
                <w:lang w:val="en-AU"/>
              </w:rPr>
            </w:pPr>
            <w:r w:rsidRPr="0049394D">
              <w:rPr>
                <w:lang w:val="en-AU"/>
              </w:rPr>
              <w:t>Incremental outcome</w:t>
            </w:r>
          </w:p>
        </w:tc>
        <w:tc>
          <w:tcPr>
            <w:tcW w:w="1162" w:type="dxa"/>
            <w:vAlign w:val="center"/>
          </w:tcPr>
          <w:p w14:paraId="0B2CFE9D" w14:textId="77777777" w:rsidR="00316A59" w:rsidRPr="0049394D" w:rsidRDefault="00316A59" w:rsidP="00052468">
            <w:pPr>
              <w:pStyle w:val="In-tableHeading"/>
              <w:jc w:val="center"/>
              <w:rPr>
                <w:lang w:val="en-AU"/>
              </w:rPr>
            </w:pPr>
            <w:r w:rsidRPr="0049394D">
              <w:rPr>
                <w:lang w:val="en-AU"/>
              </w:rPr>
              <w:t>% of total incremental outcome</w:t>
            </w:r>
          </w:p>
        </w:tc>
        <w:tc>
          <w:tcPr>
            <w:tcW w:w="1162" w:type="dxa"/>
            <w:vAlign w:val="center"/>
          </w:tcPr>
          <w:p w14:paraId="58307AF7" w14:textId="77777777" w:rsidR="00316A59" w:rsidRPr="0049394D" w:rsidRDefault="00316A59" w:rsidP="00052468">
            <w:pPr>
              <w:pStyle w:val="In-tableHeading"/>
              <w:jc w:val="center"/>
              <w:rPr>
                <w:lang w:val="en-AU"/>
              </w:rPr>
            </w:pPr>
            <w:r w:rsidRPr="0049394D">
              <w:rPr>
                <w:lang w:val="en-AU"/>
              </w:rPr>
              <w:t>Incremental outcome</w:t>
            </w:r>
          </w:p>
        </w:tc>
        <w:tc>
          <w:tcPr>
            <w:tcW w:w="1162" w:type="dxa"/>
            <w:vAlign w:val="center"/>
          </w:tcPr>
          <w:p w14:paraId="56EA3CD5" w14:textId="77777777" w:rsidR="00316A59" w:rsidRPr="0049394D" w:rsidRDefault="00316A59" w:rsidP="00052468">
            <w:pPr>
              <w:pStyle w:val="In-tableHeading"/>
              <w:jc w:val="center"/>
              <w:rPr>
                <w:lang w:val="en-AU"/>
              </w:rPr>
            </w:pPr>
            <w:r w:rsidRPr="0049394D">
              <w:rPr>
                <w:lang w:val="en-AU"/>
              </w:rPr>
              <w:t>% of total incremental outcome</w:t>
            </w:r>
          </w:p>
        </w:tc>
        <w:tc>
          <w:tcPr>
            <w:tcW w:w="1162" w:type="dxa"/>
            <w:vAlign w:val="center"/>
          </w:tcPr>
          <w:p w14:paraId="732C8ED1" w14:textId="77777777" w:rsidR="00316A59" w:rsidRPr="0049394D" w:rsidRDefault="00316A59" w:rsidP="00052468">
            <w:pPr>
              <w:pStyle w:val="In-tableHeading"/>
              <w:jc w:val="center"/>
              <w:rPr>
                <w:lang w:val="en-AU"/>
              </w:rPr>
            </w:pPr>
            <w:r w:rsidRPr="0049394D">
              <w:rPr>
                <w:lang w:val="en-AU"/>
              </w:rPr>
              <w:t>Incremental outcome</w:t>
            </w:r>
          </w:p>
        </w:tc>
        <w:tc>
          <w:tcPr>
            <w:tcW w:w="1163" w:type="dxa"/>
            <w:vAlign w:val="center"/>
          </w:tcPr>
          <w:p w14:paraId="0F6FE728" w14:textId="77777777" w:rsidR="00316A59" w:rsidRPr="0049394D" w:rsidRDefault="00316A59" w:rsidP="00052468">
            <w:pPr>
              <w:pStyle w:val="In-tableHeading"/>
              <w:jc w:val="center"/>
              <w:rPr>
                <w:lang w:val="en-AU"/>
              </w:rPr>
            </w:pPr>
            <w:r w:rsidRPr="0049394D">
              <w:rPr>
                <w:lang w:val="en-AU"/>
              </w:rPr>
              <w:t>% of total incremental outcome</w:t>
            </w:r>
          </w:p>
        </w:tc>
      </w:tr>
      <w:tr w:rsidR="00A91F14" w:rsidRPr="0049394D" w14:paraId="7F58FC0B" w14:textId="77777777" w:rsidTr="00052468">
        <w:tc>
          <w:tcPr>
            <w:tcW w:w="9017" w:type="dxa"/>
            <w:gridSpan w:val="7"/>
            <w:vAlign w:val="center"/>
          </w:tcPr>
          <w:p w14:paraId="4F238AF2" w14:textId="77777777" w:rsidR="00316A59" w:rsidRPr="0049394D" w:rsidRDefault="00316A59" w:rsidP="00052468">
            <w:pPr>
              <w:pStyle w:val="TableText0"/>
              <w:rPr>
                <w:b/>
                <w:bCs w:val="0"/>
              </w:rPr>
            </w:pPr>
            <w:r w:rsidRPr="0049394D">
              <w:rPr>
                <w:b/>
                <w:bCs w:val="0"/>
              </w:rPr>
              <w:t>LYs</w:t>
            </w:r>
          </w:p>
        </w:tc>
      </w:tr>
      <w:tr w:rsidR="00A91F14" w:rsidRPr="0049394D" w14:paraId="73E695E9" w14:textId="77777777" w:rsidTr="004610BF">
        <w:tc>
          <w:tcPr>
            <w:tcW w:w="2044" w:type="dxa"/>
          </w:tcPr>
          <w:p w14:paraId="1E23C940" w14:textId="77777777" w:rsidR="00316A59" w:rsidRPr="0049394D" w:rsidRDefault="00316A59" w:rsidP="00052468">
            <w:pPr>
              <w:pStyle w:val="TableText0"/>
            </w:pPr>
            <w:r w:rsidRPr="0049394D">
              <w:t>Pre-surgery</w:t>
            </w:r>
          </w:p>
        </w:tc>
        <w:tc>
          <w:tcPr>
            <w:tcW w:w="1162" w:type="dxa"/>
            <w:vAlign w:val="center"/>
          </w:tcPr>
          <w:p w14:paraId="5DEC6082" w14:textId="77777777" w:rsidR="00316A59" w:rsidRPr="0049394D" w:rsidRDefault="00316A59" w:rsidP="004610BF">
            <w:pPr>
              <w:pStyle w:val="TableText0"/>
              <w:jc w:val="center"/>
              <w:rPr>
                <w:iCs/>
              </w:rPr>
            </w:pPr>
            <w:r w:rsidRPr="0049394D">
              <w:rPr>
                <w:iCs/>
              </w:rPr>
              <w:t>4.541</w:t>
            </w:r>
          </w:p>
        </w:tc>
        <w:tc>
          <w:tcPr>
            <w:tcW w:w="1162" w:type="dxa"/>
            <w:vAlign w:val="center"/>
          </w:tcPr>
          <w:p w14:paraId="503F4746" w14:textId="77777777" w:rsidR="00316A59" w:rsidRPr="0049394D" w:rsidRDefault="00316A59" w:rsidP="004610BF">
            <w:pPr>
              <w:pStyle w:val="TableText0"/>
              <w:jc w:val="center"/>
              <w:rPr>
                <w:iCs/>
              </w:rPr>
            </w:pPr>
            <w:r w:rsidRPr="0049394D">
              <w:rPr>
                <w:iCs/>
              </w:rPr>
              <w:t>108.8%</w:t>
            </w:r>
          </w:p>
        </w:tc>
        <w:tc>
          <w:tcPr>
            <w:tcW w:w="1162" w:type="dxa"/>
            <w:vAlign w:val="center"/>
          </w:tcPr>
          <w:p w14:paraId="269E1F6C" w14:textId="77777777" w:rsidR="00316A59" w:rsidRPr="0049394D" w:rsidRDefault="00316A59" w:rsidP="004610BF">
            <w:pPr>
              <w:pStyle w:val="TableText0"/>
              <w:jc w:val="center"/>
              <w:rPr>
                <w:iCs/>
              </w:rPr>
            </w:pPr>
            <w:r w:rsidRPr="0049394D">
              <w:rPr>
                <w:iCs/>
              </w:rPr>
              <w:t>5.350</w:t>
            </w:r>
          </w:p>
        </w:tc>
        <w:tc>
          <w:tcPr>
            <w:tcW w:w="1162" w:type="dxa"/>
            <w:vAlign w:val="center"/>
          </w:tcPr>
          <w:p w14:paraId="1B2847A8" w14:textId="77777777" w:rsidR="00316A59" w:rsidRPr="0049394D" w:rsidRDefault="00316A59" w:rsidP="004610BF">
            <w:pPr>
              <w:pStyle w:val="TableText0"/>
              <w:jc w:val="center"/>
              <w:rPr>
                <w:iCs/>
              </w:rPr>
            </w:pPr>
            <w:r w:rsidRPr="0049394D">
              <w:rPr>
                <w:iCs/>
              </w:rPr>
              <w:t>124.4%</w:t>
            </w:r>
          </w:p>
        </w:tc>
        <w:tc>
          <w:tcPr>
            <w:tcW w:w="1162" w:type="dxa"/>
            <w:vAlign w:val="center"/>
          </w:tcPr>
          <w:p w14:paraId="7351AE34" w14:textId="77777777" w:rsidR="00316A59" w:rsidRPr="0049394D" w:rsidRDefault="00316A59" w:rsidP="004610BF">
            <w:pPr>
              <w:pStyle w:val="TableText0"/>
              <w:jc w:val="center"/>
              <w:rPr>
                <w:iCs/>
              </w:rPr>
            </w:pPr>
            <w:r w:rsidRPr="0049394D">
              <w:rPr>
                <w:iCs/>
              </w:rPr>
              <w:t>5.494</w:t>
            </w:r>
          </w:p>
        </w:tc>
        <w:tc>
          <w:tcPr>
            <w:tcW w:w="1163" w:type="dxa"/>
            <w:vAlign w:val="center"/>
          </w:tcPr>
          <w:p w14:paraId="1F94E73F" w14:textId="77777777" w:rsidR="00316A59" w:rsidRPr="0049394D" w:rsidRDefault="00316A59" w:rsidP="004610BF">
            <w:pPr>
              <w:pStyle w:val="TableText0"/>
              <w:jc w:val="center"/>
              <w:rPr>
                <w:iCs/>
              </w:rPr>
            </w:pPr>
            <w:r w:rsidRPr="0049394D">
              <w:rPr>
                <w:iCs/>
              </w:rPr>
              <w:t>106.9%</w:t>
            </w:r>
          </w:p>
        </w:tc>
      </w:tr>
      <w:tr w:rsidR="00A91F14" w:rsidRPr="0049394D" w14:paraId="691C4867" w14:textId="77777777" w:rsidTr="004610BF">
        <w:tc>
          <w:tcPr>
            <w:tcW w:w="2044" w:type="dxa"/>
          </w:tcPr>
          <w:p w14:paraId="4FAA2C2E" w14:textId="77777777" w:rsidR="00316A59" w:rsidRPr="0049394D" w:rsidRDefault="00316A59" w:rsidP="00052468">
            <w:pPr>
              <w:pStyle w:val="TableText0"/>
            </w:pPr>
            <w:r w:rsidRPr="0049394D">
              <w:t>Surgery</w:t>
            </w:r>
          </w:p>
        </w:tc>
        <w:tc>
          <w:tcPr>
            <w:tcW w:w="1162" w:type="dxa"/>
            <w:vAlign w:val="center"/>
          </w:tcPr>
          <w:p w14:paraId="4E6DBEE5" w14:textId="77777777" w:rsidR="00316A59" w:rsidRPr="0049394D" w:rsidRDefault="00316A59" w:rsidP="004610BF">
            <w:pPr>
              <w:pStyle w:val="TableText0"/>
              <w:jc w:val="center"/>
              <w:rPr>
                <w:iCs/>
              </w:rPr>
            </w:pPr>
            <w:r w:rsidRPr="0049394D">
              <w:rPr>
                <w:iCs/>
              </w:rPr>
              <w:t>-0.001</w:t>
            </w:r>
          </w:p>
        </w:tc>
        <w:tc>
          <w:tcPr>
            <w:tcW w:w="1162" w:type="dxa"/>
            <w:vAlign w:val="center"/>
          </w:tcPr>
          <w:p w14:paraId="63413D64" w14:textId="77777777" w:rsidR="00316A59" w:rsidRPr="0049394D" w:rsidRDefault="00316A59" w:rsidP="004610BF">
            <w:pPr>
              <w:pStyle w:val="TableText0"/>
              <w:jc w:val="center"/>
              <w:rPr>
                <w:iCs/>
              </w:rPr>
            </w:pPr>
            <w:r w:rsidRPr="0049394D">
              <w:rPr>
                <w:iCs/>
              </w:rPr>
              <w:t>0.0%</w:t>
            </w:r>
          </w:p>
        </w:tc>
        <w:tc>
          <w:tcPr>
            <w:tcW w:w="1162" w:type="dxa"/>
            <w:vAlign w:val="center"/>
          </w:tcPr>
          <w:p w14:paraId="58DD1C3D" w14:textId="77777777" w:rsidR="00316A59" w:rsidRPr="0049394D" w:rsidRDefault="00316A59" w:rsidP="004610BF">
            <w:pPr>
              <w:pStyle w:val="TableText0"/>
              <w:jc w:val="center"/>
              <w:rPr>
                <w:iCs/>
              </w:rPr>
            </w:pPr>
            <w:r w:rsidRPr="0049394D">
              <w:rPr>
                <w:iCs/>
              </w:rPr>
              <w:t>-0.002</w:t>
            </w:r>
          </w:p>
        </w:tc>
        <w:tc>
          <w:tcPr>
            <w:tcW w:w="1162" w:type="dxa"/>
            <w:vAlign w:val="center"/>
          </w:tcPr>
          <w:p w14:paraId="3591341E" w14:textId="77777777" w:rsidR="00316A59" w:rsidRPr="0049394D" w:rsidRDefault="00316A59" w:rsidP="004610BF">
            <w:pPr>
              <w:pStyle w:val="TableText0"/>
              <w:jc w:val="center"/>
              <w:rPr>
                <w:iCs/>
              </w:rPr>
            </w:pPr>
            <w:r w:rsidRPr="0049394D">
              <w:rPr>
                <w:iCs/>
              </w:rPr>
              <w:t>0.0%</w:t>
            </w:r>
          </w:p>
        </w:tc>
        <w:tc>
          <w:tcPr>
            <w:tcW w:w="1162" w:type="dxa"/>
            <w:vAlign w:val="center"/>
          </w:tcPr>
          <w:p w14:paraId="1E892237" w14:textId="77777777" w:rsidR="00316A59" w:rsidRPr="0049394D" w:rsidRDefault="00316A59" w:rsidP="004610BF">
            <w:pPr>
              <w:pStyle w:val="TableText0"/>
              <w:jc w:val="center"/>
              <w:rPr>
                <w:iCs/>
              </w:rPr>
            </w:pPr>
            <w:r w:rsidRPr="0049394D">
              <w:rPr>
                <w:iCs/>
              </w:rPr>
              <w:t>0.000</w:t>
            </w:r>
          </w:p>
        </w:tc>
        <w:tc>
          <w:tcPr>
            <w:tcW w:w="1163" w:type="dxa"/>
            <w:vAlign w:val="center"/>
          </w:tcPr>
          <w:p w14:paraId="0DF25E1E" w14:textId="77777777" w:rsidR="00316A59" w:rsidRPr="0049394D" w:rsidRDefault="00316A59" w:rsidP="004610BF">
            <w:pPr>
              <w:pStyle w:val="TableText0"/>
              <w:jc w:val="center"/>
              <w:rPr>
                <w:iCs/>
              </w:rPr>
            </w:pPr>
            <w:r w:rsidRPr="0049394D">
              <w:rPr>
                <w:iCs/>
              </w:rPr>
              <w:t>0.0%</w:t>
            </w:r>
          </w:p>
        </w:tc>
      </w:tr>
      <w:tr w:rsidR="00A91F14" w:rsidRPr="0049394D" w14:paraId="775F90BA" w14:textId="77777777" w:rsidTr="004610BF">
        <w:tc>
          <w:tcPr>
            <w:tcW w:w="2044" w:type="dxa"/>
          </w:tcPr>
          <w:p w14:paraId="028F2B84" w14:textId="77777777" w:rsidR="00316A59" w:rsidRPr="0049394D" w:rsidRDefault="00316A59" w:rsidP="00052468">
            <w:pPr>
              <w:pStyle w:val="TableText0"/>
            </w:pPr>
            <w:r w:rsidRPr="0049394D">
              <w:t>EFS post-surgery</w:t>
            </w:r>
          </w:p>
        </w:tc>
        <w:tc>
          <w:tcPr>
            <w:tcW w:w="1162" w:type="dxa"/>
            <w:vAlign w:val="center"/>
          </w:tcPr>
          <w:p w14:paraId="49851F60" w14:textId="77777777" w:rsidR="00316A59" w:rsidRPr="0049394D" w:rsidRDefault="00316A59" w:rsidP="004610BF">
            <w:pPr>
              <w:pStyle w:val="TableText0"/>
              <w:jc w:val="center"/>
              <w:rPr>
                <w:iCs/>
              </w:rPr>
            </w:pPr>
            <w:r w:rsidRPr="0049394D">
              <w:rPr>
                <w:iCs/>
              </w:rPr>
              <w:t>-0.048</w:t>
            </w:r>
          </w:p>
        </w:tc>
        <w:tc>
          <w:tcPr>
            <w:tcW w:w="1162" w:type="dxa"/>
            <w:vAlign w:val="center"/>
          </w:tcPr>
          <w:p w14:paraId="1311771A" w14:textId="77777777" w:rsidR="00316A59" w:rsidRPr="0049394D" w:rsidRDefault="00316A59" w:rsidP="004610BF">
            <w:pPr>
              <w:pStyle w:val="TableText0"/>
              <w:jc w:val="center"/>
              <w:rPr>
                <w:iCs/>
              </w:rPr>
            </w:pPr>
            <w:r w:rsidRPr="0049394D">
              <w:rPr>
                <w:iCs/>
              </w:rPr>
              <w:t>-1.2%</w:t>
            </w:r>
          </w:p>
        </w:tc>
        <w:tc>
          <w:tcPr>
            <w:tcW w:w="1162" w:type="dxa"/>
            <w:vAlign w:val="center"/>
          </w:tcPr>
          <w:p w14:paraId="2012E708" w14:textId="77777777" w:rsidR="00316A59" w:rsidRPr="0049394D" w:rsidRDefault="00316A59" w:rsidP="004610BF">
            <w:pPr>
              <w:pStyle w:val="TableText0"/>
              <w:jc w:val="center"/>
              <w:rPr>
                <w:iCs/>
              </w:rPr>
            </w:pPr>
            <w:r w:rsidRPr="0049394D">
              <w:rPr>
                <w:iCs/>
              </w:rPr>
              <w:t>-0.585</w:t>
            </w:r>
          </w:p>
        </w:tc>
        <w:tc>
          <w:tcPr>
            <w:tcW w:w="1162" w:type="dxa"/>
            <w:vAlign w:val="center"/>
          </w:tcPr>
          <w:p w14:paraId="1035D56E" w14:textId="77777777" w:rsidR="00316A59" w:rsidRPr="0049394D" w:rsidRDefault="00316A59" w:rsidP="004610BF">
            <w:pPr>
              <w:pStyle w:val="TableText0"/>
              <w:jc w:val="center"/>
              <w:rPr>
                <w:iCs/>
              </w:rPr>
            </w:pPr>
            <w:r w:rsidRPr="0049394D">
              <w:rPr>
                <w:iCs/>
              </w:rPr>
              <w:t>-13.6%</w:t>
            </w:r>
          </w:p>
        </w:tc>
        <w:tc>
          <w:tcPr>
            <w:tcW w:w="1162" w:type="dxa"/>
            <w:vAlign w:val="center"/>
          </w:tcPr>
          <w:p w14:paraId="7C49A749" w14:textId="77777777" w:rsidR="00316A59" w:rsidRPr="0049394D" w:rsidRDefault="00316A59" w:rsidP="004610BF">
            <w:pPr>
              <w:pStyle w:val="TableText0"/>
              <w:jc w:val="center"/>
              <w:rPr>
                <w:iCs/>
              </w:rPr>
            </w:pPr>
            <w:r w:rsidRPr="0049394D">
              <w:rPr>
                <w:iCs/>
              </w:rPr>
              <w:t>-0.012</w:t>
            </w:r>
          </w:p>
        </w:tc>
        <w:tc>
          <w:tcPr>
            <w:tcW w:w="1163" w:type="dxa"/>
            <w:vAlign w:val="center"/>
          </w:tcPr>
          <w:p w14:paraId="30A3A2EB" w14:textId="77777777" w:rsidR="00316A59" w:rsidRPr="0049394D" w:rsidRDefault="00316A59" w:rsidP="004610BF">
            <w:pPr>
              <w:pStyle w:val="TableText0"/>
              <w:jc w:val="center"/>
              <w:rPr>
                <w:iCs/>
              </w:rPr>
            </w:pPr>
            <w:r w:rsidRPr="0049394D">
              <w:rPr>
                <w:iCs/>
              </w:rPr>
              <w:t>-0.2%</w:t>
            </w:r>
          </w:p>
        </w:tc>
      </w:tr>
      <w:tr w:rsidR="00A91F14" w:rsidRPr="0049394D" w14:paraId="3010F056" w14:textId="77777777" w:rsidTr="004610BF">
        <w:tc>
          <w:tcPr>
            <w:tcW w:w="2044" w:type="dxa"/>
          </w:tcPr>
          <w:p w14:paraId="76B2FB80" w14:textId="77777777" w:rsidR="00316A59" w:rsidRPr="0049394D" w:rsidRDefault="00316A59" w:rsidP="00052468">
            <w:pPr>
              <w:pStyle w:val="TableText0"/>
            </w:pPr>
            <w:r w:rsidRPr="0049394D">
              <w:t>Metastatic disease</w:t>
            </w:r>
          </w:p>
        </w:tc>
        <w:tc>
          <w:tcPr>
            <w:tcW w:w="1162" w:type="dxa"/>
            <w:vAlign w:val="center"/>
          </w:tcPr>
          <w:p w14:paraId="4B674B92" w14:textId="77777777" w:rsidR="00316A59" w:rsidRPr="0049394D" w:rsidRDefault="00316A59" w:rsidP="004610BF">
            <w:pPr>
              <w:pStyle w:val="TableText0"/>
              <w:jc w:val="center"/>
              <w:rPr>
                <w:iCs/>
              </w:rPr>
            </w:pPr>
            <w:r w:rsidRPr="0049394D">
              <w:rPr>
                <w:iCs/>
              </w:rPr>
              <w:t>-0.320</w:t>
            </w:r>
          </w:p>
        </w:tc>
        <w:tc>
          <w:tcPr>
            <w:tcW w:w="1162" w:type="dxa"/>
            <w:vAlign w:val="center"/>
          </w:tcPr>
          <w:p w14:paraId="54CAF36F" w14:textId="77777777" w:rsidR="00316A59" w:rsidRPr="0049394D" w:rsidRDefault="00316A59" w:rsidP="004610BF">
            <w:pPr>
              <w:pStyle w:val="TableText0"/>
              <w:jc w:val="center"/>
              <w:rPr>
                <w:iCs/>
              </w:rPr>
            </w:pPr>
            <w:r w:rsidRPr="0049394D">
              <w:rPr>
                <w:iCs/>
              </w:rPr>
              <w:t>-7.7%</w:t>
            </w:r>
          </w:p>
        </w:tc>
        <w:tc>
          <w:tcPr>
            <w:tcW w:w="1162" w:type="dxa"/>
            <w:vAlign w:val="center"/>
          </w:tcPr>
          <w:p w14:paraId="08E9C989" w14:textId="77777777" w:rsidR="00316A59" w:rsidRPr="0049394D" w:rsidRDefault="00316A59" w:rsidP="004610BF">
            <w:pPr>
              <w:pStyle w:val="TableText0"/>
              <w:jc w:val="center"/>
              <w:rPr>
                <w:iCs/>
              </w:rPr>
            </w:pPr>
            <w:r w:rsidRPr="0049394D">
              <w:rPr>
                <w:iCs/>
              </w:rPr>
              <w:t>-0.461</w:t>
            </w:r>
          </w:p>
        </w:tc>
        <w:tc>
          <w:tcPr>
            <w:tcW w:w="1162" w:type="dxa"/>
            <w:vAlign w:val="center"/>
          </w:tcPr>
          <w:p w14:paraId="0BE548F1" w14:textId="77777777" w:rsidR="00316A59" w:rsidRPr="0049394D" w:rsidRDefault="00316A59" w:rsidP="004610BF">
            <w:pPr>
              <w:pStyle w:val="TableText0"/>
              <w:jc w:val="center"/>
              <w:rPr>
                <w:iCs/>
              </w:rPr>
            </w:pPr>
            <w:r w:rsidRPr="0049394D">
              <w:rPr>
                <w:iCs/>
              </w:rPr>
              <w:t>-10.7%</w:t>
            </w:r>
          </w:p>
        </w:tc>
        <w:tc>
          <w:tcPr>
            <w:tcW w:w="1162" w:type="dxa"/>
            <w:vAlign w:val="center"/>
          </w:tcPr>
          <w:p w14:paraId="762BF38E" w14:textId="77777777" w:rsidR="00316A59" w:rsidRPr="0049394D" w:rsidRDefault="00316A59" w:rsidP="004610BF">
            <w:pPr>
              <w:pStyle w:val="TableText0"/>
              <w:jc w:val="center"/>
              <w:rPr>
                <w:iCs/>
              </w:rPr>
            </w:pPr>
            <w:r w:rsidRPr="0049394D">
              <w:rPr>
                <w:iCs/>
              </w:rPr>
              <w:t>-0.340</w:t>
            </w:r>
          </w:p>
        </w:tc>
        <w:tc>
          <w:tcPr>
            <w:tcW w:w="1163" w:type="dxa"/>
            <w:vAlign w:val="center"/>
          </w:tcPr>
          <w:p w14:paraId="0F2B7CA9" w14:textId="77777777" w:rsidR="00316A59" w:rsidRPr="0049394D" w:rsidRDefault="00316A59" w:rsidP="004610BF">
            <w:pPr>
              <w:pStyle w:val="TableText0"/>
              <w:jc w:val="center"/>
              <w:rPr>
                <w:iCs/>
              </w:rPr>
            </w:pPr>
            <w:r w:rsidRPr="0049394D">
              <w:rPr>
                <w:iCs/>
              </w:rPr>
              <w:t>-6.6%</w:t>
            </w:r>
          </w:p>
        </w:tc>
      </w:tr>
      <w:tr w:rsidR="00A91F14" w:rsidRPr="0049394D" w14:paraId="4F153AB6" w14:textId="77777777" w:rsidTr="004610BF">
        <w:tc>
          <w:tcPr>
            <w:tcW w:w="2044" w:type="dxa"/>
          </w:tcPr>
          <w:p w14:paraId="239B91CF" w14:textId="77777777" w:rsidR="00316A59" w:rsidRPr="0049394D" w:rsidRDefault="00316A59" w:rsidP="00052468">
            <w:pPr>
              <w:pStyle w:val="TableText0"/>
              <w:rPr>
                <w:b/>
                <w:bCs w:val="0"/>
              </w:rPr>
            </w:pPr>
            <w:r w:rsidRPr="0049394D">
              <w:rPr>
                <w:b/>
                <w:bCs w:val="0"/>
              </w:rPr>
              <w:t>Total</w:t>
            </w:r>
          </w:p>
        </w:tc>
        <w:tc>
          <w:tcPr>
            <w:tcW w:w="1162" w:type="dxa"/>
            <w:vAlign w:val="center"/>
          </w:tcPr>
          <w:p w14:paraId="22356E5E" w14:textId="77777777" w:rsidR="00316A59" w:rsidRPr="0049394D" w:rsidRDefault="00316A59" w:rsidP="004610BF">
            <w:pPr>
              <w:pStyle w:val="TableText0"/>
              <w:jc w:val="center"/>
              <w:rPr>
                <w:b/>
                <w:bCs w:val="0"/>
                <w:iCs/>
              </w:rPr>
            </w:pPr>
            <w:r w:rsidRPr="0049394D">
              <w:rPr>
                <w:b/>
                <w:bCs w:val="0"/>
                <w:iCs/>
              </w:rPr>
              <w:t>4.172</w:t>
            </w:r>
          </w:p>
        </w:tc>
        <w:tc>
          <w:tcPr>
            <w:tcW w:w="1162" w:type="dxa"/>
            <w:vAlign w:val="center"/>
          </w:tcPr>
          <w:p w14:paraId="76D7E084" w14:textId="77777777" w:rsidR="00316A59" w:rsidRPr="0049394D" w:rsidRDefault="00316A59" w:rsidP="004610BF">
            <w:pPr>
              <w:pStyle w:val="TableText0"/>
              <w:jc w:val="center"/>
              <w:rPr>
                <w:b/>
                <w:bCs w:val="0"/>
                <w:iCs/>
              </w:rPr>
            </w:pPr>
            <w:r w:rsidRPr="0049394D">
              <w:rPr>
                <w:b/>
                <w:bCs w:val="0"/>
                <w:iCs/>
              </w:rPr>
              <w:t>100.0%</w:t>
            </w:r>
          </w:p>
        </w:tc>
        <w:tc>
          <w:tcPr>
            <w:tcW w:w="1162" w:type="dxa"/>
            <w:vAlign w:val="center"/>
          </w:tcPr>
          <w:p w14:paraId="52CD1606" w14:textId="77777777" w:rsidR="00316A59" w:rsidRPr="0049394D" w:rsidRDefault="00316A59" w:rsidP="004610BF">
            <w:pPr>
              <w:pStyle w:val="TableText0"/>
              <w:jc w:val="center"/>
              <w:rPr>
                <w:b/>
                <w:bCs w:val="0"/>
                <w:iCs/>
              </w:rPr>
            </w:pPr>
            <w:r w:rsidRPr="0049394D">
              <w:rPr>
                <w:b/>
                <w:bCs w:val="0"/>
                <w:iCs/>
              </w:rPr>
              <w:t>4.302</w:t>
            </w:r>
          </w:p>
        </w:tc>
        <w:tc>
          <w:tcPr>
            <w:tcW w:w="1162" w:type="dxa"/>
            <w:vAlign w:val="center"/>
          </w:tcPr>
          <w:p w14:paraId="20D2B794" w14:textId="77777777" w:rsidR="00316A59" w:rsidRPr="0049394D" w:rsidRDefault="00316A59" w:rsidP="004610BF">
            <w:pPr>
              <w:pStyle w:val="TableText0"/>
              <w:jc w:val="center"/>
              <w:rPr>
                <w:b/>
                <w:bCs w:val="0"/>
                <w:iCs/>
              </w:rPr>
            </w:pPr>
            <w:r w:rsidRPr="0049394D">
              <w:rPr>
                <w:b/>
                <w:bCs w:val="0"/>
                <w:iCs/>
              </w:rPr>
              <w:t>100.0%</w:t>
            </w:r>
          </w:p>
        </w:tc>
        <w:tc>
          <w:tcPr>
            <w:tcW w:w="1162" w:type="dxa"/>
            <w:vAlign w:val="center"/>
          </w:tcPr>
          <w:p w14:paraId="4ED9629C" w14:textId="77777777" w:rsidR="00316A59" w:rsidRPr="0049394D" w:rsidRDefault="00316A59" w:rsidP="004610BF">
            <w:pPr>
              <w:pStyle w:val="TableText0"/>
              <w:jc w:val="center"/>
              <w:rPr>
                <w:b/>
                <w:bCs w:val="0"/>
                <w:iCs/>
              </w:rPr>
            </w:pPr>
            <w:r w:rsidRPr="0049394D">
              <w:rPr>
                <w:b/>
                <w:bCs w:val="0"/>
                <w:iCs/>
              </w:rPr>
              <w:t>5.142</w:t>
            </w:r>
          </w:p>
        </w:tc>
        <w:tc>
          <w:tcPr>
            <w:tcW w:w="1163" w:type="dxa"/>
            <w:vAlign w:val="center"/>
          </w:tcPr>
          <w:p w14:paraId="04A8DD35" w14:textId="77777777" w:rsidR="00316A59" w:rsidRPr="0049394D" w:rsidRDefault="00316A59" w:rsidP="004610BF">
            <w:pPr>
              <w:pStyle w:val="TableText0"/>
              <w:jc w:val="center"/>
              <w:rPr>
                <w:b/>
                <w:bCs w:val="0"/>
                <w:iCs/>
              </w:rPr>
            </w:pPr>
            <w:r w:rsidRPr="0049394D">
              <w:rPr>
                <w:b/>
                <w:bCs w:val="0"/>
                <w:iCs/>
              </w:rPr>
              <w:t>100.0%</w:t>
            </w:r>
          </w:p>
        </w:tc>
      </w:tr>
      <w:tr w:rsidR="00A91F14" w:rsidRPr="0049394D" w14:paraId="718F9F76" w14:textId="77777777" w:rsidTr="004610BF">
        <w:tc>
          <w:tcPr>
            <w:tcW w:w="9017" w:type="dxa"/>
            <w:gridSpan w:val="7"/>
            <w:vAlign w:val="center"/>
          </w:tcPr>
          <w:p w14:paraId="37ED1A0C" w14:textId="77777777" w:rsidR="00316A59" w:rsidRPr="0049394D" w:rsidRDefault="00316A59" w:rsidP="004610BF">
            <w:pPr>
              <w:pStyle w:val="TableText0"/>
              <w:rPr>
                <w:b/>
                <w:bCs w:val="0"/>
              </w:rPr>
            </w:pPr>
            <w:r w:rsidRPr="0049394D">
              <w:rPr>
                <w:b/>
                <w:bCs w:val="0"/>
              </w:rPr>
              <w:t>QALYs</w:t>
            </w:r>
          </w:p>
        </w:tc>
      </w:tr>
      <w:tr w:rsidR="00A91F14" w:rsidRPr="0049394D" w14:paraId="17A21E16" w14:textId="77777777" w:rsidTr="004610BF">
        <w:tc>
          <w:tcPr>
            <w:tcW w:w="2044" w:type="dxa"/>
          </w:tcPr>
          <w:p w14:paraId="766C1973" w14:textId="77777777" w:rsidR="00316A59" w:rsidRPr="0049394D" w:rsidRDefault="00316A59" w:rsidP="00052468">
            <w:pPr>
              <w:pStyle w:val="TableText0"/>
            </w:pPr>
            <w:r w:rsidRPr="0049394D">
              <w:t>Pre-surgery</w:t>
            </w:r>
          </w:p>
        </w:tc>
        <w:tc>
          <w:tcPr>
            <w:tcW w:w="1162" w:type="dxa"/>
            <w:vAlign w:val="center"/>
          </w:tcPr>
          <w:p w14:paraId="2C19376E" w14:textId="77777777" w:rsidR="00316A59" w:rsidRPr="0049394D" w:rsidRDefault="00316A59" w:rsidP="004610BF">
            <w:pPr>
              <w:pStyle w:val="TableText0"/>
              <w:jc w:val="center"/>
              <w:rPr>
                <w:iCs/>
              </w:rPr>
            </w:pPr>
            <w:r w:rsidRPr="0049394D">
              <w:rPr>
                <w:iCs/>
              </w:rPr>
              <w:t>3.486</w:t>
            </w:r>
          </w:p>
        </w:tc>
        <w:tc>
          <w:tcPr>
            <w:tcW w:w="1162" w:type="dxa"/>
            <w:vAlign w:val="center"/>
          </w:tcPr>
          <w:p w14:paraId="5E704B1B" w14:textId="77777777" w:rsidR="00316A59" w:rsidRPr="0049394D" w:rsidRDefault="00316A59" w:rsidP="004610BF">
            <w:pPr>
              <w:pStyle w:val="TableText0"/>
              <w:jc w:val="center"/>
              <w:rPr>
                <w:iCs/>
              </w:rPr>
            </w:pPr>
            <w:r w:rsidRPr="0049394D">
              <w:rPr>
                <w:iCs/>
              </w:rPr>
              <w:t>96.0%</w:t>
            </w:r>
          </w:p>
        </w:tc>
        <w:tc>
          <w:tcPr>
            <w:tcW w:w="1162" w:type="dxa"/>
            <w:vAlign w:val="center"/>
          </w:tcPr>
          <w:p w14:paraId="14FE23FA" w14:textId="77777777" w:rsidR="00316A59" w:rsidRPr="0049394D" w:rsidRDefault="00316A59" w:rsidP="004610BF">
            <w:pPr>
              <w:pStyle w:val="TableText0"/>
              <w:jc w:val="center"/>
              <w:rPr>
                <w:iCs/>
              </w:rPr>
            </w:pPr>
            <w:r w:rsidRPr="0049394D">
              <w:rPr>
                <w:iCs/>
              </w:rPr>
              <w:t>4.070</w:t>
            </w:r>
          </w:p>
        </w:tc>
        <w:tc>
          <w:tcPr>
            <w:tcW w:w="1162" w:type="dxa"/>
            <w:vAlign w:val="center"/>
          </w:tcPr>
          <w:p w14:paraId="74B6E723" w14:textId="77777777" w:rsidR="00316A59" w:rsidRPr="0049394D" w:rsidRDefault="00316A59" w:rsidP="004610BF">
            <w:pPr>
              <w:pStyle w:val="TableText0"/>
              <w:jc w:val="center"/>
              <w:rPr>
                <w:iCs/>
              </w:rPr>
            </w:pPr>
            <w:r w:rsidRPr="0049394D">
              <w:rPr>
                <w:iCs/>
              </w:rPr>
              <w:t>105.0%</w:t>
            </w:r>
          </w:p>
        </w:tc>
        <w:tc>
          <w:tcPr>
            <w:tcW w:w="1162" w:type="dxa"/>
            <w:vAlign w:val="center"/>
          </w:tcPr>
          <w:p w14:paraId="27CE2832" w14:textId="77777777" w:rsidR="00316A59" w:rsidRPr="0049394D" w:rsidRDefault="00316A59" w:rsidP="004610BF">
            <w:pPr>
              <w:pStyle w:val="TableText0"/>
              <w:jc w:val="center"/>
              <w:rPr>
                <w:iCs/>
              </w:rPr>
            </w:pPr>
            <w:r w:rsidRPr="0049394D">
              <w:rPr>
                <w:iCs/>
              </w:rPr>
              <w:t>4.369</w:t>
            </w:r>
          </w:p>
        </w:tc>
        <w:tc>
          <w:tcPr>
            <w:tcW w:w="1163" w:type="dxa"/>
            <w:vAlign w:val="center"/>
          </w:tcPr>
          <w:p w14:paraId="2AE8D105" w14:textId="77777777" w:rsidR="00316A59" w:rsidRPr="0049394D" w:rsidRDefault="00316A59" w:rsidP="004610BF">
            <w:pPr>
              <w:pStyle w:val="TableText0"/>
              <w:jc w:val="center"/>
              <w:rPr>
                <w:iCs/>
              </w:rPr>
            </w:pPr>
            <w:r w:rsidRPr="0049394D">
              <w:rPr>
                <w:iCs/>
              </w:rPr>
              <w:t>103.8%</w:t>
            </w:r>
          </w:p>
        </w:tc>
      </w:tr>
      <w:tr w:rsidR="00A91F14" w:rsidRPr="0049394D" w14:paraId="6F70EA44" w14:textId="77777777" w:rsidTr="004610BF">
        <w:tc>
          <w:tcPr>
            <w:tcW w:w="2044" w:type="dxa"/>
          </w:tcPr>
          <w:p w14:paraId="72C97086" w14:textId="77777777" w:rsidR="00316A59" w:rsidRPr="0049394D" w:rsidRDefault="00316A59" w:rsidP="00052468">
            <w:pPr>
              <w:pStyle w:val="TableText0"/>
            </w:pPr>
            <w:r w:rsidRPr="0049394D">
              <w:t>Surgery</w:t>
            </w:r>
          </w:p>
        </w:tc>
        <w:tc>
          <w:tcPr>
            <w:tcW w:w="1162" w:type="dxa"/>
            <w:vAlign w:val="center"/>
          </w:tcPr>
          <w:p w14:paraId="34EEBB11" w14:textId="77777777" w:rsidR="00316A59" w:rsidRPr="0049394D" w:rsidRDefault="00316A59" w:rsidP="004610BF">
            <w:pPr>
              <w:pStyle w:val="TableText0"/>
              <w:jc w:val="center"/>
              <w:rPr>
                <w:iCs/>
              </w:rPr>
            </w:pPr>
            <w:r w:rsidRPr="0049394D">
              <w:rPr>
                <w:iCs/>
              </w:rPr>
              <w:t>0.000</w:t>
            </w:r>
          </w:p>
        </w:tc>
        <w:tc>
          <w:tcPr>
            <w:tcW w:w="1162" w:type="dxa"/>
            <w:vAlign w:val="center"/>
          </w:tcPr>
          <w:p w14:paraId="458B54B7" w14:textId="77777777" w:rsidR="00316A59" w:rsidRPr="0049394D" w:rsidRDefault="00316A59" w:rsidP="004610BF">
            <w:pPr>
              <w:pStyle w:val="TableText0"/>
              <w:jc w:val="center"/>
              <w:rPr>
                <w:iCs/>
              </w:rPr>
            </w:pPr>
            <w:r w:rsidRPr="0049394D">
              <w:rPr>
                <w:iCs/>
              </w:rPr>
              <w:t>0.0%</w:t>
            </w:r>
          </w:p>
        </w:tc>
        <w:tc>
          <w:tcPr>
            <w:tcW w:w="1162" w:type="dxa"/>
            <w:vAlign w:val="center"/>
          </w:tcPr>
          <w:p w14:paraId="0D3DCCA5" w14:textId="77777777" w:rsidR="00316A59" w:rsidRPr="0049394D" w:rsidRDefault="00316A59" w:rsidP="004610BF">
            <w:pPr>
              <w:pStyle w:val="TableText0"/>
              <w:jc w:val="center"/>
              <w:rPr>
                <w:iCs/>
              </w:rPr>
            </w:pPr>
            <w:r w:rsidRPr="0049394D">
              <w:rPr>
                <w:iCs/>
              </w:rPr>
              <w:t>-0.001</w:t>
            </w:r>
          </w:p>
        </w:tc>
        <w:tc>
          <w:tcPr>
            <w:tcW w:w="1162" w:type="dxa"/>
            <w:vAlign w:val="center"/>
          </w:tcPr>
          <w:p w14:paraId="16E09974" w14:textId="77777777" w:rsidR="00316A59" w:rsidRPr="0049394D" w:rsidRDefault="00316A59" w:rsidP="004610BF">
            <w:pPr>
              <w:pStyle w:val="TableText0"/>
              <w:jc w:val="center"/>
              <w:rPr>
                <w:iCs/>
              </w:rPr>
            </w:pPr>
            <w:r w:rsidRPr="0049394D">
              <w:rPr>
                <w:iCs/>
              </w:rPr>
              <w:t>0.0%</w:t>
            </w:r>
          </w:p>
        </w:tc>
        <w:tc>
          <w:tcPr>
            <w:tcW w:w="1162" w:type="dxa"/>
            <w:vAlign w:val="center"/>
          </w:tcPr>
          <w:p w14:paraId="416BC3DE" w14:textId="77777777" w:rsidR="00316A59" w:rsidRPr="0049394D" w:rsidRDefault="00316A59" w:rsidP="004610BF">
            <w:pPr>
              <w:pStyle w:val="TableText0"/>
              <w:jc w:val="center"/>
              <w:rPr>
                <w:iCs/>
              </w:rPr>
            </w:pPr>
            <w:r w:rsidRPr="0049394D">
              <w:rPr>
                <w:iCs/>
              </w:rPr>
              <w:t>0.000</w:t>
            </w:r>
          </w:p>
        </w:tc>
        <w:tc>
          <w:tcPr>
            <w:tcW w:w="1163" w:type="dxa"/>
            <w:vAlign w:val="center"/>
          </w:tcPr>
          <w:p w14:paraId="5E45F57C" w14:textId="77777777" w:rsidR="00316A59" w:rsidRPr="0049394D" w:rsidRDefault="00316A59" w:rsidP="004610BF">
            <w:pPr>
              <w:pStyle w:val="TableText0"/>
              <w:jc w:val="center"/>
              <w:rPr>
                <w:iCs/>
              </w:rPr>
            </w:pPr>
            <w:r w:rsidRPr="0049394D">
              <w:rPr>
                <w:iCs/>
              </w:rPr>
              <w:t>0.0%</w:t>
            </w:r>
          </w:p>
        </w:tc>
      </w:tr>
      <w:tr w:rsidR="00A91F14" w:rsidRPr="0049394D" w14:paraId="5E7B7EE4" w14:textId="77777777" w:rsidTr="004610BF">
        <w:tc>
          <w:tcPr>
            <w:tcW w:w="2044" w:type="dxa"/>
          </w:tcPr>
          <w:p w14:paraId="1A429505" w14:textId="77777777" w:rsidR="00316A59" w:rsidRPr="0049394D" w:rsidRDefault="00316A59" w:rsidP="00052468">
            <w:pPr>
              <w:pStyle w:val="TableText0"/>
            </w:pPr>
            <w:r w:rsidRPr="0049394D">
              <w:t>EFS post-surgery</w:t>
            </w:r>
          </w:p>
        </w:tc>
        <w:tc>
          <w:tcPr>
            <w:tcW w:w="1162" w:type="dxa"/>
            <w:vAlign w:val="center"/>
          </w:tcPr>
          <w:p w14:paraId="075BAF0C" w14:textId="77777777" w:rsidR="00316A59" w:rsidRPr="0049394D" w:rsidRDefault="00316A59" w:rsidP="004610BF">
            <w:pPr>
              <w:pStyle w:val="TableText0"/>
              <w:jc w:val="center"/>
              <w:rPr>
                <w:iCs/>
              </w:rPr>
            </w:pPr>
            <w:r w:rsidRPr="0049394D">
              <w:rPr>
                <w:iCs/>
              </w:rPr>
              <w:t>-0.017</w:t>
            </w:r>
          </w:p>
        </w:tc>
        <w:tc>
          <w:tcPr>
            <w:tcW w:w="1162" w:type="dxa"/>
            <w:vAlign w:val="center"/>
          </w:tcPr>
          <w:p w14:paraId="635704BF" w14:textId="77777777" w:rsidR="00316A59" w:rsidRPr="0049394D" w:rsidRDefault="00316A59" w:rsidP="004610BF">
            <w:pPr>
              <w:pStyle w:val="TableText0"/>
              <w:jc w:val="center"/>
              <w:rPr>
                <w:iCs/>
              </w:rPr>
            </w:pPr>
            <w:r w:rsidRPr="0049394D">
              <w:rPr>
                <w:iCs/>
              </w:rPr>
              <w:t>-0.5%</w:t>
            </w:r>
          </w:p>
        </w:tc>
        <w:tc>
          <w:tcPr>
            <w:tcW w:w="1162" w:type="dxa"/>
            <w:vAlign w:val="center"/>
          </w:tcPr>
          <w:p w14:paraId="1C5E05BB" w14:textId="77777777" w:rsidR="00316A59" w:rsidRPr="0049394D" w:rsidRDefault="00316A59" w:rsidP="004610BF">
            <w:pPr>
              <w:pStyle w:val="TableText0"/>
              <w:jc w:val="center"/>
              <w:rPr>
                <w:iCs/>
              </w:rPr>
            </w:pPr>
            <w:r w:rsidRPr="0049394D">
              <w:rPr>
                <w:iCs/>
              </w:rPr>
              <w:t>-0.423</w:t>
            </w:r>
          </w:p>
        </w:tc>
        <w:tc>
          <w:tcPr>
            <w:tcW w:w="1162" w:type="dxa"/>
            <w:vAlign w:val="center"/>
          </w:tcPr>
          <w:p w14:paraId="5E0E9173" w14:textId="77777777" w:rsidR="00316A59" w:rsidRPr="0049394D" w:rsidRDefault="00316A59" w:rsidP="004610BF">
            <w:pPr>
              <w:pStyle w:val="TableText0"/>
              <w:jc w:val="center"/>
              <w:rPr>
                <w:iCs/>
              </w:rPr>
            </w:pPr>
            <w:r w:rsidRPr="0049394D">
              <w:rPr>
                <w:iCs/>
              </w:rPr>
              <w:t>-10.9%</w:t>
            </w:r>
          </w:p>
        </w:tc>
        <w:tc>
          <w:tcPr>
            <w:tcW w:w="1162" w:type="dxa"/>
            <w:vAlign w:val="center"/>
          </w:tcPr>
          <w:p w14:paraId="6FEEE3A8" w14:textId="77777777" w:rsidR="00316A59" w:rsidRPr="0049394D" w:rsidRDefault="00316A59" w:rsidP="004610BF">
            <w:pPr>
              <w:pStyle w:val="TableText0"/>
              <w:jc w:val="center"/>
              <w:rPr>
                <w:iCs/>
              </w:rPr>
            </w:pPr>
            <w:r w:rsidRPr="0049394D">
              <w:rPr>
                <w:iCs/>
              </w:rPr>
              <w:t>-0.008</w:t>
            </w:r>
          </w:p>
        </w:tc>
        <w:tc>
          <w:tcPr>
            <w:tcW w:w="1163" w:type="dxa"/>
            <w:vAlign w:val="center"/>
          </w:tcPr>
          <w:p w14:paraId="3AA0A00A" w14:textId="77777777" w:rsidR="00316A59" w:rsidRPr="0049394D" w:rsidRDefault="00316A59" w:rsidP="004610BF">
            <w:pPr>
              <w:pStyle w:val="TableText0"/>
              <w:jc w:val="center"/>
              <w:rPr>
                <w:iCs/>
              </w:rPr>
            </w:pPr>
            <w:r w:rsidRPr="0049394D">
              <w:rPr>
                <w:iCs/>
              </w:rPr>
              <w:t>-0.2%</w:t>
            </w:r>
          </w:p>
        </w:tc>
      </w:tr>
      <w:tr w:rsidR="00A91F14" w:rsidRPr="0049394D" w14:paraId="76C70936" w14:textId="77777777" w:rsidTr="004610BF">
        <w:tc>
          <w:tcPr>
            <w:tcW w:w="2044" w:type="dxa"/>
          </w:tcPr>
          <w:p w14:paraId="0C9581FB" w14:textId="77777777" w:rsidR="00316A59" w:rsidRPr="0049394D" w:rsidRDefault="00316A59" w:rsidP="00052468">
            <w:pPr>
              <w:pStyle w:val="TableText0"/>
            </w:pPr>
            <w:r w:rsidRPr="0049394D">
              <w:t>Metastatic disease</w:t>
            </w:r>
          </w:p>
        </w:tc>
        <w:tc>
          <w:tcPr>
            <w:tcW w:w="1162" w:type="dxa"/>
            <w:vAlign w:val="center"/>
          </w:tcPr>
          <w:p w14:paraId="5EA82F4E" w14:textId="77777777" w:rsidR="00316A59" w:rsidRPr="0049394D" w:rsidRDefault="00316A59" w:rsidP="004610BF">
            <w:pPr>
              <w:pStyle w:val="TableText0"/>
              <w:jc w:val="center"/>
              <w:rPr>
                <w:iCs/>
              </w:rPr>
            </w:pPr>
            <w:r w:rsidRPr="0049394D">
              <w:rPr>
                <w:iCs/>
              </w:rPr>
              <w:t>-0.143</w:t>
            </w:r>
          </w:p>
        </w:tc>
        <w:tc>
          <w:tcPr>
            <w:tcW w:w="1162" w:type="dxa"/>
            <w:vAlign w:val="center"/>
          </w:tcPr>
          <w:p w14:paraId="752BBB38" w14:textId="77777777" w:rsidR="00316A59" w:rsidRPr="0049394D" w:rsidRDefault="00316A59" w:rsidP="004610BF">
            <w:pPr>
              <w:pStyle w:val="TableText0"/>
              <w:jc w:val="center"/>
              <w:rPr>
                <w:iCs/>
              </w:rPr>
            </w:pPr>
            <w:r w:rsidRPr="0049394D">
              <w:rPr>
                <w:iCs/>
              </w:rPr>
              <w:t>-3.9%</w:t>
            </w:r>
          </w:p>
        </w:tc>
        <w:tc>
          <w:tcPr>
            <w:tcW w:w="1162" w:type="dxa"/>
            <w:vAlign w:val="center"/>
          </w:tcPr>
          <w:p w14:paraId="29BA4529" w14:textId="77777777" w:rsidR="00316A59" w:rsidRPr="0049394D" w:rsidRDefault="00316A59" w:rsidP="004610BF">
            <w:pPr>
              <w:pStyle w:val="TableText0"/>
              <w:jc w:val="center"/>
              <w:rPr>
                <w:iCs/>
              </w:rPr>
            </w:pPr>
            <w:r w:rsidRPr="0049394D">
              <w:rPr>
                <w:iCs/>
              </w:rPr>
              <w:t>-0.204</w:t>
            </w:r>
          </w:p>
        </w:tc>
        <w:tc>
          <w:tcPr>
            <w:tcW w:w="1162" w:type="dxa"/>
            <w:vAlign w:val="center"/>
          </w:tcPr>
          <w:p w14:paraId="69FC0C6F" w14:textId="77777777" w:rsidR="00316A59" w:rsidRPr="0049394D" w:rsidRDefault="00316A59" w:rsidP="004610BF">
            <w:pPr>
              <w:pStyle w:val="TableText0"/>
              <w:jc w:val="center"/>
              <w:rPr>
                <w:iCs/>
              </w:rPr>
            </w:pPr>
            <w:r w:rsidRPr="0049394D">
              <w:rPr>
                <w:iCs/>
              </w:rPr>
              <w:t>-5.3%</w:t>
            </w:r>
          </w:p>
        </w:tc>
        <w:tc>
          <w:tcPr>
            <w:tcW w:w="1162" w:type="dxa"/>
            <w:vAlign w:val="center"/>
          </w:tcPr>
          <w:p w14:paraId="0575F6AA" w14:textId="77777777" w:rsidR="00316A59" w:rsidRPr="0049394D" w:rsidRDefault="00316A59" w:rsidP="004610BF">
            <w:pPr>
              <w:pStyle w:val="TableText0"/>
              <w:jc w:val="center"/>
              <w:rPr>
                <w:iCs/>
              </w:rPr>
            </w:pPr>
            <w:r w:rsidRPr="0049394D">
              <w:rPr>
                <w:iCs/>
              </w:rPr>
              <w:t>-0.150</w:t>
            </w:r>
          </w:p>
        </w:tc>
        <w:tc>
          <w:tcPr>
            <w:tcW w:w="1163" w:type="dxa"/>
            <w:vAlign w:val="center"/>
          </w:tcPr>
          <w:p w14:paraId="1984804C" w14:textId="77777777" w:rsidR="00316A59" w:rsidRPr="0049394D" w:rsidRDefault="00316A59" w:rsidP="004610BF">
            <w:pPr>
              <w:pStyle w:val="TableText0"/>
              <w:jc w:val="center"/>
              <w:rPr>
                <w:iCs/>
              </w:rPr>
            </w:pPr>
            <w:r w:rsidRPr="0049394D">
              <w:rPr>
                <w:iCs/>
              </w:rPr>
              <w:t>-3.6%</w:t>
            </w:r>
          </w:p>
        </w:tc>
      </w:tr>
      <w:tr w:rsidR="00A91F14" w:rsidRPr="0049394D" w14:paraId="7D2C755B" w14:textId="77777777" w:rsidTr="004610BF">
        <w:tc>
          <w:tcPr>
            <w:tcW w:w="2044" w:type="dxa"/>
          </w:tcPr>
          <w:p w14:paraId="634CC6F2" w14:textId="77777777" w:rsidR="00316A59" w:rsidRPr="0049394D" w:rsidRDefault="00316A59" w:rsidP="00052468">
            <w:pPr>
              <w:pStyle w:val="TableText0"/>
            </w:pPr>
            <w:r w:rsidRPr="0049394D">
              <w:t>Surgery and surgical complication costs for model specific tumour</w:t>
            </w:r>
          </w:p>
        </w:tc>
        <w:tc>
          <w:tcPr>
            <w:tcW w:w="1162" w:type="dxa"/>
            <w:vAlign w:val="center"/>
          </w:tcPr>
          <w:p w14:paraId="1379162C" w14:textId="77777777" w:rsidR="00316A59" w:rsidRPr="0049394D" w:rsidRDefault="00316A59" w:rsidP="004610BF">
            <w:pPr>
              <w:pStyle w:val="TableText0"/>
              <w:jc w:val="center"/>
              <w:rPr>
                <w:iCs/>
              </w:rPr>
            </w:pPr>
            <w:r w:rsidRPr="0049394D">
              <w:rPr>
                <w:iCs/>
              </w:rPr>
              <w:t>0.064</w:t>
            </w:r>
          </w:p>
        </w:tc>
        <w:tc>
          <w:tcPr>
            <w:tcW w:w="1162" w:type="dxa"/>
            <w:vAlign w:val="center"/>
          </w:tcPr>
          <w:p w14:paraId="27544AD0" w14:textId="77777777" w:rsidR="00316A59" w:rsidRPr="0049394D" w:rsidRDefault="00316A59" w:rsidP="004610BF">
            <w:pPr>
              <w:pStyle w:val="TableText0"/>
              <w:jc w:val="center"/>
              <w:rPr>
                <w:iCs/>
              </w:rPr>
            </w:pPr>
            <w:r w:rsidRPr="0049394D">
              <w:rPr>
                <w:iCs/>
              </w:rPr>
              <w:t>1.8%</w:t>
            </w:r>
          </w:p>
        </w:tc>
        <w:tc>
          <w:tcPr>
            <w:tcW w:w="1162" w:type="dxa"/>
            <w:vAlign w:val="center"/>
          </w:tcPr>
          <w:p w14:paraId="67C6C336" w14:textId="77777777" w:rsidR="00316A59" w:rsidRPr="0049394D" w:rsidRDefault="00316A59" w:rsidP="004610BF">
            <w:pPr>
              <w:pStyle w:val="TableText0"/>
              <w:jc w:val="center"/>
              <w:rPr>
                <w:iCs/>
              </w:rPr>
            </w:pPr>
            <w:r w:rsidRPr="0049394D">
              <w:rPr>
                <w:iCs/>
              </w:rPr>
              <w:t>0.360</w:t>
            </w:r>
          </w:p>
        </w:tc>
        <w:tc>
          <w:tcPr>
            <w:tcW w:w="1162" w:type="dxa"/>
            <w:vAlign w:val="center"/>
          </w:tcPr>
          <w:p w14:paraId="4F3BCA8E" w14:textId="77777777" w:rsidR="00316A59" w:rsidRPr="0049394D" w:rsidRDefault="00316A59" w:rsidP="004610BF">
            <w:pPr>
              <w:pStyle w:val="TableText0"/>
              <w:jc w:val="center"/>
              <w:rPr>
                <w:iCs/>
              </w:rPr>
            </w:pPr>
            <w:r w:rsidRPr="0049394D">
              <w:rPr>
                <w:iCs/>
              </w:rPr>
              <w:t>9.3%</w:t>
            </w:r>
          </w:p>
        </w:tc>
        <w:tc>
          <w:tcPr>
            <w:tcW w:w="1162" w:type="dxa"/>
            <w:vAlign w:val="center"/>
          </w:tcPr>
          <w:p w14:paraId="43D67E8E" w14:textId="77777777" w:rsidR="00316A59" w:rsidRPr="0049394D" w:rsidRDefault="00316A59" w:rsidP="004610BF">
            <w:pPr>
              <w:pStyle w:val="TableText0"/>
              <w:jc w:val="center"/>
              <w:rPr>
                <w:iCs/>
              </w:rPr>
            </w:pPr>
            <w:r w:rsidRPr="0049394D">
              <w:rPr>
                <w:iCs/>
              </w:rPr>
              <w:t>0.001</w:t>
            </w:r>
          </w:p>
        </w:tc>
        <w:tc>
          <w:tcPr>
            <w:tcW w:w="1163" w:type="dxa"/>
            <w:vAlign w:val="center"/>
          </w:tcPr>
          <w:p w14:paraId="16C1E6AE" w14:textId="77777777" w:rsidR="00316A59" w:rsidRPr="0049394D" w:rsidRDefault="00316A59" w:rsidP="004610BF">
            <w:pPr>
              <w:pStyle w:val="TableText0"/>
              <w:jc w:val="center"/>
              <w:rPr>
                <w:iCs/>
              </w:rPr>
            </w:pPr>
            <w:r w:rsidRPr="0049394D">
              <w:rPr>
                <w:iCs/>
              </w:rPr>
              <w:t>0.0%</w:t>
            </w:r>
          </w:p>
        </w:tc>
      </w:tr>
      <w:tr w:rsidR="00A91F14" w:rsidRPr="0049394D" w14:paraId="6C11A578" w14:textId="77777777" w:rsidTr="004610BF">
        <w:tc>
          <w:tcPr>
            <w:tcW w:w="2044" w:type="dxa"/>
          </w:tcPr>
          <w:p w14:paraId="5881978C" w14:textId="77777777" w:rsidR="00316A59" w:rsidRPr="0049394D" w:rsidRDefault="00316A59" w:rsidP="00052468">
            <w:pPr>
              <w:pStyle w:val="TableText0"/>
            </w:pPr>
            <w:r w:rsidRPr="0049394D">
              <w:t>Surgery and surgical complication costs for other tumours</w:t>
            </w:r>
          </w:p>
        </w:tc>
        <w:tc>
          <w:tcPr>
            <w:tcW w:w="1162" w:type="dxa"/>
            <w:vAlign w:val="center"/>
          </w:tcPr>
          <w:p w14:paraId="7E9FC6B3" w14:textId="77777777" w:rsidR="00316A59" w:rsidRPr="0049394D" w:rsidRDefault="00316A59" w:rsidP="004610BF">
            <w:pPr>
              <w:pStyle w:val="TableText0"/>
              <w:jc w:val="center"/>
              <w:rPr>
                <w:iCs/>
              </w:rPr>
            </w:pPr>
            <w:r w:rsidRPr="0049394D">
              <w:rPr>
                <w:iCs/>
              </w:rPr>
              <w:t>0.244</w:t>
            </w:r>
          </w:p>
        </w:tc>
        <w:tc>
          <w:tcPr>
            <w:tcW w:w="1162" w:type="dxa"/>
            <w:vAlign w:val="center"/>
          </w:tcPr>
          <w:p w14:paraId="5296AFFF" w14:textId="77777777" w:rsidR="00316A59" w:rsidRPr="0049394D" w:rsidRDefault="00316A59" w:rsidP="004610BF">
            <w:pPr>
              <w:pStyle w:val="TableText0"/>
              <w:jc w:val="center"/>
              <w:rPr>
                <w:iCs/>
              </w:rPr>
            </w:pPr>
            <w:r w:rsidRPr="0049394D">
              <w:rPr>
                <w:iCs/>
              </w:rPr>
              <w:t>6.7%</w:t>
            </w:r>
          </w:p>
        </w:tc>
        <w:tc>
          <w:tcPr>
            <w:tcW w:w="1162" w:type="dxa"/>
            <w:vAlign w:val="center"/>
          </w:tcPr>
          <w:p w14:paraId="79EAA3EC" w14:textId="77777777" w:rsidR="00316A59" w:rsidRPr="0049394D" w:rsidRDefault="00316A59" w:rsidP="004610BF">
            <w:pPr>
              <w:pStyle w:val="TableText0"/>
              <w:jc w:val="center"/>
              <w:rPr>
                <w:iCs/>
              </w:rPr>
            </w:pPr>
            <w:r w:rsidRPr="0049394D">
              <w:rPr>
                <w:iCs/>
              </w:rPr>
              <w:t>0.077</w:t>
            </w:r>
          </w:p>
        </w:tc>
        <w:tc>
          <w:tcPr>
            <w:tcW w:w="1162" w:type="dxa"/>
            <w:vAlign w:val="center"/>
          </w:tcPr>
          <w:p w14:paraId="399F9038" w14:textId="77777777" w:rsidR="00316A59" w:rsidRPr="0049394D" w:rsidRDefault="00316A59" w:rsidP="004610BF">
            <w:pPr>
              <w:pStyle w:val="TableText0"/>
              <w:jc w:val="center"/>
              <w:rPr>
                <w:iCs/>
              </w:rPr>
            </w:pPr>
            <w:r w:rsidRPr="0049394D">
              <w:rPr>
                <w:iCs/>
              </w:rPr>
              <w:t>2.0%</w:t>
            </w:r>
          </w:p>
        </w:tc>
        <w:tc>
          <w:tcPr>
            <w:tcW w:w="1162" w:type="dxa"/>
            <w:vAlign w:val="center"/>
          </w:tcPr>
          <w:p w14:paraId="396C7502" w14:textId="77777777" w:rsidR="00316A59" w:rsidRPr="0049394D" w:rsidRDefault="00316A59" w:rsidP="004610BF">
            <w:pPr>
              <w:pStyle w:val="TableText0"/>
              <w:jc w:val="center"/>
              <w:rPr>
                <w:iCs/>
              </w:rPr>
            </w:pPr>
            <w:r w:rsidRPr="0049394D">
              <w:rPr>
                <w:iCs/>
              </w:rPr>
              <w:t>-0.002</w:t>
            </w:r>
          </w:p>
        </w:tc>
        <w:tc>
          <w:tcPr>
            <w:tcW w:w="1163" w:type="dxa"/>
            <w:vAlign w:val="center"/>
          </w:tcPr>
          <w:p w14:paraId="10D19E34" w14:textId="77777777" w:rsidR="00316A59" w:rsidRPr="0049394D" w:rsidRDefault="00316A59" w:rsidP="004610BF">
            <w:pPr>
              <w:pStyle w:val="TableText0"/>
              <w:jc w:val="center"/>
              <w:rPr>
                <w:iCs/>
              </w:rPr>
            </w:pPr>
            <w:r w:rsidRPr="0049394D">
              <w:rPr>
                <w:iCs/>
              </w:rPr>
              <w:t>0.0%</w:t>
            </w:r>
          </w:p>
        </w:tc>
      </w:tr>
      <w:tr w:rsidR="00A91F14" w:rsidRPr="0049394D" w14:paraId="133B9766" w14:textId="77777777" w:rsidTr="004610BF">
        <w:tc>
          <w:tcPr>
            <w:tcW w:w="2044" w:type="dxa"/>
          </w:tcPr>
          <w:p w14:paraId="54F47663" w14:textId="77777777" w:rsidR="00316A59" w:rsidRPr="0049394D" w:rsidRDefault="00316A59" w:rsidP="00052468">
            <w:pPr>
              <w:pStyle w:val="TableText0"/>
            </w:pPr>
            <w:r w:rsidRPr="0049394D">
              <w:t>AE-related disutility</w:t>
            </w:r>
          </w:p>
        </w:tc>
        <w:tc>
          <w:tcPr>
            <w:tcW w:w="1162" w:type="dxa"/>
            <w:vAlign w:val="center"/>
          </w:tcPr>
          <w:p w14:paraId="416EA016" w14:textId="77777777" w:rsidR="00316A59" w:rsidRPr="0049394D" w:rsidRDefault="00316A59" w:rsidP="004610BF">
            <w:pPr>
              <w:pStyle w:val="TableText0"/>
              <w:jc w:val="center"/>
              <w:rPr>
                <w:iCs/>
              </w:rPr>
            </w:pPr>
            <w:r w:rsidRPr="0049394D">
              <w:rPr>
                <w:iCs/>
              </w:rPr>
              <w:t>-0.001</w:t>
            </w:r>
          </w:p>
        </w:tc>
        <w:tc>
          <w:tcPr>
            <w:tcW w:w="1162" w:type="dxa"/>
            <w:vAlign w:val="center"/>
          </w:tcPr>
          <w:p w14:paraId="4C0049F4" w14:textId="77777777" w:rsidR="00316A59" w:rsidRPr="0049394D" w:rsidRDefault="00316A59" w:rsidP="004610BF">
            <w:pPr>
              <w:pStyle w:val="TableText0"/>
              <w:jc w:val="center"/>
              <w:rPr>
                <w:iCs/>
              </w:rPr>
            </w:pPr>
            <w:r w:rsidRPr="0049394D">
              <w:rPr>
                <w:iCs/>
              </w:rPr>
              <w:t>0.0%</w:t>
            </w:r>
          </w:p>
        </w:tc>
        <w:tc>
          <w:tcPr>
            <w:tcW w:w="1162" w:type="dxa"/>
            <w:vAlign w:val="center"/>
          </w:tcPr>
          <w:p w14:paraId="4221E6F0" w14:textId="77777777" w:rsidR="00316A59" w:rsidRPr="0049394D" w:rsidRDefault="00316A59" w:rsidP="004610BF">
            <w:pPr>
              <w:pStyle w:val="TableText0"/>
              <w:jc w:val="center"/>
              <w:rPr>
                <w:iCs/>
              </w:rPr>
            </w:pPr>
            <w:r w:rsidRPr="0049394D">
              <w:rPr>
                <w:iCs/>
              </w:rPr>
              <w:t>-0.001</w:t>
            </w:r>
          </w:p>
        </w:tc>
        <w:tc>
          <w:tcPr>
            <w:tcW w:w="1162" w:type="dxa"/>
            <w:vAlign w:val="center"/>
          </w:tcPr>
          <w:p w14:paraId="29A5621A" w14:textId="77777777" w:rsidR="00316A59" w:rsidRPr="0049394D" w:rsidRDefault="00316A59" w:rsidP="004610BF">
            <w:pPr>
              <w:pStyle w:val="TableText0"/>
              <w:jc w:val="center"/>
              <w:rPr>
                <w:iCs/>
              </w:rPr>
            </w:pPr>
            <w:r w:rsidRPr="0049394D">
              <w:rPr>
                <w:iCs/>
              </w:rPr>
              <w:t>0.0%</w:t>
            </w:r>
          </w:p>
        </w:tc>
        <w:tc>
          <w:tcPr>
            <w:tcW w:w="1162" w:type="dxa"/>
            <w:vAlign w:val="center"/>
          </w:tcPr>
          <w:p w14:paraId="48B13BEA" w14:textId="77777777" w:rsidR="00316A59" w:rsidRPr="0049394D" w:rsidRDefault="00316A59" w:rsidP="004610BF">
            <w:pPr>
              <w:pStyle w:val="TableText0"/>
              <w:jc w:val="center"/>
              <w:rPr>
                <w:iCs/>
              </w:rPr>
            </w:pPr>
            <w:r w:rsidRPr="0049394D">
              <w:rPr>
                <w:iCs/>
              </w:rPr>
              <w:t>-0.001</w:t>
            </w:r>
          </w:p>
        </w:tc>
        <w:tc>
          <w:tcPr>
            <w:tcW w:w="1163" w:type="dxa"/>
            <w:vAlign w:val="center"/>
          </w:tcPr>
          <w:p w14:paraId="525449E3" w14:textId="77777777" w:rsidR="00316A59" w:rsidRPr="0049394D" w:rsidRDefault="00316A59" w:rsidP="004610BF">
            <w:pPr>
              <w:pStyle w:val="TableText0"/>
              <w:jc w:val="center"/>
              <w:rPr>
                <w:iCs/>
              </w:rPr>
            </w:pPr>
            <w:r w:rsidRPr="0049394D">
              <w:rPr>
                <w:iCs/>
              </w:rPr>
              <w:t>0.0%</w:t>
            </w:r>
          </w:p>
        </w:tc>
      </w:tr>
      <w:tr w:rsidR="00A91F14" w:rsidRPr="0049394D" w14:paraId="30D3599A" w14:textId="77777777" w:rsidTr="004610BF">
        <w:tc>
          <w:tcPr>
            <w:tcW w:w="2044" w:type="dxa"/>
          </w:tcPr>
          <w:p w14:paraId="45B5328B" w14:textId="77777777" w:rsidR="00316A59" w:rsidRPr="0049394D" w:rsidRDefault="00316A59" w:rsidP="00052468">
            <w:pPr>
              <w:pStyle w:val="TableText0"/>
              <w:rPr>
                <w:b/>
                <w:bCs w:val="0"/>
              </w:rPr>
            </w:pPr>
            <w:r w:rsidRPr="0049394D">
              <w:rPr>
                <w:b/>
                <w:bCs w:val="0"/>
              </w:rPr>
              <w:t>Total</w:t>
            </w:r>
          </w:p>
        </w:tc>
        <w:tc>
          <w:tcPr>
            <w:tcW w:w="1162" w:type="dxa"/>
            <w:vAlign w:val="center"/>
          </w:tcPr>
          <w:p w14:paraId="5360C9A6" w14:textId="77777777" w:rsidR="00316A59" w:rsidRPr="0049394D" w:rsidRDefault="00316A59" w:rsidP="004610BF">
            <w:pPr>
              <w:pStyle w:val="TableText0"/>
              <w:jc w:val="center"/>
              <w:rPr>
                <w:b/>
                <w:bCs w:val="0"/>
                <w:iCs/>
              </w:rPr>
            </w:pPr>
            <w:r w:rsidRPr="0049394D">
              <w:rPr>
                <w:b/>
                <w:bCs w:val="0"/>
                <w:iCs/>
              </w:rPr>
              <w:t>3.633</w:t>
            </w:r>
          </w:p>
        </w:tc>
        <w:tc>
          <w:tcPr>
            <w:tcW w:w="1162" w:type="dxa"/>
            <w:vAlign w:val="center"/>
          </w:tcPr>
          <w:p w14:paraId="4324C643" w14:textId="77777777" w:rsidR="00316A59" w:rsidRPr="0049394D" w:rsidRDefault="00316A59" w:rsidP="004610BF">
            <w:pPr>
              <w:pStyle w:val="TableText0"/>
              <w:jc w:val="center"/>
              <w:rPr>
                <w:b/>
                <w:bCs w:val="0"/>
                <w:iCs/>
              </w:rPr>
            </w:pPr>
            <w:r w:rsidRPr="0049394D">
              <w:rPr>
                <w:b/>
                <w:bCs w:val="0"/>
                <w:iCs/>
              </w:rPr>
              <w:t>100.0%</w:t>
            </w:r>
          </w:p>
        </w:tc>
        <w:tc>
          <w:tcPr>
            <w:tcW w:w="1162" w:type="dxa"/>
            <w:vAlign w:val="center"/>
          </w:tcPr>
          <w:p w14:paraId="74D6D3D3" w14:textId="77777777" w:rsidR="00316A59" w:rsidRPr="0049394D" w:rsidRDefault="00316A59" w:rsidP="004610BF">
            <w:pPr>
              <w:pStyle w:val="TableText0"/>
              <w:jc w:val="center"/>
              <w:rPr>
                <w:b/>
                <w:bCs w:val="0"/>
                <w:iCs/>
              </w:rPr>
            </w:pPr>
            <w:r w:rsidRPr="0049394D">
              <w:rPr>
                <w:b/>
                <w:bCs w:val="0"/>
                <w:iCs/>
              </w:rPr>
              <w:t>3.878</w:t>
            </w:r>
          </w:p>
        </w:tc>
        <w:tc>
          <w:tcPr>
            <w:tcW w:w="1162" w:type="dxa"/>
            <w:vAlign w:val="center"/>
          </w:tcPr>
          <w:p w14:paraId="70893D89" w14:textId="77777777" w:rsidR="00316A59" w:rsidRPr="0049394D" w:rsidRDefault="00316A59" w:rsidP="004610BF">
            <w:pPr>
              <w:pStyle w:val="TableText0"/>
              <w:jc w:val="center"/>
              <w:rPr>
                <w:b/>
                <w:bCs w:val="0"/>
                <w:iCs/>
              </w:rPr>
            </w:pPr>
            <w:r w:rsidRPr="0049394D">
              <w:rPr>
                <w:b/>
                <w:bCs w:val="0"/>
                <w:iCs/>
              </w:rPr>
              <w:t>100.0%</w:t>
            </w:r>
          </w:p>
        </w:tc>
        <w:tc>
          <w:tcPr>
            <w:tcW w:w="1162" w:type="dxa"/>
            <w:vAlign w:val="center"/>
          </w:tcPr>
          <w:p w14:paraId="5C0AA296" w14:textId="77777777" w:rsidR="00316A59" w:rsidRPr="0049394D" w:rsidRDefault="00316A59" w:rsidP="004610BF">
            <w:pPr>
              <w:pStyle w:val="TableText0"/>
              <w:jc w:val="center"/>
              <w:rPr>
                <w:b/>
                <w:bCs w:val="0"/>
                <w:iCs/>
              </w:rPr>
            </w:pPr>
            <w:r w:rsidRPr="0049394D">
              <w:rPr>
                <w:b/>
                <w:bCs w:val="0"/>
                <w:iCs/>
              </w:rPr>
              <w:t>4.209</w:t>
            </w:r>
          </w:p>
        </w:tc>
        <w:tc>
          <w:tcPr>
            <w:tcW w:w="1163" w:type="dxa"/>
            <w:vAlign w:val="center"/>
          </w:tcPr>
          <w:p w14:paraId="1F0C2B09" w14:textId="77777777" w:rsidR="00316A59" w:rsidRPr="0049394D" w:rsidRDefault="00316A59" w:rsidP="004610BF">
            <w:pPr>
              <w:pStyle w:val="TableText0"/>
              <w:jc w:val="center"/>
              <w:rPr>
                <w:b/>
                <w:bCs w:val="0"/>
                <w:iCs/>
              </w:rPr>
            </w:pPr>
            <w:r w:rsidRPr="0049394D">
              <w:rPr>
                <w:b/>
                <w:bCs w:val="0"/>
                <w:iCs/>
              </w:rPr>
              <w:t>100.0%</w:t>
            </w:r>
          </w:p>
        </w:tc>
      </w:tr>
      <w:tr w:rsidR="00A91F14" w:rsidRPr="0049394D" w14:paraId="2DED0AFE" w14:textId="77777777" w:rsidTr="004610BF">
        <w:tc>
          <w:tcPr>
            <w:tcW w:w="9017" w:type="dxa"/>
            <w:gridSpan w:val="7"/>
            <w:vAlign w:val="center"/>
          </w:tcPr>
          <w:p w14:paraId="7AEA7B6B" w14:textId="77777777" w:rsidR="00316A59" w:rsidRPr="0049394D" w:rsidRDefault="00316A59" w:rsidP="004610BF">
            <w:pPr>
              <w:pStyle w:val="TableText0"/>
              <w:rPr>
                <w:b/>
                <w:bCs w:val="0"/>
                <w:iCs/>
              </w:rPr>
            </w:pPr>
            <w:r w:rsidRPr="0049394D">
              <w:rPr>
                <w:b/>
                <w:bCs w:val="0"/>
                <w:iCs/>
              </w:rPr>
              <w:t>Number of surgeries</w:t>
            </w:r>
          </w:p>
        </w:tc>
      </w:tr>
      <w:tr w:rsidR="00A91F14" w:rsidRPr="0049394D" w14:paraId="52013B08" w14:textId="77777777" w:rsidTr="004610BF">
        <w:tc>
          <w:tcPr>
            <w:tcW w:w="2044" w:type="dxa"/>
          </w:tcPr>
          <w:p w14:paraId="296550DC" w14:textId="77777777" w:rsidR="00316A59" w:rsidRPr="0049394D" w:rsidRDefault="00316A59" w:rsidP="00052468">
            <w:pPr>
              <w:pStyle w:val="TableText0"/>
              <w:rPr>
                <w:iCs/>
              </w:rPr>
            </w:pPr>
            <w:r w:rsidRPr="0049394D">
              <w:rPr>
                <w:iCs/>
              </w:rPr>
              <w:t>RCC</w:t>
            </w:r>
          </w:p>
        </w:tc>
        <w:tc>
          <w:tcPr>
            <w:tcW w:w="1162" w:type="dxa"/>
            <w:vAlign w:val="center"/>
          </w:tcPr>
          <w:p w14:paraId="2EDBC5D0" w14:textId="77777777" w:rsidR="00316A59" w:rsidRPr="0049394D" w:rsidRDefault="00316A59" w:rsidP="004610BF">
            <w:pPr>
              <w:pStyle w:val="TableText0"/>
              <w:jc w:val="center"/>
              <w:rPr>
                <w:iCs/>
              </w:rPr>
            </w:pPr>
            <w:r w:rsidRPr="0049394D">
              <w:rPr>
                <w:iCs/>
              </w:rPr>
              <w:t>-0.026</w:t>
            </w:r>
          </w:p>
        </w:tc>
        <w:tc>
          <w:tcPr>
            <w:tcW w:w="1162" w:type="dxa"/>
            <w:vAlign w:val="center"/>
          </w:tcPr>
          <w:p w14:paraId="404097C0" w14:textId="77777777" w:rsidR="00316A59" w:rsidRPr="0049394D" w:rsidRDefault="00316A59" w:rsidP="004610BF">
            <w:pPr>
              <w:pStyle w:val="TableText0"/>
              <w:jc w:val="center"/>
              <w:rPr>
                <w:iCs/>
              </w:rPr>
            </w:pPr>
            <w:r w:rsidRPr="0049394D">
              <w:rPr>
                <w:iCs/>
              </w:rPr>
              <w:t>11.4%</w:t>
            </w:r>
          </w:p>
        </w:tc>
        <w:tc>
          <w:tcPr>
            <w:tcW w:w="1162" w:type="dxa"/>
            <w:vAlign w:val="center"/>
          </w:tcPr>
          <w:p w14:paraId="090A7CC4" w14:textId="77777777" w:rsidR="00316A59" w:rsidRPr="0049394D" w:rsidRDefault="00316A59" w:rsidP="004610BF">
            <w:pPr>
              <w:pStyle w:val="TableText0"/>
              <w:jc w:val="center"/>
              <w:rPr>
                <w:iCs/>
              </w:rPr>
            </w:pPr>
            <w:r w:rsidRPr="0049394D">
              <w:rPr>
                <w:iCs/>
              </w:rPr>
              <w:t>-0.092</w:t>
            </w:r>
          </w:p>
        </w:tc>
        <w:tc>
          <w:tcPr>
            <w:tcW w:w="1162" w:type="dxa"/>
            <w:vAlign w:val="center"/>
          </w:tcPr>
          <w:p w14:paraId="726120C6" w14:textId="77777777" w:rsidR="00316A59" w:rsidRPr="0049394D" w:rsidRDefault="00316A59" w:rsidP="004610BF">
            <w:pPr>
              <w:pStyle w:val="TableText0"/>
              <w:jc w:val="center"/>
              <w:rPr>
                <w:iCs/>
              </w:rPr>
            </w:pPr>
            <w:r w:rsidRPr="0049394D">
              <w:rPr>
                <w:iCs/>
              </w:rPr>
              <w:t>35.4%</w:t>
            </w:r>
          </w:p>
        </w:tc>
        <w:tc>
          <w:tcPr>
            <w:tcW w:w="1162" w:type="dxa"/>
            <w:vAlign w:val="center"/>
          </w:tcPr>
          <w:p w14:paraId="13334744" w14:textId="77777777" w:rsidR="00316A59" w:rsidRPr="0049394D" w:rsidRDefault="00316A59" w:rsidP="004610BF">
            <w:pPr>
              <w:pStyle w:val="TableText0"/>
              <w:jc w:val="center"/>
              <w:rPr>
                <w:iCs/>
              </w:rPr>
            </w:pPr>
            <w:r w:rsidRPr="0049394D">
              <w:rPr>
                <w:iCs/>
              </w:rPr>
              <w:t>-0.032</w:t>
            </w:r>
          </w:p>
        </w:tc>
        <w:tc>
          <w:tcPr>
            <w:tcW w:w="1163" w:type="dxa"/>
            <w:vAlign w:val="center"/>
          </w:tcPr>
          <w:p w14:paraId="3141AE95" w14:textId="77777777" w:rsidR="00316A59" w:rsidRPr="0049394D" w:rsidRDefault="00316A59" w:rsidP="004610BF">
            <w:pPr>
              <w:pStyle w:val="TableText0"/>
              <w:jc w:val="center"/>
              <w:rPr>
                <w:iCs/>
              </w:rPr>
            </w:pPr>
            <w:r w:rsidRPr="0049394D">
              <w:rPr>
                <w:iCs/>
              </w:rPr>
              <w:t>37.2%</w:t>
            </w:r>
          </w:p>
        </w:tc>
      </w:tr>
      <w:tr w:rsidR="00A91F14" w:rsidRPr="0049394D" w14:paraId="314E45D9" w14:textId="77777777" w:rsidTr="004610BF">
        <w:tc>
          <w:tcPr>
            <w:tcW w:w="2044" w:type="dxa"/>
          </w:tcPr>
          <w:p w14:paraId="27DABEDE" w14:textId="77777777" w:rsidR="00316A59" w:rsidRPr="0049394D" w:rsidRDefault="00316A59" w:rsidP="00052468">
            <w:pPr>
              <w:pStyle w:val="TableText0"/>
              <w:rPr>
                <w:iCs/>
              </w:rPr>
            </w:pPr>
            <w:r w:rsidRPr="0049394D">
              <w:rPr>
                <w:iCs/>
              </w:rPr>
              <w:t>CNS Hb</w:t>
            </w:r>
          </w:p>
        </w:tc>
        <w:tc>
          <w:tcPr>
            <w:tcW w:w="1162" w:type="dxa"/>
            <w:vAlign w:val="center"/>
          </w:tcPr>
          <w:p w14:paraId="0DD915E1" w14:textId="77777777" w:rsidR="00316A59" w:rsidRPr="0049394D" w:rsidRDefault="00316A59" w:rsidP="004610BF">
            <w:pPr>
              <w:pStyle w:val="TableText0"/>
              <w:jc w:val="center"/>
              <w:rPr>
                <w:iCs/>
              </w:rPr>
            </w:pPr>
            <w:r w:rsidRPr="0049394D">
              <w:rPr>
                <w:iCs/>
              </w:rPr>
              <w:t>-0.108</w:t>
            </w:r>
          </w:p>
        </w:tc>
        <w:tc>
          <w:tcPr>
            <w:tcW w:w="1162" w:type="dxa"/>
            <w:vAlign w:val="center"/>
          </w:tcPr>
          <w:p w14:paraId="5C291A4D" w14:textId="77777777" w:rsidR="00316A59" w:rsidRPr="0049394D" w:rsidRDefault="00316A59" w:rsidP="004610BF">
            <w:pPr>
              <w:pStyle w:val="TableText0"/>
              <w:jc w:val="center"/>
              <w:rPr>
                <w:iCs/>
              </w:rPr>
            </w:pPr>
            <w:r w:rsidRPr="0049394D">
              <w:rPr>
                <w:iCs/>
              </w:rPr>
              <w:t>46.5%</w:t>
            </w:r>
          </w:p>
        </w:tc>
        <w:tc>
          <w:tcPr>
            <w:tcW w:w="1162" w:type="dxa"/>
            <w:vAlign w:val="center"/>
          </w:tcPr>
          <w:p w14:paraId="2FE2D357" w14:textId="77777777" w:rsidR="00316A59" w:rsidRPr="0049394D" w:rsidRDefault="00316A59" w:rsidP="004610BF">
            <w:pPr>
              <w:pStyle w:val="TableText0"/>
              <w:jc w:val="center"/>
              <w:rPr>
                <w:iCs/>
              </w:rPr>
            </w:pPr>
            <w:r w:rsidRPr="0049394D">
              <w:rPr>
                <w:iCs/>
              </w:rPr>
              <w:t>-0.098</w:t>
            </w:r>
          </w:p>
        </w:tc>
        <w:tc>
          <w:tcPr>
            <w:tcW w:w="1162" w:type="dxa"/>
            <w:vAlign w:val="center"/>
          </w:tcPr>
          <w:p w14:paraId="2BD28281" w14:textId="77777777" w:rsidR="00316A59" w:rsidRPr="0049394D" w:rsidRDefault="00316A59" w:rsidP="004610BF">
            <w:pPr>
              <w:pStyle w:val="TableText0"/>
              <w:jc w:val="center"/>
              <w:rPr>
                <w:iCs/>
              </w:rPr>
            </w:pPr>
            <w:r w:rsidRPr="0049394D">
              <w:rPr>
                <w:iCs/>
              </w:rPr>
              <w:t>37.7%</w:t>
            </w:r>
          </w:p>
        </w:tc>
        <w:tc>
          <w:tcPr>
            <w:tcW w:w="1162" w:type="dxa"/>
            <w:vAlign w:val="center"/>
          </w:tcPr>
          <w:p w14:paraId="45E556CB" w14:textId="77777777" w:rsidR="00316A59" w:rsidRPr="0049394D" w:rsidRDefault="00316A59" w:rsidP="004610BF">
            <w:pPr>
              <w:pStyle w:val="TableText0"/>
              <w:jc w:val="center"/>
              <w:rPr>
                <w:iCs/>
              </w:rPr>
            </w:pPr>
            <w:r w:rsidRPr="0049394D">
              <w:rPr>
                <w:iCs/>
              </w:rPr>
              <w:t>-0.035</w:t>
            </w:r>
          </w:p>
        </w:tc>
        <w:tc>
          <w:tcPr>
            <w:tcW w:w="1163" w:type="dxa"/>
            <w:vAlign w:val="center"/>
          </w:tcPr>
          <w:p w14:paraId="0A3F91FA" w14:textId="77777777" w:rsidR="00316A59" w:rsidRPr="0049394D" w:rsidRDefault="00316A59" w:rsidP="004610BF">
            <w:pPr>
              <w:pStyle w:val="TableText0"/>
              <w:jc w:val="center"/>
              <w:rPr>
                <w:iCs/>
              </w:rPr>
            </w:pPr>
            <w:r w:rsidRPr="0049394D">
              <w:rPr>
                <w:iCs/>
              </w:rPr>
              <w:t>40.1%</w:t>
            </w:r>
          </w:p>
        </w:tc>
      </w:tr>
      <w:tr w:rsidR="00A91F14" w:rsidRPr="0049394D" w14:paraId="0C4689E6" w14:textId="77777777" w:rsidTr="004610BF">
        <w:tc>
          <w:tcPr>
            <w:tcW w:w="2044" w:type="dxa"/>
          </w:tcPr>
          <w:p w14:paraId="159206A8" w14:textId="77777777" w:rsidR="00316A59" w:rsidRPr="0049394D" w:rsidRDefault="00316A59" w:rsidP="00052468">
            <w:pPr>
              <w:pStyle w:val="TableText0"/>
              <w:rPr>
                <w:iCs/>
              </w:rPr>
            </w:pPr>
            <w:r w:rsidRPr="0049394D">
              <w:rPr>
                <w:iCs/>
              </w:rPr>
              <w:t>pNET</w:t>
            </w:r>
          </w:p>
        </w:tc>
        <w:tc>
          <w:tcPr>
            <w:tcW w:w="1162" w:type="dxa"/>
            <w:vAlign w:val="center"/>
          </w:tcPr>
          <w:p w14:paraId="1E162477" w14:textId="77777777" w:rsidR="00316A59" w:rsidRPr="0049394D" w:rsidRDefault="00316A59" w:rsidP="004610BF">
            <w:pPr>
              <w:pStyle w:val="TableText0"/>
              <w:jc w:val="center"/>
              <w:rPr>
                <w:iCs/>
              </w:rPr>
            </w:pPr>
            <w:r w:rsidRPr="0049394D">
              <w:rPr>
                <w:iCs/>
              </w:rPr>
              <w:t>-0.007</w:t>
            </w:r>
          </w:p>
        </w:tc>
        <w:tc>
          <w:tcPr>
            <w:tcW w:w="1162" w:type="dxa"/>
            <w:vAlign w:val="center"/>
          </w:tcPr>
          <w:p w14:paraId="52819D01" w14:textId="77777777" w:rsidR="00316A59" w:rsidRPr="0049394D" w:rsidRDefault="00316A59" w:rsidP="004610BF">
            <w:pPr>
              <w:pStyle w:val="TableText0"/>
              <w:jc w:val="center"/>
              <w:rPr>
                <w:iCs/>
              </w:rPr>
            </w:pPr>
            <w:r w:rsidRPr="0049394D">
              <w:rPr>
                <w:iCs/>
              </w:rPr>
              <w:t>3.0%</w:t>
            </w:r>
          </w:p>
        </w:tc>
        <w:tc>
          <w:tcPr>
            <w:tcW w:w="1162" w:type="dxa"/>
            <w:vAlign w:val="center"/>
          </w:tcPr>
          <w:p w14:paraId="51711CE8" w14:textId="77777777" w:rsidR="00316A59" w:rsidRPr="0049394D" w:rsidRDefault="00316A59" w:rsidP="004610BF">
            <w:pPr>
              <w:pStyle w:val="TableText0"/>
              <w:jc w:val="center"/>
              <w:rPr>
                <w:iCs/>
              </w:rPr>
            </w:pPr>
            <w:r w:rsidRPr="0049394D">
              <w:rPr>
                <w:iCs/>
              </w:rPr>
              <w:t>-0.011</w:t>
            </w:r>
          </w:p>
        </w:tc>
        <w:tc>
          <w:tcPr>
            <w:tcW w:w="1162" w:type="dxa"/>
            <w:vAlign w:val="center"/>
          </w:tcPr>
          <w:p w14:paraId="7B6EDF8C" w14:textId="77777777" w:rsidR="00316A59" w:rsidRPr="0049394D" w:rsidRDefault="00316A59" w:rsidP="004610BF">
            <w:pPr>
              <w:pStyle w:val="TableText0"/>
              <w:jc w:val="center"/>
              <w:rPr>
                <w:iCs/>
              </w:rPr>
            </w:pPr>
            <w:r w:rsidRPr="0049394D">
              <w:rPr>
                <w:iCs/>
              </w:rPr>
              <w:t>4.1%</w:t>
            </w:r>
          </w:p>
        </w:tc>
        <w:tc>
          <w:tcPr>
            <w:tcW w:w="1162" w:type="dxa"/>
            <w:vAlign w:val="center"/>
          </w:tcPr>
          <w:p w14:paraId="6782F3F2" w14:textId="77777777" w:rsidR="00316A59" w:rsidRPr="0049394D" w:rsidRDefault="00316A59" w:rsidP="004610BF">
            <w:pPr>
              <w:pStyle w:val="TableText0"/>
              <w:jc w:val="center"/>
              <w:rPr>
                <w:iCs/>
              </w:rPr>
            </w:pPr>
            <w:r w:rsidRPr="0049394D">
              <w:rPr>
                <w:iCs/>
              </w:rPr>
              <w:t>-0.002</w:t>
            </w:r>
          </w:p>
        </w:tc>
        <w:tc>
          <w:tcPr>
            <w:tcW w:w="1163" w:type="dxa"/>
            <w:vAlign w:val="center"/>
          </w:tcPr>
          <w:p w14:paraId="25D56EF2" w14:textId="77777777" w:rsidR="00316A59" w:rsidRPr="0049394D" w:rsidRDefault="00316A59" w:rsidP="004610BF">
            <w:pPr>
              <w:pStyle w:val="TableText0"/>
              <w:jc w:val="center"/>
              <w:rPr>
                <w:iCs/>
              </w:rPr>
            </w:pPr>
            <w:r w:rsidRPr="0049394D">
              <w:rPr>
                <w:iCs/>
              </w:rPr>
              <w:t>2.6%</w:t>
            </w:r>
          </w:p>
        </w:tc>
      </w:tr>
      <w:tr w:rsidR="00A91F14" w:rsidRPr="0049394D" w14:paraId="1C022CA3" w14:textId="77777777" w:rsidTr="004610BF">
        <w:tc>
          <w:tcPr>
            <w:tcW w:w="2044" w:type="dxa"/>
          </w:tcPr>
          <w:p w14:paraId="1C2A668B" w14:textId="77777777" w:rsidR="00316A59" w:rsidRPr="0049394D" w:rsidRDefault="00316A59" w:rsidP="00052468">
            <w:pPr>
              <w:pStyle w:val="TableText0"/>
              <w:rPr>
                <w:iCs/>
              </w:rPr>
            </w:pPr>
            <w:r w:rsidRPr="0049394D">
              <w:rPr>
                <w:iCs/>
              </w:rPr>
              <w:t>Adrenal lesion</w:t>
            </w:r>
          </w:p>
        </w:tc>
        <w:tc>
          <w:tcPr>
            <w:tcW w:w="1162" w:type="dxa"/>
            <w:vAlign w:val="center"/>
          </w:tcPr>
          <w:p w14:paraId="21AC96F3" w14:textId="77777777" w:rsidR="00316A59" w:rsidRPr="0049394D" w:rsidRDefault="00316A59" w:rsidP="004610BF">
            <w:pPr>
              <w:pStyle w:val="TableText0"/>
              <w:jc w:val="center"/>
              <w:rPr>
                <w:iCs/>
              </w:rPr>
            </w:pPr>
            <w:r w:rsidRPr="0049394D">
              <w:rPr>
                <w:iCs/>
              </w:rPr>
              <w:t>-0.052</w:t>
            </w:r>
          </w:p>
        </w:tc>
        <w:tc>
          <w:tcPr>
            <w:tcW w:w="1162" w:type="dxa"/>
            <w:vAlign w:val="center"/>
          </w:tcPr>
          <w:p w14:paraId="7527A172" w14:textId="77777777" w:rsidR="00316A59" w:rsidRPr="0049394D" w:rsidRDefault="00316A59" w:rsidP="004610BF">
            <w:pPr>
              <w:pStyle w:val="TableText0"/>
              <w:jc w:val="center"/>
              <w:rPr>
                <w:iCs/>
              </w:rPr>
            </w:pPr>
            <w:r w:rsidRPr="0049394D">
              <w:rPr>
                <w:iCs/>
              </w:rPr>
              <w:t>22.2%</w:t>
            </w:r>
          </w:p>
        </w:tc>
        <w:tc>
          <w:tcPr>
            <w:tcW w:w="1162" w:type="dxa"/>
            <w:vAlign w:val="center"/>
          </w:tcPr>
          <w:p w14:paraId="0C6982F6" w14:textId="77777777" w:rsidR="00316A59" w:rsidRPr="0049394D" w:rsidRDefault="00316A59" w:rsidP="004610BF">
            <w:pPr>
              <w:pStyle w:val="TableText0"/>
              <w:jc w:val="center"/>
              <w:rPr>
                <w:iCs/>
              </w:rPr>
            </w:pPr>
            <w:r w:rsidRPr="0049394D">
              <w:rPr>
                <w:iCs/>
              </w:rPr>
              <w:t>-0.005</w:t>
            </w:r>
          </w:p>
        </w:tc>
        <w:tc>
          <w:tcPr>
            <w:tcW w:w="1162" w:type="dxa"/>
            <w:vAlign w:val="center"/>
          </w:tcPr>
          <w:p w14:paraId="46D1C440" w14:textId="77777777" w:rsidR="00316A59" w:rsidRPr="0049394D" w:rsidRDefault="00316A59" w:rsidP="004610BF">
            <w:pPr>
              <w:pStyle w:val="TableText0"/>
              <w:jc w:val="center"/>
              <w:rPr>
                <w:iCs/>
              </w:rPr>
            </w:pPr>
            <w:r w:rsidRPr="0049394D">
              <w:rPr>
                <w:iCs/>
              </w:rPr>
              <w:t>2.1%</w:t>
            </w:r>
          </w:p>
        </w:tc>
        <w:tc>
          <w:tcPr>
            <w:tcW w:w="1162" w:type="dxa"/>
            <w:vAlign w:val="center"/>
          </w:tcPr>
          <w:p w14:paraId="78629D85" w14:textId="77777777" w:rsidR="00316A59" w:rsidRPr="0049394D" w:rsidRDefault="00316A59" w:rsidP="004610BF">
            <w:pPr>
              <w:pStyle w:val="TableText0"/>
              <w:jc w:val="center"/>
              <w:rPr>
                <w:iCs/>
              </w:rPr>
            </w:pPr>
            <w:r w:rsidRPr="0049394D">
              <w:rPr>
                <w:iCs/>
              </w:rPr>
              <w:t>0.000</w:t>
            </w:r>
          </w:p>
        </w:tc>
        <w:tc>
          <w:tcPr>
            <w:tcW w:w="1163" w:type="dxa"/>
            <w:vAlign w:val="center"/>
          </w:tcPr>
          <w:p w14:paraId="7A41E216" w14:textId="77777777" w:rsidR="00316A59" w:rsidRPr="0049394D" w:rsidRDefault="00316A59" w:rsidP="004610BF">
            <w:pPr>
              <w:pStyle w:val="TableText0"/>
              <w:jc w:val="center"/>
              <w:rPr>
                <w:iCs/>
              </w:rPr>
            </w:pPr>
            <w:r w:rsidRPr="0049394D">
              <w:rPr>
                <w:iCs/>
              </w:rPr>
              <w:t>0.0%</w:t>
            </w:r>
          </w:p>
        </w:tc>
      </w:tr>
      <w:tr w:rsidR="00A91F14" w:rsidRPr="0049394D" w14:paraId="04158AB3" w14:textId="77777777" w:rsidTr="004610BF">
        <w:tc>
          <w:tcPr>
            <w:tcW w:w="2044" w:type="dxa"/>
          </w:tcPr>
          <w:p w14:paraId="19F0A885" w14:textId="77777777" w:rsidR="00316A59" w:rsidRPr="0049394D" w:rsidRDefault="00316A59" w:rsidP="00052468">
            <w:pPr>
              <w:pStyle w:val="TableText0"/>
              <w:rPr>
                <w:iCs/>
              </w:rPr>
            </w:pPr>
            <w:r w:rsidRPr="0049394D">
              <w:rPr>
                <w:iCs/>
              </w:rPr>
              <w:t>Endolymphatic sac tumour</w:t>
            </w:r>
          </w:p>
        </w:tc>
        <w:tc>
          <w:tcPr>
            <w:tcW w:w="1162" w:type="dxa"/>
            <w:vAlign w:val="center"/>
          </w:tcPr>
          <w:p w14:paraId="407DA8F8" w14:textId="77777777" w:rsidR="00316A59" w:rsidRPr="0049394D" w:rsidRDefault="00316A59" w:rsidP="004610BF">
            <w:pPr>
              <w:pStyle w:val="TableText0"/>
              <w:jc w:val="center"/>
              <w:rPr>
                <w:iCs/>
              </w:rPr>
            </w:pPr>
            <w:r w:rsidRPr="0049394D">
              <w:rPr>
                <w:iCs/>
              </w:rPr>
              <w:t>-0.009</w:t>
            </w:r>
          </w:p>
        </w:tc>
        <w:tc>
          <w:tcPr>
            <w:tcW w:w="1162" w:type="dxa"/>
            <w:vAlign w:val="center"/>
          </w:tcPr>
          <w:p w14:paraId="2FC803D8" w14:textId="77777777" w:rsidR="00316A59" w:rsidRPr="0049394D" w:rsidRDefault="00316A59" w:rsidP="004610BF">
            <w:pPr>
              <w:pStyle w:val="TableText0"/>
              <w:jc w:val="center"/>
              <w:rPr>
                <w:iCs/>
              </w:rPr>
            </w:pPr>
            <w:r w:rsidRPr="0049394D">
              <w:rPr>
                <w:iCs/>
              </w:rPr>
              <w:t>4.0%</w:t>
            </w:r>
          </w:p>
        </w:tc>
        <w:tc>
          <w:tcPr>
            <w:tcW w:w="1162" w:type="dxa"/>
            <w:vAlign w:val="center"/>
          </w:tcPr>
          <w:p w14:paraId="27482F77" w14:textId="77777777" w:rsidR="00316A59" w:rsidRPr="0049394D" w:rsidRDefault="00316A59" w:rsidP="004610BF">
            <w:pPr>
              <w:pStyle w:val="TableText0"/>
              <w:jc w:val="center"/>
              <w:rPr>
                <w:iCs/>
              </w:rPr>
            </w:pPr>
            <w:r w:rsidRPr="0049394D">
              <w:rPr>
                <w:iCs/>
              </w:rPr>
              <w:t>0.000</w:t>
            </w:r>
          </w:p>
        </w:tc>
        <w:tc>
          <w:tcPr>
            <w:tcW w:w="1162" w:type="dxa"/>
            <w:vAlign w:val="center"/>
          </w:tcPr>
          <w:p w14:paraId="1751B256" w14:textId="77777777" w:rsidR="00316A59" w:rsidRPr="0049394D" w:rsidRDefault="00316A59" w:rsidP="004610BF">
            <w:pPr>
              <w:pStyle w:val="TableText0"/>
              <w:jc w:val="center"/>
              <w:rPr>
                <w:iCs/>
              </w:rPr>
            </w:pPr>
            <w:r w:rsidRPr="0049394D">
              <w:rPr>
                <w:iCs/>
              </w:rPr>
              <w:t>0.0%</w:t>
            </w:r>
          </w:p>
        </w:tc>
        <w:tc>
          <w:tcPr>
            <w:tcW w:w="1162" w:type="dxa"/>
            <w:vAlign w:val="center"/>
          </w:tcPr>
          <w:p w14:paraId="3433595F" w14:textId="77777777" w:rsidR="00316A59" w:rsidRPr="0049394D" w:rsidRDefault="00316A59" w:rsidP="004610BF">
            <w:pPr>
              <w:pStyle w:val="TableText0"/>
              <w:jc w:val="center"/>
              <w:rPr>
                <w:iCs/>
              </w:rPr>
            </w:pPr>
            <w:r w:rsidRPr="0049394D">
              <w:rPr>
                <w:iCs/>
              </w:rPr>
              <w:t>0.000</w:t>
            </w:r>
          </w:p>
        </w:tc>
        <w:tc>
          <w:tcPr>
            <w:tcW w:w="1163" w:type="dxa"/>
            <w:vAlign w:val="center"/>
          </w:tcPr>
          <w:p w14:paraId="30F859F8" w14:textId="77777777" w:rsidR="00316A59" w:rsidRPr="0049394D" w:rsidRDefault="00316A59" w:rsidP="004610BF">
            <w:pPr>
              <w:pStyle w:val="TableText0"/>
              <w:jc w:val="center"/>
              <w:rPr>
                <w:iCs/>
              </w:rPr>
            </w:pPr>
            <w:r w:rsidRPr="0049394D">
              <w:rPr>
                <w:iCs/>
              </w:rPr>
              <w:t>0.0%</w:t>
            </w:r>
          </w:p>
        </w:tc>
      </w:tr>
      <w:tr w:rsidR="00A91F14" w:rsidRPr="0049394D" w14:paraId="5D405362" w14:textId="77777777" w:rsidTr="004610BF">
        <w:tc>
          <w:tcPr>
            <w:tcW w:w="2044" w:type="dxa"/>
          </w:tcPr>
          <w:p w14:paraId="1A7851E8" w14:textId="77777777" w:rsidR="00316A59" w:rsidRPr="0049394D" w:rsidRDefault="00316A59" w:rsidP="00052468">
            <w:pPr>
              <w:pStyle w:val="TableText0"/>
              <w:rPr>
                <w:iCs/>
              </w:rPr>
            </w:pPr>
            <w:r w:rsidRPr="0049394D">
              <w:rPr>
                <w:iCs/>
              </w:rPr>
              <w:t>Epididymal cystadenoma</w:t>
            </w:r>
          </w:p>
        </w:tc>
        <w:tc>
          <w:tcPr>
            <w:tcW w:w="1162" w:type="dxa"/>
            <w:vAlign w:val="center"/>
          </w:tcPr>
          <w:p w14:paraId="14EAF552" w14:textId="77777777" w:rsidR="00316A59" w:rsidRPr="0049394D" w:rsidRDefault="00316A59" w:rsidP="004610BF">
            <w:pPr>
              <w:pStyle w:val="TableText0"/>
              <w:jc w:val="center"/>
              <w:rPr>
                <w:iCs/>
              </w:rPr>
            </w:pPr>
            <w:r w:rsidRPr="0049394D">
              <w:rPr>
                <w:iCs/>
              </w:rPr>
              <w:t>0.000</w:t>
            </w:r>
          </w:p>
        </w:tc>
        <w:tc>
          <w:tcPr>
            <w:tcW w:w="1162" w:type="dxa"/>
            <w:vAlign w:val="center"/>
          </w:tcPr>
          <w:p w14:paraId="14D1FB92" w14:textId="77777777" w:rsidR="00316A59" w:rsidRPr="0049394D" w:rsidRDefault="00316A59" w:rsidP="004610BF">
            <w:pPr>
              <w:pStyle w:val="TableText0"/>
              <w:jc w:val="center"/>
              <w:rPr>
                <w:iCs/>
              </w:rPr>
            </w:pPr>
            <w:r w:rsidRPr="0049394D">
              <w:rPr>
                <w:iCs/>
              </w:rPr>
              <w:t>0.1%</w:t>
            </w:r>
          </w:p>
        </w:tc>
        <w:tc>
          <w:tcPr>
            <w:tcW w:w="1162" w:type="dxa"/>
            <w:vAlign w:val="center"/>
          </w:tcPr>
          <w:p w14:paraId="56ACCD08" w14:textId="77777777" w:rsidR="00316A59" w:rsidRPr="0049394D" w:rsidRDefault="00316A59" w:rsidP="004610BF">
            <w:pPr>
              <w:pStyle w:val="TableText0"/>
              <w:jc w:val="center"/>
              <w:rPr>
                <w:iCs/>
              </w:rPr>
            </w:pPr>
            <w:r w:rsidRPr="0049394D">
              <w:rPr>
                <w:iCs/>
              </w:rPr>
              <w:t>-0.005</w:t>
            </w:r>
          </w:p>
        </w:tc>
        <w:tc>
          <w:tcPr>
            <w:tcW w:w="1162" w:type="dxa"/>
            <w:vAlign w:val="center"/>
          </w:tcPr>
          <w:p w14:paraId="3E428033" w14:textId="77777777" w:rsidR="00316A59" w:rsidRPr="0049394D" w:rsidRDefault="00316A59" w:rsidP="004610BF">
            <w:pPr>
              <w:pStyle w:val="TableText0"/>
              <w:jc w:val="center"/>
              <w:rPr>
                <w:iCs/>
              </w:rPr>
            </w:pPr>
            <w:r w:rsidRPr="0049394D">
              <w:rPr>
                <w:iCs/>
              </w:rPr>
              <w:t>2.1%</w:t>
            </w:r>
          </w:p>
        </w:tc>
        <w:tc>
          <w:tcPr>
            <w:tcW w:w="1162" w:type="dxa"/>
            <w:vAlign w:val="center"/>
          </w:tcPr>
          <w:p w14:paraId="183D0BA2" w14:textId="77777777" w:rsidR="00316A59" w:rsidRPr="0049394D" w:rsidRDefault="00316A59" w:rsidP="004610BF">
            <w:pPr>
              <w:pStyle w:val="TableText0"/>
              <w:jc w:val="center"/>
              <w:rPr>
                <w:iCs/>
              </w:rPr>
            </w:pPr>
            <w:r w:rsidRPr="0049394D">
              <w:rPr>
                <w:iCs/>
              </w:rPr>
              <w:t>0.000</w:t>
            </w:r>
          </w:p>
        </w:tc>
        <w:tc>
          <w:tcPr>
            <w:tcW w:w="1163" w:type="dxa"/>
            <w:vAlign w:val="center"/>
          </w:tcPr>
          <w:p w14:paraId="78F3F6ED" w14:textId="77777777" w:rsidR="00316A59" w:rsidRPr="0049394D" w:rsidRDefault="00316A59" w:rsidP="004610BF">
            <w:pPr>
              <w:pStyle w:val="TableText0"/>
              <w:jc w:val="center"/>
              <w:rPr>
                <w:iCs/>
              </w:rPr>
            </w:pPr>
            <w:r w:rsidRPr="0049394D">
              <w:rPr>
                <w:iCs/>
              </w:rPr>
              <w:t>0.0%</w:t>
            </w:r>
          </w:p>
        </w:tc>
      </w:tr>
      <w:tr w:rsidR="00A91F14" w:rsidRPr="0049394D" w14:paraId="373FA95E" w14:textId="77777777" w:rsidTr="004610BF">
        <w:tc>
          <w:tcPr>
            <w:tcW w:w="2044" w:type="dxa"/>
          </w:tcPr>
          <w:p w14:paraId="4D55177A" w14:textId="77777777" w:rsidR="00316A59" w:rsidRPr="0049394D" w:rsidRDefault="00316A59" w:rsidP="00052468">
            <w:pPr>
              <w:pStyle w:val="TableText0"/>
              <w:rPr>
                <w:iCs/>
              </w:rPr>
            </w:pPr>
            <w:r w:rsidRPr="0049394D">
              <w:rPr>
                <w:iCs/>
              </w:rPr>
              <w:t>Retinal Hb</w:t>
            </w:r>
          </w:p>
        </w:tc>
        <w:tc>
          <w:tcPr>
            <w:tcW w:w="1162" w:type="dxa"/>
            <w:vAlign w:val="center"/>
          </w:tcPr>
          <w:p w14:paraId="5472737E" w14:textId="77777777" w:rsidR="00316A59" w:rsidRPr="0049394D" w:rsidRDefault="00316A59" w:rsidP="004610BF">
            <w:pPr>
              <w:pStyle w:val="TableText0"/>
              <w:jc w:val="center"/>
              <w:rPr>
                <w:iCs/>
              </w:rPr>
            </w:pPr>
            <w:r w:rsidRPr="0049394D">
              <w:rPr>
                <w:iCs/>
              </w:rPr>
              <w:t>-0.030</w:t>
            </w:r>
          </w:p>
        </w:tc>
        <w:tc>
          <w:tcPr>
            <w:tcW w:w="1162" w:type="dxa"/>
            <w:vAlign w:val="center"/>
          </w:tcPr>
          <w:p w14:paraId="45C59040" w14:textId="77777777" w:rsidR="00316A59" w:rsidRPr="0049394D" w:rsidRDefault="00316A59" w:rsidP="004610BF">
            <w:pPr>
              <w:pStyle w:val="TableText0"/>
              <w:jc w:val="center"/>
              <w:rPr>
                <w:iCs/>
              </w:rPr>
            </w:pPr>
            <w:r w:rsidRPr="0049394D">
              <w:rPr>
                <w:iCs/>
              </w:rPr>
              <w:t>12.8%</w:t>
            </w:r>
          </w:p>
        </w:tc>
        <w:tc>
          <w:tcPr>
            <w:tcW w:w="1162" w:type="dxa"/>
            <w:vAlign w:val="center"/>
          </w:tcPr>
          <w:p w14:paraId="473BBB2B" w14:textId="77777777" w:rsidR="00316A59" w:rsidRPr="0049394D" w:rsidRDefault="00316A59" w:rsidP="004610BF">
            <w:pPr>
              <w:pStyle w:val="TableText0"/>
              <w:jc w:val="center"/>
              <w:rPr>
                <w:iCs/>
              </w:rPr>
            </w:pPr>
            <w:r w:rsidRPr="0049394D">
              <w:rPr>
                <w:iCs/>
              </w:rPr>
              <w:t>-0.048</w:t>
            </w:r>
          </w:p>
        </w:tc>
        <w:tc>
          <w:tcPr>
            <w:tcW w:w="1162" w:type="dxa"/>
            <w:vAlign w:val="center"/>
          </w:tcPr>
          <w:p w14:paraId="59884B3E" w14:textId="77777777" w:rsidR="00316A59" w:rsidRPr="0049394D" w:rsidRDefault="00316A59" w:rsidP="004610BF">
            <w:pPr>
              <w:pStyle w:val="TableText0"/>
              <w:jc w:val="center"/>
              <w:rPr>
                <w:iCs/>
              </w:rPr>
            </w:pPr>
            <w:r w:rsidRPr="0049394D">
              <w:rPr>
                <w:iCs/>
              </w:rPr>
              <w:t>18.7%</w:t>
            </w:r>
          </w:p>
        </w:tc>
        <w:tc>
          <w:tcPr>
            <w:tcW w:w="1162" w:type="dxa"/>
            <w:vAlign w:val="center"/>
          </w:tcPr>
          <w:p w14:paraId="5CBB7592" w14:textId="77777777" w:rsidR="00316A59" w:rsidRPr="0049394D" w:rsidRDefault="00316A59" w:rsidP="004610BF">
            <w:pPr>
              <w:pStyle w:val="TableText0"/>
              <w:jc w:val="center"/>
              <w:rPr>
                <w:iCs/>
              </w:rPr>
            </w:pPr>
            <w:r w:rsidRPr="0049394D">
              <w:rPr>
                <w:iCs/>
              </w:rPr>
              <w:t>-0.017</w:t>
            </w:r>
          </w:p>
        </w:tc>
        <w:tc>
          <w:tcPr>
            <w:tcW w:w="1163" w:type="dxa"/>
            <w:vAlign w:val="center"/>
          </w:tcPr>
          <w:p w14:paraId="1E9A3908" w14:textId="77777777" w:rsidR="00316A59" w:rsidRPr="0049394D" w:rsidRDefault="00316A59" w:rsidP="004610BF">
            <w:pPr>
              <w:pStyle w:val="TableText0"/>
              <w:jc w:val="center"/>
              <w:rPr>
                <w:iCs/>
              </w:rPr>
            </w:pPr>
            <w:r w:rsidRPr="0049394D">
              <w:rPr>
                <w:iCs/>
              </w:rPr>
              <w:t>20.1%</w:t>
            </w:r>
          </w:p>
        </w:tc>
      </w:tr>
      <w:tr w:rsidR="00A91F14" w:rsidRPr="0049394D" w14:paraId="091B9B9C" w14:textId="77777777" w:rsidTr="004610BF">
        <w:tc>
          <w:tcPr>
            <w:tcW w:w="2044" w:type="dxa"/>
          </w:tcPr>
          <w:p w14:paraId="6E8DF5B0" w14:textId="77777777" w:rsidR="00316A59" w:rsidRPr="0049394D" w:rsidRDefault="00316A59" w:rsidP="00052468">
            <w:pPr>
              <w:pStyle w:val="TableText0"/>
              <w:rPr>
                <w:b/>
                <w:bCs w:val="0"/>
                <w:iCs/>
              </w:rPr>
            </w:pPr>
            <w:r w:rsidRPr="0049394D">
              <w:rPr>
                <w:b/>
                <w:bCs w:val="0"/>
                <w:iCs/>
              </w:rPr>
              <w:t>Total</w:t>
            </w:r>
          </w:p>
        </w:tc>
        <w:tc>
          <w:tcPr>
            <w:tcW w:w="1162" w:type="dxa"/>
            <w:vAlign w:val="center"/>
          </w:tcPr>
          <w:p w14:paraId="5717474A" w14:textId="77777777" w:rsidR="00316A59" w:rsidRPr="0049394D" w:rsidRDefault="00316A59" w:rsidP="004610BF">
            <w:pPr>
              <w:pStyle w:val="TableText0"/>
              <w:jc w:val="center"/>
              <w:rPr>
                <w:b/>
                <w:bCs w:val="0"/>
                <w:iCs/>
              </w:rPr>
            </w:pPr>
            <w:r w:rsidRPr="0049394D">
              <w:rPr>
                <w:b/>
                <w:bCs w:val="0"/>
                <w:iCs/>
              </w:rPr>
              <w:t>-0.232</w:t>
            </w:r>
          </w:p>
        </w:tc>
        <w:tc>
          <w:tcPr>
            <w:tcW w:w="1162" w:type="dxa"/>
            <w:vAlign w:val="center"/>
          </w:tcPr>
          <w:p w14:paraId="3316C085" w14:textId="77777777" w:rsidR="00316A59" w:rsidRPr="0049394D" w:rsidRDefault="00316A59" w:rsidP="004610BF">
            <w:pPr>
              <w:pStyle w:val="TableText0"/>
              <w:jc w:val="center"/>
              <w:rPr>
                <w:b/>
                <w:bCs w:val="0"/>
                <w:iCs/>
              </w:rPr>
            </w:pPr>
            <w:r w:rsidRPr="0049394D">
              <w:rPr>
                <w:b/>
                <w:bCs w:val="0"/>
                <w:iCs/>
              </w:rPr>
              <w:t>100%</w:t>
            </w:r>
          </w:p>
        </w:tc>
        <w:tc>
          <w:tcPr>
            <w:tcW w:w="1162" w:type="dxa"/>
            <w:vAlign w:val="center"/>
          </w:tcPr>
          <w:p w14:paraId="0AE4719B" w14:textId="77777777" w:rsidR="00316A59" w:rsidRPr="0049394D" w:rsidRDefault="00316A59" w:rsidP="004610BF">
            <w:pPr>
              <w:pStyle w:val="TableText0"/>
              <w:jc w:val="center"/>
              <w:rPr>
                <w:b/>
                <w:bCs w:val="0"/>
                <w:iCs/>
              </w:rPr>
            </w:pPr>
            <w:r w:rsidRPr="0049394D">
              <w:rPr>
                <w:b/>
                <w:bCs w:val="0"/>
                <w:iCs/>
              </w:rPr>
              <w:t>-0.260</w:t>
            </w:r>
          </w:p>
        </w:tc>
        <w:tc>
          <w:tcPr>
            <w:tcW w:w="1162" w:type="dxa"/>
            <w:vAlign w:val="center"/>
          </w:tcPr>
          <w:p w14:paraId="78E6FF21" w14:textId="77777777" w:rsidR="00316A59" w:rsidRPr="0049394D" w:rsidRDefault="00316A59" w:rsidP="004610BF">
            <w:pPr>
              <w:pStyle w:val="TableText0"/>
              <w:jc w:val="center"/>
              <w:rPr>
                <w:b/>
                <w:bCs w:val="0"/>
                <w:iCs/>
              </w:rPr>
            </w:pPr>
            <w:r w:rsidRPr="0049394D">
              <w:rPr>
                <w:b/>
                <w:bCs w:val="0"/>
                <w:iCs/>
              </w:rPr>
              <w:t>100%</w:t>
            </w:r>
          </w:p>
        </w:tc>
        <w:tc>
          <w:tcPr>
            <w:tcW w:w="1162" w:type="dxa"/>
            <w:vAlign w:val="center"/>
          </w:tcPr>
          <w:p w14:paraId="50D67B31" w14:textId="77777777" w:rsidR="00316A59" w:rsidRPr="0049394D" w:rsidRDefault="00316A59" w:rsidP="004610BF">
            <w:pPr>
              <w:pStyle w:val="TableText0"/>
              <w:jc w:val="center"/>
              <w:rPr>
                <w:b/>
                <w:bCs w:val="0"/>
                <w:iCs/>
              </w:rPr>
            </w:pPr>
            <w:r w:rsidRPr="0049394D">
              <w:rPr>
                <w:b/>
                <w:bCs w:val="0"/>
                <w:iCs/>
              </w:rPr>
              <w:t>-0.087</w:t>
            </w:r>
          </w:p>
        </w:tc>
        <w:tc>
          <w:tcPr>
            <w:tcW w:w="1163" w:type="dxa"/>
            <w:vAlign w:val="center"/>
          </w:tcPr>
          <w:p w14:paraId="4F40D759" w14:textId="77777777" w:rsidR="00316A59" w:rsidRPr="0049394D" w:rsidRDefault="00316A59" w:rsidP="004610BF">
            <w:pPr>
              <w:pStyle w:val="TableText0"/>
              <w:jc w:val="center"/>
              <w:rPr>
                <w:b/>
                <w:bCs w:val="0"/>
                <w:iCs/>
              </w:rPr>
            </w:pPr>
            <w:r w:rsidRPr="0049394D">
              <w:rPr>
                <w:b/>
                <w:bCs w:val="0"/>
                <w:iCs/>
              </w:rPr>
              <w:t>100%</w:t>
            </w:r>
          </w:p>
        </w:tc>
      </w:tr>
    </w:tbl>
    <w:p w14:paraId="59DEB732" w14:textId="00ED5E0B" w:rsidR="00316A59" w:rsidRPr="0049394D" w:rsidRDefault="00316A59" w:rsidP="00316A59">
      <w:pPr>
        <w:pStyle w:val="FooterTableFigure"/>
        <w:rPr>
          <w:iCs/>
        </w:rPr>
      </w:pPr>
      <w:r w:rsidRPr="0049394D">
        <w:t xml:space="preserve">Source: </w:t>
      </w:r>
      <w:r w:rsidRPr="0049394D">
        <w:rPr>
          <w:iCs/>
        </w:rPr>
        <w:t>compiled during the evaluation using Sheet ‘Disaggregated Base-Case Results’ of the Excel workbook ‘Attachment 7 (CUA).xlsm’</w:t>
      </w:r>
    </w:p>
    <w:p w14:paraId="2D3D8DEF" w14:textId="718973C7" w:rsidR="00414956" w:rsidRPr="0049394D" w:rsidRDefault="00414956" w:rsidP="00316A59">
      <w:pPr>
        <w:pStyle w:val="FooterTableFigure"/>
        <w:rPr>
          <w:iCs/>
        </w:rPr>
      </w:pPr>
      <w:r w:rsidRPr="0049394D">
        <w:t>AE=adverse event, EFS=event free survival, LY=life-year, QALY=quality-adjusted life-year</w:t>
      </w:r>
    </w:p>
    <w:p w14:paraId="52A13D76" w14:textId="5C860E5D" w:rsidR="00E20F5E" w:rsidRPr="0049394D" w:rsidRDefault="00E20F5E" w:rsidP="00E20F5E">
      <w:pPr>
        <w:pStyle w:val="3-BodyText"/>
        <w:rPr>
          <w:iCs/>
        </w:rPr>
      </w:pPr>
      <w:r w:rsidRPr="0049394D">
        <w:rPr>
          <w:iCs/>
        </w:rPr>
        <w:t>Incremental undiscounted life years gained</w:t>
      </w:r>
      <w:r w:rsidR="00316A59" w:rsidRPr="0049394D">
        <w:rPr>
          <w:iCs/>
        </w:rPr>
        <w:t xml:space="preserve"> (</w:t>
      </w:r>
      <w:r w:rsidR="00316A59" w:rsidRPr="0049394D">
        <w:rPr>
          <w:iCs/>
        </w:rPr>
        <w:fldChar w:fldCharType="begin" w:fldLock="1"/>
      </w:r>
      <w:r w:rsidR="00316A59" w:rsidRPr="0049394D">
        <w:rPr>
          <w:iCs/>
        </w:rPr>
        <w:instrText xml:space="preserve"> REF _Ref167023450 \h </w:instrText>
      </w:r>
      <w:r w:rsidR="004610BF" w:rsidRPr="0049394D">
        <w:rPr>
          <w:iCs/>
        </w:rPr>
        <w:instrText xml:space="preserve"> \* MERGEFORMAT </w:instrText>
      </w:r>
      <w:r w:rsidR="00316A59" w:rsidRPr="0049394D">
        <w:rPr>
          <w:iCs/>
        </w:rPr>
      </w:r>
      <w:r w:rsidR="00316A59" w:rsidRPr="0049394D">
        <w:rPr>
          <w:iCs/>
        </w:rPr>
        <w:fldChar w:fldCharType="separate"/>
      </w:r>
      <w:r w:rsidR="00437B51" w:rsidRPr="0049394D">
        <w:t xml:space="preserve">Table </w:t>
      </w:r>
      <w:r w:rsidR="00437B51">
        <w:rPr>
          <w:noProof/>
        </w:rPr>
        <w:t>16</w:t>
      </w:r>
      <w:r w:rsidR="00316A59" w:rsidRPr="0049394D">
        <w:rPr>
          <w:iCs/>
        </w:rPr>
        <w:fldChar w:fldCharType="end"/>
      </w:r>
      <w:r w:rsidR="00316A59" w:rsidRPr="0049394D">
        <w:rPr>
          <w:iCs/>
        </w:rPr>
        <w:t>)</w:t>
      </w:r>
      <w:r w:rsidRPr="0049394D">
        <w:rPr>
          <w:iCs/>
        </w:rPr>
        <w:t xml:space="preserve"> were driven by life years accrued in the pre-surgery health states in all models (&gt;4.5 years in all models), equal to 108.8%, 124.4%, 106.94% of incremental life years gained in the RCC, CNS Hb and pNET models respectively. Most life year gain offsets were in the metastatic disease states in the RCC and pNET models (-0.32 and -0.34 incremental life years respectively</w:t>
      </w:r>
      <w:r w:rsidR="00316A59" w:rsidRPr="0049394D">
        <w:rPr>
          <w:iCs/>
        </w:rPr>
        <w:t>, equivalent to -7.7% and -10.7% of the total of incremental life years gained</w:t>
      </w:r>
      <w:r w:rsidRPr="0049394D">
        <w:rPr>
          <w:iCs/>
        </w:rPr>
        <w:t xml:space="preserve">). In comparison the CNS Hb model had the largest life year offset with -0.59 incremental life years in EFS post-surgery and </w:t>
      </w:r>
      <w:r w:rsidR="00625EDE" w:rsidRPr="0049394D">
        <w:rPr>
          <w:iCs/>
        </w:rPr>
        <w:t>-</w:t>
      </w:r>
      <w:r w:rsidRPr="0049394D">
        <w:rPr>
          <w:iCs/>
        </w:rPr>
        <w:t>0.46 incremental life years in the metastatic disease states. A similar pattern was seen in incremental health state QALYs.</w:t>
      </w:r>
    </w:p>
    <w:p w14:paraId="0EBFC6B1" w14:textId="1CA5F5EB" w:rsidR="00E20F5E" w:rsidRPr="00BF3570" w:rsidRDefault="00094D79" w:rsidP="00E20F5E">
      <w:pPr>
        <w:pStyle w:val="3-BodyText"/>
      </w:pPr>
      <w:r w:rsidRPr="00BF3570">
        <w:t>The</w:t>
      </w:r>
      <w:r w:rsidR="004B3806" w:rsidRPr="00BF3570">
        <w:t xml:space="preserve"> ESC agreed with the</w:t>
      </w:r>
      <w:r w:rsidRPr="00BF3570">
        <w:t xml:space="preserve"> evaluation</w:t>
      </w:r>
      <w:r w:rsidR="004B3806" w:rsidRPr="00BF3570">
        <w:t xml:space="preserve"> and</w:t>
      </w:r>
      <w:r w:rsidRPr="00BF3570">
        <w:t xml:space="preserve"> considered the models lacked face validity. </w:t>
      </w:r>
      <w:r>
        <w:rPr>
          <w:iCs/>
        </w:rPr>
        <w:t>D</w:t>
      </w:r>
      <w:r w:rsidR="00E20F5E" w:rsidRPr="0049394D">
        <w:rPr>
          <w:iCs/>
        </w:rPr>
        <w:t>espite the relatively large life year gains</w:t>
      </w:r>
      <w:r w:rsidR="00316A59" w:rsidRPr="0049394D">
        <w:rPr>
          <w:iCs/>
        </w:rPr>
        <w:t>, particularly in the pre-surgery health states</w:t>
      </w:r>
      <w:r w:rsidR="00E20F5E" w:rsidRPr="0049394D">
        <w:rPr>
          <w:iCs/>
        </w:rPr>
        <w:t>, very few surgeries were avoided</w:t>
      </w:r>
      <w:r>
        <w:rPr>
          <w:iCs/>
        </w:rPr>
        <w:t xml:space="preserve"> </w:t>
      </w:r>
      <w:r w:rsidR="00E20F5E" w:rsidRPr="0049394D">
        <w:rPr>
          <w:iCs/>
        </w:rPr>
        <w:t>in the models.</w:t>
      </w:r>
      <w:r w:rsidR="00241194">
        <w:rPr>
          <w:iCs/>
        </w:rPr>
        <w:t xml:space="preserve"> </w:t>
      </w:r>
      <w:r w:rsidR="00241194" w:rsidRPr="00BF3570">
        <w:t>Further, very few surgeries</w:t>
      </w:r>
      <w:r w:rsidR="00241194" w:rsidRPr="00094D79">
        <w:rPr>
          <w:iCs/>
        </w:rPr>
        <w:t xml:space="preserve"> </w:t>
      </w:r>
      <w:r w:rsidR="00241194" w:rsidRPr="00BF3570">
        <w:t>in the target tumour body system compared with non-target tumour surgeries</w:t>
      </w:r>
      <w:r w:rsidR="006133EB" w:rsidRPr="00BF3570">
        <w:t xml:space="preserve"> were </w:t>
      </w:r>
      <w:r w:rsidR="006133EB" w:rsidRPr="00BF3570">
        <w:lastRenderedPageBreak/>
        <w:t>predicted</w:t>
      </w:r>
      <w:r w:rsidR="00241194" w:rsidRPr="00BF3570">
        <w:t>.</w:t>
      </w:r>
      <w:r w:rsidR="00241194" w:rsidRPr="0049394D">
        <w:rPr>
          <w:iCs/>
        </w:rPr>
        <w:t xml:space="preserve"> </w:t>
      </w:r>
      <w:r w:rsidR="00E20F5E" w:rsidRPr="0049394D">
        <w:rPr>
          <w:iCs/>
        </w:rPr>
        <w:t>The total number of surgeries</w:t>
      </w:r>
      <w:r w:rsidR="00FF031F">
        <w:rPr>
          <w:iCs/>
        </w:rPr>
        <w:t xml:space="preserve"> per patient on average</w:t>
      </w:r>
      <w:r w:rsidR="00E20F5E" w:rsidRPr="0049394D">
        <w:rPr>
          <w:iCs/>
        </w:rPr>
        <w:t xml:space="preserve"> in the active surveillance arms were 4.16 in the RCC model (1.01 of which were RCC surgeries); 4.78 in the CNS Hb model (1.35 of which were CNS Hb surgeries); and 4.42 in the pNET model (0.06 of which were pNET surgeries). The incremental number of surgeries for belzutifan versus active surveillance were -0.23, -0.26, -0.09 in the RCC, CNS Hb and pNET models respectively</w:t>
      </w:r>
      <w:r w:rsidR="00316A59" w:rsidRPr="0049394D">
        <w:rPr>
          <w:iCs/>
        </w:rPr>
        <w:t xml:space="preserve"> (</w:t>
      </w:r>
      <w:r w:rsidR="00316A59" w:rsidRPr="0049394D">
        <w:rPr>
          <w:iCs/>
        </w:rPr>
        <w:fldChar w:fldCharType="begin" w:fldLock="1"/>
      </w:r>
      <w:r w:rsidR="00316A59" w:rsidRPr="0049394D">
        <w:rPr>
          <w:iCs/>
        </w:rPr>
        <w:instrText xml:space="preserve"> REF _Ref167023450 \h </w:instrText>
      </w:r>
      <w:r w:rsidR="002E648F" w:rsidRPr="0049394D">
        <w:rPr>
          <w:iCs/>
        </w:rPr>
        <w:instrText xml:space="preserve"> \* MERGEFORMAT </w:instrText>
      </w:r>
      <w:r w:rsidR="00316A59" w:rsidRPr="0049394D">
        <w:rPr>
          <w:iCs/>
        </w:rPr>
      </w:r>
      <w:r w:rsidR="00316A59" w:rsidRPr="0049394D">
        <w:rPr>
          <w:iCs/>
        </w:rPr>
        <w:fldChar w:fldCharType="separate"/>
      </w:r>
      <w:r w:rsidR="00437B51" w:rsidRPr="00437B51">
        <w:rPr>
          <w:iCs/>
        </w:rPr>
        <w:t xml:space="preserve">Table </w:t>
      </w:r>
      <w:r w:rsidR="00437B51" w:rsidRPr="00437B51">
        <w:rPr>
          <w:iCs/>
          <w:noProof/>
        </w:rPr>
        <w:t>16</w:t>
      </w:r>
      <w:r w:rsidR="00316A59" w:rsidRPr="0049394D">
        <w:rPr>
          <w:iCs/>
        </w:rPr>
        <w:fldChar w:fldCharType="end"/>
      </w:r>
      <w:r w:rsidR="00316A59" w:rsidRPr="0049394D">
        <w:rPr>
          <w:iCs/>
        </w:rPr>
        <w:t>)</w:t>
      </w:r>
      <w:r w:rsidR="00E20F5E" w:rsidRPr="0049394D">
        <w:rPr>
          <w:iCs/>
        </w:rPr>
        <w:t>. Surgery breakdown differed by arm, but the largest reduction in surgeries was in ‘other’ tumour surgeries in all models.</w:t>
      </w:r>
      <w:r w:rsidR="00241194">
        <w:rPr>
          <w:iCs/>
        </w:rPr>
        <w:t xml:space="preserve"> </w:t>
      </w:r>
      <w:r w:rsidR="00241194" w:rsidRPr="00BF3570">
        <w:t>The</w:t>
      </w:r>
      <w:r w:rsidR="00DF5C89" w:rsidRPr="00BF3570">
        <w:t xml:space="preserve"> </w:t>
      </w:r>
      <w:r w:rsidR="00241194" w:rsidRPr="00BF3570">
        <w:t xml:space="preserve">PSCR </w:t>
      </w:r>
      <w:r w:rsidR="008C077D" w:rsidRPr="00BF3570">
        <w:t>disagreed that</w:t>
      </w:r>
      <w:r w:rsidR="00241194" w:rsidRPr="00BF3570">
        <w:t xml:space="preserve"> the number of modelled surgeries was too low based on the reporting of prior surgeries in LS-004, Australian VHL patients who participated in the Patient input Forum and published literature. Th</w:t>
      </w:r>
      <w:r w:rsidR="00DF5C89" w:rsidRPr="00BF3570">
        <w:t>e ESC considered that th</w:t>
      </w:r>
      <w:r w:rsidR="00241194" w:rsidRPr="00BF3570">
        <w:t xml:space="preserve">is </w:t>
      </w:r>
      <w:r w:rsidR="00DF5C89" w:rsidRPr="00BF3570">
        <w:t>wa</w:t>
      </w:r>
      <w:r w:rsidR="00241194" w:rsidRPr="00BF3570">
        <w:t xml:space="preserve">s a misinterpretation of the concerns </w:t>
      </w:r>
      <w:r w:rsidR="006133EB" w:rsidRPr="00BF3570">
        <w:t>regarding</w:t>
      </w:r>
      <w:r w:rsidR="00241194" w:rsidRPr="00BF3570">
        <w:t xml:space="preserve"> face validity. </w:t>
      </w:r>
      <w:r w:rsidR="00DF5C89" w:rsidRPr="00BF3570">
        <w:t xml:space="preserve">As stated above, the primary </w:t>
      </w:r>
      <w:r w:rsidR="00241194" w:rsidRPr="00BF3570">
        <w:t xml:space="preserve">concern was that the proposed clinical benefit of belzutifan (avoidance of surgeries in the target tumour body system) was not carried through to the model, where the majority of surgeries occurred not in the targeted body system (‘other’ surgeries) and the belzutifan arm resulted in &lt;0.1 </w:t>
      </w:r>
      <w:r w:rsidR="00FF031F">
        <w:t xml:space="preserve">average </w:t>
      </w:r>
      <w:r w:rsidR="00241194" w:rsidRPr="00BF3570">
        <w:t>reduction in the surgeries</w:t>
      </w:r>
      <w:r w:rsidR="00FF031F">
        <w:t xml:space="preserve"> per patient</w:t>
      </w:r>
      <w:r w:rsidR="00241194" w:rsidRPr="00BF3570">
        <w:t xml:space="preserve"> to the target tumour body system in any of the three models. </w:t>
      </w:r>
    </w:p>
    <w:p w14:paraId="7CF24CC4" w14:textId="72C1CD70" w:rsidR="001D5BD8" w:rsidRDefault="00E20F5E" w:rsidP="00E20F5E">
      <w:pPr>
        <w:pStyle w:val="3-BodyText"/>
        <w:rPr>
          <w:iCs/>
        </w:rPr>
      </w:pPr>
      <w:r w:rsidRPr="0049394D">
        <w:rPr>
          <w:iCs/>
        </w:rPr>
        <w:t>Overall</w:t>
      </w:r>
      <w:r w:rsidR="00C12286" w:rsidRPr="0049394D">
        <w:rPr>
          <w:iCs/>
        </w:rPr>
        <w:t>,</w:t>
      </w:r>
      <w:r w:rsidRPr="0049394D">
        <w:rPr>
          <w:iCs/>
        </w:rPr>
        <w:t xml:space="preserve"> the</w:t>
      </w:r>
      <w:r w:rsidR="00BA4F68">
        <w:rPr>
          <w:iCs/>
        </w:rPr>
        <w:t xml:space="preserve"> </w:t>
      </w:r>
      <w:r w:rsidR="004B3806" w:rsidRPr="00BF3570">
        <w:t>ESC</w:t>
      </w:r>
      <w:r w:rsidR="00BA4F68" w:rsidRPr="00BF3570">
        <w:t xml:space="preserve"> considered that the </w:t>
      </w:r>
      <w:r w:rsidRPr="0049394D">
        <w:rPr>
          <w:iCs/>
        </w:rPr>
        <w:t xml:space="preserve">ICERs were highly uncertain as the economic analysis was </w:t>
      </w:r>
      <w:r w:rsidR="00316A59" w:rsidRPr="0049394D">
        <w:rPr>
          <w:iCs/>
        </w:rPr>
        <w:t xml:space="preserve">overly </w:t>
      </w:r>
      <w:r w:rsidRPr="0049394D">
        <w:rPr>
          <w:iCs/>
        </w:rPr>
        <w:t>complex</w:t>
      </w:r>
      <w:r w:rsidR="00083E0D" w:rsidRPr="0049394D">
        <w:rPr>
          <w:iCs/>
        </w:rPr>
        <w:t xml:space="preserve"> given the limited data </w:t>
      </w:r>
      <w:r w:rsidR="002E648F" w:rsidRPr="0049394D">
        <w:rPr>
          <w:iCs/>
        </w:rPr>
        <w:t>available</w:t>
      </w:r>
      <w:r w:rsidRPr="0049394D">
        <w:rPr>
          <w:iCs/>
        </w:rPr>
        <w:t xml:space="preserve">, the models were informed by large number of data sources, many of which could not be validated or were inappropriate, no external validation of the models was </w:t>
      </w:r>
      <w:r w:rsidR="00465819" w:rsidRPr="0049394D">
        <w:rPr>
          <w:iCs/>
        </w:rPr>
        <w:t>conducted,</w:t>
      </w:r>
      <w:r w:rsidRPr="0049394D">
        <w:rPr>
          <w:iCs/>
        </w:rPr>
        <w:t xml:space="preserve"> and the models were not consistently internally valid (e.g. OS in the RCC model, number of predicted surgeries). </w:t>
      </w:r>
    </w:p>
    <w:p w14:paraId="36579A89" w14:textId="4CE53612" w:rsidR="001D5BD8" w:rsidRPr="001D5BD8" w:rsidRDefault="001D5BD8" w:rsidP="001D5BD8">
      <w:pPr>
        <w:pStyle w:val="3-BodyText"/>
        <w:rPr>
          <w:iCs/>
        </w:rPr>
      </w:pPr>
      <w:r w:rsidRPr="00BF3570">
        <w:t xml:space="preserve">The </w:t>
      </w:r>
      <w:r w:rsidR="008C077D" w:rsidRPr="00BF3570">
        <w:t>PSCR maintained</w:t>
      </w:r>
      <w:r w:rsidRPr="00BF3570">
        <w:t xml:space="preserve"> the model structure was necessary to reflect the heterogeneity of VHL disease, capture all clinically relevant events and health outcomes, and appropriately inform decision-making by providing an ICER for each primary population. However, </w:t>
      </w:r>
      <w:r w:rsidR="0067576E" w:rsidRPr="00BF3570">
        <w:t xml:space="preserve">the ESC considered </w:t>
      </w:r>
      <w:r w:rsidRPr="00BF3570">
        <w:t xml:space="preserve">the PSCR did not address the </w:t>
      </w:r>
      <w:r w:rsidR="006133EB" w:rsidRPr="00BF3570">
        <w:t xml:space="preserve">primary </w:t>
      </w:r>
      <w:r w:rsidRPr="00BF3570">
        <w:t>concern</w:t>
      </w:r>
      <w:r w:rsidR="006133EB" w:rsidRPr="00BF3570">
        <w:t xml:space="preserve"> that</w:t>
      </w:r>
      <w:r w:rsidRPr="00BF3570">
        <w:t xml:space="preserve"> the analysis was too complex for the limited data available. The </w:t>
      </w:r>
      <w:r w:rsidR="008C077D" w:rsidRPr="00BF3570">
        <w:t>PSCR also</w:t>
      </w:r>
      <w:r w:rsidR="00ED76B1" w:rsidRPr="00BF3570">
        <w:t xml:space="preserve"> </w:t>
      </w:r>
      <w:r w:rsidRPr="00BF3570">
        <w:t xml:space="preserve">maintained </w:t>
      </w:r>
      <w:r w:rsidR="00ED76B1" w:rsidRPr="00BF3570">
        <w:t>the</w:t>
      </w:r>
      <w:r w:rsidRPr="00BF3570">
        <w:t xml:space="preserve"> inputs sourced to inform the model were appropriate and argued that the rarity of VHL disease poses challenges in generating evidence of a standard typical</w:t>
      </w:r>
      <w:r w:rsidRPr="00BF3570" w:rsidDel="00B7012E">
        <w:t xml:space="preserve"> of </w:t>
      </w:r>
      <w:r w:rsidRPr="00BF3570">
        <w:t xml:space="preserve">more common diseases and stated that it is therefore appropriate to recognise real-world evidence and accepting a greater degree of uncertainty in data. </w:t>
      </w:r>
    </w:p>
    <w:p w14:paraId="16760A53" w14:textId="7CD71681" w:rsidR="001D5BD8" w:rsidRPr="00D1781A" w:rsidRDefault="001D5BD8" w:rsidP="001D5BD8">
      <w:pPr>
        <w:pStyle w:val="3-BodyText"/>
        <w:rPr>
          <w:iCs/>
        </w:rPr>
      </w:pPr>
      <w:r w:rsidRPr="00BF3570">
        <w:t>The ESC agreed with the evaluation that the model’s complexity, while attempting to capture important clinical features of VHL disease, led to high degree of uncertainty.</w:t>
      </w:r>
      <w:r w:rsidR="00336A24" w:rsidRPr="00BF3570">
        <w:t xml:space="preserve"> The ESC</w:t>
      </w:r>
      <w:r w:rsidR="00E026A0" w:rsidRPr="00BF3570">
        <w:t xml:space="preserve"> </w:t>
      </w:r>
      <w:r w:rsidR="00FA4D25" w:rsidRPr="00BF3570">
        <w:t>noted</w:t>
      </w:r>
      <w:r w:rsidR="00E026A0" w:rsidRPr="00BF3570">
        <w:t xml:space="preserve"> </w:t>
      </w:r>
      <w:r w:rsidR="00FA4D25" w:rsidRPr="00BF3570">
        <w:t xml:space="preserve">the economic </w:t>
      </w:r>
      <w:r w:rsidR="00465819" w:rsidRPr="00BF3570">
        <w:t>models</w:t>
      </w:r>
      <w:r w:rsidR="00FA4D25" w:rsidRPr="00BF3570">
        <w:t xml:space="preserve"> developed</w:t>
      </w:r>
      <w:r w:rsidR="00E026A0" w:rsidRPr="00BF3570">
        <w:t xml:space="preserve"> </w:t>
      </w:r>
      <w:r w:rsidR="00336A24" w:rsidRPr="00BF3570">
        <w:t xml:space="preserve">for belzutifan </w:t>
      </w:r>
      <w:r w:rsidR="00FA4D25" w:rsidRPr="00BF3570">
        <w:t xml:space="preserve">and </w:t>
      </w:r>
      <w:r w:rsidR="00E026A0" w:rsidRPr="00BF3570">
        <w:t xml:space="preserve">submitted to NICE (2023) and SMC (2023) </w:t>
      </w:r>
      <w:r w:rsidR="00FA4D25" w:rsidRPr="00BF3570">
        <w:t>were less complex</w:t>
      </w:r>
      <w:r w:rsidR="000E33CA" w:rsidRPr="00BF3570">
        <w:t xml:space="preserve"> and</w:t>
      </w:r>
      <w:r w:rsidR="00FA4D25" w:rsidRPr="00BF3570">
        <w:t xml:space="preserve"> includ</w:t>
      </w:r>
      <w:r w:rsidR="000E33CA" w:rsidRPr="00BF3570">
        <w:t>ed</w:t>
      </w:r>
      <w:r w:rsidR="00FA4D25" w:rsidRPr="00BF3570">
        <w:t xml:space="preserve"> five health states (pre-surgery, surgery [tunnel], event free after surgery, metastatic disease and death). </w:t>
      </w:r>
      <w:r w:rsidR="000E33CA" w:rsidRPr="00BF3570">
        <w:t>While recognising an economic model</w:t>
      </w:r>
      <w:r w:rsidR="00ED76B1" w:rsidRPr="00BF3570">
        <w:t xml:space="preserve"> for VHL disease</w:t>
      </w:r>
      <w:r w:rsidR="000E33CA" w:rsidRPr="00BF3570">
        <w:t xml:space="preserve"> would ideally capture the complexity associated with multiple and recurrent tumours, the </w:t>
      </w:r>
      <w:r w:rsidR="00FA4D25" w:rsidRPr="00BF3570">
        <w:t xml:space="preserve">ESC considered that </w:t>
      </w:r>
      <w:r w:rsidR="000E33CA" w:rsidRPr="00BF3570">
        <w:t xml:space="preserve">there was insufficient data to inform </w:t>
      </w:r>
      <w:r w:rsidR="00ED76B1" w:rsidRPr="00BF3570">
        <w:t>a more</w:t>
      </w:r>
      <w:r w:rsidR="000E33CA" w:rsidRPr="00BF3570">
        <w:t xml:space="preserve"> granular and complex model</w:t>
      </w:r>
      <w:r w:rsidR="00ED76B1" w:rsidRPr="00BF3570">
        <w:t xml:space="preserve">, such </w:t>
      </w:r>
      <w:r w:rsidR="006715A9" w:rsidRPr="00BF3570">
        <w:t xml:space="preserve">as that </w:t>
      </w:r>
      <w:r w:rsidR="000E33CA" w:rsidRPr="00BF3570">
        <w:t>presented in the submission</w:t>
      </w:r>
      <w:r w:rsidR="006715A9" w:rsidRPr="00BF3570">
        <w:t>. Further, the</w:t>
      </w:r>
      <w:r w:rsidR="000E33CA" w:rsidRPr="00BF3570">
        <w:t xml:space="preserve"> </w:t>
      </w:r>
      <w:r w:rsidR="006715A9" w:rsidRPr="00BF3570">
        <w:t xml:space="preserve">ESC </w:t>
      </w:r>
      <w:r w:rsidR="000E33CA" w:rsidRPr="00BF3570">
        <w:t xml:space="preserve">considered the five health state model submitted to NICE and SMC was likely </w:t>
      </w:r>
      <w:r w:rsidR="00ED76B1" w:rsidRPr="00BF3570">
        <w:t xml:space="preserve">to be </w:t>
      </w:r>
      <w:r w:rsidR="000E33CA" w:rsidRPr="00BF3570">
        <w:t>more appropriate</w:t>
      </w:r>
      <w:r w:rsidR="00ED76B1" w:rsidRPr="00BF3570">
        <w:t xml:space="preserve"> and informative for decision making purposes</w:t>
      </w:r>
      <w:r w:rsidR="000E33CA" w:rsidRPr="00BF3570">
        <w:t xml:space="preserve">. </w:t>
      </w:r>
      <w:r w:rsidR="00F96BB4" w:rsidRPr="006A0482">
        <w:t xml:space="preserve">The ESC also suggested a stepped economic analysis be presented </w:t>
      </w:r>
      <w:r w:rsidR="00F96BB4" w:rsidRPr="006A0482">
        <w:lastRenderedPageBreak/>
        <w:t>to assist decision making; this should include an incremental cost per surgery avoided, with interpretation of the value proposition supported by qualitative evidence of expected improvements in quality of life and life expectancy from surgeries avoided.</w:t>
      </w:r>
    </w:p>
    <w:p w14:paraId="7F90C35E" w14:textId="657B6CC8" w:rsidR="00D1781A" w:rsidRDefault="00D1781A" w:rsidP="00D1781A">
      <w:pPr>
        <w:pStyle w:val="3-BodyText"/>
        <w:rPr>
          <w:iCs/>
        </w:rPr>
      </w:pPr>
      <w:bookmarkStart w:id="79" w:name="_Ref172282291"/>
      <w:r>
        <w:rPr>
          <w:iCs/>
        </w:rPr>
        <w:t xml:space="preserve">The pre-PBAC </w:t>
      </w:r>
      <w:r w:rsidR="008C077D">
        <w:rPr>
          <w:iCs/>
        </w:rPr>
        <w:t>response suggested</w:t>
      </w:r>
      <w:r w:rsidR="005901CE">
        <w:rPr>
          <w:iCs/>
        </w:rPr>
        <w:t xml:space="preserve"> that</w:t>
      </w:r>
      <w:r w:rsidRPr="00CE3948">
        <w:rPr>
          <w:iCs/>
        </w:rPr>
        <w:t xml:space="preserve"> </w:t>
      </w:r>
      <w:r w:rsidR="005901CE">
        <w:rPr>
          <w:iCs/>
        </w:rPr>
        <w:t xml:space="preserve">an </w:t>
      </w:r>
      <w:r w:rsidRPr="00CE3948">
        <w:rPr>
          <w:iCs/>
        </w:rPr>
        <w:t>update</w:t>
      </w:r>
      <w:r w:rsidR="005901CE">
        <w:rPr>
          <w:iCs/>
        </w:rPr>
        <w:t xml:space="preserve">d or </w:t>
      </w:r>
      <w:r w:rsidRPr="00CE3948">
        <w:rPr>
          <w:iCs/>
        </w:rPr>
        <w:t xml:space="preserve">alternative economic model </w:t>
      </w:r>
      <w:r w:rsidR="005901CE">
        <w:rPr>
          <w:iCs/>
        </w:rPr>
        <w:t>structure was</w:t>
      </w:r>
      <w:r w:rsidRPr="00CE3948">
        <w:rPr>
          <w:iCs/>
        </w:rPr>
        <w:t xml:space="preserve"> unlikely to be any more informative or robust. To address </w:t>
      </w:r>
      <w:r w:rsidR="005901CE">
        <w:rPr>
          <w:iCs/>
        </w:rPr>
        <w:t xml:space="preserve">concerns raised by the </w:t>
      </w:r>
      <w:r>
        <w:rPr>
          <w:iCs/>
        </w:rPr>
        <w:t>evaluation</w:t>
      </w:r>
      <w:r w:rsidR="005901CE">
        <w:rPr>
          <w:iCs/>
        </w:rPr>
        <w:t xml:space="preserve">, </w:t>
      </w:r>
      <w:r w:rsidRPr="00CE3948">
        <w:rPr>
          <w:iCs/>
        </w:rPr>
        <w:t>ESC</w:t>
      </w:r>
      <w:r w:rsidR="005901CE">
        <w:rPr>
          <w:iCs/>
        </w:rPr>
        <w:t xml:space="preserve">, and </w:t>
      </w:r>
      <w:r w:rsidRPr="00CE3948">
        <w:rPr>
          <w:iCs/>
        </w:rPr>
        <w:t xml:space="preserve">DUSC, the </w:t>
      </w:r>
      <w:r>
        <w:rPr>
          <w:iCs/>
        </w:rPr>
        <w:t>sponsor</w:t>
      </w:r>
      <w:r w:rsidRPr="00CE3948">
        <w:rPr>
          <w:iCs/>
        </w:rPr>
        <w:t xml:space="preserve"> proposed </w:t>
      </w:r>
      <w:r>
        <w:rPr>
          <w:iCs/>
        </w:rPr>
        <w:t>the following</w:t>
      </w:r>
      <w:r w:rsidR="005901CE">
        <w:rPr>
          <w:iCs/>
        </w:rPr>
        <w:t xml:space="preserve"> modelling scenario</w:t>
      </w:r>
      <w:r>
        <w:rPr>
          <w:iCs/>
        </w:rPr>
        <w:t xml:space="preserve"> </w:t>
      </w:r>
      <w:r w:rsidRPr="00CE3948">
        <w:rPr>
          <w:iCs/>
        </w:rPr>
        <w:t>for PBAC consideration</w:t>
      </w:r>
      <w:r>
        <w:rPr>
          <w:iCs/>
        </w:rPr>
        <w:t xml:space="preserve">: </w:t>
      </w:r>
      <w:r w:rsidRPr="00CE3948">
        <w:rPr>
          <w:iCs/>
        </w:rPr>
        <w:t>treatment discontinuation only occurs once patients develop metastases</w:t>
      </w:r>
      <w:r>
        <w:rPr>
          <w:iCs/>
        </w:rPr>
        <w:t xml:space="preserve">; this </w:t>
      </w:r>
      <w:r w:rsidRPr="00746E03">
        <w:rPr>
          <w:iCs/>
        </w:rPr>
        <w:t>assume</w:t>
      </w:r>
      <w:r>
        <w:rPr>
          <w:iCs/>
        </w:rPr>
        <w:t>s a</w:t>
      </w:r>
      <w:r w:rsidRPr="00746E03">
        <w:rPr>
          <w:iCs/>
        </w:rPr>
        <w:t xml:space="preserve"> modelled </w:t>
      </w:r>
      <w:r>
        <w:rPr>
          <w:iCs/>
        </w:rPr>
        <w:t>time on</w:t>
      </w:r>
      <w:r w:rsidRPr="00746E03">
        <w:rPr>
          <w:iCs/>
        </w:rPr>
        <w:t xml:space="preserve"> treatment of 29.9 to 32.2 years</w:t>
      </w:r>
      <w:r>
        <w:rPr>
          <w:iCs/>
        </w:rPr>
        <w:t>; a price reduction with an effective AEMP of $</w:t>
      </w:r>
      <w:r w:rsidR="00501C36" w:rsidRPr="006F175E">
        <w:rPr>
          <w:iCs/>
          <w:color w:val="000000"/>
          <w:w w:val="15"/>
          <w:shd w:val="solid" w:color="000000" w:fill="000000"/>
          <w:fitText w:val="-20" w:id="-893684725"/>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5"/>
          <w14:textFill>
            <w14:solidFill>
              <w14:srgbClr w14:val="000000">
                <w14:alpha w14:val="100000"/>
              </w14:srgbClr>
            </w14:solidFill>
          </w14:textFill>
        </w:rPr>
        <w:t>|</w:t>
      </w:r>
      <w:r>
        <w:rPr>
          <w:iCs/>
        </w:rPr>
        <w:t xml:space="preserve"> (DPMQ $</w:t>
      </w:r>
      <w:r w:rsidR="00501C36" w:rsidRPr="006F175E">
        <w:rPr>
          <w:iCs/>
          <w:color w:val="000000"/>
          <w:w w:val="15"/>
          <w:shd w:val="solid" w:color="000000" w:fill="000000"/>
          <w:fitText w:val="-20" w:id="-893684724"/>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4"/>
          <w14:textFill>
            <w14:solidFill>
              <w14:srgbClr w14:val="000000">
                <w14:alpha w14:val="100000"/>
              </w14:srgbClr>
            </w14:solidFill>
          </w14:textFill>
        </w:rPr>
        <w:t>|</w:t>
      </w:r>
      <w:r>
        <w:rPr>
          <w:iCs/>
        </w:rPr>
        <w:t xml:space="preserve">). </w:t>
      </w:r>
      <w:r w:rsidR="0093402D">
        <w:rPr>
          <w:iCs/>
        </w:rPr>
        <w:t xml:space="preserve">This scenario, without the price reduction, was presented in the evaluation (see paragraph </w:t>
      </w:r>
      <w:r w:rsidR="0093402D">
        <w:rPr>
          <w:iCs/>
        </w:rPr>
        <w:fldChar w:fldCharType="begin" w:fldLock="1"/>
      </w:r>
      <w:r w:rsidR="0093402D">
        <w:rPr>
          <w:iCs/>
        </w:rPr>
        <w:instrText xml:space="preserve"> REF _Ref172880588 \r \h </w:instrText>
      </w:r>
      <w:r w:rsidR="0093402D">
        <w:rPr>
          <w:iCs/>
        </w:rPr>
      </w:r>
      <w:r w:rsidR="0093402D">
        <w:rPr>
          <w:iCs/>
        </w:rPr>
        <w:fldChar w:fldCharType="separate"/>
      </w:r>
      <w:r w:rsidR="00437B51">
        <w:rPr>
          <w:iCs/>
        </w:rPr>
        <w:t>6.48</w:t>
      </w:r>
      <w:r w:rsidR="0093402D">
        <w:rPr>
          <w:iCs/>
        </w:rPr>
        <w:fldChar w:fldCharType="end"/>
      </w:r>
      <w:r w:rsidR="0093402D">
        <w:rPr>
          <w:iCs/>
        </w:rPr>
        <w:t xml:space="preserve">) </w:t>
      </w:r>
      <w:r w:rsidR="00A92510">
        <w:rPr>
          <w:iCs/>
        </w:rPr>
        <w:t xml:space="preserve">resulting in </w:t>
      </w:r>
      <w:r w:rsidR="00A92510" w:rsidRPr="0049394D">
        <w:rPr>
          <w:iCs/>
        </w:rPr>
        <w:t>ICER increase</w:t>
      </w:r>
      <w:r w:rsidR="00A92510">
        <w:rPr>
          <w:iCs/>
        </w:rPr>
        <w:t>s</w:t>
      </w:r>
      <w:r w:rsidR="00A92510" w:rsidRPr="0049394D">
        <w:rPr>
          <w:iCs/>
        </w:rPr>
        <w:t xml:space="preserve"> to </w:t>
      </w:r>
      <w:r w:rsidR="00A92510" w:rsidRPr="00BE323C">
        <w:rPr>
          <w:iCs/>
        </w:rPr>
        <w:t>$</w:t>
      </w:r>
      <w:r w:rsidR="008A0BE7" w:rsidRPr="008A0BE7">
        <w:rPr>
          <w:iCs/>
        </w:rPr>
        <w:t>355,000 to &lt; $455,000</w:t>
      </w:r>
      <w:r w:rsidR="00A92510" w:rsidRPr="00BE323C">
        <w:rPr>
          <w:iCs/>
        </w:rPr>
        <w:t>, $</w:t>
      </w:r>
      <w:r w:rsidR="008A0BE7" w:rsidRPr="008A0BE7">
        <w:rPr>
          <w:iCs/>
        </w:rPr>
        <w:t>255,000 to &lt; $355,000</w:t>
      </w:r>
      <w:r w:rsidR="00A92510" w:rsidRPr="00BE323C">
        <w:rPr>
          <w:iCs/>
        </w:rPr>
        <w:t>, $</w:t>
      </w:r>
      <w:r w:rsidR="008A0BE7" w:rsidRPr="008A0BE7">
        <w:rPr>
          <w:iCs/>
        </w:rPr>
        <w:t>255,000 to &lt; $355,000</w:t>
      </w:r>
      <w:r w:rsidR="00F96C75">
        <w:rPr>
          <w:iCs/>
        </w:rPr>
        <w:t xml:space="preserve"> </w:t>
      </w:r>
      <w:r w:rsidR="00A92510" w:rsidRPr="00BE323C">
        <w:rPr>
          <w:iCs/>
        </w:rPr>
        <w:t>per QALY gained in the RCC, CNS Hb and pNET models respectively</w:t>
      </w:r>
      <w:r w:rsidR="00A92510">
        <w:rPr>
          <w:iCs/>
        </w:rPr>
        <w:t xml:space="preserve">. </w:t>
      </w:r>
      <w:r>
        <w:rPr>
          <w:iCs/>
        </w:rPr>
        <w:t xml:space="preserve">The </w:t>
      </w:r>
      <w:r w:rsidR="00A92510">
        <w:rPr>
          <w:iCs/>
        </w:rPr>
        <w:t xml:space="preserve">sponsor’s </w:t>
      </w:r>
      <w:r>
        <w:rPr>
          <w:iCs/>
        </w:rPr>
        <w:t>revised ICERs</w:t>
      </w:r>
      <w:r w:rsidR="00A92510">
        <w:rPr>
          <w:iCs/>
        </w:rPr>
        <w:t xml:space="preserve">, incorporating the </w:t>
      </w:r>
      <w:r w:rsidR="00501C36" w:rsidRPr="006F175E">
        <w:rPr>
          <w:iCs/>
          <w:color w:val="000000"/>
          <w:w w:val="15"/>
          <w:shd w:val="solid" w:color="000000" w:fill="000000"/>
          <w:fitText w:val="-20" w:id="-893684723"/>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723"/>
          <w14:textFill>
            <w14:solidFill>
              <w14:srgbClr w14:val="000000">
                <w14:alpha w14:val="100000"/>
              </w14:srgbClr>
            </w14:solidFill>
          </w14:textFill>
        </w:rPr>
        <w:t>|</w:t>
      </w:r>
      <w:r w:rsidR="00A92510">
        <w:rPr>
          <w:iCs/>
        </w:rPr>
        <w:t>% price reduction,</w:t>
      </w:r>
      <w:r>
        <w:rPr>
          <w:iCs/>
        </w:rPr>
        <w:t xml:space="preserve"> were RCC = $</w:t>
      </w:r>
      <w:r w:rsidR="008A0BE7" w:rsidRPr="008A0BE7">
        <w:rPr>
          <w:iCs/>
        </w:rPr>
        <w:t>155,000 to &lt; $255,000</w:t>
      </w:r>
      <w:r w:rsidRPr="00746E03">
        <w:rPr>
          <w:iCs/>
        </w:rPr>
        <w:t>/QALY</w:t>
      </w:r>
      <w:r>
        <w:rPr>
          <w:iCs/>
        </w:rPr>
        <w:t xml:space="preserve">, </w:t>
      </w:r>
      <w:r w:rsidRPr="00D1781A">
        <w:rPr>
          <w:iCs/>
        </w:rPr>
        <w:t>CNS Hb = $</w:t>
      </w:r>
      <w:r w:rsidR="008A0BE7" w:rsidRPr="008A0BE7">
        <w:rPr>
          <w:iCs/>
        </w:rPr>
        <w:t>155,000 to &lt; $255,000</w:t>
      </w:r>
      <w:r w:rsidRPr="00D1781A">
        <w:rPr>
          <w:iCs/>
        </w:rPr>
        <w:t>/QALY, pNET = $</w:t>
      </w:r>
      <w:r w:rsidR="008A0BE7" w:rsidRPr="008A0BE7">
        <w:rPr>
          <w:iCs/>
        </w:rPr>
        <w:t>155,000 to &lt; $255,000</w:t>
      </w:r>
      <w:r w:rsidRPr="00D1781A">
        <w:rPr>
          <w:iCs/>
        </w:rPr>
        <w:t>/QALY</w:t>
      </w:r>
      <w:r>
        <w:rPr>
          <w:iCs/>
        </w:rPr>
        <w:t>.</w:t>
      </w:r>
      <w:bookmarkEnd w:id="79"/>
    </w:p>
    <w:p w14:paraId="31AEC7EA" w14:textId="6A1E17E0" w:rsidR="003F7A5A" w:rsidRPr="00BF3570" w:rsidRDefault="001D5BD8" w:rsidP="004B3806">
      <w:pPr>
        <w:pStyle w:val="3-BodyText"/>
      </w:pPr>
      <w:r w:rsidRPr="00BF3570">
        <w:t xml:space="preserve">The </w:t>
      </w:r>
      <w:r w:rsidR="004B3806" w:rsidRPr="00BF3570">
        <w:t>ESC</w:t>
      </w:r>
      <w:r w:rsidRPr="00BF3570">
        <w:t xml:space="preserve"> also considered that the</w:t>
      </w:r>
      <w:r w:rsidR="00E20F5E" w:rsidRPr="00BF3570">
        <w:t xml:space="preserve"> </w:t>
      </w:r>
      <w:r w:rsidR="00E20F5E" w:rsidRPr="001D5BD8">
        <w:t>benefit of belzutifan was</w:t>
      </w:r>
      <w:r w:rsidRPr="00BF3570">
        <w:t xml:space="preserve"> overestimated, as it</w:t>
      </w:r>
      <w:r w:rsidR="00E20F5E" w:rsidRPr="0049394D">
        <w:t xml:space="preserve"> assumed to not only apply to time to model specific tumour surgery (e.g. RCC surgery in the RCC model), but also to: time to surgeries of all VHL-associated tumours, including those not assessed in LS-004 (and for benefit to continue for subsequent surgeries); time to metastatic pNETs or RCC (in all models); time to death (for the proportion of patients in each model with CNS Hb tumours); and a utility benefit in the non-metastatic alive states of the models. No direct evidence of these benefits was observed in LS-004.</w:t>
      </w:r>
      <w:r w:rsidR="00A4302A">
        <w:t xml:space="preserve"> </w:t>
      </w:r>
      <w:r w:rsidR="00A07F88" w:rsidRPr="00BF3570">
        <w:t xml:space="preserve">The </w:t>
      </w:r>
      <w:r w:rsidR="008C077D" w:rsidRPr="00BF3570">
        <w:t>PSCR argued</w:t>
      </w:r>
      <w:r w:rsidR="00A07F88" w:rsidRPr="00BF3570">
        <w:t xml:space="preserve"> that belzutifan reduces the risks of surgeries and metastatic disease through the same mechanism (i.e. decreasing tumour size or </w:t>
      </w:r>
      <w:r w:rsidR="008311F5" w:rsidRPr="00BF3570">
        <w:t>stopping</w:t>
      </w:r>
      <w:r w:rsidR="00A07F88" w:rsidRPr="00BF3570">
        <w:t xml:space="preserve"> growth) and that there is a well-established link between the size of the largest renal tumour and risk of metastases in RCC. </w:t>
      </w:r>
      <w:r w:rsidR="008311F5" w:rsidRPr="00BF3570">
        <w:t>The PSCR also maintained that b</w:t>
      </w:r>
      <w:r w:rsidR="00A07F88" w:rsidRPr="00BF3570">
        <w:t>elzutifan is expected to reduce the risk of death</w:t>
      </w:r>
      <w:r w:rsidR="0058085A" w:rsidRPr="00BF3570">
        <w:t>, specifically for CNS Hb</w:t>
      </w:r>
      <w:r w:rsidR="00A07F88" w:rsidRPr="00BF3570">
        <w:t>. Although CNS Hb are considered ‘benign’ due to their inability to metastasise, they are a major cause of morbidity and mortality due to the mass effect and pressure exerted on nearby sensitive CNS structures</w:t>
      </w:r>
      <w:r w:rsidR="0058085A" w:rsidRPr="00BF3570">
        <w:t>. The PSCR stated that a</w:t>
      </w:r>
      <w:r w:rsidR="00A07F88" w:rsidRPr="00BF3570">
        <w:t xml:space="preserve">s of the </w:t>
      </w:r>
      <w:r w:rsidR="0058085A" w:rsidRPr="00BF3570">
        <w:t xml:space="preserve">LS-004 </w:t>
      </w:r>
      <w:r w:rsidR="00A07F88" w:rsidRPr="00BF3570">
        <w:t xml:space="preserve">April 2022 and later </w:t>
      </w:r>
      <w:r w:rsidR="00E7608A" w:rsidRPr="00BF3570">
        <w:t>data cut off</w:t>
      </w:r>
      <w:r w:rsidR="00A07F88" w:rsidRPr="00BF3570">
        <w:t>, there have been no deaths due to CNS Hb progression</w:t>
      </w:r>
      <w:r w:rsidR="0058085A" w:rsidRPr="00BF3570">
        <w:t>, and therefore considered the models assumptions conservative</w:t>
      </w:r>
      <w:r w:rsidR="00A07F88" w:rsidRPr="00BF3570">
        <w:t xml:space="preserve">. </w:t>
      </w:r>
      <w:r w:rsidR="003A1273" w:rsidRPr="00BF3570">
        <w:t>However, the</w:t>
      </w:r>
      <w:r w:rsidR="0058085A" w:rsidRPr="00BF3570">
        <w:t xml:space="preserve"> ESC </w:t>
      </w:r>
      <w:r w:rsidR="003A1273" w:rsidRPr="00BF3570">
        <w:t>maintained</w:t>
      </w:r>
      <w:r w:rsidR="0058085A" w:rsidRPr="00BF3570">
        <w:t xml:space="preserve"> that </w:t>
      </w:r>
      <w:r w:rsidR="003A1273" w:rsidRPr="00BF3570">
        <w:t>the</w:t>
      </w:r>
      <w:r w:rsidR="0058085A" w:rsidRPr="00BF3570">
        <w:t xml:space="preserve"> long-term benefits of belzutifan</w:t>
      </w:r>
      <w:r w:rsidR="003A1273" w:rsidRPr="00BF3570">
        <w:t xml:space="preserve"> assumed in the economic model were uncertain as there was no direct evidence of such benefits observed in LS-004.</w:t>
      </w:r>
    </w:p>
    <w:p w14:paraId="2C988660" w14:textId="0C20BF4E" w:rsidR="00E20F5E" w:rsidRPr="0049394D" w:rsidRDefault="00F3737F" w:rsidP="00E20F5E">
      <w:pPr>
        <w:pStyle w:val="3-BodyText"/>
        <w:rPr>
          <w:iCs/>
        </w:rPr>
      </w:pPr>
      <w:r w:rsidRPr="00BF3570">
        <w:t xml:space="preserve">While the </w:t>
      </w:r>
      <w:r w:rsidR="008C077D" w:rsidRPr="00BF3570">
        <w:t>PSCR stated</w:t>
      </w:r>
      <w:r w:rsidRPr="00BF3570">
        <w:t xml:space="preserve"> that </w:t>
      </w:r>
      <w:r w:rsidR="00A07F88" w:rsidRPr="00BF3570">
        <w:t>the model does not assign any added utility benefit for CR or PR above and beyond the utility associated with SD</w:t>
      </w:r>
      <w:r w:rsidR="003F7A5A" w:rsidRPr="00BF3570">
        <w:t xml:space="preserve">, it was noted that the utility for CR was 0.868 compared to 0.754 for PR and SD. </w:t>
      </w:r>
      <w:r w:rsidR="00F266D8" w:rsidRPr="00BF3570">
        <w:t>A</w:t>
      </w:r>
      <w:r w:rsidR="003F7A5A" w:rsidRPr="00BF3570">
        <w:t>s utility in the pre-surgery, surgery and EFS-post-surgery health states was weighted by patients’ best response (not accounting for time to or duration of response), the models explicitly estimate a higher utility for patients receiving belzutifan (0.762 vs 0.728 in the RCC model, 0.758 vs 0.728 in the CNS Hb model, 0.790 vs 0.728 in the pNET model).</w:t>
      </w:r>
      <w:r w:rsidR="00E20F5E" w:rsidRPr="0049394D">
        <w:t xml:space="preserve">The results of key sensitivity analyses are summarised in </w:t>
      </w:r>
      <w:r w:rsidR="00E20F5E" w:rsidRPr="0049394D">
        <w:fldChar w:fldCharType="begin" w:fldLock="1"/>
      </w:r>
      <w:r w:rsidR="00E20F5E" w:rsidRPr="0049394D">
        <w:instrText xml:space="preserve"> REF _Ref104804865 \h </w:instrText>
      </w:r>
      <w:r w:rsidR="00E20F5E" w:rsidRPr="0049394D">
        <w:fldChar w:fldCharType="separate"/>
      </w:r>
      <w:r w:rsidR="00437B51" w:rsidRPr="0049394D">
        <w:t xml:space="preserve">Table </w:t>
      </w:r>
      <w:r w:rsidR="00437B51">
        <w:rPr>
          <w:noProof/>
        </w:rPr>
        <w:t>17</w:t>
      </w:r>
      <w:r w:rsidR="00E20F5E" w:rsidRPr="0049394D">
        <w:fldChar w:fldCharType="end"/>
      </w:r>
      <w:r w:rsidR="00E20F5E" w:rsidRPr="0049394D">
        <w:t xml:space="preserve">. </w:t>
      </w:r>
      <w:r w:rsidR="00E20F5E" w:rsidRPr="0049394D">
        <w:rPr>
          <w:iCs/>
        </w:rPr>
        <w:t xml:space="preserve">The ICERs were most sensitive to the </w:t>
      </w:r>
      <w:r w:rsidR="00E20F5E" w:rsidRPr="0049394D">
        <w:rPr>
          <w:iCs/>
        </w:rPr>
        <w:lastRenderedPageBreak/>
        <w:t xml:space="preserve">extrapolation period (time horizon), pre-surgery to surgery extrapolation choice, the assumed benefit of belzutifan beyond time to first surgery, the </w:t>
      </w:r>
      <w:r w:rsidR="00976343" w:rsidRPr="0049394D">
        <w:rPr>
          <w:iCs/>
        </w:rPr>
        <w:t>real-world</w:t>
      </w:r>
      <w:r w:rsidR="00E20F5E" w:rsidRPr="0049394D">
        <w:rPr>
          <w:iCs/>
        </w:rPr>
        <w:t xml:space="preserve"> adjustment, the treatment waning effect, time on belzutifan and long term disutilities after surgery. Specific scenario analyses relating to indirect costs and disutilities are discussed in paragraphs </w:t>
      </w:r>
      <w:r w:rsidR="00976343" w:rsidRPr="0049394D">
        <w:rPr>
          <w:iCs/>
        </w:rPr>
        <w:t>below</w:t>
      </w:r>
      <w:r w:rsidR="00E20F5E" w:rsidRPr="0049394D">
        <w:rPr>
          <w:iCs/>
        </w:rPr>
        <w:t>.</w:t>
      </w:r>
      <w:r w:rsidR="002E648F" w:rsidRPr="0049394D">
        <w:rPr>
          <w:iCs/>
        </w:rPr>
        <w:t xml:space="preserve"> </w:t>
      </w:r>
    </w:p>
    <w:p w14:paraId="50666D10" w14:textId="2D4036DF" w:rsidR="002E648F" w:rsidRPr="0049394D" w:rsidRDefault="002E648F" w:rsidP="00E20F5E">
      <w:pPr>
        <w:pStyle w:val="3-BodyText"/>
        <w:rPr>
          <w:iCs/>
        </w:rPr>
      </w:pPr>
      <w:r w:rsidRPr="0049394D">
        <w:rPr>
          <w:iCs/>
        </w:rPr>
        <w:t xml:space="preserve">Given the high level of uncertainty </w:t>
      </w:r>
      <w:r w:rsidR="00D9491D">
        <w:rPr>
          <w:iCs/>
        </w:rPr>
        <w:t>in</w:t>
      </w:r>
      <w:r w:rsidRPr="0049394D">
        <w:rPr>
          <w:iCs/>
        </w:rPr>
        <w:t xml:space="preserve"> the majority of model inputs and assumptions</w:t>
      </w:r>
      <w:r w:rsidR="00D9491D">
        <w:rPr>
          <w:iCs/>
        </w:rPr>
        <w:t>,</w:t>
      </w:r>
      <w:r w:rsidRPr="0049394D">
        <w:rPr>
          <w:iCs/>
        </w:rPr>
        <w:t xml:space="preserve"> a multivariate sensitivity analysis was not compiled during the evaluation, as it was considered unlikely to </w:t>
      </w:r>
      <w:r w:rsidR="00751DCD">
        <w:rPr>
          <w:iCs/>
        </w:rPr>
        <w:t>improve model</w:t>
      </w:r>
      <w:r w:rsidRPr="0049394D">
        <w:rPr>
          <w:iCs/>
        </w:rPr>
        <w:t xml:space="preserve"> certainty. </w:t>
      </w:r>
    </w:p>
    <w:p w14:paraId="1462A5A9" w14:textId="64A64D7A" w:rsidR="00E20F5E" w:rsidRPr="0049394D" w:rsidRDefault="00E20F5E" w:rsidP="00E20F5E">
      <w:pPr>
        <w:pStyle w:val="Caption"/>
        <w:rPr>
          <w:rStyle w:val="CommentReference"/>
          <w:b/>
          <w:szCs w:val="24"/>
        </w:rPr>
      </w:pPr>
      <w:bookmarkStart w:id="80" w:name="_Ref104804865"/>
      <w:r w:rsidRPr="0049394D">
        <w:t xml:space="preserve">Table </w:t>
      </w:r>
      <w:r>
        <w:fldChar w:fldCharType="begin" w:fldLock="1"/>
      </w:r>
      <w:r>
        <w:instrText xml:space="preserve"> SEQ Table \* ARABIC </w:instrText>
      </w:r>
      <w:r>
        <w:fldChar w:fldCharType="separate"/>
      </w:r>
      <w:r w:rsidR="00437B51">
        <w:rPr>
          <w:noProof/>
        </w:rPr>
        <w:t>17</w:t>
      </w:r>
      <w:r>
        <w:rPr>
          <w:noProof/>
        </w:rPr>
        <w:fldChar w:fldCharType="end"/>
      </w:r>
      <w:bookmarkEnd w:id="80"/>
      <w:r w:rsidRPr="0049394D">
        <w:t>:</w:t>
      </w:r>
      <w:r w:rsidRPr="0049394D">
        <w:rPr>
          <w:rStyle w:val="CommentReference"/>
          <w:b/>
          <w:szCs w:val="24"/>
        </w:rPr>
        <w:t xml:space="preserve"> Sensitivity analyses</w:t>
      </w:r>
    </w:p>
    <w:tbl>
      <w:tblPr>
        <w:tblStyle w:val="TableGrid"/>
        <w:tblW w:w="5000" w:type="pct"/>
        <w:tblLayout w:type="fixed"/>
        <w:tblLook w:val="04A0" w:firstRow="1" w:lastRow="0" w:firstColumn="1" w:lastColumn="0" w:noHBand="0" w:noVBand="1"/>
        <w:tblCaption w:val="Table 17: Sensitivity analyses"/>
      </w:tblPr>
      <w:tblGrid>
        <w:gridCol w:w="2693"/>
        <w:gridCol w:w="1053"/>
        <w:gridCol w:w="1055"/>
        <w:gridCol w:w="1053"/>
        <w:gridCol w:w="1055"/>
        <w:gridCol w:w="1053"/>
        <w:gridCol w:w="1055"/>
      </w:tblGrid>
      <w:tr w:rsidR="00E20F5E" w:rsidRPr="0049394D" w14:paraId="1E3EF754" w14:textId="77777777" w:rsidTr="00243D28">
        <w:trPr>
          <w:trHeight w:val="56"/>
          <w:tblHeader/>
        </w:trPr>
        <w:tc>
          <w:tcPr>
            <w:tcW w:w="1493" w:type="pct"/>
            <w:vMerge w:val="restart"/>
            <w:noWrap/>
            <w:vAlign w:val="center"/>
          </w:tcPr>
          <w:p w14:paraId="2779FD44" w14:textId="77777777" w:rsidR="00E20F5E" w:rsidRPr="0049394D" w:rsidRDefault="00E20F5E" w:rsidP="00282F0D">
            <w:pPr>
              <w:pStyle w:val="In-tableHeading"/>
              <w:keepNext w:val="0"/>
              <w:rPr>
                <w:lang w:val="en-AU"/>
              </w:rPr>
            </w:pPr>
            <w:r w:rsidRPr="0049394D">
              <w:rPr>
                <w:lang w:val="en-AU"/>
              </w:rPr>
              <w:t>Analyses</w:t>
            </w:r>
          </w:p>
        </w:tc>
        <w:tc>
          <w:tcPr>
            <w:tcW w:w="1169" w:type="pct"/>
            <w:gridSpan w:val="2"/>
            <w:noWrap/>
            <w:vAlign w:val="center"/>
          </w:tcPr>
          <w:p w14:paraId="0DF5EE60" w14:textId="77777777" w:rsidR="00E20F5E" w:rsidRPr="0049394D" w:rsidRDefault="00E20F5E" w:rsidP="00243D28">
            <w:pPr>
              <w:pStyle w:val="In-tableHeading"/>
              <w:keepNext w:val="0"/>
              <w:jc w:val="center"/>
              <w:rPr>
                <w:lang w:val="en-AU"/>
              </w:rPr>
            </w:pPr>
            <w:r w:rsidRPr="0049394D">
              <w:rPr>
                <w:lang w:val="en-AU"/>
              </w:rPr>
              <w:t>RCC model</w:t>
            </w:r>
          </w:p>
        </w:tc>
        <w:tc>
          <w:tcPr>
            <w:tcW w:w="1169" w:type="pct"/>
            <w:gridSpan w:val="2"/>
            <w:vAlign w:val="center"/>
          </w:tcPr>
          <w:p w14:paraId="2EC69618" w14:textId="77777777" w:rsidR="00E20F5E" w:rsidRPr="0049394D" w:rsidRDefault="00E20F5E" w:rsidP="00243D28">
            <w:pPr>
              <w:pStyle w:val="In-tableHeading"/>
              <w:keepNext w:val="0"/>
              <w:jc w:val="center"/>
              <w:rPr>
                <w:lang w:val="en-AU"/>
              </w:rPr>
            </w:pPr>
            <w:r w:rsidRPr="0049394D">
              <w:rPr>
                <w:lang w:val="en-AU"/>
              </w:rPr>
              <w:t>CNS Hb model</w:t>
            </w:r>
          </w:p>
        </w:tc>
        <w:tc>
          <w:tcPr>
            <w:tcW w:w="1169" w:type="pct"/>
            <w:gridSpan w:val="2"/>
            <w:vAlign w:val="center"/>
          </w:tcPr>
          <w:p w14:paraId="1378D98F" w14:textId="77777777" w:rsidR="00E20F5E" w:rsidRPr="0049394D" w:rsidRDefault="00E20F5E" w:rsidP="00243D28">
            <w:pPr>
              <w:pStyle w:val="In-tableHeading"/>
              <w:keepNext w:val="0"/>
              <w:jc w:val="center"/>
              <w:rPr>
                <w:lang w:val="en-AU"/>
              </w:rPr>
            </w:pPr>
            <w:r w:rsidRPr="0049394D">
              <w:rPr>
                <w:lang w:val="en-AU"/>
              </w:rPr>
              <w:t>pNET model</w:t>
            </w:r>
          </w:p>
        </w:tc>
      </w:tr>
      <w:tr w:rsidR="00E20F5E" w:rsidRPr="0049394D" w14:paraId="5F35BF87" w14:textId="77777777" w:rsidTr="00243D28">
        <w:trPr>
          <w:trHeight w:val="56"/>
          <w:tblHeader/>
        </w:trPr>
        <w:tc>
          <w:tcPr>
            <w:tcW w:w="1493" w:type="pct"/>
            <w:vMerge/>
            <w:noWrap/>
          </w:tcPr>
          <w:p w14:paraId="70A303B7" w14:textId="77777777" w:rsidR="00E20F5E" w:rsidRPr="0049394D" w:rsidRDefault="00E20F5E" w:rsidP="00282F0D">
            <w:pPr>
              <w:pStyle w:val="In-tableHeading"/>
              <w:keepNext w:val="0"/>
              <w:rPr>
                <w:lang w:val="en-AU"/>
              </w:rPr>
            </w:pPr>
          </w:p>
        </w:tc>
        <w:tc>
          <w:tcPr>
            <w:tcW w:w="584" w:type="pct"/>
            <w:noWrap/>
            <w:vAlign w:val="center"/>
          </w:tcPr>
          <w:p w14:paraId="38D27825" w14:textId="42776CF1" w:rsidR="00E20F5E" w:rsidRPr="0049394D" w:rsidRDefault="00E20F5E" w:rsidP="00243D28">
            <w:pPr>
              <w:pStyle w:val="In-tableHeading"/>
              <w:keepNext w:val="0"/>
              <w:jc w:val="center"/>
              <w:rPr>
                <w:lang w:val="en-AU"/>
              </w:rPr>
            </w:pPr>
            <w:r w:rsidRPr="0049394D">
              <w:rPr>
                <w:lang w:val="en-AU"/>
              </w:rPr>
              <w:t>ICER</w:t>
            </w:r>
            <w:r w:rsidR="008A0BE7">
              <w:rPr>
                <w:lang w:val="en-AU"/>
              </w:rPr>
              <w:t xml:space="preserve"> ($)</w:t>
            </w:r>
          </w:p>
        </w:tc>
        <w:tc>
          <w:tcPr>
            <w:tcW w:w="585" w:type="pct"/>
            <w:noWrap/>
            <w:vAlign w:val="center"/>
          </w:tcPr>
          <w:p w14:paraId="7D57F63C" w14:textId="77777777" w:rsidR="00E20F5E" w:rsidRPr="0049394D" w:rsidRDefault="00E20F5E" w:rsidP="00243D28">
            <w:pPr>
              <w:pStyle w:val="In-tableHeading"/>
              <w:keepNext w:val="0"/>
              <w:jc w:val="center"/>
              <w:rPr>
                <w:lang w:val="en-AU"/>
              </w:rPr>
            </w:pPr>
            <w:r w:rsidRPr="0049394D">
              <w:rPr>
                <w:lang w:val="en-AU"/>
              </w:rPr>
              <w:t>% change</w:t>
            </w:r>
          </w:p>
        </w:tc>
        <w:tc>
          <w:tcPr>
            <w:tcW w:w="584" w:type="pct"/>
            <w:vAlign w:val="center"/>
          </w:tcPr>
          <w:p w14:paraId="328E50FC" w14:textId="7DDD1455" w:rsidR="00E20F5E" w:rsidRPr="0049394D" w:rsidRDefault="00E20F5E" w:rsidP="00243D28">
            <w:pPr>
              <w:pStyle w:val="In-tableHeading"/>
              <w:keepNext w:val="0"/>
              <w:jc w:val="center"/>
              <w:rPr>
                <w:lang w:val="en-AU"/>
              </w:rPr>
            </w:pPr>
            <w:r w:rsidRPr="0049394D">
              <w:rPr>
                <w:lang w:val="en-AU"/>
              </w:rPr>
              <w:t>ICER</w:t>
            </w:r>
            <w:r w:rsidR="002C406B">
              <w:rPr>
                <w:lang w:val="en-AU"/>
              </w:rPr>
              <w:t xml:space="preserve"> ($)</w:t>
            </w:r>
          </w:p>
        </w:tc>
        <w:tc>
          <w:tcPr>
            <w:tcW w:w="585" w:type="pct"/>
            <w:vAlign w:val="center"/>
          </w:tcPr>
          <w:p w14:paraId="18C5B0AF" w14:textId="77777777" w:rsidR="00E20F5E" w:rsidRPr="0049394D" w:rsidRDefault="00E20F5E" w:rsidP="00243D28">
            <w:pPr>
              <w:pStyle w:val="In-tableHeading"/>
              <w:keepNext w:val="0"/>
              <w:jc w:val="center"/>
              <w:rPr>
                <w:lang w:val="en-AU"/>
              </w:rPr>
            </w:pPr>
            <w:r w:rsidRPr="0049394D">
              <w:rPr>
                <w:lang w:val="en-AU"/>
              </w:rPr>
              <w:t>% change</w:t>
            </w:r>
          </w:p>
        </w:tc>
        <w:tc>
          <w:tcPr>
            <w:tcW w:w="584" w:type="pct"/>
            <w:vAlign w:val="center"/>
          </w:tcPr>
          <w:p w14:paraId="7317FAF2" w14:textId="365246C9" w:rsidR="00E20F5E" w:rsidRPr="0049394D" w:rsidRDefault="00E20F5E" w:rsidP="00243D28">
            <w:pPr>
              <w:pStyle w:val="In-tableHeading"/>
              <w:keepNext w:val="0"/>
              <w:jc w:val="center"/>
              <w:rPr>
                <w:lang w:val="en-AU"/>
              </w:rPr>
            </w:pPr>
            <w:r w:rsidRPr="0049394D">
              <w:rPr>
                <w:lang w:val="en-AU"/>
              </w:rPr>
              <w:t>ICER</w:t>
            </w:r>
            <w:r w:rsidR="002C406B">
              <w:rPr>
                <w:lang w:val="en-AU"/>
              </w:rPr>
              <w:t xml:space="preserve"> ($)</w:t>
            </w:r>
          </w:p>
        </w:tc>
        <w:tc>
          <w:tcPr>
            <w:tcW w:w="585" w:type="pct"/>
            <w:vAlign w:val="center"/>
          </w:tcPr>
          <w:p w14:paraId="7A02F9CA" w14:textId="77777777" w:rsidR="00E20F5E" w:rsidRPr="0049394D" w:rsidRDefault="00E20F5E" w:rsidP="00243D28">
            <w:pPr>
              <w:pStyle w:val="In-tableHeading"/>
              <w:keepNext w:val="0"/>
              <w:jc w:val="center"/>
              <w:rPr>
                <w:lang w:val="en-AU"/>
              </w:rPr>
            </w:pPr>
            <w:r w:rsidRPr="0049394D">
              <w:rPr>
                <w:lang w:val="en-AU"/>
              </w:rPr>
              <w:t>% change</w:t>
            </w:r>
          </w:p>
        </w:tc>
      </w:tr>
      <w:tr w:rsidR="00E20F5E" w:rsidRPr="0049394D" w14:paraId="3F6C9857" w14:textId="77777777" w:rsidTr="00243D28">
        <w:trPr>
          <w:trHeight w:val="56"/>
          <w:tblHeader/>
        </w:trPr>
        <w:tc>
          <w:tcPr>
            <w:tcW w:w="1493" w:type="pct"/>
            <w:tcBorders>
              <w:bottom w:val="single" w:sz="4" w:space="0" w:color="auto"/>
            </w:tcBorders>
            <w:noWrap/>
          </w:tcPr>
          <w:p w14:paraId="2C0195B4" w14:textId="77777777" w:rsidR="00E20F5E" w:rsidRPr="0049394D" w:rsidRDefault="00E20F5E" w:rsidP="00282F0D">
            <w:pPr>
              <w:pStyle w:val="In-tableHeading"/>
              <w:keepNext w:val="0"/>
              <w:rPr>
                <w:lang w:val="en-AU"/>
              </w:rPr>
            </w:pPr>
            <w:r w:rsidRPr="0049394D">
              <w:rPr>
                <w:lang w:val="en-AU"/>
              </w:rPr>
              <w:t>Base case</w:t>
            </w:r>
          </w:p>
        </w:tc>
        <w:tc>
          <w:tcPr>
            <w:tcW w:w="584" w:type="pct"/>
            <w:tcBorders>
              <w:bottom w:val="single" w:sz="4" w:space="0" w:color="auto"/>
            </w:tcBorders>
            <w:noWrap/>
            <w:vAlign w:val="center"/>
          </w:tcPr>
          <w:p w14:paraId="53D8F74D" w14:textId="5D77A1C8" w:rsidR="00E20F5E" w:rsidRPr="0049394D" w:rsidRDefault="00501C36" w:rsidP="00243D28">
            <w:pPr>
              <w:pStyle w:val="In-tableHeading"/>
              <w:keepNext w:val="0"/>
              <w:jc w:val="center"/>
              <w:rPr>
                <w:lang w:val="en-AU"/>
              </w:rPr>
            </w:pPr>
            <w:r w:rsidRPr="00501C36">
              <w:rPr>
                <w:color w:val="000000"/>
                <w:spacing w:val="36"/>
                <w:shd w:val="solid" w:color="000000" w:fill="000000"/>
                <w:fitText w:val="210" w:id="-893684722"/>
                <w:lang w:val="en-AU"/>
                <w14:textFill>
                  <w14:solidFill>
                    <w14:srgbClr w14:val="000000">
                      <w14:alpha w14:val="100000"/>
                    </w14:srgbClr>
                  </w14:solidFill>
                </w14:textFill>
              </w:rPr>
              <w:t>||</w:t>
            </w:r>
            <w:r w:rsidRPr="00501C36">
              <w:rPr>
                <w:color w:val="000000"/>
                <w:spacing w:val="1"/>
                <w:shd w:val="solid" w:color="000000" w:fill="000000"/>
                <w:fitText w:val="210" w:id="-893684722"/>
                <w:lang w:val="en-AU"/>
                <w14:textFill>
                  <w14:solidFill>
                    <w14:srgbClr w14:val="000000">
                      <w14:alpha w14:val="100000"/>
                    </w14:srgbClr>
                  </w14:solidFill>
                </w14:textFill>
              </w:rPr>
              <w:t>|</w:t>
            </w:r>
            <w:r w:rsidR="009C54B7" w:rsidRPr="003F0AD1">
              <w:rPr>
                <w:iCs/>
                <w:vertAlign w:val="superscript"/>
              </w:rPr>
              <w:t>1</w:t>
            </w:r>
          </w:p>
        </w:tc>
        <w:tc>
          <w:tcPr>
            <w:tcW w:w="585" w:type="pct"/>
            <w:tcBorders>
              <w:bottom w:val="single" w:sz="4" w:space="0" w:color="auto"/>
            </w:tcBorders>
            <w:noWrap/>
            <w:vAlign w:val="center"/>
          </w:tcPr>
          <w:p w14:paraId="459427CE" w14:textId="77777777" w:rsidR="00E20F5E" w:rsidRPr="0049394D" w:rsidRDefault="00E20F5E" w:rsidP="00243D28">
            <w:pPr>
              <w:pStyle w:val="In-tableHeading"/>
              <w:keepNext w:val="0"/>
              <w:jc w:val="center"/>
              <w:rPr>
                <w:lang w:val="en-AU"/>
              </w:rPr>
            </w:pPr>
            <w:r w:rsidRPr="0049394D">
              <w:rPr>
                <w:lang w:val="en-AU"/>
              </w:rPr>
              <w:t>-</w:t>
            </w:r>
          </w:p>
        </w:tc>
        <w:tc>
          <w:tcPr>
            <w:tcW w:w="584" w:type="pct"/>
            <w:tcBorders>
              <w:bottom w:val="single" w:sz="4" w:space="0" w:color="auto"/>
            </w:tcBorders>
            <w:vAlign w:val="center"/>
          </w:tcPr>
          <w:p w14:paraId="5FC7D3B7" w14:textId="2B9622F6" w:rsidR="00E20F5E" w:rsidRPr="0049394D" w:rsidRDefault="00501C36" w:rsidP="00243D28">
            <w:pPr>
              <w:pStyle w:val="In-tableHeading"/>
              <w:keepNext w:val="0"/>
              <w:jc w:val="center"/>
              <w:rPr>
                <w:lang w:val="en-AU"/>
              </w:rPr>
            </w:pPr>
            <w:r w:rsidRPr="00501C36">
              <w:rPr>
                <w:color w:val="000000"/>
                <w:spacing w:val="36"/>
                <w:shd w:val="solid" w:color="000000" w:fill="000000"/>
                <w:fitText w:val="210" w:id="-893684721"/>
                <w:lang w:val="en-AU"/>
                <w14:textFill>
                  <w14:solidFill>
                    <w14:srgbClr w14:val="000000">
                      <w14:alpha w14:val="100000"/>
                    </w14:srgbClr>
                  </w14:solidFill>
                </w14:textFill>
              </w:rPr>
              <w:t>||</w:t>
            </w:r>
            <w:r w:rsidRPr="00501C36">
              <w:rPr>
                <w:color w:val="000000"/>
                <w:spacing w:val="1"/>
                <w:shd w:val="solid" w:color="000000" w:fill="000000"/>
                <w:fitText w:val="210" w:id="-893684721"/>
                <w:lang w:val="en-AU"/>
                <w14:textFill>
                  <w14:solidFill>
                    <w14:srgbClr w14:val="000000">
                      <w14:alpha w14:val="100000"/>
                    </w14:srgbClr>
                  </w14:solidFill>
                </w14:textFill>
              </w:rPr>
              <w:t>|</w:t>
            </w:r>
            <w:r w:rsidR="009C54B7" w:rsidRPr="003F0AD1">
              <w:rPr>
                <w:iCs/>
                <w:vertAlign w:val="superscript"/>
              </w:rPr>
              <w:t>1</w:t>
            </w:r>
          </w:p>
        </w:tc>
        <w:tc>
          <w:tcPr>
            <w:tcW w:w="585" w:type="pct"/>
            <w:tcBorders>
              <w:bottom w:val="single" w:sz="4" w:space="0" w:color="auto"/>
            </w:tcBorders>
            <w:vAlign w:val="center"/>
          </w:tcPr>
          <w:p w14:paraId="1011F112" w14:textId="77777777" w:rsidR="00E20F5E" w:rsidRPr="0049394D" w:rsidRDefault="00E20F5E" w:rsidP="00243D28">
            <w:pPr>
              <w:pStyle w:val="In-tableHeading"/>
              <w:keepNext w:val="0"/>
              <w:jc w:val="center"/>
              <w:rPr>
                <w:lang w:val="en-AU"/>
              </w:rPr>
            </w:pPr>
            <w:r w:rsidRPr="0049394D">
              <w:rPr>
                <w:lang w:val="en-AU"/>
              </w:rPr>
              <w:t>-</w:t>
            </w:r>
          </w:p>
        </w:tc>
        <w:tc>
          <w:tcPr>
            <w:tcW w:w="584" w:type="pct"/>
            <w:tcBorders>
              <w:bottom w:val="single" w:sz="4" w:space="0" w:color="auto"/>
            </w:tcBorders>
            <w:vAlign w:val="center"/>
          </w:tcPr>
          <w:p w14:paraId="1B59EDFF" w14:textId="635CB2AA" w:rsidR="00E20F5E" w:rsidRPr="0049394D" w:rsidRDefault="00501C36" w:rsidP="00243D28">
            <w:pPr>
              <w:pStyle w:val="In-tableHeading"/>
              <w:keepNext w:val="0"/>
              <w:jc w:val="center"/>
              <w:rPr>
                <w:lang w:val="en-AU"/>
              </w:rPr>
            </w:pPr>
            <w:r w:rsidRPr="00501C36">
              <w:rPr>
                <w:color w:val="000000"/>
                <w:spacing w:val="36"/>
                <w:shd w:val="solid" w:color="000000" w:fill="000000"/>
                <w:fitText w:val="210" w:id="-893684720"/>
                <w:lang w:val="en-AU"/>
                <w14:textFill>
                  <w14:solidFill>
                    <w14:srgbClr w14:val="000000">
                      <w14:alpha w14:val="100000"/>
                    </w14:srgbClr>
                  </w14:solidFill>
                </w14:textFill>
              </w:rPr>
              <w:t>||</w:t>
            </w:r>
            <w:r w:rsidRPr="00501C36">
              <w:rPr>
                <w:color w:val="000000"/>
                <w:spacing w:val="1"/>
                <w:shd w:val="solid" w:color="000000" w:fill="000000"/>
                <w:fitText w:val="210" w:id="-893684720"/>
                <w:lang w:val="en-AU"/>
                <w14:textFill>
                  <w14:solidFill>
                    <w14:srgbClr w14:val="000000">
                      <w14:alpha w14:val="100000"/>
                    </w14:srgbClr>
                  </w14:solidFill>
                </w14:textFill>
              </w:rPr>
              <w:t>|</w:t>
            </w:r>
            <w:r w:rsidR="009C54B7" w:rsidRPr="003F0AD1">
              <w:rPr>
                <w:iCs/>
                <w:vertAlign w:val="superscript"/>
              </w:rPr>
              <w:t>1</w:t>
            </w:r>
          </w:p>
        </w:tc>
        <w:tc>
          <w:tcPr>
            <w:tcW w:w="585" w:type="pct"/>
            <w:tcBorders>
              <w:bottom w:val="single" w:sz="4" w:space="0" w:color="auto"/>
            </w:tcBorders>
            <w:vAlign w:val="center"/>
          </w:tcPr>
          <w:p w14:paraId="640C1ACA" w14:textId="77777777" w:rsidR="00E20F5E" w:rsidRPr="0049394D" w:rsidRDefault="00E20F5E" w:rsidP="00243D28">
            <w:pPr>
              <w:pStyle w:val="In-tableHeading"/>
              <w:keepNext w:val="0"/>
              <w:jc w:val="center"/>
              <w:rPr>
                <w:lang w:val="en-AU"/>
              </w:rPr>
            </w:pPr>
            <w:r w:rsidRPr="0049394D">
              <w:rPr>
                <w:lang w:val="en-AU"/>
              </w:rPr>
              <w:t>-</w:t>
            </w:r>
          </w:p>
        </w:tc>
      </w:tr>
      <w:tr w:rsidR="00E20F5E" w:rsidRPr="0049394D" w14:paraId="2BF1F33E" w14:textId="77777777" w:rsidTr="00282F0D">
        <w:trPr>
          <w:trHeight w:val="56"/>
        </w:trPr>
        <w:tc>
          <w:tcPr>
            <w:tcW w:w="5000" w:type="pct"/>
            <w:gridSpan w:val="7"/>
            <w:tcBorders>
              <w:bottom w:val="nil"/>
            </w:tcBorders>
            <w:noWrap/>
          </w:tcPr>
          <w:p w14:paraId="441D1D18" w14:textId="77777777" w:rsidR="00E20F5E" w:rsidRPr="0049394D" w:rsidRDefault="00E20F5E" w:rsidP="00282F0D">
            <w:pPr>
              <w:pStyle w:val="TableText0"/>
              <w:keepNext w:val="0"/>
            </w:pPr>
            <w:r w:rsidRPr="0049394D">
              <w:t>Discount rate (costs and outcomes)</w:t>
            </w:r>
          </w:p>
        </w:tc>
      </w:tr>
      <w:tr w:rsidR="00E20F5E" w:rsidRPr="0049394D" w14:paraId="03B6839E" w14:textId="77777777" w:rsidTr="00243D28">
        <w:trPr>
          <w:trHeight w:val="56"/>
        </w:trPr>
        <w:tc>
          <w:tcPr>
            <w:tcW w:w="1493" w:type="pct"/>
            <w:tcBorders>
              <w:top w:val="nil"/>
              <w:bottom w:val="nil"/>
            </w:tcBorders>
            <w:noWrap/>
          </w:tcPr>
          <w:p w14:paraId="7C0D5CF9" w14:textId="4B2A97E6" w:rsidR="00E20F5E" w:rsidRPr="0049394D" w:rsidRDefault="00E20F5E" w:rsidP="0028405F">
            <w:pPr>
              <w:pStyle w:val="TableText0"/>
              <w:keepNext w:val="0"/>
              <w:ind w:firstLine="169"/>
            </w:pPr>
            <w:r w:rsidRPr="0049394D">
              <w:t>0.0%</w:t>
            </w:r>
          </w:p>
        </w:tc>
        <w:tc>
          <w:tcPr>
            <w:tcW w:w="584" w:type="pct"/>
            <w:tcBorders>
              <w:top w:val="nil"/>
              <w:bottom w:val="nil"/>
            </w:tcBorders>
            <w:noWrap/>
            <w:vAlign w:val="center"/>
          </w:tcPr>
          <w:p w14:paraId="27B4B94A" w14:textId="55C37078" w:rsidR="00E20F5E" w:rsidRPr="0009066F" w:rsidRDefault="00501C36" w:rsidP="00243D28">
            <w:pPr>
              <w:pStyle w:val="TableText0"/>
              <w:keepNext w:val="0"/>
              <w:jc w:val="center"/>
              <w:rPr>
                <w:highlight w:val="lightGray"/>
              </w:rPr>
            </w:pPr>
            <w:r w:rsidRPr="00501C36">
              <w:rPr>
                <w:color w:val="000000"/>
                <w:spacing w:val="79"/>
                <w:shd w:val="solid" w:color="000000" w:fill="000000"/>
                <w:fitText w:val="165" w:id="-893684736"/>
                <w14:textFill>
                  <w14:solidFill>
                    <w14:srgbClr w14:val="000000">
                      <w14:alpha w14:val="100000"/>
                    </w14:srgbClr>
                  </w14:solidFill>
                </w14:textFill>
              </w:rPr>
              <w:t>|</w:t>
            </w:r>
            <w:r w:rsidRPr="00501C36">
              <w:rPr>
                <w:color w:val="000000"/>
                <w:spacing w:val="1"/>
                <w:shd w:val="solid" w:color="000000" w:fill="000000"/>
                <w:fitText w:val="165" w:id="-893684736"/>
                <w14:textFill>
                  <w14:solidFill>
                    <w14:srgbClr w14:val="000000">
                      <w14:alpha w14:val="100000"/>
                    </w14:srgbClr>
                  </w14:solidFill>
                </w14:textFill>
              </w:rPr>
              <w:t>|</w:t>
            </w:r>
            <w:r w:rsidR="009C54B7" w:rsidRPr="003F0AD1">
              <w:rPr>
                <w:iCs/>
                <w:vertAlign w:val="superscript"/>
              </w:rPr>
              <w:t>1</w:t>
            </w:r>
          </w:p>
        </w:tc>
        <w:tc>
          <w:tcPr>
            <w:tcW w:w="585" w:type="pct"/>
            <w:tcBorders>
              <w:top w:val="nil"/>
              <w:bottom w:val="nil"/>
            </w:tcBorders>
            <w:noWrap/>
            <w:vAlign w:val="center"/>
          </w:tcPr>
          <w:p w14:paraId="5B351709" w14:textId="4498FCFC" w:rsidR="00E20F5E" w:rsidRPr="0049394D" w:rsidRDefault="00E20F5E" w:rsidP="00243D28">
            <w:pPr>
              <w:pStyle w:val="TableText0"/>
              <w:keepNext w:val="0"/>
              <w:jc w:val="center"/>
            </w:pPr>
            <w:r w:rsidRPr="0049394D">
              <w:t>-</w:t>
            </w:r>
            <w:r w:rsidR="00501C36" w:rsidRPr="00501C36">
              <w:rPr>
                <w:color w:val="000000"/>
                <w:spacing w:val="48"/>
                <w:shd w:val="solid" w:color="000000" w:fill="000000"/>
                <w:fitText w:val="225" w:id="-893684735"/>
                <w14:textFill>
                  <w14:solidFill>
                    <w14:srgbClr w14:val="000000">
                      <w14:alpha w14:val="100000"/>
                    </w14:srgbClr>
                  </w14:solidFill>
                </w14:textFill>
              </w:rPr>
              <w:t>||</w:t>
            </w:r>
            <w:r w:rsidR="00501C36" w:rsidRPr="00501C36">
              <w:rPr>
                <w:color w:val="000000"/>
                <w:spacing w:val="2"/>
                <w:shd w:val="solid" w:color="000000" w:fill="000000"/>
                <w:fitText w:val="225" w:id="-893684735"/>
                <w14:textFill>
                  <w14:solidFill>
                    <w14:srgbClr w14:val="000000">
                      <w14:alpha w14:val="100000"/>
                    </w14:srgbClr>
                  </w14:solidFill>
                </w14:textFill>
              </w:rPr>
              <w:t>|</w:t>
            </w:r>
            <w:r w:rsidRPr="0049394D">
              <w:t>%</w:t>
            </w:r>
          </w:p>
        </w:tc>
        <w:tc>
          <w:tcPr>
            <w:tcW w:w="584" w:type="pct"/>
            <w:tcBorders>
              <w:top w:val="nil"/>
              <w:bottom w:val="nil"/>
            </w:tcBorders>
            <w:vAlign w:val="center"/>
          </w:tcPr>
          <w:p w14:paraId="1EC1953B" w14:textId="29822AED" w:rsidR="00E20F5E" w:rsidRPr="0009066F" w:rsidRDefault="00501C36" w:rsidP="00243D28">
            <w:pPr>
              <w:pStyle w:val="TableText0"/>
              <w:keepNext w:val="0"/>
              <w:jc w:val="center"/>
              <w:rPr>
                <w:highlight w:val="lightGray"/>
              </w:rPr>
            </w:pPr>
            <w:r w:rsidRPr="00501C36">
              <w:rPr>
                <w:color w:val="000000"/>
                <w:spacing w:val="79"/>
                <w:shd w:val="solid" w:color="000000" w:fill="000000"/>
                <w:fitText w:val="165" w:id="-893684734"/>
                <w14:textFill>
                  <w14:solidFill>
                    <w14:srgbClr w14:val="000000">
                      <w14:alpha w14:val="100000"/>
                    </w14:srgbClr>
                  </w14:solidFill>
                </w14:textFill>
              </w:rPr>
              <w:t>|</w:t>
            </w:r>
            <w:r w:rsidRPr="00501C36">
              <w:rPr>
                <w:color w:val="000000"/>
                <w:spacing w:val="1"/>
                <w:shd w:val="solid" w:color="000000" w:fill="000000"/>
                <w:fitText w:val="165" w:id="-893684734"/>
                <w14:textFill>
                  <w14:solidFill>
                    <w14:srgbClr w14:val="000000">
                      <w14:alpha w14:val="100000"/>
                    </w14:srgbClr>
                  </w14:solidFill>
                </w14:textFill>
              </w:rPr>
              <w:t>|</w:t>
            </w:r>
            <w:r w:rsidR="009C54B7" w:rsidRPr="003F0AD1">
              <w:rPr>
                <w:iCs/>
                <w:vertAlign w:val="superscript"/>
              </w:rPr>
              <w:t>1</w:t>
            </w:r>
          </w:p>
        </w:tc>
        <w:tc>
          <w:tcPr>
            <w:tcW w:w="585" w:type="pct"/>
            <w:tcBorders>
              <w:top w:val="nil"/>
              <w:bottom w:val="nil"/>
            </w:tcBorders>
            <w:vAlign w:val="center"/>
          </w:tcPr>
          <w:p w14:paraId="0386AD90" w14:textId="3BFE8BB2" w:rsidR="00E20F5E" w:rsidRPr="0049394D" w:rsidRDefault="00E20F5E" w:rsidP="00243D28">
            <w:pPr>
              <w:pStyle w:val="TableText0"/>
              <w:keepNext w:val="0"/>
              <w:jc w:val="center"/>
            </w:pPr>
            <w:r w:rsidRPr="0049394D">
              <w:t>-</w:t>
            </w:r>
            <w:r w:rsidR="00501C36" w:rsidRPr="00501C36">
              <w:rPr>
                <w:color w:val="000000"/>
                <w:spacing w:val="48"/>
                <w:shd w:val="solid" w:color="000000" w:fill="000000"/>
                <w:fitText w:val="225" w:id="-893684733"/>
                <w14:textFill>
                  <w14:solidFill>
                    <w14:srgbClr w14:val="000000">
                      <w14:alpha w14:val="100000"/>
                    </w14:srgbClr>
                  </w14:solidFill>
                </w14:textFill>
              </w:rPr>
              <w:t>||</w:t>
            </w:r>
            <w:r w:rsidR="00501C36" w:rsidRPr="00501C36">
              <w:rPr>
                <w:color w:val="000000"/>
                <w:spacing w:val="2"/>
                <w:shd w:val="solid" w:color="000000" w:fill="000000"/>
                <w:fitText w:val="225" w:id="-893684733"/>
                <w14:textFill>
                  <w14:solidFill>
                    <w14:srgbClr w14:val="000000">
                      <w14:alpha w14:val="100000"/>
                    </w14:srgbClr>
                  </w14:solidFill>
                </w14:textFill>
              </w:rPr>
              <w:t>|</w:t>
            </w:r>
            <w:r w:rsidRPr="0049394D">
              <w:t>%</w:t>
            </w:r>
          </w:p>
        </w:tc>
        <w:tc>
          <w:tcPr>
            <w:tcW w:w="584" w:type="pct"/>
            <w:tcBorders>
              <w:top w:val="nil"/>
              <w:bottom w:val="nil"/>
            </w:tcBorders>
            <w:vAlign w:val="center"/>
          </w:tcPr>
          <w:p w14:paraId="60BD1878" w14:textId="203C1B0C" w:rsidR="00E20F5E" w:rsidRPr="0009066F" w:rsidRDefault="00501C36" w:rsidP="00243D28">
            <w:pPr>
              <w:pStyle w:val="TableText0"/>
              <w:keepNext w:val="0"/>
              <w:jc w:val="center"/>
              <w:rPr>
                <w:highlight w:val="lightGray"/>
              </w:rPr>
            </w:pPr>
            <w:r w:rsidRPr="00501C36">
              <w:rPr>
                <w:color w:val="000000"/>
                <w:spacing w:val="79"/>
                <w:shd w:val="solid" w:color="000000" w:fill="000000"/>
                <w:fitText w:val="165" w:id="-893684732"/>
                <w14:textFill>
                  <w14:solidFill>
                    <w14:srgbClr w14:val="000000">
                      <w14:alpha w14:val="100000"/>
                    </w14:srgbClr>
                  </w14:solidFill>
                </w14:textFill>
              </w:rPr>
              <w:t>|</w:t>
            </w:r>
            <w:r w:rsidRPr="00501C36">
              <w:rPr>
                <w:color w:val="000000"/>
                <w:spacing w:val="1"/>
                <w:shd w:val="solid" w:color="000000" w:fill="000000"/>
                <w:fitText w:val="165" w:id="-893684732"/>
                <w14:textFill>
                  <w14:solidFill>
                    <w14:srgbClr w14:val="000000">
                      <w14:alpha w14:val="100000"/>
                    </w14:srgbClr>
                  </w14:solidFill>
                </w14:textFill>
              </w:rPr>
              <w:t>|</w:t>
            </w:r>
            <w:r w:rsidR="009C54B7" w:rsidRPr="003F0AD1">
              <w:rPr>
                <w:iCs/>
                <w:vertAlign w:val="superscript"/>
              </w:rPr>
              <w:t>1</w:t>
            </w:r>
          </w:p>
        </w:tc>
        <w:tc>
          <w:tcPr>
            <w:tcW w:w="585" w:type="pct"/>
            <w:tcBorders>
              <w:top w:val="nil"/>
              <w:bottom w:val="nil"/>
            </w:tcBorders>
            <w:vAlign w:val="center"/>
          </w:tcPr>
          <w:p w14:paraId="5160A569" w14:textId="7E207CD9" w:rsidR="00E20F5E" w:rsidRPr="0049394D" w:rsidRDefault="00E20F5E" w:rsidP="00243D28">
            <w:pPr>
              <w:pStyle w:val="TableText0"/>
              <w:keepNext w:val="0"/>
              <w:jc w:val="center"/>
            </w:pPr>
            <w:r w:rsidRPr="0049394D">
              <w:t>-</w:t>
            </w:r>
            <w:r w:rsidR="00501C36" w:rsidRPr="00501C36">
              <w:rPr>
                <w:color w:val="000000"/>
                <w:spacing w:val="48"/>
                <w:shd w:val="solid" w:color="000000" w:fill="000000"/>
                <w:fitText w:val="225" w:id="-893684731"/>
                <w14:textFill>
                  <w14:solidFill>
                    <w14:srgbClr w14:val="000000">
                      <w14:alpha w14:val="100000"/>
                    </w14:srgbClr>
                  </w14:solidFill>
                </w14:textFill>
              </w:rPr>
              <w:t>||</w:t>
            </w:r>
            <w:r w:rsidR="00501C36" w:rsidRPr="00501C36">
              <w:rPr>
                <w:color w:val="000000"/>
                <w:spacing w:val="2"/>
                <w:shd w:val="solid" w:color="000000" w:fill="000000"/>
                <w:fitText w:val="225" w:id="-893684731"/>
                <w14:textFill>
                  <w14:solidFill>
                    <w14:srgbClr w14:val="000000">
                      <w14:alpha w14:val="100000"/>
                    </w14:srgbClr>
                  </w14:solidFill>
                </w14:textFill>
              </w:rPr>
              <w:t>|</w:t>
            </w:r>
            <w:r w:rsidRPr="0049394D">
              <w:t>%</w:t>
            </w:r>
          </w:p>
        </w:tc>
      </w:tr>
      <w:tr w:rsidR="00E20F5E" w:rsidRPr="0049394D" w14:paraId="63E0EE4D" w14:textId="77777777" w:rsidTr="00243D28">
        <w:trPr>
          <w:trHeight w:val="66"/>
        </w:trPr>
        <w:tc>
          <w:tcPr>
            <w:tcW w:w="1493" w:type="pct"/>
            <w:tcBorders>
              <w:top w:val="nil"/>
            </w:tcBorders>
            <w:noWrap/>
          </w:tcPr>
          <w:p w14:paraId="0BE3E90B" w14:textId="77777777" w:rsidR="00E20F5E" w:rsidRPr="0049394D" w:rsidRDefault="00E20F5E" w:rsidP="0028405F">
            <w:pPr>
              <w:pStyle w:val="TableText0"/>
              <w:keepNext w:val="0"/>
              <w:ind w:firstLine="169"/>
            </w:pPr>
            <w:r w:rsidRPr="0049394D">
              <w:t>3.5%</w:t>
            </w:r>
          </w:p>
        </w:tc>
        <w:tc>
          <w:tcPr>
            <w:tcW w:w="584" w:type="pct"/>
            <w:tcBorders>
              <w:top w:val="nil"/>
            </w:tcBorders>
            <w:noWrap/>
            <w:vAlign w:val="center"/>
          </w:tcPr>
          <w:p w14:paraId="416FF7A7" w14:textId="555D6B52" w:rsidR="00E20F5E" w:rsidRPr="0009066F" w:rsidRDefault="00501C36" w:rsidP="00243D28">
            <w:pPr>
              <w:pStyle w:val="TableText0"/>
              <w:keepNext w:val="0"/>
              <w:jc w:val="center"/>
              <w:rPr>
                <w:highlight w:val="lightGray"/>
              </w:rPr>
            </w:pPr>
            <w:r w:rsidRPr="00501C36">
              <w:rPr>
                <w:color w:val="000000"/>
                <w:spacing w:val="79"/>
                <w:shd w:val="solid" w:color="000000" w:fill="000000"/>
                <w:fitText w:val="165" w:id="-893684730"/>
                <w14:textFill>
                  <w14:solidFill>
                    <w14:srgbClr w14:val="000000">
                      <w14:alpha w14:val="100000"/>
                    </w14:srgbClr>
                  </w14:solidFill>
                </w14:textFill>
              </w:rPr>
              <w:t>|</w:t>
            </w:r>
            <w:r w:rsidRPr="00501C36">
              <w:rPr>
                <w:color w:val="000000"/>
                <w:spacing w:val="1"/>
                <w:shd w:val="solid" w:color="000000" w:fill="000000"/>
                <w:fitText w:val="165" w:id="-893684730"/>
                <w14:textFill>
                  <w14:solidFill>
                    <w14:srgbClr w14:val="000000">
                      <w14:alpha w14:val="100000"/>
                    </w14:srgbClr>
                  </w14:solidFill>
                </w14:textFill>
              </w:rPr>
              <w:t>|</w:t>
            </w:r>
            <w:r w:rsidR="009C54B7" w:rsidRPr="003F0AD1">
              <w:rPr>
                <w:iCs/>
                <w:vertAlign w:val="superscript"/>
              </w:rPr>
              <w:t>1</w:t>
            </w:r>
          </w:p>
        </w:tc>
        <w:tc>
          <w:tcPr>
            <w:tcW w:w="585" w:type="pct"/>
            <w:tcBorders>
              <w:top w:val="nil"/>
            </w:tcBorders>
            <w:noWrap/>
            <w:vAlign w:val="center"/>
          </w:tcPr>
          <w:p w14:paraId="7F7CA565" w14:textId="4E496268" w:rsidR="00E20F5E" w:rsidRPr="0049394D" w:rsidRDefault="00E20F5E" w:rsidP="00243D28">
            <w:pPr>
              <w:pStyle w:val="TableText0"/>
              <w:keepNext w:val="0"/>
              <w:jc w:val="center"/>
            </w:pPr>
            <w:r w:rsidRPr="0049394D">
              <w:t>-</w:t>
            </w:r>
            <w:r w:rsidR="00501C36" w:rsidRPr="00501C36">
              <w:rPr>
                <w:color w:val="000000"/>
                <w:spacing w:val="48"/>
                <w:shd w:val="solid" w:color="000000" w:fill="000000"/>
                <w:fitText w:val="225" w:id="-893684729"/>
                <w14:textFill>
                  <w14:solidFill>
                    <w14:srgbClr w14:val="000000">
                      <w14:alpha w14:val="100000"/>
                    </w14:srgbClr>
                  </w14:solidFill>
                </w14:textFill>
              </w:rPr>
              <w:t>||</w:t>
            </w:r>
            <w:r w:rsidR="00501C36" w:rsidRPr="00501C36">
              <w:rPr>
                <w:color w:val="000000"/>
                <w:spacing w:val="2"/>
                <w:shd w:val="solid" w:color="000000" w:fill="000000"/>
                <w:fitText w:val="225" w:id="-893684729"/>
                <w14:textFill>
                  <w14:solidFill>
                    <w14:srgbClr w14:val="000000">
                      <w14:alpha w14:val="100000"/>
                    </w14:srgbClr>
                  </w14:solidFill>
                </w14:textFill>
              </w:rPr>
              <w:t>|</w:t>
            </w:r>
            <w:r w:rsidRPr="0049394D">
              <w:t>%</w:t>
            </w:r>
          </w:p>
        </w:tc>
        <w:tc>
          <w:tcPr>
            <w:tcW w:w="584" w:type="pct"/>
            <w:tcBorders>
              <w:top w:val="nil"/>
            </w:tcBorders>
            <w:vAlign w:val="center"/>
          </w:tcPr>
          <w:p w14:paraId="6BE20AD3" w14:textId="6B0D5A5A" w:rsidR="00E20F5E" w:rsidRPr="0009066F" w:rsidRDefault="00501C36" w:rsidP="00243D28">
            <w:pPr>
              <w:pStyle w:val="TableText0"/>
              <w:keepNext w:val="0"/>
              <w:jc w:val="center"/>
              <w:rPr>
                <w:highlight w:val="lightGray"/>
              </w:rPr>
            </w:pPr>
            <w:r w:rsidRPr="00501C36">
              <w:rPr>
                <w:color w:val="000000"/>
                <w:spacing w:val="79"/>
                <w:shd w:val="solid" w:color="000000" w:fill="000000"/>
                <w:fitText w:val="165" w:id="-893684728"/>
                <w14:textFill>
                  <w14:solidFill>
                    <w14:srgbClr w14:val="000000">
                      <w14:alpha w14:val="100000"/>
                    </w14:srgbClr>
                  </w14:solidFill>
                </w14:textFill>
              </w:rPr>
              <w:t>|</w:t>
            </w:r>
            <w:r w:rsidRPr="00501C36">
              <w:rPr>
                <w:color w:val="000000"/>
                <w:spacing w:val="1"/>
                <w:shd w:val="solid" w:color="000000" w:fill="000000"/>
                <w:fitText w:val="165" w:id="-893684728"/>
                <w14:textFill>
                  <w14:solidFill>
                    <w14:srgbClr w14:val="000000">
                      <w14:alpha w14:val="100000"/>
                    </w14:srgbClr>
                  </w14:solidFill>
                </w14:textFill>
              </w:rPr>
              <w:t>|</w:t>
            </w:r>
            <w:r w:rsidR="009C54B7" w:rsidRPr="003F0AD1">
              <w:rPr>
                <w:iCs/>
                <w:vertAlign w:val="superscript"/>
              </w:rPr>
              <w:t>1</w:t>
            </w:r>
          </w:p>
        </w:tc>
        <w:tc>
          <w:tcPr>
            <w:tcW w:w="585" w:type="pct"/>
            <w:tcBorders>
              <w:top w:val="nil"/>
            </w:tcBorders>
            <w:vAlign w:val="center"/>
          </w:tcPr>
          <w:p w14:paraId="59C639A9" w14:textId="761D7484" w:rsidR="00E20F5E" w:rsidRPr="0049394D" w:rsidRDefault="00E20F5E" w:rsidP="00243D28">
            <w:pPr>
              <w:pStyle w:val="TableText0"/>
              <w:keepNext w:val="0"/>
              <w:jc w:val="center"/>
            </w:pPr>
            <w:r w:rsidRPr="0049394D">
              <w:t>-</w:t>
            </w:r>
            <w:r w:rsidR="00501C36" w:rsidRPr="00501C36">
              <w:rPr>
                <w:color w:val="000000"/>
                <w:spacing w:val="48"/>
                <w:shd w:val="solid" w:color="000000" w:fill="000000"/>
                <w:fitText w:val="225" w:id="-893684727"/>
                <w14:textFill>
                  <w14:solidFill>
                    <w14:srgbClr w14:val="000000">
                      <w14:alpha w14:val="100000"/>
                    </w14:srgbClr>
                  </w14:solidFill>
                </w14:textFill>
              </w:rPr>
              <w:t>||</w:t>
            </w:r>
            <w:r w:rsidR="00501C36" w:rsidRPr="00501C36">
              <w:rPr>
                <w:color w:val="000000"/>
                <w:spacing w:val="2"/>
                <w:shd w:val="solid" w:color="000000" w:fill="000000"/>
                <w:fitText w:val="225" w:id="-893684727"/>
                <w14:textFill>
                  <w14:solidFill>
                    <w14:srgbClr w14:val="000000">
                      <w14:alpha w14:val="100000"/>
                    </w14:srgbClr>
                  </w14:solidFill>
                </w14:textFill>
              </w:rPr>
              <w:t>|</w:t>
            </w:r>
            <w:r w:rsidRPr="0049394D">
              <w:t>%</w:t>
            </w:r>
          </w:p>
        </w:tc>
        <w:tc>
          <w:tcPr>
            <w:tcW w:w="584" w:type="pct"/>
            <w:tcBorders>
              <w:top w:val="nil"/>
            </w:tcBorders>
            <w:vAlign w:val="center"/>
          </w:tcPr>
          <w:p w14:paraId="249EEFB9" w14:textId="173D04A2" w:rsidR="00E20F5E" w:rsidRPr="0009066F" w:rsidRDefault="00501C36" w:rsidP="00243D28">
            <w:pPr>
              <w:pStyle w:val="TableText0"/>
              <w:keepNext w:val="0"/>
              <w:jc w:val="center"/>
              <w:rPr>
                <w:highlight w:val="lightGray"/>
              </w:rPr>
            </w:pPr>
            <w:r w:rsidRPr="00501C36">
              <w:rPr>
                <w:color w:val="000000"/>
                <w:spacing w:val="79"/>
                <w:shd w:val="solid" w:color="000000" w:fill="000000"/>
                <w:fitText w:val="165" w:id="-893684726"/>
                <w14:textFill>
                  <w14:solidFill>
                    <w14:srgbClr w14:val="000000">
                      <w14:alpha w14:val="100000"/>
                    </w14:srgbClr>
                  </w14:solidFill>
                </w14:textFill>
              </w:rPr>
              <w:t>|</w:t>
            </w:r>
            <w:r w:rsidRPr="00501C36">
              <w:rPr>
                <w:color w:val="000000"/>
                <w:spacing w:val="1"/>
                <w:shd w:val="solid" w:color="000000" w:fill="000000"/>
                <w:fitText w:val="165" w:id="-893684726"/>
                <w14:textFill>
                  <w14:solidFill>
                    <w14:srgbClr w14:val="000000">
                      <w14:alpha w14:val="100000"/>
                    </w14:srgbClr>
                  </w14:solidFill>
                </w14:textFill>
              </w:rPr>
              <w:t>|</w:t>
            </w:r>
            <w:r w:rsidR="009C54B7" w:rsidRPr="003F0AD1">
              <w:rPr>
                <w:iCs/>
                <w:vertAlign w:val="superscript"/>
              </w:rPr>
              <w:t>1</w:t>
            </w:r>
          </w:p>
        </w:tc>
        <w:tc>
          <w:tcPr>
            <w:tcW w:w="585" w:type="pct"/>
            <w:tcBorders>
              <w:top w:val="nil"/>
            </w:tcBorders>
            <w:vAlign w:val="center"/>
          </w:tcPr>
          <w:p w14:paraId="005F5232" w14:textId="59C95798" w:rsidR="00E20F5E" w:rsidRPr="0049394D" w:rsidRDefault="00E20F5E" w:rsidP="00243D28">
            <w:pPr>
              <w:pStyle w:val="TableText0"/>
              <w:keepNext w:val="0"/>
              <w:jc w:val="center"/>
            </w:pPr>
            <w:r w:rsidRPr="0049394D">
              <w:t>-</w:t>
            </w:r>
            <w:r w:rsidR="00501C36" w:rsidRPr="00501C36">
              <w:rPr>
                <w:color w:val="000000"/>
                <w:spacing w:val="48"/>
                <w:shd w:val="solid" w:color="000000" w:fill="000000"/>
                <w:fitText w:val="225" w:id="-893684725"/>
                <w14:textFill>
                  <w14:solidFill>
                    <w14:srgbClr w14:val="000000">
                      <w14:alpha w14:val="100000"/>
                    </w14:srgbClr>
                  </w14:solidFill>
                </w14:textFill>
              </w:rPr>
              <w:t>||</w:t>
            </w:r>
            <w:r w:rsidR="00501C36" w:rsidRPr="00501C36">
              <w:rPr>
                <w:color w:val="000000"/>
                <w:spacing w:val="2"/>
                <w:shd w:val="solid" w:color="000000" w:fill="000000"/>
                <w:fitText w:val="225" w:id="-893684725"/>
                <w14:textFill>
                  <w14:solidFill>
                    <w14:srgbClr w14:val="000000">
                      <w14:alpha w14:val="100000"/>
                    </w14:srgbClr>
                  </w14:solidFill>
                </w14:textFill>
              </w:rPr>
              <w:t>|</w:t>
            </w:r>
            <w:r w:rsidRPr="0049394D">
              <w:t>%</w:t>
            </w:r>
          </w:p>
        </w:tc>
      </w:tr>
      <w:tr w:rsidR="00E20F5E" w:rsidRPr="0049394D" w14:paraId="21A8A27D" w14:textId="77777777" w:rsidTr="00282F0D">
        <w:trPr>
          <w:trHeight w:val="56"/>
        </w:trPr>
        <w:tc>
          <w:tcPr>
            <w:tcW w:w="5000" w:type="pct"/>
            <w:gridSpan w:val="7"/>
            <w:tcBorders>
              <w:bottom w:val="nil"/>
            </w:tcBorders>
            <w:noWrap/>
          </w:tcPr>
          <w:p w14:paraId="4722EB45" w14:textId="77777777" w:rsidR="00E20F5E" w:rsidRPr="0049394D" w:rsidRDefault="00E20F5E" w:rsidP="00282F0D">
            <w:pPr>
              <w:pStyle w:val="TableText0"/>
              <w:keepNext w:val="0"/>
            </w:pPr>
            <w:r w:rsidRPr="0049394D">
              <w:t>Time horizon (base case 40 years)</w:t>
            </w:r>
          </w:p>
        </w:tc>
      </w:tr>
      <w:tr w:rsidR="00376AA5" w:rsidRPr="0049394D" w14:paraId="267A1489" w14:textId="77777777" w:rsidTr="00243D28">
        <w:trPr>
          <w:trHeight w:val="66"/>
        </w:trPr>
        <w:tc>
          <w:tcPr>
            <w:tcW w:w="1493" w:type="pct"/>
            <w:tcBorders>
              <w:top w:val="nil"/>
              <w:bottom w:val="nil"/>
            </w:tcBorders>
            <w:noWrap/>
          </w:tcPr>
          <w:p w14:paraId="706E0220" w14:textId="00C58760" w:rsidR="00376AA5" w:rsidRPr="0049394D" w:rsidRDefault="00376AA5" w:rsidP="00376AA5">
            <w:pPr>
              <w:pStyle w:val="TableText0"/>
              <w:keepNext w:val="0"/>
              <w:ind w:firstLine="169"/>
              <w:rPr>
                <w:iCs/>
              </w:rPr>
            </w:pPr>
            <w:r w:rsidRPr="0049394D">
              <w:rPr>
                <w:iCs/>
              </w:rPr>
              <w:t>4 years (LS-004 follow up)</w:t>
            </w:r>
          </w:p>
        </w:tc>
        <w:tc>
          <w:tcPr>
            <w:tcW w:w="584" w:type="pct"/>
            <w:tcBorders>
              <w:top w:val="nil"/>
              <w:bottom w:val="nil"/>
            </w:tcBorders>
            <w:noWrap/>
            <w:vAlign w:val="center"/>
          </w:tcPr>
          <w:p w14:paraId="47548587" w14:textId="422D7418" w:rsidR="00376AA5" w:rsidRPr="00501C36" w:rsidRDefault="00376AA5" w:rsidP="00376AA5">
            <w:pPr>
              <w:pStyle w:val="TableText0"/>
              <w:keepNext w:val="0"/>
              <w:jc w:val="center"/>
              <w:rPr>
                <w:iCs/>
                <w:color w:val="000000"/>
                <w:shd w:val="solid" w:color="000000" w:fill="000000"/>
                <w14:textFill>
                  <w14:solidFill>
                    <w14:srgbClr w14:val="000000">
                      <w14:alpha w14:val="100000"/>
                    </w14:srgbClr>
                  </w14:solidFill>
                </w14:textFill>
              </w:rPr>
            </w:pPr>
            <w:r w:rsidRPr="00376AA5">
              <w:rPr>
                <w:iCs/>
                <w:color w:val="000000"/>
                <w:spacing w:val="79"/>
                <w:shd w:val="solid" w:color="000000" w:fill="000000"/>
                <w:fitText w:val="165" w:id="-893684724"/>
                <w14:textFill>
                  <w14:solidFill>
                    <w14:srgbClr w14:val="000000">
                      <w14:alpha w14:val="100000"/>
                    </w14:srgbClr>
                  </w14:solidFill>
                </w14:textFill>
              </w:rPr>
              <w:t>|</w:t>
            </w:r>
            <w:r w:rsidRPr="00376AA5">
              <w:rPr>
                <w:iCs/>
                <w:color w:val="000000"/>
                <w:shd w:val="solid" w:color="000000" w:fill="000000"/>
                <w:fitText w:val="165" w:id="-893684724"/>
                <w14:textFill>
                  <w14:solidFill>
                    <w14:srgbClr w14:val="000000">
                      <w14:alpha w14:val="100000"/>
                    </w14:srgbClr>
                  </w14:solidFill>
                </w14:textFill>
              </w:rPr>
              <w:t>|</w:t>
            </w:r>
            <w:r w:rsidRPr="0009066F">
              <w:rPr>
                <w:iCs/>
                <w:vertAlign w:val="superscript"/>
              </w:rPr>
              <w:t>2</w:t>
            </w:r>
          </w:p>
        </w:tc>
        <w:tc>
          <w:tcPr>
            <w:tcW w:w="585" w:type="pct"/>
            <w:tcBorders>
              <w:top w:val="nil"/>
              <w:bottom w:val="nil"/>
            </w:tcBorders>
            <w:noWrap/>
            <w:vAlign w:val="center"/>
          </w:tcPr>
          <w:p w14:paraId="10936848" w14:textId="64CB9355" w:rsidR="00376AA5" w:rsidRPr="00501C36" w:rsidRDefault="00376AA5" w:rsidP="00376AA5">
            <w:pPr>
              <w:pStyle w:val="TableText0"/>
              <w:keepNext w:val="0"/>
              <w:jc w:val="center"/>
              <w:rPr>
                <w:iCs/>
                <w:color w:val="000000"/>
                <w:shd w:val="solid" w:color="000000" w:fill="000000"/>
                <w14:textFill>
                  <w14:solidFill>
                    <w14:srgbClr w14:val="000000">
                      <w14:alpha w14:val="100000"/>
                    </w14:srgbClr>
                  </w14:solidFill>
                </w14:textFill>
              </w:rPr>
            </w:pPr>
            <w:r w:rsidRPr="00501C36">
              <w:rPr>
                <w:iCs/>
                <w:color w:val="000000"/>
                <w:spacing w:val="109"/>
                <w:shd w:val="solid" w:color="000000" w:fill="000000"/>
                <w:fitText w:val="195" w:id="-893684723"/>
                <w14:textFill>
                  <w14:solidFill>
                    <w14:srgbClr w14:val="000000">
                      <w14:alpha w14:val="100000"/>
                    </w14:srgbClr>
                  </w14:solidFill>
                </w14:textFill>
              </w:rPr>
              <w:t>|</w:t>
            </w:r>
            <w:r w:rsidRPr="00501C36">
              <w:rPr>
                <w:iCs/>
                <w:color w:val="000000"/>
                <w:spacing w:val="1"/>
                <w:shd w:val="solid" w:color="000000" w:fill="000000"/>
                <w:fitText w:val="195" w:id="-893684723"/>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02145CA4" w14:textId="32DA9313" w:rsidR="00376AA5" w:rsidRPr="00501C36" w:rsidRDefault="00376AA5" w:rsidP="00376AA5">
            <w:pPr>
              <w:pStyle w:val="TableText0"/>
              <w:keepNext w:val="0"/>
              <w:jc w:val="center"/>
              <w:rPr>
                <w:iCs/>
                <w:color w:val="000000"/>
                <w:shd w:val="solid" w:color="000000" w:fill="000000"/>
                <w14:textFill>
                  <w14:solidFill>
                    <w14:srgbClr w14:val="000000">
                      <w14:alpha w14:val="100000"/>
                    </w14:srgbClr>
                  </w14:solidFill>
                </w14:textFill>
              </w:rPr>
            </w:pPr>
            <w:r w:rsidRPr="00501C36">
              <w:rPr>
                <w:color w:val="000000"/>
                <w:spacing w:val="79"/>
                <w:shd w:val="solid" w:color="000000" w:fill="000000"/>
                <w:fitText w:val="165" w:id="-893684728"/>
                <w14:textFill>
                  <w14:solidFill>
                    <w14:srgbClr w14:val="000000">
                      <w14:alpha w14:val="100000"/>
                    </w14:srgbClr>
                  </w14:solidFill>
                </w14:textFill>
              </w:rPr>
              <w:t>|</w:t>
            </w:r>
            <w:r w:rsidRPr="00501C36">
              <w:rPr>
                <w:color w:val="000000"/>
                <w:spacing w:val="1"/>
                <w:shd w:val="solid" w:color="000000" w:fill="000000"/>
                <w:fitText w:val="165" w:id="-893684728"/>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6232A1D2" w14:textId="2F916741" w:rsidR="00376AA5" w:rsidRPr="00501C36" w:rsidRDefault="00376AA5" w:rsidP="00376AA5">
            <w:pPr>
              <w:pStyle w:val="TableText0"/>
              <w:keepNext w:val="0"/>
              <w:jc w:val="center"/>
              <w:rPr>
                <w:iCs/>
                <w:color w:val="000000"/>
                <w:shd w:val="solid" w:color="000000" w:fill="000000"/>
                <w14:textFill>
                  <w14:solidFill>
                    <w14:srgbClr w14:val="000000">
                      <w14:alpha w14:val="100000"/>
                    </w14:srgbClr>
                  </w14:solidFill>
                </w14:textFill>
              </w:rPr>
            </w:pPr>
            <w:r w:rsidRPr="00376AA5">
              <w:rPr>
                <w:iCs/>
                <w:color w:val="000000"/>
                <w:spacing w:val="109"/>
                <w:shd w:val="solid" w:color="000000" w:fill="000000"/>
                <w:fitText w:val="195" w:id="-893684721"/>
                <w14:textFill>
                  <w14:solidFill>
                    <w14:srgbClr w14:val="000000">
                      <w14:alpha w14:val="100000"/>
                    </w14:srgbClr>
                  </w14:solidFill>
                </w14:textFill>
              </w:rPr>
              <w:t>|</w:t>
            </w:r>
            <w:r w:rsidRPr="00376AA5">
              <w:rPr>
                <w:iCs/>
                <w:color w:val="000000"/>
                <w:shd w:val="solid" w:color="000000" w:fill="000000"/>
                <w:fitText w:val="195" w:id="-893684721"/>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4B76CF81" w14:textId="783300BA" w:rsidR="00376AA5" w:rsidRPr="00501C36" w:rsidRDefault="00376AA5" w:rsidP="00376AA5">
            <w:pPr>
              <w:pStyle w:val="TableText0"/>
              <w:keepNext w:val="0"/>
              <w:jc w:val="center"/>
              <w:rPr>
                <w:iCs/>
                <w:color w:val="000000"/>
                <w:shd w:val="solid" w:color="000000" w:fill="000000"/>
                <w14:textFill>
                  <w14:solidFill>
                    <w14:srgbClr w14:val="000000">
                      <w14:alpha w14:val="100000"/>
                    </w14:srgbClr>
                  </w14:solidFill>
                </w14:textFill>
              </w:rPr>
            </w:pPr>
            <w:r w:rsidRPr="00501C36">
              <w:rPr>
                <w:iCs/>
                <w:color w:val="000000"/>
                <w:spacing w:val="79"/>
                <w:shd w:val="solid" w:color="000000" w:fill="000000"/>
                <w:fitText w:val="165" w:id="-893684720"/>
                <w14:textFill>
                  <w14:solidFill>
                    <w14:srgbClr w14:val="000000">
                      <w14:alpha w14:val="100000"/>
                    </w14:srgbClr>
                  </w14:solidFill>
                </w14:textFill>
              </w:rPr>
              <w:t>|</w:t>
            </w:r>
            <w:r w:rsidRPr="00501C36">
              <w:rPr>
                <w:iCs/>
                <w:color w:val="000000"/>
                <w:spacing w:val="1"/>
                <w:shd w:val="solid" w:color="000000" w:fill="000000"/>
                <w:fitText w:val="165" w:id="-893684720"/>
                <w14:textFill>
                  <w14:solidFill>
                    <w14:srgbClr w14:val="000000">
                      <w14:alpha w14:val="100000"/>
                    </w14:srgbClr>
                  </w14:solidFill>
                </w14:textFill>
              </w:rPr>
              <w:t>|</w:t>
            </w:r>
            <w:r w:rsidRPr="0009066F">
              <w:rPr>
                <w:iCs/>
                <w:vertAlign w:val="superscript"/>
              </w:rPr>
              <w:t>4</w:t>
            </w:r>
          </w:p>
        </w:tc>
        <w:tc>
          <w:tcPr>
            <w:tcW w:w="585" w:type="pct"/>
            <w:tcBorders>
              <w:top w:val="nil"/>
              <w:bottom w:val="nil"/>
            </w:tcBorders>
            <w:vAlign w:val="center"/>
          </w:tcPr>
          <w:p w14:paraId="28036D05" w14:textId="57AFD0C9" w:rsidR="00376AA5" w:rsidRPr="00501C36" w:rsidRDefault="00376AA5" w:rsidP="00376AA5">
            <w:pPr>
              <w:pStyle w:val="TableText0"/>
              <w:keepNext w:val="0"/>
              <w:jc w:val="center"/>
              <w:rPr>
                <w:iCs/>
                <w:color w:val="000000"/>
                <w:shd w:val="solid" w:color="000000" w:fill="000000"/>
                <w14:textFill>
                  <w14:solidFill>
                    <w14:srgbClr w14:val="000000">
                      <w14:alpha w14:val="100000"/>
                    </w14:srgbClr>
                  </w14:solidFill>
                </w14:textFill>
              </w:rPr>
            </w:pPr>
            <w:r w:rsidRPr="00501C36">
              <w:rPr>
                <w:iCs/>
                <w:color w:val="000000"/>
                <w:spacing w:val="109"/>
                <w:shd w:val="solid" w:color="000000" w:fill="000000"/>
                <w:fitText w:val="195" w:id="-893684736"/>
                <w14:textFill>
                  <w14:solidFill>
                    <w14:srgbClr w14:val="000000">
                      <w14:alpha w14:val="100000"/>
                    </w14:srgbClr>
                  </w14:solidFill>
                </w14:textFill>
              </w:rPr>
              <w:t>|</w:t>
            </w:r>
            <w:r w:rsidRPr="00501C36">
              <w:rPr>
                <w:iCs/>
                <w:color w:val="000000"/>
                <w:spacing w:val="1"/>
                <w:shd w:val="solid" w:color="000000" w:fill="000000"/>
                <w:fitText w:val="195" w:id="-893684736"/>
                <w14:textFill>
                  <w14:solidFill>
                    <w14:srgbClr w14:val="000000">
                      <w14:alpha w14:val="100000"/>
                    </w14:srgbClr>
                  </w14:solidFill>
                </w14:textFill>
              </w:rPr>
              <w:t>|</w:t>
            </w:r>
            <w:r w:rsidRPr="0049394D">
              <w:rPr>
                <w:iCs/>
              </w:rPr>
              <w:t>%</w:t>
            </w:r>
          </w:p>
        </w:tc>
      </w:tr>
      <w:tr w:rsidR="00376AA5" w:rsidRPr="0049394D" w14:paraId="081CF3C6" w14:textId="77777777" w:rsidTr="00243D28">
        <w:trPr>
          <w:trHeight w:val="66"/>
        </w:trPr>
        <w:tc>
          <w:tcPr>
            <w:tcW w:w="1493" w:type="pct"/>
            <w:tcBorders>
              <w:top w:val="nil"/>
              <w:bottom w:val="nil"/>
            </w:tcBorders>
            <w:noWrap/>
          </w:tcPr>
          <w:p w14:paraId="34C46EEF" w14:textId="77777777" w:rsidR="00376AA5" w:rsidRPr="0049394D" w:rsidRDefault="00376AA5" w:rsidP="00376AA5">
            <w:pPr>
              <w:pStyle w:val="TableText0"/>
              <w:keepNext w:val="0"/>
              <w:ind w:firstLine="169"/>
              <w:rPr>
                <w:iCs/>
              </w:rPr>
            </w:pPr>
            <w:r w:rsidRPr="0049394D">
              <w:rPr>
                <w:iCs/>
              </w:rPr>
              <w:t>10 years</w:t>
            </w:r>
          </w:p>
        </w:tc>
        <w:tc>
          <w:tcPr>
            <w:tcW w:w="584" w:type="pct"/>
            <w:tcBorders>
              <w:top w:val="nil"/>
              <w:bottom w:val="nil"/>
            </w:tcBorders>
            <w:noWrap/>
            <w:vAlign w:val="center"/>
          </w:tcPr>
          <w:p w14:paraId="6EE0A262" w14:textId="52CFCED4"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735"/>
                <w14:textFill>
                  <w14:solidFill>
                    <w14:srgbClr w14:val="000000">
                      <w14:alpha w14:val="100000"/>
                    </w14:srgbClr>
                  </w14:solidFill>
                </w14:textFill>
              </w:rPr>
              <w:t>|</w:t>
            </w:r>
            <w:r w:rsidRPr="00501C36">
              <w:rPr>
                <w:iCs/>
                <w:color w:val="000000"/>
                <w:spacing w:val="1"/>
                <w:shd w:val="solid" w:color="000000" w:fill="000000"/>
                <w:fitText w:val="165" w:id="-893684735"/>
                <w14:textFill>
                  <w14:solidFill>
                    <w14:srgbClr w14:val="000000">
                      <w14:alpha w14:val="100000"/>
                    </w14:srgbClr>
                  </w14:solidFill>
                </w14:textFill>
              </w:rPr>
              <w:t>|</w:t>
            </w:r>
            <w:r w:rsidRPr="0009066F">
              <w:rPr>
                <w:iCs/>
                <w:vertAlign w:val="superscript"/>
              </w:rPr>
              <w:t>3</w:t>
            </w:r>
          </w:p>
        </w:tc>
        <w:tc>
          <w:tcPr>
            <w:tcW w:w="585" w:type="pct"/>
            <w:tcBorders>
              <w:top w:val="nil"/>
              <w:bottom w:val="nil"/>
            </w:tcBorders>
            <w:noWrap/>
            <w:vAlign w:val="center"/>
          </w:tcPr>
          <w:p w14:paraId="3AC28875" w14:textId="322BD18F"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734"/>
                <w14:textFill>
                  <w14:solidFill>
                    <w14:srgbClr w14:val="000000">
                      <w14:alpha w14:val="100000"/>
                    </w14:srgbClr>
                  </w14:solidFill>
                </w14:textFill>
              </w:rPr>
              <w:t>|</w:t>
            </w:r>
            <w:r w:rsidRPr="00501C36">
              <w:rPr>
                <w:iCs/>
                <w:color w:val="000000"/>
                <w:spacing w:val="1"/>
                <w:shd w:val="solid" w:color="000000" w:fill="000000"/>
                <w:fitText w:val="195" w:id="-893684734"/>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53F9B7E9" w14:textId="392F5D47"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733"/>
                <w14:textFill>
                  <w14:solidFill>
                    <w14:srgbClr w14:val="000000">
                      <w14:alpha w14:val="100000"/>
                    </w14:srgbClr>
                  </w14:solidFill>
                </w14:textFill>
              </w:rPr>
              <w:t>|</w:t>
            </w:r>
            <w:r w:rsidRPr="00501C36">
              <w:rPr>
                <w:iCs/>
                <w:color w:val="000000"/>
                <w:spacing w:val="1"/>
                <w:shd w:val="solid" w:color="000000" w:fill="000000"/>
                <w:fitText w:val="165" w:id="-893684733"/>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vAlign w:val="center"/>
          </w:tcPr>
          <w:p w14:paraId="2E114375" w14:textId="5F808B57"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80"/>
                <w14:textFill>
                  <w14:solidFill>
                    <w14:srgbClr w14:val="000000">
                      <w14:alpha w14:val="100000"/>
                    </w14:srgbClr>
                  </w14:solidFill>
                </w14:textFill>
              </w:rPr>
              <w:t>|</w:t>
            </w:r>
            <w:r w:rsidRPr="00501C36">
              <w:rPr>
                <w:iCs/>
                <w:color w:val="000000"/>
                <w:spacing w:val="1"/>
                <w:shd w:val="solid" w:color="000000" w:fill="000000"/>
                <w:fitText w:val="195" w:id="-893684480"/>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6755A2DD" w14:textId="7CE45530"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9"/>
                <w14:textFill>
                  <w14:solidFill>
                    <w14:srgbClr w14:val="000000">
                      <w14:alpha w14:val="100000"/>
                    </w14:srgbClr>
                  </w14:solidFill>
                </w14:textFill>
              </w:rPr>
              <w:t>|</w:t>
            </w:r>
            <w:r w:rsidRPr="00501C36">
              <w:rPr>
                <w:iCs/>
                <w:color w:val="000000"/>
                <w:spacing w:val="1"/>
                <w:shd w:val="solid" w:color="000000" w:fill="000000"/>
                <w:fitText w:val="165" w:id="-893684479"/>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5B55DD70" w14:textId="7897D514"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8"/>
                <w14:textFill>
                  <w14:solidFill>
                    <w14:srgbClr w14:val="000000">
                      <w14:alpha w14:val="100000"/>
                    </w14:srgbClr>
                  </w14:solidFill>
                </w14:textFill>
              </w:rPr>
              <w:t>|</w:t>
            </w:r>
            <w:r w:rsidRPr="00501C36">
              <w:rPr>
                <w:iCs/>
                <w:color w:val="000000"/>
                <w:spacing w:val="1"/>
                <w:shd w:val="solid" w:color="000000" w:fill="000000"/>
                <w:fitText w:val="195" w:id="-893684478"/>
                <w14:textFill>
                  <w14:solidFill>
                    <w14:srgbClr w14:val="000000">
                      <w14:alpha w14:val="100000"/>
                    </w14:srgbClr>
                  </w14:solidFill>
                </w14:textFill>
              </w:rPr>
              <w:t>|</w:t>
            </w:r>
            <w:r w:rsidRPr="0049394D">
              <w:rPr>
                <w:iCs/>
              </w:rPr>
              <w:t>%</w:t>
            </w:r>
          </w:p>
        </w:tc>
      </w:tr>
      <w:tr w:rsidR="00376AA5" w:rsidRPr="0049394D" w14:paraId="631B0B77" w14:textId="77777777" w:rsidTr="00243D28">
        <w:trPr>
          <w:trHeight w:val="97"/>
        </w:trPr>
        <w:tc>
          <w:tcPr>
            <w:tcW w:w="1493" w:type="pct"/>
            <w:tcBorders>
              <w:top w:val="nil"/>
              <w:bottom w:val="nil"/>
            </w:tcBorders>
            <w:noWrap/>
          </w:tcPr>
          <w:p w14:paraId="1F7B6816" w14:textId="77777777" w:rsidR="00376AA5" w:rsidRPr="0049394D" w:rsidRDefault="00376AA5" w:rsidP="00376AA5">
            <w:pPr>
              <w:pStyle w:val="TableText0"/>
              <w:keepNext w:val="0"/>
              <w:ind w:firstLine="169"/>
            </w:pPr>
            <w:r w:rsidRPr="0049394D">
              <w:t>20 years</w:t>
            </w:r>
          </w:p>
        </w:tc>
        <w:tc>
          <w:tcPr>
            <w:tcW w:w="584" w:type="pct"/>
            <w:tcBorders>
              <w:top w:val="nil"/>
              <w:bottom w:val="nil"/>
            </w:tcBorders>
            <w:noWrap/>
            <w:vAlign w:val="center"/>
          </w:tcPr>
          <w:p w14:paraId="5C54E4D7" w14:textId="115D883B"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77"/>
                <w14:textFill>
                  <w14:solidFill>
                    <w14:srgbClr w14:val="000000">
                      <w14:alpha w14:val="100000"/>
                    </w14:srgbClr>
                  </w14:solidFill>
                </w14:textFill>
              </w:rPr>
              <w:t>|</w:t>
            </w:r>
            <w:r w:rsidRPr="00501C36">
              <w:rPr>
                <w:color w:val="000000"/>
                <w:spacing w:val="1"/>
                <w:shd w:val="solid" w:color="000000" w:fill="000000"/>
                <w:fitText w:val="165" w:id="-893684477"/>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3FDBE592" w14:textId="77E73877" w:rsidR="00376AA5" w:rsidRPr="0049394D" w:rsidRDefault="00376AA5" w:rsidP="00376AA5">
            <w:pPr>
              <w:pStyle w:val="TableText0"/>
              <w:keepNext w:val="0"/>
              <w:jc w:val="center"/>
            </w:pPr>
            <w:r w:rsidRPr="00501C36">
              <w:rPr>
                <w:color w:val="000000"/>
                <w:spacing w:val="109"/>
                <w:shd w:val="solid" w:color="000000" w:fill="000000"/>
                <w:fitText w:val="195" w:id="-893684476"/>
                <w14:textFill>
                  <w14:solidFill>
                    <w14:srgbClr w14:val="000000">
                      <w14:alpha w14:val="100000"/>
                    </w14:srgbClr>
                  </w14:solidFill>
                </w14:textFill>
              </w:rPr>
              <w:t>|</w:t>
            </w:r>
            <w:r w:rsidRPr="00501C36">
              <w:rPr>
                <w:color w:val="000000"/>
                <w:spacing w:val="1"/>
                <w:shd w:val="solid" w:color="000000" w:fill="000000"/>
                <w:fitText w:val="195" w:id="-893684476"/>
                <w14:textFill>
                  <w14:solidFill>
                    <w14:srgbClr w14:val="000000">
                      <w14:alpha w14:val="100000"/>
                    </w14:srgbClr>
                  </w14:solidFill>
                </w14:textFill>
              </w:rPr>
              <w:t>|</w:t>
            </w:r>
            <w:r w:rsidRPr="0049394D">
              <w:t>%</w:t>
            </w:r>
          </w:p>
        </w:tc>
        <w:tc>
          <w:tcPr>
            <w:tcW w:w="584" w:type="pct"/>
            <w:tcBorders>
              <w:top w:val="nil"/>
              <w:bottom w:val="nil"/>
            </w:tcBorders>
            <w:vAlign w:val="center"/>
          </w:tcPr>
          <w:p w14:paraId="7202E73B" w14:textId="3F467137"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75"/>
                <w14:textFill>
                  <w14:solidFill>
                    <w14:srgbClr w14:val="000000">
                      <w14:alpha w14:val="100000"/>
                    </w14:srgbClr>
                  </w14:solidFill>
                </w14:textFill>
              </w:rPr>
              <w:t>|</w:t>
            </w:r>
            <w:r w:rsidRPr="00501C36">
              <w:rPr>
                <w:color w:val="000000"/>
                <w:spacing w:val="1"/>
                <w:shd w:val="solid" w:color="000000" w:fill="000000"/>
                <w:fitText w:val="165" w:id="-893684475"/>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746DB06D" w14:textId="2C8F842E" w:rsidR="00376AA5" w:rsidRPr="0049394D" w:rsidRDefault="00376AA5" w:rsidP="00376AA5">
            <w:pPr>
              <w:pStyle w:val="TableText0"/>
              <w:keepNext w:val="0"/>
              <w:jc w:val="center"/>
            </w:pPr>
            <w:r w:rsidRPr="00501C36">
              <w:rPr>
                <w:color w:val="000000"/>
                <w:spacing w:val="109"/>
                <w:shd w:val="solid" w:color="000000" w:fill="000000"/>
                <w:fitText w:val="195" w:id="-893684474"/>
                <w14:textFill>
                  <w14:solidFill>
                    <w14:srgbClr w14:val="000000">
                      <w14:alpha w14:val="100000"/>
                    </w14:srgbClr>
                  </w14:solidFill>
                </w14:textFill>
              </w:rPr>
              <w:t>|</w:t>
            </w:r>
            <w:r w:rsidRPr="00501C36">
              <w:rPr>
                <w:color w:val="000000"/>
                <w:spacing w:val="1"/>
                <w:shd w:val="solid" w:color="000000" w:fill="000000"/>
                <w:fitText w:val="195" w:id="-893684474"/>
                <w14:textFill>
                  <w14:solidFill>
                    <w14:srgbClr w14:val="000000">
                      <w14:alpha w14:val="100000"/>
                    </w14:srgbClr>
                  </w14:solidFill>
                </w14:textFill>
              </w:rPr>
              <w:t>|</w:t>
            </w:r>
            <w:r w:rsidRPr="0049394D">
              <w:t>%</w:t>
            </w:r>
          </w:p>
        </w:tc>
        <w:tc>
          <w:tcPr>
            <w:tcW w:w="584" w:type="pct"/>
            <w:tcBorders>
              <w:top w:val="nil"/>
              <w:bottom w:val="nil"/>
            </w:tcBorders>
            <w:vAlign w:val="center"/>
          </w:tcPr>
          <w:p w14:paraId="2F163850" w14:textId="1BC6893F"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73"/>
                <w14:textFill>
                  <w14:solidFill>
                    <w14:srgbClr w14:val="000000">
                      <w14:alpha w14:val="100000"/>
                    </w14:srgbClr>
                  </w14:solidFill>
                </w14:textFill>
              </w:rPr>
              <w:t>|</w:t>
            </w:r>
            <w:r w:rsidRPr="00501C36">
              <w:rPr>
                <w:color w:val="000000"/>
                <w:spacing w:val="1"/>
                <w:shd w:val="solid" w:color="000000" w:fill="000000"/>
                <w:fitText w:val="165" w:id="-893684473"/>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027B3281" w14:textId="0648F95C" w:rsidR="00376AA5" w:rsidRPr="0049394D" w:rsidRDefault="00376AA5" w:rsidP="00376AA5">
            <w:pPr>
              <w:pStyle w:val="TableText0"/>
              <w:keepNext w:val="0"/>
              <w:jc w:val="center"/>
            </w:pPr>
            <w:r w:rsidRPr="00501C36">
              <w:rPr>
                <w:color w:val="000000"/>
                <w:spacing w:val="109"/>
                <w:shd w:val="solid" w:color="000000" w:fill="000000"/>
                <w:fitText w:val="195" w:id="-893684472"/>
                <w14:textFill>
                  <w14:solidFill>
                    <w14:srgbClr w14:val="000000">
                      <w14:alpha w14:val="100000"/>
                    </w14:srgbClr>
                  </w14:solidFill>
                </w14:textFill>
              </w:rPr>
              <w:t>|</w:t>
            </w:r>
            <w:r w:rsidRPr="00501C36">
              <w:rPr>
                <w:color w:val="000000"/>
                <w:spacing w:val="1"/>
                <w:shd w:val="solid" w:color="000000" w:fill="000000"/>
                <w:fitText w:val="195" w:id="-893684472"/>
                <w14:textFill>
                  <w14:solidFill>
                    <w14:srgbClr w14:val="000000">
                      <w14:alpha w14:val="100000"/>
                    </w14:srgbClr>
                  </w14:solidFill>
                </w14:textFill>
              </w:rPr>
              <w:t>|</w:t>
            </w:r>
            <w:r w:rsidRPr="0049394D">
              <w:t>%</w:t>
            </w:r>
          </w:p>
        </w:tc>
      </w:tr>
      <w:tr w:rsidR="00376AA5" w:rsidRPr="0049394D" w14:paraId="4D66A4D8" w14:textId="77777777" w:rsidTr="00282F0D">
        <w:trPr>
          <w:trHeight w:val="56"/>
        </w:trPr>
        <w:tc>
          <w:tcPr>
            <w:tcW w:w="5000" w:type="pct"/>
            <w:gridSpan w:val="7"/>
            <w:tcBorders>
              <w:bottom w:val="nil"/>
            </w:tcBorders>
            <w:noWrap/>
          </w:tcPr>
          <w:p w14:paraId="59C09D7D" w14:textId="77777777" w:rsidR="00376AA5" w:rsidRPr="0049394D" w:rsidRDefault="00376AA5" w:rsidP="00376AA5">
            <w:pPr>
              <w:pStyle w:val="TableText0"/>
              <w:keepNext w:val="0"/>
            </w:pPr>
            <w:r w:rsidRPr="0049394D">
              <w:t>Distribution for pre-surgery to surgery (base case: exponential all arms, all models)</w:t>
            </w:r>
            <w:r w:rsidRPr="0049394D">
              <w:rPr>
                <w:vertAlign w:val="superscript"/>
              </w:rPr>
              <w:t>a</w:t>
            </w:r>
          </w:p>
        </w:tc>
      </w:tr>
      <w:tr w:rsidR="00376AA5" w:rsidRPr="0049394D" w14:paraId="1DAFA2CC" w14:textId="77777777" w:rsidTr="00243D28">
        <w:trPr>
          <w:trHeight w:val="66"/>
        </w:trPr>
        <w:tc>
          <w:tcPr>
            <w:tcW w:w="1493" w:type="pct"/>
            <w:tcBorders>
              <w:top w:val="nil"/>
              <w:bottom w:val="nil"/>
            </w:tcBorders>
            <w:noWrap/>
          </w:tcPr>
          <w:p w14:paraId="75CEC38A" w14:textId="77777777" w:rsidR="00376AA5" w:rsidRPr="0049394D" w:rsidRDefault="00376AA5" w:rsidP="00376AA5">
            <w:pPr>
              <w:pStyle w:val="TableText0"/>
              <w:keepNext w:val="0"/>
              <w:ind w:firstLine="169"/>
              <w:rPr>
                <w:iCs/>
              </w:rPr>
            </w:pPr>
            <w:r w:rsidRPr="0049394D">
              <w:rPr>
                <w:iCs/>
              </w:rPr>
              <w:t>Gompertz</w:t>
            </w:r>
            <w:r w:rsidRPr="0049394D">
              <w:rPr>
                <w:iCs/>
                <w:vertAlign w:val="superscript"/>
              </w:rPr>
              <w:t>b</w:t>
            </w:r>
          </w:p>
        </w:tc>
        <w:tc>
          <w:tcPr>
            <w:tcW w:w="584" w:type="pct"/>
            <w:tcBorders>
              <w:top w:val="nil"/>
              <w:bottom w:val="nil"/>
            </w:tcBorders>
            <w:noWrap/>
            <w:vAlign w:val="center"/>
          </w:tcPr>
          <w:p w14:paraId="18307381" w14:textId="180ACA6B"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1"/>
                <w14:textFill>
                  <w14:solidFill>
                    <w14:srgbClr w14:val="000000">
                      <w14:alpha w14:val="100000"/>
                    </w14:srgbClr>
                  </w14:solidFill>
                </w14:textFill>
              </w:rPr>
              <w:t>|</w:t>
            </w:r>
            <w:r w:rsidRPr="00501C36">
              <w:rPr>
                <w:iCs/>
                <w:color w:val="000000"/>
                <w:spacing w:val="1"/>
                <w:shd w:val="solid" w:color="000000" w:fill="000000"/>
                <w:fitText w:val="165" w:id="-893684471"/>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15CBE4C5" w14:textId="7A7D99E1"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0"/>
                <w14:textFill>
                  <w14:solidFill>
                    <w14:srgbClr w14:val="000000">
                      <w14:alpha w14:val="100000"/>
                    </w14:srgbClr>
                  </w14:solidFill>
                </w14:textFill>
              </w:rPr>
              <w:t>|</w:t>
            </w:r>
            <w:r w:rsidRPr="00501C36">
              <w:rPr>
                <w:iCs/>
                <w:color w:val="000000"/>
                <w:spacing w:val="1"/>
                <w:shd w:val="solid" w:color="000000" w:fill="000000"/>
                <w:fitText w:val="195" w:id="-893684470"/>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4A14294A" w14:textId="0B6D7ACF" w:rsidR="00376AA5" w:rsidRPr="0009066F" w:rsidRDefault="00376AA5" w:rsidP="00376AA5">
            <w:pPr>
              <w:pStyle w:val="TableText0"/>
              <w:keepNext w:val="0"/>
              <w:jc w:val="center"/>
              <w:rPr>
                <w:iCs/>
                <w:highlight w:val="lightGray"/>
              </w:rPr>
            </w:pPr>
            <w:r w:rsidRPr="00376AA5">
              <w:rPr>
                <w:iCs/>
                <w:color w:val="000000"/>
                <w:spacing w:val="79"/>
                <w:shd w:val="solid" w:color="000000" w:fill="000000"/>
                <w:fitText w:val="165" w:id="-893684469"/>
                <w14:textFill>
                  <w14:solidFill>
                    <w14:srgbClr w14:val="000000">
                      <w14:alpha w14:val="100000"/>
                    </w14:srgbClr>
                  </w14:solidFill>
                </w14:textFill>
              </w:rPr>
              <w:t>|</w:t>
            </w:r>
            <w:r w:rsidRPr="00376AA5">
              <w:rPr>
                <w:iCs/>
                <w:color w:val="000000"/>
                <w:shd w:val="solid" w:color="000000" w:fill="000000"/>
                <w:fitText w:val="165" w:id="-893684469"/>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0280DFEB" w14:textId="78569425"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68"/>
                <w14:textFill>
                  <w14:solidFill>
                    <w14:srgbClr w14:val="000000">
                      <w14:alpha w14:val="100000"/>
                    </w14:srgbClr>
                  </w14:solidFill>
                </w14:textFill>
              </w:rPr>
              <w:t>||</w:t>
            </w:r>
            <w:r w:rsidRPr="00501C36">
              <w:rPr>
                <w:iCs/>
                <w:color w:val="000000"/>
                <w:spacing w:val="2"/>
                <w:shd w:val="solid" w:color="000000" w:fill="000000"/>
                <w:fitText w:val="225" w:id="-893684468"/>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251ADA4B" w14:textId="2CDAEBD2"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7"/>
                <w14:textFill>
                  <w14:solidFill>
                    <w14:srgbClr w14:val="000000">
                      <w14:alpha w14:val="100000"/>
                    </w14:srgbClr>
                  </w14:solidFill>
                </w14:textFill>
              </w:rPr>
              <w:t>|</w:t>
            </w:r>
            <w:r w:rsidRPr="00501C36">
              <w:rPr>
                <w:iCs/>
                <w:color w:val="000000"/>
                <w:spacing w:val="1"/>
                <w:shd w:val="solid" w:color="000000" w:fill="000000"/>
                <w:fitText w:val="165" w:id="-893684467"/>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12353143" w14:textId="711247D2"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6"/>
                <w14:textFill>
                  <w14:solidFill>
                    <w14:srgbClr w14:val="000000">
                      <w14:alpha w14:val="100000"/>
                    </w14:srgbClr>
                  </w14:solidFill>
                </w14:textFill>
              </w:rPr>
              <w:t>|</w:t>
            </w:r>
            <w:r w:rsidRPr="00501C36">
              <w:rPr>
                <w:iCs/>
                <w:color w:val="000000"/>
                <w:spacing w:val="1"/>
                <w:shd w:val="solid" w:color="000000" w:fill="000000"/>
                <w:fitText w:val="195" w:id="-893684466"/>
                <w14:textFill>
                  <w14:solidFill>
                    <w14:srgbClr w14:val="000000">
                      <w14:alpha w14:val="100000"/>
                    </w14:srgbClr>
                  </w14:solidFill>
                </w14:textFill>
              </w:rPr>
              <w:t>|</w:t>
            </w:r>
            <w:r w:rsidRPr="0049394D">
              <w:rPr>
                <w:iCs/>
              </w:rPr>
              <w:t>%</w:t>
            </w:r>
          </w:p>
        </w:tc>
      </w:tr>
      <w:tr w:rsidR="00376AA5" w:rsidRPr="0049394D" w14:paraId="04BFEC15" w14:textId="77777777" w:rsidTr="00243D28">
        <w:trPr>
          <w:trHeight w:val="66"/>
        </w:trPr>
        <w:tc>
          <w:tcPr>
            <w:tcW w:w="1493" w:type="pct"/>
            <w:tcBorders>
              <w:top w:val="nil"/>
              <w:bottom w:val="nil"/>
            </w:tcBorders>
            <w:noWrap/>
          </w:tcPr>
          <w:p w14:paraId="76051C36" w14:textId="77777777" w:rsidR="00376AA5" w:rsidRPr="0049394D" w:rsidRDefault="00376AA5" w:rsidP="00376AA5">
            <w:pPr>
              <w:pStyle w:val="TableText0"/>
              <w:keepNext w:val="0"/>
              <w:ind w:firstLine="169"/>
              <w:rPr>
                <w:iCs/>
              </w:rPr>
            </w:pPr>
            <w:r w:rsidRPr="0049394D">
              <w:rPr>
                <w:iCs/>
              </w:rPr>
              <w:t>Log-normal</w:t>
            </w:r>
            <w:r w:rsidRPr="0049394D">
              <w:rPr>
                <w:iCs/>
                <w:vertAlign w:val="superscript"/>
              </w:rPr>
              <w:t>c</w:t>
            </w:r>
          </w:p>
        </w:tc>
        <w:tc>
          <w:tcPr>
            <w:tcW w:w="584" w:type="pct"/>
            <w:tcBorders>
              <w:top w:val="nil"/>
              <w:bottom w:val="nil"/>
            </w:tcBorders>
            <w:noWrap/>
            <w:vAlign w:val="center"/>
          </w:tcPr>
          <w:p w14:paraId="3D1834FC" w14:textId="2F2CBFA2"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5"/>
                <w14:textFill>
                  <w14:solidFill>
                    <w14:srgbClr w14:val="000000">
                      <w14:alpha w14:val="100000"/>
                    </w14:srgbClr>
                  </w14:solidFill>
                </w14:textFill>
              </w:rPr>
              <w:t>|</w:t>
            </w:r>
            <w:r w:rsidRPr="00501C36">
              <w:rPr>
                <w:iCs/>
                <w:color w:val="000000"/>
                <w:spacing w:val="1"/>
                <w:shd w:val="solid" w:color="000000" w:fill="000000"/>
                <w:fitText w:val="165" w:id="-893684465"/>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noWrap/>
            <w:vAlign w:val="center"/>
          </w:tcPr>
          <w:p w14:paraId="64B57AA4" w14:textId="29323607"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64"/>
                <w14:textFill>
                  <w14:solidFill>
                    <w14:srgbClr w14:val="000000">
                      <w14:alpha w14:val="100000"/>
                    </w14:srgbClr>
                  </w14:solidFill>
                </w14:textFill>
              </w:rPr>
              <w:t>||</w:t>
            </w:r>
            <w:r w:rsidRPr="00501C36">
              <w:rPr>
                <w:iCs/>
                <w:color w:val="000000"/>
                <w:spacing w:val="2"/>
                <w:shd w:val="solid" w:color="000000" w:fill="000000"/>
                <w:fitText w:val="225" w:id="-893684464"/>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212ED047" w14:textId="61B50AC9"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80"/>
                <w14:textFill>
                  <w14:solidFill>
                    <w14:srgbClr w14:val="000000">
                      <w14:alpha w14:val="100000"/>
                    </w14:srgbClr>
                  </w14:solidFill>
                </w14:textFill>
              </w:rPr>
              <w:t>|</w:t>
            </w:r>
            <w:r w:rsidRPr="00501C36">
              <w:rPr>
                <w:iCs/>
                <w:color w:val="000000"/>
                <w:spacing w:val="1"/>
                <w:shd w:val="solid" w:color="000000" w:fill="000000"/>
                <w:fitText w:val="165" w:id="-893684480"/>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1BF90072" w14:textId="6FEBDD7B"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79"/>
                <w14:textFill>
                  <w14:solidFill>
                    <w14:srgbClr w14:val="000000">
                      <w14:alpha w14:val="100000"/>
                    </w14:srgbClr>
                  </w14:solidFill>
                </w14:textFill>
              </w:rPr>
              <w:t>||</w:t>
            </w:r>
            <w:r w:rsidRPr="00501C36">
              <w:rPr>
                <w:iCs/>
                <w:color w:val="000000"/>
                <w:spacing w:val="2"/>
                <w:shd w:val="solid" w:color="000000" w:fill="000000"/>
                <w:fitText w:val="225" w:id="-893684479"/>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3A92E849" w14:textId="6AFB3D68"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8"/>
                <w14:textFill>
                  <w14:solidFill>
                    <w14:srgbClr w14:val="000000">
                      <w14:alpha w14:val="100000"/>
                    </w14:srgbClr>
                  </w14:solidFill>
                </w14:textFill>
              </w:rPr>
              <w:t>|</w:t>
            </w:r>
            <w:r w:rsidRPr="00501C36">
              <w:rPr>
                <w:iCs/>
                <w:color w:val="000000"/>
                <w:spacing w:val="1"/>
                <w:shd w:val="solid" w:color="000000" w:fill="000000"/>
                <w:fitText w:val="165" w:id="-893684478"/>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30E60E50" w14:textId="02ABF1BD"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7"/>
                <w14:textFill>
                  <w14:solidFill>
                    <w14:srgbClr w14:val="000000">
                      <w14:alpha w14:val="100000"/>
                    </w14:srgbClr>
                  </w14:solidFill>
                </w14:textFill>
              </w:rPr>
              <w:t>|</w:t>
            </w:r>
            <w:r w:rsidRPr="00501C36">
              <w:rPr>
                <w:iCs/>
                <w:color w:val="000000"/>
                <w:spacing w:val="1"/>
                <w:shd w:val="solid" w:color="000000" w:fill="000000"/>
                <w:fitText w:val="195" w:id="-893684477"/>
                <w14:textFill>
                  <w14:solidFill>
                    <w14:srgbClr w14:val="000000">
                      <w14:alpha w14:val="100000"/>
                    </w14:srgbClr>
                  </w14:solidFill>
                </w14:textFill>
              </w:rPr>
              <w:t>|</w:t>
            </w:r>
            <w:r w:rsidRPr="0049394D">
              <w:rPr>
                <w:iCs/>
              </w:rPr>
              <w:t>%</w:t>
            </w:r>
          </w:p>
        </w:tc>
      </w:tr>
      <w:tr w:rsidR="00376AA5" w:rsidRPr="0049394D" w14:paraId="23F2CA01" w14:textId="77777777" w:rsidTr="00243D28">
        <w:trPr>
          <w:trHeight w:val="66"/>
        </w:trPr>
        <w:tc>
          <w:tcPr>
            <w:tcW w:w="1493" w:type="pct"/>
            <w:tcBorders>
              <w:top w:val="nil"/>
              <w:bottom w:val="single" w:sz="4" w:space="0" w:color="auto"/>
            </w:tcBorders>
            <w:noWrap/>
          </w:tcPr>
          <w:p w14:paraId="51D08D03" w14:textId="77777777" w:rsidR="00376AA5" w:rsidRPr="0049394D" w:rsidRDefault="00376AA5" w:rsidP="00376AA5">
            <w:pPr>
              <w:pStyle w:val="TableText0"/>
              <w:keepNext w:val="0"/>
              <w:ind w:firstLine="169"/>
              <w:rPr>
                <w:iCs/>
              </w:rPr>
            </w:pPr>
            <w:r w:rsidRPr="0049394D">
              <w:rPr>
                <w:iCs/>
              </w:rPr>
              <w:t>Each arm best stat fit</w:t>
            </w:r>
            <w:r w:rsidRPr="0049394D">
              <w:rPr>
                <w:iCs/>
                <w:vertAlign w:val="superscript"/>
              </w:rPr>
              <w:t>d</w:t>
            </w:r>
          </w:p>
        </w:tc>
        <w:tc>
          <w:tcPr>
            <w:tcW w:w="584" w:type="pct"/>
            <w:tcBorders>
              <w:top w:val="nil"/>
              <w:bottom w:val="single" w:sz="4" w:space="0" w:color="auto"/>
            </w:tcBorders>
            <w:noWrap/>
            <w:vAlign w:val="center"/>
          </w:tcPr>
          <w:p w14:paraId="48BE8C73" w14:textId="383054A5"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6"/>
                <w14:textFill>
                  <w14:solidFill>
                    <w14:srgbClr w14:val="000000">
                      <w14:alpha w14:val="100000"/>
                    </w14:srgbClr>
                  </w14:solidFill>
                </w14:textFill>
              </w:rPr>
              <w:t>|</w:t>
            </w:r>
            <w:r w:rsidRPr="00501C36">
              <w:rPr>
                <w:iCs/>
                <w:color w:val="000000"/>
                <w:spacing w:val="1"/>
                <w:shd w:val="solid" w:color="000000" w:fill="000000"/>
                <w:fitText w:val="165" w:id="-893684476"/>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noWrap/>
            <w:vAlign w:val="center"/>
          </w:tcPr>
          <w:p w14:paraId="511EE1E1" w14:textId="68DCAC5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5"/>
                <w14:textFill>
                  <w14:solidFill>
                    <w14:srgbClr w14:val="000000">
                      <w14:alpha w14:val="100000"/>
                    </w14:srgbClr>
                  </w14:solidFill>
                </w14:textFill>
              </w:rPr>
              <w:t>|</w:t>
            </w:r>
            <w:r w:rsidRPr="00501C36">
              <w:rPr>
                <w:iCs/>
                <w:color w:val="000000"/>
                <w:spacing w:val="1"/>
                <w:shd w:val="solid" w:color="000000" w:fill="000000"/>
                <w:fitText w:val="195" w:id="-893684475"/>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28CC673B" w14:textId="544AF93B"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4"/>
                <w14:textFill>
                  <w14:solidFill>
                    <w14:srgbClr w14:val="000000">
                      <w14:alpha w14:val="100000"/>
                    </w14:srgbClr>
                  </w14:solidFill>
                </w14:textFill>
              </w:rPr>
              <w:t>|</w:t>
            </w:r>
            <w:r w:rsidRPr="00501C36">
              <w:rPr>
                <w:iCs/>
                <w:color w:val="000000"/>
                <w:spacing w:val="1"/>
                <w:shd w:val="solid" w:color="000000" w:fill="000000"/>
                <w:fitText w:val="165" w:id="-893684474"/>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44A10AE4" w14:textId="3B1A6FD4"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73"/>
                <w14:textFill>
                  <w14:solidFill>
                    <w14:srgbClr w14:val="000000">
                      <w14:alpha w14:val="100000"/>
                    </w14:srgbClr>
                  </w14:solidFill>
                </w14:textFill>
              </w:rPr>
              <w:t>||</w:t>
            </w:r>
            <w:r w:rsidRPr="00501C36">
              <w:rPr>
                <w:iCs/>
                <w:color w:val="000000"/>
                <w:spacing w:val="2"/>
                <w:shd w:val="solid" w:color="000000" w:fill="000000"/>
                <w:fitText w:val="225" w:id="-893684473"/>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712B991A" w14:textId="1882D89F"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2"/>
                <w14:textFill>
                  <w14:solidFill>
                    <w14:srgbClr w14:val="000000">
                      <w14:alpha w14:val="100000"/>
                    </w14:srgbClr>
                  </w14:solidFill>
                </w14:textFill>
              </w:rPr>
              <w:t>|</w:t>
            </w:r>
            <w:r w:rsidRPr="00501C36">
              <w:rPr>
                <w:iCs/>
                <w:color w:val="000000"/>
                <w:spacing w:val="1"/>
                <w:shd w:val="solid" w:color="000000" w:fill="000000"/>
                <w:fitText w:val="165" w:id="-893684472"/>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309D7734" w14:textId="103E64FF"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1"/>
                <w14:textFill>
                  <w14:solidFill>
                    <w14:srgbClr w14:val="000000">
                      <w14:alpha w14:val="100000"/>
                    </w14:srgbClr>
                  </w14:solidFill>
                </w14:textFill>
              </w:rPr>
              <w:t>|</w:t>
            </w:r>
            <w:r w:rsidRPr="00501C36">
              <w:rPr>
                <w:iCs/>
                <w:color w:val="000000"/>
                <w:spacing w:val="1"/>
                <w:shd w:val="solid" w:color="000000" w:fill="000000"/>
                <w:fitText w:val="195" w:id="-893684471"/>
                <w14:textFill>
                  <w14:solidFill>
                    <w14:srgbClr w14:val="000000">
                      <w14:alpha w14:val="100000"/>
                    </w14:srgbClr>
                  </w14:solidFill>
                </w14:textFill>
              </w:rPr>
              <w:t>|</w:t>
            </w:r>
            <w:r w:rsidRPr="0049394D">
              <w:rPr>
                <w:iCs/>
              </w:rPr>
              <w:t>%</w:t>
            </w:r>
          </w:p>
        </w:tc>
      </w:tr>
      <w:tr w:rsidR="00376AA5" w:rsidRPr="0049394D" w14:paraId="06745169" w14:textId="77777777" w:rsidTr="00282F0D">
        <w:trPr>
          <w:trHeight w:val="300"/>
        </w:trPr>
        <w:tc>
          <w:tcPr>
            <w:tcW w:w="5000" w:type="pct"/>
            <w:gridSpan w:val="7"/>
            <w:tcBorders>
              <w:bottom w:val="nil"/>
            </w:tcBorders>
            <w:noWrap/>
          </w:tcPr>
          <w:p w14:paraId="343C401C" w14:textId="77777777" w:rsidR="00376AA5" w:rsidRPr="0049394D" w:rsidRDefault="00376AA5" w:rsidP="00376AA5">
            <w:pPr>
              <w:pStyle w:val="TableText0"/>
              <w:keepNext w:val="0"/>
              <w:rPr>
                <w:iCs/>
              </w:rPr>
            </w:pPr>
            <w:r w:rsidRPr="0049394D">
              <w:rPr>
                <w:iCs/>
              </w:rPr>
              <w:t>Exponential parameters for time to surgery (base case RCC model BEL+AS=0.0007, AS=0.0049; CNS Hb model BEL+AS=0.0001, AS=0.0020; pNET model AS=0.0002)</w:t>
            </w:r>
          </w:p>
        </w:tc>
      </w:tr>
      <w:tr w:rsidR="00376AA5" w:rsidRPr="0049394D" w14:paraId="417CBBC1" w14:textId="77777777" w:rsidTr="00243D28">
        <w:trPr>
          <w:trHeight w:val="66"/>
        </w:trPr>
        <w:tc>
          <w:tcPr>
            <w:tcW w:w="1493" w:type="pct"/>
            <w:tcBorders>
              <w:top w:val="nil"/>
              <w:bottom w:val="nil"/>
            </w:tcBorders>
            <w:noWrap/>
          </w:tcPr>
          <w:p w14:paraId="3763D773" w14:textId="77777777" w:rsidR="00376AA5" w:rsidRPr="0049394D" w:rsidRDefault="00376AA5" w:rsidP="00376AA5">
            <w:pPr>
              <w:pStyle w:val="TableText0"/>
              <w:keepNext w:val="0"/>
              <w:ind w:firstLine="169"/>
              <w:rPr>
                <w:iCs/>
              </w:rPr>
            </w:pPr>
            <w:r w:rsidRPr="0049394D">
              <w:rPr>
                <w:iCs/>
              </w:rPr>
              <w:t>Upper 95%CI</w:t>
            </w:r>
            <w:r w:rsidRPr="0049394D">
              <w:rPr>
                <w:iCs/>
                <w:vertAlign w:val="superscript"/>
              </w:rPr>
              <w:t>e</w:t>
            </w:r>
          </w:p>
        </w:tc>
        <w:tc>
          <w:tcPr>
            <w:tcW w:w="584" w:type="pct"/>
            <w:tcBorders>
              <w:top w:val="nil"/>
              <w:bottom w:val="nil"/>
            </w:tcBorders>
            <w:noWrap/>
            <w:vAlign w:val="center"/>
          </w:tcPr>
          <w:p w14:paraId="0C4D3A5C" w14:textId="0437C359"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0"/>
                <w14:textFill>
                  <w14:solidFill>
                    <w14:srgbClr w14:val="000000">
                      <w14:alpha w14:val="100000"/>
                    </w14:srgbClr>
                  </w14:solidFill>
                </w14:textFill>
              </w:rPr>
              <w:t>|</w:t>
            </w:r>
            <w:r w:rsidRPr="00501C36">
              <w:rPr>
                <w:iCs/>
                <w:color w:val="000000"/>
                <w:spacing w:val="1"/>
                <w:shd w:val="solid" w:color="000000" w:fill="000000"/>
                <w:fitText w:val="165" w:id="-893684470"/>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09C49E43" w14:textId="3101E9E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9"/>
                <w14:textFill>
                  <w14:solidFill>
                    <w14:srgbClr w14:val="000000">
                      <w14:alpha w14:val="100000"/>
                    </w14:srgbClr>
                  </w14:solidFill>
                </w14:textFill>
              </w:rPr>
              <w:t>|</w:t>
            </w:r>
            <w:r w:rsidRPr="00501C36">
              <w:rPr>
                <w:iCs/>
                <w:color w:val="000000"/>
                <w:spacing w:val="1"/>
                <w:shd w:val="solid" w:color="000000" w:fill="000000"/>
                <w:fitText w:val="195" w:id="-893684469"/>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56F824B7" w14:textId="2E9D9D1D"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8"/>
                <w14:textFill>
                  <w14:solidFill>
                    <w14:srgbClr w14:val="000000">
                      <w14:alpha w14:val="100000"/>
                    </w14:srgbClr>
                  </w14:solidFill>
                </w14:textFill>
              </w:rPr>
              <w:t>|</w:t>
            </w:r>
            <w:r w:rsidRPr="00501C36">
              <w:rPr>
                <w:iCs/>
                <w:color w:val="000000"/>
                <w:spacing w:val="1"/>
                <w:shd w:val="solid" w:color="000000" w:fill="000000"/>
                <w:fitText w:val="165" w:id="-893684468"/>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08A5590D" w14:textId="3A5E1961"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7"/>
                <w14:textFill>
                  <w14:solidFill>
                    <w14:srgbClr w14:val="000000">
                      <w14:alpha w14:val="100000"/>
                    </w14:srgbClr>
                  </w14:solidFill>
                </w14:textFill>
              </w:rPr>
              <w:t>|</w:t>
            </w:r>
            <w:r w:rsidRPr="00501C36">
              <w:rPr>
                <w:iCs/>
                <w:color w:val="000000"/>
                <w:spacing w:val="1"/>
                <w:shd w:val="solid" w:color="000000" w:fill="000000"/>
                <w:fitText w:val="195" w:id="-893684467"/>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4A55EFA9" w14:textId="5F5AE87F"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6"/>
                <w14:textFill>
                  <w14:solidFill>
                    <w14:srgbClr w14:val="000000">
                      <w14:alpha w14:val="100000"/>
                    </w14:srgbClr>
                  </w14:solidFill>
                </w14:textFill>
              </w:rPr>
              <w:t>|</w:t>
            </w:r>
            <w:r w:rsidRPr="00501C36">
              <w:rPr>
                <w:iCs/>
                <w:color w:val="000000"/>
                <w:spacing w:val="1"/>
                <w:shd w:val="solid" w:color="000000" w:fill="000000"/>
                <w:fitText w:val="165" w:id="-893684466"/>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5DD7F91D" w14:textId="1A0FC63A"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5"/>
                <w14:textFill>
                  <w14:solidFill>
                    <w14:srgbClr w14:val="000000">
                      <w14:alpha w14:val="100000"/>
                    </w14:srgbClr>
                  </w14:solidFill>
                </w14:textFill>
              </w:rPr>
              <w:t>|</w:t>
            </w:r>
            <w:r w:rsidRPr="00501C36">
              <w:rPr>
                <w:iCs/>
                <w:color w:val="000000"/>
                <w:spacing w:val="1"/>
                <w:shd w:val="solid" w:color="000000" w:fill="000000"/>
                <w:fitText w:val="195" w:id="-893684465"/>
                <w14:textFill>
                  <w14:solidFill>
                    <w14:srgbClr w14:val="000000">
                      <w14:alpha w14:val="100000"/>
                    </w14:srgbClr>
                  </w14:solidFill>
                </w14:textFill>
              </w:rPr>
              <w:t>|</w:t>
            </w:r>
            <w:r w:rsidRPr="0049394D">
              <w:rPr>
                <w:iCs/>
              </w:rPr>
              <w:t>%</w:t>
            </w:r>
          </w:p>
        </w:tc>
      </w:tr>
      <w:tr w:rsidR="00376AA5" w:rsidRPr="0049394D" w14:paraId="01098104" w14:textId="77777777" w:rsidTr="00243D28">
        <w:trPr>
          <w:trHeight w:val="177"/>
        </w:trPr>
        <w:tc>
          <w:tcPr>
            <w:tcW w:w="1493" w:type="pct"/>
            <w:tcBorders>
              <w:top w:val="nil"/>
              <w:bottom w:val="nil"/>
            </w:tcBorders>
            <w:noWrap/>
          </w:tcPr>
          <w:p w14:paraId="693BBC5E" w14:textId="77777777" w:rsidR="00376AA5" w:rsidRPr="0049394D" w:rsidRDefault="00376AA5" w:rsidP="00376AA5">
            <w:pPr>
              <w:pStyle w:val="TableText0"/>
              <w:keepNext w:val="0"/>
              <w:ind w:firstLine="169"/>
              <w:rPr>
                <w:iCs/>
              </w:rPr>
            </w:pPr>
            <w:r w:rsidRPr="0049394D">
              <w:rPr>
                <w:iCs/>
              </w:rPr>
              <w:t>Lower 95%CI</w:t>
            </w:r>
            <w:r w:rsidRPr="0049394D">
              <w:rPr>
                <w:iCs/>
                <w:vertAlign w:val="superscript"/>
              </w:rPr>
              <w:t>f</w:t>
            </w:r>
          </w:p>
        </w:tc>
        <w:tc>
          <w:tcPr>
            <w:tcW w:w="584" w:type="pct"/>
            <w:tcBorders>
              <w:top w:val="nil"/>
              <w:bottom w:val="nil"/>
            </w:tcBorders>
            <w:noWrap/>
            <w:vAlign w:val="center"/>
          </w:tcPr>
          <w:p w14:paraId="33B65983" w14:textId="6AA35A72"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4"/>
                <w14:textFill>
                  <w14:solidFill>
                    <w14:srgbClr w14:val="000000">
                      <w14:alpha w14:val="100000"/>
                    </w14:srgbClr>
                  </w14:solidFill>
                </w14:textFill>
              </w:rPr>
              <w:t>|</w:t>
            </w:r>
            <w:r w:rsidRPr="00501C36">
              <w:rPr>
                <w:iCs/>
                <w:color w:val="000000"/>
                <w:spacing w:val="1"/>
                <w:shd w:val="solid" w:color="000000" w:fill="000000"/>
                <w:fitText w:val="165" w:id="-893684464"/>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noWrap/>
            <w:vAlign w:val="center"/>
          </w:tcPr>
          <w:p w14:paraId="7594B7A0" w14:textId="36C1C85D"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80"/>
                <w14:textFill>
                  <w14:solidFill>
                    <w14:srgbClr w14:val="000000">
                      <w14:alpha w14:val="100000"/>
                    </w14:srgbClr>
                  </w14:solidFill>
                </w14:textFill>
              </w:rPr>
              <w:t>||</w:t>
            </w:r>
            <w:r w:rsidRPr="00501C36">
              <w:rPr>
                <w:iCs/>
                <w:color w:val="000000"/>
                <w:spacing w:val="2"/>
                <w:shd w:val="solid" w:color="000000" w:fill="000000"/>
                <w:fitText w:val="225" w:id="-893684480"/>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65556870" w14:textId="1D6FA937"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9"/>
                <w14:textFill>
                  <w14:solidFill>
                    <w14:srgbClr w14:val="000000">
                      <w14:alpha w14:val="100000"/>
                    </w14:srgbClr>
                  </w14:solidFill>
                </w14:textFill>
              </w:rPr>
              <w:t>|</w:t>
            </w:r>
            <w:r w:rsidRPr="00501C36">
              <w:rPr>
                <w:iCs/>
                <w:color w:val="000000"/>
                <w:spacing w:val="1"/>
                <w:shd w:val="solid" w:color="000000" w:fill="000000"/>
                <w:fitText w:val="165" w:id="-893684479"/>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18947F82" w14:textId="73CE39DA"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78"/>
                <w14:textFill>
                  <w14:solidFill>
                    <w14:srgbClr w14:val="000000">
                      <w14:alpha w14:val="100000"/>
                    </w14:srgbClr>
                  </w14:solidFill>
                </w14:textFill>
              </w:rPr>
              <w:t>||</w:t>
            </w:r>
            <w:r w:rsidRPr="00501C36">
              <w:rPr>
                <w:iCs/>
                <w:color w:val="000000"/>
                <w:spacing w:val="2"/>
                <w:shd w:val="solid" w:color="000000" w:fill="000000"/>
                <w:fitText w:val="225" w:id="-893684478"/>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13EC6A82" w14:textId="7D0E0A5D"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7"/>
                <w14:textFill>
                  <w14:solidFill>
                    <w14:srgbClr w14:val="000000">
                      <w14:alpha w14:val="100000"/>
                    </w14:srgbClr>
                  </w14:solidFill>
                </w14:textFill>
              </w:rPr>
              <w:t>|</w:t>
            </w:r>
            <w:r w:rsidRPr="00501C36">
              <w:rPr>
                <w:iCs/>
                <w:color w:val="000000"/>
                <w:spacing w:val="1"/>
                <w:shd w:val="solid" w:color="000000" w:fill="000000"/>
                <w:fitText w:val="165" w:id="-893684477"/>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6FBEAD41" w14:textId="0934D366"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76"/>
                <w14:textFill>
                  <w14:solidFill>
                    <w14:srgbClr w14:val="000000">
                      <w14:alpha w14:val="100000"/>
                    </w14:srgbClr>
                  </w14:solidFill>
                </w14:textFill>
              </w:rPr>
              <w:t>||</w:t>
            </w:r>
            <w:r w:rsidRPr="00501C36">
              <w:rPr>
                <w:iCs/>
                <w:color w:val="000000"/>
                <w:spacing w:val="2"/>
                <w:shd w:val="solid" w:color="000000" w:fill="000000"/>
                <w:fitText w:val="225" w:id="-893684476"/>
                <w14:textFill>
                  <w14:solidFill>
                    <w14:srgbClr w14:val="000000">
                      <w14:alpha w14:val="100000"/>
                    </w14:srgbClr>
                  </w14:solidFill>
                </w14:textFill>
              </w:rPr>
              <w:t>|</w:t>
            </w:r>
            <w:r w:rsidRPr="0049394D">
              <w:rPr>
                <w:iCs/>
              </w:rPr>
              <w:t>%</w:t>
            </w:r>
          </w:p>
        </w:tc>
      </w:tr>
      <w:tr w:rsidR="00376AA5" w:rsidRPr="0049394D" w14:paraId="0AC26A20" w14:textId="77777777" w:rsidTr="00243D28">
        <w:trPr>
          <w:trHeight w:val="81"/>
        </w:trPr>
        <w:tc>
          <w:tcPr>
            <w:tcW w:w="1493" w:type="pct"/>
            <w:tcBorders>
              <w:top w:val="nil"/>
              <w:bottom w:val="nil"/>
            </w:tcBorders>
            <w:noWrap/>
          </w:tcPr>
          <w:p w14:paraId="64A7273B" w14:textId="77777777" w:rsidR="00376AA5" w:rsidRPr="0049394D" w:rsidRDefault="00376AA5" w:rsidP="00376AA5">
            <w:pPr>
              <w:pStyle w:val="TableText0"/>
              <w:keepNext w:val="0"/>
              <w:ind w:firstLine="169"/>
              <w:rPr>
                <w:iCs/>
              </w:rPr>
            </w:pPr>
            <w:r w:rsidRPr="0049394D">
              <w:rPr>
                <w:iCs/>
              </w:rPr>
              <w:t>Worst case</w:t>
            </w:r>
            <w:r w:rsidRPr="0049394D">
              <w:rPr>
                <w:iCs/>
                <w:vertAlign w:val="superscript"/>
              </w:rPr>
              <w:t>g</w:t>
            </w:r>
          </w:p>
        </w:tc>
        <w:tc>
          <w:tcPr>
            <w:tcW w:w="584" w:type="pct"/>
            <w:tcBorders>
              <w:top w:val="nil"/>
              <w:bottom w:val="nil"/>
            </w:tcBorders>
            <w:noWrap/>
            <w:vAlign w:val="center"/>
          </w:tcPr>
          <w:p w14:paraId="7B98E5C9" w14:textId="49A6B490"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5"/>
                <w14:textFill>
                  <w14:solidFill>
                    <w14:srgbClr w14:val="000000">
                      <w14:alpha w14:val="100000"/>
                    </w14:srgbClr>
                  </w14:solidFill>
                </w14:textFill>
              </w:rPr>
              <w:t>|</w:t>
            </w:r>
            <w:r w:rsidRPr="00501C36">
              <w:rPr>
                <w:iCs/>
                <w:color w:val="000000"/>
                <w:spacing w:val="1"/>
                <w:shd w:val="solid" w:color="000000" w:fill="000000"/>
                <w:fitText w:val="165" w:id="-893684475"/>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33B45624" w14:textId="76D4038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4"/>
                <w14:textFill>
                  <w14:solidFill>
                    <w14:srgbClr w14:val="000000">
                      <w14:alpha w14:val="100000"/>
                    </w14:srgbClr>
                  </w14:solidFill>
                </w14:textFill>
              </w:rPr>
              <w:t>|</w:t>
            </w:r>
            <w:r w:rsidRPr="00501C36">
              <w:rPr>
                <w:iCs/>
                <w:color w:val="000000"/>
                <w:spacing w:val="1"/>
                <w:shd w:val="solid" w:color="000000" w:fill="000000"/>
                <w:fitText w:val="195" w:id="-893684474"/>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28598250" w14:textId="4D168B75"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3"/>
                <w14:textFill>
                  <w14:solidFill>
                    <w14:srgbClr w14:val="000000">
                      <w14:alpha w14:val="100000"/>
                    </w14:srgbClr>
                  </w14:solidFill>
                </w14:textFill>
              </w:rPr>
              <w:t>|</w:t>
            </w:r>
            <w:r w:rsidRPr="00501C36">
              <w:rPr>
                <w:iCs/>
                <w:color w:val="000000"/>
                <w:spacing w:val="1"/>
                <w:shd w:val="solid" w:color="000000" w:fill="000000"/>
                <w:fitText w:val="165" w:id="-893684473"/>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vAlign w:val="center"/>
          </w:tcPr>
          <w:p w14:paraId="0CE90BBC" w14:textId="6F4C864A"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2"/>
                <w14:textFill>
                  <w14:solidFill>
                    <w14:srgbClr w14:val="000000">
                      <w14:alpha w14:val="100000"/>
                    </w14:srgbClr>
                  </w14:solidFill>
                </w14:textFill>
              </w:rPr>
              <w:t>|</w:t>
            </w:r>
            <w:r w:rsidRPr="00501C36">
              <w:rPr>
                <w:iCs/>
                <w:color w:val="000000"/>
                <w:spacing w:val="1"/>
                <w:shd w:val="solid" w:color="000000" w:fill="000000"/>
                <w:fitText w:val="195" w:id="-893684472"/>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6373E883" w14:textId="66AE1321"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1"/>
                <w14:textFill>
                  <w14:solidFill>
                    <w14:srgbClr w14:val="000000">
                      <w14:alpha w14:val="100000"/>
                    </w14:srgbClr>
                  </w14:solidFill>
                </w14:textFill>
              </w:rPr>
              <w:t>|</w:t>
            </w:r>
            <w:r w:rsidRPr="00501C36">
              <w:rPr>
                <w:iCs/>
                <w:color w:val="000000"/>
                <w:spacing w:val="1"/>
                <w:shd w:val="solid" w:color="000000" w:fill="000000"/>
                <w:fitText w:val="165" w:id="-893684471"/>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70ABD2C9" w14:textId="53EE013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0"/>
                <w14:textFill>
                  <w14:solidFill>
                    <w14:srgbClr w14:val="000000">
                      <w14:alpha w14:val="100000"/>
                    </w14:srgbClr>
                  </w14:solidFill>
                </w14:textFill>
              </w:rPr>
              <w:t>|</w:t>
            </w:r>
            <w:r w:rsidRPr="00501C36">
              <w:rPr>
                <w:iCs/>
                <w:color w:val="000000"/>
                <w:spacing w:val="1"/>
                <w:shd w:val="solid" w:color="000000" w:fill="000000"/>
                <w:fitText w:val="195" w:id="-893684470"/>
                <w14:textFill>
                  <w14:solidFill>
                    <w14:srgbClr w14:val="000000">
                      <w14:alpha w14:val="100000"/>
                    </w14:srgbClr>
                  </w14:solidFill>
                </w14:textFill>
              </w:rPr>
              <w:t>|</w:t>
            </w:r>
            <w:r w:rsidRPr="0049394D">
              <w:rPr>
                <w:iCs/>
              </w:rPr>
              <w:t>%</w:t>
            </w:r>
          </w:p>
        </w:tc>
      </w:tr>
      <w:tr w:rsidR="00376AA5" w:rsidRPr="0049394D" w14:paraId="265292C6" w14:textId="77777777" w:rsidTr="00243D28">
        <w:trPr>
          <w:trHeight w:val="66"/>
        </w:trPr>
        <w:tc>
          <w:tcPr>
            <w:tcW w:w="1493" w:type="pct"/>
            <w:tcBorders>
              <w:top w:val="nil"/>
              <w:bottom w:val="single" w:sz="4" w:space="0" w:color="auto"/>
            </w:tcBorders>
            <w:noWrap/>
          </w:tcPr>
          <w:p w14:paraId="5F6DFFE6" w14:textId="77777777" w:rsidR="00376AA5" w:rsidRPr="0049394D" w:rsidRDefault="00376AA5" w:rsidP="00376AA5">
            <w:pPr>
              <w:pStyle w:val="TableText0"/>
              <w:keepNext w:val="0"/>
              <w:ind w:firstLine="169"/>
              <w:rPr>
                <w:iCs/>
              </w:rPr>
            </w:pPr>
            <w:r w:rsidRPr="0049394D">
              <w:rPr>
                <w:iCs/>
              </w:rPr>
              <w:t>Best case</w:t>
            </w:r>
            <w:r w:rsidRPr="0049394D">
              <w:rPr>
                <w:iCs/>
                <w:vertAlign w:val="superscript"/>
              </w:rPr>
              <w:t>h</w:t>
            </w:r>
          </w:p>
        </w:tc>
        <w:tc>
          <w:tcPr>
            <w:tcW w:w="584" w:type="pct"/>
            <w:tcBorders>
              <w:top w:val="nil"/>
              <w:bottom w:val="single" w:sz="4" w:space="0" w:color="auto"/>
            </w:tcBorders>
            <w:noWrap/>
            <w:vAlign w:val="center"/>
          </w:tcPr>
          <w:p w14:paraId="19FF1630" w14:textId="61077A6A"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9"/>
                <w14:textFill>
                  <w14:solidFill>
                    <w14:srgbClr w14:val="000000">
                      <w14:alpha w14:val="100000"/>
                    </w14:srgbClr>
                  </w14:solidFill>
                </w14:textFill>
              </w:rPr>
              <w:t>|</w:t>
            </w:r>
            <w:r w:rsidRPr="00501C36">
              <w:rPr>
                <w:iCs/>
                <w:color w:val="000000"/>
                <w:spacing w:val="1"/>
                <w:shd w:val="solid" w:color="000000" w:fill="000000"/>
                <w:fitText w:val="165" w:id="-893684469"/>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noWrap/>
            <w:vAlign w:val="center"/>
          </w:tcPr>
          <w:p w14:paraId="6A02FE09" w14:textId="6DE20A56"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68"/>
                <w14:textFill>
                  <w14:solidFill>
                    <w14:srgbClr w14:val="000000">
                      <w14:alpha w14:val="100000"/>
                    </w14:srgbClr>
                  </w14:solidFill>
                </w14:textFill>
              </w:rPr>
              <w:t>||</w:t>
            </w:r>
            <w:r w:rsidRPr="00501C36">
              <w:rPr>
                <w:iCs/>
                <w:color w:val="000000"/>
                <w:spacing w:val="2"/>
                <w:shd w:val="solid" w:color="000000" w:fill="000000"/>
                <w:fitText w:val="225" w:id="-893684468"/>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0FD88DDE" w14:textId="67B0E040"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7"/>
                <w14:textFill>
                  <w14:solidFill>
                    <w14:srgbClr w14:val="000000">
                      <w14:alpha w14:val="100000"/>
                    </w14:srgbClr>
                  </w14:solidFill>
                </w14:textFill>
              </w:rPr>
              <w:t>|</w:t>
            </w:r>
            <w:r w:rsidRPr="00501C36">
              <w:rPr>
                <w:iCs/>
                <w:color w:val="000000"/>
                <w:spacing w:val="1"/>
                <w:shd w:val="solid" w:color="000000" w:fill="000000"/>
                <w:fitText w:val="165" w:id="-893684467"/>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01C73506" w14:textId="008C6A9A"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66"/>
                <w14:textFill>
                  <w14:solidFill>
                    <w14:srgbClr w14:val="000000">
                      <w14:alpha w14:val="100000"/>
                    </w14:srgbClr>
                  </w14:solidFill>
                </w14:textFill>
              </w:rPr>
              <w:t>||</w:t>
            </w:r>
            <w:r w:rsidRPr="00501C36">
              <w:rPr>
                <w:iCs/>
                <w:color w:val="000000"/>
                <w:spacing w:val="2"/>
                <w:shd w:val="solid" w:color="000000" w:fill="000000"/>
                <w:fitText w:val="225" w:id="-893684466"/>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5249E392" w14:textId="1006E28C"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5"/>
                <w14:textFill>
                  <w14:solidFill>
                    <w14:srgbClr w14:val="000000">
                      <w14:alpha w14:val="100000"/>
                    </w14:srgbClr>
                  </w14:solidFill>
                </w14:textFill>
              </w:rPr>
              <w:t>|</w:t>
            </w:r>
            <w:r w:rsidRPr="00501C36">
              <w:rPr>
                <w:iCs/>
                <w:color w:val="000000"/>
                <w:spacing w:val="1"/>
                <w:shd w:val="solid" w:color="000000" w:fill="000000"/>
                <w:fitText w:val="165" w:id="-893684465"/>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77AC4150" w14:textId="5C538A33" w:rsidR="00376AA5" w:rsidRPr="0049394D" w:rsidRDefault="00376AA5" w:rsidP="00376AA5">
            <w:pPr>
              <w:pStyle w:val="TableText0"/>
              <w:keepNext w:val="0"/>
              <w:jc w:val="center"/>
              <w:rPr>
                <w:iCs/>
              </w:rPr>
            </w:pPr>
            <w:r w:rsidRPr="0049394D">
              <w:rPr>
                <w:iCs/>
              </w:rPr>
              <w:t>-</w:t>
            </w:r>
            <w:r w:rsidRPr="00501C36">
              <w:rPr>
                <w:iCs/>
                <w:color w:val="000000"/>
                <w:spacing w:val="48"/>
                <w:shd w:val="solid" w:color="000000" w:fill="000000"/>
                <w:fitText w:val="225" w:id="-893684464"/>
                <w14:textFill>
                  <w14:solidFill>
                    <w14:srgbClr w14:val="000000">
                      <w14:alpha w14:val="100000"/>
                    </w14:srgbClr>
                  </w14:solidFill>
                </w14:textFill>
              </w:rPr>
              <w:t>||</w:t>
            </w:r>
            <w:r w:rsidRPr="00501C36">
              <w:rPr>
                <w:iCs/>
                <w:color w:val="000000"/>
                <w:spacing w:val="2"/>
                <w:shd w:val="solid" w:color="000000" w:fill="000000"/>
                <w:fitText w:val="225" w:id="-893684464"/>
                <w14:textFill>
                  <w14:solidFill>
                    <w14:srgbClr w14:val="000000">
                      <w14:alpha w14:val="100000"/>
                    </w14:srgbClr>
                  </w14:solidFill>
                </w14:textFill>
              </w:rPr>
              <w:t>|</w:t>
            </w:r>
            <w:r w:rsidRPr="0049394D">
              <w:rPr>
                <w:iCs/>
              </w:rPr>
              <w:t>%</w:t>
            </w:r>
          </w:p>
        </w:tc>
      </w:tr>
      <w:tr w:rsidR="00376AA5" w:rsidRPr="0049394D" w14:paraId="41D16312" w14:textId="77777777" w:rsidTr="00282F0D">
        <w:trPr>
          <w:trHeight w:val="300"/>
        </w:trPr>
        <w:tc>
          <w:tcPr>
            <w:tcW w:w="5000" w:type="pct"/>
            <w:gridSpan w:val="7"/>
            <w:tcBorders>
              <w:bottom w:val="nil"/>
            </w:tcBorders>
            <w:noWrap/>
          </w:tcPr>
          <w:p w14:paraId="48D58162" w14:textId="77777777" w:rsidR="00376AA5" w:rsidRPr="0049394D" w:rsidRDefault="00376AA5" w:rsidP="00376AA5">
            <w:pPr>
              <w:pStyle w:val="TableText0"/>
              <w:keepNext w:val="0"/>
              <w:rPr>
                <w:iCs/>
              </w:rPr>
            </w:pPr>
            <w:r w:rsidRPr="0049394D">
              <w:rPr>
                <w:iCs/>
              </w:rPr>
              <w:t>Belzutifan benefit to event rates (base case benefit applied to time to 1</w:t>
            </w:r>
            <w:r w:rsidRPr="0049394D">
              <w:rPr>
                <w:iCs/>
                <w:vertAlign w:val="superscript"/>
              </w:rPr>
              <w:t>st</w:t>
            </w:r>
            <w:r w:rsidRPr="0049394D">
              <w:rPr>
                <w:iCs/>
              </w:rPr>
              <w:t xml:space="preserve"> surgery, time to subsequent surgery, per cycle rate of ‘other’ tumour surgeries, time metastases from any state, time to death from CNS Hb in any state)</w:t>
            </w:r>
          </w:p>
        </w:tc>
      </w:tr>
      <w:tr w:rsidR="00376AA5" w:rsidRPr="0049394D" w14:paraId="05202498" w14:textId="77777777" w:rsidTr="00243D28">
        <w:trPr>
          <w:trHeight w:val="66"/>
        </w:trPr>
        <w:tc>
          <w:tcPr>
            <w:tcW w:w="1493" w:type="pct"/>
            <w:tcBorders>
              <w:top w:val="nil"/>
              <w:bottom w:val="nil"/>
            </w:tcBorders>
            <w:noWrap/>
          </w:tcPr>
          <w:p w14:paraId="18D2748C" w14:textId="77777777" w:rsidR="00376AA5" w:rsidRPr="0049394D" w:rsidRDefault="00376AA5" w:rsidP="00376AA5">
            <w:pPr>
              <w:pStyle w:val="TableText0"/>
              <w:keepNext w:val="0"/>
              <w:ind w:firstLine="169"/>
              <w:rPr>
                <w:iCs/>
              </w:rPr>
            </w:pPr>
            <w:r w:rsidRPr="0049394D">
              <w:rPr>
                <w:iCs/>
              </w:rPr>
              <w:t xml:space="preserve">Time to first model surgery only </w:t>
            </w:r>
          </w:p>
        </w:tc>
        <w:tc>
          <w:tcPr>
            <w:tcW w:w="584" w:type="pct"/>
            <w:tcBorders>
              <w:top w:val="nil"/>
              <w:bottom w:val="nil"/>
            </w:tcBorders>
            <w:noWrap/>
            <w:vAlign w:val="center"/>
          </w:tcPr>
          <w:p w14:paraId="5CCDCB84" w14:textId="76A921FA"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80"/>
                <w14:textFill>
                  <w14:solidFill>
                    <w14:srgbClr w14:val="000000">
                      <w14:alpha w14:val="100000"/>
                    </w14:srgbClr>
                  </w14:solidFill>
                </w14:textFill>
              </w:rPr>
              <w:t>|</w:t>
            </w:r>
            <w:r w:rsidRPr="00501C36">
              <w:rPr>
                <w:iCs/>
                <w:color w:val="000000"/>
                <w:spacing w:val="1"/>
                <w:shd w:val="solid" w:color="000000" w:fill="000000"/>
                <w:fitText w:val="165" w:id="-893684480"/>
                <w14:textFill>
                  <w14:solidFill>
                    <w14:srgbClr w14:val="000000">
                      <w14:alpha w14:val="100000"/>
                    </w14:srgbClr>
                  </w14:solidFill>
                </w14:textFill>
              </w:rPr>
              <w:t>|</w:t>
            </w:r>
            <w:r w:rsidRPr="0009066F">
              <w:rPr>
                <w:iCs/>
                <w:vertAlign w:val="superscript"/>
              </w:rPr>
              <w:t>5</w:t>
            </w:r>
          </w:p>
        </w:tc>
        <w:tc>
          <w:tcPr>
            <w:tcW w:w="585" w:type="pct"/>
            <w:tcBorders>
              <w:top w:val="nil"/>
              <w:bottom w:val="nil"/>
            </w:tcBorders>
            <w:noWrap/>
            <w:vAlign w:val="center"/>
          </w:tcPr>
          <w:p w14:paraId="5E056AAE" w14:textId="3C49D247"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9"/>
                <w14:textFill>
                  <w14:solidFill>
                    <w14:srgbClr w14:val="000000">
                      <w14:alpha w14:val="100000"/>
                    </w14:srgbClr>
                  </w14:solidFill>
                </w14:textFill>
              </w:rPr>
              <w:t>|</w:t>
            </w:r>
            <w:r w:rsidRPr="00501C36">
              <w:rPr>
                <w:iCs/>
                <w:color w:val="000000"/>
                <w:spacing w:val="1"/>
                <w:shd w:val="solid" w:color="000000" w:fill="000000"/>
                <w:fitText w:val="195" w:id="-893684479"/>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10DA8C5A" w14:textId="017C4F2C" w:rsidR="00376AA5" w:rsidRPr="0009066F" w:rsidRDefault="00376AA5" w:rsidP="00376AA5">
            <w:pPr>
              <w:pStyle w:val="TableText0"/>
              <w:keepNext w:val="0"/>
              <w:jc w:val="center"/>
              <w:rPr>
                <w:iCs/>
                <w:highlight w:val="lightGray"/>
              </w:rPr>
            </w:pPr>
            <w:r w:rsidRPr="00501C36">
              <w:rPr>
                <w:iCs/>
                <w:color w:val="000000"/>
                <w:spacing w:val="109"/>
                <w:shd w:val="solid" w:color="000000" w:fill="000000"/>
                <w:fitText w:val="195" w:id="-893684478"/>
                <w14:textFill>
                  <w14:solidFill>
                    <w14:srgbClr w14:val="000000">
                      <w14:alpha w14:val="100000"/>
                    </w14:srgbClr>
                  </w14:solidFill>
                </w14:textFill>
              </w:rPr>
              <w:t>|</w:t>
            </w:r>
            <w:r w:rsidRPr="00501C36">
              <w:rPr>
                <w:iCs/>
                <w:color w:val="000000"/>
                <w:spacing w:val="1"/>
                <w:shd w:val="solid" w:color="000000" w:fill="000000"/>
                <w:fitText w:val="195" w:id="-893684478"/>
                <w14:textFill>
                  <w14:solidFill>
                    <w14:srgbClr w14:val="000000">
                      <w14:alpha w14:val="100000"/>
                    </w14:srgbClr>
                  </w14:solidFill>
                </w14:textFill>
              </w:rPr>
              <w:t>|</w:t>
            </w:r>
            <w:r w:rsidRPr="0009066F">
              <w:rPr>
                <w:iCs/>
                <w:vertAlign w:val="superscript"/>
              </w:rPr>
              <w:t>10</w:t>
            </w:r>
          </w:p>
        </w:tc>
        <w:tc>
          <w:tcPr>
            <w:tcW w:w="585" w:type="pct"/>
            <w:tcBorders>
              <w:top w:val="nil"/>
              <w:bottom w:val="nil"/>
            </w:tcBorders>
            <w:vAlign w:val="center"/>
          </w:tcPr>
          <w:p w14:paraId="2B4704D4" w14:textId="7474430C"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7"/>
                <w14:textFill>
                  <w14:solidFill>
                    <w14:srgbClr w14:val="000000">
                      <w14:alpha w14:val="100000"/>
                    </w14:srgbClr>
                  </w14:solidFill>
                </w14:textFill>
              </w:rPr>
              <w:t>|</w:t>
            </w:r>
            <w:r w:rsidRPr="00501C36">
              <w:rPr>
                <w:iCs/>
                <w:color w:val="000000"/>
                <w:spacing w:val="1"/>
                <w:shd w:val="solid" w:color="000000" w:fill="000000"/>
                <w:fitText w:val="195" w:id="-893684477"/>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5E911254" w14:textId="18E7F065"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6"/>
                <w14:textFill>
                  <w14:solidFill>
                    <w14:srgbClr w14:val="000000">
                      <w14:alpha w14:val="100000"/>
                    </w14:srgbClr>
                  </w14:solidFill>
                </w14:textFill>
              </w:rPr>
              <w:t>|</w:t>
            </w:r>
            <w:r w:rsidRPr="00501C36">
              <w:rPr>
                <w:iCs/>
                <w:color w:val="000000"/>
                <w:spacing w:val="1"/>
                <w:shd w:val="solid" w:color="000000" w:fill="000000"/>
                <w:fitText w:val="165" w:id="-893684476"/>
                <w14:textFill>
                  <w14:solidFill>
                    <w14:srgbClr w14:val="000000">
                      <w14:alpha w14:val="100000"/>
                    </w14:srgbClr>
                  </w14:solidFill>
                </w14:textFill>
              </w:rPr>
              <w:t>|</w:t>
            </w:r>
            <w:r w:rsidRPr="0009066F">
              <w:rPr>
                <w:iCs/>
                <w:vertAlign w:val="superscript"/>
              </w:rPr>
              <w:t>6</w:t>
            </w:r>
          </w:p>
        </w:tc>
        <w:tc>
          <w:tcPr>
            <w:tcW w:w="585" w:type="pct"/>
            <w:tcBorders>
              <w:top w:val="nil"/>
              <w:bottom w:val="nil"/>
            </w:tcBorders>
            <w:vAlign w:val="center"/>
          </w:tcPr>
          <w:p w14:paraId="7E790E22" w14:textId="09E8BFBA"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5"/>
                <w14:textFill>
                  <w14:solidFill>
                    <w14:srgbClr w14:val="000000">
                      <w14:alpha w14:val="100000"/>
                    </w14:srgbClr>
                  </w14:solidFill>
                </w14:textFill>
              </w:rPr>
              <w:t>|</w:t>
            </w:r>
            <w:r w:rsidRPr="00501C36">
              <w:rPr>
                <w:iCs/>
                <w:color w:val="000000"/>
                <w:spacing w:val="1"/>
                <w:shd w:val="solid" w:color="000000" w:fill="000000"/>
                <w:fitText w:val="195" w:id="-893684475"/>
                <w14:textFill>
                  <w14:solidFill>
                    <w14:srgbClr w14:val="000000">
                      <w14:alpha w14:val="100000"/>
                    </w14:srgbClr>
                  </w14:solidFill>
                </w14:textFill>
              </w:rPr>
              <w:t>|</w:t>
            </w:r>
            <w:r w:rsidRPr="0049394D">
              <w:rPr>
                <w:iCs/>
              </w:rPr>
              <w:t>%</w:t>
            </w:r>
          </w:p>
        </w:tc>
      </w:tr>
      <w:tr w:rsidR="00376AA5" w:rsidRPr="0049394D" w14:paraId="1DC9D277" w14:textId="77777777" w:rsidTr="00243D28">
        <w:trPr>
          <w:trHeight w:val="300"/>
        </w:trPr>
        <w:tc>
          <w:tcPr>
            <w:tcW w:w="1493" w:type="pct"/>
            <w:tcBorders>
              <w:top w:val="nil"/>
              <w:bottom w:val="nil"/>
            </w:tcBorders>
            <w:noWrap/>
          </w:tcPr>
          <w:p w14:paraId="3D28809C" w14:textId="77777777" w:rsidR="00376AA5" w:rsidRPr="0049394D" w:rsidRDefault="00376AA5" w:rsidP="00376AA5">
            <w:pPr>
              <w:pStyle w:val="TableText0"/>
              <w:keepNext w:val="0"/>
              <w:ind w:left="169"/>
              <w:rPr>
                <w:iCs/>
              </w:rPr>
            </w:pPr>
            <w:r w:rsidRPr="0049394D">
              <w:rPr>
                <w:iCs/>
              </w:rPr>
              <w:t>Time to any surgery (including ‘other’ tumour surgeries) only</w:t>
            </w:r>
          </w:p>
        </w:tc>
        <w:tc>
          <w:tcPr>
            <w:tcW w:w="584" w:type="pct"/>
            <w:tcBorders>
              <w:top w:val="nil"/>
              <w:bottom w:val="nil"/>
            </w:tcBorders>
            <w:noWrap/>
            <w:vAlign w:val="center"/>
          </w:tcPr>
          <w:p w14:paraId="55DAACA6" w14:textId="599D9CD2"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4"/>
                <w14:textFill>
                  <w14:solidFill>
                    <w14:srgbClr w14:val="000000">
                      <w14:alpha w14:val="100000"/>
                    </w14:srgbClr>
                  </w14:solidFill>
                </w14:textFill>
              </w:rPr>
              <w:t>|</w:t>
            </w:r>
            <w:r w:rsidRPr="00501C36">
              <w:rPr>
                <w:iCs/>
                <w:color w:val="000000"/>
                <w:spacing w:val="1"/>
                <w:shd w:val="solid" w:color="000000" w:fill="000000"/>
                <w:fitText w:val="165" w:id="-893684474"/>
                <w14:textFill>
                  <w14:solidFill>
                    <w14:srgbClr w14:val="000000">
                      <w14:alpha w14:val="100000"/>
                    </w14:srgbClr>
                  </w14:solidFill>
                </w14:textFill>
              </w:rPr>
              <w:t>|</w:t>
            </w:r>
            <w:r w:rsidRPr="003F0AD1">
              <w:rPr>
                <w:iCs/>
                <w:vertAlign w:val="superscript"/>
              </w:rPr>
              <w:t>4</w:t>
            </w:r>
          </w:p>
        </w:tc>
        <w:tc>
          <w:tcPr>
            <w:tcW w:w="585" w:type="pct"/>
            <w:tcBorders>
              <w:top w:val="nil"/>
              <w:bottom w:val="nil"/>
            </w:tcBorders>
            <w:noWrap/>
            <w:vAlign w:val="center"/>
          </w:tcPr>
          <w:p w14:paraId="411E3D30" w14:textId="1AA3E962"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3"/>
                <w14:textFill>
                  <w14:solidFill>
                    <w14:srgbClr w14:val="000000">
                      <w14:alpha w14:val="100000"/>
                    </w14:srgbClr>
                  </w14:solidFill>
                </w14:textFill>
              </w:rPr>
              <w:t>|</w:t>
            </w:r>
            <w:r w:rsidRPr="00501C36">
              <w:rPr>
                <w:iCs/>
                <w:color w:val="000000"/>
                <w:spacing w:val="1"/>
                <w:shd w:val="solid" w:color="000000" w:fill="000000"/>
                <w:fitText w:val="195" w:id="-893684473"/>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401E2EF5" w14:textId="3FF27699"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2"/>
                <w14:textFill>
                  <w14:solidFill>
                    <w14:srgbClr w14:val="000000">
                      <w14:alpha w14:val="100000"/>
                    </w14:srgbClr>
                  </w14:solidFill>
                </w14:textFill>
              </w:rPr>
              <w:t>|</w:t>
            </w:r>
            <w:r w:rsidRPr="00501C36">
              <w:rPr>
                <w:iCs/>
                <w:color w:val="000000"/>
                <w:spacing w:val="1"/>
                <w:shd w:val="solid" w:color="000000" w:fill="000000"/>
                <w:fitText w:val="165" w:id="-893684472"/>
                <w14:textFill>
                  <w14:solidFill>
                    <w14:srgbClr w14:val="000000">
                      <w14:alpha w14:val="100000"/>
                    </w14:srgbClr>
                  </w14:solidFill>
                </w14:textFill>
              </w:rPr>
              <w:t>|</w:t>
            </w:r>
            <w:r w:rsidRPr="003F0AD1">
              <w:rPr>
                <w:iCs/>
                <w:vertAlign w:val="superscript"/>
              </w:rPr>
              <w:t>4</w:t>
            </w:r>
          </w:p>
        </w:tc>
        <w:tc>
          <w:tcPr>
            <w:tcW w:w="585" w:type="pct"/>
            <w:tcBorders>
              <w:top w:val="nil"/>
              <w:bottom w:val="nil"/>
            </w:tcBorders>
            <w:vAlign w:val="center"/>
          </w:tcPr>
          <w:p w14:paraId="60FC42A5" w14:textId="5E593BCB"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1"/>
                <w14:textFill>
                  <w14:solidFill>
                    <w14:srgbClr w14:val="000000">
                      <w14:alpha w14:val="100000"/>
                    </w14:srgbClr>
                  </w14:solidFill>
                </w14:textFill>
              </w:rPr>
              <w:t>|</w:t>
            </w:r>
            <w:r w:rsidRPr="00501C36">
              <w:rPr>
                <w:iCs/>
                <w:color w:val="000000"/>
                <w:spacing w:val="1"/>
                <w:shd w:val="solid" w:color="000000" w:fill="000000"/>
                <w:fitText w:val="195" w:id="-893684471"/>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4895A562" w14:textId="1DDB96FE"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0"/>
                <w14:textFill>
                  <w14:solidFill>
                    <w14:srgbClr w14:val="000000">
                      <w14:alpha w14:val="100000"/>
                    </w14:srgbClr>
                  </w14:solidFill>
                </w14:textFill>
              </w:rPr>
              <w:t>|</w:t>
            </w:r>
            <w:r w:rsidRPr="00501C36">
              <w:rPr>
                <w:iCs/>
                <w:color w:val="000000"/>
                <w:spacing w:val="1"/>
                <w:shd w:val="solid" w:color="000000" w:fill="000000"/>
                <w:fitText w:val="165" w:id="-893684470"/>
                <w14:textFill>
                  <w14:solidFill>
                    <w14:srgbClr w14:val="000000">
                      <w14:alpha w14:val="100000"/>
                    </w14:srgbClr>
                  </w14:solidFill>
                </w14:textFill>
              </w:rPr>
              <w:t>|</w:t>
            </w:r>
            <w:r w:rsidRPr="003F0AD1">
              <w:rPr>
                <w:iCs/>
                <w:vertAlign w:val="superscript"/>
              </w:rPr>
              <w:t>4</w:t>
            </w:r>
          </w:p>
        </w:tc>
        <w:tc>
          <w:tcPr>
            <w:tcW w:w="585" w:type="pct"/>
            <w:tcBorders>
              <w:top w:val="nil"/>
              <w:bottom w:val="nil"/>
            </w:tcBorders>
            <w:vAlign w:val="center"/>
          </w:tcPr>
          <w:p w14:paraId="2FF67A97" w14:textId="2803B4C3"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9"/>
                <w14:textFill>
                  <w14:solidFill>
                    <w14:srgbClr w14:val="000000">
                      <w14:alpha w14:val="100000"/>
                    </w14:srgbClr>
                  </w14:solidFill>
                </w14:textFill>
              </w:rPr>
              <w:t>|</w:t>
            </w:r>
            <w:r w:rsidRPr="00501C36">
              <w:rPr>
                <w:iCs/>
                <w:color w:val="000000"/>
                <w:spacing w:val="1"/>
                <w:shd w:val="solid" w:color="000000" w:fill="000000"/>
                <w:fitText w:val="195" w:id="-893684469"/>
                <w14:textFill>
                  <w14:solidFill>
                    <w14:srgbClr w14:val="000000">
                      <w14:alpha w14:val="100000"/>
                    </w14:srgbClr>
                  </w14:solidFill>
                </w14:textFill>
              </w:rPr>
              <w:t>|</w:t>
            </w:r>
            <w:r w:rsidRPr="0049394D">
              <w:rPr>
                <w:iCs/>
              </w:rPr>
              <w:t>%</w:t>
            </w:r>
          </w:p>
        </w:tc>
      </w:tr>
      <w:tr w:rsidR="00376AA5" w:rsidRPr="0049394D" w14:paraId="7A7DCECD" w14:textId="77777777" w:rsidTr="00243D28">
        <w:trPr>
          <w:trHeight w:val="300"/>
        </w:trPr>
        <w:tc>
          <w:tcPr>
            <w:tcW w:w="1493" w:type="pct"/>
            <w:tcBorders>
              <w:top w:val="nil"/>
              <w:bottom w:val="single" w:sz="4" w:space="0" w:color="auto"/>
            </w:tcBorders>
            <w:noWrap/>
          </w:tcPr>
          <w:p w14:paraId="629BF060" w14:textId="77777777" w:rsidR="00376AA5" w:rsidRPr="0049394D" w:rsidRDefault="00376AA5" w:rsidP="00376AA5">
            <w:pPr>
              <w:pStyle w:val="TableText0"/>
              <w:keepNext w:val="0"/>
              <w:ind w:left="169"/>
              <w:rPr>
                <w:iCs/>
              </w:rPr>
            </w:pPr>
            <w:r w:rsidRPr="0049394D">
              <w:rPr>
                <w:iCs/>
              </w:rPr>
              <w:t>Remove ‘other’ tumour surgeries from the model</w:t>
            </w:r>
          </w:p>
        </w:tc>
        <w:tc>
          <w:tcPr>
            <w:tcW w:w="584" w:type="pct"/>
            <w:tcBorders>
              <w:top w:val="nil"/>
              <w:bottom w:val="single" w:sz="4" w:space="0" w:color="auto"/>
            </w:tcBorders>
            <w:noWrap/>
            <w:vAlign w:val="center"/>
          </w:tcPr>
          <w:p w14:paraId="13618837" w14:textId="24BB1095"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8"/>
                <w14:textFill>
                  <w14:solidFill>
                    <w14:srgbClr w14:val="000000">
                      <w14:alpha w14:val="100000"/>
                    </w14:srgbClr>
                  </w14:solidFill>
                </w14:textFill>
              </w:rPr>
              <w:t>|</w:t>
            </w:r>
            <w:r w:rsidRPr="00501C36">
              <w:rPr>
                <w:iCs/>
                <w:color w:val="000000"/>
                <w:spacing w:val="1"/>
                <w:shd w:val="solid" w:color="000000" w:fill="000000"/>
                <w:fitText w:val="165" w:id="-893684468"/>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noWrap/>
            <w:vAlign w:val="center"/>
          </w:tcPr>
          <w:p w14:paraId="1FB36AB1" w14:textId="3BC88503"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7"/>
                <w14:textFill>
                  <w14:solidFill>
                    <w14:srgbClr w14:val="000000">
                      <w14:alpha w14:val="100000"/>
                    </w14:srgbClr>
                  </w14:solidFill>
                </w14:textFill>
              </w:rPr>
              <w:t>|</w:t>
            </w:r>
            <w:r w:rsidRPr="00501C36">
              <w:rPr>
                <w:iCs/>
                <w:color w:val="000000"/>
                <w:spacing w:val="1"/>
                <w:shd w:val="solid" w:color="000000" w:fill="000000"/>
                <w:fitText w:val="195" w:id="-893684467"/>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4110D16E" w14:textId="29633E07"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6"/>
                <w14:textFill>
                  <w14:solidFill>
                    <w14:srgbClr w14:val="000000">
                      <w14:alpha w14:val="100000"/>
                    </w14:srgbClr>
                  </w14:solidFill>
                </w14:textFill>
              </w:rPr>
              <w:t>|</w:t>
            </w:r>
            <w:r w:rsidRPr="00501C36">
              <w:rPr>
                <w:iCs/>
                <w:color w:val="000000"/>
                <w:spacing w:val="1"/>
                <w:shd w:val="solid" w:color="000000" w:fill="000000"/>
                <w:fitText w:val="165" w:id="-893684466"/>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vAlign w:val="center"/>
          </w:tcPr>
          <w:p w14:paraId="3D3F4D97" w14:textId="4D9A0540"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5"/>
                <w14:textFill>
                  <w14:solidFill>
                    <w14:srgbClr w14:val="000000">
                      <w14:alpha w14:val="100000"/>
                    </w14:srgbClr>
                  </w14:solidFill>
                </w14:textFill>
              </w:rPr>
              <w:t>|</w:t>
            </w:r>
            <w:r w:rsidRPr="00501C36">
              <w:rPr>
                <w:iCs/>
                <w:color w:val="000000"/>
                <w:spacing w:val="1"/>
                <w:shd w:val="solid" w:color="000000" w:fill="000000"/>
                <w:fitText w:val="195" w:id="-893684465"/>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40907186" w14:textId="549EE7CD"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64"/>
                <w14:textFill>
                  <w14:solidFill>
                    <w14:srgbClr w14:val="000000">
                      <w14:alpha w14:val="100000"/>
                    </w14:srgbClr>
                  </w14:solidFill>
                </w14:textFill>
              </w:rPr>
              <w:t>|</w:t>
            </w:r>
            <w:r w:rsidRPr="00501C36">
              <w:rPr>
                <w:iCs/>
                <w:color w:val="000000"/>
                <w:spacing w:val="1"/>
                <w:shd w:val="solid" w:color="000000" w:fill="000000"/>
                <w:fitText w:val="165" w:id="-893684464"/>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005FE917" w14:textId="34561C35"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80"/>
                <w14:textFill>
                  <w14:solidFill>
                    <w14:srgbClr w14:val="000000">
                      <w14:alpha w14:val="100000"/>
                    </w14:srgbClr>
                  </w14:solidFill>
                </w14:textFill>
              </w:rPr>
              <w:t>|</w:t>
            </w:r>
            <w:r w:rsidRPr="00501C36">
              <w:rPr>
                <w:iCs/>
                <w:color w:val="000000"/>
                <w:spacing w:val="1"/>
                <w:shd w:val="solid" w:color="000000" w:fill="000000"/>
                <w:fitText w:val="195" w:id="-893684480"/>
                <w14:textFill>
                  <w14:solidFill>
                    <w14:srgbClr w14:val="000000">
                      <w14:alpha w14:val="100000"/>
                    </w14:srgbClr>
                  </w14:solidFill>
                </w14:textFill>
              </w:rPr>
              <w:t>|</w:t>
            </w:r>
            <w:r w:rsidRPr="0049394D">
              <w:rPr>
                <w:iCs/>
              </w:rPr>
              <w:t>%</w:t>
            </w:r>
          </w:p>
        </w:tc>
      </w:tr>
      <w:tr w:rsidR="00376AA5" w:rsidRPr="0049394D" w14:paraId="33D709C8" w14:textId="77777777" w:rsidTr="00282F0D">
        <w:trPr>
          <w:trHeight w:val="129"/>
        </w:trPr>
        <w:tc>
          <w:tcPr>
            <w:tcW w:w="5000" w:type="pct"/>
            <w:gridSpan w:val="7"/>
            <w:tcBorders>
              <w:bottom w:val="nil"/>
            </w:tcBorders>
            <w:noWrap/>
          </w:tcPr>
          <w:p w14:paraId="47737833" w14:textId="77777777" w:rsidR="00376AA5" w:rsidRPr="0049394D" w:rsidRDefault="00376AA5" w:rsidP="00376AA5">
            <w:pPr>
              <w:pStyle w:val="TableText0"/>
              <w:keepNext w:val="0"/>
            </w:pPr>
            <w:r w:rsidRPr="0049394D">
              <w:t>Adjustment for surgery and metastases rates to account for real-world (base case: included)</w:t>
            </w:r>
          </w:p>
        </w:tc>
      </w:tr>
      <w:tr w:rsidR="00376AA5" w:rsidRPr="0049394D" w14:paraId="0B732B4B" w14:textId="77777777" w:rsidTr="00243D28">
        <w:trPr>
          <w:trHeight w:val="66"/>
        </w:trPr>
        <w:tc>
          <w:tcPr>
            <w:tcW w:w="1493" w:type="pct"/>
            <w:tcBorders>
              <w:top w:val="nil"/>
              <w:bottom w:val="single" w:sz="4" w:space="0" w:color="auto"/>
            </w:tcBorders>
            <w:noWrap/>
          </w:tcPr>
          <w:p w14:paraId="5B9EFB8C" w14:textId="77777777" w:rsidR="00376AA5" w:rsidRPr="0049394D" w:rsidRDefault="00376AA5" w:rsidP="00376AA5">
            <w:pPr>
              <w:pStyle w:val="TableText0"/>
              <w:keepNext w:val="0"/>
            </w:pPr>
            <w:r w:rsidRPr="0049394D">
              <w:t xml:space="preserve">Excluded </w:t>
            </w:r>
          </w:p>
        </w:tc>
        <w:tc>
          <w:tcPr>
            <w:tcW w:w="584" w:type="pct"/>
            <w:tcBorders>
              <w:top w:val="nil"/>
              <w:bottom w:val="single" w:sz="4" w:space="0" w:color="auto"/>
            </w:tcBorders>
            <w:noWrap/>
            <w:vAlign w:val="center"/>
          </w:tcPr>
          <w:p w14:paraId="7D25050B" w14:textId="2CA41078" w:rsidR="00376AA5" w:rsidRPr="0049394D" w:rsidRDefault="00376AA5" w:rsidP="00376AA5">
            <w:pPr>
              <w:pStyle w:val="TableText0"/>
              <w:keepNext w:val="0"/>
              <w:jc w:val="center"/>
            </w:pPr>
            <w:r w:rsidRPr="00501C36">
              <w:rPr>
                <w:color w:val="000000"/>
                <w:spacing w:val="79"/>
                <w:shd w:val="solid" w:color="000000" w:fill="000000"/>
                <w:fitText w:val="165" w:id="-893684479"/>
                <w14:textFill>
                  <w14:solidFill>
                    <w14:srgbClr w14:val="000000">
                      <w14:alpha w14:val="100000"/>
                    </w14:srgbClr>
                  </w14:solidFill>
                </w14:textFill>
              </w:rPr>
              <w:t>|</w:t>
            </w:r>
            <w:r w:rsidRPr="00501C36">
              <w:rPr>
                <w:color w:val="000000"/>
                <w:spacing w:val="1"/>
                <w:shd w:val="solid" w:color="000000" w:fill="000000"/>
                <w:fitText w:val="165" w:id="-893684479"/>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noWrap/>
            <w:vAlign w:val="center"/>
          </w:tcPr>
          <w:p w14:paraId="103F7960" w14:textId="09823235" w:rsidR="00376AA5" w:rsidRPr="0049394D" w:rsidRDefault="00376AA5" w:rsidP="00376AA5">
            <w:pPr>
              <w:pStyle w:val="TableText0"/>
              <w:keepNext w:val="0"/>
              <w:jc w:val="center"/>
            </w:pPr>
            <w:r w:rsidRPr="00501C36">
              <w:rPr>
                <w:color w:val="000000"/>
                <w:spacing w:val="109"/>
                <w:shd w:val="solid" w:color="000000" w:fill="000000"/>
                <w:fitText w:val="195" w:id="-893684478"/>
                <w14:textFill>
                  <w14:solidFill>
                    <w14:srgbClr w14:val="000000">
                      <w14:alpha w14:val="100000"/>
                    </w14:srgbClr>
                  </w14:solidFill>
                </w14:textFill>
              </w:rPr>
              <w:t>|</w:t>
            </w:r>
            <w:r w:rsidRPr="00501C36">
              <w:rPr>
                <w:color w:val="000000"/>
                <w:spacing w:val="1"/>
                <w:shd w:val="solid" w:color="000000" w:fill="000000"/>
                <w:fitText w:val="195" w:id="-893684478"/>
                <w14:textFill>
                  <w14:solidFill>
                    <w14:srgbClr w14:val="000000">
                      <w14:alpha w14:val="100000"/>
                    </w14:srgbClr>
                  </w14:solidFill>
                </w14:textFill>
              </w:rPr>
              <w:t>|</w:t>
            </w:r>
            <w:r w:rsidRPr="0049394D">
              <w:t>%</w:t>
            </w:r>
          </w:p>
        </w:tc>
        <w:tc>
          <w:tcPr>
            <w:tcW w:w="584" w:type="pct"/>
            <w:tcBorders>
              <w:top w:val="nil"/>
              <w:bottom w:val="single" w:sz="4" w:space="0" w:color="auto"/>
            </w:tcBorders>
            <w:vAlign w:val="center"/>
          </w:tcPr>
          <w:p w14:paraId="6E200D72" w14:textId="3C5A714C" w:rsidR="00376AA5" w:rsidRPr="0049394D" w:rsidRDefault="00376AA5" w:rsidP="00376AA5">
            <w:pPr>
              <w:pStyle w:val="TableText0"/>
              <w:keepNext w:val="0"/>
              <w:jc w:val="center"/>
            </w:pPr>
            <w:r w:rsidRPr="00501C36">
              <w:rPr>
                <w:color w:val="000000"/>
                <w:spacing w:val="79"/>
                <w:shd w:val="solid" w:color="000000" w:fill="000000"/>
                <w:fitText w:val="165" w:id="-893684477"/>
                <w14:textFill>
                  <w14:solidFill>
                    <w14:srgbClr w14:val="000000">
                      <w14:alpha w14:val="100000"/>
                    </w14:srgbClr>
                  </w14:solidFill>
                </w14:textFill>
              </w:rPr>
              <w:t>|</w:t>
            </w:r>
            <w:r w:rsidRPr="00501C36">
              <w:rPr>
                <w:color w:val="000000"/>
                <w:spacing w:val="1"/>
                <w:shd w:val="solid" w:color="000000" w:fill="000000"/>
                <w:fitText w:val="165" w:id="-893684477"/>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vAlign w:val="center"/>
          </w:tcPr>
          <w:p w14:paraId="5EB0C9BF" w14:textId="70B566CA" w:rsidR="00376AA5" w:rsidRPr="0049394D" w:rsidRDefault="00376AA5" w:rsidP="00376AA5">
            <w:pPr>
              <w:pStyle w:val="TableText0"/>
              <w:keepNext w:val="0"/>
              <w:jc w:val="center"/>
            </w:pPr>
            <w:r w:rsidRPr="00501C36">
              <w:rPr>
                <w:color w:val="000000"/>
                <w:spacing w:val="109"/>
                <w:shd w:val="solid" w:color="000000" w:fill="000000"/>
                <w:fitText w:val="195" w:id="-893684476"/>
                <w14:textFill>
                  <w14:solidFill>
                    <w14:srgbClr w14:val="000000">
                      <w14:alpha w14:val="100000"/>
                    </w14:srgbClr>
                  </w14:solidFill>
                </w14:textFill>
              </w:rPr>
              <w:t>|</w:t>
            </w:r>
            <w:r w:rsidRPr="00501C36">
              <w:rPr>
                <w:color w:val="000000"/>
                <w:spacing w:val="1"/>
                <w:shd w:val="solid" w:color="000000" w:fill="000000"/>
                <w:fitText w:val="195" w:id="-893684476"/>
                <w14:textFill>
                  <w14:solidFill>
                    <w14:srgbClr w14:val="000000">
                      <w14:alpha w14:val="100000"/>
                    </w14:srgbClr>
                  </w14:solidFill>
                </w14:textFill>
              </w:rPr>
              <w:t>|</w:t>
            </w:r>
            <w:r w:rsidRPr="0049394D">
              <w:t>%</w:t>
            </w:r>
          </w:p>
        </w:tc>
        <w:tc>
          <w:tcPr>
            <w:tcW w:w="584" w:type="pct"/>
            <w:tcBorders>
              <w:top w:val="nil"/>
              <w:bottom w:val="single" w:sz="4" w:space="0" w:color="auto"/>
            </w:tcBorders>
            <w:vAlign w:val="center"/>
          </w:tcPr>
          <w:p w14:paraId="3F387DA0" w14:textId="4D4B7868" w:rsidR="00376AA5" w:rsidRPr="0049394D" w:rsidRDefault="00376AA5" w:rsidP="00376AA5">
            <w:pPr>
              <w:pStyle w:val="TableText0"/>
              <w:keepNext w:val="0"/>
              <w:jc w:val="center"/>
            </w:pPr>
            <w:r w:rsidRPr="00501C36">
              <w:rPr>
                <w:color w:val="000000"/>
                <w:spacing w:val="79"/>
                <w:shd w:val="solid" w:color="000000" w:fill="000000"/>
                <w:fitText w:val="165" w:id="-893684475"/>
                <w14:textFill>
                  <w14:solidFill>
                    <w14:srgbClr w14:val="000000">
                      <w14:alpha w14:val="100000"/>
                    </w14:srgbClr>
                  </w14:solidFill>
                </w14:textFill>
              </w:rPr>
              <w:t>|</w:t>
            </w:r>
            <w:r w:rsidRPr="00501C36">
              <w:rPr>
                <w:color w:val="000000"/>
                <w:spacing w:val="1"/>
                <w:shd w:val="solid" w:color="000000" w:fill="000000"/>
                <w:fitText w:val="165" w:id="-893684475"/>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vAlign w:val="center"/>
          </w:tcPr>
          <w:p w14:paraId="753849C6" w14:textId="5058E999" w:rsidR="00376AA5" w:rsidRPr="0049394D" w:rsidRDefault="00376AA5" w:rsidP="00376AA5">
            <w:pPr>
              <w:pStyle w:val="TableText0"/>
              <w:keepNext w:val="0"/>
              <w:jc w:val="center"/>
            </w:pPr>
            <w:r w:rsidRPr="00501C36">
              <w:rPr>
                <w:color w:val="000000"/>
                <w:spacing w:val="109"/>
                <w:shd w:val="solid" w:color="000000" w:fill="000000"/>
                <w:fitText w:val="195" w:id="-893684474"/>
                <w14:textFill>
                  <w14:solidFill>
                    <w14:srgbClr w14:val="000000">
                      <w14:alpha w14:val="100000"/>
                    </w14:srgbClr>
                  </w14:solidFill>
                </w14:textFill>
              </w:rPr>
              <w:t>|</w:t>
            </w:r>
            <w:r w:rsidRPr="00501C36">
              <w:rPr>
                <w:color w:val="000000"/>
                <w:spacing w:val="1"/>
                <w:shd w:val="solid" w:color="000000" w:fill="000000"/>
                <w:fitText w:val="195" w:id="-893684474"/>
                <w14:textFill>
                  <w14:solidFill>
                    <w14:srgbClr w14:val="000000">
                      <w14:alpha w14:val="100000"/>
                    </w14:srgbClr>
                  </w14:solidFill>
                </w14:textFill>
              </w:rPr>
              <w:t>|</w:t>
            </w:r>
            <w:r w:rsidRPr="0049394D">
              <w:t>%</w:t>
            </w:r>
          </w:p>
        </w:tc>
      </w:tr>
      <w:tr w:rsidR="00376AA5" w:rsidRPr="0049394D" w14:paraId="1778D6F9" w14:textId="77777777" w:rsidTr="00282F0D">
        <w:trPr>
          <w:trHeight w:val="93"/>
        </w:trPr>
        <w:tc>
          <w:tcPr>
            <w:tcW w:w="5000" w:type="pct"/>
            <w:gridSpan w:val="7"/>
            <w:tcBorders>
              <w:bottom w:val="nil"/>
            </w:tcBorders>
            <w:noWrap/>
          </w:tcPr>
          <w:p w14:paraId="5C50812F" w14:textId="77777777" w:rsidR="00376AA5" w:rsidRPr="0049394D" w:rsidRDefault="00376AA5" w:rsidP="00376AA5">
            <w:pPr>
              <w:pStyle w:val="TableText0"/>
              <w:keepNext w:val="0"/>
            </w:pPr>
            <w:r w:rsidRPr="0049394D">
              <w:t>Time on belzutifan (base case Weibull)</w:t>
            </w:r>
          </w:p>
        </w:tc>
      </w:tr>
      <w:tr w:rsidR="00376AA5" w:rsidRPr="0049394D" w14:paraId="12F22586" w14:textId="77777777" w:rsidTr="00243D28">
        <w:trPr>
          <w:trHeight w:val="66"/>
        </w:trPr>
        <w:tc>
          <w:tcPr>
            <w:tcW w:w="1493" w:type="pct"/>
            <w:tcBorders>
              <w:top w:val="nil"/>
              <w:bottom w:val="nil"/>
            </w:tcBorders>
            <w:noWrap/>
          </w:tcPr>
          <w:p w14:paraId="11DBBB58" w14:textId="77777777" w:rsidR="00376AA5" w:rsidRPr="0049394D" w:rsidRDefault="00376AA5" w:rsidP="00376AA5">
            <w:pPr>
              <w:pStyle w:val="TableText0"/>
              <w:keepNext w:val="0"/>
              <w:ind w:firstLine="169"/>
            </w:pPr>
            <w:r w:rsidRPr="0049394D">
              <w:t>Gompertz</w:t>
            </w:r>
          </w:p>
        </w:tc>
        <w:tc>
          <w:tcPr>
            <w:tcW w:w="584" w:type="pct"/>
            <w:tcBorders>
              <w:top w:val="nil"/>
              <w:bottom w:val="nil"/>
            </w:tcBorders>
            <w:noWrap/>
            <w:vAlign w:val="center"/>
          </w:tcPr>
          <w:p w14:paraId="35AECAE1" w14:textId="038882E3"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73"/>
                <w14:textFill>
                  <w14:solidFill>
                    <w14:srgbClr w14:val="000000">
                      <w14:alpha w14:val="100000"/>
                    </w14:srgbClr>
                  </w14:solidFill>
                </w14:textFill>
              </w:rPr>
              <w:t>|</w:t>
            </w:r>
            <w:r w:rsidRPr="00501C36">
              <w:rPr>
                <w:color w:val="000000"/>
                <w:spacing w:val="1"/>
                <w:shd w:val="solid" w:color="000000" w:fill="000000"/>
                <w:fitText w:val="165" w:id="-893684473"/>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noWrap/>
            <w:vAlign w:val="center"/>
          </w:tcPr>
          <w:p w14:paraId="0DA9DE27" w14:textId="7BC40BB4" w:rsidR="00376AA5" w:rsidRPr="0049394D" w:rsidRDefault="00376AA5" w:rsidP="00376AA5">
            <w:pPr>
              <w:pStyle w:val="TableText0"/>
              <w:keepNext w:val="0"/>
              <w:jc w:val="center"/>
            </w:pPr>
            <w:r w:rsidRPr="0049394D">
              <w:t>-</w:t>
            </w:r>
            <w:r w:rsidRPr="00501C36">
              <w:rPr>
                <w:color w:val="000000"/>
                <w:spacing w:val="48"/>
                <w:shd w:val="solid" w:color="000000" w:fill="000000"/>
                <w:fitText w:val="225" w:id="-893684472"/>
                <w14:textFill>
                  <w14:solidFill>
                    <w14:srgbClr w14:val="000000">
                      <w14:alpha w14:val="100000"/>
                    </w14:srgbClr>
                  </w14:solidFill>
                </w14:textFill>
              </w:rPr>
              <w:t>||</w:t>
            </w:r>
            <w:r w:rsidRPr="00501C36">
              <w:rPr>
                <w:color w:val="000000"/>
                <w:spacing w:val="2"/>
                <w:shd w:val="solid" w:color="000000" w:fill="000000"/>
                <w:fitText w:val="225" w:id="-893684472"/>
                <w14:textFill>
                  <w14:solidFill>
                    <w14:srgbClr w14:val="000000">
                      <w14:alpha w14:val="100000"/>
                    </w14:srgbClr>
                  </w14:solidFill>
                </w14:textFill>
              </w:rPr>
              <w:t>|</w:t>
            </w:r>
            <w:r w:rsidRPr="0049394D">
              <w:t>%</w:t>
            </w:r>
          </w:p>
        </w:tc>
        <w:tc>
          <w:tcPr>
            <w:tcW w:w="584" w:type="pct"/>
            <w:tcBorders>
              <w:top w:val="nil"/>
              <w:bottom w:val="nil"/>
            </w:tcBorders>
            <w:vAlign w:val="center"/>
          </w:tcPr>
          <w:p w14:paraId="48BC2B6D" w14:textId="51ACF6D1"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71"/>
                <w14:textFill>
                  <w14:solidFill>
                    <w14:srgbClr w14:val="000000">
                      <w14:alpha w14:val="100000"/>
                    </w14:srgbClr>
                  </w14:solidFill>
                </w14:textFill>
              </w:rPr>
              <w:t>|</w:t>
            </w:r>
            <w:r w:rsidRPr="00501C36">
              <w:rPr>
                <w:color w:val="000000"/>
                <w:spacing w:val="1"/>
                <w:shd w:val="solid" w:color="000000" w:fill="000000"/>
                <w:fitText w:val="165" w:id="-893684471"/>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75DAC358" w14:textId="3983D923" w:rsidR="00376AA5" w:rsidRPr="0049394D" w:rsidRDefault="00376AA5" w:rsidP="00376AA5">
            <w:pPr>
              <w:pStyle w:val="TableText0"/>
              <w:keepNext w:val="0"/>
              <w:jc w:val="center"/>
            </w:pPr>
            <w:r w:rsidRPr="0049394D">
              <w:t>-</w:t>
            </w:r>
            <w:r w:rsidRPr="00501C36">
              <w:rPr>
                <w:color w:val="000000"/>
                <w:spacing w:val="48"/>
                <w:shd w:val="solid" w:color="000000" w:fill="000000"/>
                <w:fitText w:val="225" w:id="-893684470"/>
                <w14:textFill>
                  <w14:solidFill>
                    <w14:srgbClr w14:val="000000">
                      <w14:alpha w14:val="100000"/>
                    </w14:srgbClr>
                  </w14:solidFill>
                </w14:textFill>
              </w:rPr>
              <w:t>||</w:t>
            </w:r>
            <w:r w:rsidRPr="00501C36">
              <w:rPr>
                <w:color w:val="000000"/>
                <w:spacing w:val="2"/>
                <w:shd w:val="solid" w:color="000000" w:fill="000000"/>
                <w:fitText w:val="225" w:id="-893684470"/>
                <w14:textFill>
                  <w14:solidFill>
                    <w14:srgbClr w14:val="000000">
                      <w14:alpha w14:val="100000"/>
                    </w14:srgbClr>
                  </w14:solidFill>
                </w14:textFill>
              </w:rPr>
              <w:t>|</w:t>
            </w:r>
            <w:r w:rsidRPr="0049394D">
              <w:t>%</w:t>
            </w:r>
          </w:p>
        </w:tc>
        <w:tc>
          <w:tcPr>
            <w:tcW w:w="584" w:type="pct"/>
            <w:tcBorders>
              <w:top w:val="nil"/>
              <w:bottom w:val="nil"/>
            </w:tcBorders>
            <w:vAlign w:val="center"/>
          </w:tcPr>
          <w:p w14:paraId="6485037F" w14:textId="46F2E9C6"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69"/>
                <w14:textFill>
                  <w14:solidFill>
                    <w14:srgbClr w14:val="000000">
                      <w14:alpha w14:val="100000"/>
                    </w14:srgbClr>
                  </w14:solidFill>
                </w14:textFill>
              </w:rPr>
              <w:t>|</w:t>
            </w:r>
            <w:r w:rsidRPr="00501C36">
              <w:rPr>
                <w:color w:val="000000"/>
                <w:spacing w:val="1"/>
                <w:shd w:val="solid" w:color="000000" w:fill="000000"/>
                <w:fitText w:val="165" w:id="-893684469"/>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5DE41B24" w14:textId="7248FCAA" w:rsidR="00376AA5" w:rsidRPr="0049394D" w:rsidRDefault="00376AA5" w:rsidP="00376AA5">
            <w:pPr>
              <w:pStyle w:val="TableText0"/>
              <w:keepNext w:val="0"/>
              <w:jc w:val="center"/>
            </w:pPr>
            <w:r w:rsidRPr="0049394D">
              <w:t>-</w:t>
            </w:r>
            <w:r w:rsidRPr="00501C36">
              <w:rPr>
                <w:color w:val="000000"/>
                <w:spacing w:val="48"/>
                <w:shd w:val="solid" w:color="000000" w:fill="000000"/>
                <w:fitText w:val="225" w:id="-893684468"/>
                <w14:textFill>
                  <w14:solidFill>
                    <w14:srgbClr w14:val="000000">
                      <w14:alpha w14:val="100000"/>
                    </w14:srgbClr>
                  </w14:solidFill>
                </w14:textFill>
              </w:rPr>
              <w:t>||</w:t>
            </w:r>
            <w:r w:rsidRPr="00501C36">
              <w:rPr>
                <w:color w:val="000000"/>
                <w:spacing w:val="2"/>
                <w:shd w:val="solid" w:color="000000" w:fill="000000"/>
                <w:fitText w:val="225" w:id="-893684468"/>
                <w14:textFill>
                  <w14:solidFill>
                    <w14:srgbClr w14:val="000000">
                      <w14:alpha w14:val="100000"/>
                    </w14:srgbClr>
                  </w14:solidFill>
                </w14:textFill>
              </w:rPr>
              <w:t>|</w:t>
            </w:r>
            <w:r w:rsidRPr="0049394D">
              <w:t>%</w:t>
            </w:r>
          </w:p>
        </w:tc>
      </w:tr>
      <w:tr w:rsidR="00376AA5" w:rsidRPr="0049394D" w14:paraId="5A058F88" w14:textId="77777777" w:rsidTr="00243D28">
        <w:trPr>
          <w:trHeight w:val="66"/>
        </w:trPr>
        <w:tc>
          <w:tcPr>
            <w:tcW w:w="1493" w:type="pct"/>
            <w:tcBorders>
              <w:top w:val="nil"/>
              <w:bottom w:val="nil"/>
            </w:tcBorders>
            <w:noWrap/>
          </w:tcPr>
          <w:p w14:paraId="6E96394E" w14:textId="77777777" w:rsidR="00376AA5" w:rsidRPr="0049394D" w:rsidRDefault="00376AA5" w:rsidP="00376AA5">
            <w:pPr>
              <w:pStyle w:val="TableText0"/>
              <w:keepNext w:val="0"/>
              <w:ind w:firstLine="169"/>
            </w:pPr>
            <w:r w:rsidRPr="0049394D">
              <w:t>Gamma</w:t>
            </w:r>
          </w:p>
        </w:tc>
        <w:tc>
          <w:tcPr>
            <w:tcW w:w="584" w:type="pct"/>
            <w:tcBorders>
              <w:top w:val="nil"/>
              <w:bottom w:val="nil"/>
            </w:tcBorders>
            <w:noWrap/>
            <w:vAlign w:val="center"/>
          </w:tcPr>
          <w:p w14:paraId="142144F3" w14:textId="13E3A0E6"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67"/>
                <w14:textFill>
                  <w14:solidFill>
                    <w14:srgbClr w14:val="000000">
                      <w14:alpha w14:val="100000"/>
                    </w14:srgbClr>
                  </w14:solidFill>
                </w14:textFill>
              </w:rPr>
              <w:t>|</w:t>
            </w:r>
            <w:r w:rsidRPr="00501C36">
              <w:rPr>
                <w:color w:val="000000"/>
                <w:spacing w:val="1"/>
                <w:shd w:val="solid" w:color="000000" w:fill="000000"/>
                <w:fitText w:val="165" w:id="-893684467"/>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5B5EC90F" w14:textId="43E5B9F9" w:rsidR="00376AA5" w:rsidRPr="0049394D" w:rsidRDefault="00376AA5" w:rsidP="00376AA5">
            <w:pPr>
              <w:pStyle w:val="TableText0"/>
              <w:keepNext w:val="0"/>
              <w:jc w:val="center"/>
            </w:pPr>
            <w:r w:rsidRPr="00501C36">
              <w:rPr>
                <w:color w:val="000000"/>
                <w:spacing w:val="109"/>
                <w:shd w:val="solid" w:color="000000" w:fill="000000"/>
                <w:fitText w:val="195" w:id="-893684466"/>
                <w14:textFill>
                  <w14:solidFill>
                    <w14:srgbClr w14:val="000000">
                      <w14:alpha w14:val="100000"/>
                    </w14:srgbClr>
                  </w14:solidFill>
                </w14:textFill>
              </w:rPr>
              <w:t>|</w:t>
            </w:r>
            <w:r w:rsidRPr="00501C36">
              <w:rPr>
                <w:color w:val="000000"/>
                <w:spacing w:val="1"/>
                <w:shd w:val="solid" w:color="000000" w:fill="000000"/>
                <w:fitText w:val="195" w:id="-893684466"/>
                <w14:textFill>
                  <w14:solidFill>
                    <w14:srgbClr w14:val="000000">
                      <w14:alpha w14:val="100000"/>
                    </w14:srgbClr>
                  </w14:solidFill>
                </w14:textFill>
              </w:rPr>
              <w:t>|</w:t>
            </w:r>
            <w:r w:rsidRPr="0049394D">
              <w:t>%</w:t>
            </w:r>
          </w:p>
        </w:tc>
        <w:tc>
          <w:tcPr>
            <w:tcW w:w="584" w:type="pct"/>
            <w:tcBorders>
              <w:top w:val="nil"/>
              <w:bottom w:val="nil"/>
            </w:tcBorders>
            <w:vAlign w:val="center"/>
          </w:tcPr>
          <w:p w14:paraId="5E5439C9" w14:textId="7BE55B9A"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65"/>
                <w14:textFill>
                  <w14:solidFill>
                    <w14:srgbClr w14:val="000000">
                      <w14:alpha w14:val="100000"/>
                    </w14:srgbClr>
                  </w14:solidFill>
                </w14:textFill>
              </w:rPr>
              <w:t>|</w:t>
            </w:r>
            <w:r w:rsidRPr="00501C36">
              <w:rPr>
                <w:color w:val="000000"/>
                <w:spacing w:val="1"/>
                <w:shd w:val="solid" w:color="000000" w:fill="000000"/>
                <w:fitText w:val="165" w:id="-893684465"/>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6039BF17" w14:textId="658010BF" w:rsidR="00376AA5" w:rsidRPr="0049394D" w:rsidRDefault="00376AA5" w:rsidP="00376AA5">
            <w:pPr>
              <w:pStyle w:val="TableText0"/>
              <w:keepNext w:val="0"/>
              <w:jc w:val="center"/>
            </w:pPr>
            <w:r w:rsidRPr="00501C36">
              <w:rPr>
                <w:color w:val="000000"/>
                <w:spacing w:val="109"/>
                <w:shd w:val="solid" w:color="000000" w:fill="000000"/>
                <w:fitText w:val="195" w:id="-893684464"/>
                <w14:textFill>
                  <w14:solidFill>
                    <w14:srgbClr w14:val="000000">
                      <w14:alpha w14:val="100000"/>
                    </w14:srgbClr>
                  </w14:solidFill>
                </w14:textFill>
              </w:rPr>
              <w:t>|</w:t>
            </w:r>
            <w:r w:rsidRPr="00501C36">
              <w:rPr>
                <w:color w:val="000000"/>
                <w:spacing w:val="1"/>
                <w:shd w:val="solid" w:color="000000" w:fill="000000"/>
                <w:fitText w:val="195" w:id="-893684464"/>
                <w14:textFill>
                  <w14:solidFill>
                    <w14:srgbClr w14:val="000000">
                      <w14:alpha w14:val="100000"/>
                    </w14:srgbClr>
                  </w14:solidFill>
                </w14:textFill>
              </w:rPr>
              <w:t>|</w:t>
            </w:r>
            <w:r w:rsidRPr="0049394D">
              <w:t>%</w:t>
            </w:r>
          </w:p>
        </w:tc>
        <w:tc>
          <w:tcPr>
            <w:tcW w:w="584" w:type="pct"/>
            <w:tcBorders>
              <w:top w:val="nil"/>
              <w:bottom w:val="nil"/>
            </w:tcBorders>
            <w:vAlign w:val="center"/>
          </w:tcPr>
          <w:p w14:paraId="2264C4DA" w14:textId="00561239"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80"/>
                <w14:textFill>
                  <w14:solidFill>
                    <w14:srgbClr w14:val="000000">
                      <w14:alpha w14:val="100000"/>
                    </w14:srgbClr>
                  </w14:solidFill>
                </w14:textFill>
              </w:rPr>
              <w:t>|</w:t>
            </w:r>
            <w:r w:rsidRPr="00501C36">
              <w:rPr>
                <w:color w:val="000000"/>
                <w:spacing w:val="1"/>
                <w:shd w:val="solid" w:color="000000" w:fill="000000"/>
                <w:fitText w:val="165" w:id="-893684480"/>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0EE09D77" w14:textId="585C99D4" w:rsidR="00376AA5" w:rsidRPr="0049394D" w:rsidRDefault="00376AA5" w:rsidP="00376AA5">
            <w:pPr>
              <w:pStyle w:val="TableText0"/>
              <w:keepNext w:val="0"/>
              <w:jc w:val="center"/>
            </w:pPr>
            <w:r w:rsidRPr="00501C36">
              <w:rPr>
                <w:color w:val="000000"/>
                <w:spacing w:val="109"/>
                <w:shd w:val="solid" w:color="000000" w:fill="000000"/>
                <w:fitText w:val="195" w:id="-893684479"/>
                <w14:textFill>
                  <w14:solidFill>
                    <w14:srgbClr w14:val="000000">
                      <w14:alpha w14:val="100000"/>
                    </w14:srgbClr>
                  </w14:solidFill>
                </w14:textFill>
              </w:rPr>
              <w:t>|</w:t>
            </w:r>
            <w:r w:rsidRPr="00501C36">
              <w:rPr>
                <w:color w:val="000000"/>
                <w:spacing w:val="1"/>
                <w:shd w:val="solid" w:color="000000" w:fill="000000"/>
                <w:fitText w:val="195" w:id="-893684479"/>
                <w14:textFill>
                  <w14:solidFill>
                    <w14:srgbClr w14:val="000000">
                      <w14:alpha w14:val="100000"/>
                    </w14:srgbClr>
                  </w14:solidFill>
                </w14:textFill>
              </w:rPr>
              <w:t>|</w:t>
            </w:r>
            <w:r w:rsidRPr="0049394D">
              <w:t>%</w:t>
            </w:r>
          </w:p>
        </w:tc>
      </w:tr>
      <w:tr w:rsidR="00376AA5" w:rsidRPr="0049394D" w14:paraId="0EE31733" w14:textId="77777777" w:rsidTr="00243D28">
        <w:trPr>
          <w:trHeight w:val="113"/>
        </w:trPr>
        <w:tc>
          <w:tcPr>
            <w:tcW w:w="1493" w:type="pct"/>
            <w:tcBorders>
              <w:top w:val="nil"/>
              <w:bottom w:val="nil"/>
            </w:tcBorders>
            <w:noWrap/>
          </w:tcPr>
          <w:p w14:paraId="2260422E" w14:textId="3AEDE4A4" w:rsidR="00376AA5" w:rsidRPr="0049394D" w:rsidRDefault="00376AA5" w:rsidP="00376AA5">
            <w:pPr>
              <w:pStyle w:val="TableText0"/>
              <w:keepNext w:val="0"/>
              <w:ind w:firstLine="169"/>
              <w:rPr>
                <w:iCs/>
              </w:rPr>
            </w:pPr>
            <w:r w:rsidRPr="0049394D">
              <w:rPr>
                <w:iCs/>
              </w:rPr>
              <w:t xml:space="preserve">Exponential </w:t>
            </w:r>
          </w:p>
        </w:tc>
        <w:tc>
          <w:tcPr>
            <w:tcW w:w="584" w:type="pct"/>
            <w:tcBorders>
              <w:top w:val="nil"/>
              <w:bottom w:val="nil"/>
            </w:tcBorders>
            <w:noWrap/>
            <w:vAlign w:val="center"/>
          </w:tcPr>
          <w:p w14:paraId="61D79628" w14:textId="46373C6B"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8"/>
                <w14:textFill>
                  <w14:solidFill>
                    <w14:srgbClr w14:val="000000">
                      <w14:alpha w14:val="100000"/>
                    </w14:srgbClr>
                  </w14:solidFill>
                </w14:textFill>
              </w:rPr>
              <w:t>|</w:t>
            </w:r>
            <w:r w:rsidRPr="00501C36">
              <w:rPr>
                <w:iCs/>
                <w:color w:val="000000"/>
                <w:spacing w:val="1"/>
                <w:shd w:val="solid" w:color="000000" w:fill="000000"/>
                <w:fitText w:val="165" w:id="-893684478"/>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26A86642" w14:textId="1968D55A"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7"/>
                <w14:textFill>
                  <w14:solidFill>
                    <w14:srgbClr w14:val="000000">
                      <w14:alpha w14:val="100000"/>
                    </w14:srgbClr>
                  </w14:solidFill>
                </w14:textFill>
              </w:rPr>
              <w:t>|</w:t>
            </w:r>
            <w:r w:rsidRPr="00501C36">
              <w:rPr>
                <w:iCs/>
                <w:color w:val="000000"/>
                <w:spacing w:val="1"/>
                <w:shd w:val="solid" w:color="000000" w:fill="000000"/>
                <w:fitText w:val="195" w:id="-893684477"/>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2567B0C5" w14:textId="62FAFB2F"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6"/>
                <w14:textFill>
                  <w14:solidFill>
                    <w14:srgbClr w14:val="000000">
                      <w14:alpha w14:val="100000"/>
                    </w14:srgbClr>
                  </w14:solidFill>
                </w14:textFill>
              </w:rPr>
              <w:t>|</w:t>
            </w:r>
            <w:r w:rsidRPr="00501C36">
              <w:rPr>
                <w:iCs/>
                <w:color w:val="000000"/>
                <w:spacing w:val="1"/>
                <w:shd w:val="solid" w:color="000000" w:fill="000000"/>
                <w:fitText w:val="165" w:id="-893684476"/>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15F5314A" w14:textId="70600745"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5"/>
                <w14:textFill>
                  <w14:solidFill>
                    <w14:srgbClr w14:val="000000">
                      <w14:alpha w14:val="100000"/>
                    </w14:srgbClr>
                  </w14:solidFill>
                </w14:textFill>
              </w:rPr>
              <w:t>|</w:t>
            </w:r>
            <w:r w:rsidRPr="00501C36">
              <w:rPr>
                <w:iCs/>
                <w:color w:val="000000"/>
                <w:spacing w:val="1"/>
                <w:shd w:val="solid" w:color="000000" w:fill="000000"/>
                <w:fitText w:val="195" w:id="-893684475"/>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7A708E70" w14:textId="0B25DB79"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4"/>
                <w14:textFill>
                  <w14:solidFill>
                    <w14:srgbClr w14:val="000000">
                      <w14:alpha w14:val="100000"/>
                    </w14:srgbClr>
                  </w14:solidFill>
                </w14:textFill>
              </w:rPr>
              <w:t>|</w:t>
            </w:r>
            <w:r w:rsidRPr="00501C36">
              <w:rPr>
                <w:iCs/>
                <w:color w:val="000000"/>
                <w:spacing w:val="1"/>
                <w:shd w:val="solid" w:color="000000" w:fill="000000"/>
                <w:fitText w:val="165" w:id="-893684474"/>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4B15657C" w14:textId="109E3CF5"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3"/>
                <w14:textFill>
                  <w14:solidFill>
                    <w14:srgbClr w14:val="000000">
                      <w14:alpha w14:val="100000"/>
                    </w14:srgbClr>
                  </w14:solidFill>
                </w14:textFill>
              </w:rPr>
              <w:t>|</w:t>
            </w:r>
            <w:r w:rsidRPr="00501C36">
              <w:rPr>
                <w:iCs/>
                <w:color w:val="000000"/>
                <w:spacing w:val="1"/>
                <w:shd w:val="solid" w:color="000000" w:fill="000000"/>
                <w:fitText w:val="195" w:id="-893684473"/>
                <w14:textFill>
                  <w14:solidFill>
                    <w14:srgbClr w14:val="000000">
                      <w14:alpha w14:val="100000"/>
                    </w14:srgbClr>
                  </w14:solidFill>
                </w14:textFill>
              </w:rPr>
              <w:t>|</w:t>
            </w:r>
            <w:r w:rsidRPr="0049394D">
              <w:rPr>
                <w:iCs/>
              </w:rPr>
              <w:t>%</w:t>
            </w:r>
          </w:p>
        </w:tc>
      </w:tr>
      <w:tr w:rsidR="00376AA5" w:rsidRPr="0049394D" w14:paraId="79EE4994" w14:textId="77777777" w:rsidTr="00243D28">
        <w:trPr>
          <w:trHeight w:val="300"/>
        </w:trPr>
        <w:tc>
          <w:tcPr>
            <w:tcW w:w="1493" w:type="pct"/>
            <w:tcBorders>
              <w:top w:val="nil"/>
              <w:bottom w:val="single" w:sz="4" w:space="0" w:color="auto"/>
            </w:tcBorders>
            <w:noWrap/>
          </w:tcPr>
          <w:p w14:paraId="38FDA824" w14:textId="35639EDE" w:rsidR="00376AA5" w:rsidRPr="0049394D" w:rsidRDefault="00376AA5" w:rsidP="00376AA5">
            <w:pPr>
              <w:pStyle w:val="TableText0"/>
              <w:keepNext w:val="0"/>
              <w:ind w:left="169"/>
              <w:rPr>
                <w:iCs/>
              </w:rPr>
            </w:pPr>
            <w:r w:rsidRPr="0049394D">
              <w:rPr>
                <w:iCs/>
              </w:rPr>
              <w:t>Equal to time in non-metastatic disease</w:t>
            </w:r>
            <w:r w:rsidRPr="0049394D">
              <w:rPr>
                <w:iCs/>
                <w:vertAlign w:val="superscript"/>
              </w:rPr>
              <w:t>i</w:t>
            </w:r>
          </w:p>
        </w:tc>
        <w:tc>
          <w:tcPr>
            <w:tcW w:w="584" w:type="pct"/>
            <w:tcBorders>
              <w:top w:val="nil"/>
              <w:bottom w:val="single" w:sz="4" w:space="0" w:color="auto"/>
            </w:tcBorders>
            <w:noWrap/>
            <w:vAlign w:val="center"/>
          </w:tcPr>
          <w:p w14:paraId="762831C9" w14:textId="53DB1D4E" w:rsidR="00376AA5" w:rsidRPr="0049394D" w:rsidRDefault="00376AA5" w:rsidP="00376AA5">
            <w:pPr>
              <w:pStyle w:val="TableText0"/>
              <w:keepNext w:val="0"/>
              <w:jc w:val="center"/>
              <w:rPr>
                <w:iCs/>
              </w:rPr>
            </w:pPr>
            <w:r w:rsidRPr="00501C36">
              <w:rPr>
                <w:iCs/>
                <w:color w:val="000000"/>
                <w:spacing w:val="79"/>
                <w:shd w:val="solid" w:color="000000" w:fill="000000"/>
                <w:fitText w:val="165" w:id="-893684472"/>
                <w14:textFill>
                  <w14:solidFill>
                    <w14:srgbClr w14:val="000000">
                      <w14:alpha w14:val="100000"/>
                    </w14:srgbClr>
                  </w14:solidFill>
                </w14:textFill>
              </w:rPr>
              <w:t>|</w:t>
            </w:r>
            <w:r w:rsidRPr="00501C36">
              <w:rPr>
                <w:iCs/>
                <w:color w:val="000000"/>
                <w:spacing w:val="1"/>
                <w:shd w:val="solid" w:color="000000" w:fill="000000"/>
                <w:fitText w:val="165" w:id="-893684472"/>
                <w14:textFill>
                  <w14:solidFill>
                    <w14:srgbClr w14:val="000000">
                      <w14:alpha w14:val="100000"/>
                    </w14:srgbClr>
                  </w14:solidFill>
                </w14:textFill>
              </w:rPr>
              <w:t>|</w:t>
            </w:r>
            <w:r w:rsidRPr="003F0AD1">
              <w:rPr>
                <w:iCs/>
                <w:vertAlign w:val="superscript"/>
              </w:rPr>
              <w:t>4</w:t>
            </w:r>
          </w:p>
        </w:tc>
        <w:tc>
          <w:tcPr>
            <w:tcW w:w="585" w:type="pct"/>
            <w:tcBorders>
              <w:top w:val="nil"/>
              <w:bottom w:val="single" w:sz="4" w:space="0" w:color="auto"/>
            </w:tcBorders>
            <w:noWrap/>
            <w:vAlign w:val="center"/>
          </w:tcPr>
          <w:p w14:paraId="7F0ADB82" w14:textId="4C3A35C4"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1"/>
                <w14:textFill>
                  <w14:solidFill>
                    <w14:srgbClr w14:val="000000">
                      <w14:alpha w14:val="100000"/>
                    </w14:srgbClr>
                  </w14:solidFill>
                </w14:textFill>
              </w:rPr>
              <w:t>|</w:t>
            </w:r>
            <w:r w:rsidRPr="00501C36">
              <w:rPr>
                <w:iCs/>
                <w:color w:val="000000"/>
                <w:spacing w:val="1"/>
                <w:shd w:val="solid" w:color="000000" w:fill="000000"/>
                <w:fitText w:val="195" w:id="-893684471"/>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5E941538" w14:textId="282AD8D3" w:rsidR="00376AA5" w:rsidRPr="0049394D" w:rsidRDefault="00376AA5" w:rsidP="00376AA5">
            <w:pPr>
              <w:pStyle w:val="TableText0"/>
              <w:keepNext w:val="0"/>
              <w:jc w:val="center"/>
              <w:rPr>
                <w:iCs/>
              </w:rPr>
            </w:pPr>
            <w:r w:rsidRPr="00501C36">
              <w:rPr>
                <w:iCs/>
                <w:color w:val="000000"/>
                <w:spacing w:val="79"/>
                <w:shd w:val="solid" w:color="000000" w:fill="000000"/>
                <w:fitText w:val="165" w:id="-893684470"/>
                <w14:textFill>
                  <w14:solidFill>
                    <w14:srgbClr w14:val="000000">
                      <w14:alpha w14:val="100000"/>
                    </w14:srgbClr>
                  </w14:solidFill>
                </w14:textFill>
              </w:rPr>
              <w:t>|</w:t>
            </w:r>
            <w:r w:rsidRPr="00501C36">
              <w:rPr>
                <w:iCs/>
                <w:color w:val="000000"/>
                <w:spacing w:val="1"/>
                <w:shd w:val="solid" w:color="000000" w:fill="000000"/>
                <w:fitText w:val="165" w:id="-893684470"/>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vAlign w:val="center"/>
          </w:tcPr>
          <w:p w14:paraId="71FEDD15" w14:textId="297C90EA"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9"/>
                <w14:textFill>
                  <w14:solidFill>
                    <w14:srgbClr w14:val="000000">
                      <w14:alpha w14:val="100000"/>
                    </w14:srgbClr>
                  </w14:solidFill>
                </w14:textFill>
              </w:rPr>
              <w:t>|</w:t>
            </w:r>
            <w:r w:rsidRPr="00501C36">
              <w:rPr>
                <w:iCs/>
                <w:color w:val="000000"/>
                <w:spacing w:val="1"/>
                <w:shd w:val="solid" w:color="000000" w:fill="000000"/>
                <w:fitText w:val="195" w:id="-893684469"/>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5974635E" w14:textId="03D7CBE7" w:rsidR="00376AA5" w:rsidRPr="0049394D" w:rsidRDefault="00376AA5" w:rsidP="00376AA5">
            <w:pPr>
              <w:pStyle w:val="TableText0"/>
              <w:keepNext w:val="0"/>
              <w:jc w:val="center"/>
              <w:rPr>
                <w:iCs/>
              </w:rPr>
            </w:pPr>
            <w:r w:rsidRPr="00501C36">
              <w:rPr>
                <w:iCs/>
                <w:color w:val="000000"/>
                <w:spacing w:val="79"/>
                <w:shd w:val="solid" w:color="000000" w:fill="000000"/>
                <w:fitText w:val="165" w:id="-893684468"/>
                <w14:textFill>
                  <w14:solidFill>
                    <w14:srgbClr w14:val="000000">
                      <w14:alpha w14:val="100000"/>
                    </w14:srgbClr>
                  </w14:solidFill>
                </w14:textFill>
              </w:rPr>
              <w:t>|</w:t>
            </w:r>
            <w:r w:rsidRPr="00501C36">
              <w:rPr>
                <w:iCs/>
                <w:color w:val="000000"/>
                <w:spacing w:val="1"/>
                <w:shd w:val="solid" w:color="000000" w:fill="000000"/>
                <w:fitText w:val="165" w:id="-893684468"/>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vAlign w:val="center"/>
          </w:tcPr>
          <w:p w14:paraId="6114E6FC" w14:textId="11F2658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7"/>
                <w14:textFill>
                  <w14:solidFill>
                    <w14:srgbClr w14:val="000000">
                      <w14:alpha w14:val="100000"/>
                    </w14:srgbClr>
                  </w14:solidFill>
                </w14:textFill>
              </w:rPr>
              <w:t>|</w:t>
            </w:r>
            <w:r w:rsidRPr="00501C36">
              <w:rPr>
                <w:iCs/>
                <w:color w:val="000000"/>
                <w:spacing w:val="1"/>
                <w:shd w:val="solid" w:color="000000" w:fill="000000"/>
                <w:fitText w:val="195" w:id="-893684467"/>
                <w14:textFill>
                  <w14:solidFill>
                    <w14:srgbClr w14:val="000000">
                      <w14:alpha w14:val="100000"/>
                    </w14:srgbClr>
                  </w14:solidFill>
                </w14:textFill>
              </w:rPr>
              <w:t>|</w:t>
            </w:r>
            <w:r w:rsidRPr="0049394D">
              <w:rPr>
                <w:iCs/>
              </w:rPr>
              <w:t>%</w:t>
            </w:r>
          </w:p>
        </w:tc>
      </w:tr>
      <w:tr w:rsidR="00376AA5" w:rsidRPr="0049394D" w14:paraId="4E92669E" w14:textId="77777777" w:rsidTr="00282F0D">
        <w:trPr>
          <w:trHeight w:val="300"/>
        </w:trPr>
        <w:tc>
          <w:tcPr>
            <w:tcW w:w="5000" w:type="pct"/>
            <w:gridSpan w:val="7"/>
            <w:tcBorders>
              <w:top w:val="single" w:sz="4" w:space="0" w:color="auto"/>
              <w:bottom w:val="nil"/>
            </w:tcBorders>
            <w:noWrap/>
          </w:tcPr>
          <w:p w14:paraId="4589B285" w14:textId="77777777" w:rsidR="00376AA5" w:rsidRPr="0049394D" w:rsidRDefault="00376AA5" w:rsidP="00376AA5">
            <w:pPr>
              <w:pStyle w:val="TableText0"/>
              <w:keepNext w:val="0"/>
              <w:rPr>
                <w:i/>
                <w:iCs/>
              </w:rPr>
            </w:pPr>
            <w:r w:rsidRPr="0049394D">
              <w:t>Treatment waning (base case: convergence between belzutifan and AS arms between Year 3.84 and 6.55 for patients discontinuing treatment, belzutifan transitions, events and utilities equal to AS arm from Year 6.55)</w:t>
            </w:r>
          </w:p>
        </w:tc>
      </w:tr>
      <w:tr w:rsidR="00376AA5" w:rsidRPr="0049394D" w14:paraId="487C12DD" w14:textId="77777777" w:rsidTr="00243D28">
        <w:trPr>
          <w:trHeight w:val="87"/>
        </w:trPr>
        <w:tc>
          <w:tcPr>
            <w:tcW w:w="1493" w:type="pct"/>
            <w:tcBorders>
              <w:top w:val="nil"/>
              <w:bottom w:val="nil"/>
            </w:tcBorders>
            <w:noWrap/>
          </w:tcPr>
          <w:p w14:paraId="61778E1E" w14:textId="7601B06E" w:rsidR="00376AA5" w:rsidRPr="0049394D" w:rsidRDefault="00376AA5" w:rsidP="00376AA5">
            <w:pPr>
              <w:pStyle w:val="TableText0"/>
              <w:keepNext w:val="0"/>
              <w:ind w:left="169"/>
            </w:pPr>
            <w:r w:rsidRPr="0049394D">
              <w:t>Assume no treatment effect waning</w:t>
            </w:r>
          </w:p>
        </w:tc>
        <w:tc>
          <w:tcPr>
            <w:tcW w:w="584" w:type="pct"/>
            <w:tcBorders>
              <w:top w:val="nil"/>
              <w:bottom w:val="nil"/>
            </w:tcBorders>
            <w:noWrap/>
            <w:vAlign w:val="center"/>
          </w:tcPr>
          <w:p w14:paraId="4294031E" w14:textId="5B4CDF7B"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66"/>
                <w14:textFill>
                  <w14:solidFill>
                    <w14:srgbClr w14:val="000000">
                      <w14:alpha w14:val="100000"/>
                    </w14:srgbClr>
                  </w14:solidFill>
                </w14:textFill>
              </w:rPr>
              <w:t>|</w:t>
            </w:r>
            <w:r w:rsidRPr="00501C36">
              <w:rPr>
                <w:color w:val="000000"/>
                <w:spacing w:val="1"/>
                <w:shd w:val="solid" w:color="000000" w:fill="000000"/>
                <w:fitText w:val="165" w:id="-893684466"/>
                <w14:textFill>
                  <w14:solidFill>
                    <w14:srgbClr w14:val="000000">
                      <w14:alpha w14:val="100000"/>
                    </w14:srgbClr>
                  </w14:solidFill>
                </w14:textFill>
              </w:rPr>
              <w:t>|</w:t>
            </w:r>
            <w:r w:rsidRPr="0009066F">
              <w:rPr>
                <w:vertAlign w:val="superscript"/>
              </w:rPr>
              <w:t>7</w:t>
            </w:r>
          </w:p>
        </w:tc>
        <w:tc>
          <w:tcPr>
            <w:tcW w:w="585" w:type="pct"/>
            <w:tcBorders>
              <w:top w:val="nil"/>
              <w:bottom w:val="nil"/>
            </w:tcBorders>
            <w:noWrap/>
            <w:vAlign w:val="center"/>
          </w:tcPr>
          <w:p w14:paraId="43487728" w14:textId="00103004" w:rsidR="00376AA5" w:rsidRPr="0049394D" w:rsidRDefault="00376AA5" w:rsidP="00376AA5">
            <w:pPr>
              <w:pStyle w:val="TableText0"/>
              <w:keepNext w:val="0"/>
              <w:jc w:val="center"/>
            </w:pPr>
            <w:r w:rsidRPr="0049394D">
              <w:t>-</w:t>
            </w:r>
            <w:r w:rsidRPr="00501C36">
              <w:rPr>
                <w:color w:val="000000"/>
                <w:spacing w:val="48"/>
                <w:shd w:val="solid" w:color="000000" w:fill="000000"/>
                <w:fitText w:val="225" w:id="-893684465"/>
                <w14:textFill>
                  <w14:solidFill>
                    <w14:srgbClr w14:val="000000">
                      <w14:alpha w14:val="100000"/>
                    </w14:srgbClr>
                  </w14:solidFill>
                </w14:textFill>
              </w:rPr>
              <w:t>||</w:t>
            </w:r>
            <w:r w:rsidRPr="00501C36">
              <w:rPr>
                <w:color w:val="000000"/>
                <w:spacing w:val="2"/>
                <w:shd w:val="solid" w:color="000000" w:fill="000000"/>
                <w:fitText w:val="225" w:id="-893684465"/>
                <w14:textFill>
                  <w14:solidFill>
                    <w14:srgbClr w14:val="000000">
                      <w14:alpha w14:val="100000"/>
                    </w14:srgbClr>
                  </w14:solidFill>
                </w14:textFill>
              </w:rPr>
              <w:t>|</w:t>
            </w:r>
            <w:r w:rsidRPr="0049394D">
              <w:t>%</w:t>
            </w:r>
          </w:p>
        </w:tc>
        <w:tc>
          <w:tcPr>
            <w:tcW w:w="584" w:type="pct"/>
            <w:tcBorders>
              <w:top w:val="nil"/>
              <w:bottom w:val="nil"/>
            </w:tcBorders>
            <w:vAlign w:val="center"/>
          </w:tcPr>
          <w:p w14:paraId="4E100A87" w14:textId="337D09F5"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64"/>
                <w14:textFill>
                  <w14:solidFill>
                    <w14:srgbClr w14:val="000000">
                      <w14:alpha w14:val="100000"/>
                    </w14:srgbClr>
                  </w14:solidFill>
                </w14:textFill>
              </w:rPr>
              <w:t>|</w:t>
            </w:r>
            <w:r w:rsidRPr="00501C36">
              <w:rPr>
                <w:color w:val="000000"/>
                <w:spacing w:val="1"/>
                <w:shd w:val="solid" w:color="000000" w:fill="000000"/>
                <w:fitText w:val="165" w:id="-893684464"/>
                <w14:textFill>
                  <w14:solidFill>
                    <w14:srgbClr w14:val="000000">
                      <w14:alpha w14:val="100000"/>
                    </w14:srgbClr>
                  </w14:solidFill>
                </w14:textFill>
              </w:rPr>
              <w:t>|</w:t>
            </w:r>
            <w:r w:rsidRPr="003F0AD1">
              <w:rPr>
                <w:vertAlign w:val="superscript"/>
              </w:rPr>
              <w:t>7</w:t>
            </w:r>
          </w:p>
        </w:tc>
        <w:tc>
          <w:tcPr>
            <w:tcW w:w="585" w:type="pct"/>
            <w:tcBorders>
              <w:top w:val="nil"/>
              <w:bottom w:val="nil"/>
            </w:tcBorders>
            <w:vAlign w:val="center"/>
          </w:tcPr>
          <w:p w14:paraId="5870C471" w14:textId="7D73772F" w:rsidR="00376AA5" w:rsidRPr="0049394D" w:rsidRDefault="00376AA5" w:rsidP="00376AA5">
            <w:pPr>
              <w:pStyle w:val="TableText0"/>
              <w:keepNext w:val="0"/>
              <w:jc w:val="center"/>
            </w:pPr>
            <w:r w:rsidRPr="0049394D">
              <w:t>-</w:t>
            </w:r>
            <w:r w:rsidRPr="00501C36">
              <w:rPr>
                <w:color w:val="000000"/>
                <w:spacing w:val="48"/>
                <w:shd w:val="solid" w:color="000000" w:fill="000000"/>
                <w:fitText w:val="225" w:id="-893684480"/>
                <w14:textFill>
                  <w14:solidFill>
                    <w14:srgbClr w14:val="000000">
                      <w14:alpha w14:val="100000"/>
                    </w14:srgbClr>
                  </w14:solidFill>
                </w14:textFill>
              </w:rPr>
              <w:t>||</w:t>
            </w:r>
            <w:r w:rsidRPr="00501C36">
              <w:rPr>
                <w:color w:val="000000"/>
                <w:spacing w:val="2"/>
                <w:shd w:val="solid" w:color="000000" w:fill="000000"/>
                <w:fitText w:val="225" w:id="-893684480"/>
                <w14:textFill>
                  <w14:solidFill>
                    <w14:srgbClr w14:val="000000">
                      <w14:alpha w14:val="100000"/>
                    </w14:srgbClr>
                  </w14:solidFill>
                </w14:textFill>
              </w:rPr>
              <w:t>|</w:t>
            </w:r>
            <w:r w:rsidRPr="0049394D">
              <w:t>%</w:t>
            </w:r>
          </w:p>
        </w:tc>
        <w:tc>
          <w:tcPr>
            <w:tcW w:w="584" w:type="pct"/>
            <w:tcBorders>
              <w:top w:val="nil"/>
              <w:bottom w:val="nil"/>
            </w:tcBorders>
            <w:vAlign w:val="center"/>
          </w:tcPr>
          <w:p w14:paraId="792D165D" w14:textId="1BCAA890" w:rsidR="00376AA5" w:rsidRPr="0009066F" w:rsidRDefault="00376AA5" w:rsidP="00376AA5">
            <w:pPr>
              <w:pStyle w:val="TableText0"/>
              <w:keepNext w:val="0"/>
              <w:jc w:val="center"/>
              <w:rPr>
                <w:highlight w:val="lightGray"/>
              </w:rPr>
            </w:pPr>
            <w:r w:rsidRPr="00501C36">
              <w:rPr>
                <w:color w:val="000000"/>
                <w:spacing w:val="79"/>
                <w:shd w:val="solid" w:color="000000" w:fill="000000"/>
                <w:fitText w:val="165" w:id="-893684479"/>
                <w14:textFill>
                  <w14:solidFill>
                    <w14:srgbClr w14:val="000000">
                      <w14:alpha w14:val="100000"/>
                    </w14:srgbClr>
                  </w14:solidFill>
                </w14:textFill>
              </w:rPr>
              <w:t>|</w:t>
            </w:r>
            <w:r w:rsidRPr="00501C36">
              <w:rPr>
                <w:color w:val="000000"/>
                <w:spacing w:val="1"/>
                <w:shd w:val="solid" w:color="000000" w:fill="000000"/>
                <w:fitText w:val="165" w:id="-893684479"/>
                <w14:textFill>
                  <w14:solidFill>
                    <w14:srgbClr w14:val="000000">
                      <w14:alpha w14:val="100000"/>
                    </w14:srgbClr>
                  </w14:solidFill>
                </w14:textFill>
              </w:rPr>
              <w:t>|</w:t>
            </w:r>
            <w:r w:rsidRPr="0009066F">
              <w:rPr>
                <w:vertAlign w:val="superscript"/>
              </w:rPr>
              <w:t>8</w:t>
            </w:r>
          </w:p>
        </w:tc>
        <w:tc>
          <w:tcPr>
            <w:tcW w:w="585" w:type="pct"/>
            <w:tcBorders>
              <w:top w:val="nil"/>
              <w:bottom w:val="nil"/>
            </w:tcBorders>
            <w:vAlign w:val="center"/>
          </w:tcPr>
          <w:p w14:paraId="51BFDC87" w14:textId="760D12A0" w:rsidR="00376AA5" w:rsidRPr="0049394D" w:rsidRDefault="00376AA5" w:rsidP="00376AA5">
            <w:pPr>
              <w:pStyle w:val="TableText0"/>
              <w:keepNext w:val="0"/>
              <w:jc w:val="center"/>
            </w:pPr>
            <w:r w:rsidRPr="0049394D">
              <w:t>-</w:t>
            </w:r>
            <w:r w:rsidRPr="00501C36">
              <w:rPr>
                <w:color w:val="000000"/>
                <w:spacing w:val="48"/>
                <w:shd w:val="solid" w:color="000000" w:fill="000000"/>
                <w:fitText w:val="225" w:id="-893684478"/>
                <w14:textFill>
                  <w14:solidFill>
                    <w14:srgbClr w14:val="000000">
                      <w14:alpha w14:val="100000"/>
                    </w14:srgbClr>
                  </w14:solidFill>
                </w14:textFill>
              </w:rPr>
              <w:t>||</w:t>
            </w:r>
            <w:r w:rsidRPr="00501C36">
              <w:rPr>
                <w:color w:val="000000"/>
                <w:spacing w:val="2"/>
                <w:shd w:val="solid" w:color="000000" w:fill="000000"/>
                <w:fitText w:val="225" w:id="-893684478"/>
                <w14:textFill>
                  <w14:solidFill>
                    <w14:srgbClr w14:val="000000">
                      <w14:alpha w14:val="100000"/>
                    </w14:srgbClr>
                  </w14:solidFill>
                </w14:textFill>
              </w:rPr>
              <w:t>|</w:t>
            </w:r>
            <w:r w:rsidRPr="0049394D">
              <w:t>%</w:t>
            </w:r>
          </w:p>
        </w:tc>
      </w:tr>
      <w:tr w:rsidR="00376AA5" w:rsidRPr="0049394D" w14:paraId="286F720A" w14:textId="77777777" w:rsidTr="00243D28">
        <w:trPr>
          <w:trHeight w:val="66"/>
        </w:trPr>
        <w:tc>
          <w:tcPr>
            <w:tcW w:w="1493" w:type="pct"/>
            <w:tcBorders>
              <w:top w:val="nil"/>
              <w:bottom w:val="single" w:sz="4" w:space="0" w:color="auto"/>
            </w:tcBorders>
            <w:noWrap/>
          </w:tcPr>
          <w:p w14:paraId="5AEC90BC" w14:textId="77777777" w:rsidR="00376AA5" w:rsidRPr="0049394D" w:rsidRDefault="00376AA5" w:rsidP="00376AA5">
            <w:pPr>
              <w:pStyle w:val="TableText0"/>
              <w:keepNext w:val="0"/>
              <w:ind w:firstLine="169"/>
              <w:rPr>
                <w:iCs/>
              </w:rPr>
            </w:pPr>
            <w:r w:rsidRPr="0049394D">
              <w:rPr>
                <w:iCs/>
              </w:rPr>
              <w:t>Converge at Year 3.84</w:t>
            </w:r>
          </w:p>
        </w:tc>
        <w:tc>
          <w:tcPr>
            <w:tcW w:w="584" w:type="pct"/>
            <w:tcBorders>
              <w:top w:val="nil"/>
              <w:bottom w:val="single" w:sz="4" w:space="0" w:color="auto"/>
            </w:tcBorders>
            <w:noWrap/>
            <w:vAlign w:val="center"/>
          </w:tcPr>
          <w:p w14:paraId="40795E14" w14:textId="0B089FF2"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7"/>
                <w14:textFill>
                  <w14:solidFill>
                    <w14:srgbClr w14:val="000000">
                      <w14:alpha w14:val="100000"/>
                    </w14:srgbClr>
                  </w14:solidFill>
                </w14:textFill>
              </w:rPr>
              <w:t>|</w:t>
            </w:r>
            <w:r w:rsidRPr="00501C36">
              <w:rPr>
                <w:iCs/>
                <w:color w:val="000000"/>
                <w:spacing w:val="1"/>
                <w:shd w:val="solid" w:color="000000" w:fill="000000"/>
                <w:fitText w:val="165" w:id="-893684477"/>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noWrap/>
            <w:vAlign w:val="center"/>
          </w:tcPr>
          <w:p w14:paraId="0B1B00AF" w14:textId="7442D6C4"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6"/>
                <w14:textFill>
                  <w14:solidFill>
                    <w14:srgbClr w14:val="000000">
                      <w14:alpha w14:val="100000"/>
                    </w14:srgbClr>
                  </w14:solidFill>
                </w14:textFill>
              </w:rPr>
              <w:t>|</w:t>
            </w:r>
            <w:r w:rsidRPr="00501C36">
              <w:rPr>
                <w:iCs/>
                <w:color w:val="000000"/>
                <w:spacing w:val="1"/>
                <w:shd w:val="solid" w:color="000000" w:fill="000000"/>
                <w:fitText w:val="195" w:id="-893684476"/>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25F5DDC4" w14:textId="1EAD9A8E"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5"/>
                <w14:textFill>
                  <w14:solidFill>
                    <w14:srgbClr w14:val="000000">
                      <w14:alpha w14:val="100000"/>
                    </w14:srgbClr>
                  </w14:solidFill>
                </w14:textFill>
              </w:rPr>
              <w:t>|</w:t>
            </w:r>
            <w:r w:rsidRPr="00501C36">
              <w:rPr>
                <w:iCs/>
                <w:color w:val="000000"/>
                <w:spacing w:val="1"/>
                <w:shd w:val="solid" w:color="000000" w:fill="000000"/>
                <w:fitText w:val="165" w:id="-893684475"/>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vAlign w:val="center"/>
          </w:tcPr>
          <w:p w14:paraId="644977C6" w14:textId="1B53FA4D"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4"/>
                <w14:textFill>
                  <w14:solidFill>
                    <w14:srgbClr w14:val="000000">
                      <w14:alpha w14:val="100000"/>
                    </w14:srgbClr>
                  </w14:solidFill>
                </w14:textFill>
              </w:rPr>
              <w:t>|</w:t>
            </w:r>
            <w:r w:rsidRPr="00501C36">
              <w:rPr>
                <w:iCs/>
                <w:color w:val="000000"/>
                <w:spacing w:val="1"/>
                <w:shd w:val="solid" w:color="000000" w:fill="000000"/>
                <w:fitText w:val="195" w:id="-893684474"/>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7184E362" w14:textId="16E73718"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473"/>
                <w14:textFill>
                  <w14:solidFill>
                    <w14:srgbClr w14:val="000000">
                      <w14:alpha w14:val="100000"/>
                    </w14:srgbClr>
                  </w14:solidFill>
                </w14:textFill>
              </w:rPr>
              <w:t>|</w:t>
            </w:r>
            <w:r w:rsidRPr="00501C36">
              <w:rPr>
                <w:iCs/>
                <w:color w:val="000000"/>
                <w:spacing w:val="1"/>
                <w:shd w:val="solid" w:color="000000" w:fill="000000"/>
                <w:fitText w:val="165" w:id="-893684473"/>
                <w14:textFill>
                  <w14:solidFill>
                    <w14:srgbClr w14:val="000000">
                      <w14:alpha w14:val="100000"/>
                    </w14:srgbClr>
                  </w14:solidFill>
                </w14:textFill>
              </w:rPr>
              <w:t>|</w:t>
            </w:r>
            <w:r w:rsidRPr="0009066F">
              <w:rPr>
                <w:iCs/>
                <w:vertAlign w:val="superscript"/>
              </w:rPr>
              <w:t>9</w:t>
            </w:r>
          </w:p>
        </w:tc>
        <w:tc>
          <w:tcPr>
            <w:tcW w:w="585" w:type="pct"/>
            <w:tcBorders>
              <w:top w:val="nil"/>
              <w:bottom w:val="single" w:sz="4" w:space="0" w:color="auto"/>
            </w:tcBorders>
            <w:vAlign w:val="center"/>
          </w:tcPr>
          <w:p w14:paraId="12141B7E" w14:textId="21342780"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2"/>
                <w14:textFill>
                  <w14:solidFill>
                    <w14:srgbClr w14:val="000000">
                      <w14:alpha w14:val="100000"/>
                    </w14:srgbClr>
                  </w14:solidFill>
                </w14:textFill>
              </w:rPr>
              <w:t>|</w:t>
            </w:r>
            <w:r w:rsidRPr="00501C36">
              <w:rPr>
                <w:iCs/>
                <w:color w:val="000000"/>
                <w:spacing w:val="1"/>
                <w:shd w:val="solid" w:color="000000" w:fill="000000"/>
                <w:fitText w:val="195" w:id="-893684472"/>
                <w14:textFill>
                  <w14:solidFill>
                    <w14:srgbClr w14:val="000000">
                      <w14:alpha w14:val="100000"/>
                    </w14:srgbClr>
                  </w14:solidFill>
                </w14:textFill>
              </w:rPr>
              <w:t>|</w:t>
            </w:r>
            <w:r w:rsidRPr="0049394D">
              <w:rPr>
                <w:iCs/>
              </w:rPr>
              <w:t>%</w:t>
            </w:r>
          </w:p>
        </w:tc>
      </w:tr>
      <w:tr w:rsidR="00376AA5" w:rsidRPr="0049394D" w14:paraId="20A99F02" w14:textId="77777777" w:rsidTr="00282F0D">
        <w:trPr>
          <w:trHeight w:val="56"/>
        </w:trPr>
        <w:tc>
          <w:tcPr>
            <w:tcW w:w="5000" w:type="pct"/>
            <w:gridSpan w:val="7"/>
            <w:tcBorders>
              <w:bottom w:val="nil"/>
            </w:tcBorders>
            <w:noWrap/>
          </w:tcPr>
          <w:p w14:paraId="5676A520" w14:textId="77777777" w:rsidR="00376AA5" w:rsidRPr="0049394D" w:rsidRDefault="00376AA5" w:rsidP="00376AA5">
            <w:pPr>
              <w:pStyle w:val="TableText0"/>
              <w:keepNext w:val="0"/>
            </w:pPr>
            <w:r w:rsidRPr="0049394D">
              <w:t>Relative dose intensity (base case 92.5%)</w:t>
            </w:r>
          </w:p>
        </w:tc>
      </w:tr>
      <w:tr w:rsidR="00376AA5" w:rsidRPr="0049394D" w14:paraId="2164225E" w14:textId="77777777" w:rsidTr="00243D28">
        <w:trPr>
          <w:trHeight w:val="56"/>
        </w:trPr>
        <w:tc>
          <w:tcPr>
            <w:tcW w:w="1493" w:type="pct"/>
            <w:tcBorders>
              <w:top w:val="nil"/>
            </w:tcBorders>
            <w:noWrap/>
          </w:tcPr>
          <w:p w14:paraId="2645D629" w14:textId="77777777" w:rsidR="00376AA5" w:rsidRPr="0049394D" w:rsidRDefault="00376AA5" w:rsidP="00376AA5">
            <w:pPr>
              <w:pStyle w:val="TableText0"/>
              <w:keepNext w:val="0"/>
              <w:ind w:firstLine="169"/>
              <w:rPr>
                <w:iCs/>
              </w:rPr>
            </w:pPr>
            <w:r w:rsidRPr="0049394D">
              <w:rPr>
                <w:iCs/>
              </w:rPr>
              <w:t>100% belzutifan</w:t>
            </w:r>
          </w:p>
        </w:tc>
        <w:tc>
          <w:tcPr>
            <w:tcW w:w="584" w:type="pct"/>
            <w:tcBorders>
              <w:top w:val="nil"/>
            </w:tcBorders>
            <w:noWrap/>
            <w:vAlign w:val="center"/>
          </w:tcPr>
          <w:p w14:paraId="6035B2D7" w14:textId="54B70F66" w:rsidR="00376AA5" w:rsidRPr="0049394D" w:rsidRDefault="00376AA5" w:rsidP="00376AA5">
            <w:pPr>
              <w:pStyle w:val="TableText0"/>
              <w:keepNext w:val="0"/>
              <w:jc w:val="center"/>
              <w:rPr>
                <w:iCs/>
              </w:rPr>
            </w:pPr>
            <w:r w:rsidRPr="00501C36">
              <w:rPr>
                <w:iCs/>
                <w:color w:val="000000"/>
                <w:spacing w:val="79"/>
                <w:shd w:val="solid" w:color="000000" w:fill="000000"/>
                <w:fitText w:val="165" w:id="-893684471"/>
                <w14:textFill>
                  <w14:solidFill>
                    <w14:srgbClr w14:val="000000">
                      <w14:alpha w14:val="100000"/>
                    </w14:srgbClr>
                  </w14:solidFill>
                </w14:textFill>
              </w:rPr>
              <w:t>|</w:t>
            </w:r>
            <w:r w:rsidRPr="00501C36">
              <w:rPr>
                <w:iCs/>
                <w:color w:val="000000"/>
                <w:spacing w:val="1"/>
                <w:shd w:val="solid" w:color="000000" w:fill="000000"/>
                <w:fitText w:val="165" w:id="-893684471"/>
                <w14:textFill>
                  <w14:solidFill>
                    <w14:srgbClr w14:val="000000">
                      <w14:alpha w14:val="100000"/>
                    </w14:srgbClr>
                  </w14:solidFill>
                </w14:textFill>
              </w:rPr>
              <w:t>|</w:t>
            </w:r>
            <w:r w:rsidRPr="003F0AD1">
              <w:rPr>
                <w:iCs/>
                <w:vertAlign w:val="superscript"/>
              </w:rPr>
              <w:t>3</w:t>
            </w:r>
          </w:p>
        </w:tc>
        <w:tc>
          <w:tcPr>
            <w:tcW w:w="585" w:type="pct"/>
            <w:tcBorders>
              <w:top w:val="nil"/>
            </w:tcBorders>
            <w:noWrap/>
            <w:vAlign w:val="center"/>
          </w:tcPr>
          <w:p w14:paraId="071ADB0B" w14:textId="7246D529"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70"/>
                <w14:textFill>
                  <w14:solidFill>
                    <w14:srgbClr w14:val="000000">
                      <w14:alpha w14:val="100000"/>
                    </w14:srgbClr>
                  </w14:solidFill>
                </w14:textFill>
              </w:rPr>
              <w:t>|</w:t>
            </w:r>
            <w:r w:rsidRPr="00501C36">
              <w:rPr>
                <w:iCs/>
                <w:color w:val="000000"/>
                <w:spacing w:val="1"/>
                <w:shd w:val="solid" w:color="000000" w:fill="000000"/>
                <w:fitText w:val="195" w:id="-893684470"/>
                <w14:textFill>
                  <w14:solidFill>
                    <w14:srgbClr w14:val="000000">
                      <w14:alpha w14:val="100000"/>
                    </w14:srgbClr>
                  </w14:solidFill>
                </w14:textFill>
              </w:rPr>
              <w:t>|</w:t>
            </w:r>
            <w:r w:rsidRPr="0049394D">
              <w:rPr>
                <w:iCs/>
              </w:rPr>
              <w:t>%</w:t>
            </w:r>
          </w:p>
        </w:tc>
        <w:tc>
          <w:tcPr>
            <w:tcW w:w="584" w:type="pct"/>
            <w:tcBorders>
              <w:top w:val="nil"/>
            </w:tcBorders>
            <w:vAlign w:val="center"/>
          </w:tcPr>
          <w:p w14:paraId="2C51EEEB" w14:textId="147B3FB0" w:rsidR="00376AA5" w:rsidRPr="0049394D" w:rsidRDefault="00376AA5" w:rsidP="00376AA5">
            <w:pPr>
              <w:pStyle w:val="TableText0"/>
              <w:keepNext w:val="0"/>
              <w:jc w:val="center"/>
              <w:rPr>
                <w:iCs/>
              </w:rPr>
            </w:pPr>
            <w:r w:rsidRPr="00501C36">
              <w:rPr>
                <w:iCs/>
                <w:color w:val="000000"/>
                <w:spacing w:val="79"/>
                <w:shd w:val="solid" w:color="000000" w:fill="000000"/>
                <w:fitText w:val="165" w:id="-893684469"/>
                <w14:textFill>
                  <w14:solidFill>
                    <w14:srgbClr w14:val="000000">
                      <w14:alpha w14:val="100000"/>
                    </w14:srgbClr>
                  </w14:solidFill>
                </w14:textFill>
              </w:rPr>
              <w:t>|</w:t>
            </w:r>
            <w:r w:rsidRPr="00501C36">
              <w:rPr>
                <w:iCs/>
                <w:color w:val="000000"/>
                <w:spacing w:val="1"/>
                <w:shd w:val="solid" w:color="000000" w:fill="000000"/>
                <w:fitText w:val="165" w:id="-893684469"/>
                <w14:textFill>
                  <w14:solidFill>
                    <w14:srgbClr w14:val="000000">
                      <w14:alpha w14:val="100000"/>
                    </w14:srgbClr>
                  </w14:solidFill>
                </w14:textFill>
              </w:rPr>
              <w:t>|</w:t>
            </w:r>
            <w:r w:rsidRPr="003F0AD1">
              <w:rPr>
                <w:iCs/>
                <w:vertAlign w:val="superscript"/>
              </w:rPr>
              <w:t>3</w:t>
            </w:r>
          </w:p>
        </w:tc>
        <w:tc>
          <w:tcPr>
            <w:tcW w:w="585" w:type="pct"/>
            <w:tcBorders>
              <w:top w:val="nil"/>
            </w:tcBorders>
            <w:vAlign w:val="center"/>
          </w:tcPr>
          <w:p w14:paraId="5E477081" w14:textId="3ADBEF0E"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468"/>
                <w14:textFill>
                  <w14:solidFill>
                    <w14:srgbClr w14:val="000000">
                      <w14:alpha w14:val="100000"/>
                    </w14:srgbClr>
                  </w14:solidFill>
                </w14:textFill>
              </w:rPr>
              <w:t>|</w:t>
            </w:r>
            <w:r w:rsidRPr="00501C36">
              <w:rPr>
                <w:iCs/>
                <w:color w:val="000000"/>
                <w:spacing w:val="1"/>
                <w:shd w:val="solid" w:color="000000" w:fill="000000"/>
                <w:fitText w:val="195" w:id="-893684468"/>
                <w14:textFill>
                  <w14:solidFill>
                    <w14:srgbClr w14:val="000000">
                      <w14:alpha w14:val="100000"/>
                    </w14:srgbClr>
                  </w14:solidFill>
                </w14:textFill>
              </w:rPr>
              <w:t>|</w:t>
            </w:r>
            <w:r w:rsidRPr="0049394D">
              <w:rPr>
                <w:iCs/>
              </w:rPr>
              <w:t>%</w:t>
            </w:r>
          </w:p>
        </w:tc>
        <w:tc>
          <w:tcPr>
            <w:tcW w:w="584" w:type="pct"/>
            <w:tcBorders>
              <w:top w:val="nil"/>
            </w:tcBorders>
            <w:vAlign w:val="center"/>
          </w:tcPr>
          <w:p w14:paraId="75B3FB79" w14:textId="0BE38CA6" w:rsidR="00376AA5" w:rsidRPr="0049394D" w:rsidRDefault="00376AA5" w:rsidP="00376AA5">
            <w:pPr>
              <w:pStyle w:val="TableText0"/>
              <w:keepNext w:val="0"/>
              <w:jc w:val="center"/>
              <w:rPr>
                <w:iCs/>
              </w:rPr>
            </w:pPr>
            <w:r w:rsidRPr="00501C36">
              <w:rPr>
                <w:iCs/>
                <w:color w:val="000000"/>
                <w:spacing w:val="79"/>
                <w:shd w:val="solid" w:color="000000" w:fill="000000"/>
                <w:fitText w:val="165" w:id="-893684467"/>
                <w14:textFill>
                  <w14:solidFill>
                    <w14:srgbClr w14:val="000000">
                      <w14:alpha w14:val="100000"/>
                    </w14:srgbClr>
                  </w14:solidFill>
                </w14:textFill>
              </w:rPr>
              <w:t>|</w:t>
            </w:r>
            <w:r w:rsidRPr="00501C36">
              <w:rPr>
                <w:iCs/>
                <w:color w:val="000000"/>
                <w:spacing w:val="1"/>
                <w:shd w:val="solid" w:color="000000" w:fill="000000"/>
                <w:fitText w:val="165" w:id="-893684467"/>
                <w14:textFill>
                  <w14:solidFill>
                    <w14:srgbClr w14:val="000000">
                      <w14:alpha w14:val="100000"/>
                    </w14:srgbClr>
                  </w14:solidFill>
                </w14:textFill>
              </w:rPr>
              <w:t>|</w:t>
            </w:r>
            <w:r w:rsidRPr="003F0AD1">
              <w:rPr>
                <w:iCs/>
                <w:vertAlign w:val="superscript"/>
              </w:rPr>
              <w:t>1</w:t>
            </w:r>
          </w:p>
        </w:tc>
        <w:tc>
          <w:tcPr>
            <w:tcW w:w="585" w:type="pct"/>
            <w:tcBorders>
              <w:top w:val="nil"/>
            </w:tcBorders>
            <w:vAlign w:val="center"/>
          </w:tcPr>
          <w:p w14:paraId="14C33F68" w14:textId="5E6F306E"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24"/>
                <w14:textFill>
                  <w14:solidFill>
                    <w14:srgbClr w14:val="000000">
                      <w14:alpha w14:val="100000"/>
                    </w14:srgbClr>
                  </w14:solidFill>
                </w14:textFill>
              </w:rPr>
              <w:t>|</w:t>
            </w:r>
            <w:r w:rsidRPr="00501C36">
              <w:rPr>
                <w:iCs/>
                <w:color w:val="000000"/>
                <w:spacing w:val="1"/>
                <w:shd w:val="solid" w:color="000000" w:fill="000000"/>
                <w:fitText w:val="195" w:id="-893684224"/>
                <w14:textFill>
                  <w14:solidFill>
                    <w14:srgbClr w14:val="000000">
                      <w14:alpha w14:val="100000"/>
                    </w14:srgbClr>
                  </w14:solidFill>
                </w14:textFill>
              </w:rPr>
              <w:t>|</w:t>
            </w:r>
            <w:r w:rsidRPr="0049394D">
              <w:rPr>
                <w:iCs/>
              </w:rPr>
              <w:t>%</w:t>
            </w:r>
          </w:p>
        </w:tc>
      </w:tr>
      <w:tr w:rsidR="00376AA5" w:rsidRPr="0049394D" w14:paraId="75176D20" w14:textId="77777777" w:rsidTr="00282F0D">
        <w:trPr>
          <w:trHeight w:val="56"/>
        </w:trPr>
        <w:tc>
          <w:tcPr>
            <w:tcW w:w="5000" w:type="pct"/>
            <w:gridSpan w:val="7"/>
            <w:tcBorders>
              <w:bottom w:val="nil"/>
            </w:tcBorders>
            <w:noWrap/>
          </w:tcPr>
          <w:p w14:paraId="198742B9" w14:textId="0339A661" w:rsidR="00376AA5" w:rsidRPr="0049394D" w:rsidRDefault="00376AA5" w:rsidP="00376AA5">
            <w:pPr>
              <w:pStyle w:val="TableText0"/>
              <w:keepNext w:val="0"/>
              <w:rPr>
                <w:iCs/>
              </w:rPr>
            </w:pPr>
            <w:r w:rsidRPr="0049394D">
              <w:rPr>
                <w:iCs/>
              </w:rPr>
              <w:lastRenderedPageBreak/>
              <w:t>Surgery and surgical complications (base case short and long-term costs and disutilities for all surgeries)</w:t>
            </w:r>
          </w:p>
        </w:tc>
      </w:tr>
      <w:tr w:rsidR="00376AA5" w:rsidRPr="0049394D" w14:paraId="637512F7" w14:textId="77777777" w:rsidTr="00243D28">
        <w:trPr>
          <w:trHeight w:val="108"/>
        </w:trPr>
        <w:tc>
          <w:tcPr>
            <w:tcW w:w="1493" w:type="pct"/>
            <w:tcBorders>
              <w:top w:val="nil"/>
              <w:bottom w:val="nil"/>
            </w:tcBorders>
            <w:noWrap/>
          </w:tcPr>
          <w:p w14:paraId="1EC24E20" w14:textId="55B095F4" w:rsidR="00376AA5" w:rsidRPr="0049394D" w:rsidRDefault="00376AA5" w:rsidP="00376AA5">
            <w:pPr>
              <w:pStyle w:val="TableText0"/>
              <w:keepNext w:val="0"/>
              <w:ind w:firstLine="169"/>
              <w:rPr>
                <w:iCs/>
              </w:rPr>
            </w:pPr>
            <w:r w:rsidRPr="0049394D">
              <w:rPr>
                <w:iCs/>
              </w:rPr>
              <w:t>No long-term disutilities</w:t>
            </w:r>
          </w:p>
        </w:tc>
        <w:tc>
          <w:tcPr>
            <w:tcW w:w="584" w:type="pct"/>
            <w:tcBorders>
              <w:top w:val="nil"/>
              <w:bottom w:val="nil"/>
            </w:tcBorders>
            <w:noWrap/>
            <w:vAlign w:val="center"/>
          </w:tcPr>
          <w:p w14:paraId="1F3BF1E0" w14:textId="65C06D81"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23"/>
                <w14:textFill>
                  <w14:solidFill>
                    <w14:srgbClr w14:val="000000">
                      <w14:alpha w14:val="100000"/>
                    </w14:srgbClr>
                  </w14:solidFill>
                </w14:textFill>
              </w:rPr>
              <w:t>|</w:t>
            </w:r>
            <w:r w:rsidRPr="00501C36">
              <w:rPr>
                <w:iCs/>
                <w:color w:val="000000"/>
                <w:spacing w:val="1"/>
                <w:shd w:val="solid" w:color="000000" w:fill="000000"/>
                <w:fitText w:val="165" w:id="-893684223"/>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59BAE674" w14:textId="0F9E7D4A"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22"/>
                <w14:textFill>
                  <w14:solidFill>
                    <w14:srgbClr w14:val="000000">
                      <w14:alpha w14:val="100000"/>
                    </w14:srgbClr>
                  </w14:solidFill>
                </w14:textFill>
              </w:rPr>
              <w:t>|</w:t>
            </w:r>
            <w:r w:rsidRPr="00501C36">
              <w:rPr>
                <w:iCs/>
                <w:color w:val="000000"/>
                <w:spacing w:val="1"/>
                <w:shd w:val="solid" w:color="000000" w:fill="000000"/>
                <w:fitText w:val="195" w:id="-893684222"/>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7227E64D" w14:textId="5C0CEF7D"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21"/>
                <w14:textFill>
                  <w14:solidFill>
                    <w14:srgbClr w14:val="000000">
                      <w14:alpha w14:val="100000"/>
                    </w14:srgbClr>
                  </w14:solidFill>
                </w14:textFill>
              </w:rPr>
              <w:t>|</w:t>
            </w:r>
            <w:r w:rsidRPr="00501C36">
              <w:rPr>
                <w:iCs/>
                <w:color w:val="000000"/>
                <w:spacing w:val="1"/>
                <w:shd w:val="solid" w:color="000000" w:fill="000000"/>
                <w:fitText w:val="165" w:id="-893684221"/>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vAlign w:val="center"/>
          </w:tcPr>
          <w:p w14:paraId="7FBB02F7" w14:textId="2634203F"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20"/>
                <w14:textFill>
                  <w14:solidFill>
                    <w14:srgbClr w14:val="000000">
                      <w14:alpha w14:val="100000"/>
                    </w14:srgbClr>
                  </w14:solidFill>
                </w14:textFill>
              </w:rPr>
              <w:t>|</w:t>
            </w:r>
            <w:r w:rsidRPr="00501C36">
              <w:rPr>
                <w:iCs/>
                <w:color w:val="000000"/>
                <w:spacing w:val="1"/>
                <w:shd w:val="solid" w:color="000000" w:fill="000000"/>
                <w:fitText w:val="195" w:id="-893684220"/>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446DCC9E" w14:textId="77DA72CC"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19"/>
                <w14:textFill>
                  <w14:solidFill>
                    <w14:srgbClr w14:val="000000">
                      <w14:alpha w14:val="100000"/>
                    </w14:srgbClr>
                  </w14:solidFill>
                </w14:textFill>
              </w:rPr>
              <w:t>|</w:t>
            </w:r>
            <w:r w:rsidRPr="00501C36">
              <w:rPr>
                <w:iCs/>
                <w:color w:val="000000"/>
                <w:spacing w:val="1"/>
                <w:shd w:val="solid" w:color="000000" w:fill="000000"/>
                <w:fitText w:val="165" w:id="-893684219"/>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434FB239" w14:textId="627B4221"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8"/>
                <w14:textFill>
                  <w14:solidFill>
                    <w14:srgbClr w14:val="000000">
                      <w14:alpha w14:val="100000"/>
                    </w14:srgbClr>
                  </w14:solidFill>
                </w14:textFill>
              </w:rPr>
              <w:t>|</w:t>
            </w:r>
            <w:r w:rsidRPr="00501C36">
              <w:rPr>
                <w:iCs/>
                <w:color w:val="000000"/>
                <w:spacing w:val="1"/>
                <w:shd w:val="solid" w:color="000000" w:fill="000000"/>
                <w:fitText w:val="195" w:id="-893684218"/>
                <w14:textFill>
                  <w14:solidFill>
                    <w14:srgbClr w14:val="000000">
                      <w14:alpha w14:val="100000"/>
                    </w14:srgbClr>
                  </w14:solidFill>
                </w14:textFill>
              </w:rPr>
              <w:t>|</w:t>
            </w:r>
            <w:r w:rsidRPr="0049394D">
              <w:rPr>
                <w:iCs/>
              </w:rPr>
              <w:t>%</w:t>
            </w:r>
          </w:p>
        </w:tc>
      </w:tr>
      <w:tr w:rsidR="00376AA5" w:rsidRPr="0049394D" w14:paraId="5F04009E" w14:textId="77777777" w:rsidTr="00243D28">
        <w:trPr>
          <w:trHeight w:val="153"/>
        </w:trPr>
        <w:tc>
          <w:tcPr>
            <w:tcW w:w="1493" w:type="pct"/>
            <w:tcBorders>
              <w:top w:val="nil"/>
              <w:bottom w:val="nil"/>
            </w:tcBorders>
            <w:noWrap/>
          </w:tcPr>
          <w:p w14:paraId="1D657AE7" w14:textId="72758CC1" w:rsidR="00376AA5" w:rsidRPr="0049394D" w:rsidRDefault="00376AA5" w:rsidP="00376AA5">
            <w:pPr>
              <w:pStyle w:val="TableText0"/>
              <w:keepNext w:val="0"/>
              <w:ind w:firstLine="169"/>
              <w:rPr>
                <w:iCs/>
              </w:rPr>
            </w:pPr>
            <w:r w:rsidRPr="0049394D">
              <w:rPr>
                <w:iCs/>
              </w:rPr>
              <w:t>No long-term costs</w:t>
            </w:r>
          </w:p>
        </w:tc>
        <w:tc>
          <w:tcPr>
            <w:tcW w:w="584" w:type="pct"/>
            <w:tcBorders>
              <w:top w:val="nil"/>
              <w:bottom w:val="nil"/>
            </w:tcBorders>
            <w:noWrap/>
            <w:vAlign w:val="center"/>
          </w:tcPr>
          <w:p w14:paraId="5928BC58" w14:textId="3610B7DC"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17"/>
                <w14:textFill>
                  <w14:solidFill>
                    <w14:srgbClr w14:val="000000">
                      <w14:alpha w14:val="100000"/>
                    </w14:srgbClr>
                  </w14:solidFill>
                </w14:textFill>
              </w:rPr>
              <w:t>|</w:t>
            </w:r>
            <w:r w:rsidRPr="00501C36">
              <w:rPr>
                <w:iCs/>
                <w:color w:val="000000"/>
                <w:spacing w:val="1"/>
                <w:shd w:val="solid" w:color="000000" w:fill="000000"/>
                <w:fitText w:val="165" w:id="-893684217"/>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0ACE604D" w14:textId="00A508E2"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6"/>
                <w14:textFill>
                  <w14:solidFill>
                    <w14:srgbClr w14:val="000000">
                      <w14:alpha w14:val="100000"/>
                    </w14:srgbClr>
                  </w14:solidFill>
                </w14:textFill>
              </w:rPr>
              <w:t>|</w:t>
            </w:r>
            <w:r w:rsidRPr="00501C36">
              <w:rPr>
                <w:iCs/>
                <w:color w:val="000000"/>
                <w:spacing w:val="1"/>
                <w:shd w:val="solid" w:color="000000" w:fill="000000"/>
                <w:fitText w:val="195" w:id="-893684216"/>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2A5125C4" w14:textId="18176756"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15"/>
                <w14:textFill>
                  <w14:solidFill>
                    <w14:srgbClr w14:val="000000">
                      <w14:alpha w14:val="100000"/>
                    </w14:srgbClr>
                  </w14:solidFill>
                </w14:textFill>
              </w:rPr>
              <w:t>|</w:t>
            </w:r>
            <w:r w:rsidRPr="00501C36">
              <w:rPr>
                <w:iCs/>
                <w:color w:val="000000"/>
                <w:spacing w:val="1"/>
                <w:shd w:val="solid" w:color="000000" w:fill="000000"/>
                <w:fitText w:val="165" w:id="-893684215"/>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0622A819" w14:textId="6D31DDEE"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4"/>
                <w14:textFill>
                  <w14:solidFill>
                    <w14:srgbClr w14:val="000000">
                      <w14:alpha w14:val="100000"/>
                    </w14:srgbClr>
                  </w14:solidFill>
                </w14:textFill>
              </w:rPr>
              <w:t>|</w:t>
            </w:r>
            <w:r w:rsidRPr="00501C36">
              <w:rPr>
                <w:iCs/>
                <w:color w:val="000000"/>
                <w:spacing w:val="1"/>
                <w:shd w:val="solid" w:color="000000" w:fill="000000"/>
                <w:fitText w:val="195" w:id="-893684214"/>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7A977D07" w14:textId="2BFB6A66"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13"/>
                <w14:textFill>
                  <w14:solidFill>
                    <w14:srgbClr w14:val="000000">
                      <w14:alpha w14:val="100000"/>
                    </w14:srgbClr>
                  </w14:solidFill>
                </w14:textFill>
              </w:rPr>
              <w:t>|</w:t>
            </w:r>
            <w:r w:rsidRPr="00501C36">
              <w:rPr>
                <w:iCs/>
                <w:color w:val="000000"/>
                <w:spacing w:val="1"/>
                <w:shd w:val="solid" w:color="000000" w:fill="000000"/>
                <w:fitText w:val="165" w:id="-893684213"/>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20A46D5B" w14:textId="2FFB2BD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2"/>
                <w14:textFill>
                  <w14:solidFill>
                    <w14:srgbClr w14:val="000000">
                      <w14:alpha w14:val="100000"/>
                    </w14:srgbClr>
                  </w14:solidFill>
                </w14:textFill>
              </w:rPr>
              <w:t>|</w:t>
            </w:r>
            <w:r w:rsidRPr="00501C36">
              <w:rPr>
                <w:iCs/>
                <w:color w:val="000000"/>
                <w:spacing w:val="1"/>
                <w:shd w:val="solid" w:color="000000" w:fill="000000"/>
                <w:fitText w:val="195" w:id="-893684212"/>
                <w14:textFill>
                  <w14:solidFill>
                    <w14:srgbClr w14:val="000000">
                      <w14:alpha w14:val="100000"/>
                    </w14:srgbClr>
                  </w14:solidFill>
                </w14:textFill>
              </w:rPr>
              <w:t>|</w:t>
            </w:r>
            <w:r w:rsidRPr="0049394D">
              <w:rPr>
                <w:iCs/>
              </w:rPr>
              <w:t>%</w:t>
            </w:r>
          </w:p>
        </w:tc>
      </w:tr>
      <w:tr w:rsidR="00376AA5" w:rsidRPr="0049394D" w14:paraId="11FDAB7E" w14:textId="77777777" w:rsidTr="00243D28">
        <w:trPr>
          <w:trHeight w:val="300"/>
        </w:trPr>
        <w:tc>
          <w:tcPr>
            <w:tcW w:w="1493" w:type="pct"/>
            <w:tcBorders>
              <w:top w:val="nil"/>
              <w:bottom w:val="nil"/>
            </w:tcBorders>
            <w:noWrap/>
          </w:tcPr>
          <w:p w14:paraId="37988EF5" w14:textId="77777777" w:rsidR="00376AA5" w:rsidRPr="0049394D" w:rsidRDefault="00376AA5" w:rsidP="00376AA5">
            <w:pPr>
              <w:pStyle w:val="TableText0"/>
              <w:keepNext w:val="0"/>
              <w:ind w:left="169"/>
              <w:rPr>
                <w:iCs/>
              </w:rPr>
            </w:pPr>
            <w:r w:rsidRPr="0049394D">
              <w:rPr>
                <w:iCs/>
              </w:rPr>
              <w:t>No ‘other’ tumour surgery and complication costs</w:t>
            </w:r>
          </w:p>
        </w:tc>
        <w:tc>
          <w:tcPr>
            <w:tcW w:w="584" w:type="pct"/>
            <w:tcBorders>
              <w:top w:val="nil"/>
              <w:bottom w:val="nil"/>
            </w:tcBorders>
            <w:noWrap/>
            <w:vAlign w:val="center"/>
          </w:tcPr>
          <w:p w14:paraId="72B11382" w14:textId="041F18B6"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11"/>
                <w14:textFill>
                  <w14:solidFill>
                    <w14:srgbClr w14:val="000000">
                      <w14:alpha w14:val="100000"/>
                    </w14:srgbClr>
                  </w14:solidFill>
                </w14:textFill>
              </w:rPr>
              <w:t>|</w:t>
            </w:r>
            <w:r w:rsidRPr="00501C36">
              <w:rPr>
                <w:iCs/>
                <w:color w:val="000000"/>
                <w:spacing w:val="1"/>
                <w:shd w:val="solid" w:color="000000" w:fill="000000"/>
                <w:fitText w:val="165" w:id="-893684211"/>
                <w14:textFill>
                  <w14:solidFill>
                    <w14:srgbClr w14:val="000000">
                      <w14:alpha w14:val="100000"/>
                    </w14:srgbClr>
                  </w14:solidFill>
                </w14:textFill>
              </w:rPr>
              <w:t>|</w:t>
            </w:r>
            <w:r w:rsidRPr="003F0AD1">
              <w:rPr>
                <w:iCs/>
                <w:vertAlign w:val="superscript"/>
              </w:rPr>
              <w:t>3</w:t>
            </w:r>
          </w:p>
        </w:tc>
        <w:tc>
          <w:tcPr>
            <w:tcW w:w="585" w:type="pct"/>
            <w:tcBorders>
              <w:top w:val="nil"/>
              <w:bottom w:val="nil"/>
            </w:tcBorders>
            <w:noWrap/>
            <w:vAlign w:val="center"/>
          </w:tcPr>
          <w:p w14:paraId="0E465F83" w14:textId="592FA104"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0"/>
                <w14:textFill>
                  <w14:solidFill>
                    <w14:srgbClr w14:val="000000">
                      <w14:alpha w14:val="100000"/>
                    </w14:srgbClr>
                  </w14:solidFill>
                </w14:textFill>
              </w:rPr>
              <w:t>|</w:t>
            </w:r>
            <w:r w:rsidRPr="00501C36">
              <w:rPr>
                <w:iCs/>
                <w:color w:val="000000"/>
                <w:spacing w:val="1"/>
                <w:shd w:val="solid" w:color="000000" w:fill="000000"/>
                <w:fitText w:val="195" w:id="-893684210"/>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3CCACCAD" w14:textId="57940650"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09"/>
                <w14:textFill>
                  <w14:solidFill>
                    <w14:srgbClr w14:val="000000">
                      <w14:alpha w14:val="100000"/>
                    </w14:srgbClr>
                  </w14:solidFill>
                </w14:textFill>
              </w:rPr>
              <w:t>|</w:t>
            </w:r>
            <w:r w:rsidRPr="00501C36">
              <w:rPr>
                <w:iCs/>
                <w:color w:val="000000"/>
                <w:spacing w:val="1"/>
                <w:shd w:val="solid" w:color="000000" w:fill="000000"/>
                <w:fitText w:val="165" w:id="-893684209"/>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4B1AE981" w14:textId="5B2745F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08"/>
                <w14:textFill>
                  <w14:solidFill>
                    <w14:srgbClr w14:val="000000">
                      <w14:alpha w14:val="100000"/>
                    </w14:srgbClr>
                  </w14:solidFill>
                </w14:textFill>
              </w:rPr>
              <w:t>|</w:t>
            </w:r>
            <w:r w:rsidRPr="00501C36">
              <w:rPr>
                <w:iCs/>
                <w:color w:val="000000"/>
                <w:spacing w:val="1"/>
                <w:shd w:val="solid" w:color="000000" w:fill="000000"/>
                <w:fitText w:val="195" w:id="-893684208"/>
                <w14:textFill>
                  <w14:solidFill>
                    <w14:srgbClr w14:val="000000">
                      <w14:alpha w14:val="100000"/>
                    </w14:srgbClr>
                  </w14:solidFill>
                </w14:textFill>
              </w:rPr>
              <w:t>|</w:t>
            </w:r>
            <w:r w:rsidRPr="0049394D">
              <w:rPr>
                <w:iCs/>
              </w:rPr>
              <w:t>%</w:t>
            </w:r>
          </w:p>
        </w:tc>
        <w:tc>
          <w:tcPr>
            <w:tcW w:w="584" w:type="pct"/>
            <w:tcBorders>
              <w:top w:val="nil"/>
              <w:bottom w:val="nil"/>
            </w:tcBorders>
            <w:vAlign w:val="center"/>
          </w:tcPr>
          <w:p w14:paraId="627CDFD7" w14:textId="27D68384"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24"/>
                <w14:textFill>
                  <w14:solidFill>
                    <w14:srgbClr w14:val="000000">
                      <w14:alpha w14:val="100000"/>
                    </w14:srgbClr>
                  </w14:solidFill>
                </w14:textFill>
              </w:rPr>
              <w:t>|</w:t>
            </w:r>
            <w:r w:rsidRPr="00501C36">
              <w:rPr>
                <w:iCs/>
                <w:color w:val="000000"/>
                <w:spacing w:val="1"/>
                <w:shd w:val="solid" w:color="000000" w:fill="000000"/>
                <w:fitText w:val="165" w:id="-893684224"/>
                <w14:textFill>
                  <w14:solidFill>
                    <w14:srgbClr w14:val="000000">
                      <w14:alpha w14:val="100000"/>
                    </w14:srgbClr>
                  </w14:solidFill>
                </w14:textFill>
              </w:rPr>
              <w:t>|</w:t>
            </w:r>
            <w:r w:rsidRPr="003F0AD1">
              <w:rPr>
                <w:iCs/>
                <w:vertAlign w:val="superscript"/>
              </w:rPr>
              <w:t>1</w:t>
            </w:r>
          </w:p>
        </w:tc>
        <w:tc>
          <w:tcPr>
            <w:tcW w:w="585" w:type="pct"/>
            <w:tcBorders>
              <w:top w:val="nil"/>
              <w:bottom w:val="nil"/>
            </w:tcBorders>
            <w:vAlign w:val="center"/>
          </w:tcPr>
          <w:p w14:paraId="6BA41D1C" w14:textId="1F0B3BC0"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23"/>
                <w14:textFill>
                  <w14:solidFill>
                    <w14:srgbClr w14:val="000000">
                      <w14:alpha w14:val="100000"/>
                    </w14:srgbClr>
                  </w14:solidFill>
                </w14:textFill>
              </w:rPr>
              <w:t>|</w:t>
            </w:r>
            <w:r w:rsidRPr="00501C36">
              <w:rPr>
                <w:iCs/>
                <w:color w:val="000000"/>
                <w:spacing w:val="1"/>
                <w:shd w:val="solid" w:color="000000" w:fill="000000"/>
                <w:fitText w:val="195" w:id="-893684223"/>
                <w14:textFill>
                  <w14:solidFill>
                    <w14:srgbClr w14:val="000000">
                      <w14:alpha w14:val="100000"/>
                    </w14:srgbClr>
                  </w14:solidFill>
                </w14:textFill>
              </w:rPr>
              <w:t>|</w:t>
            </w:r>
            <w:r w:rsidRPr="0049394D">
              <w:rPr>
                <w:iCs/>
              </w:rPr>
              <w:t>%</w:t>
            </w:r>
          </w:p>
        </w:tc>
      </w:tr>
      <w:tr w:rsidR="00376AA5" w:rsidRPr="0049394D" w14:paraId="3737FB95" w14:textId="77777777" w:rsidTr="00243D28">
        <w:trPr>
          <w:trHeight w:val="300"/>
        </w:trPr>
        <w:tc>
          <w:tcPr>
            <w:tcW w:w="1493" w:type="pct"/>
            <w:tcBorders>
              <w:top w:val="nil"/>
              <w:bottom w:val="single" w:sz="4" w:space="0" w:color="auto"/>
            </w:tcBorders>
            <w:noWrap/>
          </w:tcPr>
          <w:p w14:paraId="4BA8BF0A" w14:textId="77777777" w:rsidR="00376AA5" w:rsidRPr="0049394D" w:rsidRDefault="00376AA5" w:rsidP="00376AA5">
            <w:pPr>
              <w:pStyle w:val="TableText0"/>
              <w:keepNext w:val="0"/>
              <w:ind w:left="169"/>
              <w:rPr>
                <w:iCs/>
              </w:rPr>
            </w:pPr>
            <w:r w:rsidRPr="0049394D">
              <w:rPr>
                <w:iCs/>
              </w:rPr>
              <w:t>No ‘other’ tumour surgery and complication disutilities</w:t>
            </w:r>
          </w:p>
        </w:tc>
        <w:tc>
          <w:tcPr>
            <w:tcW w:w="584" w:type="pct"/>
            <w:tcBorders>
              <w:top w:val="nil"/>
              <w:bottom w:val="single" w:sz="4" w:space="0" w:color="auto"/>
            </w:tcBorders>
            <w:noWrap/>
            <w:vAlign w:val="center"/>
          </w:tcPr>
          <w:p w14:paraId="23B5BA4D" w14:textId="5817CCE8"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22"/>
                <w14:textFill>
                  <w14:solidFill>
                    <w14:srgbClr w14:val="000000">
                      <w14:alpha w14:val="100000"/>
                    </w14:srgbClr>
                  </w14:solidFill>
                </w14:textFill>
              </w:rPr>
              <w:t>|</w:t>
            </w:r>
            <w:r w:rsidRPr="00501C36">
              <w:rPr>
                <w:iCs/>
                <w:color w:val="000000"/>
                <w:spacing w:val="1"/>
                <w:shd w:val="solid" w:color="000000" w:fill="000000"/>
                <w:fitText w:val="165" w:id="-893684222"/>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noWrap/>
            <w:vAlign w:val="center"/>
          </w:tcPr>
          <w:p w14:paraId="0DB8E362" w14:textId="15DF8A50"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21"/>
                <w14:textFill>
                  <w14:solidFill>
                    <w14:srgbClr w14:val="000000">
                      <w14:alpha w14:val="100000"/>
                    </w14:srgbClr>
                  </w14:solidFill>
                </w14:textFill>
              </w:rPr>
              <w:t>|</w:t>
            </w:r>
            <w:r w:rsidRPr="00501C36">
              <w:rPr>
                <w:iCs/>
                <w:color w:val="000000"/>
                <w:spacing w:val="1"/>
                <w:shd w:val="solid" w:color="000000" w:fill="000000"/>
                <w:fitText w:val="195" w:id="-893684221"/>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08F7DE0D" w14:textId="3A7C39A1"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20"/>
                <w14:textFill>
                  <w14:solidFill>
                    <w14:srgbClr w14:val="000000">
                      <w14:alpha w14:val="100000"/>
                    </w14:srgbClr>
                  </w14:solidFill>
                </w14:textFill>
              </w:rPr>
              <w:t>|</w:t>
            </w:r>
            <w:r w:rsidRPr="00501C36">
              <w:rPr>
                <w:iCs/>
                <w:color w:val="000000"/>
                <w:spacing w:val="1"/>
                <w:shd w:val="solid" w:color="000000" w:fill="000000"/>
                <w:fitText w:val="165" w:id="-893684220"/>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280E5C16" w14:textId="1D50BE42"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9"/>
                <w14:textFill>
                  <w14:solidFill>
                    <w14:srgbClr w14:val="000000">
                      <w14:alpha w14:val="100000"/>
                    </w14:srgbClr>
                  </w14:solidFill>
                </w14:textFill>
              </w:rPr>
              <w:t>|</w:t>
            </w:r>
            <w:r w:rsidRPr="00501C36">
              <w:rPr>
                <w:iCs/>
                <w:color w:val="000000"/>
                <w:spacing w:val="1"/>
                <w:shd w:val="solid" w:color="000000" w:fill="000000"/>
                <w:fitText w:val="195" w:id="-893684219"/>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49EF76C8" w14:textId="2B3A1CC6" w:rsidR="00376AA5" w:rsidRPr="0009066F" w:rsidRDefault="00376AA5" w:rsidP="00376AA5">
            <w:pPr>
              <w:pStyle w:val="TableText0"/>
              <w:keepNext w:val="0"/>
              <w:jc w:val="center"/>
              <w:rPr>
                <w:iCs/>
                <w:highlight w:val="lightGray"/>
              </w:rPr>
            </w:pPr>
            <w:r w:rsidRPr="00501C36">
              <w:rPr>
                <w:iCs/>
                <w:color w:val="000000"/>
                <w:spacing w:val="79"/>
                <w:shd w:val="solid" w:color="000000" w:fill="000000"/>
                <w:fitText w:val="165" w:id="-893684218"/>
                <w14:textFill>
                  <w14:solidFill>
                    <w14:srgbClr w14:val="000000">
                      <w14:alpha w14:val="100000"/>
                    </w14:srgbClr>
                  </w14:solidFill>
                </w14:textFill>
              </w:rPr>
              <w:t>|</w:t>
            </w:r>
            <w:r w:rsidRPr="00501C36">
              <w:rPr>
                <w:iCs/>
                <w:color w:val="000000"/>
                <w:spacing w:val="1"/>
                <w:shd w:val="solid" w:color="000000" w:fill="000000"/>
                <w:fitText w:val="165" w:id="-893684218"/>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02ACB8BE" w14:textId="757FEBF2"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7"/>
                <w14:textFill>
                  <w14:solidFill>
                    <w14:srgbClr w14:val="000000">
                      <w14:alpha w14:val="100000"/>
                    </w14:srgbClr>
                  </w14:solidFill>
                </w14:textFill>
              </w:rPr>
              <w:t>|</w:t>
            </w:r>
            <w:r w:rsidRPr="00501C36">
              <w:rPr>
                <w:iCs/>
                <w:color w:val="000000"/>
                <w:spacing w:val="1"/>
                <w:shd w:val="solid" w:color="000000" w:fill="000000"/>
                <w:fitText w:val="195" w:id="-893684217"/>
                <w14:textFill>
                  <w14:solidFill>
                    <w14:srgbClr w14:val="000000">
                      <w14:alpha w14:val="100000"/>
                    </w14:srgbClr>
                  </w14:solidFill>
                </w14:textFill>
              </w:rPr>
              <w:t>|</w:t>
            </w:r>
            <w:r w:rsidRPr="0049394D">
              <w:rPr>
                <w:iCs/>
              </w:rPr>
              <w:t>%</w:t>
            </w:r>
          </w:p>
        </w:tc>
      </w:tr>
      <w:tr w:rsidR="00376AA5" w:rsidRPr="0049394D" w14:paraId="24E77364" w14:textId="77777777" w:rsidTr="00282F0D">
        <w:trPr>
          <w:trHeight w:val="56"/>
        </w:trPr>
        <w:tc>
          <w:tcPr>
            <w:tcW w:w="5000" w:type="pct"/>
            <w:gridSpan w:val="7"/>
            <w:tcBorders>
              <w:bottom w:val="nil"/>
            </w:tcBorders>
            <w:noWrap/>
          </w:tcPr>
          <w:p w14:paraId="79BB6390" w14:textId="40467C52" w:rsidR="00376AA5" w:rsidRPr="0049394D" w:rsidRDefault="00376AA5" w:rsidP="00376AA5">
            <w:pPr>
              <w:pStyle w:val="TableText0"/>
              <w:keepNext w:val="0"/>
            </w:pPr>
            <w:r w:rsidRPr="0049394D">
              <w:t xml:space="preserve">Health state utilities (base case: health state utilities by response and treatment) </w:t>
            </w:r>
          </w:p>
        </w:tc>
      </w:tr>
      <w:tr w:rsidR="00376AA5" w:rsidRPr="0049394D" w14:paraId="247B8477" w14:textId="77777777" w:rsidTr="00243D28">
        <w:trPr>
          <w:trHeight w:val="66"/>
        </w:trPr>
        <w:tc>
          <w:tcPr>
            <w:tcW w:w="1493" w:type="pct"/>
            <w:tcBorders>
              <w:top w:val="nil"/>
              <w:bottom w:val="single" w:sz="4" w:space="0" w:color="auto"/>
            </w:tcBorders>
            <w:noWrap/>
          </w:tcPr>
          <w:p w14:paraId="5E428257" w14:textId="7FCA699D" w:rsidR="00376AA5" w:rsidRPr="0049394D" w:rsidRDefault="00376AA5" w:rsidP="00376AA5">
            <w:pPr>
              <w:pStyle w:val="TableText0"/>
              <w:keepNext w:val="0"/>
              <w:ind w:left="169"/>
              <w:rPr>
                <w:iCs/>
              </w:rPr>
            </w:pPr>
            <w:r w:rsidRPr="0049394D">
              <w:rPr>
                <w:iCs/>
              </w:rPr>
              <w:t>No treatment benefit for belzutifan</w:t>
            </w:r>
          </w:p>
        </w:tc>
        <w:tc>
          <w:tcPr>
            <w:tcW w:w="584" w:type="pct"/>
            <w:tcBorders>
              <w:top w:val="nil"/>
              <w:bottom w:val="single" w:sz="4" w:space="0" w:color="auto"/>
            </w:tcBorders>
            <w:noWrap/>
            <w:vAlign w:val="center"/>
          </w:tcPr>
          <w:p w14:paraId="388F3A98" w14:textId="251D7778" w:rsidR="00376AA5" w:rsidRPr="0049394D" w:rsidRDefault="00376AA5" w:rsidP="00376AA5">
            <w:pPr>
              <w:pStyle w:val="TableText0"/>
              <w:keepNext w:val="0"/>
              <w:jc w:val="center"/>
              <w:rPr>
                <w:iCs/>
              </w:rPr>
            </w:pPr>
            <w:r w:rsidRPr="00501C36">
              <w:rPr>
                <w:iCs/>
                <w:color w:val="000000"/>
                <w:spacing w:val="79"/>
                <w:shd w:val="solid" w:color="000000" w:fill="000000"/>
                <w:fitText w:val="165" w:id="-893684216"/>
                <w14:textFill>
                  <w14:solidFill>
                    <w14:srgbClr w14:val="000000">
                      <w14:alpha w14:val="100000"/>
                    </w14:srgbClr>
                  </w14:solidFill>
                </w14:textFill>
              </w:rPr>
              <w:t>|</w:t>
            </w:r>
            <w:r w:rsidRPr="00501C36">
              <w:rPr>
                <w:iCs/>
                <w:color w:val="000000"/>
                <w:spacing w:val="1"/>
                <w:shd w:val="solid" w:color="000000" w:fill="000000"/>
                <w:fitText w:val="165" w:id="-893684216"/>
                <w14:textFill>
                  <w14:solidFill>
                    <w14:srgbClr w14:val="000000">
                      <w14:alpha w14:val="100000"/>
                    </w14:srgbClr>
                  </w14:solidFill>
                </w14:textFill>
              </w:rPr>
              <w:t>|</w:t>
            </w:r>
            <w:r w:rsidRPr="003F0AD1">
              <w:rPr>
                <w:iCs/>
                <w:vertAlign w:val="superscript"/>
              </w:rPr>
              <w:t>3</w:t>
            </w:r>
          </w:p>
        </w:tc>
        <w:tc>
          <w:tcPr>
            <w:tcW w:w="585" w:type="pct"/>
            <w:tcBorders>
              <w:top w:val="nil"/>
              <w:bottom w:val="single" w:sz="4" w:space="0" w:color="auto"/>
            </w:tcBorders>
            <w:noWrap/>
            <w:vAlign w:val="center"/>
          </w:tcPr>
          <w:p w14:paraId="69C79DC7" w14:textId="549082EF"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5"/>
                <w14:textFill>
                  <w14:solidFill>
                    <w14:srgbClr w14:val="000000">
                      <w14:alpha w14:val="100000"/>
                    </w14:srgbClr>
                  </w14:solidFill>
                </w14:textFill>
              </w:rPr>
              <w:t>|</w:t>
            </w:r>
            <w:r w:rsidRPr="00501C36">
              <w:rPr>
                <w:iCs/>
                <w:color w:val="000000"/>
                <w:spacing w:val="1"/>
                <w:shd w:val="solid" w:color="000000" w:fill="000000"/>
                <w:fitText w:val="195" w:id="-893684215"/>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29FCBCDA" w14:textId="439C6135" w:rsidR="00376AA5" w:rsidRPr="0049394D" w:rsidRDefault="00376AA5" w:rsidP="00376AA5">
            <w:pPr>
              <w:pStyle w:val="TableText0"/>
              <w:keepNext w:val="0"/>
              <w:jc w:val="center"/>
              <w:rPr>
                <w:iCs/>
              </w:rPr>
            </w:pPr>
            <w:r w:rsidRPr="00501C36">
              <w:rPr>
                <w:iCs/>
                <w:color w:val="000000"/>
                <w:spacing w:val="79"/>
                <w:shd w:val="solid" w:color="000000" w:fill="000000"/>
                <w:fitText w:val="165" w:id="-893684214"/>
                <w14:textFill>
                  <w14:solidFill>
                    <w14:srgbClr w14:val="000000">
                      <w14:alpha w14:val="100000"/>
                    </w14:srgbClr>
                  </w14:solidFill>
                </w14:textFill>
              </w:rPr>
              <w:t>|</w:t>
            </w:r>
            <w:r w:rsidRPr="00501C36">
              <w:rPr>
                <w:iCs/>
                <w:color w:val="000000"/>
                <w:spacing w:val="1"/>
                <w:shd w:val="solid" w:color="000000" w:fill="000000"/>
                <w:fitText w:val="165" w:id="-893684214"/>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5FE5BDB4" w14:textId="337B7478"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3"/>
                <w14:textFill>
                  <w14:solidFill>
                    <w14:srgbClr w14:val="000000">
                      <w14:alpha w14:val="100000"/>
                    </w14:srgbClr>
                  </w14:solidFill>
                </w14:textFill>
              </w:rPr>
              <w:t>|</w:t>
            </w:r>
            <w:r w:rsidRPr="00501C36">
              <w:rPr>
                <w:iCs/>
                <w:color w:val="000000"/>
                <w:spacing w:val="1"/>
                <w:shd w:val="solid" w:color="000000" w:fill="000000"/>
                <w:fitText w:val="195" w:id="-893684213"/>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0BAB7950" w14:textId="7C25703B" w:rsidR="00376AA5" w:rsidRPr="0049394D" w:rsidRDefault="00376AA5" w:rsidP="00376AA5">
            <w:pPr>
              <w:pStyle w:val="TableText0"/>
              <w:keepNext w:val="0"/>
              <w:jc w:val="center"/>
              <w:rPr>
                <w:iCs/>
              </w:rPr>
            </w:pPr>
            <w:r w:rsidRPr="00501C36">
              <w:rPr>
                <w:iCs/>
                <w:color w:val="000000"/>
                <w:spacing w:val="79"/>
                <w:shd w:val="solid" w:color="000000" w:fill="000000"/>
                <w:fitText w:val="165" w:id="-893684212"/>
                <w14:textFill>
                  <w14:solidFill>
                    <w14:srgbClr w14:val="000000">
                      <w14:alpha w14:val="100000"/>
                    </w14:srgbClr>
                  </w14:solidFill>
                </w14:textFill>
              </w:rPr>
              <w:t>|</w:t>
            </w:r>
            <w:r w:rsidRPr="00501C36">
              <w:rPr>
                <w:iCs/>
                <w:color w:val="000000"/>
                <w:spacing w:val="1"/>
                <w:shd w:val="solid" w:color="000000" w:fill="000000"/>
                <w:fitText w:val="165" w:id="-893684212"/>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4C599A26" w14:textId="117AD57A"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11"/>
                <w14:textFill>
                  <w14:solidFill>
                    <w14:srgbClr w14:val="000000">
                      <w14:alpha w14:val="100000"/>
                    </w14:srgbClr>
                  </w14:solidFill>
                </w14:textFill>
              </w:rPr>
              <w:t>|</w:t>
            </w:r>
            <w:r w:rsidRPr="00501C36">
              <w:rPr>
                <w:iCs/>
                <w:color w:val="000000"/>
                <w:spacing w:val="1"/>
                <w:shd w:val="solid" w:color="000000" w:fill="000000"/>
                <w:fitText w:val="195" w:id="-893684211"/>
                <w14:textFill>
                  <w14:solidFill>
                    <w14:srgbClr w14:val="000000">
                      <w14:alpha w14:val="100000"/>
                    </w14:srgbClr>
                  </w14:solidFill>
                </w14:textFill>
              </w:rPr>
              <w:t>|</w:t>
            </w:r>
            <w:r w:rsidRPr="0049394D">
              <w:rPr>
                <w:iCs/>
              </w:rPr>
              <w:t>%</w:t>
            </w:r>
          </w:p>
        </w:tc>
      </w:tr>
      <w:tr w:rsidR="00376AA5" w:rsidRPr="0049394D" w14:paraId="6937968F" w14:textId="77777777" w:rsidTr="0092469F">
        <w:trPr>
          <w:trHeight w:val="66"/>
        </w:trPr>
        <w:tc>
          <w:tcPr>
            <w:tcW w:w="5000" w:type="pct"/>
            <w:gridSpan w:val="7"/>
            <w:tcBorders>
              <w:top w:val="single" w:sz="4" w:space="0" w:color="auto"/>
              <w:bottom w:val="nil"/>
            </w:tcBorders>
            <w:noWrap/>
          </w:tcPr>
          <w:p w14:paraId="60726591" w14:textId="41836421" w:rsidR="00376AA5" w:rsidRPr="0049394D" w:rsidRDefault="00376AA5" w:rsidP="00376AA5">
            <w:pPr>
              <w:pStyle w:val="TableText0"/>
              <w:keepNext w:val="0"/>
              <w:rPr>
                <w:i/>
                <w:iCs/>
              </w:rPr>
            </w:pPr>
            <w:r w:rsidRPr="0049394D">
              <w:t>Adverse events (base case: SAE anaemia (11.5%) and fatigue (4.9%) from Table 12-4 p 104 LS-004 CSR)</w:t>
            </w:r>
          </w:p>
        </w:tc>
      </w:tr>
      <w:tr w:rsidR="00376AA5" w:rsidRPr="0049394D" w14:paraId="0EBB82AC" w14:textId="77777777" w:rsidTr="00243D28">
        <w:trPr>
          <w:trHeight w:val="66"/>
        </w:trPr>
        <w:tc>
          <w:tcPr>
            <w:tcW w:w="1493" w:type="pct"/>
            <w:tcBorders>
              <w:top w:val="nil"/>
              <w:bottom w:val="single" w:sz="4" w:space="0" w:color="auto"/>
            </w:tcBorders>
            <w:noWrap/>
          </w:tcPr>
          <w:p w14:paraId="723ADA76" w14:textId="4B5F8F71" w:rsidR="00376AA5" w:rsidRPr="0049394D" w:rsidRDefault="00376AA5" w:rsidP="00376AA5">
            <w:pPr>
              <w:pStyle w:val="TableText0"/>
              <w:keepNext w:val="0"/>
              <w:ind w:firstLine="169"/>
              <w:rPr>
                <w:iCs/>
              </w:rPr>
            </w:pPr>
            <w:r w:rsidRPr="0049394D">
              <w:rPr>
                <w:iCs/>
              </w:rPr>
              <w:t>Any anaemia or fatigue</w:t>
            </w:r>
            <w:r w:rsidRPr="0049394D">
              <w:rPr>
                <w:iCs/>
                <w:vertAlign w:val="superscript"/>
              </w:rPr>
              <w:t>j</w:t>
            </w:r>
          </w:p>
        </w:tc>
        <w:tc>
          <w:tcPr>
            <w:tcW w:w="584" w:type="pct"/>
            <w:tcBorders>
              <w:top w:val="nil"/>
              <w:bottom w:val="single" w:sz="4" w:space="0" w:color="auto"/>
            </w:tcBorders>
            <w:noWrap/>
            <w:vAlign w:val="center"/>
          </w:tcPr>
          <w:p w14:paraId="56DBDFDF" w14:textId="3D1E98C3" w:rsidR="00376AA5" w:rsidRPr="0049394D" w:rsidRDefault="00376AA5" w:rsidP="00376AA5">
            <w:pPr>
              <w:pStyle w:val="TableText0"/>
              <w:keepNext w:val="0"/>
              <w:jc w:val="center"/>
              <w:rPr>
                <w:iCs/>
              </w:rPr>
            </w:pPr>
            <w:r w:rsidRPr="00501C36">
              <w:rPr>
                <w:iCs/>
                <w:color w:val="000000"/>
                <w:spacing w:val="79"/>
                <w:shd w:val="solid" w:color="000000" w:fill="000000"/>
                <w:fitText w:val="165" w:id="-893684210"/>
                <w14:textFill>
                  <w14:solidFill>
                    <w14:srgbClr w14:val="000000">
                      <w14:alpha w14:val="100000"/>
                    </w14:srgbClr>
                  </w14:solidFill>
                </w14:textFill>
              </w:rPr>
              <w:t>|</w:t>
            </w:r>
            <w:r w:rsidRPr="00501C36">
              <w:rPr>
                <w:iCs/>
                <w:color w:val="000000"/>
                <w:spacing w:val="1"/>
                <w:shd w:val="solid" w:color="000000" w:fill="000000"/>
                <w:fitText w:val="165" w:id="-893684210"/>
                <w14:textFill>
                  <w14:solidFill>
                    <w14:srgbClr w14:val="000000">
                      <w14:alpha w14:val="100000"/>
                    </w14:srgbClr>
                  </w14:solidFill>
                </w14:textFill>
              </w:rPr>
              <w:t>|</w:t>
            </w:r>
            <w:r w:rsidRPr="0009066F">
              <w:rPr>
                <w:iCs/>
                <w:vertAlign w:val="superscript"/>
              </w:rPr>
              <w:t>1</w:t>
            </w:r>
          </w:p>
        </w:tc>
        <w:tc>
          <w:tcPr>
            <w:tcW w:w="585" w:type="pct"/>
            <w:tcBorders>
              <w:top w:val="nil"/>
              <w:bottom w:val="single" w:sz="4" w:space="0" w:color="auto"/>
            </w:tcBorders>
            <w:noWrap/>
            <w:vAlign w:val="center"/>
          </w:tcPr>
          <w:p w14:paraId="4C28435B" w14:textId="153C005B"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09"/>
                <w14:textFill>
                  <w14:solidFill>
                    <w14:srgbClr w14:val="000000">
                      <w14:alpha w14:val="100000"/>
                    </w14:srgbClr>
                  </w14:solidFill>
                </w14:textFill>
              </w:rPr>
              <w:t>|</w:t>
            </w:r>
            <w:r w:rsidRPr="00501C36">
              <w:rPr>
                <w:iCs/>
                <w:color w:val="000000"/>
                <w:spacing w:val="1"/>
                <w:shd w:val="solid" w:color="000000" w:fill="000000"/>
                <w:fitText w:val="195" w:id="-893684209"/>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3FACCFA1" w14:textId="58C5763D" w:rsidR="00376AA5" w:rsidRPr="0049394D" w:rsidRDefault="00376AA5" w:rsidP="00376AA5">
            <w:pPr>
              <w:pStyle w:val="TableText0"/>
              <w:keepNext w:val="0"/>
              <w:jc w:val="center"/>
              <w:rPr>
                <w:iCs/>
              </w:rPr>
            </w:pPr>
            <w:r w:rsidRPr="00501C36">
              <w:rPr>
                <w:iCs/>
                <w:color w:val="000000"/>
                <w:spacing w:val="79"/>
                <w:shd w:val="solid" w:color="000000" w:fill="000000"/>
                <w:fitText w:val="165" w:id="-893684208"/>
                <w14:textFill>
                  <w14:solidFill>
                    <w14:srgbClr w14:val="000000">
                      <w14:alpha w14:val="100000"/>
                    </w14:srgbClr>
                  </w14:solidFill>
                </w14:textFill>
              </w:rPr>
              <w:t>|</w:t>
            </w:r>
            <w:r w:rsidRPr="00501C36">
              <w:rPr>
                <w:iCs/>
                <w:color w:val="000000"/>
                <w:spacing w:val="1"/>
                <w:shd w:val="solid" w:color="000000" w:fill="000000"/>
                <w:fitText w:val="165" w:id="-893684208"/>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63A61799" w14:textId="3723EC33"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24"/>
                <w14:textFill>
                  <w14:solidFill>
                    <w14:srgbClr w14:val="000000">
                      <w14:alpha w14:val="100000"/>
                    </w14:srgbClr>
                  </w14:solidFill>
                </w14:textFill>
              </w:rPr>
              <w:t>|</w:t>
            </w:r>
            <w:r w:rsidRPr="00501C36">
              <w:rPr>
                <w:iCs/>
                <w:color w:val="000000"/>
                <w:spacing w:val="1"/>
                <w:shd w:val="solid" w:color="000000" w:fill="000000"/>
                <w:fitText w:val="195" w:id="-893684224"/>
                <w14:textFill>
                  <w14:solidFill>
                    <w14:srgbClr w14:val="000000">
                      <w14:alpha w14:val="100000"/>
                    </w14:srgbClr>
                  </w14:solidFill>
                </w14:textFill>
              </w:rPr>
              <w:t>|</w:t>
            </w:r>
            <w:r w:rsidRPr="0049394D">
              <w:rPr>
                <w:iCs/>
              </w:rPr>
              <w:t>%</w:t>
            </w:r>
          </w:p>
        </w:tc>
        <w:tc>
          <w:tcPr>
            <w:tcW w:w="584" w:type="pct"/>
            <w:tcBorders>
              <w:top w:val="nil"/>
              <w:bottom w:val="single" w:sz="4" w:space="0" w:color="auto"/>
            </w:tcBorders>
            <w:vAlign w:val="center"/>
          </w:tcPr>
          <w:p w14:paraId="75E426B0" w14:textId="3422E546" w:rsidR="00376AA5" w:rsidRPr="0049394D" w:rsidRDefault="00376AA5" w:rsidP="00376AA5">
            <w:pPr>
              <w:pStyle w:val="TableText0"/>
              <w:keepNext w:val="0"/>
              <w:jc w:val="center"/>
              <w:rPr>
                <w:iCs/>
              </w:rPr>
            </w:pPr>
            <w:r w:rsidRPr="00501C36">
              <w:rPr>
                <w:iCs/>
                <w:color w:val="000000"/>
                <w:spacing w:val="79"/>
                <w:shd w:val="solid" w:color="000000" w:fill="000000"/>
                <w:fitText w:val="165" w:id="-893684223"/>
                <w14:textFill>
                  <w14:solidFill>
                    <w14:srgbClr w14:val="000000">
                      <w14:alpha w14:val="100000"/>
                    </w14:srgbClr>
                  </w14:solidFill>
                </w14:textFill>
              </w:rPr>
              <w:t>|</w:t>
            </w:r>
            <w:r w:rsidRPr="00501C36">
              <w:rPr>
                <w:iCs/>
                <w:color w:val="000000"/>
                <w:spacing w:val="1"/>
                <w:shd w:val="solid" w:color="000000" w:fill="000000"/>
                <w:fitText w:val="165" w:id="-893684223"/>
                <w14:textFill>
                  <w14:solidFill>
                    <w14:srgbClr w14:val="000000">
                      <w14:alpha w14:val="100000"/>
                    </w14:srgbClr>
                  </w14:solidFill>
                </w14:textFill>
              </w:rPr>
              <w:t>|</w:t>
            </w:r>
            <w:r w:rsidRPr="003F0AD1">
              <w:rPr>
                <w:iCs/>
                <w:vertAlign w:val="superscript"/>
              </w:rPr>
              <w:t>1</w:t>
            </w:r>
          </w:p>
        </w:tc>
        <w:tc>
          <w:tcPr>
            <w:tcW w:w="585" w:type="pct"/>
            <w:tcBorders>
              <w:top w:val="nil"/>
              <w:bottom w:val="single" w:sz="4" w:space="0" w:color="auto"/>
            </w:tcBorders>
            <w:vAlign w:val="center"/>
          </w:tcPr>
          <w:p w14:paraId="4CAD3389" w14:textId="26A55FEC" w:rsidR="00376AA5" w:rsidRPr="0049394D" w:rsidRDefault="00376AA5" w:rsidP="00376AA5">
            <w:pPr>
              <w:pStyle w:val="TableText0"/>
              <w:keepNext w:val="0"/>
              <w:jc w:val="center"/>
              <w:rPr>
                <w:iCs/>
              </w:rPr>
            </w:pPr>
            <w:r w:rsidRPr="00501C36">
              <w:rPr>
                <w:iCs/>
                <w:color w:val="000000"/>
                <w:spacing w:val="109"/>
                <w:shd w:val="solid" w:color="000000" w:fill="000000"/>
                <w:fitText w:val="195" w:id="-893684222"/>
                <w14:textFill>
                  <w14:solidFill>
                    <w14:srgbClr w14:val="000000">
                      <w14:alpha w14:val="100000"/>
                    </w14:srgbClr>
                  </w14:solidFill>
                </w14:textFill>
              </w:rPr>
              <w:t>|</w:t>
            </w:r>
            <w:r w:rsidRPr="00501C36">
              <w:rPr>
                <w:iCs/>
                <w:color w:val="000000"/>
                <w:spacing w:val="1"/>
                <w:shd w:val="solid" w:color="000000" w:fill="000000"/>
                <w:fitText w:val="195" w:id="-893684222"/>
                <w14:textFill>
                  <w14:solidFill>
                    <w14:srgbClr w14:val="000000">
                      <w14:alpha w14:val="100000"/>
                    </w14:srgbClr>
                  </w14:solidFill>
                </w14:textFill>
              </w:rPr>
              <w:t>|</w:t>
            </w:r>
            <w:r w:rsidRPr="0049394D">
              <w:rPr>
                <w:iCs/>
              </w:rPr>
              <w:t>%</w:t>
            </w:r>
          </w:p>
        </w:tc>
      </w:tr>
    </w:tbl>
    <w:p w14:paraId="603D290C" w14:textId="26D7E19A" w:rsidR="00E20F5E" w:rsidRPr="0049394D" w:rsidRDefault="00E20F5E" w:rsidP="00E20F5E">
      <w:pPr>
        <w:pStyle w:val="TableFigureFooter"/>
        <w:rPr>
          <w:iCs/>
        </w:rPr>
      </w:pPr>
      <w:r w:rsidRPr="0049394D">
        <w:t xml:space="preserve">Source: Table 3.9-1 of the submission and </w:t>
      </w:r>
      <w:r w:rsidRPr="0049394D">
        <w:rPr>
          <w:iCs/>
        </w:rPr>
        <w:t>compiled during the evaluation</w:t>
      </w:r>
    </w:p>
    <w:p w14:paraId="42F6A8E9" w14:textId="1FBB894B" w:rsidR="008930FD" w:rsidRPr="0049394D" w:rsidRDefault="008930FD" w:rsidP="00E20F5E">
      <w:pPr>
        <w:pStyle w:val="TableFigureFooter"/>
      </w:pPr>
      <w:r w:rsidRPr="0049394D">
        <w:t>ICER=incremental cost-effectiveness ratio, SAE=serious adverse event, AS=active surveillance, BEL=belzutifan</w:t>
      </w:r>
    </w:p>
    <w:p w14:paraId="255C9B3C" w14:textId="77777777" w:rsidR="00E20F5E" w:rsidRPr="0049394D" w:rsidRDefault="00E20F5E" w:rsidP="00E20F5E">
      <w:pPr>
        <w:pStyle w:val="TableFigureFooter"/>
        <w:ind w:left="165" w:hanging="165"/>
        <w:rPr>
          <w:iCs/>
        </w:rPr>
      </w:pPr>
      <w:r w:rsidRPr="0049394D">
        <w:rPr>
          <w:iCs/>
        </w:rPr>
        <w:t>a</w:t>
      </w:r>
      <w:r w:rsidRPr="0049394D">
        <w:rPr>
          <w:iCs/>
        </w:rPr>
        <w:tab/>
        <w:t>Note changing this distribution doesn’t change treatment benefit for further surgeries, metastases or death, which are always based on hazard ratio of the exponential distributions</w:t>
      </w:r>
    </w:p>
    <w:p w14:paraId="6CBC1985" w14:textId="77777777" w:rsidR="00E20F5E" w:rsidRPr="0049394D" w:rsidRDefault="00E20F5E" w:rsidP="00E20F5E">
      <w:pPr>
        <w:pStyle w:val="TableFigureFooter"/>
        <w:rPr>
          <w:iCs/>
        </w:rPr>
      </w:pPr>
      <w:r w:rsidRPr="0049394D">
        <w:rPr>
          <w:iCs/>
        </w:rPr>
        <w:t>b</w:t>
      </w:r>
      <w:r w:rsidRPr="0049394D">
        <w:rPr>
          <w:iCs/>
        </w:rPr>
        <w:tab/>
        <w:t>Gompertz was best statistical fit for BEL+AS KM data and 2</w:t>
      </w:r>
      <w:r w:rsidRPr="0049394D">
        <w:rPr>
          <w:iCs/>
          <w:vertAlign w:val="superscript"/>
        </w:rPr>
        <w:t>nd</w:t>
      </w:r>
      <w:r w:rsidRPr="0049394D">
        <w:rPr>
          <w:iCs/>
        </w:rPr>
        <w:t>/3</w:t>
      </w:r>
      <w:r w:rsidRPr="0049394D">
        <w:rPr>
          <w:iCs/>
          <w:vertAlign w:val="superscript"/>
        </w:rPr>
        <w:t>rd</w:t>
      </w:r>
      <w:r w:rsidRPr="0049394D">
        <w:rPr>
          <w:iCs/>
        </w:rPr>
        <w:t xml:space="preserve"> best fit of AS KM data in RCC and CNS Hb models</w:t>
      </w:r>
    </w:p>
    <w:p w14:paraId="072C0386" w14:textId="77777777" w:rsidR="00E20F5E" w:rsidRPr="0049394D" w:rsidRDefault="00E20F5E" w:rsidP="00E20F5E">
      <w:pPr>
        <w:pStyle w:val="TableFigureFooter"/>
        <w:rPr>
          <w:iCs/>
        </w:rPr>
      </w:pPr>
      <w:r w:rsidRPr="0049394D">
        <w:rPr>
          <w:iCs/>
        </w:rPr>
        <w:t>c</w:t>
      </w:r>
      <w:r w:rsidRPr="0049394D">
        <w:rPr>
          <w:iCs/>
        </w:rPr>
        <w:tab/>
        <w:t>log normal lowest AIC for AS arm of CNS Hb model and 2</w:t>
      </w:r>
      <w:r w:rsidRPr="0049394D">
        <w:rPr>
          <w:iCs/>
          <w:vertAlign w:val="superscript"/>
        </w:rPr>
        <w:t>nd</w:t>
      </w:r>
      <w:r w:rsidRPr="0049394D">
        <w:rPr>
          <w:iCs/>
        </w:rPr>
        <w:t xml:space="preserve"> lowest AIC/BIC for pNET model AS arm (but worst statistical fit for AS arm of RCC model)</w:t>
      </w:r>
    </w:p>
    <w:p w14:paraId="3E8FD710" w14:textId="77777777" w:rsidR="00E20F5E" w:rsidRPr="0049394D" w:rsidRDefault="00E20F5E" w:rsidP="00E20F5E">
      <w:pPr>
        <w:pStyle w:val="TableFigureFooter"/>
        <w:rPr>
          <w:iCs/>
        </w:rPr>
      </w:pPr>
      <w:r w:rsidRPr="0049394D">
        <w:rPr>
          <w:iCs/>
        </w:rPr>
        <w:t>d</w:t>
      </w:r>
      <w:r w:rsidRPr="0049394D">
        <w:rPr>
          <w:iCs/>
        </w:rPr>
        <w:tab/>
        <w:t>RCC model: BEL+AS=Gompertz, AS=exponential; CNS Hb model: BEL+AS=Gompertz, AS=exponential; pNET model: AS=exponential</w:t>
      </w:r>
    </w:p>
    <w:p w14:paraId="2F3A612C" w14:textId="77777777" w:rsidR="00E20F5E" w:rsidRPr="0049394D" w:rsidRDefault="00E20F5E" w:rsidP="00E20F5E">
      <w:pPr>
        <w:pStyle w:val="TableFigureFooter"/>
        <w:rPr>
          <w:iCs/>
        </w:rPr>
      </w:pPr>
      <w:r w:rsidRPr="0049394D">
        <w:rPr>
          <w:iCs/>
        </w:rPr>
        <w:t>e</w:t>
      </w:r>
      <w:r w:rsidRPr="0049394D">
        <w:rPr>
          <w:iCs/>
        </w:rPr>
        <w:tab/>
        <w:t>RCC model BEL+AS=0.0012, AS=0.0055; CNS Hb model BEL+AS=0.0003, AS=0.0026; pNET model AS=0.0004</w:t>
      </w:r>
    </w:p>
    <w:p w14:paraId="6DAE9F16" w14:textId="77777777" w:rsidR="00E20F5E" w:rsidRPr="0049394D" w:rsidRDefault="00E20F5E" w:rsidP="00E20F5E">
      <w:pPr>
        <w:pStyle w:val="TableFigureFooter"/>
        <w:rPr>
          <w:iCs/>
        </w:rPr>
      </w:pPr>
      <w:r w:rsidRPr="0049394D">
        <w:rPr>
          <w:iCs/>
        </w:rPr>
        <w:t>f</w:t>
      </w:r>
      <w:r w:rsidRPr="0049394D">
        <w:rPr>
          <w:iCs/>
        </w:rPr>
        <w:tab/>
        <w:t>RCC model BEL+AS=0.0002, AS=0.0042; CNS Hb model BEL+AS=-0.0001, AS=0.0014; pNET model AS=0.0000</w:t>
      </w:r>
    </w:p>
    <w:p w14:paraId="5F1A017B" w14:textId="77777777" w:rsidR="00E20F5E" w:rsidRPr="0049394D" w:rsidRDefault="00E20F5E" w:rsidP="00E20F5E">
      <w:pPr>
        <w:pStyle w:val="TableFigureFooter"/>
        <w:rPr>
          <w:iCs/>
        </w:rPr>
      </w:pPr>
      <w:r w:rsidRPr="0049394D">
        <w:rPr>
          <w:iCs/>
        </w:rPr>
        <w:t>g</w:t>
      </w:r>
      <w:r w:rsidRPr="0049394D">
        <w:rPr>
          <w:iCs/>
        </w:rPr>
        <w:tab/>
        <w:t>Upper 95% CI for AS, lower 95%CI for BEL+AS arms</w:t>
      </w:r>
    </w:p>
    <w:p w14:paraId="03B7BA82" w14:textId="77777777" w:rsidR="00E20F5E" w:rsidRPr="0049394D" w:rsidRDefault="00E20F5E" w:rsidP="00E20F5E">
      <w:pPr>
        <w:pStyle w:val="TableFigureFooter"/>
        <w:rPr>
          <w:iCs/>
        </w:rPr>
      </w:pPr>
      <w:r w:rsidRPr="0049394D">
        <w:rPr>
          <w:iCs/>
        </w:rPr>
        <w:t>h</w:t>
      </w:r>
      <w:r w:rsidRPr="0049394D">
        <w:rPr>
          <w:iCs/>
        </w:rPr>
        <w:tab/>
        <w:t>Lower 95% CI for AS, upper 95%CI for BEL+AS arms</w:t>
      </w:r>
    </w:p>
    <w:p w14:paraId="3A7AB324" w14:textId="14CCD677" w:rsidR="00E20F5E" w:rsidRPr="0049394D" w:rsidRDefault="00E20F5E" w:rsidP="008573AB">
      <w:pPr>
        <w:pStyle w:val="TableFigureFooter"/>
        <w:ind w:left="165" w:hanging="165"/>
        <w:rPr>
          <w:iCs/>
        </w:rPr>
      </w:pPr>
      <w:r w:rsidRPr="0049394D">
        <w:rPr>
          <w:iCs/>
        </w:rPr>
        <w:t>i</w:t>
      </w:r>
      <w:r w:rsidRPr="0049394D">
        <w:rPr>
          <w:iCs/>
        </w:rPr>
        <w:tab/>
      </w:r>
      <w:r w:rsidR="002A3352" w:rsidRPr="0049394D">
        <w:rPr>
          <w:iCs/>
        </w:rPr>
        <w:t>T</w:t>
      </w:r>
      <w:r w:rsidRPr="0049394D">
        <w:rPr>
          <w:iCs/>
        </w:rPr>
        <w:t>reatment waning must be excluded for this sensitivity analysis to run</w:t>
      </w:r>
      <w:r w:rsidR="00083E0D" w:rsidRPr="0049394D">
        <w:rPr>
          <w:iCs/>
        </w:rPr>
        <w:t>. Time in non-metastatic disease was equal to ti</w:t>
      </w:r>
      <w:r w:rsidR="005F5C4E" w:rsidRPr="0049394D">
        <w:rPr>
          <w:iCs/>
        </w:rPr>
        <w:t>me</w:t>
      </w:r>
      <w:r w:rsidR="00083E0D" w:rsidRPr="0049394D">
        <w:rPr>
          <w:iCs/>
        </w:rPr>
        <w:t xml:space="preserve"> in pre-surgery, surgery and EFS-post-surgery health states.</w:t>
      </w:r>
    </w:p>
    <w:p w14:paraId="4CB82696" w14:textId="22763C9A" w:rsidR="0092469F" w:rsidRDefault="0092469F" w:rsidP="00E20F5E">
      <w:pPr>
        <w:pStyle w:val="TableFigureFooter"/>
        <w:rPr>
          <w:iCs/>
        </w:rPr>
      </w:pPr>
      <w:r w:rsidRPr="0049394D">
        <w:rPr>
          <w:iCs/>
        </w:rPr>
        <w:t>j</w:t>
      </w:r>
      <w:r w:rsidRPr="0049394D">
        <w:rPr>
          <w:iCs/>
        </w:rPr>
        <w:tab/>
      </w:r>
      <w:r w:rsidR="00243D28" w:rsidRPr="0049394D">
        <w:rPr>
          <w:iCs/>
        </w:rPr>
        <w:t xml:space="preserve">90.2% anaemia, 73.8% fatigue. </w:t>
      </w:r>
      <w:r w:rsidRPr="0049394D">
        <w:rPr>
          <w:iCs/>
        </w:rPr>
        <w:t xml:space="preserve">This does not account for repeated </w:t>
      </w:r>
      <w:r w:rsidR="00243D28" w:rsidRPr="0049394D">
        <w:rPr>
          <w:iCs/>
        </w:rPr>
        <w:t>events, nor difference in duration between SAEs and all AEs.</w:t>
      </w:r>
    </w:p>
    <w:p w14:paraId="35259525" w14:textId="77777777" w:rsidR="009C54B7" w:rsidRPr="0009066F" w:rsidRDefault="009C54B7" w:rsidP="009C54B7">
      <w:pPr>
        <w:pStyle w:val="TableFigureFooter"/>
        <w:rPr>
          <w:i/>
        </w:rPr>
      </w:pPr>
      <w:r w:rsidRPr="0009066F">
        <w:rPr>
          <w:i/>
        </w:rPr>
        <w:t>The redacted values correspond to the following ranges:</w:t>
      </w:r>
    </w:p>
    <w:p w14:paraId="149F5D55" w14:textId="15A33A5A" w:rsidR="009C54B7" w:rsidRDefault="009C54B7" w:rsidP="009C54B7">
      <w:pPr>
        <w:pStyle w:val="TableFigureFooter"/>
        <w:rPr>
          <w:i/>
        </w:rPr>
      </w:pPr>
      <w:r>
        <w:rPr>
          <w:i/>
        </w:rPr>
        <w:t xml:space="preserve">1 </w:t>
      </w:r>
      <w:r w:rsidRPr="009C54B7">
        <w:rPr>
          <w:i/>
        </w:rPr>
        <w:t>155,000 to &lt; $255,000</w:t>
      </w:r>
    </w:p>
    <w:p w14:paraId="0C1CAF57" w14:textId="59D12DC7" w:rsidR="00A85958" w:rsidRPr="00A85958" w:rsidRDefault="00A85958" w:rsidP="00A85958">
      <w:pPr>
        <w:pStyle w:val="TableFigureFooter"/>
        <w:rPr>
          <w:i/>
        </w:rPr>
      </w:pPr>
      <w:r>
        <w:rPr>
          <w:i/>
        </w:rPr>
        <w:t xml:space="preserve">2 </w:t>
      </w:r>
      <w:r w:rsidRPr="00A85958">
        <w:rPr>
          <w:i/>
        </w:rPr>
        <w:t>$755,000 to &lt; $855,000</w:t>
      </w:r>
    </w:p>
    <w:p w14:paraId="2CBF7C54" w14:textId="73049915" w:rsidR="00A85958" w:rsidRDefault="00A85958" w:rsidP="009C54B7">
      <w:pPr>
        <w:pStyle w:val="TableFigureFooter"/>
        <w:rPr>
          <w:i/>
        </w:rPr>
      </w:pPr>
      <w:r>
        <w:rPr>
          <w:i/>
        </w:rPr>
        <w:t xml:space="preserve">3 </w:t>
      </w:r>
      <w:r w:rsidRPr="00A85958">
        <w:rPr>
          <w:i/>
        </w:rPr>
        <w:t>$255,000 to &lt; $355,000</w:t>
      </w:r>
    </w:p>
    <w:p w14:paraId="4383E205" w14:textId="3FC3786B" w:rsidR="00DE4033" w:rsidRDefault="00A85958" w:rsidP="009C54B7">
      <w:pPr>
        <w:pStyle w:val="TableFigureFooter"/>
        <w:rPr>
          <w:i/>
        </w:rPr>
      </w:pPr>
      <w:r>
        <w:rPr>
          <w:i/>
        </w:rPr>
        <w:t xml:space="preserve">4 </w:t>
      </w:r>
      <w:r w:rsidRPr="00A85958">
        <w:rPr>
          <w:i/>
        </w:rPr>
        <w:t>$355,000 to &lt; $455,000</w:t>
      </w:r>
      <w:r w:rsidR="00DE4033">
        <w:rPr>
          <w:i/>
        </w:rPr>
        <w:t xml:space="preserve">5 </w:t>
      </w:r>
      <w:r w:rsidR="00DE4033" w:rsidRPr="00DE4033">
        <w:rPr>
          <w:i/>
        </w:rPr>
        <w:t>$955,000 to &lt; $1,055,000</w:t>
      </w:r>
      <w:r w:rsidR="00DE4033">
        <w:rPr>
          <w:i/>
        </w:rPr>
        <w:t xml:space="preserve"> </w:t>
      </w:r>
    </w:p>
    <w:p w14:paraId="63355040" w14:textId="50AEF1AF" w:rsidR="00DE4033" w:rsidRDefault="00DE4033" w:rsidP="009C54B7">
      <w:pPr>
        <w:pStyle w:val="TableFigureFooter"/>
        <w:rPr>
          <w:i/>
        </w:rPr>
      </w:pPr>
      <w:r>
        <w:rPr>
          <w:i/>
        </w:rPr>
        <w:t xml:space="preserve">6 </w:t>
      </w:r>
      <w:r w:rsidRPr="00DE4033">
        <w:rPr>
          <w:i/>
        </w:rPr>
        <w:t>&gt; $1,055,000</w:t>
      </w:r>
    </w:p>
    <w:p w14:paraId="2A0022CE" w14:textId="74246861" w:rsidR="00DE4033" w:rsidRDefault="00DE4033" w:rsidP="009C54B7">
      <w:pPr>
        <w:pStyle w:val="TableFigureFooter"/>
        <w:rPr>
          <w:i/>
        </w:rPr>
      </w:pPr>
      <w:r>
        <w:rPr>
          <w:i/>
        </w:rPr>
        <w:t xml:space="preserve">7 </w:t>
      </w:r>
      <w:r w:rsidRPr="00DE4033">
        <w:rPr>
          <w:i/>
        </w:rPr>
        <w:t>$55,000 to &lt; $75,000</w:t>
      </w:r>
    </w:p>
    <w:p w14:paraId="1D24188E" w14:textId="1BD0F3FE" w:rsidR="00DE4033" w:rsidRDefault="00DE4033" w:rsidP="009C54B7">
      <w:pPr>
        <w:pStyle w:val="TableFigureFooter"/>
        <w:rPr>
          <w:i/>
        </w:rPr>
      </w:pPr>
      <w:r>
        <w:rPr>
          <w:i/>
        </w:rPr>
        <w:t xml:space="preserve">8 </w:t>
      </w:r>
      <w:r w:rsidRPr="00DE4033">
        <w:rPr>
          <w:i/>
        </w:rPr>
        <w:t>$45,000 to &lt; $55,000</w:t>
      </w:r>
    </w:p>
    <w:p w14:paraId="05D93822" w14:textId="77777777" w:rsidR="00DE4033" w:rsidRDefault="00DE4033" w:rsidP="009C54B7">
      <w:pPr>
        <w:pStyle w:val="TableFigureFooter"/>
        <w:rPr>
          <w:i/>
        </w:rPr>
      </w:pPr>
      <w:r>
        <w:rPr>
          <w:i/>
        </w:rPr>
        <w:t xml:space="preserve">9 </w:t>
      </w:r>
      <w:r w:rsidRPr="00DE4033">
        <w:rPr>
          <w:i/>
        </w:rPr>
        <w:t>$155,000 to &lt; $255,000</w:t>
      </w:r>
    </w:p>
    <w:p w14:paraId="5DF800DE" w14:textId="029F0769" w:rsidR="00DE4033" w:rsidRPr="0009066F" w:rsidRDefault="00DE4033" w:rsidP="009C54B7">
      <w:pPr>
        <w:pStyle w:val="TableFigureFooter"/>
        <w:rPr>
          <w:i/>
        </w:rPr>
      </w:pPr>
      <w:r>
        <w:rPr>
          <w:i/>
        </w:rPr>
        <w:t xml:space="preserve">10 </w:t>
      </w:r>
      <w:r w:rsidRPr="00DE4033">
        <w:rPr>
          <w:i/>
        </w:rPr>
        <w:t>$555,000 to &lt; $655,000</w:t>
      </w:r>
      <w:r>
        <w:rPr>
          <w:i/>
        </w:rPr>
        <w:t xml:space="preserve"> </w:t>
      </w:r>
    </w:p>
    <w:p w14:paraId="10374279" w14:textId="77777777" w:rsidR="00E20F5E" w:rsidRPr="0049394D" w:rsidRDefault="00E20F5E" w:rsidP="00E20F5E">
      <w:pPr>
        <w:spacing w:before="120" w:after="120"/>
        <w:rPr>
          <w:b/>
          <w:bCs/>
        </w:rPr>
      </w:pPr>
      <w:r w:rsidRPr="0049394D">
        <w:rPr>
          <w:b/>
          <w:bCs/>
        </w:rPr>
        <w:t>Sensitivity analyses accounting for indirect costs and disutilities</w:t>
      </w:r>
    </w:p>
    <w:p w14:paraId="32FDDFFE" w14:textId="1CF860EE" w:rsidR="00E20F5E" w:rsidRPr="0049394D" w:rsidRDefault="00E20F5E" w:rsidP="00E20F5E">
      <w:pPr>
        <w:pStyle w:val="3-BodyText"/>
        <w:rPr>
          <w:iCs/>
        </w:rPr>
      </w:pPr>
      <w:r w:rsidRPr="0049394D">
        <w:t>The submission presented further sensitivity analyses which included additional disutilities for carers of VHL patients, indirect costs associated with productivity loss resulting from premature death only in VHL patients</w:t>
      </w:r>
      <w:r w:rsidR="008C077D">
        <w:t xml:space="preserve"> </w:t>
      </w:r>
      <w:r w:rsidR="00924468">
        <w:t>(</w:t>
      </w:r>
      <w:r w:rsidRPr="0049394D">
        <w:t xml:space="preserve">of the submission); and indirect costs associated with productivity loss resulting from work productivity during patient lifetime and premature death (Table 3.9-1 of the submission). </w:t>
      </w:r>
    </w:p>
    <w:p w14:paraId="5086EA6A" w14:textId="545D434E" w:rsidR="00E20F5E" w:rsidRPr="0049394D" w:rsidRDefault="00E20F5E" w:rsidP="003E71CC">
      <w:pPr>
        <w:pStyle w:val="3-BodyText"/>
        <w:numPr>
          <w:ilvl w:val="0"/>
          <w:numId w:val="13"/>
        </w:numPr>
        <w:ind w:left="993" w:hanging="284"/>
        <w:rPr>
          <w:iCs/>
        </w:rPr>
      </w:pPr>
      <w:r w:rsidRPr="0049394D">
        <w:rPr>
          <w:iCs/>
        </w:rPr>
        <w:t>The submission estimated carer disutilities by health state, plus a recurring disutility upon patient death for the estimated difference in survival between VHL patients and general population. None of the sources of carer disutility included carers of VHL patients, or an Australian population, and the disutilities between for the surgery and EFS post-surgery states were based on a linear increase in disutility from pre-surgery (-0.030) to metastatic disease (-0.100).</w:t>
      </w:r>
      <w:bookmarkStart w:id="81" w:name="_Hlk167209343"/>
      <w:r w:rsidRPr="0049394D">
        <w:rPr>
          <w:iCs/>
        </w:rPr>
        <w:t xml:space="preserve"> The most significant </w:t>
      </w:r>
      <w:r w:rsidRPr="0049394D">
        <w:rPr>
          <w:iCs/>
        </w:rPr>
        <w:lastRenderedPageBreak/>
        <w:t xml:space="preserve">disutility was the post-death disutility (-0.050) as it was applied for a long time (in the RCC model 19.2 years in the active surveillance arm, and 15.0 years in the belzutifan arm). The source of this disutility was a study of bereaved family members of cancer patients 6 months after death in Korea (Song 2012). </w:t>
      </w:r>
      <w:bookmarkStart w:id="82" w:name="_Hlk167209266"/>
      <w:r w:rsidRPr="0049394D">
        <w:rPr>
          <w:iCs/>
        </w:rPr>
        <w:t>This study was unlikely to represent Australian utility loss in carers for VHL-patients.</w:t>
      </w:r>
      <w:r w:rsidR="00243D28" w:rsidRPr="0049394D">
        <w:rPr>
          <w:iCs/>
        </w:rPr>
        <w:t xml:space="preserve"> Further, though a bereaved family would experience ongoing utility loss, this is not a factor that is accounted for in assessing cost-effectiveness of life limiting disease</w:t>
      </w:r>
      <w:r w:rsidR="006412A2" w:rsidRPr="0049394D">
        <w:rPr>
          <w:iCs/>
        </w:rPr>
        <w:t>s</w:t>
      </w:r>
      <w:r w:rsidR="00243D28" w:rsidRPr="0049394D">
        <w:rPr>
          <w:iCs/>
        </w:rPr>
        <w:t xml:space="preserve"> and it has not been previously considered by</w:t>
      </w:r>
      <w:r w:rsidR="003134C6" w:rsidRPr="0049394D">
        <w:rPr>
          <w:iCs/>
        </w:rPr>
        <w:t xml:space="preserve"> the</w:t>
      </w:r>
      <w:r w:rsidR="00243D28" w:rsidRPr="0049394D">
        <w:rPr>
          <w:iCs/>
        </w:rPr>
        <w:t xml:space="preserve"> PBAC for other life limiting diseases. Therefore</w:t>
      </w:r>
      <w:r w:rsidR="00491744" w:rsidRPr="0049394D">
        <w:rPr>
          <w:iCs/>
        </w:rPr>
        <w:t>,</w:t>
      </w:r>
      <w:r w:rsidR="00243D28" w:rsidRPr="0049394D">
        <w:rPr>
          <w:iCs/>
        </w:rPr>
        <w:t xml:space="preserve"> </w:t>
      </w:r>
      <w:r w:rsidR="00A44974" w:rsidRPr="00BF3570">
        <w:t xml:space="preserve">the ESC agreed with the evaluation that </w:t>
      </w:r>
      <w:r w:rsidR="00243D28" w:rsidRPr="0049394D">
        <w:rPr>
          <w:iCs/>
        </w:rPr>
        <w:t>the inclusion of this disutil</w:t>
      </w:r>
      <w:r w:rsidR="003134C6" w:rsidRPr="0049394D">
        <w:rPr>
          <w:iCs/>
        </w:rPr>
        <w:t>i</w:t>
      </w:r>
      <w:r w:rsidR="00243D28" w:rsidRPr="0049394D">
        <w:rPr>
          <w:iCs/>
        </w:rPr>
        <w:t>ty may be inequitable to</w:t>
      </w:r>
      <w:r w:rsidR="002553C4" w:rsidRPr="0049394D">
        <w:rPr>
          <w:iCs/>
        </w:rPr>
        <w:t xml:space="preserve"> the assessment of therapies for</w:t>
      </w:r>
      <w:r w:rsidR="00243D28" w:rsidRPr="0049394D">
        <w:rPr>
          <w:iCs/>
        </w:rPr>
        <w:t xml:space="preserve"> patients with other life limiting diseases.</w:t>
      </w:r>
      <w:bookmarkEnd w:id="81"/>
    </w:p>
    <w:bookmarkEnd w:id="82"/>
    <w:p w14:paraId="62DBC7DC" w14:textId="515A4C72" w:rsidR="00E20F5E" w:rsidRPr="0049394D" w:rsidRDefault="00E20F5E" w:rsidP="003E71CC">
      <w:pPr>
        <w:pStyle w:val="3-BodyText"/>
        <w:numPr>
          <w:ilvl w:val="0"/>
          <w:numId w:val="13"/>
        </w:numPr>
        <w:ind w:left="993" w:hanging="284"/>
        <w:rPr>
          <w:iCs/>
        </w:rPr>
      </w:pPr>
      <w:r w:rsidRPr="0049394D">
        <w:t xml:space="preserve">The submission estimated the cost of productivity loss due to premature death as full-time work (38 hours) multiplied by median 2023 earnings ($40.50 for men, $38.20 for women; ABS hourly earnings August 2023) weighted by proportion of women in the model. This gave a weekly loss of $1,497.45 ($78,135 per year), applied every cycle to the additional patients who had died compared to </w:t>
      </w:r>
      <w:r w:rsidR="00425EB5">
        <w:t xml:space="preserve">the </w:t>
      </w:r>
      <w:r w:rsidRPr="0049394D">
        <w:t>general population up to age 65 in the models (in the RCC model this resulted in 5.36 years of costs in the belzutifan arm and 8.40 years of costs in the active surveillance arm).</w:t>
      </w:r>
    </w:p>
    <w:p w14:paraId="248F3D95" w14:textId="6405BEE7" w:rsidR="00E20F5E" w:rsidRPr="0049394D" w:rsidRDefault="00E20F5E" w:rsidP="003E71CC">
      <w:pPr>
        <w:pStyle w:val="3-BodyText"/>
        <w:numPr>
          <w:ilvl w:val="0"/>
          <w:numId w:val="13"/>
        </w:numPr>
        <w:ind w:left="993" w:hanging="284"/>
        <w:rPr>
          <w:iCs/>
        </w:rPr>
      </w:pPr>
      <w:bookmarkStart w:id="83" w:name="_Hlk167209493"/>
      <w:r w:rsidRPr="0049394D">
        <w:t>The productivity loss during patient lifetime (due to paid work impairment) was estimated from the Work Productivity and Activity Impairment: Specific Health Problem (WPAI:SHP) administered in the QoL Disease Burden Study</w:t>
      </w:r>
      <w:r w:rsidRPr="0049394D">
        <w:rPr>
          <w:iCs/>
        </w:rPr>
        <w:t xml:space="preserve">. </w:t>
      </w:r>
      <w:r w:rsidRPr="0049394D">
        <w:t>Each health state resulted in an additional cost of productivity loss per cycle: $438.75 in pre-surgery and EF post-surgery states (29.3% productivity loss), $1,497.45 in surgery states (100% productivity loss), $607.96 in metastatic disease states (40.6% productivity loss).</w:t>
      </w:r>
      <w:r w:rsidR="00595408" w:rsidRPr="0049394D">
        <w:t xml:space="preserve"> </w:t>
      </w:r>
      <w:r w:rsidRPr="0049394D">
        <w:rPr>
          <w:iCs/>
        </w:rPr>
        <w:t>The WPAI:SHP has not been validated for VHL, and is not recommended for systemic diseases. In general, productivity loss may be partially captured by utility loss and therefore this additional cost may result in double counting of the impact. The use of national averages was also unlikely to represent productivity loss specific to VHL patients. Death of a VHL patient could also result in carers losing the patient’s income (including any disability or carer payments), but may be able to access more paid work due to the loss of caring responsibilities.</w:t>
      </w:r>
      <w:r w:rsidR="002553C4" w:rsidRPr="0049394D">
        <w:rPr>
          <w:iCs/>
        </w:rPr>
        <w:t xml:space="preserve"> The indirect costs did not account for any return to work, cover or replacement within the labour force (as described in Production changes, Appendix 6, PBAC guidelines, September 2016), and therefore assumed full loss of productivity. </w:t>
      </w:r>
      <w:r w:rsidR="00A44974" w:rsidRPr="00BF3570">
        <w:t xml:space="preserve">The ESC agreed with the evaluation that </w:t>
      </w:r>
      <w:r w:rsidR="00A44974">
        <w:rPr>
          <w:iCs/>
        </w:rPr>
        <w:t>t</w:t>
      </w:r>
      <w:r w:rsidR="002553C4" w:rsidRPr="0049394D">
        <w:rPr>
          <w:iCs/>
        </w:rPr>
        <w:t>his was not justified by the submission and likely to overestimate the productivity losses in a societal context.</w:t>
      </w:r>
      <w:r w:rsidR="00376962" w:rsidRPr="0049394D">
        <w:rPr>
          <w:iCs/>
        </w:rPr>
        <w:t xml:space="preserve"> In general, the approach to indirect costs appeared to be from the perspective of the patient and their family (interpreted as income loss) rather than societal productivity loss.</w:t>
      </w:r>
    </w:p>
    <w:bookmarkEnd w:id="83"/>
    <w:p w14:paraId="0CDF92BA" w14:textId="5DFFF2A0" w:rsidR="00E20F5E" w:rsidRPr="0049394D" w:rsidRDefault="00E20F5E" w:rsidP="00E20F5E">
      <w:pPr>
        <w:pStyle w:val="3-BodyText"/>
        <w:rPr>
          <w:iCs/>
        </w:rPr>
      </w:pPr>
      <w:r w:rsidRPr="0049394D">
        <w:t xml:space="preserve">A summary of the results of the sensitivity analyses accounting for indirect costs and disutilities is presented in </w:t>
      </w:r>
      <w:r w:rsidRPr="0049394D">
        <w:fldChar w:fldCharType="begin" w:fldLock="1"/>
      </w:r>
      <w:r w:rsidRPr="0049394D">
        <w:instrText xml:space="preserve"> REF _Ref166497658 \h </w:instrText>
      </w:r>
      <w:r w:rsidRPr="0049394D">
        <w:fldChar w:fldCharType="separate"/>
      </w:r>
      <w:r w:rsidR="00437B51" w:rsidRPr="0049394D">
        <w:t xml:space="preserve">Table </w:t>
      </w:r>
      <w:r w:rsidR="00437B51">
        <w:rPr>
          <w:noProof/>
        </w:rPr>
        <w:t>18</w:t>
      </w:r>
      <w:r w:rsidRPr="0049394D">
        <w:fldChar w:fldCharType="end"/>
      </w:r>
      <w:r w:rsidRPr="0049394D">
        <w:t xml:space="preserve">. </w:t>
      </w:r>
      <w:r w:rsidRPr="0049394D">
        <w:rPr>
          <w:iCs/>
        </w:rPr>
        <w:t xml:space="preserve">The ICERs were sensitive to indirect costs </w:t>
      </w:r>
      <w:r w:rsidRPr="0049394D">
        <w:rPr>
          <w:iCs/>
        </w:rPr>
        <w:lastRenderedPageBreak/>
        <w:t>associated with premature death, but were not sensitive to caregiver disutilities or indirect costs of work productivity loss while patients were alive.</w:t>
      </w:r>
    </w:p>
    <w:p w14:paraId="14C9BFDD" w14:textId="41FB1D1F" w:rsidR="00E20F5E" w:rsidRPr="0049394D" w:rsidRDefault="00E20F5E" w:rsidP="00E20F5E">
      <w:pPr>
        <w:pStyle w:val="Caption"/>
        <w:rPr>
          <w:rStyle w:val="CommentReference"/>
          <w:b/>
          <w:szCs w:val="24"/>
        </w:rPr>
      </w:pPr>
      <w:bookmarkStart w:id="84" w:name="_Ref166497658"/>
      <w:r w:rsidRPr="0049394D">
        <w:t xml:space="preserve">Table </w:t>
      </w:r>
      <w:r>
        <w:fldChar w:fldCharType="begin" w:fldLock="1"/>
      </w:r>
      <w:r>
        <w:instrText xml:space="preserve"> SEQ Table \* ARABIC </w:instrText>
      </w:r>
      <w:r>
        <w:fldChar w:fldCharType="separate"/>
      </w:r>
      <w:r w:rsidR="00437B51">
        <w:rPr>
          <w:noProof/>
        </w:rPr>
        <w:t>18</w:t>
      </w:r>
      <w:r>
        <w:rPr>
          <w:noProof/>
        </w:rPr>
        <w:fldChar w:fldCharType="end"/>
      </w:r>
      <w:bookmarkEnd w:id="84"/>
      <w:r w:rsidRPr="0049394D">
        <w:t>:</w:t>
      </w:r>
      <w:r w:rsidRPr="0049394D">
        <w:rPr>
          <w:rStyle w:val="CommentReference"/>
          <w:b/>
          <w:szCs w:val="24"/>
        </w:rPr>
        <w:t xml:space="preserve"> Sensitivity analyses accounting for indirect costs and disutilities</w:t>
      </w:r>
    </w:p>
    <w:tbl>
      <w:tblPr>
        <w:tblStyle w:val="TableGrid"/>
        <w:tblW w:w="5000" w:type="pct"/>
        <w:tblLayout w:type="fixed"/>
        <w:tblLook w:val="04A0" w:firstRow="1" w:lastRow="0" w:firstColumn="1" w:lastColumn="0" w:noHBand="0" w:noVBand="1"/>
        <w:tblCaption w:val="Table 18: Sensitivity analyses accounting for indirect costs and disutilities"/>
      </w:tblPr>
      <w:tblGrid>
        <w:gridCol w:w="2693"/>
        <w:gridCol w:w="1053"/>
        <w:gridCol w:w="1055"/>
        <w:gridCol w:w="1053"/>
        <w:gridCol w:w="1055"/>
        <w:gridCol w:w="1053"/>
        <w:gridCol w:w="1055"/>
      </w:tblGrid>
      <w:tr w:rsidR="00E20F5E" w:rsidRPr="0049394D" w14:paraId="0995AF81" w14:textId="77777777" w:rsidTr="00376962">
        <w:trPr>
          <w:trHeight w:val="56"/>
          <w:tblHeader/>
        </w:trPr>
        <w:tc>
          <w:tcPr>
            <w:tcW w:w="1493" w:type="pct"/>
            <w:vMerge w:val="restart"/>
            <w:noWrap/>
            <w:vAlign w:val="center"/>
          </w:tcPr>
          <w:p w14:paraId="1AD24C71" w14:textId="77777777" w:rsidR="00E20F5E" w:rsidRPr="0049394D" w:rsidRDefault="00E20F5E" w:rsidP="00282F0D">
            <w:pPr>
              <w:pStyle w:val="In-tableHeading"/>
              <w:keepNext w:val="0"/>
              <w:rPr>
                <w:lang w:val="en-AU"/>
              </w:rPr>
            </w:pPr>
            <w:r w:rsidRPr="0049394D">
              <w:rPr>
                <w:lang w:val="en-AU"/>
              </w:rPr>
              <w:t>Analyses</w:t>
            </w:r>
          </w:p>
        </w:tc>
        <w:tc>
          <w:tcPr>
            <w:tcW w:w="1169" w:type="pct"/>
            <w:gridSpan w:val="2"/>
            <w:noWrap/>
            <w:vAlign w:val="center"/>
          </w:tcPr>
          <w:p w14:paraId="10CB45A6" w14:textId="77777777" w:rsidR="00E20F5E" w:rsidRPr="0049394D" w:rsidRDefault="00E20F5E" w:rsidP="00376962">
            <w:pPr>
              <w:pStyle w:val="In-tableHeading"/>
              <w:keepNext w:val="0"/>
              <w:jc w:val="center"/>
              <w:rPr>
                <w:lang w:val="en-AU"/>
              </w:rPr>
            </w:pPr>
            <w:r w:rsidRPr="0049394D">
              <w:rPr>
                <w:lang w:val="en-AU"/>
              </w:rPr>
              <w:t>RCC model</w:t>
            </w:r>
          </w:p>
        </w:tc>
        <w:tc>
          <w:tcPr>
            <w:tcW w:w="1169" w:type="pct"/>
            <w:gridSpan w:val="2"/>
            <w:vAlign w:val="center"/>
          </w:tcPr>
          <w:p w14:paraId="613BA66D" w14:textId="77777777" w:rsidR="00E20F5E" w:rsidRPr="0049394D" w:rsidRDefault="00E20F5E" w:rsidP="00376962">
            <w:pPr>
              <w:pStyle w:val="In-tableHeading"/>
              <w:keepNext w:val="0"/>
              <w:jc w:val="center"/>
              <w:rPr>
                <w:lang w:val="en-AU"/>
              </w:rPr>
            </w:pPr>
            <w:r w:rsidRPr="0049394D">
              <w:rPr>
                <w:lang w:val="en-AU"/>
              </w:rPr>
              <w:t>CNS Hb model</w:t>
            </w:r>
          </w:p>
        </w:tc>
        <w:tc>
          <w:tcPr>
            <w:tcW w:w="1169" w:type="pct"/>
            <w:gridSpan w:val="2"/>
            <w:vAlign w:val="center"/>
          </w:tcPr>
          <w:p w14:paraId="486C9B7C" w14:textId="77777777" w:rsidR="00E20F5E" w:rsidRPr="0049394D" w:rsidRDefault="00E20F5E" w:rsidP="00376962">
            <w:pPr>
              <w:pStyle w:val="In-tableHeading"/>
              <w:keepNext w:val="0"/>
              <w:jc w:val="center"/>
              <w:rPr>
                <w:lang w:val="en-AU"/>
              </w:rPr>
            </w:pPr>
            <w:r w:rsidRPr="0049394D">
              <w:rPr>
                <w:lang w:val="en-AU"/>
              </w:rPr>
              <w:t>pNET model</w:t>
            </w:r>
          </w:p>
        </w:tc>
      </w:tr>
      <w:tr w:rsidR="00E20F5E" w:rsidRPr="0049394D" w14:paraId="08AD5F02" w14:textId="77777777" w:rsidTr="00376962">
        <w:trPr>
          <w:trHeight w:val="56"/>
          <w:tblHeader/>
        </w:trPr>
        <w:tc>
          <w:tcPr>
            <w:tcW w:w="1493" w:type="pct"/>
            <w:vMerge/>
            <w:noWrap/>
          </w:tcPr>
          <w:p w14:paraId="4E7A97F7" w14:textId="77777777" w:rsidR="00E20F5E" w:rsidRPr="0049394D" w:rsidRDefault="00E20F5E" w:rsidP="00282F0D">
            <w:pPr>
              <w:pStyle w:val="In-tableHeading"/>
              <w:keepNext w:val="0"/>
              <w:rPr>
                <w:lang w:val="en-AU"/>
              </w:rPr>
            </w:pPr>
          </w:p>
        </w:tc>
        <w:tc>
          <w:tcPr>
            <w:tcW w:w="584" w:type="pct"/>
            <w:noWrap/>
            <w:vAlign w:val="center"/>
          </w:tcPr>
          <w:p w14:paraId="5024D019" w14:textId="4DDC1169" w:rsidR="00E20F5E" w:rsidRPr="0049394D" w:rsidRDefault="00E20F5E" w:rsidP="00376962">
            <w:pPr>
              <w:pStyle w:val="In-tableHeading"/>
              <w:keepNext w:val="0"/>
              <w:jc w:val="center"/>
              <w:rPr>
                <w:lang w:val="en-AU"/>
              </w:rPr>
            </w:pPr>
            <w:r w:rsidRPr="0049394D">
              <w:rPr>
                <w:lang w:val="en-AU"/>
              </w:rPr>
              <w:t>ICER</w:t>
            </w:r>
            <w:r w:rsidR="002C406B">
              <w:rPr>
                <w:lang w:val="en-AU"/>
              </w:rPr>
              <w:t xml:space="preserve"> ($)</w:t>
            </w:r>
          </w:p>
        </w:tc>
        <w:tc>
          <w:tcPr>
            <w:tcW w:w="585" w:type="pct"/>
            <w:noWrap/>
            <w:vAlign w:val="center"/>
          </w:tcPr>
          <w:p w14:paraId="2F50221B" w14:textId="77777777" w:rsidR="00E20F5E" w:rsidRPr="0049394D" w:rsidRDefault="00E20F5E" w:rsidP="00376962">
            <w:pPr>
              <w:pStyle w:val="In-tableHeading"/>
              <w:keepNext w:val="0"/>
              <w:jc w:val="center"/>
              <w:rPr>
                <w:lang w:val="en-AU"/>
              </w:rPr>
            </w:pPr>
            <w:r w:rsidRPr="0049394D">
              <w:rPr>
                <w:lang w:val="en-AU"/>
              </w:rPr>
              <w:t>% change</w:t>
            </w:r>
          </w:p>
        </w:tc>
        <w:tc>
          <w:tcPr>
            <w:tcW w:w="584" w:type="pct"/>
            <w:vAlign w:val="center"/>
          </w:tcPr>
          <w:p w14:paraId="3039232D" w14:textId="76729C18" w:rsidR="00E20F5E" w:rsidRPr="0049394D" w:rsidRDefault="00E20F5E" w:rsidP="00376962">
            <w:pPr>
              <w:pStyle w:val="In-tableHeading"/>
              <w:keepNext w:val="0"/>
              <w:jc w:val="center"/>
              <w:rPr>
                <w:lang w:val="en-AU"/>
              </w:rPr>
            </w:pPr>
            <w:r w:rsidRPr="0049394D">
              <w:rPr>
                <w:lang w:val="en-AU"/>
              </w:rPr>
              <w:t>ICER</w:t>
            </w:r>
            <w:r w:rsidR="002C406B">
              <w:rPr>
                <w:lang w:val="en-AU"/>
              </w:rPr>
              <w:t xml:space="preserve"> ($)</w:t>
            </w:r>
          </w:p>
        </w:tc>
        <w:tc>
          <w:tcPr>
            <w:tcW w:w="585" w:type="pct"/>
            <w:vAlign w:val="center"/>
          </w:tcPr>
          <w:p w14:paraId="1B07461F" w14:textId="77777777" w:rsidR="00E20F5E" w:rsidRPr="0049394D" w:rsidRDefault="00E20F5E" w:rsidP="00376962">
            <w:pPr>
              <w:pStyle w:val="In-tableHeading"/>
              <w:keepNext w:val="0"/>
              <w:jc w:val="center"/>
              <w:rPr>
                <w:lang w:val="en-AU"/>
              </w:rPr>
            </w:pPr>
            <w:r w:rsidRPr="0049394D">
              <w:rPr>
                <w:lang w:val="en-AU"/>
              </w:rPr>
              <w:t>% change</w:t>
            </w:r>
          </w:p>
        </w:tc>
        <w:tc>
          <w:tcPr>
            <w:tcW w:w="584" w:type="pct"/>
            <w:vAlign w:val="center"/>
          </w:tcPr>
          <w:p w14:paraId="0119E5C3" w14:textId="21C4A1BA" w:rsidR="00E20F5E" w:rsidRPr="0049394D" w:rsidRDefault="00E20F5E" w:rsidP="00376962">
            <w:pPr>
              <w:pStyle w:val="In-tableHeading"/>
              <w:keepNext w:val="0"/>
              <w:jc w:val="center"/>
              <w:rPr>
                <w:lang w:val="en-AU"/>
              </w:rPr>
            </w:pPr>
            <w:r w:rsidRPr="0049394D">
              <w:rPr>
                <w:lang w:val="en-AU"/>
              </w:rPr>
              <w:t>ICER</w:t>
            </w:r>
            <w:r w:rsidR="002C406B">
              <w:rPr>
                <w:lang w:val="en-AU"/>
              </w:rPr>
              <w:t xml:space="preserve"> ($)</w:t>
            </w:r>
          </w:p>
        </w:tc>
        <w:tc>
          <w:tcPr>
            <w:tcW w:w="585" w:type="pct"/>
            <w:vAlign w:val="center"/>
          </w:tcPr>
          <w:p w14:paraId="59901CCA" w14:textId="77777777" w:rsidR="00E20F5E" w:rsidRPr="0049394D" w:rsidRDefault="00E20F5E" w:rsidP="00376962">
            <w:pPr>
              <w:pStyle w:val="In-tableHeading"/>
              <w:keepNext w:val="0"/>
              <w:jc w:val="center"/>
              <w:rPr>
                <w:lang w:val="en-AU"/>
              </w:rPr>
            </w:pPr>
            <w:r w:rsidRPr="0049394D">
              <w:rPr>
                <w:lang w:val="en-AU"/>
              </w:rPr>
              <w:t>% change</w:t>
            </w:r>
          </w:p>
        </w:tc>
      </w:tr>
      <w:tr w:rsidR="00E20F5E" w:rsidRPr="0049394D" w14:paraId="354804F3" w14:textId="77777777" w:rsidTr="00376962">
        <w:trPr>
          <w:trHeight w:val="56"/>
          <w:tblHeader/>
        </w:trPr>
        <w:tc>
          <w:tcPr>
            <w:tcW w:w="1493" w:type="pct"/>
            <w:tcBorders>
              <w:bottom w:val="single" w:sz="4" w:space="0" w:color="auto"/>
            </w:tcBorders>
            <w:noWrap/>
          </w:tcPr>
          <w:p w14:paraId="7E2284B3" w14:textId="77777777" w:rsidR="00E20F5E" w:rsidRPr="0049394D" w:rsidRDefault="00E20F5E" w:rsidP="00282F0D">
            <w:pPr>
              <w:pStyle w:val="In-tableHeading"/>
              <w:keepNext w:val="0"/>
              <w:rPr>
                <w:lang w:val="en-AU"/>
              </w:rPr>
            </w:pPr>
            <w:r w:rsidRPr="0049394D">
              <w:rPr>
                <w:lang w:val="en-AU"/>
              </w:rPr>
              <w:t>Base case</w:t>
            </w:r>
          </w:p>
        </w:tc>
        <w:tc>
          <w:tcPr>
            <w:tcW w:w="584" w:type="pct"/>
            <w:tcBorders>
              <w:bottom w:val="single" w:sz="4" w:space="0" w:color="auto"/>
            </w:tcBorders>
            <w:noWrap/>
            <w:vAlign w:val="center"/>
          </w:tcPr>
          <w:p w14:paraId="0D49B0FB" w14:textId="66109749" w:rsidR="00E20F5E" w:rsidRPr="0049394D" w:rsidRDefault="00501C36" w:rsidP="00376962">
            <w:pPr>
              <w:pStyle w:val="In-tableHeading"/>
              <w:keepNext w:val="0"/>
              <w:jc w:val="center"/>
              <w:rPr>
                <w:lang w:val="en-AU"/>
              </w:rPr>
            </w:pPr>
            <w:r w:rsidRPr="00501C36">
              <w:rPr>
                <w:color w:val="000000"/>
                <w:spacing w:val="36"/>
                <w:shd w:val="solid" w:color="000000" w:fill="000000"/>
                <w:fitText w:val="210" w:id="-893684221"/>
                <w:lang w:val="en-AU"/>
                <w14:textFill>
                  <w14:solidFill>
                    <w14:srgbClr w14:val="000000">
                      <w14:alpha w14:val="100000"/>
                    </w14:srgbClr>
                  </w14:solidFill>
                </w14:textFill>
              </w:rPr>
              <w:t>||</w:t>
            </w:r>
            <w:r w:rsidRPr="00501C36">
              <w:rPr>
                <w:color w:val="000000"/>
                <w:spacing w:val="1"/>
                <w:shd w:val="solid" w:color="000000" w:fill="000000"/>
                <w:fitText w:val="210" w:id="-893684221"/>
                <w:lang w:val="en-AU"/>
                <w14:textFill>
                  <w14:solidFill>
                    <w14:srgbClr w14:val="000000">
                      <w14:alpha w14:val="100000"/>
                    </w14:srgbClr>
                  </w14:solidFill>
                </w14:textFill>
              </w:rPr>
              <w:t>|</w:t>
            </w:r>
            <w:r w:rsidR="002C406B" w:rsidRPr="0009066F">
              <w:rPr>
                <w:vertAlign w:val="superscript"/>
                <w:lang w:val="en-AU"/>
              </w:rPr>
              <w:t>1</w:t>
            </w:r>
            <w:r w:rsidR="002C406B">
              <w:rPr>
                <w:lang w:val="en-AU"/>
              </w:rPr>
              <w:t xml:space="preserve"> </w:t>
            </w:r>
          </w:p>
        </w:tc>
        <w:tc>
          <w:tcPr>
            <w:tcW w:w="585" w:type="pct"/>
            <w:tcBorders>
              <w:bottom w:val="single" w:sz="4" w:space="0" w:color="auto"/>
            </w:tcBorders>
            <w:noWrap/>
            <w:vAlign w:val="center"/>
          </w:tcPr>
          <w:p w14:paraId="5F173AAA" w14:textId="77777777" w:rsidR="00E20F5E" w:rsidRPr="0049394D" w:rsidRDefault="00E20F5E" w:rsidP="00376962">
            <w:pPr>
              <w:pStyle w:val="In-tableHeading"/>
              <w:keepNext w:val="0"/>
              <w:jc w:val="center"/>
              <w:rPr>
                <w:lang w:val="en-AU"/>
              </w:rPr>
            </w:pPr>
            <w:r w:rsidRPr="0049394D">
              <w:rPr>
                <w:lang w:val="en-AU"/>
              </w:rPr>
              <w:t>-</w:t>
            </w:r>
          </w:p>
        </w:tc>
        <w:tc>
          <w:tcPr>
            <w:tcW w:w="584" w:type="pct"/>
            <w:tcBorders>
              <w:bottom w:val="single" w:sz="4" w:space="0" w:color="auto"/>
            </w:tcBorders>
            <w:vAlign w:val="center"/>
          </w:tcPr>
          <w:p w14:paraId="19326F6A" w14:textId="0D06E000" w:rsidR="00E20F5E" w:rsidRPr="0049394D" w:rsidRDefault="00501C36" w:rsidP="00376962">
            <w:pPr>
              <w:pStyle w:val="In-tableHeading"/>
              <w:keepNext w:val="0"/>
              <w:jc w:val="center"/>
              <w:rPr>
                <w:lang w:val="en-AU"/>
              </w:rPr>
            </w:pPr>
            <w:r w:rsidRPr="00501C36">
              <w:rPr>
                <w:color w:val="000000"/>
                <w:spacing w:val="36"/>
                <w:shd w:val="solid" w:color="000000" w:fill="000000"/>
                <w:fitText w:val="210" w:id="-893684220"/>
                <w:lang w:val="en-AU"/>
                <w14:textFill>
                  <w14:solidFill>
                    <w14:srgbClr w14:val="000000">
                      <w14:alpha w14:val="100000"/>
                    </w14:srgbClr>
                  </w14:solidFill>
                </w14:textFill>
              </w:rPr>
              <w:t>||</w:t>
            </w:r>
            <w:r w:rsidRPr="00501C36">
              <w:rPr>
                <w:color w:val="000000"/>
                <w:spacing w:val="1"/>
                <w:shd w:val="solid" w:color="000000" w:fill="000000"/>
                <w:fitText w:val="210" w:id="-893684220"/>
                <w:lang w:val="en-AU"/>
                <w14:textFill>
                  <w14:solidFill>
                    <w14:srgbClr w14:val="000000">
                      <w14:alpha w14:val="100000"/>
                    </w14:srgbClr>
                  </w14:solidFill>
                </w14:textFill>
              </w:rPr>
              <w:t>|</w:t>
            </w:r>
            <w:r w:rsidR="002C406B" w:rsidRPr="003F0AD1">
              <w:rPr>
                <w:vertAlign w:val="superscript"/>
                <w:lang w:val="en-AU"/>
              </w:rPr>
              <w:t>1</w:t>
            </w:r>
          </w:p>
        </w:tc>
        <w:tc>
          <w:tcPr>
            <w:tcW w:w="585" w:type="pct"/>
            <w:tcBorders>
              <w:bottom w:val="single" w:sz="4" w:space="0" w:color="auto"/>
            </w:tcBorders>
            <w:vAlign w:val="center"/>
          </w:tcPr>
          <w:p w14:paraId="3EE8FF50" w14:textId="77777777" w:rsidR="00E20F5E" w:rsidRPr="0049394D" w:rsidRDefault="00E20F5E" w:rsidP="00376962">
            <w:pPr>
              <w:pStyle w:val="In-tableHeading"/>
              <w:keepNext w:val="0"/>
              <w:jc w:val="center"/>
              <w:rPr>
                <w:lang w:val="en-AU"/>
              </w:rPr>
            </w:pPr>
            <w:r w:rsidRPr="0049394D">
              <w:rPr>
                <w:lang w:val="en-AU"/>
              </w:rPr>
              <w:t>-</w:t>
            </w:r>
          </w:p>
        </w:tc>
        <w:tc>
          <w:tcPr>
            <w:tcW w:w="584" w:type="pct"/>
            <w:tcBorders>
              <w:bottom w:val="single" w:sz="4" w:space="0" w:color="auto"/>
            </w:tcBorders>
            <w:vAlign w:val="center"/>
          </w:tcPr>
          <w:p w14:paraId="0B9776AF" w14:textId="1E5CC2D5" w:rsidR="00E20F5E" w:rsidRPr="0049394D" w:rsidRDefault="00501C36" w:rsidP="00376962">
            <w:pPr>
              <w:pStyle w:val="In-tableHeading"/>
              <w:keepNext w:val="0"/>
              <w:jc w:val="center"/>
              <w:rPr>
                <w:lang w:val="en-AU"/>
              </w:rPr>
            </w:pPr>
            <w:r w:rsidRPr="00501C36">
              <w:rPr>
                <w:color w:val="000000"/>
                <w:spacing w:val="36"/>
                <w:shd w:val="solid" w:color="000000" w:fill="000000"/>
                <w:fitText w:val="210" w:id="-893684219"/>
                <w:lang w:val="en-AU"/>
                <w14:textFill>
                  <w14:solidFill>
                    <w14:srgbClr w14:val="000000">
                      <w14:alpha w14:val="100000"/>
                    </w14:srgbClr>
                  </w14:solidFill>
                </w14:textFill>
              </w:rPr>
              <w:t>||</w:t>
            </w:r>
            <w:r w:rsidRPr="00501C36">
              <w:rPr>
                <w:color w:val="000000"/>
                <w:spacing w:val="1"/>
                <w:shd w:val="solid" w:color="000000" w:fill="000000"/>
                <w:fitText w:val="210" w:id="-893684219"/>
                <w:lang w:val="en-AU"/>
                <w14:textFill>
                  <w14:solidFill>
                    <w14:srgbClr w14:val="000000">
                      <w14:alpha w14:val="100000"/>
                    </w14:srgbClr>
                  </w14:solidFill>
                </w14:textFill>
              </w:rPr>
              <w:t>|</w:t>
            </w:r>
            <w:r w:rsidR="002C406B" w:rsidRPr="003F0AD1">
              <w:rPr>
                <w:vertAlign w:val="superscript"/>
                <w:lang w:val="en-AU"/>
              </w:rPr>
              <w:t>1</w:t>
            </w:r>
          </w:p>
        </w:tc>
        <w:tc>
          <w:tcPr>
            <w:tcW w:w="585" w:type="pct"/>
            <w:tcBorders>
              <w:bottom w:val="single" w:sz="4" w:space="0" w:color="auto"/>
            </w:tcBorders>
            <w:vAlign w:val="center"/>
          </w:tcPr>
          <w:p w14:paraId="4CB0CA26" w14:textId="77777777" w:rsidR="00E20F5E" w:rsidRPr="0049394D" w:rsidRDefault="00E20F5E" w:rsidP="00376962">
            <w:pPr>
              <w:pStyle w:val="In-tableHeading"/>
              <w:keepNext w:val="0"/>
              <w:jc w:val="center"/>
              <w:rPr>
                <w:lang w:val="en-AU"/>
              </w:rPr>
            </w:pPr>
            <w:r w:rsidRPr="0049394D">
              <w:rPr>
                <w:lang w:val="en-AU"/>
              </w:rPr>
              <w:t>-</w:t>
            </w:r>
          </w:p>
        </w:tc>
      </w:tr>
      <w:tr w:rsidR="00E20F5E" w:rsidRPr="0049394D" w14:paraId="4466986C" w14:textId="77777777" w:rsidTr="00282F0D">
        <w:trPr>
          <w:trHeight w:val="95"/>
        </w:trPr>
        <w:tc>
          <w:tcPr>
            <w:tcW w:w="5000" w:type="pct"/>
            <w:gridSpan w:val="7"/>
            <w:tcBorders>
              <w:bottom w:val="nil"/>
            </w:tcBorders>
            <w:noWrap/>
          </w:tcPr>
          <w:p w14:paraId="26F29C65" w14:textId="77777777" w:rsidR="00E20F5E" w:rsidRPr="0049394D" w:rsidRDefault="00E20F5E" w:rsidP="00282F0D">
            <w:pPr>
              <w:pStyle w:val="TableText0"/>
              <w:keepNext w:val="0"/>
              <w:rPr>
                <w:i/>
                <w:iCs/>
              </w:rPr>
            </w:pPr>
            <w:r w:rsidRPr="0049394D">
              <w:t>Non-surgical disutilities (base case one-off adverse event disutility only)</w:t>
            </w:r>
          </w:p>
        </w:tc>
      </w:tr>
      <w:tr w:rsidR="00E20F5E" w:rsidRPr="0049394D" w14:paraId="2A10836D" w14:textId="77777777" w:rsidTr="00376962">
        <w:trPr>
          <w:trHeight w:val="66"/>
        </w:trPr>
        <w:tc>
          <w:tcPr>
            <w:tcW w:w="1493" w:type="pct"/>
            <w:tcBorders>
              <w:top w:val="nil"/>
            </w:tcBorders>
            <w:noWrap/>
          </w:tcPr>
          <w:p w14:paraId="2EF236E2" w14:textId="77777777" w:rsidR="00E20F5E" w:rsidRPr="0049394D" w:rsidRDefault="00E20F5E" w:rsidP="00282F0D">
            <w:pPr>
              <w:pStyle w:val="TableText0"/>
              <w:keepNext w:val="0"/>
            </w:pPr>
            <w:r w:rsidRPr="0049394D">
              <w:t>Apply caregiver disutility</w:t>
            </w:r>
          </w:p>
        </w:tc>
        <w:tc>
          <w:tcPr>
            <w:tcW w:w="584" w:type="pct"/>
            <w:tcBorders>
              <w:top w:val="nil"/>
            </w:tcBorders>
            <w:noWrap/>
            <w:vAlign w:val="center"/>
          </w:tcPr>
          <w:p w14:paraId="1D30592A" w14:textId="5C73C2F9" w:rsidR="00E20F5E" w:rsidRPr="0049394D" w:rsidRDefault="00501C36" w:rsidP="00376962">
            <w:pPr>
              <w:pStyle w:val="TableText0"/>
              <w:keepNext w:val="0"/>
              <w:jc w:val="center"/>
            </w:pPr>
            <w:r w:rsidRPr="00501C36">
              <w:rPr>
                <w:color w:val="000000"/>
                <w:spacing w:val="79"/>
                <w:shd w:val="solid" w:color="000000" w:fill="000000"/>
                <w:fitText w:val="165" w:id="-893684218"/>
                <w14:textFill>
                  <w14:solidFill>
                    <w14:srgbClr w14:val="000000">
                      <w14:alpha w14:val="100000"/>
                    </w14:srgbClr>
                  </w14:solidFill>
                </w14:textFill>
              </w:rPr>
              <w:t>|</w:t>
            </w:r>
            <w:r w:rsidRPr="00501C36">
              <w:rPr>
                <w:color w:val="000000"/>
                <w:spacing w:val="1"/>
                <w:shd w:val="solid" w:color="000000" w:fill="000000"/>
                <w:fitText w:val="165" w:id="-893684218"/>
                <w14:textFill>
                  <w14:solidFill>
                    <w14:srgbClr w14:val="000000">
                      <w14:alpha w14:val="100000"/>
                    </w14:srgbClr>
                  </w14:solidFill>
                </w14:textFill>
              </w:rPr>
              <w:t>|</w:t>
            </w:r>
            <w:r w:rsidR="002C406B" w:rsidRPr="003F0AD1">
              <w:rPr>
                <w:vertAlign w:val="superscript"/>
              </w:rPr>
              <w:t>1</w:t>
            </w:r>
          </w:p>
        </w:tc>
        <w:tc>
          <w:tcPr>
            <w:tcW w:w="585" w:type="pct"/>
            <w:tcBorders>
              <w:top w:val="nil"/>
            </w:tcBorders>
            <w:noWrap/>
            <w:vAlign w:val="center"/>
          </w:tcPr>
          <w:p w14:paraId="62D96AA9" w14:textId="6B3AA4E6"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17"/>
                <w14:textFill>
                  <w14:solidFill>
                    <w14:srgbClr w14:val="000000">
                      <w14:alpha w14:val="100000"/>
                    </w14:srgbClr>
                  </w14:solidFill>
                </w14:textFill>
              </w:rPr>
              <w:t>||</w:t>
            </w:r>
            <w:r w:rsidR="00501C36" w:rsidRPr="00501C36">
              <w:rPr>
                <w:color w:val="000000"/>
                <w:spacing w:val="2"/>
                <w:shd w:val="solid" w:color="000000" w:fill="000000"/>
                <w:fitText w:val="225" w:id="-893684217"/>
                <w14:textFill>
                  <w14:solidFill>
                    <w14:srgbClr w14:val="000000">
                      <w14:alpha w14:val="100000"/>
                    </w14:srgbClr>
                  </w14:solidFill>
                </w14:textFill>
              </w:rPr>
              <w:t>|</w:t>
            </w:r>
            <w:r w:rsidRPr="0049394D">
              <w:t>%</w:t>
            </w:r>
          </w:p>
        </w:tc>
        <w:tc>
          <w:tcPr>
            <w:tcW w:w="584" w:type="pct"/>
            <w:tcBorders>
              <w:top w:val="nil"/>
            </w:tcBorders>
            <w:vAlign w:val="center"/>
          </w:tcPr>
          <w:p w14:paraId="49DDBD65" w14:textId="7438A47E" w:rsidR="00E20F5E" w:rsidRPr="0049394D" w:rsidRDefault="00501C36" w:rsidP="00376962">
            <w:pPr>
              <w:pStyle w:val="TableText0"/>
              <w:keepNext w:val="0"/>
              <w:jc w:val="center"/>
            </w:pPr>
            <w:r w:rsidRPr="00501C36">
              <w:rPr>
                <w:color w:val="000000"/>
                <w:spacing w:val="79"/>
                <w:shd w:val="solid" w:color="000000" w:fill="000000"/>
                <w:fitText w:val="165" w:id="-893684216"/>
                <w14:textFill>
                  <w14:solidFill>
                    <w14:srgbClr w14:val="000000">
                      <w14:alpha w14:val="100000"/>
                    </w14:srgbClr>
                  </w14:solidFill>
                </w14:textFill>
              </w:rPr>
              <w:t>|</w:t>
            </w:r>
            <w:r w:rsidRPr="00501C36">
              <w:rPr>
                <w:color w:val="000000"/>
                <w:spacing w:val="1"/>
                <w:shd w:val="solid" w:color="000000" w:fill="000000"/>
                <w:fitText w:val="165" w:id="-893684216"/>
                <w14:textFill>
                  <w14:solidFill>
                    <w14:srgbClr w14:val="000000">
                      <w14:alpha w14:val="100000"/>
                    </w14:srgbClr>
                  </w14:solidFill>
                </w14:textFill>
              </w:rPr>
              <w:t>|</w:t>
            </w:r>
            <w:r w:rsidR="002C406B" w:rsidRPr="003F0AD1">
              <w:rPr>
                <w:vertAlign w:val="superscript"/>
              </w:rPr>
              <w:t>1</w:t>
            </w:r>
          </w:p>
        </w:tc>
        <w:tc>
          <w:tcPr>
            <w:tcW w:w="585" w:type="pct"/>
            <w:tcBorders>
              <w:top w:val="nil"/>
            </w:tcBorders>
            <w:vAlign w:val="center"/>
          </w:tcPr>
          <w:p w14:paraId="5AB7AA06" w14:textId="7B402EB9"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15"/>
                <w14:textFill>
                  <w14:solidFill>
                    <w14:srgbClr w14:val="000000">
                      <w14:alpha w14:val="100000"/>
                    </w14:srgbClr>
                  </w14:solidFill>
                </w14:textFill>
              </w:rPr>
              <w:t>||</w:t>
            </w:r>
            <w:r w:rsidR="00501C36" w:rsidRPr="00501C36">
              <w:rPr>
                <w:color w:val="000000"/>
                <w:spacing w:val="2"/>
                <w:shd w:val="solid" w:color="000000" w:fill="000000"/>
                <w:fitText w:val="225" w:id="-893684215"/>
                <w14:textFill>
                  <w14:solidFill>
                    <w14:srgbClr w14:val="000000">
                      <w14:alpha w14:val="100000"/>
                    </w14:srgbClr>
                  </w14:solidFill>
                </w14:textFill>
              </w:rPr>
              <w:t>|</w:t>
            </w:r>
            <w:r w:rsidRPr="0049394D">
              <w:t>%</w:t>
            </w:r>
          </w:p>
        </w:tc>
        <w:tc>
          <w:tcPr>
            <w:tcW w:w="584" w:type="pct"/>
            <w:tcBorders>
              <w:top w:val="nil"/>
            </w:tcBorders>
            <w:vAlign w:val="center"/>
          </w:tcPr>
          <w:p w14:paraId="53029C51" w14:textId="4BF67B56" w:rsidR="00E20F5E" w:rsidRPr="0049394D" w:rsidRDefault="00501C36" w:rsidP="00376962">
            <w:pPr>
              <w:pStyle w:val="TableText0"/>
              <w:keepNext w:val="0"/>
              <w:jc w:val="center"/>
            </w:pPr>
            <w:r w:rsidRPr="00501C36">
              <w:rPr>
                <w:color w:val="000000"/>
                <w:spacing w:val="79"/>
                <w:shd w:val="solid" w:color="000000" w:fill="000000"/>
                <w:fitText w:val="165" w:id="-893684214"/>
                <w14:textFill>
                  <w14:solidFill>
                    <w14:srgbClr w14:val="000000">
                      <w14:alpha w14:val="100000"/>
                    </w14:srgbClr>
                  </w14:solidFill>
                </w14:textFill>
              </w:rPr>
              <w:t>|</w:t>
            </w:r>
            <w:r w:rsidRPr="00501C36">
              <w:rPr>
                <w:color w:val="000000"/>
                <w:spacing w:val="1"/>
                <w:shd w:val="solid" w:color="000000" w:fill="000000"/>
                <w:fitText w:val="165" w:id="-893684214"/>
                <w14:textFill>
                  <w14:solidFill>
                    <w14:srgbClr w14:val="000000">
                      <w14:alpha w14:val="100000"/>
                    </w14:srgbClr>
                  </w14:solidFill>
                </w14:textFill>
              </w:rPr>
              <w:t>|</w:t>
            </w:r>
            <w:r w:rsidR="002C406B" w:rsidRPr="003F0AD1">
              <w:rPr>
                <w:vertAlign w:val="superscript"/>
              </w:rPr>
              <w:t>1</w:t>
            </w:r>
          </w:p>
        </w:tc>
        <w:tc>
          <w:tcPr>
            <w:tcW w:w="585" w:type="pct"/>
            <w:tcBorders>
              <w:top w:val="nil"/>
            </w:tcBorders>
            <w:vAlign w:val="center"/>
          </w:tcPr>
          <w:p w14:paraId="2633BE19" w14:textId="72C7AAB5"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13"/>
                <w14:textFill>
                  <w14:solidFill>
                    <w14:srgbClr w14:val="000000">
                      <w14:alpha w14:val="100000"/>
                    </w14:srgbClr>
                  </w14:solidFill>
                </w14:textFill>
              </w:rPr>
              <w:t>||</w:t>
            </w:r>
            <w:r w:rsidR="00501C36" w:rsidRPr="00501C36">
              <w:rPr>
                <w:color w:val="000000"/>
                <w:spacing w:val="2"/>
                <w:shd w:val="solid" w:color="000000" w:fill="000000"/>
                <w:fitText w:val="225" w:id="-893684213"/>
                <w14:textFill>
                  <w14:solidFill>
                    <w14:srgbClr w14:val="000000">
                      <w14:alpha w14:val="100000"/>
                    </w14:srgbClr>
                  </w14:solidFill>
                </w14:textFill>
              </w:rPr>
              <w:t>|</w:t>
            </w:r>
            <w:r w:rsidRPr="0049394D">
              <w:t>%</w:t>
            </w:r>
          </w:p>
        </w:tc>
      </w:tr>
      <w:tr w:rsidR="00E20F5E" w:rsidRPr="0049394D" w14:paraId="3957C24C" w14:textId="77777777" w:rsidTr="00282F0D">
        <w:trPr>
          <w:trHeight w:val="300"/>
        </w:trPr>
        <w:tc>
          <w:tcPr>
            <w:tcW w:w="5000" w:type="pct"/>
            <w:gridSpan w:val="7"/>
            <w:tcBorders>
              <w:bottom w:val="nil"/>
            </w:tcBorders>
            <w:noWrap/>
          </w:tcPr>
          <w:p w14:paraId="568EA4DE" w14:textId="77777777" w:rsidR="00E20F5E" w:rsidRPr="0049394D" w:rsidRDefault="00E20F5E" w:rsidP="00282F0D">
            <w:pPr>
              <w:pStyle w:val="TableText0"/>
              <w:keepNext w:val="0"/>
              <w:rPr>
                <w:bCs w:val="0"/>
              </w:rPr>
            </w:pPr>
            <w:r w:rsidRPr="0049394D">
              <w:rPr>
                <w:bCs w:val="0"/>
              </w:rPr>
              <w:t>Indirect costs (base case: none)</w:t>
            </w:r>
          </w:p>
        </w:tc>
      </w:tr>
      <w:tr w:rsidR="00E20F5E" w:rsidRPr="0049394D" w14:paraId="30184E45" w14:textId="77777777" w:rsidTr="00376962">
        <w:trPr>
          <w:trHeight w:val="66"/>
        </w:trPr>
        <w:tc>
          <w:tcPr>
            <w:tcW w:w="1493" w:type="pct"/>
            <w:tcBorders>
              <w:top w:val="nil"/>
              <w:bottom w:val="nil"/>
            </w:tcBorders>
            <w:noWrap/>
          </w:tcPr>
          <w:p w14:paraId="76C5BBCB" w14:textId="5FEB058D" w:rsidR="00E20F5E" w:rsidRPr="0049394D" w:rsidRDefault="00E20F5E" w:rsidP="00282F0D">
            <w:pPr>
              <w:pStyle w:val="TableText0"/>
              <w:keepNext w:val="0"/>
            </w:pPr>
            <w:r w:rsidRPr="0049394D">
              <w:t>Due to premature death</w:t>
            </w:r>
          </w:p>
        </w:tc>
        <w:tc>
          <w:tcPr>
            <w:tcW w:w="584" w:type="pct"/>
            <w:tcBorders>
              <w:top w:val="nil"/>
              <w:bottom w:val="nil"/>
            </w:tcBorders>
            <w:noWrap/>
            <w:vAlign w:val="center"/>
          </w:tcPr>
          <w:p w14:paraId="1AC240F3" w14:textId="12496D90" w:rsidR="00E20F5E" w:rsidRPr="0009066F" w:rsidRDefault="00501C36" w:rsidP="00376962">
            <w:pPr>
              <w:pStyle w:val="TableText0"/>
              <w:keepNext w:val="0"/>
              <w:jc w:val="center"/>
              <w:rPr>
                <w:highlight w:val="lightGray"/>
              </w:rPr>
            </w:pPr>
            <w:r w:rsidRPr="00501C36">
              <w:rPr>
                <w:color w:val="000000"/>
                <w:spacing w:val="79"/>
                <w:shd w:val="solid" w:color="000000" w:fill="000000"/>
                <w:fitText w:val="165" w:id="-893684212"/>
                <w14:textFill>
                  <w14:solidFill>
                    <w14:srgbClr w14:val="000000">
                      <w14:alpha w14:val="100000"/>
                    </w14:srgbClr>
                  </w14:solidFill>
                </w14:textFill>
              </w:rPr>
              <w:t>|</w:t>
            </w:r>
            <w:r w:rsidRPr="00501C36">
              <w:rPr>
                <w:color w:val="000000"/>
                <w:spacing w:val="1"/>
                <w:shd w:val="solid" w:color="000000" w:fill="000000"/>
                <w:fitText w:val="165" w:id="-893684212"/>
                <w14:textFill>
                  <w14:solidFill>
                    <w14:srgbClr w14:val="000000">
                      <w14:alpha w14:val="100000"/>
                    </w14:srgbClr>
                  </w14:solidFill>
                </w14:textFill>
              </w:rPr>
              <w:t>|</w:t>
            </w:r>
            <w:r w:rsidR="002C406B" w:rsidRPr="003F0AD1">
              <w:rPr>
                <w:vertAlign w:val="superscript"/>
              </w:rPr>
              <w:t>1</w:t>
            </w:r>
          </w:p>
        </w:tc>
        <w:tc>
          <w:tcPr>
            <w:tcW w:w="585" w:type="pct"/>
            <w:tcBorders>
              <w:top w:val="nil"/>
              <w:bottom w:val="nil"/>
            </w:tcBorders>
            <w:noWrap/>
            <w:vAlign w:val="center"/>
          </w:tcPr>
          <w:p w14:paraId="29427AD4" w14:textId="07F93513" w:rsidR="00E20F5E" w:rsidRPr="0049394D" w:rsidRDefault="00E20F5E" w:rsidP="00376962">
            <w:pPr>
              <w:pStyle w:val="TableText0"/>
              <w:keepNext w:val="0"/>
              <w:jc w:val="center"/>
            </w:pPr>
            <w:r w:rsidRPr="0049394D">
              <w:t>-</w:t>
            </w:r>
            <w:r w:rsidR="00501C36" w:rsidRPr="00501C36">
              <w:rPr>
                <w:color w:val="000000"/>
                <w:spacing w:val="214"/>
                <w:shd w:val="solid" w:color="000000" w:fill="000000"/>
                <w:fitText w:val="300" w:id="-893684211"/>
                <w14:textFill>
                  <w14:solidFill>
                    <w14:srgbClr w14:val="000000">
                      <w14:alpha w14:val="100000"/>
                    </w14:srgbClr>
                  </w14:solidFill>
                </w14:textFill>
              </w:rPr>
              <w:t>|</w:t>
            </w:r>
            <w:r w:rsidR="00501C36" w:rsidRPr="00501C36">
              <w:rPr>
                <w:color w:val="000000"/>
                <w:spacing w:val="1"/>
                <w:shd w:val="solid" w:color="000000" w:fill="000000"/>
                <w:fitText w:val="300" w:id="-893684211"/>
                <w14:textFill>
                  <w14:solidFill>
                    <w14:srgbClr w14:val="000000">
                      <w14:alpha w14:val="100000"/>
                    </w14:srgbClr>
                  </w14:solidFill>
                </w14:textFill>
              </w:rPr>
              <w:t>|</w:t>
            </w:r>
            <w:r w:rsidRPr="0049394D">
              <w:t>.7%</w:t>
            </w:r>
          </w:p>
        </w:tc>
        <w:tc>
          <w:tcPr>
            <w:tcW w:w="584" w:type="pct"/>
            <w:tcBorders>
              <w:top w:val="nil"/>
              <w:bottom w:val="nil"/>
            </w:tcBorders>
            <w:vAlign w:val="center"/>
          </w:tcPr>
          <w:p w14:paraId="766ED49B" w14:textId="4AF54374" w:rsidR="00E20F5E" w:rsidRPr="0009066F" w:rsidRDefault="00501C36" w:rsidP="00376962">
            <w:pPr>
              <w:pStyle w:val="TableText0"/>
              <w:keepNext w:val="0"/>
              <w:jc w:val="center"/>
              <w:rPr>
                <w:highlight w:val="lightGray"/>
              </w:rPr>
            </w:pPr>
            <w:r w:rsidRPr="00501C36">
              <w:rPr>
                <w:color w:val="000000"/>
                <w:spacing w:val="79"/>
                <w:shd w:val="solid" w:color="000000" w:fill="000000"/>
                <w:fitText w:val="165" w:id="-893684210"/>
                <w14:textFill>
                  <w14:solidFill>
                    <w14:srgbClr w14:val="000000">
                      <w14:alpha w14:val="100000"/>
                    </w14:srgbClr>
                  </w14:solidFill>
                </w14:textFill>
              </w:rPr>
              <w:t>|</w:t>
            </w:r>
            <w:r w:rsidRPr="00501C36">
              <w:rPr>
                <w:color w:val="000000"/>
                <w:spacing w:val="1"/>
                <w:shd w:val="solid" w:color="000000" w:fill="000000"/>
                <w:fitText w:val="165" w:id="-893684210"/>
                <w14:textFill>
                  <w14:solidFill>
                    <w14:srgbClr w14:val="000000">
                      <w14:alpha w14:val="100000"/>
                    </w14:srgbClr>
                  </w14:solidFill>
                </w14:textFill>
              </w:rPr>
              <w:t>|</w:t>
            </w:r>
            <w:r w:rsidR="002C406B" w:rsidRPr="003F0AD1">
              <w:rPr>
                <w:vertAlign w:val="superscript"/>
              </w:rPr>
              <w:t>1</w:t>
            </w:r>
          </w:p>
        </w:tc>
        <w:tc>
          <w:tcPr>
            <w:tcW w:w="585" w:type="pct"/>
            <w:tcBorders>
              <w:top w:val="nil"/>
              <w:bottom w:val="nil"/>
            </w:tcBorders>
            <w:vAlign w:val="center"/>
          </w:tcPr>
          <w:p w14:paraId="14DF23FD" w14:textId="101B1528"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09"/>
                <w14:textFill>
                  <w14:solidFill>
                    <w14:srgbClr w14:val="000000">
                      <w14:alpha w14:val="100000"/>
                    </w14:srgbClr>
                  </w14:solidFill>
                </w14:textFill>
              </w:rPr>
              <w:t>||</w:t>
            </w:r>
            <w:r w:rsidR="00501C36" w:rsidRPr="00501C36">
              <w:rPr>
                <w:color w:val="000000"/>
                <w:spacing w:val="2"/>
                <w:shd w:val="solid" w:color="000000" w:fill="000000"/>
                <w:fitText w:val="225" w:id="-893684209"/>
                <w14:textFill>
                  <w14:solidFill>
                    <w14:srgbClr w14:val="000000">
                      <w14:alpha w14:val="100000"/>
                    </w14:srgbClr>
                  </w14:solidFill>
                </w14:textFill>
              </w:rPr>
              <w:t>|</w:t>
            </w:r>
            <w:r w:rsidRPr="0049394D">
              <w:t>%</w:t>
            </w:r>
          </w:p>
        </w:tc>
        <w:tc>
          <w:tcPr>
            <w:tcW w:w="584" w:type="pct"/>
            <w:tcBorders>
              <w:top w:val="nil"/>
              <w:bottom w:val="nil"/>
            </w:tcBorders>
            <w:vAlign w:val="center"/>
          </w:tcPr>
          <w:p w14:paraId="4F74671E" w14:textId="67B530E3" w:rsidR="00E20F5E" w:rsidRPr="0009066F" w:rsidRDefault="00501C36" w:rsidP="00376962">
            <w:pPr>
              <w:pStyle w:val="TableText0"/>
              <w:keepNext w:val="0"/>
              <w:jc w:val="center"/>
              <w:rPr>
                <w:highlight w:val="lightGray"/>
              </w:rPr>
            </w:pPr>
            <w:r w:rsidRPr="00501C36">
              <w:rPr>
                <w:color w:val="000000"/>
                <w:spacing w:val="79"/>
                <w:shd w:val="solid" w:color="000000" w:fill="000000"/>
                <w:fitText w:val="165" w:id="-893684208"/>
                <w14:textFill>
                  <w14:solidFill>
                    <w14:srgbClr w14:val="000000">
                      <w14:alpha w14:val="100000"/>
                    </w14:srgbClr>
                  </w14:solidFill>
                </w14:textFill>
              </w:rPr>
              <w:t>|</w:t>
            </w:r>
            <w:r w:rsidRPr="00501C36">
              <w:rPr>
                <w:color w:val="000000"/>
                <w:spacing w:val="1"/>
                <w:shd w:val="solid" w:color="000000" w:fill="000000"/>
                <w:fitText w:val="165" w:id="-893684208"/>
                <w14:textFill>
                  <w14:solidFill>
                    <w14:srgbClr w14:val="000000">
                      <w14:alpha w14:val="100000"/>
                    </w14:srgbClr>
                  </w14:solidFill>
                </w14:textFill>
              </w:rPr>
              <w:t>|</w:t>
            </w:r>
            <w:r w:rsidR="002C406B" w:rsidRPr="0009066F">
              <w:rPr>
                <w:vertAlign w:val="superscript"/>
              </w:rPr>
              <w:t>2</w:t>
            </w:r>
          </w:p>
        </w:tc>
        <w:tc>
          <w:tcPr>
            <w:tcW w:w="585" w:type="pct"/>
            <w:tcBorders>
              <w:top w:val="nil"/>
              <w:bottom w:val="nil"/>
            </w:tcBorders>
            <w:vAlign w:val="center"/>
          </w:tcPr>
          <w:p w14:paraId="3FA4CB4E" w14:textId="42DBA694"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24"/>
                <w14:textFill>
                  <w14:solidFill>
                    <w14:srgbClr w14:val="000000">
                      <w14:alpha w14:val="100000"/>
                    </w14:srgbClr>
                  </w14:solidFill>
                </w14:textFill>
              </w:rPr>
              <w:t>||</w:t>
            </w:r>
            <w:r w:rsidR="00501C36" w:rsidRPr="00501C36">
              <w:rPr>
                <w:color w:val="000000"/>
                <w:spacing w:val="2"/>
                <w:shd w:val="solid" w:color="000000" w:fill="000000"/>
                <w:fitText w:val="225" w:id="-893684224"/>
                <w14:textFill>
                  <w14:solidFill>
                    <w14:srgbClr w14:val="000000">
                      <w14:alpha w14:val="100000"/>
                    </w14:srgbClr>
                  </w14:solidFill>
                </w14:textFill>
              </w:rPr>
              <w:t>|</w:t>
            </w:r>
            <w:r w:rsidRPr="0049394D">
              <w:t>%</w:t>
            </w:r>
          </w:p>
        </w:tc>
      </w:tr>
      <w:tr w:rsidR="00E20F5E" w:rsidRPr="0049394D" w14:paraId="0760CBFB" w14:textId="77777777" w:rsidTr="00376962">
        <w:trPr>
          <w:trHeight w:val="300"/>
        </w:trPr>
        <w:tc>
          <w:tcPr>
            <w:tcW w:w="1493" w:type="pct"/>
            <w:tcBorders>
              <w:top w:val="nil"/>
              <w:bottom w:val="nil"/>
            </w:tcBorders>
            <w:noWrap/>
          </w:tcPr>
          <w:p w14:paraId="2F7F8C3A" w14:textId="77777777" w:rsidR="00E20F5E" w:rsidRPr="0049394D" w:rsidRDefault="00E20F5E" w:rsidP="00282F0D">
            <w:pPr>
              <w:pStyle w:val="TableText0"/>
              <w:keepNext w:val="0"/>
              <w:rPr>
                <w:iCs/>
              </w:rPr>
            </w:pPr>
            <w:r w:rsidRPr="0049394D">
              <w:rPr>
                <w:iCs/>
              </w:rPr>
              <w:t>Due to work productivity impairment while alive</w:t>
            </w:r>
          </w:p>
        </w:tc>
        <w:tc>
          <w:tcPr>
            <w:tcW w:w="584" w:type="pct"/>
            <w:tcBorders>
              <w:top w:val="nil"/>
              <w:bottom w:val="nil"/>
            </w:tcBorders>
            <w:noWrap/>
            <w:vAlign w:val="center"/>
          </w:tcPr>
          <w:p w14:paraId="4B335AC5" w14:textId="4FE3D681" w:rsidR="00E20F5E" w:rsidRPr="0009066F" w:rsidRDefault="00501C36" w:rsidP="00376962">
            <w:pPr>
              <w:pStyle w:val="TableText0"/>
              <w:keepNext w:val="0"/>
              <w:jc w:val="center"/>
              <w:rPr>
                <w:iCs/>
                <w:highlight w:val="lightGray"/>
              </w:rPr>
            </w:pPr>
            <w:r w:rsidRPr="00501C36">
              <w:rPr>
                <w:iCs/>
                <w:color w:val="000000"/>
                <w:spacing w:val="79"/>
                <w:shd w:val="solid" w:color="000000" w:fill="000000"/>
                <w:fitText w:val="165" w:id="-893684223"/>
                <w14:textFill>
                  <w14:solidFill>
                    <w14:srgbClr w14:val="000000">
                      <w14:alpha w14:val="100000"/>
                    </w14:srgbClr>
                  </w14:solidFill>
                </w14:textFill>
              </w:rPr>
              <w:t>|</w:t>
            </w:r>
            <w:r w:rsidRPr="00501C36">
              <w:rPr>
                <w:iCs/>
                <w:color w:val="000000"/>
                <w:spacing w:val="1"/>
                <w:shd w:val="solid" w:color="000000" w:fill="000000"/>
                <w:fitText w:val="165" w:id="-893684223"/>
                <w14:textFill>
                  <w14:solidFill>
                    <w14:srgbClr w14:val="000000">
                      <w14:alpha w14:val="100000"/>
                    </w14:srgbClr>
                  </w14:solidFill>
                </w14:textFill>
              </w:rPr>
              <w:t>|</w:t>
            </w:r>
            <w:r w:rsidR="002C406B" w:rsidRPr="0009066F">
              <w:rPr>
                <w:iCs/>
                <w:vertAlign w:val="superscript"/>
              </w:rPr>
              <w:t>3</w:t>
            </w:r>
          </w:p>
        </w:tc>
        <w:tc>
          <w:tcPr>
            <w:tcW w:w="585" w:type="pct"/>
            <w:tcBorders>
              <w:top w:val="nil"/>
              <w:bottom w:val="nil"/>
            </w:tcBorders>
            <w:noWrap/>
            <w:vAlign w:val="center"/>
          </w:tcPr>
          <w:p w14:paraId="0C2E1F45" w14:textId="23335038" w:rsidR="00E20F5E" w:rsidRPr="0049394D" w:rsidRDefault="00501C36" w:rsidP="00376962">
            <w:pPr>
              <w:pStyle w:val="TableText0"/>
              <w:keepNext w:val="0"/>
              <w:jc w:val="center"/>
              <w:rPr>
                <w:iCs/>
              </w:rPr>
            </w:pPr>
            <w:r w:rsidRPr="00501C36">
              <w:rPr>
                <w:iCs/>
                <w:color w:val="000000"/>
                <w:spacing w:val="109"/>
                <w:shd w:val="solid" w:color="000000" w:fill="000000"/>
                <w:fitText w:val="195" w:id="-893684222"/>
                <w14:textFill>
                  <w14:solidFill>
                    <w14:srgbClr w14:val="000000">
                      <w14:alpha w14:val="100000"/>
                    </w14:srgbClr>
                  </w14:solidFill>
                </w14:textFill>
              </w:rPr>
              <w:t>|</w:t>
            </w:r>
            <w:r w:rsidRPr="00501C36">
              <w:rPr>
                <w:iCs/>
                <w:color w:val="000000"/>
                <w:spacing w:val="1"/>
                <w:shd w:val="solid" w:color="000000" w:fill="000000"/>
                <w:fitText w:val="195" w:id="-893684222"/>
                <w14:textFill>
                  <w14:solidFill>
                    <w14:srgbClr w14:val="000000">
                      <w14:alpha w14:val="100000"/>
                    </w14:srgbClr>
                  </w14:solidFill>
                </w14:textFill>
              </w:rPr>
              <w:t>|</w:t>
            </w:r>
            <w:r w:rsidR="00E20F5E" w:rsidRPr="0049394D">
              <w:rPr>
                <w:iCs/>
              </w:rPr>
              <w:t>%</w:t>
            </w:r>
          </w:p>
        </w:tc>
        <w:tc>
          <w:tcPr>
            <w:tcW w:w="584" w:type="pct"/>
            <w:tcBorders>
              <w:top w:val="nil"/>
              <w:bottom w:val="nil"/>
            </w:tcBorders>
            <w:vAlign w:val="center"/>
          </w:tcPr>
          <w:p w14:paraId="60725C87" w14:textId="47781203" w:rsidR="00E20F5E" w:rsidRPr="0009066F" w:rsidRDefault="00501C36" w:rsidP="00376962">
            <w:pPr>
              <w:pStyle w:val="TableText0"/>
              <w:keepNext w:val="0"/>
              <w:jc w:val="center"/>
              <w:rPr>
                <w:iCs/>
                <w:highlight w:val="lightGray"/>
              </w:rPr>
            </w:pPr>
            <w:r w:rsidRPr="00501C36">
              <w:rPr>
                <w:iCs/>
                <w:color w:val="000000"/>
                <w:spacing w:val="79"/>
                <w:shd w:val="solid" w:color="000000" w:fill="000000"/>
                <w:fitText w:val="165" w:id="-893684221"/>
                <w14:textFill>
                  <w14:solidFill>
                    <w14:srgbClr w14:val="000000">
                      <w14:alpha w14:val="100000"/>
                    </w14:srgbClr>
                  </w14:solidFill>
                </w14:textFill>
              </w:rPr>
              <w:t>|</w:t>
            </w:r>
            <w:r w:rsidRPr="00501C36">
              <w:rPr>
                <w:iCs/>
                <w:color w:val="000000"/>
                <w:spacing w:val="1"/>
                <w:shd w:val="solid" w:color="000000" w:fill="000000"/>
                <w:fitText w:val="165" w:id="-893684221"/>
                <w14:textFill>
                  <w14:solidFill>
                    <w14:srgbClr w14:val="000000">
                      <w14:alpha w14:val="100000"/>
                    </w14:srgbClr>
                  </w14:solidFill>
                </w14:textFill>
              </w:rPr>
              <w:t>|</w:t>
            </w:r>
            <w:r w:rsidR="002C406B" w:rsidRPr="003F0AD1">
              <w:rPr>
                <w:vertAlign w:val="superscript"/>
              </w:rPr>
              <w:t>1</w:t>
            </w:r>
          </w:p>
        </w:tc>
        <w:tc>
          <w:tcPr>
            <w:tcW w:w="585" w:type="pct"/>
            <w:tcBorders>
              <w:top w:val="nil"/>
              <w:bottom w:val="nil"/>
            </w:tcBorders>
            <w:vAlign w:val="center"/>
          </w:tcPr>
          <w:p w14:paraId="1E54854E" w14:textId="0A4ACBBF" w:rsidR="00E20F5E" w:rsidRPr="0049394D" w:rsidRDefault="00501C36" w:rsidP="00376962">
            <w:pPr>
              <w:pStyle w:val="TableText0"/>
              <w:keepNext w:val="0"/>
              <w:jc w:val="center"/>
              <w:rPr>
                <w:iCs/>
              </w:rPr>
            </w:pPr>
            <w:r w:rsidRPr="00501C36">
              <w:rPr>
                <w:iCs/>
                <w:color w:val="000000"/>
                <w:spacing w:val="109"/>
                <w:shd w:val="solid" w:color="000000" w:fill="000000"/>
                <w:fitText w:val="195" w:id="-893684220"/>
                <w14:textFill>
                  <w14:solidFill>
                    <w14:srgbClr w14:val="000000">
                      <w14:alpha w14:val="100000"/>
                    </w14:srgbClr>
                  </w14:solidFill>
                </w14:textFill>
              </w:rPr>
              <w:t>|</w:t>
            </w:r>
            <w:r w:rsidRPr="00501C36">
              <w:rPr>
                <w:iCs/>
                <w:color w:val="000000"/>
                <w:spacing w:val="1"/>
                <w:shd w:val="solid" w:color="000000" w:fill="000000"/>
                <w:fitText w:val="195" w:id="-893684220"/>
                <w14:textFill>
                  <w14:solidFill>
                    <w14:srgbClr w14:val="000000">
                      <w14:alpha w14:val="100000"/>
                    </w14:srgbClr>
                  </w14:solidFill>
                </w14:textFill>
              </w:rPr>
              <w:t>|</w:t>
            </w:r>
            <w:r w:rsidR="00E20F5E" w:rsidRPr="0049394D">
              <w:rPr>
                <w:iCs/>
              </w:rPr>
              <w:t>%</w:t>
            </w:r>
          </w:p>
        </w:tc>
        <w:tc>
          <w:tcPr>
            <w:tcW w:w="584" w:type="pct"/>
            <w:tcBorders>
              <w:top w:val="nil"/>
              <w:bottom w:val="nil"/>
            </w:tcBorders>
            <w:vAlign w:val="center"/>
          </w:tcPr>
          <w:p w14:paraId="2B8AC825" w14:textId="5F7E7A31" w:rsidR="00E20F5E" w:rsidRPr="0009066F" w:rsidRDefault="00501C36" w:rsidP="00376962">
            <w:pPr>
              <w:pStyle w:val="TableText0"/>
              <w:keepNext w:val="0"/>
              <w:jc w:val="center"/>
              <w:rPr>
                <w:iCs/>
                <w:highlight w:val="lightGray"/>
              </w:rPr>
            </w:pPr>
            <w:r w:rsidRPr="00501C36">
              <w:rPr>
                <w:iCs/>
                <w:color w:val="000000"/>
                <w:spacing w:val="79"/>
                <w:shd w:val="solid" w:color="000000" w:fill="000000"/>
                <w:fitText w:val="165" w:id="-893684219"/>
                <w14:textFill>
                  <w14:solidFill>
                    <w14:srgbClr w14:val="000000">
                      <w14:alpha w14:val="100000"/>
                    </w14:srgbClr>
                  </w14:solidFill>
                </w14:textFill>
              </w:rPr>
              <w:t>|</w:t>
            </w:r>
            <w:r w:rsidRPr="00501C36">
              <w:rPr>
                <w:iCs/>
                <w:color w:val="000000"/>
                <w:spacing w:val="1"/>
                <w:shd w:val="solid" w:color="000000" w:fill="000000"/>
                <w:fitText w:val="165" w:id="-893684219"/>
                <w14:textFill>
                  <w14:solidFill>
                    <w14:srgbClr w14:val="000000">
                      <w14:alpha w14:val="100000"/>
                    </w14:srgbClr>
                  </w14:solidFill>
                </w14:textFill>
              </w:rPr>
              <w:t>|</w:t>
            </w:r>
            <w:r w:rsidR="002C406B" w:rsidRPr="003F0AD1">
              <w:rPr>
                <w:vertAlign w:val="superscript"/>
              </w:rPr>
              <w:t>1</w:t>
            </w:r>
          </w:p>
        </w:tc>
        <w:tc>
          <w:tcPr>
            <w:tcW w:w="585" w:type="pct"/>
            <w:tcBorders>
              <w:top w:val="nil"/>
              <w:bottom w:val="nil"/>
            </w:tcBorders>
            <w:vAlign w:val="center"/>
          </w:tcPr>
          <w:p w14:paraId="062CFFDF" w14:textId="5959EC0E" w:rsidR="00E20F5E" w:rsidRPr="0049394D" w:rsidRDefault="00501C36" w:rsidP="00376962">
            <w:pPr>
              <w:pStyle w:val="TableText0"/>
              <w:keepNext w:val="0"/>
              <w:jc w:val="center"/>
              <w:rPr>
                <w:iCs/>
              </w:rPr>
            </w:pPr>
            <w:r w:rsidRPr="00501C36">
              <w:rPr>
                <w:iCs/>
                <w:color w:val="000000"/>
                <w:spacing w:val="109"/>
                <w:shd w:val="solid" w:color="000000" w:fill="000000"/>
                <w:fitText w:val="195" w:id="-893684218"/>
                <w14:textFill>
                  <w14:solidFill>
                    <w14:srgbClr w14:val="000000">
                      <w14:alpha w14:val="100000"/>
                    </w14:srgbClr>
                  </w14:solidFill>
                </w14:textFill>
              </w:rPr>
              <w:t>|</w:t>
            </w:r>
            <w:r w:rsidRPr="00501C36">
              <w:rPr>
                <w:iCs/>
                <w:color w:val="000000"/>
                <w:spacing w:val="1"/>
                <w:shd w:val="solid" w:color="000000" w:fill="000000"/>
                <w:fitText w:val="195" w:id="-893684218"/>
                <w14:textFill>
                  <w14:solidFill>
                    <w14:srgbClr w14:val="000000">
                      <w14:alpha w14:val="100000"/>
                    </w14:srgbClr>
                  </w14:solidFill>
                </w14:textFill>
              </w:rPr>
              <w:t>|</w:t>
            </w:r>
            <w:r w:rsidR="00E20F5E" w:rsidRPr="0049394D">
              <w:rPr>
                <w:iCs/>
              </w:rPr>
              <w:t>%</w:t>
            </w:r>
          </w:p>
        </w:tc>
      </w:tr>
      <w:tr w:rsidR="00E20F5E" w:rsidRPr="0049394D" w14:paraId="6F6897BB" w14:textId="77777777" w:rsidTr="00376962">
        <w:trPr>
          <w:trHeight w:val="300"/>
        </w:trPr>
        <w:tc>
          <w:tcPr>
            <w:tcW w:w="1493" w:type="pct"/>
            <w:tcBorders>
              <w:top w:val="nil"/>
              <w:bottom w:val="single" w:sz="4" w:space="0" w:color="auto"/>
            </w:tcBorders>
            <w:noWrap/>
          </w:tcPr>
          <w:p w14:paraId="277E17FA" w14:textId="77777777" w:rsidR="00E20F5E" w:rsidRPr="0049394D" w:rsidRDefault="00E20F5E" w:rsidP="00282F0D">
            <w:pPr>
              <w:pStyle w:val="TableText0"/>
              <w:keepNext w:val="0"/>
            </w:pPr>
            <w:r w:rsidRPr="0049394D">
              <w:t>Due to premature death and work productivity impairment</w:t>
            </w:r>
          </w:p>
        </w:tc>
        <w:tc>
          <w:tcPr>
            <w:tcW w:w="584" w:type="pct"/>
            <w:tcBorders>
              <w:top w:val="nil"/>
              <w:bottom w:val="single" w:sz="4" w:space="0" w:color="auto"/>
            </w:tcBorders>
            <w:noWrap/>
            <w:vAlign w:val="center"/>
          </w:tcPr>
          <w:p w14:paraId="2B6AA9B6" w14:textId="527CA056" w:rsidR="00E20F5E" w:rsidRPr="0009066F" w:rsidRDefault="00501C36" w:rsidP="00376962">
            <w:pPr>
              <w:pStyle w:val="TableText0"/>
              <w:keepNext w:val="0"/>
              <w:jc w:val="center"/>
              <w:rPr>
                <w:highlight w:val="lightGray"/>
              </w:rPr>
            </w:pPr>
            <w:r w:rsidRPr="00501C36">
              <w:rPr>
                <w:color w:val="000000"/>
                <w:spacing w:val="79"/>
                <w:shd w:val="solid" w:color="000000" w:fill="000000"/>
                <w:fitText w:val="165" w:id="-893684217"/>
                <w14:textFill>
                  <w14:solidFill>
                    <w14:srgbClr w14:val="000000">
                      <w14:alpha w14:val="100000"/>
                    </w14:srgbClr>
                  </w14:solidFill>
                </w14:textFill>
              </w:rPr>
              <w:t>|</w:t>
            </w:r>
            <w:r w:rsidRPr="00501C36">
              <w:rPr>
                <w:color w:val="000000"/>
                <w:spacing w:val="1"/>
                <w:shd w:val="solid" w:color="000000" w:fill="000000"/>
                <w:fitText w:val="165" w:id="-893684217"/>
                <w14:textFill>
                  <w14:solidFill>
                    <w14:srgbClr w14:val="000000">
                      <w14:alpha w14:val="100000"/>
                    </w14:srgbClr>
                  </w14:solidFill>
                </w14:textFill>
              </w:rPr>
              <w:t>|</w:t>
            </w:r>
            <w:r w:rsidR="002C406B" w:rsidRPr="003F0AD1">
              <w:rPr>
                <w:vertAlign w:val="superscript"/>
              </w:rPr>
              <w:t>1</w:t>
            </w:r>
          </w:p>
        </w:tc>
        <w:tc>
          <w:tcPr>
            <w:tcW w:w="585" w:type="pct"/>
            <w:tcBorders>
              <w:top w:val="nil"/>
              <w:bottom w:val="single" w:sz="4" w:space="0" w:color="auto"/>
            </w:tcBorders>
            <w:noWrap/>
            <w:vAlign w:val="center"/>
          </w:tcPr>
          <w:p w14:paraId="35FD876E" w14:textId="3891D97B"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16"/>
                <w14:textFill>
                  <w14:solidFill>
                    <w14:srgbClr w14:val="000000">
                      <w14:alpha w14:val="100000"/>
                    </w14:srgbClr>
                  </w14:solidFill>
                </w14:textFill>
              </w:rPr>
              <w:t>||</w:t>
            </w:r>
            <w:r w:rsidR="00501C36" w:rsidRPr="00501C36">
              <w:rPr>
                <w:color w:val="000000"/>
                <w:spacing w:val="2"/>
                <w:shd w:val="solid" w:color="000000" w:fill="000000"/>
                <w:fitText w:val="225" w:id="-893684216"/>
                <w14:textFill>
                  <w14:solidFill>
                    <w14:srgbClr w14:val="000000">
                      <w14:alpha w14:val="100000"/>
                    </w14:srgbClr>
                  </w14:solidFill>
                </w14:textFill>
              </w:rPr>
              <w:t>|</w:t>
            </w:r>
            <w:r w:rsidRPr="0049394D">
              <w:t>%</w:t>
            </w:r>
          </w:p>
        </w:tc>
        <w:tc>
          <w:tcPr>
            <w:tcW w:w="584" w:type="pct"/>
            <w:tcBorders>
              <w:top w:val="nil"/>
              <w:bottom w:val="single" w:sz="4" w:space="0" w:color="auto"/>
            </w:tcBorders>
            <w:vAlign w:val="center"/>
          </w:tcPr>
          <w:p w14:paraId="5A415868" w14:textId="20949841" w:rsidR="00E20F5E" w:rsidRPr="0009066F" w:rsidRDefault="00501C36" w:rsidP="00376962">
            <w:pPr>
              <w:pStyle w:val="TableText0"/>
              <w:keepNext w:val="0"/>
              <w:jc w:val="center"/>
              <w:rPr>
                <w:highlight w:val="lightGray"/>
              </w:rPr>
            </w:pPr>
            <w:r w:rsidRPr="00501C36">
              <w:rPr>
                <w:color w:val="000000"/>
                <w:spacing w:val="79"/>
                <w:shd w:val="solid" w:color="000000" w:fill="000000"/>
                <w:fitText w:val="165" w:id="-893684215"/>
                <w14:textFill>
                  <w14:solidFill>
                    <w14:srgbClr w14:val="000000">
                      <w14:alpha w14:val="100000"/>
                    </w14:srgbClr>
                  </w14:solidFill>
                </w14:textFill>
              </w:rPr>
              <w:t>|</w:t>
            </w:r>
            <w:r w:rsidRPr="00501C36">
              <w:rPr>
                <w:color w:val="000000"/>
                <w:spacing w:val="1"/>
                <w:shd w:val="solid" w:color="000000" w:fill="000000"/>
                <w:fitText w:val="165" w:id="-893684215"/>
                <w14:textFill>
                  <w14:solidFill>
                    <w14:srgbClr w14:val="000000">
                      <w14:alpha w14:val="100000"/>
                    </w14:srgbClr>
                  </w14:solidFill>
                </w14:textFill>
              </w:rPr>
              <w:t>|</w:t>
            </w:r>
            <w:r w:rsidR="002C406B" w:rsidRPr="003F0AD1">
              <w:rPr>
                <w:vertAlign w:val="superscript"/>
              </w:rPr>
              <w:t>1</w:t>
            </w:r>
          </w:p>
        </w:tc>
        <w:tc>
          <w:tcPr>
            <w:tcW w:w="585" w:type="pct"/>
            <w:tcBorders>
              <w:top w:val="nil"/>
              <w:bottom w:val="single" w:sz="4" w:space="0" w:color="auto"/>
            </w:tcBorders>
            <w:vAlign w:val="center"/>
          </w:tcPr>
          <w:p w14:paraId="17E978A2" w14:textId="70AAB6E8"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14"/>
                <w14:textFill>
                  <w14:solidFill>
                    <w14:srgbClr w14:val="000000">
                      <w14:alpha w14:val="100000"/>
                    </w14:srgbClr>
                  </w14:solidFill>
                </w14:textFill>
              </w:rPr>
              <w:t>||</w:t>
            </w:r>
            <w:r w:rsidR="00501C36" w:rsidRPr="00501C36">
              <w:rPr>
                <w:color w:val="000000"/>
                <w:spacing w:val="2"/>
                <w:shd w:val="solid" w:color="000000" w:fill="000000"/>
                <w:fitText w:val="225" w:id="-893684214"/>
                <w14:textFill>
                  <w14:solidFill>
                    <w14:srgbClr w14:val="000000">
                      <w14:alpha w14:val="100000"/>
                    </w14:srgbClr>
                  </w14:solidFill>
                </w14:textFill>
              </w:rPr>
              <w:t>|</w:t>
            </w:r>
            <w:r w:rsidRPr="0049394D">
              <w:t>%</w:t>
            </w:r>
          </w:p>
        </w:tc>
        <w:tc>
          <w:tcPr>
            <w:tcW w:w="584" w:type="pct"/>
            <w:tcBorders>
              <w:top w:val="nil"/>
              <w:bottom w:val="single" w:sz="4" w:space="0" w:color="auto"/>
            </w:tcBorders>
            <w:vAlign w:val="center"/>
          </w:tcPr>
          <w:p w14:paraId="72C59313" w14:textId="69896451" w:rsidR="00E20F5E" w:rsidRPr="0009066F" w:rsidRDefault="00501C36" w:rsidP="00376962">
            <w:pPr>
              <w:pStyle w:val="TableText0"/>
              <w:keepNext w:val="0"/>
              <w:jc w:val="center"/>
              <w:rPr>
                <w:highlight w:val="lightGray"/>
              </w:rPr>
            </w:pPr>
            <w:r w:rsidRPr="00501C36">
              <w:rPr>
                <w:color w:val="000000"/>
                <w:spacing w:val="79"/>
                <w:shd w:val="solid" w:color="000000" w:fill="000000"/>
                <w:fitText w:val="165" w:id="-893684213"/>
                <w14:textFill>
                  <w14:solidFill>
                    <w14:srgbClr w14:val="000000">
                      <w14:alpha w14:val="100000"/>
                    </w14:srgbClr>
                  </w14:solidFill>
                </w14:textFill>
              </w:rPr>
              <w:t>|</w:t>
            </w:r>
            <w:r w:rsidRPr="00501C36">
              <w:rPr>
                <w:color w:val="000000"/>
                <w:spacing w:val="1"/>
                <w:shd w:val="solid" w:color="000000" w:fill="000000"/>
                <w:fitText w:val="165" w:id="-893684213"/>
                <w14:textFill>
                  <w14:solidFill>
                    <w14:srgbClr w14:val="000000">
                      <w14:alpha w14:val="100000"/>
                    </w14:srgbClr>
                  </w14:solidFill>
                </w14:textFill>
              </w:rPr>
              <w:t>|</w:t>
            </w:r>
            <w:r w:rsidR="002857FF" w:rsidRPr="0009066F">
              <w:rPr>
                <w:vertAlign w:val="superscript"/>
              </w:rPr>
              <w:t>4</w:t>
            </w:r>
          </w:p>
        </w:tc>
        <w:tc>
          <w:tcPr>
            <w:tcW w:w="585" w:type="pct"/>
            <w:tcBorders>
              <w:top w:val="nil"/>
              <w:bottom w:val="single" w:sz="4" w:space="0" w:color="auto"/>
            </w:tcBorders>
            <w:vAlign w:val="center"/>
          </w:tcPr>
          <w:p w14:paraId="20A830E5" w14:textId="6714F3E7" w:rsidR="00E20F5E" w:rsidRPr="0049394D" w:rsidRDefault="00E20F5E" w:rsidP="00376962">
            <w:pPr>
              <w:pStyle w:val="TableText0"/>
              <w:keepNext w:val="0"/>
              <w:jc w:val="center"/>
            </w:pPr>
            <w:r w:rsidRPr="0049394D">
              <w:t>-</w:t>
            </w:r>
            <w:r w:rsidR="00501C36" w:rsidRPr="00501C36">
              <w:rPr>
                <w:color w:val="000000"/>
                <w:spacing w:val="48"/>
                <w:shd w:val="solid" w:color="000000" w:fill="000000"/>
                <w:fitText w:val="225" w:id="-893684212"/>
                <w14:textFill>
                  <w14:solidFill>
                    <w14:srgbClr w14:val="000000">
                      <w14:alpha w14:val="100000"/>
                    </w14:srgbClr>
                  </w14:solidFill>
                </w14:textFill>
              </w:rPr>
              <w:t>||</w:t>
            </w:r>
            <w:r w:rsidR="00501C36" w:rsidRPr="00501C36">
              <w:rPr>
                <w:color w:val="000000"/>
                <w:spacing w:val="2"/>
                <w:shd w:val="solid" w:color="000000" w:fill="000000"/>
                <w:fitText w:val="225" w:id="-893684212"/>
                <w14:textFill>
                  <w14:solidFill>
                    <w14:srgbClr w14:val="000000">
                      <w14:alpha w14:val="100000"/>
                    </w14:srgbClr>
                  </w14:solidFill>
                </w14:textFill>
              </w:rPr>
              <w:t>|</w:t>
            </w:r>
            <w:r w:rsidRPr="0049394D">
              <w:t>%</w:t>
            </w:r>
          </w:p>
        </w:tc>
      </w:tr>
    </w:tbl>
    <w:p w14:paraId="1A91D945" w14:textId="788ECCDF" w:rsidR="00E20F5E" w:rsidRPr="0049394D" w:rsidRDefault="00E20F5E" w:rsidP="00E20F5E">
      <w:pPr>
        <w:pStyle w:val="TableFigureFooter"/>
        <w:rPr>
          <w:iCs/>
        </w:rPr>
      </w:pPr>
      <w:r w:rsidRPr="0049394D">
        <w:t xml:space="preserve">Source: Table 3.9-1 of the submission and </w:t>
      </w:r>
      <w:r w:rsidRPr="0049394D">
        <w:rPr>
          <w:iCs/>
        </w:rPr>
        <w:t>compiled during the evaluation</w:t>
      </w:r>
    </w:p>
    <w:p w14:paraId="195683EB" w14:textId="7488B474" w:rsidR="008930FD" w:rsidRDefault="008930FD" w:rsidP="00E20F5E">
      <w:pPr>
        <w:pStyle w:val="TableFigureFooter"/>
      </w:pPr>
      <w:r w:rsidRPr="0049394D">
        <w:t>ICER=incremental cost-effectiveness ratio</w:t>
      </w:r>
    </w:p>
    <w:p w14:paraId="776D1A7F" w14:textId="77777777" w:rsidR="002C406B" w:rsidRPr="0009066F" w:rsidRDefault="002C406B" w:rsidP="002C406B">
      <w:pPr>
        <w:pStyle w:val="TableFigureFooter"/>
        <w:rPr>
          <w:i/>
          <w:iCs/>
        </w:rPr>
      </w:pPr>
      <w:r w:rsidRPr="0009066F">
        <w:rPr>
          <w:i/>
          <w:iCs/>
        </w:rPr>
        <w:t>The redacted values correspond to the following ranges:</w:t>
      </w:r>
    </w:p>
    <w:p w14:paraId="2F9E6330" w14:textId="77777777" w:rsidR="002C406B" w:rsidRDefault="002C406B" w:rsidP="002C406B">
      <w:pPr>
        <w:pStyle w:val="TableFigureFooter"/>
        <w:rPr>
          <w:i/>
          <w:iCs/>
        </w:rPr>
      </w:pPr>
      <w:r w:rsidRPr="0009066F">
        <w:rPr>
          <w:i/>
          <w:iCs/>
        </w:rPr>
        <w:t>1 155,000 to &lt; $255,000</w:t>
      </w:r>
    </w:p>
    <w:p w14:paraId="36867048" w14:textId="57A3C3AA" w:rsidR="002C406B" w:rsidRPr="0009066F" w:rsidRDefault="002C406B" w:rsidP="002C406B">
      <w:pPr>
        <w:pStyle w:val="TableFigureFooter"/>
        <w:rPr>
          <w:i/>
          <w:iCs/>
        </w:rPr>
      </w:pPr>
      <w:r>
        <w:rPr>
          <w:i/>
          <w:iCs/>
        </w:rPr>
        <w:t xml:space="preserve">2 </w:t>
      </w:r>
      <w:r w:rsidRPr="002C406B">
        <w:rPr>
          <w:i/>
          <w:iCs/>
        </w:rPr>
        <w:t>$115,000 to &lt; $135,000</w:t>
      </w:r>
    </w:p>
    <w:p w14:paraId="1885C5B6" w14:textId="77777777" w:rsidR="002C406B" w:rsidRDefault="002C406B" w:rsidP="002C406B">
      <w:pPr>
        <w:pStyle w:val="TableFigureFooter"/>
        <w:rPr>
          <w:i/>
          <w:iCs/>
        </w:rPr>
      </w:pPr>
      <w:r w:rsidRPr="0009066F">
        <w:rPr>
          <w:i/>
          <w:iCs/>
        </w:rPr>
        <w:t>3 $255,000 to &lt; $355,000</w:t>
      </w:r>
    </w:p>
    <w:p w14:paraId="2F287279" w14:textId="17C5AB64" w:rsidR="002857FF" w:rsidRPr="0009066F" w:rsidRDefault="002857FF" w:rsidP="002C406B">
      <w:pPr>
        <w:pStyle w:val="TableFigureFooter"/>
        <w:rPr>
          <w:i/>
          <w:iCs/>
        </w:rPr>
      </w:pPr>
      <w:r>
        <w:rPr>
          <w:i/>
          <w:iCs/>
        </w:rPr>
        <w:t xml:space="preserve">4 </w:t>
      </w:r>
      <w:r w:rsidRPr="002857FF">
        <w:rPr>
          <w:i/>
          <w:iCs/>
        </w:rPr>
        <w:t>$135,000 to &lt; $155,000</w:t>
      </w:r>
    </w:p>
    <w:p w14:paraId="27B8AB2B" w14:textId="484F0EEB" w:rsidR="00E20F5E" w:rsidRPr="0049394D" w:rsidRDefault="00E20F5E" w:rsidP="00E20F5E">
      <w:pPr>
        <w:pStyle w:val="4-SubsectionHeading"/>
      </w:pPr>
      <w:bookmarkStart w:id="85" w:name="_Toc166442894"/>
      <w:bookmarkStart w:id="86" w:name="_Toc167277638"/>
      <w:bookmarkStart w:id="87" w:name="_Toc22897647"/>
      <w:bookmarkEnd w:id="60"/>
      <w:r w:rsidRPr="0049394D">
        <w:t>Belzutifan $</w:t>
      </w:r>
      <w:r w:rsidR="00501C36" w:rsidRPr="008C077D">
        <w:rPr>
          <w:color w:val="000000"/>
          <w:spacing w:val="0"/>
          <w:w w:val="48"/>
          <w:kern w:val="0"/>
          <w:shd w:val="solid" w:color="000000" w:fill="000000"/>
          <w:fitText w:val="580" w:id="-893684211"/>
          <w14:textFill>
            <w14:solidFill>
              <w14:srgbClr w14:val="000000">
                <w14:alpha w14:val="100000"/>
              </w14:srgbClr>
            </w14:solidFill>
          </w14:textFill>
        </w:rPr>
        <w:t>||||  |||</w:t>
      </w:r>
      <w:r w:rsidR="00501C36" w:rsidRPr="008C077D">
        <w:rPr>
          <w:color w:val="000000"/>
          <w:spacing w:val="8"/>
          <w:w w:val="48"/>
          <w:kern w:val="0"/>
          <w:shd w:val="solid" w:color="000000" w:fill="000000"/>
          <w:fitText w:val="580" w:id="-893684211"/>
          <w14:textFill>
            <w14:solidFill>
              <w14:srgbClr w14:val="000000">
                <w14:alpha w14:val="100000"/>
              </w14:srgbClr>
            </w14:solidFill>
          </w14:textFill>
        </w:rPr>
        <w:t>|</w:t>
      </w:r>
      <w:r w:rsidRPr="0049394D">
        <w:t>/patient/year</w:t>
      </w:r>
      <w:bookmarkEnd w:id="85"/>
      <w:bookmarkEnd w:id="86"/>
    </w:p>
    <w:p w14:paraId="728B4884" w14:textId="4949803B" w:rsidR="00E20F5E" w:rsidRPr="00D1781A" w:rsidRDefault="00E20F5E" w:rsidP="00E20F5E">
      <w:pPr>
        <w:pStyle w:val="3-BodyText"/>
      </w:pPr>
      <w:r w:rsidRPr="0049394D">
        <w:rPr>
          <w:iCs/>
        </w:rPr>
        <w:t>The value of $</w:t>
      </w:r>
      <w:r w:rsidR="00501C36" w:rsidRPr="008C077D">
        <w:rPr>
          <w:iCs/>
          <w:color w:val="000000"/>
          <w:w w:val="61"/>
          <w:shd w:val="solid" w:color="000000" w:fill="000000"/>
          <w:fitText w:val="475" w:id="-893684210"/>
          <w14:textFill>
            <w14:solidFill>
              <w14:srgbClr w14:val="000000">
                <w14:alpha w14:val="100000"/>
              </w14:srgbClr>
            </w14:solidFill>
          </w14:textFill>
        </w:rPr>
        <w:t>|||  ||</w:t>
      </w:r>
      <w:r w:rsidR="00501C36" w:rsidRPr="008C077D">
        <w:rPr>
          <w:iCs/>
          <w:color w:val="000000"/>
          <w:spacing w:val="5"/>
          <w:w w:val="61"/>
          <w:shd w:val="solid" w:color="000000" w:fill="000000"/>
          <w:fitText w:val="475" w:id="-893684210"/>
          <w14:textFill>
            <w14:solidFill>
              <w14:srgbClr w14:val="000000">
                <w14:alpha w14:val="100000"/>
              </w14:srgbClr>
            </w14:solidFill>
          </w14:textFill>
        </w:rPr>
        <w:t>|</w:t>
      </w:r>
      <w:r w:rsidRPr="0049394D">
        <w:rPr>
          <w:iCs/>
        </w:rPr>
        <w:t xml:space="preserve"> was</w:t>
      </w:r>
      <w:r w:rsidRPr="0049394D">
        <w:t xml:space="preserve"> </w:t>
      </w:r>
      <w:r w:rsidRPr="0049394D">
        <w:rPr>
          <w:iCs/>
        </w:rPr>
        <w:t>calculated using the proposed regimen (3x40mg tablets a day until discontinuation) with 92.5% dose intensity and 90 tablet pack cost of $</w:t>
      </w:r>
      <w:r w:rsidR="00501C36" w:rsidRPr="006F175E">
        <w:rPr>
          <w:iCs/>
          <w:color w:val="000000"/>
          <w:w w:val="15"/>
          <w:shd w:val="solid" w:color="000000" w:fill="000000"/>
          <w:fitText w:val="-20" w:id="-893684209"/>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209"/>
          <w14:textFill>
            <w14:solidFill>
              <w14:srgbClr w14:val="000000">
                <w14:alpha w14:val="100000"/>
              </w14:srgbClr>
            </w14:solidFill>
          </w14:textFill>
        </w:rPr>
        <w:t>|</w:t>
      </w:r>
      <w:r w:rsidRPr="0049394D">
        <w:rPr>
          <w:iCs/>
        </w:rPr>
        <w:t xml:space="preserve"> (DPMQ at community pharmacy mark up of AEMP $</w:t>
      </w:r>
      <w:r w:rsidR="00501C36" w:rsidRPr="006F175E">
        <w:rPr>
          <w:iCs/>
          <w:color w:val="000000"/>
          <w:w w:val="15"/>
          <w:shd w:val="solid" w:color="000000" w:fill="000000"/>
          <w:fitText w:val="-20" w:id="-893684208"/>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208"/>
          <w14:textFill>
            <w14:solidFill>
              <w14:srgbClr w14:val="000000">
                <w14:alpha w14:val="100000"/>
              </w14:srgbClr>
            </w14:solidFill>
          </w14:textFill>
        </w:rPr>
        <w:t>|</w:t>
      </w:r>
      <w:r w:rsidRPr="0049394D">
        <w:rPr>
          <w:iCs/>
        </w:rPr>
        <w:t>). Both the models and financial estimates differed slightly from this value, as the</w:t>
      </w:r>
      <w:r w:rsidR="00F10B70">
        <w:rPr>
          <w:iCs/>
        </w:rPr>
        <w:t xml:space="preserve"> economic</w:t>
      </w:r>
      <w:r w:rsidRPr="0049394D">
        <w:rPr>
          <w:iCs/>
        </w:rPr>
        <w:t xml:space="preserve"> models </w:t>
      </w:r>
      <w:r w:rsidR="00F10B70">
        <w:rPr>
          <w:iCs/>
        </w:rPr>
        <w:t>applied the cost</w:t>
      </w:r>
      <w:r w:rsidR="00F10B70" w:rsidRPr="0049394D">
        <w:rPr>
          <w:iCs/>
        </w:rPr>
        <w:t xml:space="preserve"> </w:t>
      </w:r>
      <w:r w:rsidRPr="0049394D">
        <w:rPr>
          <w:iCs/>
        </w:rPr>
        <w:t>at the start of every 4 weeks and the financial estimates calculated duration and regimen over weeks, round to the nearest 2 decimal places. Time on treatment in the financial estimates was over 6 months shorter than estimated in the</w:t>
      </w:r>
      <w:r w:rsidR="00E16224" w:rsidRPr="0049394D">
        <w:rPr>
          <w:iCs/>
        </w:rPr>
        <w:t xml:space="preserve"> economic</w:t>
      </w:r>
      <w:r w:rsidRPr="0049394D">
        <w:rPr>
          <w:iCs/>
        </w:rPr>
        <w:t xml:space="preserve"> models.</w:t>
      </w:r>
      <w:r w:rsidR="00D1781A">
        <w:rPr>
          <w:iCs/>
        </w:rPr>
        <w:t xml:space="preserve"> </w:t>
      </w:r>
    </w:p>
    <w:p w14:paraId="3CA42CC8" w14:textId="7B89AC0A" w:rsidR="00D1781A" w:rsidRPr="0049394D" w:rsidRDefault="00D1781A" w:rsidP="00E20F5E">
      <w:pPr>
        <w:pStyle w:val="3-BodyText"/>
      </w:pPr>
      <w:r>
        <w:rPr>
          <w:iCs/>
        </w:rPr>
        <w:t>With the price reduction offered in the pre-PBAC response, the cost per patient per year is reduced to $</w:t>
      </w:r>
      <w:r w:rsidR="00501C36" w:rsidRPr="006F175E">
        <w:rPr>
          <w:iCs/>
          <w:color w:val="000000"/>
          <w:w w:val="15"/>
          <w:shd w:val="solid" w:color="000000" w:fill="000000"/>
          <w:fitText w:val="-20" w:id="-893684224"/>
          <w14:textFill>
            <w14:solidFill>
              <w14:srgbClr w14:val="000000">
                <w14:alpha w14:val="100000"/>
              </w14:srgbClr>
            </w14:solidFill>
          </w14:textFill>
        </w:rPr>
        <w:t xml:space="preserve">|  </w:t>
      </w:r>
      <w:r w:rsidR="00501C36" w:rsidRPr="006F175E">
        <w:rPr>
          <w:iCs/>
          <w:color w:val="000000"/>
          <w:spacing w:val="-69"/>
          <w:w w:val="15"/>
          <w:shd w:val="solid" w:color="000000" w:fill="000000"/>
          <w:fitText w:val="-20" w:id="-893684224"/>
          <w14:textFill>
            <w14:solidFill>
              <w14:srgbClr w14:val="000000">
                <w14:alpha w14:val="100000"/>
              </w14:srgbClr>
            </w14:solidFill>
          </w14:textFill>
        </w:rPr>
        <w:t>|</w:t>
      </w:r>
      <w:r>
        <w:rPr>
          <w:iCs/>
        </w:rPr>
        <w:t>.</w:t>
      </w:r>
    </w:p>
    <w:p w14:paraId="6469DD1F" w14:textId="2A48B598" w:rsidR="00E20F5E" w:rsidRPr="0049394D" w:rsidRDefault="00E20F5E" w:rsidP="00E20F5E">
      <w:pPr>
        <w:pStyle w:val="Caption"/>
        <w:rPr>
          <w:rStyle w:val="CommentReference"/>
          <w:b/>
          <w:szCs w:val="24"/>
        </w:rPr>
      </w:pPr>
      <w:bookmarkStart w:id="88" w:name="_Ref104805102"/>
      <w:r w:rsidRPr="0049394D">
        <w:t xml:space="preserve">Table </w:t>
      </w:r>
      <w:r>
        <w:fldChar w:fldCharType="begin" w:fldLock="1"/>
      </w:r>
      <w:r>
        <w:instrText xml:space="preserve"> SEQ Table \* ARABIC </w:instrText>
      </w:r>
      <w:r>
        <w:fldChar w:fldCharType="separate"/>
      </w:r>
      <w:r w:rsidR="00437B51">
        <w:rPr>
          <w:noProof/>
        </w:rPr>
        <w:t>19</w:t>
      </w:r>
      <w:r>
        <w:rPr>
          <w:noProof/>
        </w:rPr>
        <w:fldChar w:fldCharType="end"/>
      </w:r>
      <w:bookmarkEnd w:id="88"/>
      <w:r w:rsidRPr="0049394D">
        <w:t>:</w:t>
      </w:r>
      <w:r w:rsidRPr="0049394D">
        <w:rPr>
          <w:rStyle w:val="CommentReference"/>
          <w:b/>
          <w:szCs w:val="24"/>
        </w:rPr>
        <w:t xml:space="preserve"> Drug cost per patient for belzutifan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Drug cost per patient for belzutifan"/>
      </w:tblPr>
      <w:tblGrid>
        <w:gridCol w:w="1557"/>
        <w:gridCol w:w="2124"/>
        <w:gridCol w:w="1560"/>
        <w:gridCol w:w="1511"/>
        <w:gridCol w:w="1134"/>
        <w:gridCol w:w="1131"/>
      </w:tblGrid>
      <w:tr w:rsidR="00E20F5E" w:rsidRPr="0049394D" w14:paraId="3429FF0A" w14:textId="77777777" w:rsidTr="00282F0D">
        <w:trPr>
          <w:cantSplit/>
          <w:tblHeader/>
          <w:jc w:val="center"/>
        </w:trPr>
        <w:tc>
          <w:tcPr>
            <w:tcW w:w="863" w:type="pct"/>
            <w:vMerge w:val="restart"/>
            <w:shd w:val="clear" w:color="auto" w:fill="auto"/>
            <w:vAlign w:val="center"/>
          </w:tcPr>
          <w:p w14:paraId="4C54E120" w14:textId="77777777" w:rsidR="00E20F5E" w:rsidRPr="0049394D" w:rsidRDefault="00E20F5E" w:rsidP="00282F0D">
            <w:pPr>
              <w:pStyle w:val="In-tableHeading"/>
              <w:jc w:val="center"/>
              <w:rPr>
                <w:lang w:val="en-AU"/>
              </w:rPr>
            </w:pPr>
          </w:p>
        </w:tc>
        <w:tc>
          <w:tcPr>
            <w:tcW w:w="1178" w:type="pct"/>
            <w:vMerge w:val="restart"/>
            <w:shd w:val="clear" w:color="auto" w:fill="auto"/>
            <w:vAlign w:val="center"/>
          </w:tcPr>
          <w:p w14:paraId="6F4D73EB" w14:textId="77777777" w:rsidR="00E20F5E" w:rsidRPr="0049394D" w:rsidRDefault="00E20F5E" w:rsidP="00282F0D">
            <w:pPr>
              <w:pStyle w:val="In-tableHeading"/>
              <w:jc w:val="center"/>
              <w:rPr>
                <w:lang w:val="en-AU"/>
              </w:rPr>
            </w:pPr>
            <w:r w:rsidRPr="0049394D">
              <w:rPr>
                <w:lang w:val="en-AU"/>
              </w:rPr>
              <w:t>LS-004 dose and duration</w:t>
            </w:r>
          </w:p>
        </w:tc>
        <w:tc>
          <w:tcPr>
            <w:tcW w:w="2332" w:type="pct"/>
            <w:gridSpan w:val="3"/>
            <w:shd w:val="clear" w:color="auto" w:fill="auto"/>
            <w:vAlign w:val="center"/>
          </w:tcPr>
          <w:p w14:paraId="096502C6" w14:textId="77777777" w:rsidR="00E20F5E" w:rsidRPr="0049394D" w:rsidRDefault="00E20F5E" w:rsidP="00282F0D">
            <w:pPr>
              <w:pStyle w:val="In-tableHeading"/>
              <w:jc w:val="center"/>
              <w:rPr>
                <w:lang w:val="en-AU"/>
              </w:rPr>
            </w:pPr>
            <w:r w:rsidRPr="0049394D">
              <w:rPr>
                <w:lang w:val="en-AU"/>
              </w:rPr>
              <w:t>Models</w:t>
            </w:r>
          </w:p>
        </w:tc>
        <w:tc>
          <w:tcPr>
            <w:tcW w:w="627" w:type="pct"/>
            <w:vMerge w:val="restart"/>
            <w:shd w:val="clear" w:color="auto" w:fill="auto"/>
            <w:vAlign w:val="center"/>
          </w:tcPr>
          <w:p w14:paraId="032817E9" w14:textId="77777777" w:rsidR="00E20F5E" w:rsidRPr="0049394D" w:rsidRDefault="00E20F5E" w:rsidP="00282F0D">
            <w:pPr>
              <w:pStyle w:val="In-tableHeading"/>
              <w:jc w:val="center"/>
              <w:rPr>
                <w:lang w:val="en-AU"/>
              </w:rPr>
            </w:pPr>
            <w:r w:rsidRPr="0049394D">
              <w:rPr>
                <w:lang w:val="en-AU"/>
              </w:rPr>
              <w:t>Financial estimates</w:t>
            </w:r>
          </w:p>
        </w:tc>
      </w:tr>
      <w:tr w:rsidR="00E20F5E" w:rsidRPr="0049394D" w14:paraId="068410FE" w14:textId="77777777" w:rsidTr="00282F0D">
        <w:trPr>
          <w:cantSplit/>
          <w:tblHeader/>
          <w:jc w:val="center"/>
        </w:trPr>
        <w:tc>
          <w:tcPr>
            <w:tcW w:w="863" w:type="pct"/>
            <w:vMerge/>
            <w:shd w:val="clear" w:color="auto" w:fill="auto"/>
            <w:vAlign w:val="center"/>
          </w:tcPr>
          <w:p w14:paraId="4A2A01B8" w14:textId="77777777" w:rsidR="00E20F5E" w:rsidRPr="0049394D" w:rsidRDefault="00E20F5E" w:rsidP="00282F0D">
            <w:pPr>
              <w:pStyle w:val="In-tableHeading"/>
              <w:jc w:val="center"/>
              <w:rPr>
                <w:lang w:val="en-AU"/>
              </w:rPr>
            </w:pPr>
          </w:p>
        </w:tc>
        <w:tc>
          <w:tcPr>
            <w:tcW w:w="1178" w:type="pct"/>
            <w:vMerge/>
            <w:shd w:val="clear" w:color="auto" w:fill="auto"/>
            <w:vAlign w:val="center"/>
          </w:tcPr>
          <w:p w14:paraId="4890CD94" w14:textId="77777777" w:rsidR="00E20F5E" w:rsidRPr="0049394D" w:rsidRDefault="00E20F5E" w:rsidP="00282F0D">
            <w:pPr>
              <w:pStyle w:val="In-tableHeading"/>
              <w:jc w:val="center"/>
              <w:rPr>
                <w:lang w:val="en-AU"/>
              </w:rPr>
            </w:pPr>
          </w:p>
        </w:tc>
        <w:tc>
          <w:tcPr>
            <w:tcW w:w="865" w:type="pct"/>
            <w:shd w:val="clear" w:color="auto" w:fill="auto"/>
            <w:vAlign w:val="center"/>
          </w:tcPr>
          <w:p w14:paraId="762B8985" w14:textId="77777777" w:rsidR="00E20F5E" w:rsidRPr="0049394D" w:rsidRDefault="00E20F5E" w:rsidP="00282F0D">
            <w:pPr>
              <w:pStyle w:val="In-tableHeading"/>
              <w:jc w:val="center"/>
              <w:rPr>
                <w:lang w:val="en-AU"/>
              </w:rPr>
            </w:pPr>
            <w:r w:rsidRPr="0049394D">
              <w:rPr>
                <w:lang w:val="en-AU"/>
              </w:rPr>
              <w:t>RCC model</w:t>
            </w:r>
          </w:p>
        </w:tc>
        <w:tc>
          <w:tcPr>
            <w:tcW w:w="838" w:type="pct"/>
          </w:tcPr>
          <w:p w14:paraId="7F479C96" w14:textId="77777777" w:rsidR="00E20F5E" w:rsidRPr="0049394D" w:rsidRDefault="00E20F5E" w:rsidP="00282F0D">
            <w:pPr>
              <w:pStyle w:val="In-tableHeading"/>
              <w:jc w:val="center"/>
              <w:rPr>
                <w:lang w:val="en-AU"/>
              </w:rPr>
            </w:pPr>
            <w:r w:rsidRPr="0049394D">
              <w:rPr>
                <w:lang w:val="en-AU"/>
              </w:rPr>
              <w:t>CNS Hb model</w:t>
            </w:r>
          </w:p>
        </w:tc>
        <w:tc>
          <w:tcPr>
            <w:tcW w:w="629" w:type="pct"/>
          </w:tcPr>
          <w:p w14:paraId="794F2EA2" w14:textId="77777777" w:rsidR="00E20F5E" w:rsidRPr="0049394D" w:rsidRDefault="00E20F5E" w:rsidP="00282F0D">
            <w:pPr>
              <w:pStyle w:val="In-tableHeading"/>
              <w:jc w:val="center"/>
              <w:rPr>
                <w:lang w:val="en-AU"/>
              </w:rPr>
            </w:pPr>
            <w:r w:rsidRPr="0049394D">
              <w:rPr>
                <w:lang w:val="en-AU"/>
              </w:rPr>
              <w:t>pNET model</w:t>
            </w:r>
          </w:p>
        </w:tc>
        <w:tc>
          <w:tcPr>
            <w:tcW w:w="627" w:type="pct"/>
            <w:vMerge/>
            <w:shd w:val="clear" w:color="auto" w:fill="auto"/>
            <w:vAlign w:val="center"/>
          </w:tcPr>
          <w:p w14:paraId="6DBCFEB3" w14:textId="77777777" w:rsidR="00E20F5E" w:rsidRPr="0049394D" w:rsidRDefault="00E20F5E" w:rsidP="00282F0D">
            <w:pPr>
              <w:pStyle w:val="In-tableHeading"/>
              <w:jc w:val="center"/>
              <w:rPr>
                <w:lang w:val="en-AU"/>
              </w:rPr>
            </w:pPr>
          </w:p>
        </w:tc>
      </w:tr>
      <w:tr w:rsidR="00E20F5E" w:rsidRPr="0049394D" w14:paraId="7167E6DB" w14:textId="77777777" w:rsidTr="00282F0D">
        <w:trPr>
          <w:cantSplit/>
          <w:jc w:val="center"/>
        </w:trPr>
        <w:tc>
          <w:tcPr>
            <w:tcW w:w="863" w:type="pct"/>
            <w:shd w:val="clear" w:color="auto" w:fill="auto"/>
            <w:vAlign w:val="center"/>
          </w:tcPr>
          <w:p w14:paraId="138C8C69" w14:textId="77777777" w:rsidR="00E20F5E" w:rsidRPr="0049394D" w:rsidRDefault="00E20F5E" w:rsidP="00282F0D">
            <w:pPr>
              <w:pStyle w:val="TableText0"/>
            </w:pPr>
            <w:r w:rsidRPr="0049394D">
              <w:t>Mean dose</w:t>
            </w:r>
          </w:p>
        </w:tc>
        <w:tc>
          <w:tcPr>
            <w:tcW w:w="1178" w:type="pct"/>
            <w:shd w:val="clear" w:color="auto" w:fill="auto"/>
            <w:vAlign w:val="center"/>
          </w:tcPr>
          <w:p w14:paraId="11F34B19" w14:textId="77777777" w:rsidR="00E20F5E" w:rsidRPr="0049394D" w:rsidRDefault="00E20F5E" w:rsidP="00282F0D">
            <w:pPr>
              <w:pStyle w:val="TableText0"/>
              <w:jc w:val="center"/>
              <w:rPr>
                <w:bCs w:val="0"/>
              </w:rPr>
            </w:pPr>
            <w:r w:rsidRPr="0049394D">
              <w:rPr>
                <w:bCs w:val="0"/>
              </w:rPr>
              <w:t>112.3mg/day</w:t>
            </w:r>
            <w:r w:rsidRPr="0049394D">
              <w:rPr>
                <w:bCs w:val="0"/>
                <w:vertAlign w:val="superscript"/>
              </w:rPr>
              <w:t>a</w:t>
            </w:r>
          </w:p>
        </w:tc>
        <w:tc>
          <w:tcPr>
            <w:tcW w:w="865" w:type="pct"/>
            <w:shd w:val="clear" w:color="auto" w:fill="auto"/>
            <w:vAlign w:val="center"/>
          </w:tcPr>
          <w:p w14:paraId="3D94C557" w14:textId="77777777" w:rsidR="00E20F5E" w:rsidRPr="0049394D" w:rsidRDefault="00E20F5E" w:rsidP="00282F0D">
            <w:pPr>
              <w:pStyle w:val="TableText0"/>
              <w:jc w:val="center"/>
              <w:rPr>
                <w:bCs w:val="0"/>
              </w:rPr>
            </w:pPr>
            <w:r w:rsidRPr="0049394D">
              <w:rPr>
                <w:bCs w:val="0"/>
              </w:rPr>
              <w:t>111.0mg/day</w:t>
            </w:r>
          </w:p>
        </w:tc>
        <w:tc>
          <w:tcPr>
            <w:tcW w:w="838" w:type="pct"/>
          </w:tcPr>
          <w:p w14:paraId="0F636A7B" w14:textId="77777777" w:rsidR="00E20F5E" w:rsidRPr="0049394D" w:rsidRDefault="00E20F5E" w:rsidP="00282F0D">
            <w:pPr>
              <w:pStyle w:val="TableText0"/>
              <w:jc w:val="center"/>
              <w:rPr>
                <w:bCs w:val="0"/>
              </w:rPr>
            </w:pPr>
            <w:r w:rsidRPr="0049394D">
              <w:rPr>
                <w:bCs w:val="0"/>
              </w:rPr>
              <w:t>111.0mg/day</w:t>
            </w:r>
          </w:p>
        </w:tc>
        <w:tc>
          <w:tcPr>
            <w:tcW w:w="629" w:type="pct"/>
          </w:tcPr>
          <w:p w14:paraId="73F8BC49" w14:textId="77777777" w:rsidR="00E20F5E" w:rsidRPr="0049394D" w:rsidRDefault="00E20F5E" w:rsidP="00282F0D">
            <w:pPr>
              <w:pStyle w:val="TableText0"/>
              <w:jc w:val="center"/>
              <w:rPr>
                <w:bCs w:val="0"/>
              </w:rPr>
            </w:pPr>
            <w:r w:rsidRPr="0049394D">
              <w:rPr>
                <w:bCs w:val="0"/>
              </w:rPr>
              <w:t>111.0mg/day</w:t>
            </w:r>
          </w:p>
        </w:tc>
        <w:tc>
          <w:tcPr>
            <w:tcW w:w="627" w:type="pct"/>
            <w:shd w:val="clear" w:color="auto" w:fill="auto"/>
            <w:vAlign w:val="center"/>
          </w:tcPr>
          <w:p w14:paraId="285C20ED" w14:textId="77777777" w:rsidR="00E20F5E" w:rsidRPr="0049394D" w:rsidRDefault="00E20F5E" w:rsidP="00282F0D">
            <w:pPr>
              <w:pStyle w:val="TableText0"/>
              <w:jc w:val="center"/>
              <w:rPr>
                <w:bCs w:val="0"/>
              </w:rPr>
            </w:pPr>
            <w:r w:rsidRPr="0049394D">
              <w:rPr>
                <w:bCs w:val="0"/>
              </w:rPr>
              <w:t>111.0mg/day</w:t>
            </w:r>
          </w:p>
        </w:tc>
      </w:tr>
      <w:tr w:rsidR="00E20F5E" w:rsidRPr="0049394D" w14:paraId="68C58B97" w14:textId="77777777" w:rsidTr="00282F0D">
        <w:trPr>
          <w:cantSplit/>
          <w:jc w:val="center"/>
        </w:trPr>
        <w:tc>
          <w:tcPr>
            <w:tcW w:w="863" w:type="pct"/>
            <w:shd w:val="clear" w:color="auto" w:fill="auto"/>
            <w:vAlign w:val="center"/>
          </w:tcPr>
          <w:p w14:paraId="3A1059B1" w14:textId="77777777" w:rsidR="00E20F5E" w:rsidRPr="0049394D" w:rsidRDefault="00E20F5E" w:rsidP="00282F0D">
            <w:pPr>
              <w:pStyle w:val="TableText0"/>
            </w:pPr>
            <w:r w:rsidRPr="0049394D">
              <w:t>Mean duration</w:t>
            </w:r>
          </w:p>
        </w:tc>
        <w:tc>
          <w:tcPr>
            <w:tcW w:w="1178" w:type="pct"/>
            <w:shd w:val="clear" w:color="auto" w:fill="auto"/>
            <w:vAlign w:val="center"/>
          </w:tcPr>
          <w:p w14:paraId="204DB824" w14:textId="77777777" w:rsidR="00E20F5E" w:rsidRPr="0049394D" w:rsidRDefault="00E20F5E" w:rsidP="00282F0D">
            <w:pPr>
              <w:pStyle w:val="TableText0"/>
              <w:jc w:val="center"/>
              <w:rPr>
                <w:bCs w:val="0"/>
              </w:rPr>
            </w:pPr>
            <w:r w:rsidRPr="0049394D">
              <w:rPr>
                <w:bCs w:val="0"/>
              </w:rPr>
              <w:t>2.81 years</w:t>
            </w:r>
          </w:p>
        </w:tc>
        <w:tc>
          <w:tcPr>
            <w:tcW w:w="865" w:type="pct"/>
            <w:shd w:val="clear" w:color="auto" w:fill="auto"/>
            <w:vAlign w:val="center"/>
          </w:tcPr>
          <w:p w14:paraId="609DF293" w14:textId="77777777" w:rsidR="00E20F5E" w:rsidRPr="0049394D" w:rsidRDefault="00E20F5E" w:rsidP="00282F0D">
            <w:pPr>
              <w:pStyle w:val="TableText0"/>
              <w:jc w:val="center"/>
              <w:rPr>
                <w:bCs w:val="0"/>
              </w:rPr>
            </w:pPr>
            <w:r w:rsidRPr="0049394D">
              <w:rPr>
                <w:bCs w:val="0"/>
              </w:rPr>
              <w:t>4.52 years</w:t>
            </w:r>
          </w:p>
        </w:tc>
        <w:tc>
          <w:tcPr>
            <w:tcW w:w="838" w:type="pct"/>
          </w:tcPr>
          <w:p w14:paraId="266FE5C5" w14:textId="77777777" w:rsidR="00E20F5E" w:rsidRPr="0049394D" w:rsidRDefault="00E20F5E" w:rsidP="00282F0D">
            <w:pPr>
              <w:pStyle w:val="TableText0"/>
              <w:jc w:val="center"/>
              <w:rPr>
                <w:bCs w:val="0"/>
              </w:rPr>
            </w:pPr>
            <w:r w:rsidRPr="0049394D">
              <w:rPr>
                <w:bCs w:val="0"/>
              </w:rPr>
              <w:t>4.57 years</w:t>
            </w:r>
          </w:p>
        </w:tc>
        <w:tc>
          <w:tcPr>
            <w:tcW w:w="629" w:type="pct"/>
          </w:tcPr>
          <w:p w14:paraId="2DCE6D6A" w14:textId="77777777" w:rsidR="00E20F5E" w:rsidRPr="0049394D" w:rsidRDefault="00E20F5E" w:rsidP="00282F0D">
            <w:pPr>
              <w:pStyle w:val="TableText0"/>
              <w:jc w:val="center"/>
              <w:rPr>
                <w:bCs w:val="0"/>
              </w:rPr>
            </w:pPr>
            <w:r w:rsidRPr="0049394D">
              <w:rPr>
                <w:bCs w:val="0"/>
              </w:rPr>
              <w:t>4.55 years</w:t>
            </w:r>
          </w:p>
        </w:tc>
        <w:tc>
          <w:tcPr>
            <w:tcW w:w="627" w:type="pct"/>
            <w:shd w:val="clear" w:color="auto" w:fill="auto"/>
            <w:vAlign w:val="center"/>
          </w:tcPr>
          <w:p w14:paraId="634853D9" w14:textId="77777777" w:rsidR="00E20F5E" w:rsidRPr="0049394D" w:rsidRDefault="00E20F5E" w:rsidP="00282F0D">
            <w:pPr>
              <w:pStyle w:val="TableText0"/>
              <w:jc w:val="center"/>
              <w:rPr>
                <w:bCs w:val="0"/>
              </w:rPr>
            </w:pPr>
            <w:r w:rsidRPr="0049394D">
              <w:rPr>
                <w:bCs w:val="0"/>
              </w:rPr>
              <w:t>4.00 years</w:t>
            </w:r>
          </w:p>
        </w:tc>
      </w:tr>
      <w:tr w:rsidR="00E20F5E" w:rsidRPr="0049394D" w14:paraId="4EC76939" w14:textId="77777777" w:rsidTr="00282F0D">
        <w:trPr>
          <w:cantSplit/>
          <w:jc w:val="center"/>
        </w:trPr>
        <w:tc>
          <w:tcPr>
            <w:tcW w:w="863" w:type="pct"/>
            <w:shd w:val="clear" w:color="auto" w:fill="auto"/>
            <w:vAlign w:val="center"/>
          </w:tcPr>
          <w:p w14:paraId="7D88FEF0" w14:textId="77777777" w:rsidR="00E20F5E" w:rsidRPr="0049394D" w:rsidRDefault="00E20F5E" w:rsidP="00282F0D">
            <w:pPr>
              <w:pStyle w:val="TableText0"/>
            </w:pPr>
            <w:r w:rsidRPr="0049394D">
              <w:t xml:space="preserve">Cost/patient/year </w:t>
            </w:r>
          </w:p>
        </w:tc>
        <w:tc>
          <w:tcPr>
            <w:tcW w:w="1178" w:type="pct"/>
            <w:shd w:val="clear" w:color="auto" w:fill="auto"/>
            <w:vAlign w:val="center"/>
          </w:tcPr>
          <w:p w14:paraId="0BA92A49" w14:textId="77777777" w:rsidR="00E20F5E" w:rsidRPr="0049394D" w:rsidRDefault="00E20F5E" w:rsidP="00282F0D">
            <w:pPr>
              <w:pStyle w:val="TableText0"/>
              <w:jc w:val="center"/>
            </w:pPr>
            <w:r w:rsidRPr="0049394D">
              <w:t>-</w:t>
            </w:r>
          </w:p>
        </w:tc>
        <w:tc>
          <w:tcPr>
            <w:tcW w:w="865" w:type="pct"/>
            <w:shd w:val="clear" w:color="auto" w:fill="auto"/>
            <w:vAlign w:val="center"/>
          </w:tcPr>
          <w:p w14:paraId="73C7F7FA" w14:textId="4CF13201" w:rsidR="00E20F5E" w:rsidRPr="0049394D" w:rsidRDefault="00E20F5E" w:rsidP="00282F0D">
            <w:pPr>
              <w:pStyle w:val="TableText0"/>
              <w:jc w:val="center"/>
            </w:pPr>
            <w:r w:rsidRPr="0049394D">
              <w:t>$</w:t>
            </w:r>
            <w:r w:rsidR="00501C36" w:rsidRPr="00501C36">
              <w:rPr>
                <w:color w:val="000000"/>
                <w:shd w:val="solid" w:color="000000" w:fill="000000"/>
                <w14:textFill>
                  <w14:solidFill>
                    <w14:srgbClr w14:val="000000">
                      <w14:alpha w14:val="100000"/>
                    </w14:srgbClr>
                  </w14:solidFill>
                </w14:textFill>
              </w:rPr>
              <w:t>|</w:t>
            </w:r>
          </w:p>
        </w:tc>
        <w:tc>
          <w:tcPr>
            <w:tcW w:w="838" w:type="pct"/>
          </w:tcPr>
          <w:p w14:paraId="59811A45" w14:textId="42113725" w:rsidR="00E20F5E" w:rsidRPr="0049394D" w:rsidRDefault="00E20F5E" w:rsidP="00282F0D">
            <w:pPr>
              <w:pStyle w:val="TableText0"/>
              <w:jc w:val="center"/>
            </w:pPr>
            <w:r w:rsidRPr="0049394D">
              <w:t>$</w:t>
            </w:r>
            <w:r w:rsidR="00501C36" w:rsidRPr="00501C36">
              <w:rPr>
                <w:color w:val="000000"/>
                <w:shd w:val="solid" w:color="000000" w:fill="000000"/>
                <w14:textFill>
                  <w14:solidFill>
                    <w14:srgbClr w14:val="000000">
                      <w14:alpha w14:val="100000"/>
                    </w14:srgbClr>
                  </w14:solidFill>
                </w14:textFill>
              </w:rPr>
              <w:t>|</w:t>
            </w:r>
          </w:p>
        </w:tc>
        <w:tc>
          <w:tcPr>
            <w:tcW w:w="629" w:type="pct"/>
          </w:tcPr>
          <w:p w14:paraId="48D9AAFF" w14:textId="2DB0CA16" w:rsidR="00E20F5E" w:rsidRPr="0049394D" w:rsidRDefault="00E20F5E" w:rsidP="00282F0D">
            <w:pPr>
              <w:pStyle w:val="TableText0"/>
              <w:jc w:val="center"/>
            </w:pPr>
            <w:r w:rsidRPr="0049394D">
              <w:t>$</w:t>
            </w:r>
            <w:r w:rsidR="00501C36" w:rsidRPr="00501C36">
              <w:rPr>
                <w:rFonts w:hint="eastAsia"/>
                <w:color w:val="000000"/>
                <w:w w:val="15"/>
                <w:shd w:val="solid" w:color="000000" w:fill="000000"/>
                <w:fitText w:val="60" w:id="-893684223"/>
                <w14:textFill>
                  <w14:solidFill>
                    <w14:srgbClr w14:val="000000">
                      <w14:alpha w14:val="100000"/>
                    </w14:srgbClr>
                  </w14:solidFill>
                </w14:textFill>
              </w:rPr>
              <w:t xml:space="preserve">　</w:t>
            </w:r>
            <w:r w:rsidR="00501C36" w:rsidRPr="00501C36">
              <w:rPr>
                <w:color w:val="000000"/>
                <w:w w:val="15"/>
                <w:shd w:val="solid" w:color="000000" w:fill="000000"/>
                <w:fitText w:val="60" w:id="-893684223"/>
                <w14:textFill>
                  <w14:solidFill>
                    <w14:srgbClr w14:val="000000">
                      <w14:alpha w14:val="100000"/>
                    </w14:srgbClr>
                  </w14:solidFill>
                </w14:textFill>
              </w:rPr>
              <w:t>|</w:t>
            </w:r>
            <w:r w:rsidR="00501C36" w:rsidRPr="00501C36">
              <w:rPr>
                <w:rFonts w:hint="eastAsia"/>
                <w:color w:val="000000"/>
                <w:spacing w:val="-5"/>
                <w:w w:val="15"/>
                <w:shd w:val="solid" w:color="000000" w:fill="000000"/>
                <w:fitText w:val="60" w:id="-893684223"/>
                <w14:textFill>
                  <w14:solidFill>
                    <w14:srgbClr w14:val="000000">
                      <w14:alpha w14:val="100000"/>
                    </w14:srgbClr>
                  </w14:solidFill>
                </w14:textFill>
              </w:rPr>
              <w:t xml:space="preserve">　</w:t>
            </w:r>
          </w:p>
        </w:tc>
        <w:tc>
          <w:tcPr>
            <w:tcW w:w="627" w:type="pct"/>
            <w:shd w:val="clear" w:color="auto" w:fill="auto"/>
            <w:vAlign w:val="center"/>
          </w:tcPr>
          <w:p w14:paraId="6181E1FC" w14:textId="10BD77E1" w:rsidR="00E20F5E" w:rsidRPr="0049394D" w:rsidRDefault="00E20F5E" w:rsidP="00282F0D">
            <w:pPr>
              <w:pStyle w:val="TableText0"/>
              <w:jc w:val="center"/>
            </w:pPr>
            <w:r w:rsidRPr="0049394D">
              <w:t>$</w:t>
            </w:r>
            <w:r w:rsidR="00501C36" w:rsidRPr="00501C36">
              <w:rPr>
                <w:rFonts w:hint="eastAsia"/>
                <w:color w:val="000000"/>
                <w:w w:val="15"/>
                <w:shd w:val="solid" w:color="000000" w:fill="000000"/>
                <w:fitText w:val="45" w:id="-893684222"/>
                <w14:textFill>
                  <w14:solidFill>
                    <w14:srgbClr w14:val="000000">
                      <w14:alpha w14:val="100000"/>
                    </w14:srgbClr>
                  </w14:solidFill>
                </w14:textFill>
              </w:rPr>
              <w:t xml:space="preserve">　</w:t>
            </w:r>
            <w:r w:rsidR="00501C36" w:rsidRPr="00501C36">
              <w:rPr>
                <w:color w:val="000000"/>
                <w:w w:val="15"/>
                <w:shd w:val="solid" w:color="000000" w:fill="000000"/>
                <w:fitText w:val="45" w:id="-893684222"/>
                <w14:textFill>
                  <w14:solidFill>
                    <w14:srgbClr w14:val="000000">
                      <w14:alpha w14:val="100000"/>
                    </w14:srgbClr>
                  </w14:solidFill>
                </w14:textFill>
              </w:rPr>
              <w:t>|</w:t>
            </w:r>
            <w:r w:rsidR="00501C36" w:rsidRPr="00501C36">
              <w:rPr>
                <w:rFonts w:hint="eastAsia"/>
                <w:color w:val="000000"/>
                <w:spacing w:val="-20"/>
                <w:w w:val="15"/>
                <w:shd w:val="solid" w:color="000000" w:fill="000000"/>
                <w:fitText w:val="45" w:id="-893684222"/>
                <w14:textFill>
                  <w14:solidFill>
                    <w14:srgbClr w14:val="000000">
                      <w14:alpha w14:val="100000"/>
                    </w14:srgbClr>
                  </w14:solidFill>
                </w14:textFill>
              </w:rPr>
              <w:t xml:space="preserve">　</w:t>
            </w:r>
          </w:p>
        </w:tc>
      </w:tr>
      <w:tr w:rsidR="00E20F5E" w:rsidRPr="0049394D" w14:paraId="6FCEE34C" w14:textId="77777777" w:rsidTr="00282F0D">
        <w:trPr>
          <w:cantSplit/>
          <w:jc w:val="center"/>
        </w:trPr>
        <w:tc>
          <w:tcPr>
            <w:tcW w:w="863" w:type="pct"/>
            <w:shd w:val="clear" w:color="auto" w:fill="auto"/>
            <w:vAlign w:val="center"/>
          </w:tcPr>
          <w:p w14:paraId="531C8008" w14:textId="77777777" w:rsidR="00E20F5E" w:rsidRPr="0049394D" w:rsidRDefault="00E20F5E" w:rsidP="00282F0D">
            <w:pPr>
              <w:pStyle w:val="TableText0"/>
            </w:pPr>
            <w:r w:rsidRPr="0049394D">
              <w:t>Total cost/patient</w:t>
            </w:r>
          </w:p>
        </w:tc>
        <w:tc>
          <w:tcPr>
            <w:tcW w:w="1178" w:type="pct"/>
            <w:shd w:val="clear" w:color="auto" w:fill="auto"/>
            <w:vAlign w:val="center"/>
          </w:tcPr>
          <w:p w14:paraId="076881F6" w14:textId="77777777" w:rsidR="00E20F5E" w:rsidRPr="0049394D" w:rsidRDefault="00E20F5E" w:rsidP="00282F0D">
            <w:pPr>
              <w:pStyle w:val="TableText0"/>
              <w:jc w:val="center"/>
            </w:pPr>
            <w:r w:rsidRPr="0049394D">
              <w:t>-</w:t>
            </w:r>
          </w:p>
        </w:tc>
        <w:tc>
          <w:tcPr>
            <w:tcW w:w="865" w:type="pct"/>
            <w:shd w:val="clear" w:color="auto" w:fill="auto"/>
            <w:vAlign w:val="center"/>
          </w:tcPr>
          <w:p w14:paraId="4F4E5FAE" w14:textId="275667F6" w:rsidR="00E20F5E" w:rsidRPr="0049394D" w:rsidRDefault="00E20F5E" w:rsidP="00282F0D">
            <w:pPr>
              <w:pStyle w:val="TableText0"/>
              <w:jc w:val="center"/>
            </w:pPr>
            <w:r w:rsidRPr="0049394D">
              <w:t>$</w:t>
            </w:r>
            <w:r w:rsidR="00501C36" w:rsidRPr="00501C36">
              <w:rPr>
                <w:color w:val="000000"/>
                <w:shd w:val="solid" w:color="000000" w:fill="000000"/>
                <w14:textFill>
                  <w14:solidFill>
                    <w14:srgbClr w14:val="000000">
                      <w14:alpha w14:val="100000"/>
                    </w14:srgbClr>
                  </w14:solidFill>
                </w14:textFill>
              </w:rPr>
              <w:t>|</w:t>
            </w:r>
          </w:p>
        </w:tc>
        <w:tc>
          <w:tcPr>
            <w:tcW w:w="838" w:type="pct"/>
          </w:tcPr>
          <w:p w14:paraId="0CB98196" w14:textId="2BD23AF5" w:rsidR="00E20F5E" w:rsidRPr="0049394D" w:rsidRDefault="00E20F5E" w:rsidP="00282F0D">
            <w:pPr>
              <w:pStyle w:val="TableText0"/>
              <w:jc w:val="center"/>
            </w:pPr>
            <w:r w:rsidRPr="0049394D">
              <w:t>$</w:t>
            </w:r>
            <w:r w:rsidR="00501C36" w:rsidRPr="00501C36">
              <w:rPr>
                <w:color w:val="000000"/>
                <w:shd w:val="solid" w:color="000000" w:fill="000000"/>
                <w14:textFill>
                  <w14:solidFill>
                    <w14:srgbClr w14:val="000000">
                      <w14:alpha w14:val="100000"/>
                    </w14:srgbClr>
                  </w14:solidFill>
                </w14:textFill>
              </w:rPr>
              <w:t>|</w:t>
            </w:r>
          </w:p>
        </w:tc>
        <w:tc>
          <w:tcPr>
            <w:tcW w:w="629" w:type="pct"/>
          </w:tcPr>
          <w:p w14:paraId="43AD1622" w14:textId="06C539BE" w:rsidR="00E20F5E" w:rsidRPr="0049394D" w:rsidRDefault="00E20F5E" w:rsidP="00282F0D">
            <w:pPr>
              <w:pStyle w:val="TableText0"/>
              <w:jc w:val="center"/>
            </w:pPr>
            <w:r w:rsidRPr="0049394D">
              <w:t>$</w:t>
            </w:r>
            <w:r w:rsidR="00501C36" w:rsidRPr="00501C36">
              <w:rPr>
                <w:rFonts w:hint="eastAsia"/>
                <w:color w:val="000000"/>
                <w:w w:val="15"/>
                <w:shd w:val="solid" w:color="000000" w:fill="000000"/>
                <w:fitText w:val="60" w:id="-893684221"/>
                <w14:textFill>
                  <w14:solidFill>
                    <w14:srgbClr w14:val="000000">
                      <w14:alpha w14:val="100000"/>
                    </w14:srgbClr>
                  </w14:solidFill>
                </w14:textFill>
              </w:rPr>
              <w:t xml:space="preserve">　</w:t>
            </w:r>
            <w:r w:rsidR="00501C36" w:rsidRPr="00501C36">
              <w:rPr>
                <w:color w:val="000000"/>
                <w:w w:val="15"/>
                <w:shd w:val="solid" w:color="000000" w:fill="000000"/>
                <w:fitText w:val="60" w:id="-893684221"/>
                <w14:textFill>
                  <w14:solidFill>
                    <w14:srgbClr w14:val="000000">
                      <w14:alpha w14:val="100000"/>
                    </w14:srgbClr>
                  </w14:solidFill>
                </w14:textFill>
              </w:rPr>
              <w:t>|</w:t>
            </w:r>
            <w:r w:rsidR="00501C36" w:rsidRPr="00501C36">
              <w:rPr>
                <w:rFonts w:hint="eastAsia"/>
                <w:color w:val="000000"/>
                <w:spacing w:val="-5"/>
                <w:w w:val="15"/>
                <w:shd w:val="solid" w:color="000000" w:fill="000000"/>
                <w:fitText w:val="60" w:id="-893684221"/>
                <w14:textFill>
                  <w14:solidFill>
                    <w14:srgbClr w14:val="000000">
                      <w14:alpha w14:val="100000"/>
                    </w14:srgbClr>
                  </w14:solidFill>
                </w14:textFill>
              </w:rPr>
              <w:t xml:space="preserve">　</w:t>
            </w:r>
          </w:p>
        </w:tc>
        <w:tc>
          <w:tcPr>
            <w:tcW w:w="627" w:type="pct"/>
            <w:shd w:val="clear" w:color="auto" w:fill="auto"/>
            <w:vAlign w:val="center"/>
          </w:tcPr>
          <w:p w14:paraId="6236EA7F" w14:textId="6C6C130F" w:rsidR="00E20F5E" w:rsidRPr="0049394D" w:rsidRDefault="00E20F5E" w:rsidP="00282F0D">
            <w:pPr>
              <w:pStyle w:val="TableText0"/>
              <w:jc w:val="center"/>
            </w:pPr>
            <w:r w:rsidRPr="0049394D">
              <w:t>$</w:t>
            </w:r>
            <w:r w:rsidR="00501C36" w:rsidRPr="00501C36">
              <w:rPr>
                <w:rFonts w:hint="eastAsia"/>
                <w:color w:val="000000"/>
                <w:w w:val="15"/>
                <w:shd w:val="solid" w:color="000000" w:fill="000000"/>
                <w:fitText w:val="45" w:id="-893684220"/>
                <w14:textFill>
                  <w14:solidFill>
                    <w14:srgbClr w14:val="000000">
                      <w14:alpha w14:val="100000"/>
                    </w14:srgbClr>
                  </w14:solidFill>
                </w14:textFill>
              </w:rPr>
              <w:t xml:space="preserve">　</w:t>
            </w:r>
            <w:r w:rsidR="00501C36" w:rsidRPr="00501C36">
              <w:rPr>
                <w:color w:val="000000"/>
                <w:w w:val="15"/>
                <w:shd w:val="solid" w:color="000000" w:fill="000000"/>
                <w:fitText w:val="45" w:id="-893684220"/>
                <w14:textFill>
                  <w14:solidFill>
                    <w14:srgbClr w14:val="000000">
                      <w14:alpha w14:val="100000"/>
                    </w14:srgbClr>
                  </w14:solidFill>
                </w14:textFill>
              </w:rPr>
              <w:t>|</w:t>
            </w:r>
            <w:r w:rsidR="00501C36" w:rsidRPr="00501C36">
              <w:rPr>
                <w:rFonts w:hint="eastAsia"/>
                <w:color w:val="000000"/>
                <w:spacing w:val="-20"/>
                <w:w w:val="15"/>
                <w:shd w:val="solid" w:color="000000" w:fill="000000"/>
                <w:fitText w:val="45" w:id="-893684220"/>
                <w14:textFill>
                  <w14:solidFill>
                    <w14:srgbClr w14:val="000000">
                      <w14:alpha w14:val="100000"/>
                    </w14:srgbClr>
                  </w14:solidFill>
                </w14:textFill>
              </w:rPr>
              <w:t xml:space="preserve">　</w:t>
            </w:r>
          </w:p>
        </w:tc>
      </w:tr>
    </w:tbl>
    <w:p w14:paraId="6EF2E0A7" w14:textId="77777777" w:rsidR="00E20F5E" w:rsidRPr="0049394D" w:rsidRDefault="00E20F5E" w:rsidP="00E20F5E">
      <w:pPr>
        <w:pStyle w:val="FooterTableFigure"/>
      </w:pPr>
      <w:r w:rsidRPr="0049394D">
        <w:t xml:space="preserve">Source: </w:t>
      </w:r>
      <w:r w:rsidRPr="0049394D">
        <w:rPr>
          <w:iCs/>
        </w:rPr>
        <w:t xml:space="preserve">compiled during the evaluation from </w:t>
      </w:r>
      <w:r w:rsidRPr="0049394D">
        <w:t>Table 10-6 of LS-004 Clinical Study Report, and Excel workbooks ‘Attachment 7 (CUA).xlsm’ ‘Attachment 8 (UCM).xlsx’</w:t>
      </w:r>
    </w:p>
    <w:p w14:paraId="76A16538" w14:textId="77777777" w:rsidR="00E20F5E" w:rsidRPr="0049394D" w:rsidRDefault="00E20F5E" w:rsidP="00E20F5E">
      <w:pPr>
        <w:pStyle w:val="FooterTableFigure"/>
      </w:pPr>
      <w:r w:rsidRPr="0049394D">
        <w:rPr>
          <w:vertAlign w:val="superscript"/>
        </w:rPr>
        <w:t>a</w:t>
      </w:r>
      <w:r w:rsidRPr="0049394D">
        <w:tab/>
        <w:t xml:space="preserve">Cumulative mean dose 115124.6mg/mean duration 1025.1 days </w:t>
      </w:r>
    </w:p>
    <w:p w14:paraId="28B50D9B" w14:textId="7C2884A9" w:rsidR="00E20F5E" w:rsidRPr="0049394D" w:rsidRDefault="00E20F5E" w:rsidP="00E20F5E">
      <w:pPr>
        <w:pStyle w:val="FooterTableFigure"/>
      </w:pPr>
      <w:r w:rsidRPr="0049394D">
        <w:rPr>
          <w:vertAlign w:val="superscript"/>
        </w:rPr>
        <w:t>b</w:t>
      </w:r>
      <w:r w:rsidRPr="0049394D">
        <w:tab/>
        <w:t>Financial estimates calculated duration and regimen over weeks, round to the nearest 2 decimal places. If estimated on daily dose, the annual cost was $</w:t>
      </w:r>
      <w:r w:rsidR="00501C36" w:rsidRPr="008C077D">
        <w:rPr>
          <w:color w:val="000000"/>
          <w:spacing w:val="40"/>
          <w:shd w:val="solid" w:color="000000" w:fill="000000"/>
          <w:fitText w:val="280" w:id="-893684219"/>
          <w14:textFill>
            <w14:solidFill>
              <w14:srgbClr w14:val="000000">
                <w14:alpha w14:val="100000"/>
              </w14:srgbClr>
            </w14:solidFill>
          </w14:textFill>
        </w:rPr>
        <w:t xml:space="preserve">|  </w:t>
      </w:r>
      <w:r w:rsidR="00501C36" w:rsidRPr="008C077D">
        <w:rPr>
          <w:color w:val="000000"/>
          <w:spacing w:val="2"/>
          <w:shd w:val="solid" w:color="000000" w:fill="000000"/>
          <w:fitText w:val="280" w:id="-893684219"/>
          <w14:textFill>
            <w14:solidFill>
              <w14:srgbClr w14:val="000000">
                <w14:alpha w14:val="100000"/>
              </w14:srgbClr>
            </w14:solidFill>
          </w14:textFill>
        </w:rPr>
        <w:t>|</w:t>
      </w:r>
      <w:r w:rsidRPr="0049394D">
        <w:t>.</w:t>
      </w:r>
    </w:p>
    <w:p w14:paraId="032ED64A" w14:textId="77777777" w:rsidR="00E16CF9" w:rsidRPr="00C9624D" w:rsidRDefault="00E16CF9" w:rsidP="00E16CF9">
      <w:pPr>
        <w:pStyle w:val="4-SubsectionHeading"/>
      </w:pPr>
      <w:bookmarkStart w:id="89" w:name="_Toc22897648"/>
      <w:bookmarkStart w:id="90" w:name="_Toc167277640"/>
      <w:bookmarkEnd w:id="87"/>
      <w:r w:rsidRPr="00C9624D">
        <w:t>Estimated PBS usage &amp; financial implications</w:t>
      </w:r>
    </w:p>
    <w:p w14:paraId="36DF8B5B" w14:textId="254BB2E9" w:rsidR="00E16CF9" w:rsidRPr="006368F7" w:rsidRDefault="00E16CF9" w:rsidP="00E16CF9">
      <w:pPr>
        <w:pStyle w:val="3-BodyText"/>
      </w:pPr>
      <w:r>
        <w:t xml:space="preserve">The </w:t>
      </w:r>
      <w:r w:rsidR="00D1781A">
        <w:t>DUSC</w:t>
      </w:r>
      <w:r>
        <w:t xml:space="preserve"> considered that the submission </w:t>
      </w:r>
      <w:r w:rsidRPr="00AF6202">
        <w:t>reasonably</w:t>
      </w:r>
      <w:r>
        <w:t xml:space="preserve"> used an epidemiological approach to estimate the financial impact of belzutifan listing for patients with VHL-</w:t>
      </w:r>
      <w:r>
        <w:lastRenderedPageBreak/>
        <w:t xml:space="preserve">associated RCC, CNS Hb or pNETs who are not in need of immediate surgery. A summary of the data sources for the financial analysis are presented </w:t>
      </w:r>
      <w:r w:rsidRPr="006368F7">
        <w:fldChar w:fldCharType="begin" w:fldLock="1"/>
      </w:r>
      <w:r w:rsidRPr="006368F7">
        <w:instrText xml:space="preserve"> REF _Ref104805262 \h  \* MERGEFORMAT </w:instrText>
      </w:r>
      <w:r w:rsidRPr="006368F7">
        <w:fldChar w:fldCharType="separate"/>
      </w:r>
      <w:r w:rsidR="00437B51">
        <w:t>Table 20</w:t>
      </w:r>
      <w:r w:rsidRPr="006368F7">
        <w:fldChar w:fldCharType="end"/>
      </w:r>
      <w:r w:rsidRPr="006368F7">
        <w:t xml:space="preserve"> </w:t>
      </w:r>
    </w:p>
    <w:p w14:paraId="38F1FDEC" w14:textId="47B2830E" w:rsidR="00E16CF9" w:rsidRDefault="00E16CF9" w:rsidP="00E16CF9">
      <w:pPr>
        <w:pStyle w:val="Caption"/>
        <w:rPr>
          <w:rStyle w:val="CommentReference"/>
          <w:b/>
          <w:szCs w:val="24"/>
        </w:rPr>
      </w:pPr>
      <w:bookmarkStart w:id="91" w:name="_Ref104805262"/>
      <w:r>
        <w:t xml:space="preserve">Table </w:t>
      </w:r>
      <w:r>
        <w:fldChar w:fldCharType="begin" w:fldLock="1"/>
      </w:r>
      <w:r>
        <w:instrText xml:space="preserve"> SEQ Table \* ARABIC </w:instrText>
      </w:r>
      <w:r>
        <w:fldChar w:fldCharType="separate"/>
      </w:r>
      <w:r w:rsidR="00437B51">
        <w:rPr>
          <w:noProof/>
        </w:rPr>
        <w:t>20</w:t>
      </w:r>
      <w:r>
        <w:rPr>
          <w:noProof/>
        </w:rPr>
        <w:fldChar w:fldCharType="end"/>
      </w:r>
      <w:bookmarkEnd w:id="91"/>
      <w:r>
        <w:t>:</w:t>
      </w:r>
      <w:r w:rsidRPr="007925DF">
        <w:rPr>
          <w:rStyle w:val="CommentReference"/>
          <w:b/>
          <w:szCs w:val="24"/>
        </w:rPr>
        <w:t xml:space="preserve"> Key inputs for financial estimates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0: Key inputs for financial estimates"/>
      </w:tblPr>
      <w:tblGrid>
        <w:gridCol w:w="1426"/>
        <w:gridCol w:w="1123"/>
        <w:gridCol w:w="1477"/>
        <w:gridCol w:w="2632"/>
        <w:gridCol w:w="2551"/>
      </w:tblGrid>
      <w:tr w:rsidR="00B86987" w:rsidRPr="000E48C6" w14:paraId="0A4F5036" w14:textId="77777777" w:rsidTr="00854496">
        <w:trPr>
          <w:cantSplit/>
          <w:tblHeader/>
        </w:trPr>
        <w:tc>
          <w:tcPr>
            <w:tcW w:w="1426" w:type="dxa"/>
          </w:tcPr>
          <w:p w14:paraId="28766EF9" w14:textId="77777777" w:rsidR="00B86987" w:rsidRPr="000E48C6" w:rsidRDefault="00B86987" w:rsidP="00854496">
            <w:pPr>
              <w:widowControl w:val="0"/>
              <w:jc w:val="center"/>
              <w:rPr>
                <w:rFonts w:ascii="Arial Narrow" w:eastAsiaTheme="majorEastAsia" w:hAnsi="Arial Narrow" w:cs="Times New Roman"/>
                <w:b/>
                <w:sz w:val="20"/>
                <w:lang w:val="en-US"/>
              </w:rPr>
            </w:pPr>
            <w:r w:rsidRPr="000E48C6">
              <w:rPr>
                <w:rFonts w:ascii="Arial Narrow" w:eastAsiaTheme="majorEastAsia" w:hAnsi="Arial Narrow" w:cs="Times New Roman"/>
                <w:b/>
                <w:sz w:val="20"/>
                <w:lang w:val="en-US"/>
              </w:rPr>
              <w:t>Data</w:t>
            </w:r>
          </w:p>
        </w:tc>
        <w:tc>
          <w:tcPr>
            <w:tcW w:w="1123" w:type="dxa"/>
          </w:tcPr>
          <w:p w14:paraId="628C1129" w14:textId="77777777" w:rsidR="00B86987" w:rsidRPr="000E48C6" w:rsidRDefault="00B86987" w:rsidP="00854496">
            <w:pPr>
              <w:widowControl w:val="0"/>
              <w:jc w:val="center"/>
              <w:rPr>
                <w:rFonts w:ascii="Arial Narrow" w:eastAsiaTheme="majorEastAsia" w:hAnsi="Arial Narrow" w:cs="Times New Roman"/>
                <w:b/>
                <w:sz w:val="20"/>
                <w:lang w:val="en-US"/>
              </w:rPr>
            </w:pPr>
            <w:r w:rsidRPr="000E48C6">
              <w:rPr>
                <w:rFonts w:ascii="Arial Narrow" w:eastAsiaTheme="majorEastAsia" w:hAnsi="Arial Narrow" w:cs="Times New Roman"/>
                <w:b/>
                <w:sz w:val="20"/>
                <w:lang w:val="en-US"/>
              </w:rPr>
              <w:t>Value</w:t>
            </w:r>
          </w:p>
        </w:tc>
        <w:tc>
          <w:tcPr>
            <w:tcW w:w="1477" w:type="dxa"/>
          </w:tcPr>
          <w:p w14:paraId="327B2F68" w14:textId="77777777" w:rsidR="00B86987" w:rsidRPr="000E48C6" w:rsidRDefault="00B86987" w:rsidP="00854496">
            <w:pPr>
              <w:widowControl w:val="0"/>
              <w:jc w:val="center"/>
              <w:rPr>
                <w:rFonts w:ascii="Arial Narrow" w:eastAsiaTheme="majorEastAsia" w:hAnsi="Arial Narrow" w:cs="Times New Roman"/>
                <w:b/>
                <w:sz w:val="20"/>
                <w:lang w:val="en-US"/>
              </w:rPr>
            </w:pPr>
            <w:r w:rsidRPr="000E48C6">
              <w:rPr>
                <w:rFonts w:ascii="Arial Narrow" w:eastAsiaTheme="majorEastAsia" w:hAnsi="Arial Narrow" w:cs="Times New Roman"/>
                <w:b/>
                <w:sz w:val="20"/>
                <w:lang w:val="en-US"/>
              </w:rPr>
              <w:t>Source</w:t>
            </w:r>
          </w:p>
        </w:tc>
        <w:tc>
          <w:tcPr>
            <w:tcW w:w="2632" w:type="dxa"/>
          </w:tcPr>
          <w:p w14:paraId="3AD676A2" w14:textId="77777777" w:rsidR="00B86987" w:rsidRPr="000E48C6" w:rsidRDefault="00B86987" w:rsidP="00854496">
            <w:pPr>
              <w:widowControl w:val="0"/>
              <w:jc w:val="center"/>
              <w:rPr>
                <w:rFonts w:ascii="Arial Narrow" w:eastAsiaTheme="majorEastAsia" w:hAnsi="Arial Narrow" w:cs="Times New Roman"/>
                <w:b/>
                <w:sz w:val="20"/>
                <w:lang w:val="en-US"/>
              </w:rPr>
            </w:pPr>
            <w:r w:rsidRPr="000E48C6">
              <w:rPr>
                <w:rFonts w:ascii="Arial Narrow" w:eastAsiaTheme="majorEastAsia" w:hAnsi="Arial Narrow" w:cs="Times New Roman"/>
                <w:b/>
                <w:sz w:val="20"/>
                <w:lang w:val="en-US"/>
              </w:rPr>
              <w:t>Comment</w:t>
            </w:r>
            <w:r>
              <w:rPr>
                <w:rFonts w:ascii="Arial Narrow" w:eastAsiaTheme="majorEastAsia" w:hAnsi="Arial Narrow" w:cs="Times New Roman"/>
                <w:b/>
                <w:sz w:val="20"/>
                <w:lang w:val="en-US"/>
              </w:rPr>
              <w:t>ary on the submission</w:t>
            </w:r>
          </w:p>
        </w:tc>
        <w:tc>
          <w:tcPr>
            <w:tcW w:w="2551" w:type="dxa"/>
          </w:tcPr>
          <w:p w14:paraId="5091F420" w14:textId="77777777" w:rsidR="00B86987" w:rsidRPr="00B86987" w:rsidRDefault="00B86987" w:rsidP="00854496">
            <w:pPr>
              <w:widowControl w:val="0"/>
              <w:jc w:val="center"/>
              <w:rPr>
                <w:rFonts w:ascii="Arial Narrow" w:eastAsiaTheme="majorEastAsia" w:hAnsi="Arial Narrow" w:cs="Times New Roman"/>
                <w:b/>
                <w:sz w:val="20"/>
                <w:lang w:val="en-US"/>
              </w:rPr>
            </w:pPr>
            <w:r w:rsidRPr="00B86987">
              <w:rPr>
                <w:rFonts w:ascii="Arial Narrow" w:eastAsiaTheme="majorEastAsia" w:hAnsi="Arial Narrow" w:cs="Times New Roman"/>
                <w:b/>
                <w:sz w:val="20"/>
                <w:lang w:val="en-US"/>
              </w:rPr>
              <w:t>DUSC comments</w:t>
            </w:r>
          </w:p>
        </w:tc>
      </w:tr>
      <w:tr w:rsidR="00B86987" w:rsidRPr="000E48C6" w14:paraId="5EDC5077" w14:textId="77777777" w:rsidTr="00854496">
        <w:trPr>
          <w:cantSplit/>
        </w:trPr>
        <w:tc>
          <w:tcPr>
            <w:tcW w:w="9209" w:type="dxa"/>
            <w:gridSpan w:val="5"/>
          </w:tcPr>
          <w:p w14:paraId="1FC4E044" w14:textId="77777777" w:rsidR="00B86987" w:rsidRPr="00B86987" w:rsidRDefault="00B86987" w:rsidP="00854496">
            <w:pPr>
              <w:widowControl w:val="0"/>
              <w:jc w:val="left"/>
              <w:rPr>
                <w:rFonts w:ascii="Arial Narrow" w:eastAsiaTheme="majorEastAsia" w:hAnsi="Arial Narrow" w:cs="Times New Roman"/>
                <w:b/>
                <w:sz w:val="20"/>
                <w:lang w:val="en-US"/>
              </w:rPr>
            </w:pPr>
            <w:r w:rsidRPr="00B86987">
              <w:rPr>
                <w:rFonts w:ascii="Arial Narrow" w:eastAsiaTheme="majorEastAsia" w:hAnsi="Arial Narrow" w:cs="Times New Roman"/>
                <w:b/>
                <w:sz w:val="20"/>
                <w:lang w:val="en-US"/>
              </w:rPr>
              <w:t>Eligible population</w:t>
            </w:r>
          </w:p>
        </w:tc>
      </w:tr>
      <w:tr w:rsidR="00B86987" w:rsidRPr="000E48C6" w14:paraId="5F138396" w14:textId="77777777" w:rsidTr="00854496">
        <w:trPr>
          <w:cantSplit/>
        </w:trPr>
        <w:tc>
          <w:tcPr>
            <w:tcW w:w="1426" w:type="dxa"/>
          </w:tcPr>
          <w:p w14:paraId="4507D52C"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Australian patients living with VHL disease</w:t>
            </w:r>
          </w:p>
          <w:p w14:paraId="5889E10F"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(undiagnosed &amp; diagnosed)</w:t>
            </w:r>
          </w:p>
        </w:tc>
        <w:tc>
          <w:tcPr>
            <w:tcW w:w="1123" w:type="dxa"/>
          </w:tcPr>
          <w:p w14:paraId="3C8BE1C1" w14:textId="16EC9A36"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1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8"/>
                <w14:textFill>
                  <w14:solidFill>
                    <w14:srgbClr w14:val="000000">
                      <w14:alpha w14:val="100000"/>
                    </w14:srgbClr>
                  </w14:solidFill>
                </w14:textFill>
              </w:rPr>
              <w:t>|</w:t>
            </w:r>
            <w:r w:rsidR="007C1B17" w:rsidRPr="0009066F">
              <w:rPr>
                <w:rFonts w:ascii="Arial Narrow" w:eastAsiaTheme="majorEastAsia" w:hAnsi="Arial Narrow" w:cstheme="majorBidi"/>
                <w:bCs/>
                <w:sz w:val="20"/>
                <w:vertAlign w:val="superscript"/>
              </w:rPr>
              <w:t>1</w:t>
            </w:r>
          </w:p>
          <w:p w14:paraId="5D6072C4" w14:textId="3E07D57E"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17"/>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7"/>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581FB83F" w14:textId="4288E74B"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16"/>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6"/>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53EC2A11" w14:textId="6B164009"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15"/>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5"/>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2616BE92" w14:textId="5E1983BB"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14"/>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4"/>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5199AC32" w14:textId="669E83CF"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13"/>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3"/>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tc>
        <w:tc>
          <w:tcPr>
            <w:tcW w:w="1477" w:type="dxa"/>
          </w:tcPr>
          <w:p w14:paraId="0F6FED1B"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VHL prevalence of 2.1 per 100,000 population based on Binderup 2017, applied to ABS population data (total) for 2024-2029.</w:t>
            </w:r>
          </w:p>
        </w:tc>
        <w:tc>
          <w:tcPr>
            <w:tcW w:w="2632" w:type="dxa"/>
          </w:tcPr>
          <w:p w14:paraId="53E7F0B6"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The VHL prevalence was applied to the ABS total Australian population projection. The source of the ABS population projection did not match Sheet ‘8. ABS population’. ABS population values should be restricted to 18+ at this stage of the analysis (rather than apply a subsequent parameter).</w:t>
            </w:r>
          </w:p>
          <w:p w14:paraId="040A5009" w14:textId="77777777" w:rsidR="00B86987" w:rsidRPr="000E48C6" w:rsidRDefault="00B86987" w:rsidP="00854496">
            <w:pPr>
              <w:widowControl w:val="0"/>
              <w:jc w:val="left"/>
              <w:rPr>
                <w:rFonts w:ascii="Arial Narrow" w:eastAsiaTheme="majorEastAsia" w:hAnsi="Arial Narrow" w:cstheme="majorBidi"/>
                <w:bCs/>
                <w:sz w:val="20"/>
              </w:rPr>
            </w:pPr>
          </w:p>
          <w:p w14:paraId="1AAD1B8D"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Binderup 2017 was a population-based study in Denmark using a national VHL research database and national health registers and was chosen as it restricted to after genetic testing was available and was nationwide rather than centre/region specific. This may be a reasonable source. However, the applicability to the Australian population is unknown and relatively small differences in the prevalence is expected to have a significant effect on the financial estimates. </w:t>
            </w:r>
          </w:p>
        </w:tc>
        <w:tc>
          <w:tcPr>
            <w:tcW w:w="2551" w:type="dxa"/>
          </w:tcPr>
          <w:p w14:paraId="7E069F20" w14:textId="77777777" w:rsidR="00B86987" w:rsidRPr="00B86987" w:rsidRDefault="00B86987" w:rsidP="00854496">
            <w:pPr>
              <w:widowControl w:val="0"/>
              <w:jc w:val="left"/>
              <w:rPr>
                <w:rFonts w:ascii="Arial Narrow" w:eastAsiaTheme="majorEastAsia" w:hAnsi="Arial Narrow" w:cstheme="majorBidi"/>
                <w:sz w:val="20"/>
              </w:rPr>
            </w:pPr>
            <w:r w:rsidRPr="00B86987">
              <w:rPr>
                <w:rFonts w:ascii="Arial Narrow" w:eastAsia="MS Gothic" w:hAnsi="Arial Narrow"/>
                <w:kern w:val="24"/>
                <w:sz w:val="20"/>
                <w:szCs w:val="20"/>
              </w:rPr>
              <w:t xml:space="preserve">DUSC commented this was a reasonable prevalence source for a rare disease, and that it was consistent with literature. </w:t>
            </w:r>
          </w:p>
        </w:tc>
      </w:tr>
      <w:tr w:rsidR="00B86987" w:rsidRPr="000E48C6" w14:paraId="0D83BE7D" w14:textId="77777777" w:rsidTr="00854496">
        <w:trPr>
          <w:cantSplit/>
        </w:trPr>
        <w:tc>
          <w:tcPr>
            <w:tcW w:w="1426" w:type="dxa"/>
          </w:tcPr>
          <w:p w14:paraId="0AAC002A"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Grandfathered patients</w:t>
            </w:r>
          </w:p>
        </w:tc>
        <w:tc>
          <w:tcPr>
            <w:tcW w:w="1123" w:type="dxa"/>
          </w:tcPr>
          <w:p w14:paraId="038F099A" w14:textId="12C4D386"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12"/>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2"/>
                <w14:textFill>
                  <w14:solidFill>
                    <w14:srgbClr w14:val="000000">
                      <w14:alpha w14:val="100000"/>
                    </w14:srgbClr>
                  </w14:solidFill>
                </w14:textFill>
              </w:rPr>
              <w:t>|</w:t>
            </w:r>
            <w:r w:rsidR="007C1B17" w:rsidRPr="0009066F">
              <w:rPr>
                <w:rFonts w:ascii="Arial Narrow" w:eastAsiaTheme="majorEastAsia" w:hAnsi="Arial Narrow" w:cstheme="majorBidi"/>
                <w:bCs/>
                <w:sz w:val="20"/>
                <w:vertAlign w:val="superscript"/>
              </w:rPr>
              <w:t>2</w:t>
            </w:r>
          </w:p>
          <w:p w14:paraId="21701138" w14:textId="193ECE03"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Yrs2</w:t>
            </w:r>
            <w:r w:rsidR="006325F4">
              <w:rPr>
                <w:rFonts w:ascii="Arial Narrow" w:eastAsiaTheme="majorEastAsia" w:hAnsi="Arial Narrow" w:cstheme="majorBidi"/>
                <w:bCs/>
                <w:sz w:val="20"/>
              </w:rPr>
              <w:t>−</w:t>
            </w:r>
            <w:r w:rsidRPr="000E48C6">
              <w:rPr>
                <w:rFonts w:ascii="Arial Narrow" w:eastAsiaTheme="majorEastAsia" w:hAnsi="Arial Narrow" w:cstheme="majorBidi"/>
                <w:bCs/>
                <w:sz w:val="20"/>
              </w:rPr>
              <w:t xml:space="preserve">6: </w:t>
            </w:r>
            <w:r w:rsidR="00501C36" w:rsidRPr="00501C36">
              <w:rPr>
                <w:rFonts w:ascii="Arial Narrow" w:eastAsiaTheme="majorEastAsia" w:hAnsi="Arial Narrow" w:cstheme="majorBidi"/>
                <w:bCs/>
                <w:color w:val="000000"/>
                <w:spacing w:val="53"/>
                <w:sz w:val="20"/>
                <w:shd w:val="solid" w:color="000000" w:fill="000000"/>
                <w:fitText w:val="330" w:id="-893684211"/>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1"/>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tc>
        <w:tc>
          <w:tcPr>
            <w:tcW w:w="1477" w:type="dxa"/>
          </w:tcPr>
          <w:p w14:paraId="635154A1"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Assumed</w:t>
            </w:r>
          </w:p>
        </w:tc>
        <w:tc>
          <w:tcPr>
            <w:tcW w:w="2632" w:type="dxa"/>
          </w:tcPr>
          <w:p w14:paraId="422882AC"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Grandfathered numbers should have been removed from the diagnosed adult VHL population rather than the overall population, but were otherwise correctly accounted for in the financial estimates.</w:t>
            </w:r>
          </w:p>
        </w:tc>
        <w:tc>
          <w:tcPr>
            <w:tcW w:w="2551" w:type="dxa"/>
          </w:tcPr>
          <w:p w14:paraId="14DD757F" w14:textId="77777777" w:rsidR="00B86987" w:rsidRPr="00B86987" w:rsidRDefault="00B86987" w:rsidP="00854496">
            <w:pPr>
              <w:widowControl w:val="0"/>
              <w:jc w:val="left"/>
              <w:rPr>
                <w:rFonts w:ascii="Arial Narrow" w:hAnsi="Arial Narrow"/>
                <w:kern w:val="24"/>
                <w:sz w:val="20"/>
                <w:szCs w:val="20"/>
              </w:rPr>
            </w:pPr>
            <w:r w:rsidRPr="00B86987">
              <w:rPr>
                <w:rFonts w:ascii="Arial Narrow" w:hAnsi="Arial Narrow"/>
                <w:kern w:val="24"/>
                <w:sz w:val="20"/>
                <w:szCs w:val="20"/>
              </w:rPr>
              <w:t xml:space="preserve">DUSC agreed with the commentary. </w:t>
            </w:r>
          </w:p>
          <w:p w14:paraId="582E23FB" w14:textId="77777777" w:rsidR="00B86987" w:rsidRPr="00B86987" w:rsidRDefault="00B86987" w:rsidP="00854496">
            <w:pPr>
              <w:widowControl w:val="0"/>
              <w:jc w:val="left"/>
              <w:rPr>
                <w:rFonts w:ascii="Arial Narrow" w:eastAsiaTheme="majorEastAsia" w:hAnsi="Arial Narrow"/>
                <w:kern w:val="24"/>
                <w:sz w:val="20"/>
              </w:rPr>
            </w:pPr>
          </w:p>
          <w:p w14:paraId="2729E6B0" w14:textId="4B4CABE0" w:rsidR="00B86987" w:rsidRPr="00B86987" w:rsidRDefault="00B86987" w:rsidP="00854496">
            <w:pPr>
              <w:widowControl w:val="0"/>
              <w:jc w:val="left"/>
              <w:rPr>
                <w:rFonts w:ascii="Arial Narrow" w:eastAsiaTheme="majorEastAsia" w:hAnsi="Arial Narrow" w:cstheme="majorBidi"/>
                <w:sz w:val="20"/>
              </w:rPr>
            </w:pPr>
            <w:r w:rsidRPr="00B86987">
              <w:rPr>
                <w:rFonts w:ascii="Arial Narrow" w:eastAsiaTheme="majorEastAsia" w:hAnsi="Arial Narrow"/>
                <w:kern w:val="24"/>
                <w:sz w:val="20"/>
              </w:rPr>
              <w:t xml:space="preserve">The </w:t>
            </w:r>
            <w:r w:rsidR="0087672F">
              <w:rPr>
                <w:rFonts w:ascii="Arial Narrow" w:eastAsiaTheme="majorEastAsia" w:hAnsi="Arial Narrow"/>
                <w:kern w:val="24"/>
                <w:sz w:val="20"/>
              </w:rPr>
              <w:t>p</w:t>
            </w:r>
            <w:r w:rsidRPr="00B86987">
              <w:rPr>
                <w:rFonts w:ascii="Arial Narrow" w:eastAsiaTheme="majorEastAsia" w:hAnsi="Arial Narrow"/>
                <w:kern w:val="24"/>
                <w:sz w:val="20"/>
              </w:rPr>
              <w:t xml:space="preserve">re-PBAC response subtracted </w:t>
            </w:r>
            <w:r w:rsidR="00501C36" w:rsidRPr="00501C36">
              <w:rPr>
                <w:rFonts w:ascii="Arial Narrow" w:eastAsiaTheme="majorEastAsia" w:hAnsi="Arial Narrow"/>
                <w:color w:val="000000"/>
                <w:spacing w:val="53"/>
                <w:sz w:val="20"/>
                <w:shd w:val="solid" w:color="000000" w:fill="000000"/>
                <w:fitText w:val="330" w:id="-893684210"/>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10"/>
                <w14:textFill>
                  <w14:solidFill>
                    <w14:srgbClr w14:val="000000">
                      <w14:alpha w14:val="100000"/>
                    </w14:srgbClr>
                  </w14:solidFill>
                </w14:textFill>
              </w:rPr>
              <w:t>|</w:t>
            </w:r>
            <w:r w:rsidR="002305B0" w:rsidRPr="0009066F">
              <w:rPr>
                <w:rFonts w:ascii="Arial Narrow" w:eastAsiaTheme="majorEastAsia" w:hAnsi="Arial Narrow"/>
                <w:kern w:val="24"/>
                <w:sz w:val="20"/>
                <w:vertAlign w:val="superscript"/>
              </w:rPr>
              <w:t>2</w:t>
            </w:r>
            <w:r w:rsidR="0087672F">
              <w:rPr>
                <w:rFonts w:ascii="Arial Narrow" w:eastAsiaTheme="majorEastAsia" w:hAnsi="Arial Narrow"/>
                <w:kern w:val="24"/>
                <w:sz w:val="20"/>
              </w:rPr>
              <w:t xml:space="preserve"> </w:t>
            </w:r>
            <w:r w:rsidRPr="00B86987">
              <w:rPr>
                <w:rFonts w:ascii="Arial Narrow" w:eastAsiaTheme="majorEastAsia" w:hAnsi="Arial Narrow"/>
                <w:kern w:val="24"/>
                <w:sz w:val="20"/>
              </w:rPr>
              <w:t>grandfathered patients fr</w:t>
            </w:r>
            <w:r>
              <w:rPr>
                <w:rFonts w:ascii="Arial Narrow" w:eastAsiaTheme="majorEastAsia" w:hAnsi="Arial Narrow"/>
                <w:kern w:val="24"/>
                <w:sz w:val="20"/>
              </w:rPr>
              <w:t>o</w:t>
            </w:r>
            <w:r w:rsidRPr="00B86987">
              <w:rPr>
                <w:rFonts w:ascii="Arial Narrow" w:eastAsiaTheme="majorEastAsia" w:hAnsi="Arial Narrow"/>
                <w:kern w:val="24"/>
                <w:sz w:val="20"/>
              </w:rPr>
              <w:t xml:space="preserve">m the </w:t>
            </w:r>
            <w:r w:rsidR="00CB0102">
              <w:rPr>
                <w:rFonts w:ascii="Arial Narrow" w:eastAsiaTheme="majorEastAsia" w:hAnsi="Arial Narrow"/>
                <w:kern w:val="24"/>
                <w:sz w:val="20"/>
              </w:rPr>
              <w:t>diagnosed</w:t>
            </w:r>
            <w:r w:rsidR="0087672F">
              <w:rPr>
                <w:rFonts w:ascii="Arial Narrow" w:eastAsiaTheme="majorEastAsia" w:hAnsi="Arial Narrow"/>
                <w:kern w:val="24"/>
                <w:sz w:val="20"/>
              </w:rPr>
              <w:t xml:space="preserve"> VHL population in Year 1</w:t>
            </w:r>
            <w:r w:rsidRPr="00B86987">
              <w:rPr>
                <w:rFonts w:ascii="Arial Narrow" w:eastAsiaTheme="majorEastAsia" w:hAnsi="Arial Narrow"/>
                <w:kern w:val="24"/>
                <w:sz w:val="20"/>
              </w:rPr>
              <w:t>.</w:t>
            </w:r>
            <w:r w:rsidR="0087672F">
              <w:rPr>
                <w:rFonts w:ascii="Arial Narrow" w:eastAsiaTheme="majorEastAsia" w:hAnsi="Arial Narrow"/>
                <w:kern w:val="24"/>
                <w:sz w:val="20"/>
              </w:rPr>
              <w:t xml:space="preserve"> This was aligned with DUSC advice.</w:t>
            </w:r>
          </w:p>
        </w:tc>
      </w:tr>
      <w:tr w:rsidR="00B86987" w:rsidRPr="000E48C6" w14:paraId="17C858FC" w14:textId="77777777" w:rsidTr="00854496">
        <w:trPr>
          <w:cantSplit/>
        </w:trPr>
        <w:tc>
          <w:tcPr>
            <w:tcW w:w="1426" w:type="dxa"/>
          </w:tcPr>
          <w:p w14:paraId="122F7F01"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lastRenderedPageBreak/>
              <w:t>Diagnostic rate</w:t>
            </w:r>
          </w:p>
        </w:tc>
        <w:tc>
          <w:tcPr>
            <w:tcW w:w="1123" w:type="dxa"/>
          </w:tcPr>
          <w:p w14:paraId="432808AE" w14:textId="74E476BA"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0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09"/>
                <w14:textFill>
                  <w14:solidFill>
                    <w14:srgbClr w14:val="000000">
                      <w14:alpha w14:val="100000"/>
                    </w14:srgbClr>
                  </w14:solidFill>
                </w14:textFill>
              </w:rPr>
              <w:t>|</w:t>
            </w:r>
            <w:r w:rsidRPr="000E48C6">
              <w:rPr>
                <w:rFonts w:ascii="Arial Narrow" w:eastAsiaTheme="majorEastAsia" w:hAnsi="Arial Narrow" w:cstheme="majorBidi"/>
                <w:bCs/>
                <w:sz w:val="20"/>
              </w:rPr>
              <w:t>%</w:t>
            </w:r>
          </w:p>
          <w:p w14:paraId="71E1C157" w14:textId="0DB3925B"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0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08"/>
                <w14:textFill>
                  <w14:solidFill>
                    <w14:srgbClr w14:val="000000">
                      <w14:alpha w14:val="100000"/>
                    </w14:srgbClr>
                  </w14:solidFill>
                </w14:textFill>
              </w:rPr>
              <w:t>|</w:t>
            </w:r>
            <w:r w:rsidRPr="000E48C6">
              <w:rPr>
                <w:rFonts w:ascii="Arial Narrow" w:eastAsiaTheme="majorEastAsia" w:hAnsi="Arial Narrow" w:cstheme="majorBidi"/>
                <w:bCs/>
                <w:sz w:val="20"/>
              </w:rPr>
              <w:t>%</w:t>
            </w:r>
          </w:p>
          <w:p w14:paraId="7CC32767" w14:textId="489FFAC3"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24"/>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4"/>
                <w14:textFill>
                  <w14:solidFill>
                    <w14:srgbClr w14:val="000000">
                      <w14:alpha w14:val="100000"/>
                    </w14:srgbClr>
                  </w14:solidFill>
                </w14:textFill>
              </w:rPr>
              <w:t>|</w:t>
            </w:r>
            <w:r w:rsidRPr="000E48C6">
              <w:rPr>
                <w:rFonts w:ascii="Arial Narrow" w:eastAsiaTheme="majorEastAsia" w:hAnsi="Arial Narrow" w:cstheme="majorBidi"/>
                <w:bCs/>
                <w:sz w:val="20"/>
              </w:rPr>
              <w:t>%</w:t>
            </w:r>
          </w:p>
          <w:p w14:paraId="65CBA3E9" w14:textId="380FA955"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23"/>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3"/>
                <w14:textFill>
                  <w14:solidFill>
                    <w14:srgbClr w14:val="000000">
                      <w14:alpha w14:val="100000"/>
                    </w14:srgbClr>
                  </w14:solidFill>
                </w14:textFill>
              </w:rPr>
              <w:t>|</w:t>
            </w:r>
            <w:r w:rsidRPr="000E48C6">
              <w:rPr>
                <w:rFonts w:ascii="Arial Narrow" w:eastAsiaTheme="majorEastAsia" w:hAnsi="Arial Narrow" w:cstheme="majorBidi"/>
                <w:bCs/>
                <w:sz w:val="20"/>
              </w:rPr>
              <w:t>%</w:t>
            </w:r>
          </w:p>
          <w:p w14:paraId="505C0779" w14:textId="17A8AA18"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22"/>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2"/>
                <w14:textFill>
                  <w14:solidFill>
                    <w14:srgbClr w14:val="000000">
                      <w14:alpha w14:val="100000"/>
                    </w14:srgbClr>
                  </w14:solidFill>
                </w14:textFill>
              </w:rPr>
              <w:t>|</w:t>
            </w:r>
            <w:r w:rsidRPr="000E48C6">
              <w:rPr>
                <w:rFonts w:ascii="Arial Narrow" w:eastAsiaTheme="majorEastAsia" w:hAnsi="Arial Narrow" w:cstheme="majorBidi"/>
                <w:bCs/>
                <w:sz w:val="20"/>
              </w:rPr>
              <w:t>%</w:t>
            </w:r>
          </w:p>
          <w:p w14:paraId="75978106" w14:textId="6A1EA840"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21"/>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1"/>
                <w14:textFill>
                  <w14:solidFill>
                    <w14:srgbClr w14:val="000000">
                      <w14:alpha w14:val="100000"/>
                    </w14:srgbClr>
                  </w14:solidFill>
                </w14:textFill>
              </w:rPr>
              <w:t>|</w:t>
            </w:r>
            <w:r w:rsidRPr="000E48C6">
              <w:rPr>
                <w:rFonts w:ascii="Arial Narrow" w:eastAsiaTheme="majorEastAsia" w:hAnsi="Arial Narrow" w:cstheme="majorBidi"/>
                <w:bCs/>
                <w:sz w:val="20"/>
              </w:rPr>
              <w:t>%</w:t>
            </w:r>
          </w:p>
        </w:tc>
        <w:tc>
          <w:tcPr>
            <w:tcW w:w="1477" w:type="dxa"/>
          </w:tcPr>
          <w:p w14:paraId="503DBBBD"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The total diagnostic rate of 85% was estimated by the sponsor-convened expert panel. The expert panel, along with qualitative evidence of patient experience, suggested that there is a delay between symptom onset and underlying VHL disease identification and therefore diagnosis up to the total rate of 85% would be staggered over time. The yearly staggered percentages were an assumption.</w:t>
            </w:r>
          </w:p>
        </w:tc>
        <w:tc>
          <w:tcPr>
            <w:tcW w:w="2632" w:type="dxa"/>
          </w:tcPr>
          <w:p w14:paraId="6B58258A"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The cumulative diagnostic rate spread across 6 years to 85%, when applied to the estimated prevalent population (undiagnosed or diagnosed) in year 1 was not appropriate and likely considerably underestimated the number of eligible patients in the first few years of the estimates. This approach is only appropriate for undiagnosed patients experiencing first symptom onset, and these patients will likely be a small minority compared to the combined prevalent cohort of patients who already have a diagnosis because of a history of VHL-associated lesions, family history of VHL, or those identified through familial screenings. It may therefore be more appropriate to have an average persistent diagnostic rate applied to all prevalent patients than a staggered diagnostic rate.</w:t>
            </w:r>
          </w:p>
        </w:tc>
        <w:tc>
          <w:tcPr>
            <w:tcW w:w="2551" w:type="dxa"/>
          </w:tcPr>
          <w:p w14:paraId="2FA4FDD8" w14:textId="598C4320" w:rsidR="00B86987" w:rsidRPr="00B86987" w:rsidRDefault="00B86987" w:rsidP="00854496">
            <w:pPr>
              <w:pStyle w:val="NormalWeb"/>
              <w:spacing w:before="0" w:after="0"/>
              <w:rPr>
                <w:rFonts w:ascii="Arial Narrow" w:hAnsi="Arial Narrow" w:cs="Arial"/>
                <w:kern w:val="24"/>
                <w:sz w:val="20"/>
                <w:szCs w:val="20"/>
                <w:lang w:val="en-US"/>
              </w:rPr>
            </w:pPr>
            <w:r w:rsidRPr="00B86987">
              <w:rPr>
                <w:rFonts w:ascii="Arial Narrow" w:hAnsi="Arial Narrow" w:cs="Arial"/>
                <w:kern w:val="24"/>
                <w:sz w:val="20"/>
                <w:szCs w:val="20"/>
                <w:lang w:val="en-US"/>
              </w:rPr>
              <w:t xml:space="preserve">DUSC commented that the 85% diagnostic rate may </w:t>
            </w:r>
            <w:r w:rsidR="003F3BD3">
              <w:rPr>
                <w:rFonts w:ascii="Arial Narrow" w:hAnsi="Arial Narrow" w:cs="Arial"/>
                <w:kern w:val="24"/>
                <w:sz w:val="20"/>
                <w:szCs w:val="20"/>
                <w:lang w:val="en-US"/>
              </w:rPr>
              <w:t xml:space="preserve">be </w:t>
            </w:r>
            <w:r w:rsidRPr="00B86987">
              <w:rPr>
                <w:rFonts w:ascii="Arial Narrow" w:hAnsi="Arial Narrow" w:cs="Arial"/>
                <w:kern w:val="24"/>
                <w:sz w:val="20"/>
                <w:szCs w:val="20"/>
                <w:lang w:val="en-US"/>
              </w:rPr>
              <w:t>an overestimate and noted that Binderup 2017 found that 14% of patients in the studied cohort were asymptomatic</w:t>
            </w:r>
            <w:r w:rsidRPr="00B86987">
              <w:rPr>
                <w:rFonts w:ascii="Arial Narrow" w:hAnsi="Arial Narrow" w:cs="Arial"/>
                <w:kern w:val="24"/>
                <w:lang w:val="en-US"/>
              </w:rPr>
              <w:t xml:space="preserve"> </w:t>
            </w:r>
            <w:r w:rsidRPr="00B86987">
              <w:rPr>
                <w:rFonts w:ascii="Arial Narrow" w:hAnsi="Arial Narrow" w:cs="Arial"/>
                <w:kern w:val="24"/>
                <w:sz w:val="20"/>
                <w:szCs w:val="20"/>
                <w:lang w:val="en-US"/>
              </w:rPr>
              <w:t>or obligate VHL variant carriers without manifestations, and a further 25% had a missed diagnosis in spite of fulfilling the international diagnostic criteria. DUSC considered the diagnostic rate may be as low as 61%.</w:t>
            </w:r>
          </w:p>
          <w:p w14:paraId="67AB11B8" w14:textId="77777777" w:rsidR="00B86987" w:rsidRPr="00B86987" w:rsidRDefault="00B86987" w:rsidP="00854496">
            <w:pPr>
              <w:pStyle w:val="NormalWeb"/>
              <w:spacing w:before="0" w:after="0"/>
              <w:rPr>
                <w:rFonts w:ascii="Arial Narrow" w:hAnsi="Arial Narrow" w:cs="Arial"/>
                <w:kern w:val="24"/>
                <w:sz w:val="20"/>
                <w:szCs w:val="20"/>
                <w:lang w:val="en-US"/>
              </w:rPr>
            </w:pPr>
          </w:p>
          <w:p w14:paraId="28D3C046" w14:textId="77777777" w:rsidR="00B86987" w:rsidRPr="00B86987" w:rsidRDefault="00B86987" w:rsidP="00854496">
            <w:pPr>
              <w:pStyle w:val="NormalWeb"/>
              <w:spacing w:before="0" w:after="0"/>
              <w:rPr>
                <w:rFonts w:ascii="Arial Narrow" w:hAnsi="Arial Narrow" w:cs="Arial"/>
                <w:kern w:val="24"/>
                <w:sz w:val="20"/>
                <w:szCs w:val="20"/>
                <w:lang w:val="en-US"/>
              </w:rPr>
            </w:pPr>
            <w:r w:rsidRPr="00B86987">
              <w:rPr>
                <w:rFonts w:ascii="Arial Narrow" w:hAnsi="Arial Narrow" w:cs="Arial"/>
                <w:kern w:val="24"/>
                <w:sz w:val="20"/>
                <w:szCs w:val="20"/>
                <w:lang w:val="en-US"/>
              </w:rPr>
              <w:t>DUSC agreed with the commentary that that the estimated diagnostic rate of 85% has been applied incorrectly. DUSC considered that the proportion of the prevalent pool who already have a diagnosis (61-85% diagnostic rate) and would be eligible should be estimated first, and grandfathered patients should be subtracted from this estimate.</w:t>
            </w:r>
          </w:p>
          <w:p w14:paraId="5E83FDA4" w14:textId="77777777" w:rsidR="00B86987" w:rsidRPr="00B86987" w:rsidRDefault="00B86987" w:rsidP="00854496">
            <w:pPr>
              <w:pStyle w:val="NormalWeb"/>
              <w:spacing w:before="0" w:after="0"/>
              <w:rPr>
                <w:rFonts w:ascii="Arial Narrow" w:hAnsi="Arial Narrow" w:cs="Arial"/>
                <w:kern w:val="24"/>
                <w:sz w:val="20"/>
                <w:szCs w:val="20"/>
                <w:lang w:val="en-US"/>
              </w:rPr>
            </w:pPr>
          </w:p>
          <w:p w14:paraId="08A66FF9" w14:textId="77777777" w:rsidR="00B86987" w:rsidRPr="00B86987" w:rsidRDefault="00B86987" w:rsidP="00854496">
            <w:pPr>
              <w:pStyle w:val="NormalWeb"/>
              <w:spacing w:before="0" w:after="0"/>
              <w:rPr>
                <w:rFonts w:ascii="Arial Narrow" w:hAnsi="Arial Narrow" w:cs="Arial"/>
                <w:kern w:val="24"/>
                <w:sz w:val="20"/>
                <w:szCs w:val="20"/>
                <w:lang w:val="en-US"/>
              </w:rPr>
            </w:pPr>
            <w:r w:rsidRPr="00B86987">
              <w:rPr>
                <w:rFonts w:ascii="Arial Narrow" w:hAnsi="Arial Narrow" w:cs="Arial"/>
                <w:kern w:val="24"/>
                <w:sz w:val="20"/>
                <w:szCs w:val="20"/>
                <w:lang w:val="en-US"/>
              </w:rPr>
              <w:t>Then, the number of initiating patients from the untreated diagnosed prevalent pool should be estimated separately.</w:t>
            </w:r>
          </w:p>
          <w:p w14:paraId="74224C71" w14:textId="77777777" w:rsidR="00B86987" w:rsidRPr="00B86987" w:rsidRDefault="00B86987" w:rsidP="00854496">
            <w:pPr>
              <w:pStyle w:val="NormalWeb"/>
              <w:spacing w:before="0" w:after="0"/>
              <w:rPr>
                <w:rFonts w:ascii="Arial Narrow" w:hAnsi="Arial Narrow" w:cs="Arial"/>
                <w:kern w:val="24"/>
                <w:sz w:val="20"/>
                <w:szCs w:val="20"/>
                <w:lang w:val="en-US"/>
              </w:rPr>
            </w:pPr>
          </w:p>
          <w:p w14:paraId="77F350F9" w14:textId="77777777" w:rsidR="00E710E7" w:rsidRDefault="0087672F" w:rsidP="00854496">
            <w:pPr>
              <w:pStyle w:val="NormalWeb"/>
              <w:spacing w:before="0" w:after="0"/>
              <w:rPr>
                <w:rFonts w:ascii="Arial Narrow" w:eastAsiaTheme="majorEastAsia" w:hAnsi="Arial Narrow" w:cstheme="majorBidi"/>
                <w:bCs/>
                <w:sz w:val="20"/>
              </w:rPr>
            </w:pPr>
            <w:r>
              <w:rPr>
                <w:rFonts w:ascii="Arial Narrow" w:eastAsiaTheme="majorEastAsia" w:hAnsi="Arial Narrow" w:cstheme="majorBidi"/>
                <w:bCs/>
                <w:sz w:val="20"/>
              </w:rPr>
              <w:t>The pre-PBAC response</w:t>
            </w:r>
            <w:r w:rsidR="003F3BD3">
              <w:rPr>
                <w:rFonts w:ascii="Arial Narrow" w:eastAsiaTheme="majorEastAsia" w:hAnsi="Arial Narrow" w:cstheme="majorBidi"/>
                <w:bCs/>
                <w:sz w:val="20"/>
              </w:rPr>
              <w:t xml:space="preserve"> applied an average persistent diagnostic rate of 61%</w:t>
            </w:r>
            <w:r>
              <w:rPr>
                <w:rFonts w:ascii="Arial Narrow" w:eastAsiaTheme="majorEastAsia" w:hAnsi="Arial Narrow" w:cstheme="majorBidi"/>
                <w:bCs/>
                <w:sz w:val="20"/>
              </w:rPr>
              <w:t xml:space="preserve"> </w:t>
            </w:r>
            <w:r w:rsidR="003F3BD3">
              <w:rPr>
                <w:rFonts w:ascii="Arial Narrow" w:eastAsiaTheme="majorEastAsia" w:hAnsi="Arial Narrow" w:cstheme="majorBidi"/>
                <w:bCs/>
                <w:sz w:val="20"/>
              </w:rPr>
              <w:t>to all prevalent patients in Years 1</w:t>
            </w:r>
            <w:r w:rsidR="00385513">
              <w:rPr>
                <w:rFonts w:ascii="Arial Narrow" w:eastAsiaTheme="majorEastAsia" w:hAnsi="Arial Narrow" w:cstheme="majorBidi"/>
                <w:bCs/>
                <w:sz w:val="20"/>
              </w:rPr>
              <w:t>−</w:t>
            </w:r>
            <w:r w:rsidR="003F3BD3">
              <w:rPr>
                <w:rFonts w:ascii="Arial Narrow" w:eastAsiaTheme="majorEastAsia" w:hAnsi="Arial Narrow" w:cstheme="majorBidi"/>
                <w:bCs/>
                <w:sz w:val="20"/>
              </w:rPr>
              <w:t>6 and grandfathered patients were subtracted from this estimate in Year 1. Then the number of initiating patients</w:t>
            </w:r>
            <w:r w:rsidR="00EA7AC6">
              <w:rPr>
                <w:rFonts w:ascii="Arial Narrow" w:eastAsiaTheme="majorEastAsia" w:hAnsi="Arial Narrow" w:cstheme="majorBidi"/>
                <w:bCs/>
                <w:sz w:val="20"/>
              </w:rPr>
              <w:t xml:space="preserve"> in Year 1 was calculated based on the prevalent patients diagnosed in Year 1. </w:t>
            </w:r>
          </w:p>
          <w:p w14:paraId="49AF9231" w14:textId="77777777" w:rsidR="00E710E7" w:rsidRDefault="00E710E7" w:rsidP="00854496">
            <w:pPr>
              <w:pStyle w:val="NormalWeb"/>
              <w:spacing w:before="0" w:after="0"/>
              <w:rPr>
                <w:rFonts w:ascii="Arial Narrow" w:eastAsiaTheme="majorEastAsia" w:hAnsi="Arial Narrow" w:cstheme="majorBidi"/>
                <w:bCs/>
                <w:sz w:val="20"/>
              </w:rPr>
            </w:pPr>
          </w:p>
          <w:p w14:paraId="62DB729A" w14:textId="42F5B1FC" w:rsidR="00B86987" w:rsidRPr="00B86987" w:rsidRDefault="00E710E7" w:rsidP="00854496">
            <w:pPr>
              <w:pStyle w:val="NormalWeb"/>
              <w:spacing w:before="0" w:after="0"/>
              <w:rPr>
                <w:rFonts w:ascii="Arial Narrow" w:eastAsiaTheme="majorEastAsia" w:hAnsi="Arial Narrow" w:cstheme="majorBidi"/>
                <w:bCs/>
                <w:sz w:val="20"/>
              </w:rPr>
            </w:pPr>
            <w:r>
              <w:rPr>
                <w:rFonts w:ascii="Arial Narrow" w:eastAsiaTheme="majorEastAsia" w:hAnsi="Arial Narrow" w:cstheme="majorBidi"/>
                <w:bCs/>
                <w:sz w:val="20"/>
              </w:rPr>
              <w:t>Patients initiating treatment over the 6 years were based only on the Year 1 prevalent population. A</w:t>
            </w:r>
            <w:r w:rsidR="000705E7">
              <w:rPr>
                <w:rFonts w:ascii="Arial Narrow" w:eastAsiaTheme="majorEastAsia" w:hAnsi="Arial Narrow" w:cstheme="majorBidi"/>
                <w:bCs/>
                <w:sz w:val="20"/>
              </w:rPr>
              <w:t xml:space="preserve"> small number of a</w:t>
            </w:r>
            <w:r>
              <w:rPr>
                <w:rFonts w:ascii="Arial Narrow" w:eastAsiaTheme="majorEastAsia" w:hAnsi="Arial Narrow" w:cstheme="majorBidi"/>
                <w:bCs/>
                <w:sz w:val="20"/>
              </w:rPr>
              <w:t>dditional patients in the prevalent patient pool in Years 2−6 were not considered in the financial estimates.</w:t>
            </w:r>
            <w:r w:rsidR="003F3BD3">
              <w:rPr>
                <w:rFonts w:ascii="Arial Narrow" w:eastAsiaTheme="majorEastAsia" w:hAnsi="Arial Narrow" w:cstheme="majorBidi"/>
                <w:bCs/>
                <w:sz w:val="20"/>
              </w:rPr>
              <w:t xml:space="preserve"> </w:t>
            </w:r>
          </w:p>
        </w:tc>
      </w:tr>
      <w:tr w:rsidR="00B86987" w:rsidRPr="000E48C6" w14:paraId="4E6ED946" w14:textId="77777777" w:rsidTr="00854496">
        <w:trPr>
          <w:cantSplit/>
        </w:trPr>
        <w:tc>
          <w:tcPr>
            <w:tcW w:w="1426" w:type="dxa"/>
          </w:tcPr>
          <w:p w14:paraId="7C0A899E"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lastRenderedPageBreak/>
              <w:t>Number of patients diagnosed with VHL disease (excluding grandfathered)</w:t>
            </w:r>
          </w:p>
        </w:tc>
        <w:tc>
          <w:tcPr>
            <w:tcW w:w="1123" w:type="dxa"/>
          </w:tcPr>
          <w:p w14:paraId="3B4E7CF1" w14:textId="0FA67205"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20"/>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0"/>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4D1BFDD8" w14:textId="19C9563C"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1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9"/>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45E62E92" w14:textId="642D547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1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8"/>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2A956E7B" w14:textId="49D98B12"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17"/>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7"/>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41BC3D8C" w14:textId="2A71594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16"/>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6"/>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6D920E08" w14:textId="62B41E8C"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15"/>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5"/>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tc>
        <w:tc>
          <w:tcPr>
            <w:tcW w:w="1477" w:type="dxa"/>
          </w:tcPr>
          <w:p w14:paraId="17313182" w14:textId="3CB05CBC"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The diagnostic rate was applied to the Australian Patients living with VHL disease (undiagnosed &amp; diagnosed) excluding </w:t>
            </w:r>
            <w:r w:rsidR="00501C36" w:rsidRPr="00501C36">
              <w:rPr>
                <w:rFonts w:ascii="Arial Narrow" w:eastAsiaTheme="majorEastAsia" w:hAnsi="Arial Narrow" w:cstheme="majorBidi"/>
                <w:bCs/>
                <w:color w:val="000000"/>
                <w:spacing w:val="48"/>
                <w:sz w:val="20"/>
                <w:shd w:val="solid" w:color="000000" w:fill="000000"/>
                <w:fitText w:val="315" w:id="-893684214"/>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15" w:id="-893684214"/>
                <w14:textFill>
                  <w14:solidFill>
                    <w14:srgbClr w14:val="000000">
                      <w14:alpha w14:val="100000"/>
                    </w14:srgbClr>
                  </w14:solidFill>
                </w14:textFill>
              </w:rPr>
              <w:t>|</w:t>
            </w:r>
            <w:r w:rsidR="008B6054" w:rsidRPr="0009066F">
              <w:rPr>
                <w:rFonts w:ascii="Arial Narrow" w:eastAsiaTheme="majorEastAsia" w:hAnsi="Arial Narrow" w:cstheme="majorBidi"/>
                <w:bCs/>
                <w:sz w:val="20"/>
                <w:vertAlign w:val="superscript"/>
              </w:rPr>
              <w:t>2</w:t>
            </w:r>
            <w:r w:rsidRPr="000E48C6">
              <w:rPr>
                <w:rFonts w:ascii="Arial Narrow" w:eastAsiaTheme="majorEastAsia" w:hAnsi="Arial Narrow" w:cstheme="majorBidi"/>
                <w:bCs/>
                <w:sz w:val="20"/>
              </w:rPr>
              <w:t xml:space="preserve"> grandfathered patients each year.</w:t>
            </w:r>
          </w:p>
        </w:tc>
        <w:tc>
          <w:tcPr>
            <w:tcW w:w="2632" w:type="dxa"/>
          </w:tcPr>
          <w:p w14:paraId="55451195"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This approach (effectively) estimated an incident population each year, who were not carried forward into future years. As such diagnosed patients who were ineligible or declined belzutifan in their diagnosis year could never receive belzutifan, which was not reasonable.</w:t>
            </w:r>
          </w:p>
        </w:tc>
        <w:tc>
          <w:tcPr>
            <w:tcW w:w="2551" w:type="dxa"/>
          </w:tcPr>
          <w:p w14:paraId="2940C072" w14:textId="77777777" w:rsidR="00B86987" w:rsidRDefault="00B86987" w:rsidP="00854496">
            <w:pPr>
              <w:widowControl w:val="0"/>
              <w:jc w:val="left"/>
              <w:rPr>
                <w:rFonts w:ascii="Arial Narrow" w:eastAsia="MS Gothic" w:hAnsi="Arial Narrow"/>
                <w:kern w:val="24"/>
                <w:sz w:val="20"/>
                <w:szCs w:val="20"/>
              </w:rPr>
            </w:pPr>
            <w:r w:rsidRPr="00B86987">
              <w:rPr>
                <w:rFonts w:ascii="Arial Narrow" w:eastAsia="MS Gothic" w:hAnsi="Arial Narrow"/>
                <w:kern w:val="24"/>
                <w:sz w:val="20"/>
                <w:szCs w:val="20"/>
              </w:rPr>
              <w:t>DUSC agreed with the commentary and noted that this was likely to result in an under-estimation. DUSC considered that a proportion of newly diagnosed patients will opt for monitoring rather than initiating treatment.</w:t>
            </w:r>
          </w:p>
          <w:p w14:paraId="2C1DD79E" w14:textId="77777777" w:rsidR="00B86987" w:rsidRDefault="00B86987" w:rsidP="00854496">
            <w:pPr>
              <w:widowControl w:val="0"/>
              <w:jc w:val="left"/>
              <w:rPr>
                <w:rFonts w:ascii="Arial Narrow" w:eastAsia="MS Gothic" w:hAnsi="Arial Narrow"/>
                <w:bCs/>
                <w:kern w:val="24"/>
                <w:sz w:val="20"/>
              </w:rPr>
            </w:pPr>
          </w:p>
          <w:p w14:paraId="684768E0" w14:textId="0F80A08F" w:rsidR="001532DC" w:rsidRDefault="001532DC" w:rsidP="00854496">
            <w:pPr>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pre-PBAC response applied an average persistent diagnostic rate of 61% to all prevalent patients in Years 1−6 and grandfathered patients were subtracted from this estimate in Year 1. However, </w:t>
            </w:r>
            <w:r w:rsidR="000705E7">
              <w:rPr>
                <w:rFonts w:ascii="Arial Narrow" w:eastAsiaTheme="majorEastAsia" w:hAnsi="Arial Narrow" w:cstheme="majorBidi"/>
                <w:bCs/>
                <w:sz w:val="20"/>
              </w:rPr>
              <w:t xml:space="preserve">a small number of </w:t>
            </w:r>
            <w:r>
              <w:rPr>
                <w:rFonts w:ascii="Arial Narrow" w:eastAsiaTheme="majorEastAsia" w:hAnsi="Arial Narrow" w:cstheme="majorBidi"/>
                <w:bCs/>
                <w:sz w:val="20"/>
              </w:rPr>
              <w:t xml:space="preserve">new patients in Year 2−6 </w:t>
            </w:r>
            <w:r w:rsidRPr="006A7B50">
              <w:rPr>
                <w:rFonts w:ascii="Arial Narrow" w:eastAsiaTheme="majorEastAsia" w:hAnsi="Arial Narrow" w:cstheme="majorBidi"/>
                <w:bCs/>
                <w:sz w:val="20"/>
              </w:rPr>
              <w:t>were not considered</w:t>
            </w:r>
            <w:r>
              <w:rPr>
                <w:rFonts w:ascii="Arial Narrow" w:eastAsiaTheme="majorEastAsia" w:hAnsi="Arial Narrow" w:cstheme="majorBidi"/>
                <w:bCs/>
                <w:sz w:val="20"/>
              </w:rPr>
              <w:t xml:space="preserve"> in the financial estimates:</w:t>
            </w:r>
          </w:p>
          <w:p w14:paraId="1D75CCDA" w14:textId="24AFB6AA" w:rsidR="001532DC" w:rsidRDefault="001532DC" w:rsidP="00854496">
            <w:pPr>
              <w:widowControl w:val="0"/>
              <w:jc w:val="left"/>
              <w:rPr>
                <w:rFonts w:ascii="Arial Narrow" w:eastAsia="MS Gothic" w:hAnsi="Arial Narrow"/>
                <w:bCs/>
                <w:kern w:val="24"/>
                <w:sz w:val="20"/>
              </w:rPr>
            </w:pPr>
            <w:r>
              <w:rPr>
                <w:rFonts w:ascii="Arial Narrow" w:eastAsia="MS Gothic" w:hAnsi="Arial Narrow"/>
                <w:bCs/>
                <w:kern w:val="24"/>
                <w:sz w:val="20"/>
              </w:rPr>
              <w:t xml:space="preserve">Yr 1: </w:t>
            </w:r>
            <w:r w:rsidR="00501C36" w:rsidRPr="00501C36">
              <w:rPr>
                <w:rFonts w:ascii="Arial Narrow" w:eastAsia="MS Gothic" w:hAnsi="Arial Narrow"/>
                <w:bCs/>
                <w:color w:val="000000"/>
                <w:spacing w:val="53"/>
                <w:sz w:val="20"/>
                <w:shd w:val="solid" w:color="000000" w:fill="000000"/>
                <w:fitText w:val="330" w:id="-893684213"/>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13"/>
                <w14:textFill>
                  <w14:solidFill>
                    <w14:srgbClr w14:val="000000">
                      <w14:alpha w14:val="100000"/>
                    </w14:srgbClr>
                  </w14:solidFill>
                </w14:textFill>
              </w:rPr>
              <w:t>|</w:t>
            </w:r>
            <w:r w:rsidR="008B6054" w:rsidRPr="0009066F">
              <w:rPr>
                <w:rFonts w:ascii="Arial Narrow" w:eastAsia="MS Gothic" w:hAnsi="Arial Narrow"/>
                <w:bCs/>
                <w:kern w:val="24"/>
                <w:sz w:val="20"/>
                <w:vertAlign w:val="superscript"/>
              </w:rPr>
              <w:t>2</w:t>
            </w:r>
            <w:r>
              <w:rPr>
                <w:rFonts w:ascii="Arial Narrow" w:eastAsia="MS Gothic" w:hAnsi="Arial Narrow"/>
                <w:bCs/>
                <w:kern w:val="24"/>
                <w:sz w:val="20"/>
              </w:rPr>
              <w:t xml:space="preserve"> – </w:t>
            </w:r>
            <w:r w:rsidR="00501C36" w:rsidRPr="00501C36">
              <w:rPr>
                <w:rFonts w:ascii="Arial Narrow" w:eastAsia="MS Gothic" w:hAnsi="Arial Narrow"/>
                <w:bCs/>
                <w:color w:val="000000"/>
                <w:spacing w:val="48"/>
                <w:sz w:val="20"/>
                <w:shd w:val="solid" w:color="000000" w:fill="000000"/>
                <w:fitText w:val="315" w:id="-893684212"/>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15" w:id="-893684212"/>
                <w14:textFill>
                  <w14:solidFill>
                    <w14:srgbClr w14:val="000000">
                      <w14:alpha w14:val="100000"/>
                    </w14:srgbClr>
                  </w14:solidFill>
                </w14:textFill>
              </w:rPr>
              <w:t>|</w:t>
            </w:r>
            <w:r>
              <w:rPr>
                <w:rFonts w:ascii="Arial Narrow" w:eastAsia="MS Gothic" w:hAnsi="Arial Narrow"/>
                <w:bCs/>
                <w:kern w:val="24"/>
                <w:sz w:val="20"/>
              </w:rPr>
              <w:t xml:space="preserve"> </w:t>
            </w:r>
            <w:r w:rsidR="008F5F48" w:rsidRPr="0050231F">
              <w:rPr>
                <w:rFonts w:ascii="Arial Narrow" w:eastAsia="MS Gothic" w:hAnsi="Arial Narrow"/>
                <w:bCs/>
                <w:kern w:val="24"/>
                <w:sz w:val="20"/>
                <w:vertAlign w:val="superscript"/>
              </w:rPr>
              <w:t>2</w:t>
            </w:r>
            <w:r>
              <w:rPr>
                <w:rFonts w:ascii="Arial Narrow" w:eastAsia="MS Gothic" w:hAnsi="Arial Narrow"/>
                <w:bCs/>
                <w:kern w:val="24"/>
                <w:sz w:val="20"/>
              </w:rPr>
              <w:t>grandfathered patients =</w:t>
            </w:r>
            <w:r w:rsidR="00501C36" w:rsidRPr="00501C36">
              <w:rPr>
                <w:rFonts w:ascii="Arial Narrow" w:eastAsia="MS Gothic" w:hAnsi="Arial Narrow"/>
                <w:bCs/>
                <w:color w:val="000000"/>
                <w:spacing w:val="53"/>
                <w:sz w:val="20"/>
                <w:shd w:val="solid" w:color="000000" w:fill="000000"/>
                <w:fitText w:val="330" w:id="-893684211"/>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11"/>
                <w14:textFill>
                  <w14:solidFill>
                    <w14:srgbClr w14:val="000000">
                      <w14:alpha w14:val="100000"/>
                    </w14:srgbClr>
                  </w14:solidFill>
                </w14:textFill>
              </w:rPr>
              <w:t>|</w:t>
            </w:r>
            <w:r w:rsidR="008F5F48" w:rsidRPr="0050231F">
              <w:rPr>
                <w:rFonts w:ascii="Arial Narrow" w:eastAsia="MS Gothic" w:hAnsi="Arial Narrow"/>
                <w:bCs/>
                <w:kern w:val="24"/>
                <w:sz w:val="20"/>
                <w:vertAlign w:val="superscript"/>
              </w:rPr>
              <w:t>2</w:t>
            </w:r>
          </w:p>
          <w:p w14:paraId="2E52084E" w14:textId="3356A673" w:rsidR="001532DC" w:rsidRDefault="001532DC" w:rsidP="00854496">
            <w:pPr>
              <w:widowControl w:val="0"/>
              <w:jc w:val="left"/>
              <w:rPr>
                <w:rFonts w:ascii="Arial Narrow" w:eastAsia="MS Gothic" w:hAnsi="Arial Narrow"/>
                <w:bCs/>
                <w:kern w:val="24"/>
                <w:sz w:val="20"/>
              </w:rPr>
            </w:pPr>
            <w:r>
              <w:rPr>
                <w:rFonts w:ascii="Arial Narrow" w:eastAsia="MS Gothic" w:hAnsi="Arial Narrow"/>
                <w:bCs/>
                <w:kern w:val="24"/>
                <w:sz w:val="20"/>
              </w:rPr>
              <w:t xml:space="preserve">Yr 2: </w:t>
            </w:r>
            <w:r w:rsidR="00501C36" w:rsidRPr="00501C36">
              <w:rPr>
                <w:rFonts w:ascii="Arial Narrow" w:eastAsia="MS Gothic" w:hAnsi="Arial Narrow"/>
                <w:bCs/>
                <w:color w:val="000000"/>
                <w:spacing w:val="53"/>
                <w:sz w:val="20"/>
                <w:shd w:val="solid" w:color="000000" w:fill="000000"/>
                <w:fitText w:val="330" w:id="-893684210"/>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10"/>
                <w14:textFill>
                  <w14:solidFill>
                    <w14:srgbClr w14:val="000000">
                      <w14:alpha w14:val="100000"/>
                    </w14:srgbClr>
                  </w14:solidFill>
                </w14:textFill>
              </w:rPr>
              <w:t>|</w:t>
            </w:r>
            <w:r w:rsidR="008F5F48" w:rsidRPr="0050231F">
              <w:rPr>
                <w:rFonts w:ascii="Arial Narrow" w:eastAsia="MS Gothic" w:hAnsi="Arial Narrow"/>
                <w:bCs/>
                <w:kern w:val="24"/>
                <w:sz w:val="20"/>
                <w:vertAlign w:val="superscript"/>
              </w:rPr>
              <w:t>2</w:t>
            </w:r>
            <w:r w:rsidR="00501C36" w:rsidRPr="00501C36">
              <w:rPr>
                <w:rFonts w:ascii="Arial Narrow" w:eastAsia="MS Gothic" w:hAnsi="Arial Narrow"/>
                <w:bCs/>
                <w:color w:val="000000"/>
                <w:spacing w:val="53"/>
                <w:sz w:val="20"/>
                <w:shd w:val="solid" w:color="000000" w:fill="000000"/>
                <w:fitText w:val="330" w:id="-893684209"/>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09"/>
                <w14:textFill>
                  <w14:solidFill>
                    <w14:srgbClr w14:val="000000">
                      <w14:alpha w14:val="100000"/>
                    </w14:srgbClr>
                  </w14:solidFill>
                </w14:textFill>
              </w:rPr>
              <w:t>|</w:t>
            </w:r>
            <w:r>
              <w:rPr>
                <w:rFonts w:ascii="Arial Narrow" w:eastAsia="MS Gothic" w:hAnsi="Arial Narrow"/>
                <w:bCs/>
                <w:kern w:val="24"/>
                <w:sz w:val="20"/>
              </w:rPr>
              <w:t xml:space="preserve">Yr 3: </w:t>
            </w:r>
            <w:r w:rsidR="00501C36" w:rsidRPr="00501C36">
              <w:rPr>
                <w:rFonts w:ascii="Arial Narrow" w:eastAsia="MS Gothic" w:hAnsi="Arial Narrow"/>
                <w:bCs/>
                <w:color w:val="000000"/>
                <w:spacing w:val="48"/>
                <w:sz w:val="20"/>
                <w:shd w:val="solid" w:color="000000" w:fill="000000"/>
                <w:fitText w:val="315" w:id="-893684208"/>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15" w:id="-893684208"/>
                <w14:textFill>
                  <w14:solidFill>
                    <w14:srgbClr w14:val="000000">
                      <w14:alpha w14:val="100000"/>
                    </w14:srgbClr>
                  </w14:solidFill>
                </w14:textFill>
              </w:rPr>
              <w:t>|</w:t>
            </w:r>
            <w:r w:rsidR="008F5F48" w:rsidRPr="0050231F">
              <w:rPr>
                <w:rFonts w:ascii="Arial Narrow" w:eastAsia="MS Gothic" w:hAnsi="Arial Narrow"/>
                <w:bCs/>
                <w:kern w:val="24"/>
                <w:sz w:val="20"/>
                <w:vertAlign w:val="superscript"/>
              </w:rPr>
              <w:t>2</w:t>
            </w:r>
          </w:p>
          <w:p w14:paraId="645A031A" w14:textId="40C65429" w:rsidR="001532DC" w:rsidRDefault="001532DC" w:rsidP="00854496">
            <w:pPr>
              <w:widowControl w:val="0"/>
              <w:jc w:val="left"/>
              <w:rPr>
                <w:rFonts w:ascii="Arial Narrow" w:eastAsia="MS Gothic" w:hAnsi="Arial Narrow"/>
                <w:bCs/>
                <w:kern w:val="24"/>
                <w:sz w:val="20"/>
              </w:rPr>
            </w:pPr>
            <w:r>
              <w:rPr>
                <w:rFonts w:ascii="Arial Narrow" w:eastAsia="MS Gothic" w:hAnsi="Arial Narrow"/>
                <w:bCs/>
                <w:kern w:val="24"/>
                <w:sz w:val="20"/>
              </w:rPr>
              <w:t xml:space="preserve">Yr 4: </w:t>
            </w:r>
            <w:r w:rsidR="00501C36" w:rsidRPr="00501C36">
              <w:rPr>
                <w:rFonts w:ascii="Arial Narrow" w:eastAsia="MS Gothic" w:hAnsi="Arial Narrow"/>
                <w:bCs/>
                <w:color w:val="000000"/>
                <w:spacing w:val="53"/>
                <w:sz w:val="20"/>
                <w:shd w:val="solid" w:color="000000" w:fill="000000"/>
                <w:fitText w:val="330" w:id="-893684224"/>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24"/>
                <w14:textFill>
                  <w14:solidFill>
                    <w14:srgbClr w14:val="000000">
                      <w14:alpha w14:val="100000"/>
                    </w14:srgbClr>
                  </w14:solidFill>
                </w14:textFill>
              </w:rPr>
              <w:t>|</w:t>
            </w:r>
            <w:r w:rsidR="008F5F48" w:rsidRPr="0050231F">
              <w:rPr>
                <w:rFonts w:ascii="Arial Narrow" w:eastAsia="MS Gothic" w:hAnsi="Arial Narrow"/>
                <w:bCs/>
                <w:kern w:val="24"/>
                <w:sz w:val="20"/>
                <w:vertAlign w:val="superscript"/>
              </w:rPr>
              <w:t>2</w:t>
            </w:r>
          </w:p>
          <w:p w14:paraId="7B4EBCBC" w14:textId="3150EAA4" w:rsidR="001532DC" w:rsidRDefault="001532DC" w:rsidP="00854496">
            <w:pPr>
              <w:widowControl w:val="0"/>
              <w:jc w:val="left"/>
              <w:rPr>
                <w:rFonts w:ascii="Arial Narrow" w:eastAsia="MS Gothic" w:hAnsi="Arial Narrow"/>
                <w:bCs/>
                <w:kern w:val="24"/>
                <w:sz w:val="20"/>
              </w:rPr>
            </w:pPr>
            <w:r>
              <w:rPr>
                <w:rFonts w:ascii="Arial Narrow" w:eastAsia="MS Gothic" w:hAnsi="Arial Narrow"/>
                <w:bCs/>
                <w:kern w:val="24"/>
                <w:sz w:val="20"/>
              </w:rPr>
              <w:t xml:space="preserve">Yr 5: </w:t>
            </w:r>
            <w:r w:rsidR="00501C36" w:rsidRPr="00501C36">
              <w:rPr>
                <w:rFonts w:ascii="Arial Narrow" w:eastAsia="MS Gothic" w:hAnsi="Arial Narrow"/>
                <w:bCs/>
                <w:color w:val="000000"/>
                <w:spacing w:val="53"/>
                <w:sz w:val="20"/>
                <w:shd w:val="solid" w:color="000000" w:fill="000000"/>
                <w:fitText w:val="330" w:id="-893684223"/>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23"/>
                <w14:textFill>
                  <w14:solidFill>
                    <w14:srgbClr w14:val="000000">
                      <w14:alpha w14:val="100000"/>
                    </w14:srgbClr>
                  </w14:solidFill>
                </w14:textFill>
              </w:rPr>
              <w:t>|</w:t>
            </w:r>
            <w:r w:rsidR="008F5F48" w:rsidRPr="0050231F">
              <w:rPr>
                <w:rFonts w:ascii="Arial Narrow" w:eastAsia="MS Gothic" w:hAnsi="Arial Narrow"/>
                <w:bCs/>
                <w:kern w:val="24"/>
                <w:sz w:val="20"/>
                <w:vertAlign w:val="superscript"/>
              </w:rPr>
              <w:t>2</w:t>
            </w:r>
          </w:p>
          <w:p w14:paraId="55C0544C" w14:textId="59185186" w:rsidR="00B86987" w:rsidRPr="00B86987" w:rsidRDefault="001532DC" w:rsidP="00854496">
            <w:pPr>
              <w:widowControl w:val="0"/>
              <w:jc w:val="left"/>
              <w:rPr>
                <w:rFonts w:ascii="Arial Narrow" w:eastAsiaTheme="majorEastAsia" w:hAnsi="Arial Narrow" w:cstheme="majorBidi"/>
                <w:bCs/>
                <w:sz w:val="20"/>
              </w:rPr>
            </w:pPr>
            <w:r>
              <w:rPr>
                <w:rFonts w:ascii="Arial Narrow" w:eastAsia="MS Gothic" w:hAnsi="Arial Narrow"/>
                <w:bCs/>
                <w:kern w:val="24"/>
                <w:sz w:val="20"/>
              </w:rPr>
              <w:t xml:space="preserve">Yr 6: </w:t>
            </w:r>
            <w:r w:rsidR="00501C36" w:rsidRPr="00501C36">
              <w:rPr>
                <w:rFonts w:ascii="Arial Narrow" w:eastAsia="MS Gothic" w:hAnsi="Arial Narrow"/>
                <w:bCs/>
                <w:color w:val="000000"/>
                <w:spacing w:val="53"/>
                <w:sz w:val="20"/>
                <w:shd w:val="solid" w:color="000000" w:fill="000000"/>
                <w:fitText w:val="330" w:id="-893684222"/>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22"/>
                <w14:textFill>
                  <w14:solidFill>
                    <w14:srgbClr w14:val="000000">
                      <w14:alpha w14:val="100000"/>
                    </w14:srgbClr>
                  </w14:solidFill>
                </w14:textFill>
              </w:rPr>
              <w:t>|</w:t>
            </w:r>
            <w:r w:rsidR="008F5F48" w:rsidRPr="0050231F">
              <w:rPr>
                <w:rFonts w:ascii="Arial Narrow" w:eastAsia="MS Gothic" w:hAnsi="Arial Narrow"/>
                <w:bCs/>
                <w:kern w:val="24"/>
                <w:sz w:val="20"/>
                <w:vertAlign w:val="superscript"/>
              </w:rPr>
              <w:t>2</w:t>
            </w:r>
            <w:r w:rsidR="00501C36" w:rsidRPr="00501C36">
              <w:rPr>
                <w:rFonts w:ascii="Arial Narrow" w:eastAsia="MS Gothic" w:hAnsi="Arial Narrow"/>
                <w:bCs/>
                <w:color w:val="000000"/>
                <w:spacing w:val="53"/>
                <w:sz w:val="20"/>
                <w:shd w:val="solid" w:color="000000" w:fill="000000"/>
                <w:fitText w:val="330" w:id="-893684221"/>
                <w14:textFill>
                  <w14:solidFill>
                    <w14:srgbClr w14:val="000000">
                      <w14:alpha w14:val="100000"/>
                    </w14:srgbClr>
                  </w14:solidFill>
                </w14:textFill>
              </w:rPr>
              <w:t>|||</w:t>
            </w:r>
            <w:r w:rsidR="00501C36" w:rsidRPr="00501C36">
              <w:rPr>
                <w:rFonts w:ascii="Arial Narrow" w:eastAsia="MS Gothic" w:hAnsi="Arial Narrow"/>
                <w:bCs/>
                <w:color w:val="000000"/>
                <w:spacing w:val="1"/>
                <w:sz w:val="20"/>
                <w:shd w:val="solid" w:color="000000" w:fill="000000"/>
                <w:fitText w:val="330" w:id="-893684221"/>
                <w14:textFill>
                  <w14:solidFill>
                    <w14:srgbClr w14:val="000000">
                      <w14:alpha w14:val="100000"/>
                    </w14:srgbClr>
                  </w14:solidFill>
                </w14:textFill>
              </w:rPr>
              <w:t>|</w:t>
            </w:r>
          </w:p>
        </w:tc>
      </w:tr>
      <w:tr w:rsidR="00B86987" w:rsidRPr="000E48C6" w14:paraId="57927C3B" w14:textId="77777777" w:rsidTr="00854496">
        <w:trPr>
          <w:cantSplit/>
        </w:trPr>
        <w:tc>
          <w:tcPr>
            <w:tcW w:w="1426" w:type="dxa"/>
          </w:tcPr>
          <w:p w14:paraId="0D924154"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Number of patients diagnosed with VHL disease who are ≥18 years old</w:t>
            </w:r>
          </w:p>
        </w:tc>
        <w:tc>
          <w:tcPr>
            <w:tcW w:w="1123" w:type="dxa"/>
          </w:tcPr>
          <w:p w14:paraId="3EE0E066" w14:textId="00B24904"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20"/>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0"/>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540D7B53" w14:textId="04DE73EE"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1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9"/>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244109ED" w14:textId="794C39E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1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8"/>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6E269CB7" w14:textId="04D87884"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17"/>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7"/>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5A570D98" w14:textId="6B1611F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16"/>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6"/>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58B15676" w14:textId="500537F8"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15"/>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5"/>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tc>
        <w:tc>
          <w:tcPr>
            <w:tcW w:w="1477" w:type="dxa"/>
          </w:tcPr>
          <w:p w14:paraId="264EC955"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77% of diagnosed VHL patients (excluding the grandfathered patients) assumed to be at least 18 years old from ABS 2023 Intergenerational report</w:t>
            </w:r>
          </w:p>
        </w:tc>
        <w:tc>
          <w:tcPr>
            <w:tcW w:w="2632" w:type="dxa"/>
          </w:tcPr>
          <w:p w14:paraId="378E7AE6"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The grandfathered patients should be removed from the population of diagnosed adults rather than the overall cohort and then number of diagnosed adult calculated. Further, ABS population values should be restricted to 18+ on outset rather than applying the eligibility criterion for Age 18+ here.</w:t>
            </w:r>
          </w:p>
        </w:tc>
        <w:tc>
          <w:tcPr>
            <w:tcW w:w="2551" w:type="dxa"/>
          </w:tcPr>
          <w:p w14:paraId="6C5D7050" w14:textId="77777777" w:rsidR="00B86987" w:rsidRDefault="00B86987" w:rsidP="00854496">
            <w:pPr>
              <w:widowControl w:val="0"/>
              <w:jc w:val="left"/>
              <w:rPr>
                <w:rFonts w:ascii="Arial Narrow" w:eastAsia="MS Gothic" w:hAnsi="Arial Narrow"/>
                <w:kern w:val="24"/>
                <w:sz w:val="20"/>
                <w:szCs w:val="20"/>
              </w:rPr>
            </w:pPr>
            <w:r w:rsidRPr="00B86987">
              <w:rPr>
                <w:rFonts w:ascii="Arial Narrow" w:eastAsia="MS Gothic" w:hAnsi="Arial Narrow"/>
                <w:kern w:val="24"/>
                <w:sz w:val="20"/>
                <w:szCs w:val="20"/>
              </w:rPr>
              <w:t>DUSC agreed with the commentary.</w:t>
            </w:r>
            <w:r w:rsidR="001532DC">
              <w:rPr>
                <w:rFonts w:ascii="Arial Narrow" w:eastAsia="MS Gothic" w:hAnsi="Arial Narrow"/>
                <w:kern w:val="24"/>
                <w:sz w:val="20"/>
                <w:szCs w:val="20"/>
              </w:rPr>
              <w:t xml:space="preserve"> </w:t>
            </w:r>
          </w:p>
          <w:p w14:paraId="3343D3DD" w14:textId="77777777" w:rsidR="001532DC" w:rsidRDefault="001532DC" w:rsidP="00854496">
            <w:pPr>
              <w:widowControl w:val="0"/>
              <w:jc w:val="left"/>
              <w:rPr>
                <w:rFonts w:ascii="Arial Narrow" w:eastAsiaTheme="majorEastAsia" w:hAnsi="Arial Narrow"/>
                <w:sz w:val="20"/>
              </w:rPr>
            </w:pPr>
          </w:p>
          <w:p w14:paraId="68E8A773" w14:textId="473F4CA3" w:rsidR="001532DC" w:rsidRDefault="004B0C59" w:rsidP="00854496">
            <w:pPr>
              <w:widowControl w:val="0"/>
              <w:jc w:val="left"/>
              <w:rPr>
                <w:rFonts w:ascii="Arial Narrow" w:eastAsiaTheme="majorEastAsia" w:hAnsi="Arial Narrow"/>
                <w:sz w:val="20"/>
              </w:rPr>
            </w:pPr>
            <w:r>
              <w:rPr>
                <w:rFonts w:ascii="Arial Narrow" w:eastAsiaTheme="majorEastAsia" w:hAnsi="Arial Narrow"/>
                <w:sz w:val="20"/>
              </w:rPr>
              <w:t>The pre-PBAC response restricted ABS population values to 18+ on onset.</w:t>
            </w:r>
          </w:p>
          <w:p w14:paraId="131D32D6" w14:textId="77777777" w:rsidR="00A92510" w:rsidRDefault="00A92510" w:rsidP="00854496">
            <w:pPr>
              <w:widowControl w:val="0"/>
              <w:jc w:val="left"/>
              <w:rPr>
                <w:rFonts w:ascii="Arial Narrow" w:eastAsiaTheme="majorEastAsia" w:hAnsi="Arial Narrow"/>
                <w:sz w:val="20"/>
              </w:rPr>
            </w:pPr>
          </w:p>
          <w:p w14:paraId="0B5CF05E" w14:textId="0801A11B" w:rsidR="001532DC" w:rsidRDefault="00A92510" w:rsidP="00854496">
            <w:pPr>
              <w:widowControl w:val="0"/>
              <w:jc w:val="left"/>
              <w:rPr>
                <w:rFonts w:ascii="Arial Narrow" w:eastAsiaTheme="majorEastAsia" w:hAnsi="Arial Narrow"/>
                <w:sz w:val="20"/>
              </w:rPr>
            </w:pPr>
            <w:r>
              <w:rPr>
                <w:rFonts w:ascii="Arial Narrow" w:eastAsiaTheme="majorEastAsia" w:hAnsi="Arial Narrow"/>
                <w:sz w:val="20"/>
              </w:rPr>
              <w:t xml:space="preserve">Although the PBAC considered an age agnostic listing would be appropriate, it was also considered reasonable for this step to remain as it was expected there would be few patients under 18 years of age commencing treatment. </w:t>
            </w:r>
          </w:p>
          <w:p w14:paraId="700DAC28" w14:textId="73B24AD6" w:rsidR="001532DC" w:rsidRPr="00B86987" w:rsidRDefault="001532DC" w:rsidP="00854496">
            <w:pPr>
              <w:widowControl w:val="0"/>
              <w:jc w:val="left"/>
              <w:rPr>
                <w:rFonts w:ascii="Arial Narrow" w:eastAsiaTheme="majorEastAsia" w:hAnsi="Arial Narrow" w:cstheme="majorBidi"/>
                <w:sz w:val="20"/>
              </w:rPr>
            </w:pPr>
          </w:p>
        </w:tc>
      </w:tr>
      <w:tr w:rsidR="00B86987" w:rsidRPr="000E48C6" w14:paraId="4EB7BAC8" w14:textId="77777777" w:rsidTr="00854496">
        <w:trPr>
          <w:cantSplit/>
        </w:trPr>
        <w:tc>
          <w:tcPr>
            <w:tcW w:w="1426" w:type="dxa"/>
          </w:tcPr>
          <w:p w14:paraId="29B4CD75"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lastRenderedPageBreak/>
              <w:t>VHL population with RCC, CNS Hb or pNET</w:t>
            </w:r>
          </w:p>
        </w:tc>
        <w:tc>
          <w:tcPr>
            <w:tcW w:w="1123" w:type="dxa"/>
          </w:tcPr>
          <w:p w14:paraId="183ADC2B" w14:textId="4AF2DF92"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14"/>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4"/>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251D2F38" w14:textId="4FAB77CE"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13"/>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3"/>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6BA949C3" w14:textId="1183999C"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12"/>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2"/>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587FB68C" w14:textId="0F7F2092"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11"/>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1"/>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368B0AAD" w14:textId="5FD9252B"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10"/>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0"/>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0F256551" w14:textId="1DD16DA9"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0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09"/>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tc>
        <w:tc>
          <w:tcPr>
            <w:tcW w:w="1477" w:type="dxa"/>
          </w:tcPr>
          <w:p w14:paraId="28AC9F6E"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A proportion of 85% having a disease manifestation of RCC, CNS Hb or pNET was estimated by the sponsor-convened expert panel, considering literature with individualised patient data to identify disease manifestation that had estimates ranging between 63-89%.</w:t>
            </w:r>
          </w:p>
        </w:tc>
        <w:tc>
          <w:tcPr>
            <w:tcW w:w="2632" w:type="dxa"/>
          </w:tcPr>
          <w:p w14:paraId="016D11FC"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The proportion (85%) was based on clinical opinion, supported by published literature identified from Canada, Brazil, Denmark, and USA. The applicability to the Australian population is unknown.</w:t>
            </w:r>
          </w:p>
        </w:tc>
        <w:tc>
          <w:tcPr>
            <w:tcW w:w="2551" w:type="dxa"/>
          </w:tcPr>
          <w:p w14:paraId="5057ADEA" w14:textId="418E2D4D" w:rsidR="004B0C59" w:rsidRPr="00B86987" w:rsidRDefault="00B86987" w:rsidP="007E7F19">
            <w:pPr>
              <w:widowControl w:val="0"/>
              <w:jc w:val="left"/>
              <w:rPr>
                <w:rFonts w:ascii="Arial Narrow" w:eastAsiaTheme="majorEastAsia" w:hAnsi="Arial Narrow" w:cstheme="majorBidi"/>
                <w:sz w:val="20"/>
              </w:rPr>
            </w:pPr>
            <w:r w:rsidRPr="00B86987">
              <w:rPr>
                <w:rFonts w:ascii="Arial Narrow" w:eastAsia="MS Gothic" w:hAnsi="Arial Narrow"/>
                <w:kern w:val="24"/>
                <w:sz w:val="20"/>
                <w:szCs w:val="20"/>
              </w:rPr>
              <w:t>DUSC commented that this was reasonable across the subtypes of VHL, and considered these sources likely to be applicable to</w:t>
            </w:r>
            <w:r w:rsidR="004B0C59">
              <w:rPr>
                <w:rFonts w:ascii="Arial Narrow" w:eastAsia="MS Gothic" w:hAnsi="Arial Narrow"/>
                <w:kern w:val="24"/>
                <w:sz w:val="20"/>
                <w:szCs w:val="20"/>
              </w:rPr>
              <w:t xml:space="preserve"> the</w:t>
            </w:r>
            <w:r w:rsidRPr="00B86987">
              <w:rPr>
                <w:rFonts w:ascii="Arial Narrow" w:eastAsia="MS Gothic" w:hAnsi="Arial Narrow"/>
                <w:kern w:val="24"/>
                <w:sz w:val="20"/>
                <w:szCs w:val="20"/>
              </w:rPr>
              <w:t xml:space="preserve"> Australian population.</w:t>
            </w:r>
          </w:p>
        </w:tc>
      </w:tr>
      <w:tr w:rsidR="00B86987" w:rsidRPr="000E48C6" w14:paraId="4ED76557" w14:textId="77777777" w:rsidTr="00854496">
        <w:trPr>
          <w:cantSplit/>
        </w:trPr>
        <w:tc>
          <w:tcPr>
            <w:tcW w:w="1426" w:type="dxa"/>
          </w:tcPr>
          <w:p w14:paraId="7985689D"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Not requiring immediate surgery</w:t>
            </w:r>
          </w:p>
        </w:tc>
        <w:tc>
          <w:tcPr>
            <w:tcW w:w="1123" w:type="dxa"/>
          </w:tcPr>
          <w:p w14:paraId="0E0B46B3" w14:textId="54C08DA2"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0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08"/>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61A3F7A6" w14:textId="53B498AD"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24"/>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4"/>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6A60851A" w14:textId="07C9402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23"/>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3"/>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13DF2292" w14:textId="330EFFBC"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22"/>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2"/>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723DF2A2" w14:textId="55B80B00"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21"/>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1"/>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4D922883" w14:textId="66ACDAF4"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20"/>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0"/>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tc>
        <w:tc>
          <w:tcPr>
            <w:tcW w:w="1477" w:type="dxa"/>
          </w:tcPr>
          <w:p w14:paraId="7B290693"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A proportion of 85% having a disease manifestation of RCC, CNS Hb or pNET and not requiring immediate surgery was estimated by the sponsor-convened expert panel.</w:t>
            </w:r>
          </w:p>
        </w:tc>
        <w:tc>
          <w:tcPr>
            <w:tcW w:w="2632" w:type="dxa"/>
          </w:tcPr>
          <w:p w14:paraId="6FEE1F33"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No literature was identified to support this proportion. From Optum CDM data a combined VHL population with RCC, CNS Hb or pNET, not requiring immediate surgery was 89%, compared to the 72%=85%x85% presented as the base case.</w:t>
            </w:r>
          </w:p>
        </w:tc>
        <w:tc>
          <w:tcPr>
            <w:tcW w:w="2551" w:type="dxa"/>
          </w:tcPr>
          <w:p w14:paraId="1D2FD3A7" w14:textId="11780D10" w:rsidR="004B0C59" w:rsidRPr="00B86987" w:rsidRDefault="00B86987" w:rsidP="007E7F19">
            <w:pPr>
              <w:widowControl w:val="0"/>
              <w:jc w:val="left"/>
              <w:rPr>
                <w:rFonts w:ascii="Arial Narrow" w:eastAsiaTheme="majorEastAsia" w:hAnsi="Arial Narrow" w:cstheme="majorBidi"/>
                <w:bCs/>
                <w:sz w:val="20"/>
              </w:rPr>
            </w:pPr>
            <w:r w:rsidRPr="00B86987">
              <w:rPr>
                <w:rFonts w:ascii="Arial Narrow" w:eastAsiaTheme="majorEastAsia" w:hAnsi="Arial Narrow" w:cstheme="majorBidi"/>
                <w:bCs/>
                <w:sz w:val="20"/>
              </w:rPr>
              <w:t>DUSC agreed with the commentary.</w:t>
            </w:r>
          </w:p>
        </w:tc>
      </w:tr>
      <w:tr w:rsidR="00B86987" w:rsidRPr="000E48C6" w14:paraId="0EADFD15" w14:textId="77777777" w:rsidTr="00854496">
        <w:trPr>
          <w:cantSplit/>
        </w:trPr>
        <w:tc>
          <w:tcPr>
            <w:tcW w:w="1426" w:type="dxa"/>
          </w:tcPr>
          <w:p w14:paraId="385792DF"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With ECOG 0-1</w:t>
            </w:r>
          </w:p>
        </w:tc>
        <w:tc>
          <w:tcPr>
            <w:tcW w:w="1123" w:type="dxa"/>
          </w:tcPr>
          <w:p w14:paraId="12AA4DCE" w14:textId="50724C3E"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1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9"/>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2A7794AE" w14:textId="188AA4CD"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1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8"/>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488F9D92" w14:textId="0AAFB6AA"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17"/>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7"/>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489CB305" w14:textId="4513AE2B"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16"/>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6"/>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3E8C9D82" w14:textId="130C693E"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15"/>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5"/>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33836423" w14:textId="094CB00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14"/>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4"/>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tc>
        <w:tc>
          <w:tcPr>
            <w:tcW w:w="1477" w:type="dxa"/>
          </w:tcPr>
          <w:p w14:paraId="52A5595F"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A proportion of 90% having a disease manifestation of RCC, CNS Hb or pNET, not requiring immediate surgery, with ECOG 0-1 was estimated by the sponsor-convened expert panel, considering literature of proportions of VHL-CNS Hb, metastatic RCC, metastatic pNET populations with ECOG 0-1 between 77-100%.</w:t>
            </w:r>
          </w:p>
        </w:tc>
        <w:tc>
          <w:tcPr>
            <w:tcW w:w="2632" w:type="dxa"/>
          </w:tcPr>
          <w:p w14:paraId="2C62765E"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The literature presented in support of the 90% ECOG 0-1 included non-VHL disease and malignant disease populations, which may not be comparable to the eligible population.</w:t>
            </w:r>
          </w:p>
        </w:tc>
        <w:tc>
          <w:tcPr>
            <w:tcW w:w="2551" w:type="dxa"/>
          </w:tcPr>
          <w:p w14:paraId="2CECACCD" w14:textId="4694B9A3" w:rsidR="00B86987" w:rsidRPr="00B86987" w:rsidRDefault="00B86987" w:rsidP="007E7F19">
            <w:pPr>
              <w:widowControl w:val="0"/>
              <w:jc w:val="left"/>
              <w:rPr>
                <w:rFonts w:ascii="Arial Narrow" w:eastAsiaTheme="majorEastAsia" w:hAnsi="Arial Narrow" w:cstheme="majorBidi"/>
                <w:bCs/>
                <w:sz w:val="20"/>
              </w:rPr>
            </w:pPr>
            <w:r w:rsidRPr="00B86987">
              <w:rPr>
                <w:rFonts w:ascii="Arial Narrow" w:eastAsiaTheme="majorEastAsia" w:hAnsi="Arial Narrow" w:cstheme="majorBidi"/>
                <w:bCs/>
                <w:sz w:val="20"/>
              </w:rPr>
              <w:t>DUSC agreed with the commentary.</w:t>
            </w:r>
          </w:p>
        </w:tc>
      </w:tr>
      <w:tr w:rsidR="00B86987" w:rsidRPr="000E48C6" w14:paraId="077BB6D6" w14:textId="77777777" w:rsidTr="00854496">
        <w:trPr>
          <w:cantSplit/>
        </w:trPr>
        <w:tc>
          <w:tcPr>
            <w:tcW w:w="9209" w:type="dxa"/>
            <w:gridSpan w:val="5"/>
          </w:tcPr>
          <w:p w14:paraId="43D2C27B" w14:textId="77777777" w:rsidR="00B86987" w:rsidRPr="00B86987" w:rsidRDefault="00B86987" w:rsidP="00854496">
            <w:pPr>
              <w:widowControl w:val="0"/>
              <w:jc w:val="left"/>
              <w:rPr>
                <w:rFonts w:ascii="Arial Narrow" w:eastAsiaTheme="majorEastAsia" w:hAnsi="Arial Narrow" w:cstheme="majorBidi"/>
                <w:b/>
                <w:bCs/>
                <w:sz w:val="20"/>
              </w:rPr>
            </w:pPr>
            <w:r w:rsidRPr="00B86987">
              <w:rPr>
                <w:rFonts w:ascii="Arial Narrow" w:eastAsiaTheme="majorEastAsia" w:hAnsi="Arial Narrow" w:cstheme="majorBidi"/>
                <w:b/>
                <w:bCs/>
                <w:sz w:val="20"/>
              </w:rPr>
              <w:t>Treatment utilisation</w:t>
            </w:r>
          </w:p>
        </w:tc>
      </w:tr>
      <w:tr w:rsidR="00B86987" w:rsidRPr="000E48C6" w14:paraId="4BEECF3C" w14:textId="77777777" w:rsidTr="00854496">
        <w:trPr>
          <w:cantSplit/>
        </w:trPr>
        <w:tc>
          <w:tcPr>
            <w:tcW w:w="1426" w:type="dxa"/>
          </w:tcPr>
          <w:p w14:paraId="3021F487"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lastRenderedPageBreak/>
              <w:t>Uptake rate</w:t>
            </w:r>
          </w:p>
        </w:tc>
        <w:tc>
          <w:tcPr>
            <w:tcW w:w="1123" w:type="dxa"/>
          </w:tcPr>
          <w:p w14:paraId="21AEAF25" w14:textId="68DFA952"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Yrs 1-6: </w:t>
            </w:r>
            <w:r w:rsidR="00501C36" w:rsidRPr="00501C36">
              <w:rPr>
                <w:rFonts w:ascii="Arial Narrow" w:eastAsiaTheme="majorEastAsia" w:hAnsi="Arial Narrow" w:cstheme="majorBidi"/>
                <w:bCs/>
                <w:color w:val="000000"/>
                <w:spacing w:val="53"/>
                <w:sz w:val="20"/>
                <w:shd w:val="solid" w:color="000000" w:fill="000000"/>
                <w:fitText w:val="330" w:id="-893684213"/>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3"/>
                <w14:textFill>
                  <w14:solidFill>
                    <w14:srgbClr w14:val="000000">
                      <w14:alpha w14:val="100000"/>
                    </w14:srgbClr>
                  </w14:solidFill>
                </w14:textFill>
              </w:rPr>
              <w:t>|</w:t>
            </w:r>
            <w:r w:rsidRPr="000E48C6">
              <w:rPr>
                <w:rFonts w:ascii="Arial Narrow" w:eastAsiaTheme="majorEastAsia" w:hAnsi="Arial Narrow" w:cstheme="majorBidi"/>
                <w:bCs/>
                <w:sz w:val="20"/>
              </w:rPr>
              <w:t>%</w:t>
            </w:r>
          </w:p>
        </w:tc>
        <w:tc>
          <w:tcPr>
            <w:tcW w:w="1477" w:type="dxa"/>
          </w:tcPr>
          <w:p w14:paraId="4581D896" w14:textId="0CAFADAB"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The sponsor anticipated that clinicians will opt for treatment with belzutifan in </w:t>
            </w:r>
            <w:r w:rsidR="00501C36" w:rsidRPr="00501C36">
              <w:rPr>
                <w:rFonts w:ascii="Arial Narrow" w:eastAsiaTheme="majorEastAsia" w:hAnsi="Arial Narrow" w:cstheme="majorBidi"/>
                <w:bCs/>
                <w:color w:val="000000"/>
                <w:spacing w:val="53"/>
                <w:sz w:val="20"/>
                <w:shd w:val="solid" w:color="000000" w:fill="000000"/>
                <w:fitText w:val="330" w:id="-893684212"/>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2"/>
                <w14:textFill>
                  <w14:solidFill>
                    <w14:srgbClr w14:val="000000">
                      <w14:alpha w14:val="100000"/>
                    </w14:srgbClr>
                  </w14:solidFill>
                </w14:textFill>
              </w:rPr>
              <w:t>|</w:t>
            </w:r>
            <w:r w:rsidRPr="000E48C6">
              <w:rPr>
                <w:rFonts w:ascii="Arial Narrow" w:eastAsiaTheme="majorEastAsia" w:hAnsi="Arial Narrow" w:cstheme="majorBidi"/>
                <w:bCs/>
                <w:sz w:val="20"/>
              </w:rPr>
              <w:t>% of eligible VHL patients once it is PBS subsidised. All (100%) patients in the grandfathering population are expected to opt for treatment.</w:t>
            </w:r>
          </w:p>
        </w:tc>
        <w:tc>
          <w:tcPr>
            <w:tcW w:w="2632" w:type="dxa"/>
          </w:tcPr>
          <w:p w14:paraId="215ECA89"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This is plausible, however clinical uptake and use of belzutifan is uncertain. Arevalo 2022 suggested that only 36% of US VHL kidney experts would initiate belzutifan to prevent growth in patients with RCC &lt;3cm and low anticipated treatment-related morbidity.</w:t>
            </w:r>
          </w:p>
        </w:tc>
        <w:tc>
          <w:tcPr>
            <w:tcW w:w="2551" w:type="dxa"/>
          </w:tcPr>
          <w:p w14:paraId="704BB872" w14:textId="77777777" w:rsidR="00B86987" w:rsidRDefault="00B86987" w:rsidP="00854496">
            <w:pPr>
              <w:widowControl w:val="0"/>
              <w:jc w:val="left"/>
              <w:rPr>
                <w:rFonts w:ascii="Arial Narrow" w:eastAsiaTheme="majorEastAsia" w:hAnsi="Arial Narrow" w:cstheme="majorBidi"/>
                <w:sz w:val="20"/>
              </w:rPr>
            </w:pPr>
            <w:r w:rsidRPr="00B86987">
              <w:rPr>
                <w:rFonts w:ascii="Arial Narrow" w:eastAsia="MS Gothic" w:hAnsi="Arial Narrow"/>
                <w:kern w:val="24"/>
                <w:sz w:val="20"/>
                <w:szCs w:val="20"/>
              </w:rPr>
              <w:t>DUSC commented that uptake is likely to be high and agreed with the commentary, and noted that this was addressed in sensitivity analyses</w:t>
            </w:r>
            <w:r w:rsidRPr="00B86987">
              <w:rPr>
                <w:rFonts w:ascii="Arial Narrow" w:eastAsiaTheme="majorEastAsia" w:hAnsi="Arial Narrow" w:cstheme="majorBidi"/>
                <w:sz w:val="20"/>
              </w:rPr>
              <w:t xml:space="preserve">. </w:t>
            </w:r>
          </w:p>
          <w:p w14:paraId="1D5EE930" w14:textId="77777777" w:rsidR="00471725" w:rsidRDefault="00471725" w:rsidP="00854496">
            <w:pPr>
              <w:widowControl w:val="0"/>
              <w:jc w:val="left"/>
              <w:rPr>
                <w:rFonts w:ascii="Arial Narrow" w:eastAsiaTheme="majorEastAsia" w:hAnsi="Arial Narrow" w:cstheme="majorBidi"/>
                <w:sz w:val="20"/>
              </w:rPr>
            </w:pPr>
          </w:p>
          <w:p w14:paraId="4C8CADA7" w14:textId="66F297AD" w:rsidR="00471725" w:rsidRPr="00471725" w:rsidRDefault="00471725" w:rsidP="00854496">
            <w:pPr>
              <w:widowControl w:val="0"/>
              <w:jc w:val="left"/>
              <w:rPr>
                <w:rFonts w:ascii="Arial Narrow" w:eastAsiaTheme="majorEastAsia" w:hAnsi="Arial Narrow" w:cstheme="majorBidi"/>
                <w:bCs/>
                <w:sz w:val="20"/>
              </w:rPr>
            </w:pPr>
            <w:r>
              <w:rPr>
                <w:rFonts w:ascii="Arial Narrow" w:eastAsiaTheme="majorEastAsia" w:hAnsi="Arial Narrow" w:cstheme="majorBidi"/>
                <w:sz w:val="20"/>
              </w:rPr>
              <w:t>The pre-PBAC response applied a 90% uptake to eligible patients in Year 1. From the untreated population in Year 1 (</w:t>
            </w:r>
            <w:r w:rsidR="00501C36" w:rsidRPr="00501C36">
              <w:rPr>
                <w:rFonts w:ascii="Arial Narrow" w:eastAsiaTheme="majorEastAsia" w:hAnsi="Arial Narrow" w:cstheme="majorBidi"/>
                <w:color w:val="000000"/>
                <w:spacing w:val="53"/>
                <w:sz w:val="20"/>
                <w:shd w:val="solid" w:color="000000" w:fill="000000"/>
                <w:fitText w:val="330" w:id="-893684211"/>
                <w14:textFill>
                  <w14:solidFill>
                    <w14:srgbClr w14:val="000000">
                      <w14:alpha w14:val="100000"/>
                    </w14:srgbClr>
                  </w14:solidFill>
                </w14:textFill>
              </w:rPr>
              <w:t>|||</w:t>
            </w:r>
            <w:r w:rsidR="00501C36" w:rsidRPr="00501C36">
              <w:rPr>
                <w:rFonts w:ascii="Arial Narrow" w:eastAsiaTheme="majorEastAsia" w:hAnsi="Arial Narrow" w:cstheme="majorBidi"/>
                <w:color w:val="000000"/>
                <w:spacing w:val="1"/>
                <w:sz w:val="20"/>
                <w:shd w:val="solid" w:color="000000" w:fill="000000"/>
                <w:fitText w:val="330" w:id="-893684211"/>
                <w14:textFill>
                  <w14:solidFill>
                    <w14:srgbClr w14:val="000000">
                      <w14:alpha w14:val="100000"/>
                    </w14:srgbClr>
                  </w14:solidFill>
                </w14:textFill>
              </w:rPr>
              <w:t>|</w:t>
            </w:r>
            <w:r w:rsidR="008D65DE" w:rsidRPr="0009066F">
              <w:rPr>
                <w:rFonts w:ascii="Arial Narrow" w:eastAsiaTheme="majorEastAsia" w:hAnsi="Arial Narrow" w:cstheme="majorBidi"/>
                <w:sz w:val="20"/>
                <w:vertAlign w:val="superscript"/>
              </w:rPr>
              <w:t>2</w:t>
            </w:r>
            <w:r>
              <w:rPr>
                <w:rFonts w:ascii="Arial Narrow" w:eastAsiaTheme="majorEastAsia" w:hAnsi="Arial Narrow" w:cstheme="majorBidi"/>
                <w:sz w:val="20"/>
              </w:rPr>
              <w:t xml:space="preserve"> patients) a staggered cumulate uptake of 85</w:t>
            </w:r>
            <w:r w:rsidR="008C077D">
              <w:rPr>
                <w:rFonts w:ascii="Arial Narrow" w:eastAsiaTheme="majorEastAsia" w:hAnsi="Arial Narrow" w:cstheme="majorBidi"/>
                <w:sz w:val="20"/>
              </w:rPr>
              <w:t>% in</w:t>
            </w:r>
            <w:r>
              <w:rPr>
                <w:rFonts w:ascii="Arial Narrow" w:eastAsiaTheme="majorEastAsia" w:hAnsi="Arial Narrow" w:cstheme="majorBidi"/>
                <w:sz w:val="20"/>
              </w:rPr>
              <w:t xml:space="preserve"> </w:t>
            </w:r>
            <w:r>
              <w:rPr>
                <w:rFonts w:ascii="Arial Narrow" w:eastAsiaTheme="majorEastAsia" w:hAnsi="Arial Narrow" w:cstheme="majorBidi"/>
                <w:bCs/>
                <w:sz w:val="20"/>
              </w:rPr>
              <w:t xml:space="preserve">Year 2−6 was applied. </w:t>
            </w:r>
          </w:p>
        </w:tc>
      </w:tr>
      <w:tr w:rsidR="00B86987" w:rsidRPr="000E48C6" w14:paraId="4729274B" w14:textId="77777777" w:rsidTr="00854496">
        <w:trPr>
          <w:cantSplit/>
        </w:trPr>
        <w:tc>
          <w:tcPr>
            <w:tcW w:w="1426" w:type="dxa"/>
          </w:tcPr>
          <w:p w14:paraId="23911C65"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Number treated</w:t>
            </w:r>
          </w:p>
        </w:tc>
        <w:tc>
          <w:tcPr>
            <w:tcW w:w="1123" w:type="dxa"/>
          </w:tcPr>
          <w:p w14:paraId="10FB223D" w14:textId="6AE834A5"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10"/>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0"/>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0D5D45F2" w14:textId="2F46673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0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09"/>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4E5108D7" w14:textId="583064F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0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08"/>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15CCF53A" w14:textId="7A047305"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24"/>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4"/>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72E872BB" w14:textId="73140CB2"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23"/>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3"/>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p w14:paraId="5A8666C5" w14:textId="751EF53C"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22"/>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2"/>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2</w:t>
            </w:r>
          </w:p>
        </w:tc>
        <w:tc>
          <w:tcPr>
            <w:tcW w:w="1477" w:type="dxa"/>
          </w:tcPr>
          <w:p w14:paraId="712170B3"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Uptake rate of 90% applied to the eligible population (excludes Grandfathered patients).</w:t>
            </w:r>
          </w:p>
        </w:tc>
        <w:tc>
          <w:tcPr>
            <w:tcW w:w="2632" w:type="dxa"/>
          </w:tcPr>
          <w:p w14:paraId="2AED7AC4"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Arithmetically correct.</w:t>
            </w:r>
          </w:p>
        </w:tc>
        <w:tc>
          <w:tcPr>
            <w:tcW w:w="2551" w:type="dxa"/>
          </w:tcPr>
          <w:p w14:paraId="738B6EDE" w14:textId="77777777" w:rsidR="00B86987" w:rsidRPr="00B86987" w:rsidRDefault="00B86987" w:rsidP="00854496">
            <w:pPr>
              <w:widowControl w:val="0"/>
              <w:jc w:val="left"/>
              <w:rPr>
                <w:rFonts w:ascii="Arial Narrow" w:eastAsiaTheme="majorEastAsia" w:hAnsi="Arial Narrow" w:cs="Times New Roman"/>
                <w:sz w:val="20"/>
                <w:lang w:eastAsia="en-GB"/>
              </w:rPr>
            </w:pPr>
            <w:r w:rsidRPr="00B86987">
              <w:rPr>
                <w:rFonts w:ascii="Arial Narrow" w:eastAsia="MS Gothic" w:hAnsi="Arial Narrow"/>
                <w:kern w:val="24"/>
                <w:sz w:val="20"/>
                <w:szCs w:val="20"/>
              </w:rPr>
              <w:t xml:space="preserve">DUSC agreed with the commentary.  </w:t>
            </w:r>
          </w:p>
        </w:tc>
      </w:tr>
      <w:tr w:rsidR="00B86987" w:rsidRPr="000E48C6" w14:paraId="2FA97AAB" w14:textId="77777777" w:rsidTr="00854496">
        <w:trPr>
          <w:cantSplit/>
        </w:trPr>
        <w:tc>
          <w:tcPr>
            <w:tcW w:w="1426" w:type="dxa"/>
          </w:tcPr>
          <w:p w14:paraId="10D550C6"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Time on belzutifan</w:t>
            </w:r>
          </w:p>
        </w:tc>
        <w:tc>
          <w:tcPr>
            <w:tcW w:w="1123" w:type="dxa"/>
          </w:tcPr>
          <w:p w14:paraId="62887E50"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25.71 weeks initial (or 12.86 weeks for Grandfathered patients) + 182.86 weeks continuing </w:t>
            </w:r>
          </w:p>
        </w:tc>
        <w:tc>
          <w:tcPr>
            <w:tcW w:w="1477" w:type="dxa"/>
          </w:tcPr>
          <w:p w14:paraId="2962C0B8"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Based on mean time on treatment with belzutifan of 4 years (208.57 weeks), and assuming all initiating patients will transition from initial to continuing treatment. In the belzutifan pre-submission meeting it was advised for Grandfathered patients that 50% of the time on treatment should be applied to initiation scripts only and would not apply to patients who are receiving continuing treatment (being a chronic therapy)</w:t>
            </w:r>
          </w:p>
        </w:tc>
        <w:tc>
          <w:tcPr>
            <w:tcW w:w="2632" w:type="dxa"/>
          </w:tcPr>
          <w:p w14:paraId="4C881DC6"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The dosage regimen is in days; therefore, the dimension of duration should also be in days. Mean time on treatment is likely underestimated: in the economic analysis time on treatment was 4.52 years in the RCC model, 4.57 years in the CNS Hb model and 4.55 years in the pNET model. Patients could also potentially continue on treatment until metastatic disease.</w:t>
            </w:r>
          </w:p>
          <w:p w14:paraId="1CEB00FC"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The 50% reduction for Grandfathered patients was appropriately applied to the initial treatment phase only. </w:t>
            </w:r>
          </w:p>
        </w:tc>
        <w:tc>
          <w:tcPr>
            <w:tcW w:w="2551" w:type="dxa"/>
          </w:tcPr>
          <w:p w14:paraId="7DB7876C" w14:textId="77777777" w:rsidR="00B86987" w:rsidRDefault="00B86987" w:rsidP="00854496">
            <w:pPr>
              <w:widowControl w:val="0"/>
              <w:jc w:val="left"/>
              <w:rPr>
                <w:rFonts w:ascii="Arial Narrow" w:eastAsia="MS Gothic" w:hAnsi="Arial Narrow"/>
                <w:kern w:val="24"/>
                <w:sz w:val="20"/>
                <w:szCs w:val="20"/>
              </w:rPr>
            </w:pPr>
            <w:r w:rsidRPr="00B86987">
              <w:rPr>
                <w:rFonts w:ascii="Arial Narrow" w:eastAsia="MS Gothic" w:hAnsi="Arial Narrow"/>
                <w:kern w:val="24"/>
                <w:sz w:val="20"/>
                <w:szCs w:val="20"/>
              </w:rPr>
              <w:t xml:space="preserve">DUSC commented that patients with VHL disease are likely to develop different types of tumours through their life and considered that unless patients experience side effects, they are likely to wish to continue or reinitiate treatment throughout their life. DUSC considered the use of treatment duration from the trial has underestimated utilisation, particularly in years 4 to 6 of the estimates, as it is unlikely use will decrease after year 3. </w:t>
            </w:r>
          </w:p>
          <w:p w14:paraId="1B8F0F0E" w14:textId="77777777" w:rsidR="00B7119C" w:rsidRDefault="00B7119C" w:rsidP="00854496">
            <w:pPr>
              <w:widowControl w:val="0"/>
              <w:jc w:val="left"/>
              <w:rPr>
                <w:rFonts w:ascii="Arial Narrow" w:eastAsia="MS Gothic" w:hAnsi="Arial Narrow"/>
                <w:kern w:val="24"/>
                <w:sz w:val="20"/>
              </w:rPr>
            </w:pPr>
          </w:p>
          <w:p w14:paraId="7E918508" w14:textId="41131903" w:rsidR="00B7119C" w:rsidRPr="00B86987" w:rsidRDefault="00B7119C" w:rsidP="007E7F19">
            <w:pPr>
              <w:widowControl w:val="0"/>
              <w:jc w:val="left"/>
              <w:rPr>
                <w:rFonts w:ascii="Arial Narrow" w:eastAsiaTheme="majorEastAsia" w:hAnsi="Arial Narrow" w:cstheme="majorBidi"/>
                <w:sz w:val="20"/>
              </w:rPr>
            </w:pPr>
            <w:r>
              <w:rPr>
                <w:rFonts w:ascii="Arial Narrow" w:eastAsia="MS Gothic" w:hAnsi="Arial Narrow"/>
                <w:kern w:val="24"/>
                <w:sz w:val="20"/>
              </w:rPr>
              <w:t>The pre-PBAC response i</w:t>
            </w:r>
            <w:r w:rsidRPr="00B7119C">
              <w:rPr>
                <w:rFonts w:ascii="Arial Narrow" w:eastAsia="MS Gothic" w:hAnsi="Arial Narrow"/>
                <w:kern w:val="24"/>
                <w:sz w:val="20"/>
              </w:rPr>
              <w:t>ncreas</w:t>
            </w:r>
            <w:r>
              <w:rPr>
                <w:rFonts w:ascii="Arial Narrow" w:eastAsia="MS Gothic" w:hAnsi="Arial Narrow"/>
                <w:kern w:val="24"/>
                <w:sz w:val="20"/>
              </w:rPr>
              <w:t>ed</w:t>
            </w:r>
            <w:r w:rsidRPr="00B7119C">
              <w:rPr>
                <w:rFonts w:ascii="Arial Narrow" w:eastAsia="MS Gothic" w:hAnsi="Arial Narrow"/>
                <w:kern w:val="24"/>
                <w:sz w:val="20"/>
              </w:rPr>
              <w:t xml:space="preserve"> time on treatment</w:t>
            </w:r>
            <w:r w:rsidR="00955933">
              <w:rPr>
                <w:rFonts w:ascii="Arial Narrow" w:eastAsia="MS Gothic" w:hAnsi="Arial Narrow"/>
                <w:kern w:val="24"/>
                <w:sz w:val="20"/>
              </w:rPr>
              <w:t xml:space="preserve"> </w:t>
            </w:r>
            <w:r w:rsidRPr="00B7119C">
              <w:rPr>
                <w:rFonts w:ascii="Arial Narrow" w:eastAsia="MS Gothic" w:hAnsi="Arial Narrow"/>
                <w:kern w:val="24"/>
                <w:sz w:val="20"/>
              </w:rPr>
              <w:t xml:space="preserve">to </w:t>
            </w:r>
            <w:r w:rsidR="000705E7">
              <w:rPr>
                <w:rFonts w:ascii="Arial Narrow" w:eastAsia="MS Gothic" w:hAnsi="Arial Narrow"/>
                <w:kern w:val="24"/>
                <w:sz w:val="20"/>
              </w:rPr>
              <w:t>6 years.</w:t>
            </w:r>
          </w:p>
        </w:tc>
      </w:tr>
      <w:tr w:rsidR="00B86987" w:rsidRPr="000E48C6" w14:paraId="5525126D" w14:textId="77777777" w:rsidTr="00854496">
        <w:trPr>
          <w:cantSplit/>
        </w:trPr>
        <w:tc>
          <w:tcPr>
            <w:tcW w:w="1426" w:type="dxa"/>
          </w:tcPr>
          <w:p w14:paraId="13D3C837"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lastRenderedPageBreak/>
              <w:t>Scripts dispensed</w:t>
            </w:r>
          </w:p>
        </w:tc>
        <w:tc>
          <w:tcPr>
            <w:tcW w:w="1123" w:type="dxa"/>
          </w:tcPr>
          <w:p w14:paraId="3EB4B481" w14:textId="19EE8DC3"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1: </w:t>
            </w:r>
            <w:r w:rsidR="00501C36" w:rsidRPr="00501C36">
              <w:rPr>
                <w:rFonts w:ascii="Arial Narrow" w:eastAsiaTheme="majorEastAsia" w:hAnsi="Arial Narrow" w:cstheme="majorBidi"/>
                <w:bCs/>
                <w:color w:val="000000"/>
                <w:spacing w:val="53"/>
                <w:sz w:val="20"/>
                <w:shd w:val="solid" w:color="000000" w:fill="000000"/>
                <w:fitText w:val="330" w:id="-893684221"/>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1"/>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357DA07D" w14:textId="09C46699"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2: </w:t>
            </w:r>
            <w:r w:rsidR="00501C36" w:rsidRPr="00501C36">
              <w:rPr>
                <w:rFonts w:ascii="Arial Narrow" w:eastAsiaTheme="majorEastAsia" w:hAnsi="Arial Narrow" w:cstheme="majorBidi"/>
                <w:bCs/>
                <w:color w:val="000000"/>
                <w:spacing w:val="53"/>
                <w:sz w:val="20"/>
                <w:shd w:val="solid" w:color="000000" w:fill="000000"/>
                <w:fitText w:val="330" w:id="-893684220"/>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20"/>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2F82BD45" w14:textId="49556C2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3: </w:t>
            </w:r>
            <w:r w:rsidR="00501C36" w:rsidRPr="00501C36">
              <w:rPr>
                <w:rFonts w:ascii="Arial Narrow" w:eastAsiaTheme="majorEastAsia" w:hAnsi="Arial Narrow" w:cstheme="majorBidi"/>
                <w:bCs/>
                <w:color w:val="000000"/>
                <w:spacing w:val="53"/>
                <w:sz w:val="20"/>
                <w:shd w:val="solid" w:color="000000" w:fill="000000"/>
                <w:fitText w:val="330" w:id="-89368421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9"/>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45A3BC15" w14:textId="1B9E1C83"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4: </w:t>
            </w:r>
            <w:r w:rsidR="00501C36" w:rsidRPr="00501C36">
              <w:rPr>
                <w:rFonts w:ascii="Arial Narrow" w:eastAsiaTheme="majorEastAsia" w:hAnsi="Arial Narrow" w:cstheme="majorBidi"/>
                <w:bCs/>
                <w:color w:val="000000"/>
                <w:spacing w:val="53"/>
                <w:sz w:val="20"/>
                <w:shd w:val="solid" w:color="000000" w:fill="000000"/>
                <w:fitText w:val="330" w:id="-893684218"/>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8"/>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35735E6D" w14:textId="7520B2C1"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5: </w:t>
            </w:r>
            <w:r w:rsidR="00501C36" w:rsidRPr="00501C36">
              <w:rPr>
                <w:rFonts w:ascii="Arial Narrow" w:eastAsiaTheme="majorEastAsia" w:hAnsi="Arial Narrow" w:cstheme="majorBidi"/>
                <w:bCs/>
                <w:color w:val="000000"/>
                <w:spacing w:val="53"/>
                <w:sz w:val="20"/>
                <w:shd w:val="solid" w:color="000000" w:fill="000000"/>
                <w:fitText w:val="330" w:id="-893684217"/>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7"/>
                <w14:textFill>
                  <w14:solidFill>
                    <w14:srgbClr w14:val="000000">
                      <w14:alpha w14:val="100000"/>
                    </w14:srgbClr>
                  </w14:solidFill>
                </w14:textFill>
              </w:rPr>
              <w:t>|</w:t>
            </w:r>
            <w:r w:rsidR="007C1B17" w:rsidRPr="003F0AD1">
              <w:rPr>
                <w:rFonts w:ascii="Arial Narrow" w:eastAsiaTheme="majorEastAsia" w:hAnsi="Arial Narrow" w:cstheme="majorBidi"/>
                <w:bCs/>
                <w:sz w:val="20"/>
                <w:vertAlign w:val="superscript"/>
              </w:rPr>
              <w:t>1</w:t>
            </w:r>
          </w:p>
          <w:p w14:paraId="25FA4B8C" w14:textId="649A8E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 xml:space="preserve">Yr 6: </w:t>
            </w:r>
            <w:r w:rsidR="00501C36" w:rsidRPr="00501C36">
              <w:rPr>
                <w:rFonts w:ascii="Arial Narrow" w:eastAsiaTheme="majorEastAsia" w:hAnsi="Arial Narrow" w:cstheme="majorBidi"/>
                <w:bCs/>
                <w:color w:val="000000"/>
                <w:spacing w:val="53"/>
                <w:sz w:val="20"/>
                <w:shd w:val="solid" w:color="000000" w:fill="000000"/>
                <w:fitText w:val="330" w:id="-893684216"/>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16"/>
                <w14:textFill>
                  <w14:solidFill>
                    <w14:srgbClr w14:val="000000">
                      <w14:alpha w14:val="100000"/>
                    </w14:srgbClr>
                  </w14:solidFill>
                </w14:textFill>
              </w:rPr>
              <w:t>|</w:t>
            </w:r>
            <w:r w:rsidR="007C1B17" w:rsidRPr="0009066F">
              <w:rPr>
                <w:rFonts w:ascii="Arial Narrow" w:eastAsiaTheme="majorEastAsia" w:hAnsi="Arial Narrow" w:cstheme="majorBidi"/>
                <w:bCs/>
                <w:sz w:val="20"/>
                <w:vertAlign w:val="superscript"/>
              </w:rPr>
              <w:t>1</w:t>
            </w:r>
          </w:p>
        </w:tc>
        <w:tc>
          <w:tcPr>
            <w:tcW w:w="1477" w:type="dxa"/>
          </w:tcPr>
          <w:p w14:paraId="0E310C6F"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Assumed 92.5% compliance.</w:t>
            </w:r>
          </w:p>
        </w:tc>
        <w:tc>
          <w:tcPr>
            <w:tcW w:w="2632" w:type="dxa"/>
          </w:tcPr>
          <w:p w14:paraId="0AB6B83F"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Arithmetically correct</w:t>
            </w:r>
            <w:r w:rsidRPr="000E48C6">
              <w:rPr>
                <w:rFonts w:ascii="Arial Narrow" w:eastAsiaTheme="majorEastAsia" w:hAnsi="Arial Narrow" w:cstheme="majorBidi"/>
                <w:bCs/>
                <w:sz w:val="20"/>
              </w:rPr>
              <w:t>.</w:t>
            </w:r>
          </w:p>
        </w:tc>
        <w:tc>
          <w:tcPr>
            <w:tcW w:w="2551" w:type="dxa"/>
          </w:tcPr>
          <w:p w14:paraId="647F6FA6" w14:textId="77777777" w:rsidR="00B86987" w:rsidRDefault="00B86987" w:rsidP="00854496">
            <w:pPr>
              <w:widowControl w:val="0"/>
              <w:jc w:val="left"/>
              <w:rPr>
                <w:rFonts w:ascii="Arial Narrow" w:eastAsia="MS Gothic" w:hAnsi="Arial Narrow"/>
                <w:kern w:val="24"/>
                <w:sz w:val="20"/>
                <w:szCs w:val="20"/>
              </w:rPr>
            </w:pPr>
            <w:r w:rsidRPr="00B86987">
              <w:rPr>
                <w:rFonts w:ascii="Arial Narrow" w:eastAsia="MS Gothic" w:hAnsi="Arial Narrow"/>
                <w:kern w:val="24"/>
                <w:sz w:val="20"/>
                <w:szCs w:val="20"/>
              </w:rPr>
              <w:t xml:space="preserve">DUSC considered this was reasonable. </w:t>
            </w:r>
          </w:p>
          <w:p w14:paraId="2215415F" w14:textId="77777777" w:rsidR="00C16B99" w:rsidRDefault="00C16B99" w:rsidP="00854496">
            <w:pPr>
              <w:widowControl w:val="0"/>
              <w:jc w:val="left"/>
              <w:rPr>
                <w:rFonts w:ascii="Arial Narrow" w:eastAsia="MS Gothic" w:hAnsi="Arial Narrow"/>
                <w:kern w:val="24"/>
                <w:sz w:val="20"/>
                <w:lang w:eastAsia="en-GB"/>
              </w:rPr>
            </w:pPr>
          </w:p>
          <w:p w14:paraId="6E5576FD" w14:textId="77777777" w:rsidR="00C16B99" w:rsidRDefault="00C16B99" w:rsidP="00854496">
            <w:pPr>
              <w:widowControl w:val="0"/>
              <w:jc w:val="left"/>
              <w:rPr>
                <w:rFonts w:ascii="Arial Narrow" w:eastAsia="MS Gothic" w:hAnsi="Arial Narrow"/>
                <w:kern w:val="24"/>
                <w:sz w:val="20"/>
                <w:lang w:eastAsia="en-GB"/>
              </w:rPr>
            </w:pPr>
            <w:r>
              <w:rPr>
                <w:rFonts w:ascii="Arial Narrow" w:eastAsia="MS Gothic" w:hAnsi="Arial Narrow"/>
                <w:kern w:val="24"/>
                <w:sz w:val="20"/>
                <w:lang w:eastAsia="en-GB"/>
              </w:rPr>
              <w:t>Scripts dispensed increased in the pre-PBAC response:</w:t>
            </w:r>
          </w:p>
          <w:p w14:paraId="6305208D" w14:textId="56B1983B" w:rsidR="00C16B99" w:rsidRDefault="00C16B99" w:rsidP="00854496">
            <w:pPr>
              <w:widowControl w:val="0"/>
              <w:jc w:val="left"/>
              <w:rPr>
                <w:rFonts w:ascii="Arial Narrow" w:eastAsiaTheme="majorEastAsia" w:hAnsi="Arial Narrow"/>
                <w:sz w:val="20"/>
                <w:lang w:eastAsia="en-GB"/>
              </w:rPr>
            </w:pPr>
            <w:r>
              <w:rPr>
                <w:rFonts w:ascii="Arial Narrow" w:eastAsiaTheme="majorEastAsia" w:hAnsi="Arial Narrow"/>
                <w:sz w:val="20"/>
                <w:lang w:eastAsia="en-GB"/>
              </w:rPr>
              <w:t>Yr 1</w:t>
            </w:r>
            <w:r w:rsidRPr="0009066F">
              <w:rPr>
                <w:rFonts w:ascii="Arial Narrow" w:eastAsiaTheme="majorEastAsia" w:hAnsi="Arial Narrow"/>
                <w:sz w:val="20"/>
                <w:lang w:eastAsia="en-GB"/>
              </w:rPr>
              <w:t xml:space="preserve">: </w:t>
            </w:r>
            <w:r w:rsidR="00501C36" w:rsidRPr="00501C36">
              <w:rPr>
                <w:rFonts w:ascii="Arial Narrow" w:eastAsiaTheme="majorEastAsia" w:hAnsi="Arial Narrow"/>
                <w:color w:val="000000"/>
                <w:spacing w:val="53"/>
                <w:sz w:val="20"/>
                <w:shd w:val="solid" w:color="000000" w:fill="000000"/>
                <w:fitText w:val="330" w:id="-893684215"/>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15"/>
                <w:lang w:eastAsia="en-GB"/>
                <w14:textFill>
                  <w14:solidFill>
                    <w14:srgbClr w14:val="000000">
                      <w14:alpha w14:val="100000"/>
                    </w14:srgbClr>
                  </w14:solidFill>
                </w14:textFill>
              </w:rPr>
              <w:t>|</w:t>
            </w:r>
            <w:r w:rsidR="00D85FC7" w:rsidRPr="0009066F">
              <w:rPr>
                <w:rFonts w:ascii="Arial Narrow" w:eastAsiaTheme="majorEastAsia" w:hAnsi="Arial Narrow"/>
                <w:sz w:val="20"/>
                <w:vertAlign w:val="superscript"/>
                <w:lang w:eastAsia="en-GB"/>
              </w:rPr>
              <w:t>1</w:t>
            </w:r>
          </w:p>
          <w:p w14:paraId="11FF682C" w14:textId="48B3CE82" w:rsidR="00C16B99" w:rsidRDefault="00C16B99" w:rsidP="00854496">
            <w:pPr>
              <w:widowControl w:val="0"/>
              <w:jc w:val="left"/>
              <w:rPr>
                <w:rFonts w:ascii="Arial Narrow" w:eastAsiaTheme="majorEastAsia" w:hAnsi="Arial Narrow"/>
                <w:sz w:val="20"/>
                <w:lang w:eastAsia="en-GB"/>
              </w:rPr>
            </w:pPr>
            <w:r>
              <w:rPr>
                <w:rFonts w:ascii="Arial Narrow" w:eastAsiaTheme="majorEastAsia" w:hAnsi="Arial Narrow"/>
                <w:sz w:val="20"/>
                <w:lang w:eastAsia="en-GB"/>
              </w:rPr>
              <w:t xml:space="preserve">Yr 2: </w:t>
            </w:r>
            <w:r w:rsidR="00501C36" w:rsidRPr="00501C36">
              <w:rPr>
                <w:rFonts w:ascii="Arial Narrow" w:eastAsiaTheme="majorEastAsia" w:hAnsi="Arial Narrow"/>
                <w:color w:val="000000"/>
                <w:spacing w:val="53"/>
                <w:sz w:val="20"/>
                <w:shd w:val="solid" w:color="000000" w:fill="000000"/>
                <w:fitText w:val="330" w:id="-893684214"/>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14"/>
                <w:lang w:eastAsia="en-GB"/>
                <w14:textFill>
                  <w14:solidFill>
                    <w14:srgbClr w14:val="000000">
                      <w14:alpha w14:val="100000"/>
                    </w14:srgbClr>
                  </w14:solidFill>
                </w14:textFill>
              </w:rPr>
              <w:t>|</w:t>
            </w:r>
            <w:r w:rsidR="00D85FC7" w:rsidRPr="0050231F">
              <w:rPr>
                <w:rFonts w:ascii="Arial Narrow" w:eastAsiaTheme="majorEastAsia" w:hAnsi="Arial Narrow"/>
                <w:sz w:val="20"/>
                <w:vertAlign w:val="superscript"/>
                <w:lang w:eastAsia="en-GB"/>
              </w:rPr>
              <w:t>1</w:t>
            </w:r>
          </w:p>
          <w:p w14:paraId="35932C7A" w14:textId="28FCE3CC" w:rsidR="00C16B99" w:rsidRDefault="00C16B99" w:rsidP="00854496">
            <w:pPr>
              <w:widowControl w:val="0"/>
              <w:jc w:val="left"/>
              <w:rPr>
                <w:rFonts w:ascii="Arial Narrow" w:eastAsiaTheme="majorEastAsia" w:hAnsi="Arial Narrow"/>
                <w:sz w:val="20"/>
                <w:lang w:eastAsia="en-GB"/>
              </w:rPr>
            </w:pPr>
            <w:r>
              <w:rPr>
                <w:rFonts w:ascii="Arial Narrow" w:eastAsiaTheme="majorEastAsia" w:hAnsi="Arial Narrow"/>
                <w:sz w:val="20"/>
                <w:lang w:eastAsia="en-GB"/>
              </w:rPr>
              <w:t xml:space="preserve">Yr 3: </w:t>
            </w:r>
            <w:r w:rsidR="00501C36" w:rsidRPr="00501C36">
              <w:rPr>
                <w:rFonts w:ascii="Arial Narrow" w:eastAsiaTheme="majorEastAsia" w:hAnsi="Arial Narrow"/>
                <w:color w:val="000000"/>
                <w:spacing w:val="53"/>
                <w:sz w:val="20"/>
                <w:shd w:val="solid" w:color="000000" w:fill="000000"/>
                <w:fitText w:val="330" w:id="-893684213"/>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13"/>
                <w:lang w:eastAsia="en-GB"/>
                <w14:textFill>
                  <w14:solidFill>
                    <w14:srgbClr w14:val="000000">
                      <w14:alpha w14:val="100000"/>
                    </w14:srgbClr>
                  </w14:solidFill>
                </w14:textFill>
              </w:rPr>
              <w:t>|</w:t>
            </w:r>
            <w:r w:rsidR="00D85FC7" w:rsidRPr="0050231F">
              <w:rPr>
                <w:rFonts w:ascii="Arial Narrow" w:eastAsiaTheme="majorEastAsia" w:hAnsi="Arial Narrow"/>
                <w:sz w:val="20"/>
                <w:vertAlign w:val="superscript"/>
                <w:lang w:eastAsia="en-GB"/>
              </w:rPr>
              <w:t>1</w:t>
            </w:r>
          </w:p>
          <w:p w14:paraId="64FA4510" w14:textId="2D5BECD6" w:rsidR="00C16B99" w:rsidRDefault="00C16B99" w:rsidP="00854496">
            <w:pPr>
              <w:widowControl w:val="0"/>
              <w:jc w:val="left"/>
              <w:rPr>
                <w:rFonts w:ascii="Arial Narrow" w:eastAsiaTheme="majorEastAsia" w:hAnsi="Arial Narrow"/>
                <w:sz w:val="20"/>
                <w:lang w:eastAsia="en-GB"/>
              </w:rPr>
            </w:pPr>
            <w:r>
              <w:rPr>
                <w:rFonts w:ascii="Arial Narrow" w:eastAsiaTheme="majorEastAsia" w:hAnsi="Arial Narrow"/>
                <w:sz w:val="20"/>
                <w:lang w:eastAsia="en-GB"/>
              </w:rPr>
              <w:t xml:space="preserve">Yr 4: </w:t>
            </w:r>
            <w:r w:rsidR="00501C36" w:rsidRPr="00501C36">
              <w:rPr>
                <w:rFonts w:ascii="Arial Narrow" w:eastAsiaTheme="majorEastAsia" w:hAnsi="Arial Narrow"/>
                <w:color w:val="000000"/>
                <w:spacing w:val="53"/>
                <w:sz w:val="20"/>
                <w:shd w:val="solid" w:color="000000" w:fill="000000"/>
                <w:fitText w:val="330" w:id="-893684212"/>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12"/>
                <w:lang w:eastAsia="en-GB"/>
                <w14:textFill>
                  <w14:solidFill>
                    <w14:srgbClr w14:val="000000">
                      <w14:alpha w14:val="100000"/>
                    </w14:srgbClr>
                  </w14:solidFill>
                </w14:textFill>
              </w:rPr>
              <w:t>|</w:t>
            </w:r>
            <w:r w:rsidR="00D85FC7" w:rsidRPr="0050231F">
              <w:rPr>
                <w:rFonts w:ascii="Arial Narrow" w:eastAsiaTheme="majorEastAsia" w:hAnsi="Arial Narrow"/>
                <w:sz w:val="20"/>
                <w:vertAlign w:val="superscript"/>
                <w:lang w:eastAsia="en-GB"/>
              </w:rPr>
              <w:t>1</w:t>
            </w:r>
          </w:p>
          <w:p w14:paraId="1A77FD90" w14:textId="383FF4FA" w:rsidR="00C16B99" w:rsidRDefault="00C16B99" w:rsidP="00854496">
            <w:pPr>
              <w:widowControl w:val="0"/>
              <w:jc w:val="left"/>
              <w:rPr>
                <w:rFonts w:ascii="Arial Narrow" w:eastAsiaTheme="majorEastAsia" w:hAnsi="Arial Narrow"/>
                <w:sz w:val="20"/>
                <w:lang w:eastAsia="en-GB"/>
              </w:rPr>
            </w:pPr>
            <w:r>
              <w:rPr>
                <w:rFonts w:ascii="Arial Narrow" w:eastAsiaTheme="majorEastAsia" w:hAnsi="Arial Narrow"/>
                <w:sz w:val="20"/>
                <w:lang w:eastAsia="en-GB"/>
              </w:rPr>
              <w:t xml:space="preserve">Yr 5: </w:t>
            </w:r>
            <w:r w:rsidR="00501C36" w:rsidRPr="00501C36">
              <w:rPr>
                <w:rFonts w:ascii="Arial Narrow" w:eastAsiaTheme="majorEastAsia" w:hAnsi="Arial Narrow"/>
                <w:color w:val="000000"/>
                <w:spacing w:val="53"/>
                <w:sz w:val="20"/>
                <w:shd w:val="solid" w:color="000000" w:fill="000000"/>
                <w:fitText w:val="330" w:id="-893684211"/>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11"/>
                <w:lang w:eastAsia="en-GB"/>
                <w14:textFill>
                  <w14:solidFill>
                    <w14:srgbClr w14:val="000000">
                      <w14:alpha w14:val="100000"/>
                    </w14:srgbClr>
                  </w14:solidFill>
                </w14:textFill>
              </w:rPr>
              <w:t>|</w:t>
            </w:r>
            <w:r w:rsidR="00D85FC7" w:rsidRPr="0050231F">
              <w:rPr>
                <w:rFonts w:ascii="Arial Narrow" w:eastAsiaTheme="majorEastAsia" w:hAnsi="Arial Narrow"/>
                <w:sz w:val="20"/>
                <w:vertAlign w:val="superscript"/>
                <w:lang w:eastAsia="en-GB"/>
              </w:rPr>
              <w:t>1</w:t>
            </w:r>
          </w:p>
          <w:p w14:paraId="1EC70C06" w14:textId="22BB7B25" w:rsidR="00C16B99" w:rsidRPr="00B86987" w:rsidRDefault="00C16B99" w:rsidP="00854496">
            <w:pPr>
              <w:widowControl w:val="0"/>
              <w:jc w:val="left"/>
              <w:rPr>
                <w:rFonts w:ascii="Arial Narrow" w:eastAsiaTheme="majorEastAsia" w:hAnsi="Arial Narrow" w:cs="Times New Roman"/>
                <w:sz w:val="20"/>
                <w:lang w:eastAsia="en-GB"/>
              </w:rPr>
            </w:pPr>
            <w:r>
              <w:rPr>
                <w:rFonts w:ascii="Arial Narrow" w:eastAsiaTheme="majorEastAsia" w:hAnsi="Arial Narrow"/>
                <w:sz w:val="20"/>
                <w:lang w:eastAsia="en-GB"/>
              </w:rPr>
              <w:t xml:space="preserve">Yr 6: </w:t>
            </w:r>
            <w:r w:rsidR="00501C36" w:rsidRPr="00501C36">
              <w:rPr>
                <w:rFonts w:ascii="Arial Narrow" w:eastAsiaTheme="majorEastAsia" w:hAnsi="Arial Narrow"/>
                <w:color w:val="000000"/>
                <w:spacing w:val="53"/>
                <w:sz w:val="20"/>
                <w:shd w:val="solid" w:color="000000" w:fill="000000"/>
                <w:fitText w:val="330" w:id="-893684210"/>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10"/>
                <w:lang w:eastAsia="en-GB"/>
                <w14:textFill>
                  <w14:solidFill>
                    <w14:srgbClr w14:val="000000">
                      <w14:alpha w14:val="100000"/>
                    </w14:srgbClr>
                  </w14:solidFill>
                </w14:textFill>
              </w:rPr>
              <w:t>|</w:t>
            </w:r>
            <w:r w:rsidR="00D85FC7" w:rsidRPr="0050231F">
              <w:rPr>
                <w:rFonts w:ascii="Arial Narrow" w:eastAsiaTheme="majorEastAsia" w:hAnsi="Arial Narrow"/>
                <w:sz w:val="20"/>
                <w:vertAlign w:val="superscript"/>
                <w:lang w:eastAsia="en-GB"/>
              </w:rPr>
              <w:t>1</w:t>
            </w:r>
          </w:p>
        </w:tc>
      </w:tr>
      <w:tr w:rsidR="00B86987" w:rsidRPr="000E48C6" w14:paraId="732D4BCB" w14:textId="77777777" w:rsidTr="00854496">
        <w:trPr>
          <w:cantSplit/>
        </w:trPr>
        <w:tc>
          <w:tcPr>
            <w:tcW w:w="9209" w:type="dxa"/>
            <w:gridSpan w:val="5"/>
          </w:tcPr>
          <w:p w14:paraId="0A40CE0C" w14:textId="77777777" w:rsidR="00B86987" w:rsidRPr="00B86987" w:rsidRDefault="00B86987" w:rsidP="00854496">
            <w:pPr>
              <w:widowControl w:val="0"/>
              <w:jc w:val="left"/>
              <w:rPr>
                <w:rFonts w:ascii="Arial Narrow" w:eastAsiaTheme="majorEastAsia" w:hAnsi="Arial Narrow" w:cstheme="majorBidi"/>
                <w:b/>
                <w:bCs/>
                <w:sz w:val="20"/>
              </w:rPr>
            </w:pPr>
            <w:r w:rsidRPr="00B86987">
              <w:rPr>
                <w:rFonts w:ascii="Arial Narrow" w:eastAsiaTheme="majorEastAsia" w:hAnsi="Arial Narrow" w:cstheme="majorBidi"/>
                <w:b/>
                <w:bCs/>
                <w:sz w:val="20"/>
              </w:rPr>
              <w:t>Costs</w:t>
            </w:r>
          </w:p>
        </w:tc>
      </w:tr>
      <w:tr w:rsidR="00B86987" w:rsidRPr="000E48C6" w14:paraId="744FB572" w14:textId="77777777" w:rsidTr="00854496">
        <w:trPr>
          <w:cantSplit/>
        </w:trPr>
        <w:tc>
          <w:tcPr>
            <w:tcW w:w="1426" w:type="dxa"/>
          </w:tcPr>
          <w:p w14:paraId="2BC195BF"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Proposed medicine</w:t>
            </w:r>
          </w:p>
        </w:tc>
        <w:tc>
          <w:tcPr>
            <w:tcW w:w="1123" w:type="dxa"/>
          </w:tcPr>
          <w:p w14:paraId="3C9A828D" w14:textId="0D42D090"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w:t>
            </w:r>
            <w:r w:rsidR="00501C36" w:rsidRPr="00501C36">
              <w:rPr>
                <w:rFonts w:ascii="Arial Narrow" w:eastAsiaTheme="majorEastAsia" w:hAnsi="Arial Narrow" w:cstheme="majorBidi"/>
                <w:bCs/>
                <w:color w:val="000000"/>
                <w:spacing w:val="53"/>
                <w:sz w:val="20"/>
                <w:shd w:val="solid" w:color="000000" w:fill="000000"/>
                <w:fitText w:val="330" w:id="-893684209"/>
                <w14:textFill>
                  <w14:solidFill>
                    <w14:srgbClr w14:val="000000">
                      <w14:alpha w14:val="100000"/>
                    </w14:srgbClr>
                  </w14:solidFill>
                </w14:textFill>
              </w:rPr>
              <w:t>|||</w:t>
            </w:r>
            <w:r w:rsidR="00501C36" w:rsidRPr="00501C36">
              <w:rPr>
                <w:rFonts w:ascii="Arial Narrow" w:eastAsiaTheme="majorEastAsia" w:hAnsi="Arial Narrow" w:cstheme="majorBidi"/>
                <w:bCs/>
                <w:color w:val="000000"/>
                <w:spacing w:val="1"/>
                <w:sz w:val="20"/>
                <w:shd w:val="solid" w:color="000000" w:fill="000000"/>
                <w:fitText w:val="330" w:id="-893684209"/>
                <w14:textFill>
                  <w14:solidFill>
                    <w14:srgbClr w14:val="000000">
                      <w14:alpha w14:val="100000"/>
                    </w14:srgbClr>
                  </w14:solidFill>
                </w14:textFill>
              </w:rPr>
              <w:t>|</w:t>
            </w:r>
            <w:r w:rsidRPr="000E48C6">
              <w:rPr>
                <w:rFonts w:ascii="Arial Narrow" w:eastAsiaTheme="majorEastAsia" w:hAnsi="Arial Narrow" w:cstheme="majorBidi"/>
                <w:bCs/>
                <w:sz w:val="20"/>
              </w:rPr>
              <w:t xml:space="preserve"> per 30-day supply</w:t>
            </w:r>
          </w:p>
        </w:tc>
        <w:tc>
          <w:tcPr>
            <w:tcW w:w="1477" w:type="dxa"/>
          </w:tcPr>
          <w:p w14:paraId="0E8F1D9D"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DPMQ (effective)-requested</w:t>
            </w:r>
          </w:p>
        </w:tc>
        <w:tc>
          <w:tcPr>
            <w:tcW w:w="2632" w:type="dxa"/>
          </w:tcPr>
          <w:p w14:paraId="236FC0F7"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This was appropriate.</w:t>
            </w:r>
          </w:p>
        </w:tc>
        <w:tc>
          <w:tcPr>
            <w:tcW w:w="2551" w:type="dxa"/>
          </w:tcPr>
          <w:p w14:paraId="543113A6" w14:textId="77777777" w:rsidR="00B86987" w:rsidRDefault="00B86987" w:rsidP="00854496">
            <w:pPr>
              <w:widowControl w:val="0"/>
              <w:jc w:val="left"/>
              <w:rPr>
                <w:rFonts w:ascii="Arial Narrow" w:eastAsiaTheme="majorEastAsia" w:hAnsi="Arial Narrow" w:cs="Times New Roman"/>
                <w:bCs/>
                <w:sz w:val="20"/>
                <w:lang w:eastAsia="en-GB"/>
              </w:rPr>
            </w:pPr>
            <w:r w:rsidRPr="00B86987">
              <w:rPr>
                <w:rFonts w:ascii="Arial Narrow" w:eastAsiaTheme="majorEastAsia" w:hAnsi="Arial Narrow" w:cs="Times New Roman"/>
                <w:bCs/>
                <w:sz w:val="20"/>
                <w:lang w:eastAsia="en-GB"/>
              </w:rPr>
              <w:t>DUSC agreed that this was appropriate.</w:t>
            </w:r>
          </w:p>
          <w:p w14:paraId="45843B01" w14:textId="77777777" w:rsidR="00517F3F" w:rsidRDefault="00517F3F" w:rsidP="00854496">
            <w:pPr>
              <w:widowControl w:val="0"/>
              <w:jc w:val="left"/>
              <w:rPr>
                <w:rFonts w:ascii="Arial Narrow" w:eastAsiaTheme="majorEastAsia" w:hAnsi="Arial Narrow" w:cs="Times New Roman"/>
                <w:bCs/>
                <w:sz w:val="20"/>
                <w:lang w:eastAsia="en-GB"/>
              </w:rPr>
            </w:pPr>
          </w:p>
          <w:p w14:paraId="114A8EA9" w14:textId="62CEACB4" w:rsidR="00517F3F" w:rsidRPr="00B86987" w:rsidRDefault="00517F3F" w:rsidP="00854496">
            <w:pPr>
              <w:widowControl w:val="0"/>
              <w:jc w:val="left"/>
              <w:rPr>
                <w:rFonts w:ascii="Arial Narrow" w:eastAsiaTheme="majorEastAsia" w:hAnsi="Arial Narrow" w:cs="Times New Roman"/>
                <w:bCs/>
                <w:sz w:val="20"/>
                <w:lang w:eastAsia="en-GB"/>
              </w:rPr>
            </w:pPr>
            <w:r w:rsidRPr="00D46FAC">
              <w:rPr>
                <w:rFonts w:ascii="Arial Narrow" w:eastAsiaTheme="majorEastAsia" w:hAnsi="Arial Narrow"/>
                <w:sz w:val="20"/>
                <w:lang w:eastAsia="en-GB"/>
              </w:rPr>
              <w:t>The pre-PBAC response included a price reduction with an effective AEMP of $</w:t>
            </w:r>
            <w:r w:rsidR="00501C36" w:rsidRPr="00501C36">
              <w:rPr>
                <w:rFonts w:ascii="Arial Narrow" w:eastAsiaTheme="majorEastAsia" w:hAnsi="Arial Narrow"/>
                <w:color w:val="000000"/>
                <w:spacing w:val="48"/>
                <w:sz w:val="20"/>
                <w:shd w:val="solid" w:color="000000" w:fill="000000"/>
                <w:fitText w:val="315" w:id="-893684208"/>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15" w:id="-893684208"/>
                <w:lang w:eastAsia="en-GB"/>
                <w14:textFill>
                  <w14:solidFill>
                    <w14:srgbClr w14:val="000000">
                      <w14:alpha w14:val="100000"/>
                    </w14:srgbClr>
                  </w14:solidFill>
                </w14:textFill>
              </w:rPr>
              <w:t>|</w:t>
            </w:r>
            <w:r w:rsidRPr="00D46FAC">
              <w:rPr>
                <w:rFonts w:ascii="Arial Narrow" w:eastAsiaTheme="majorEastAsia" w:hAnsi="Arial Narrow"/>
                <w:sz w:val="20"/>
                <w:lang w:eastAsia="en-GB"/>
              </w:rPr>
              <w:t xml:space="preserve"> (DPMQ $</w:t>
            </w:r>
            <w:r w:rsidR="00501C36" w:rsidRPr="00501C36">
              <w:rPr>
                <w:rFonts w:ascii="Arial Narrow" w:eastAsiaTheme="majorEastAsia" w:hAnsi="Arial Narrow"/>
                <w:color w:val="000000"/>
                <w:spacing w:val="53"/>
                <w:sz w:val="20"/>
                <w:shd w:val="solid" w:color="000000" w:fill="000000"/>
                <w:fitText w:val="330" w:id="-893684224"/>
                <w:lang w:eastAsia="en-GB"/>
                <w14:textFill>
                  <w14:solidFill>
                    <w14:srgbClr w14:val="000000">
                      <w14:alpha w14:val="100000"/>
                    </w14:srgbClr>
                  </w14:solidFill>
                </w14:textFill>
              </w:rPr>
              <w:t>|||</w:t>
            </w:r>
            <w:r w:rsidR="00501C36" w:rsidRPr="00501C36">
              <w:rPr>
                <w:rFonts w:ascii="Arial Narrow" w:eastAsiaTheme="majorEastAsia" w:hAnsi="Arial Narrow"/>
                <w:color w:val="000000"/>
                <w:spacing w:val="1"/>
                <w:sz w:val="20"/>
                <w:shd w:val="solid" w:color="000000" w:fill="000000"/>
                <w:fitText w:val="330" w:id="-893684224"/>
                <w:lang w:eastAsia="en-GB"/>
                <w14:textFill>
                  <w14:solidFill>
                    <w14:srgbClr w14:val="000000">
                      <w14:alpha w14:val="100000"/>
                    </w14:srgbClr>
                  </w14:solidFill>
                </w14:textFill>
              </w:rPr>
              <w:t>|</w:t>
            </w:r>
            <w:r w:rsidRPr="00D46FAC">
              <w:rPr>
                <w:rFonts w:ascii="Arial Narrow" w:eastAsiaTheme="majorEastAsia" w:hAnsi="Arial Narrow"/>
                <w:sz w:val="20"/>
                <w:lang w:eastAsia="en-GB"/>
              </w:rPr>
              <w:t>).</w:t>
            </w:r>
          </w:p>
        </w:tc>
      </w:tr>
      <w:tr w:rsidR="00B86987" w:rsidRPr="000E48C6" w14:paraId="2AC16B6D" w14:textId="77777777" w:rsidTr="00854496">
        <w:trPr>
          <w:cantSplit/>
        </w:trPr>
        <w:tc>
          <w:tcPr>
            <w:tcW w:w="1426" w:type="dxa"/>
          </w:tcPr>
          <w:p w14:paraId="30F0BE44"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PBS/RPBS split</w:t>
            </w:r>
          </w:p>
        </w:tc>
        <w:tc>
          <w:tcPr>
            <w:tcW w:w="1123" w:type="dxa"/>
          </w:tcPr>
          <w:p w14:paraId="1EC00741"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98.96%/1.04%</w:t>
            </w:r>
          </w:p>
        </w:tc>
        <w:tc>
          <w:tcPr>
            <w:tcW w:w="1477" w:type="dxa"/>
          </w:tcPr>
          <w:p w14:paraId="47E30634"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Based on existing PBS/RPBS Item statistics for Imatinib for Chronic Myeloid Leukaemia from Jan-Dec 2023. Imatinib, being an oral and chronic therapy, was considered</w:t>
            </w:r>
            <w:r w:rsidRPr="000E48C6">
              <w:rPr>
                <w:rFonts w:ascii="Arial Narrow" w:eastAsiaTheme="majorEastAsia" w:hAnsi="Arial Narrow" w:cstheme="majorBidi"/>
                <w:bCs/>
                <w:sz w:val="20"/>
              </w:rPr>
              <w:t xml:space="preserve"> an appropriate PBS/RPBS split proxy for belzutifan in a pre-submission meeting.</w:t>
            </w:r>
          </w:p>
        </w:tc>
        <w:tc>
          <w:tcPr>
            <w:tcW w:w="2632" w:type="dxa"/>
          </w:tcPr>
          <w:p w14:paraId="6B71DE91"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This was appropriate.</w:t>
            </w:r>
          </w:p>
        </w:tc>
        <w:tc>
          <w:tcPr>
            <w:tcW w:w="2551" w:type="dxa"/>
          </w:tcPr>
          <w:p w14:paraId="0A744D2D" w14:textId="77777777" w:rsidR="00B86987" w:rsidRPr="00B86987" w:rsidRDefault="00B86987" w:rsidP="00854496">
            <w:pPr>
              <w:widowControl w:val="0"/>
              <w:jc w:val="left"/>
              <w:rPr>
                <w:rFonts w:ascii="Arial Narrow" w:eastAsiaTheme="majorEastAsia" w:hAnsi="Arial Narrow" w:cs="Times New Roman"/>
                <w:bCs/>
                <w:sz w:val="20"/>
                <w:lang w:eastAsia="en-GB"/>
              </w:rPr>
            </w:pPr>
            <w:r w:rsidRPr="00B86987">
              <w:rPr>
                <w:rFonts w:ascii="Arial Narrow" w:eastAsiaTheme="majorEastAsia" w:hAnsi="Arial Narrow" w:cs="Times New Roman"/>
                <w:bCs/>
                <w:sz w:val="20"/>
                <w:lang w:eastAsia="en-GB"/>
              </w:rPr>
              <w:t>DUSC agreed that this was appropriate.</w:t>
            </w:r>
          </w:p>
        </w:tc>
      </w:tr>
      <w:tr w:rsidR="00B86987" w:rsidRPr="000E48C6" w14:paraId="18C2752D" w14:textId="77777777" w:rsidTr="00854496">
        <w:trPr>
          <w:cantSplit/>
        </w:trPr>
        <w:tc>
          <w:tcPr>
            <w:tcW w:w="1426" w:type="dxa"/>
          </w:tcPr>
          <w:p w14:paraId="5942F14A"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heme="majorBidi"/>
                <w:bCs/>
                <w:sz w:val="20"/>
              </w:rPr>
              <w:t>Patient copayment</w:t>
            </w:r>
          </w:p>
        </w:tc>
        <w:tc>
          <w:tcPr>
            <w:tcW w:w="1123" w:type="dxa"/>
          </w:tcPr>
          <w:p w14:paraId="782F82AA" w14:textId="77777777" w:rsidR="00B86987" w:rsidRPr="000E48C6" w:rsidRDefault="00B86987" w:rsidP="00854496">
            <w:pPr>
              <w:keepLines/>
              <w:widowControl w:val="0"/>
              <w:jc w:val="left"/>
              <w:rPr>
                <w:rFonts w:ascii="Arial Narrow" w:hAnsi="Arial Narrow" w:cs="Times New Roman"/>
                <w:sz w:val="20"/>
                <w:lang w:eastAsia="en-GB"/>
              </w:rPr>
            </w:pPr>
            <w:r w:rsidRPr="000E48C6">
              <w:rPr>
                <w:rFonts w:ascii="Arial Narrow" w:hAnsi="Arial Narrow" w:cs="Times New Roman"/>
                <w:sz w:val="20"/>
                <w:lang w:eastAsia="en-GB"/>
              </w:rPr>
              <w:t>PBS: $15.15</w:t>
            </w:r>
          </w:p>
          <w:p w14:paraId="51B4AB58"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hAnsi="Arial Narrow" w:cs="Times New Roman"/>
                <w:sz w:val="20"/>
                <w:lang w:eastAsia="en-GB"/>
              </w:rPr>
              <w:t>RPBS: $3.35</w:t>
            </w:r>
          </w:p>
        </w:tc>
        <w:tc>
          <w:tcPr>
            <w:tcW w:w="1477" w:type="dxa"/>
          </w:tcPr>
          <w:p w14:paraId="1B1E24EA"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Average co-payment, for both drugs, was based on the most recently available 12 months of imatinib PBS/RPBS services weighted mean co-payment of imatinib.</w:t>
            </w:r>
          </w:p>
        </w:tc>
        <w:tc>
          <w:tcPr>
            <w:tcW w:w="2632" w:type="dxa"/>
          </w:tcPr>
          <w:p w14:paraId="6E7AE598" w14:textId="77777777" w:rsidR="00B86987" w:rsidRPr="000E48C6" w:rsidRDefault="00B86987" w:rsidP="00854496">
            <w:pPr>
              <w:widowControl w:val="0"/>
              <w:jc w:val="left"/>
              <w:rPr>
                <w:rFonts w:ascii="Arial Narrow" w:eastAsiaTheme="majorEastAsia" w:hAnsi="Arial Narrow" w:cstheme="majorBidi"/>
                <w:bCs/>
                <w:sz w:val="20"/>
              </w:rPr>
            </w:pPr>
            <w:r w:rsidRPr="000E48C6">
              <w:rPr>
                <w:rFonts w:ascii="Arial Narrow" w:eastAsiaTheme="majorEastAsia" w:hAnsi="Arial Narrow" w:cs="Times New Roman"/>
                <w:bCs/>
                <w:sz w:val="20"/>
                <w:lang w:eastAsia="en-GB"/>
              </w:rPr>
              <w:t>This was appropriate.</w:t>
            </w:r>
          </w:p>
        </w:tc>
        <w:tc>
          <w:tcPr>
            <w:tcW w:w="2551" w:type="dxa"/>
          </w:tcPr>
          <w:p w14:paraId="7BC6E815" w14:textId="77777777" w:rsidR="00B86987" w:rsidRPr="00B86987" w:rsidRDefault="00B86987" w:rsidP="00854496">
            <w:pPr>
              <w:widowControl w:val="0"/>
              <w:jc w:val="left"/>
              <w:rPr>
                <w:rFonts w:ascii="Arial Narrow" w:eastAsiaTheme="majorEastAsia" w:hAnsi="Arial Narrow" w:cs="Times New Roman"/>
                <w:bCs/>
                <w:sz w:val="20"/>
                <w:lang w:eastAsia="en-GB"/>
              </w:rPr>
            </w:pPr>
            <w:r w:rsidRPr="00B86987">
              <w:rPr>
                <w:rFonts w:ascii="Arial Narrow" w:eastAsiaTheme="majorEastAsia" w:hAnsi="Arial Narrow" w:cs="Times New Roman"/>
                <w:bCs/>
                <w:sz w:val="20"/>
                <w:lang w:eastAsia="en-GB"/>
              </w:rPr>
              <w:t>DUSC agreed that this was appropriate.</w:t>
            </w:r>
          </w:p>
        </w:tc>
      </w:tr>
    </w:tbl>
    <w:p w14:paraId="51395C16" w14:textId="5551B808" w:rsidR="00E16CF9" w:rsidRDefault="00E16CF9" w:rsidP="00E16CF9">
      <w:pPr>
        <w:pStyle w:val="TableFigureFooter"/>
        <w:spacing w:after="0"/>
      </w:pPr>
      <w:r>
        <w:t xml:space="preserve">Source: Table 4.2-5; Table 4.2-7; Table 4.3-2; ‘Attachment 8 (UCM).xlsx’ </w:t>
      </w:r>
      <w:r w:rsidRPr="00D13A3E">
        <w:t xml:space="preserve">of the </w:t>
      </w:r>
      <w:r>
        <w:t xml:space="preserve">submission and </w:t>
      </w:r>
      <w:r w:rsidRPr="0098626F">
        <w:rPr>
          <w:rStyle w:val="CommentReference"/>
          <w:b w:val="0"/>
          <w:bCs/>
          <w:sz w:val="18"/>
          <w:szCs w:val="18"/>
        </w:rPr>
        <w:t>generated during the evaluation.</w:t>
      </w:r>
      <w:r>
        <w:t xml:space="preserve"> </w:t>
      </w:r>
    </w:p>
    <w:p w14:paraId="208EA4DE" w14:textId="77777777" w:rsidR="00E16CF9" w:rsidRDefault="00E16CF9" w:rsidP="00E16CF9">
      <w:pPr>
        <w:pStyle w:val="TableFigureFooter"/>
      </w:pPr>
      <w:r>
        <w:t>Yr=year</w:t>
      </w:r>
    </w:p>
    <w:p w14:paraId="2CAD71C5" w14:textId="77777777" w:rsidR="00CD7A90" w:rsidRDefault="00CD7A90" w:rsidP="00CD7A90">
      <w:pPr>
        <w:pStyle w:val="TableFigureFooter"/>
        <w:rPr>
          <w:bCs/>
          <w:i/>
          <w:iCs/>
          <w:szCs w:val="18"/>
        </w:rPr>
      </w:pPr>
      <w:r w:rsidRPr="0009066F">
        <w:rPr>
          <w:bCs/>
          <w:i/>
          <w:iCs/>
          <w:szCs w:val="18"/>
        </w:rPr>
        <w:t>The redacted values correspond to the following ranges:</w:t>
      </w:r>
    </w:p>
    <w:p w14:paraId="08A20C0D" w14:textId="772A46D7" w:rsidR="007C1B17" w:rsidRPr="007C1B17" w:rsidRDefault="007C1B17" w:rsidP="007C1B17">
      <w:pPr>
        <w:pStyle w:val="TableFigureFooter"/>
        <w:rPr>
          <w:bCs/>
          <w:i/>
          <w:iCs/>
          <w:szCs w:val="18"/>
        </w:rPr>
      </w:pPr>
      <w:r>
        <w:rPr>
          <w:bCs/>
          <w:i/>
          <w:iCs/>
          <w:szCs w:val="18"/>
        </w:rPr>
        <w:t xml:space="preserve">1 </w:t>
      </w:r>
      <w:r w:rsidRPr="007C1B17">
        <w:rPr>
          <w:bCs/>
          <w:i/>
          <w:iCs/>
          <w:szCs w:val="18"/>
        </w:rPr>
        <w:t>500 to &lt; 5,000</w:t>
      </w:r>
    </w:p>
    <w:p w14:paraId="664EDE74" w14:textId="17AFC245" w:rsidR="007C1B17" w:rsidRPr="007C1B17" w:rsidRDefault="007C1B17" w:rsidP="007C1B17">
      <w:pPr>
        <w:pStyle w:val="TableFigureFooter"/>
        <w:rPr>
          <w:bCs/>
          <w:i/>
          <w:iCs/>
          <w:szCs w:val="18"/>
        </w:rPr>
      </w:pPr>
      <w:r>
        <w:rPr>
          <w:bCs/>
          <w:i/>
          <w:iCs/>
          <w:szCs w:val="18"/>
        </w:rPr>
        <w:t>2</w:t>
      </w:r>
      <w:r w:rsidRPr="007C1B17">
        <w:rPr>
          <w:bCs/>
          <w:i/>
          <w:iCs/>
          <w:szCs w:val="18"/>
        </w:rPr>
        <w:t xml:space="preserve"> &lt; 500</w:t>
      </w:r>
    </w:p>
    <w:p w14:paraId="1B578934" w14:textId="4C63DF84" w:rsidR="00E16CF9" w:rsidRPr="00737E9F" w:rsidRDefault="00E16CF9" w:rsidP="00E16CF9">
      <w:pPr>
        <w:pStyle w:val="3-BodyText"/>
      </w:pPr>
      <w:r w:rsidRPr="00737E9F">
        <w:fldChar w:fldCharType="begin" w:fldLock="1"/>
      </w:r>
      <w:r w:rsidRPr="00737E9F">
        <w:instrText xml:space="preserve"> REF _Ref104805295 \h  \* MERGEFORMAT </w:instrText>
      </w:r>
      <w:r w:rsidRPr="00737E9F">
        <w:fldChar w:fldCharType="separate"/>
      </w:r>
      <w:r w:rsidR="00437B51">
        <w:t>Table 21</w:t>
      </w:r>
      <w:r w:rsidRPr="00737E9F">
        <w:fldChar w:fldCharType="end"/>
      </w:r>
      <w:r w:rsidRPr="00737E9F">
        <w:t xml:space="preserve"> su</w:t>
      </w:r>
      <w:r w:rsidRPr="004E000B">
        <w:t xml:space="preserve">mmarises the estimated net financial impact to PBS and MBS of the proposed listing of </w:t>
      </w:r>
      <w:r>
        <w:t xml:space="preserve">belzutifan for patients with VHL-associated RCC, CNS Hb or pNET </w:t>
      </w:r>
      <w:r>
        <w:lastRenderedPageBreak/>
        <w:t>tumours who are not in need of immediate surgery</w:t>
      </w:r>
      <w:r w:rsidRPr="004E000B">
        <w:t xml:space="preserve"> over the first six years of listing</w:t>
      </w:r>
      <w:r>
        <w:t xml:space="preserve"> (assumed to be 2024</w:t>
      </w:r>
      <w:r w:rsidR="00C81C06">
        <w:rPr>
          <w:rFonts w:cstheme="minorHAnsi"/>
        </w:rPr>
        <w:t>−</w:t>
      </w:r>
      <w:r>
        <w:t xml:space="preserve">2029). </w:t>
      </w:r>
      <w:r w:rsidRPr="00737E9F">
        <w:t xml:space="preserve">No cost-offsets were included, </w:t>
      </w:r>
      <w:r w:rsidRPr="00E16CF9">
        <w:rPr>
          <w:iCs/>
        </w:rPr>
        <w:t>which was appropriate</w:t>
      </w:r>
      <w:r w:rsidRPr="00737E9F">
        <w:t xml:space="preserve">, and no changes to healthcare resource use (such as change in tests for VHL or frequency of MRIs or specialist visits) were included, </w:t>
      </w:r>
      <w:r w:rsidRPr="00E16CF9">
        <w:rPr>
          <w:iCs/>
        </w:rPr>
        <w:t>which was reasonable</w:t>
      </w:r>
      <w:r w:rsidRPr="00737E9F">
        <w:t>.</w:t>
      </w:r>
    </w:p>
    <w:p w14:paraId="08375E58" w14:textId="5F4948DA" w:rsidR="00E16CF9" w:rsidRDefault="00E16CF9" w:rsidP="00E16CF9">
      <w:pPr>
        <w:pStyle w:val="Caption"/>
        <w:rPr>
          <w:rStyle w:val="CommentReference"/>
          <w:b/>
          <w:szCs w:val="24"/>
        </w:rPr>
      </w:pPr>
      <w:bookmarkStart w:id="92" w:name="_Ref104805295"/>
      <w:r>
        <w:t xml:space="preserve">Table </w:t>
      </w:r>
      <w:r>
        <w:fldChar w:fldCharType="begin" w:fldLock="1"/>
      </w:r>
      <w:r>
        <w:instrText xml:space="preserve"> SEQ Table \* ARABIC </w:instrText>
      </w:r>
      <w:r>
        <w:fldChar w:fldCharType="separate"/>
      </w:r>
      <w:r w:rsidR="00437B51">
        <w:rPr>
          <w:noProof/>
        </w:rPr>
        <w:t>21</w:t>
      </w:r>
      <w:r>
        <w:rPr>
          <w:noProof/>
        </w:rPr>
        <w:fldChar w:fldCharType="end"/>
      </w:r>
      <w:bookmarkEnd w:id="92"/>
      <w:r>
        <w:t>:</w:t>
      </w:r>
      <w:r w:rsidRPr="00606FBA">
        <w:rPr>
          <w:rStyle w:val="CommentReference"/>
          <w:b/>
          <w:szCs w:val="24"/>
        </w:rPr>
        <w:t xml:space="preserve"> Estimated use and financial implications</w:t>
      </w:r>
    </w:p>
    <w:tbl>
      <w:tblPr>
        <w:tblStyle w:val="ASDTable2"/>
        <w:tblW w:w="5000" w:type="pct"/>
        <w:tblCellMar>
          <w:left w:w="28" w:type="dxa"/>
          <w:right w:w="28" w:type="dxa"/>
        </w:tblCellMar>
        <w:tblLook w:val="04A0" w:firstRow="1" w:lastRow="0" w:firstColumn="1" w:lastColumn="0" w:noHBand="0" w:noVBand="1"/>
        <w:tblCaption w:val="Table 21: Estimated use and financial implications"/>
      </w:tblPr>
      <w:tblGrid>
        <w:gridCol w:w="3538"/>
        <w:gridCol w:w="851"/>
        <w:gridCol w:w="994"/>
        <w:gridCol w:w="849"/>
        <w:gridCol w:w="994"/>
        <w:gridCol w:w="824"/>
        <w:gridCol w:w="967"/>
      </w:tblGrid>
      <w:tr w:rsidR="00E16CF9" w:rsidRPr="004E000B" w14:paraId="49F499C2" w14:textId="77777777" w:rsidTr="005C19E6">
        <w:trPr>
          <w:tblHeader/>
        </w:trPr>
        <w:tc>
          <w:tcPr>
            <w:tcW w:w="1962" w:type="pct"/>
            <w:shd w:val="clear" w:color="auto" w:fill="auto"/>
            <w:vAlign w:val="center"/>
          </w:tcPr>
          <w:p w14:paraId="4F2B1043" w14:textId="77777777" w:rsidR="00E16CF9" w:rsidRPr="004E000B" w:rsidRDefault="00E16CF9" w:rsidP="00854496">
            <w:pPr>
              <w:keepNext/>
              <w:jc w:val="left"/>
              <w:rPr>
                <w:rFonts w:ascii="Arial Narrow" w:eastAsiaTheme="majorEastAsia" w:hAnsi="Arial Narrow" w:cstheme="majorBidi"/>
                <w:bCs/>
                <w:sz w:val="19"/>
                <w:szCs w:val="19"/>
              </w:rPr>
            </w:pPr>
          </w:p>
        </w:tc>
        <w:tc>
          <w:tcPr>
            <w:tcW w:w="472" w:type="pct"/>
            <w:shd w:val="clear" w:color="auto" w:fill="auto"/>
            <w:vAlign w:val="center"/>
          </w:tcPr>
          <w:p w14:paraId="421BC051" w14:textId="77777777" w:rsidR="00E16CF9" w:rsidRPr="004E000B" w:rsidRDefault="00E16CF9" w:rsidP="00854496">
            <w:pPr>
              <w:keepNext/>
              <w:jc w:val="center"/>
              <w:rPr>
                <w:rFonts w:ascii="Arial Narrow" w:eastAsiaTheme="majorEastAsia" w:hAnsi="Arial Narrow" w:cstheme="majorBidi"/>
                <w:b/>
                <w:bCs/>
                <w:sz w:val="19"/>
                <w:szCs w:val="19"/>
              </w:rPr>
            </w:pPr>
            <w:r w:rsidRPr="004E000B">
              <w:rPr>
                <w:rFonts w:ascii="Arial Narrow" w:eastAsiaTheme="majorEastAsia" w:hAnsi="Arial Narrow" w:cstheme="majorBidi"/>
                <w:b/>
                <w:bCs/>
                <w:sz w:val="19"/>
                <w:szCs w:val="19"/>
              </w:rPr>
              <w:t>2024</w:t>
            </w:r>
          </w:p>
        </w:tc>
        <w:tc>
          <w:tcPr>
            <w:tcW w:w="551" w:type="pct"/>
            <w:shd w:val="clear" w:color="auto" w:fill="auto"/>
            <w:vAlign w:val="center"/>
          </w:tcPr>
          <w:p w14:paraId="3DADC56F" w14:textId="77777777" w:rsidR="00E16CF9" w:rsidRPr="004E000B" w:rsidRDefault="00E16CF9" w:rsidP="00854496">
            <w:pPr>
              <w:keepNext/>
              <w:jc w:val="center"/>
              <w:rPr>
                <w:rFonts w:ascii="Arial Narrow" w:eastAsiaTheme="majorEastAsia" w:hAnsi="Arial Narrow" w:cstheme="majorBidi"/>
                <w:b/>
                <w:bCs/>
                <w:sz w:val="19"/>
                <w:szCs w:val="19"/>
              </w:rPr>
            </w:pPr>
            <w:r w:rsidRPr="004E000B">
              <w:rPr>
                <w:rFonts w:ascii="Arial Narrow" w:eastAsiaTheme="majorEastAsia" w:hAnsi="Arial Narrow" w:cstheme="majorBidi"/>
                <w:b/>
                <w:bCs/>
                <w:sz w:val="19"/>
                <w:szCs w:val="19"/>
              </w:rPr>
              <w:t>2025</w:t>
            </w:r>
          </w:p>
        </w:tc>
        <w:tc>
          <w:tcPr>
            <w:tcW w:w="471" w:type="pct"/>
            <w:shd w:val="clear" w:color="auto" w:fill="auto"/>
            <w:vAlign w:val="center"/>
          </w:tcPr>
          <w:p w14:paraId="4E7BFD47" w14:textId="77777777" w:rsidR="00E16CF9" w:rsidRPr="004E000B" w:rsidRDefault="00E16CF9" w:rsidP="00854496">
            <w:pPr>
              <w:keepNext/>
              <w:jc w:val="center"/>
              <w:rPr>
                <w:rFonts w:ascii="Arial Narrow" w:eastAsiaTheme="majorEastAsia" w:hAnsi="Arial Narrow" w:cstheme="majorBidi"/>
                <w:b/>
                <w:bCs/>
                <w:sz w:val="19"/>
                <w:szCs w:val="19"/>
              </w:rPr>
            </w:pPr>
            <w:r w:rsidRPr="004E000B">
              <w:rPr>
                <w:rFonts w:ascii="Arial Narrow" w:eastAsiaTheme="majorEastAsia" w:hAnsi="Arial Narrow" w:cstheme="majorBidi"/>
                <w:b/>
                <w:bCs/>
                <w:sz w:val="19"/>
                <w:szCs w:val="19"/>
              </w:rPr>
              <w:t>2026</w:t>
            </w:r>
          </w:p>
        </w:tc>
        <w:tc>
          <w:tcPr>
            <w:tcW w:w="551" w:type="pct"/>
            <w:shd w:val="clear" w:color="auto" w:fill="auto"/>
            <w:vAlign w:val="center"/>
          </w:tcPr>
          <w:p w14:paraId="05B0715A" w14:textId="77777777" w:rsidR="00E16CF9" w:rsidRPr="004E000B" w:rsidRDefault="00E16CF9" w:rsidP="00854496">
            <w:pPr>
              <w:keepNext/>
              <w:jc w:val="center"/>
              <w:rPr>
                <w:rFonts w:ascii="Arial Narrow" w:eastAsiaTheme="majorEastAsia" w:hAnsi="Arial Narrow" w:cstheme="majorBidi"/>
                <w:b/>
                <w:bCs/>
                <w:sz w:val="19"/>
                <w:szCs w:val="19"/>
              </w:rPr>
            </w:pPr>
            <w:r w:rsidRPr="004E000B">
              <w:rPr>
                <w:rFonts w:ascii="Arial Narrow" w:eastAsiaTheme="majorEastAsia" w:hAnsi="Arial Narrow" w:cstheme="majorBidi"/>
                <w:b/>
                <w:bCs/>
                <w:sz w:val="19"/>
                <w:szCs w:val="19"/>
              </w:rPr>
              <w:t>2027</w:t>
            </w:r>
          </w:p>
        </w:tc>
        <w:tc>
          <w:tcPr>
            <w:tcW w:w="457" w:type="pct"/>
            <w:shd w:val="clear" w:color="auto" w:fill="auto"/>
            <w:vAlign w:val="center"/>
          </w:tcPr>
          <w:p w14:paraId="5CF93407" w14:textId="77777777" w:rsidR="00E16CF9" w:rsidRPr="004E000B" w:rsidRDefault="00E16CF9" w:rsidP="00854496">
            <w:pPr>
              <w:keepNext/>
              <w:jc w:val="center"/>
              <w:rPr>
                <w:rFonts w:ascii="Arial Narrow" w:eastAsiaTheme="majorEastAsia" w:hAnsi="Arial Narrow" w:cstheme="majorBidi"/>
                <w:b/>
                <w:bCs/>
                <w:sz w:val="19"/>
                <w:szCs w:val="19"/>
              </w:rPr>
            </w:pPr>
            <w:r w:rsidRPr="004E000B">
              <w:rPr>
                <w:rFonts w:ascii="Arial Narrow" w:eastAsiaTheme="majorEastAsia" w:hAnsi="Arial Narrow" w:cstheme="majorBidi"/>
                <w:b/>
                <w:bCs/>
                <w:sz w:val="19"/>
                <w:szCs w:val="19"/>
              </w:rPr>
              <w:t>2028</w:t>
            </w:r>
          </w:p>
        </w:tc>
        <w:tc>
          <w:tcPr>
            <w:tcW w:w="535" w:type="pct"/>
            <w:shd w:val="clear" w:color="auto" w:fill="auto"/>
            <w:vAlign w:val="center"/>
          </w:tcPr>
          <w:p w14:paraId="5F4DE26F" w14:textId="77777777" w:rsidR="00E16CF9" w:rsidRPr="004E000B" w:rsidRDefault="00E16CF9" w:rsidP="00854496">
            <w:pPr>
              <w:keepNext/>
              <w:jc w:val="center"/>
              <w:rPr>
                <w:rFonts w:ascii="Arial Narrow" w:eastAsiaTheme="majorEastAsia" w:hAnsi="Arial Narrow" w:cstheme="majorBidi"/>
                <w:b/>
                <w:bCs/>
                <w:sz w:val="19"/>
                <w:szCs w:val="19"/>
              </w:rPr>
            </w:pPr>
            <w:r>
              <w:rPr>
                <w:rFonts w:ascii="Arial Narrow" w:eastAsiaTheme="majorEastAsia" w:hAnsi="Arial Narrow" w:cstheme="majorBidi"/>
                <w:b/>
                <w:bCs/>
                <w:sz w:val="19"/>
                <w:szCs w:val="19"/>
              </w:rPr>
              <w:t>2029</w:t>
            </w:r>
          </w:p>
        </w:tc>
      </w:tr>
      <w:tr w:rsidR="00E16CF9" w:rsidRPr="004E000B" w14:paraId="0245509B" w14:textId="77777777" w:rsidTr="00854496">
        <w:trPr>
          <w:trHeight w:val="331"/>
        </w:trPr>
        <w:tc>
          <w:tcPr>
            <w:tcW w:w="5000" w:type="pct"/>
            <w:gridSpan w:val="7"/>
            <w:shd w:val="clear" w:color="auto" w:fill="auto"/>
            <w:vAlign w:val="center"/>
          </w:tcPr>
          <w:p w14:paraId="47BB94B9" w14:textId="77777777" w:rsidR="00E16CF9" w:rsidRPr="004E000B" w:rsidRDefault="00E16CF9" w:rsidP="00854496">
            <w:pPr>
              <w:keepNext/>
              <w:jc w:val="left"/>
              <w:rPr>
                <w:rFonts w:ascii="Arial Narrow" w:eastAsiaTheme="majorEastAsia" w:hAnsi="Arial Narrow" w:cstheme="majorBidi"/>
                <w:b/>
                <w:bCs/>
                <w:sz w:val="19"/>
                <w:szCs w:val="19"/>
              </w:rPr>
            </w:pPr>
            <w:r w:rsidRPr="004E000B">
              <w:rPr>
                <w:rFonts w:ascii="Arial Narrow" w:eastAsiaTheme="majorEastAsia" w:hAnsi="Arial Narrow" w:cstheme="majorBidi"/>
                <w:b/>
                <w:bCs/>
                <w:sz w:val="19"/>
                <w:szCs w:val="19"/>
              </w:rPr>
              <w:t>Estimation of number of treated patients</w:t>
            </w:r>
          </w:p>
        </w:tc>
      </w:tr>
      <w:tr w:rsidR="00E16CF9" w:rsidRPr="004E000B" w14:paraId="71D62EB3" w14:textId="77777777" w:rsidTr="00854496">
        <w:tc>
          <w:tcPr>
            <w:tcW w:w="5000" w:type="pct"/>
            <w:gridSpan w:val="7"/>
            <w:shd w:val="clear" w:color="auto" w:fill="auto"/>
            <w:vAlign w:val="center"/>
          </w:tcPr>
          <w:p w14:paraId="38320427" w14:textId="77777777" w:rsidR="00E16CF9" w:rsidRPr="004E000B" w:rsidRDefault="00E16CF9" w:rsidP="00854496">
            <w:pPr>
              <w:keepNext/>
              <w:jc w:val="left"/>
              <w:rPr>
                <w:rFonts w:ascii="Arial Narrow" w:eastAsiaTheme="majorEastAsia" w:hAnsi="Arial Narrow" w:cstheme="majorBidi"/>
                <w:bCs/>
                <w:sz w:val="19"/>
                <w:szCs w:val="19"/>
              </w:rPr>
            </w:pPr>
            <w:r w:rsidRPr="004E000B">
              <w:rPr>
                <w:rFonts w:ascii="Arial Narrow" w:eastAsiaTheme="majorEastAsia" w:hAnsi="Arial Narrow" w:cstheme="majorBidi"/>
                <w:b/>
                <w:bCs/>
                <w:sz w:val="19"/>
                <w:szCs w:val="19"/>
              </w:rPr>
              <w:t xml:space="preserve">Initiating </w:t>
            </w:r>
            <w:r>
              <w:rPr>
                <w:rFonts w:ascii="Arial Narrow" w:eastAsiaTheme="majorEastAsia" w:hAnsi="Arial Narrow" w:cstheme="majorBidi"/>
                <w:b/>
                <w:bCs/>
                <w:sz w:val="19"/>
                <w:szCs w:val="19"/>
              </w:rPr>
              <w:t>belzutifan</w:t>
            </w:r>
            <w:r w:rsidRPr="004E000B">
              <w:rPr>
                <w:rFonts w:ascii="Arial Narrow" w:eastAsiaTheme="majorEastAsia" w:hAnsi="Arial Narrow" w:cstheme="majorBidi"/>
                <w:b/>
                <w:bCs/>
                <w:sz w:val="19"/>
                <w:szCs w:val="19"/>
              </w:rPr>
              <w:t xml:space="preserve"> treatment</w:t>
            </w:r>
          </w:p>
        </w:tc>
      </w:tr>
      <w:tr w:rsidR="00E16CF9" w:rsidRPr="004E000B" w14:paraId="33759BC7" w14:textId="77777777" w:rsidTr="005C19E6">
        <w:tc>
          <w:tcPr>
            <w:tcW w:w="1962" w:type="pct"/>
            <w:shd w:val="clear" w:color="auto" w:fill="auto"/>
            <w:vAlign w:val="center"/>
          </w:tcPr>
          <w:p w14:paraId="40CA7466" w14:textId="77777777" w:rsidR="00E16CF9" w:rsidRPr="004E000B" w:rsidRDefault="00E16CF9" w:rsidP="00854496">
            <w:pPr>
              <w:keepNext/>
              <w:jc w:val="left"/>
              <w:rPr>
                <w:rFonts w:ascii="Arial Narrow" w:eastAsiaTheme="majorEastAsia" w:hAnsi="Arial Narrow" w:cstheme="majorBidi"/>
                <w:b/>
                <w:bCs/>
                <w:sz w:val="19"/>
                <w:szCs w:val="19"/>
              </w:rPr>
            </w:pPr>
            <w:r>
              <w:rPr>
                <w:rFonts w:ascii="Arial Narrow" w:eastAsiaTheme="majorEastAsia" w:hAnsi="Arial Narrow" w:cstheme="majorBidi"/>
                <w:b/>
                <w:bCs/>
                <w:sz w:val="19"/>
                <w:szCs w:val="19"/>
              </w:rPr>
              <w:t>Total</w:t>
            </w:r>
            <w:r w:rsidRPr="004E000B">
              <w:rPr>
                <w:rFonts w:ascii="Arial Narrow" w:eastAsiaTheme="majorEastAsia" w:hAnsi="Arial Narrow" w:cstheme="majorBidi"/>
                <w:b/>
                <w:bCs/>
                <w:sz w:val="19"/>
                <w:szCs w:val="19"/>
              </w:rPr>
              <w:t xml:space="preserve"> </w:t>
            </w:r>
            <w:r>
              <w:rPr>
                <w:rFonts w:ascii="Arial Narrow" w:eastAsiaTheme="majorEastAsia" w:hAnsi="Arial Narrow" w:cstheme="majorBidi"/>
                <w:b/>
                <w:bCs/>
                <w:sz w:val="19"/>
                <w:szCs w:val="19"/>
              </w:rPr>
              <w:t>VHL population (minus GF)</w:t>
            </w:r>
          </w:p>
        </w:tc>
        <w:tc>
          <w:tcPr>
            <w:tcW w:w="472" w:type="pct"/>
            <w:shd w:val="clear" w:color="auto" w:fill="auto"/>
          </w:tcPr>
          <w:p w14:paraId="31E05222" w14:textId="490B2E9B" w:rsidR="00E16CF9" w:rsidRPr="0009066F" w:rsidRDefault="00501C36" w:rsidP="00854496">
            <w:pPr>
              <w:pStyle w:val="TableText0"/>
              <w:jc w:val="center"/>
              <w:rPr>
                <w:i/>
                <w:sz w:val="19"/>
                <w:szCs w:val="19"/>
                <w:highlight w:val="lightGray"/>
              </w:rPr>
            </w:pPr>
            <w:r w:rsidRPr="00501C36">
              <w:rPr>
                <w:rFonts w:hint="eastAsia"/>
                <w:color w:val="000000"/>
                <w:w w:val="16"/>
                <w:shd w:val="solid" w:color="000000" w:fill="000000"/>
                <w:fitText w:val="75" w:id="-893684223"/>
                <w14:textFill>
                  <w14:solidFill>
                    <w14:srgbClr w14:val="000000">
                      <w14:alpha w14:val="100000"/>
                    </w14:srgbClr>
                  </w14:solidFill>
                </w14:textFill>
              </w:rPr>
              <w:t xml:space="preserve">　</w:t>
            </w:r>
            <w:r w:rsidRPr="00501C36">
              <w:rPr>
                <w:color w:val="000000"/>
                <w:w w:val="16"/>
                <w:shd w:val="solid" w:color="000000" w:fill="000000"/>
                <w:fitText w:val="75" w:id="-893684223"/>
                <w14:textFill>
                  <w14:solidFill>
                    <w14:srgbClr w14:val="000000">
                      <w14:alpha w14:val="100000"/>
                    </w14:srgbClr>
                  </w14:solidFill>
                </w14:textFill>
              </w:rPr>
              <w:t>|</w:t>
            </w:r>
            <w:r w:rsidRPr="00501C36">
              <w:rPr>
                <w:rFonts w:hint="eastAsia"/>
                <w:color w:val="000000"/>
                <w:spacing w:val="5"/>
                <w:w w:val="16"/>
                <w:shd w:val="solid" w:color="000000" w:fill="000000"/>
                <w:fitText w:val="75" w:id="-893684223"/>
                <w14:textFill>
                  <w14:solidFill>
                    <w14:srgbClr w14:val="000000">
                      <w14:alpha w14:val="100000"/>
                    </w14:srgbClr>
                  </w14:solidFill>
                </w14:textFill>
              </w:rPr>
              <w:t xml:space="preserve">　</w:t>
            </w:r>
            <w:r w:rsidR="007C1B17" w:rsidRPr="0009066F">
              <w:rPr>
                <w:vertAlign w:val="superscript"/>
              </w:rPr>
              <w:t>1</w:t>
            </w:r>
          </w:p>
        </w:tc>
        <w:tc>
          <w:tcPr>
            <w:tcW w:w="551" w:type="pct"/>
            <w:shd w:val="clear" w:color="auto" w:fill="auto"/>
          </w:tcPr>
          <w:p w14:paraId="05BBBD78" w14:textId="4715326A"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4222"/>
                <w14:textFill>
                  <w14:solidFill>
                    <w14:srgbClr w14:val="000000">
                      <w14:alpha w14:val="100000"/>
                    </w14:srgbClr>
                  </w14:solidFill>
                </w14:textFill>
              </w:rPr>
              <w:t xml:space="preserve">　</w:t>
            </w:r>
            <w:r w:rsidRPr="00501C36">
              <w:rPr>
                <w:color w:val="000000"/>
                <w:w w:val="23"/>
                <w:shd w:val="solid" w:color="000000" w:fill="000000"/>
                <w:fitText w:val="105" w:id="-893684222"/>
                <w14:textFill>
                  <w14:solidFill>
                    <w14:srgbClr w14:val="000000">
                      <w14:alpha w14:val="100000"/>
                    </w14:srgbClr>
                  </w14:solidFill>
                </w14:textFill>
              </w:rPr>
              <w:t>|</w:t>
            </w:r>
            <w:r w:rsidRPr="00501C36">
              <w:rPr>
                <w:rFonts w:hint="eastAsia"/>
                <w:color w:val="000000"/>
                <w:spacing w:val="4"/>
                <w:w w:val="23"/>
                <w:shd w:val="solid" w:color="000000" w:fill="000000"/>
                <w:fitText w:val="105" w:id="-893684222"/>
                <w14:textFill>
                  <w14:solidFill>
                    <w14:srgbClr w14:val="000000">
                      <w14:alpha w14:val="100000"/>
                    </w14:srgbClr>
                  </w14:solidFill>
                </w14:textFill>
              </w:rPr>
              <w:t xml:space="preserve">　</w:t>
            </w:r>
            <w:r w:rsidR="007C1B17" w:rsidRPr="003F0AD1">
              <w:rPr>
                <w:vertAlign w:val="superscript"/>
              </w:rPr>
              <w:t>1</w:t>
            </w:r>
          </w:p>
        </w:tc>
        <w:tc>
          <w:tcPr>
            <w:tcW w:w="471" w:type="pct"/>
            <w:shd w:val="clear" w:color="auto" w:fill="auto"/>
          </w:tcPr>
          <w:p w14:paraId="0E605347" w14:textId="38E6E28E"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4221"/>
                <w14:textFill>
                  <w14:solidFill>
                    <w14:srgbClr w14:val="000000">
                      <w14:alpha w14:val="100000"/>
                    </w14:srgbClr>
                  </w14:solidFill>
                </w14:textFill>
              </w:rPr>
              <w:t xml:space="preserve">　</w:t>
            </w:r>
            <w:r w:rsidRPr="00501C36">
              <w:rPr>
                <w:color w:val="000000"/>
                <w:w w:val="23"/>
                <w:shd w:val="solid" w:color="000000" w:fill="000000"/>
                <w:fitText w:val="105" w:id="-893684221"/>
                <w14:textFill>
                  <w14:solidFill>
                    <w14:srgbClr w14:val="000000">
                      <w14:alpha w14:val="100000"/>
                    </w14:srgbClr>
                  </w14:solidFill>
                </w14:textFill>
              </w:rPr>
              <w:t>|</w:t>
            </w:r>
            <w:r w:rsidRPr="00501C36">
              <w:rPr>
                <w:rFonts w:hint="eastAsia"/>
                <w:color w:val="000000"/>
                <w:spacing w:val="4"/>
                <w:w w:val="23"/>
                <w:shd w:val="solid" w:color="000000" w:fill="000000"/>
                <w:fitText w:val="105" w:id="-893684221"/>
                <w14:textFill>
                  <w14:solidFill>
                    <w14:srgbClr w14:val="000000">
                      <w14:alpha w14:val="100000"/>
                    </w14:srgbClr>
                  </w14:solidFill>
                </w14:textFill>
              </w:rPr>
              <w:t xml:space="preserve">　</w:t>
            </w:r>
            <w:r w:rsidR="007C1B17" w:rsidRPr="003F0AD1">
              <w:rPr>
                <w:vertAlign w:val="superscript"/>
              </w:rPr>
              <w:t>1</w:t>
            </w:r>
          </w:p>
        </w:tc>
        <w:tc>
          <w:tcPr>
            <w:tcW w:w="551" w:type="pct"/>
            <w:shd w:val="clear" w:color="auto" w:fill="auto"/>
          </w:tcPr>
          <w:p w14:paraId="2067847D" w14:textId="7F088FB8"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8"/>
                <w14:textFill>
                  <w14:solidFill>
                    <w14:srgbClr w14:val="000000">
                      <w14:alpha w14:val="100000"/>
                    </w14:srgbClr>
                  </w14:solidFill>
                </w14:textFill>
              </w:rPr>
              <w:t xml:space="preserve">　</w:t>
            </w:r>
            <w:r w:rsidRPr="00501C36">
              <w:rPr>
                <w:color w:val="000000"/>
                <w:w w:val="23"/>
                <w:shd w:val="solid" w:color="000000" w:fill="000000"/>
                <w:fitText w:val="105" w:id="-893683968"/>
                <w14:textFill>
                  <w14:solidFill>
                    <w14:srgbClr w14:val="000000">
                      <w14:alpha w14:val="100000"/>
                    </w14:srgbClr>
                  </w14:solidFill>
                </w14:textFill>
              </w:rPr>
              <w:t>|</w:t>
            </w:r>
            <w:r w:rsidRPr="00501C36">
              <w:rPr>
                <w:rFonts w:hint="eastAsia"/>
                <w:color w:val="000000"/>
                <w:spacing w:val="4"/>
                <w:w w:val="23"/>
                <w:shd w:val="solid" w:color="000000" w:fill="000000"/>
                <w:fitText w:val="105" w:id="-893683968"/>
                <w14:textFill>
                  <w14:solidFill>
                    <w14:srgbClr w14:val="000000">
                      <w14:alpha w14:val="100000"/>
                    </w14:srgbClr>
                  </w14:solidFill>
                </w14:textFill>
              </w:rPr>
              <w:t xml:space="preserve">　</w:t>
            </w:r>
            <w:r w:rsidR="007C1B17" w:rsidRPr="003F0AD1">
              <w:rPr>
                <w:vertAlign w:val="superscript"/>
              </w:rPr>
              <w:t>1</w:t>
            </w:r>
          </w:p>
        </w:tc>
        <w:tc>
          <w:tcPr>
            <w:tcW w:w="457" w:type="pct"/>
            <w:shd w:val="clear" w:color="auto" w:fill="auto"/>
          </w:tcPr>
          <w:p w14:paraId="3E528401" w14:textId="3565A779"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7"/>
                <w14:textFill>
                  <w14:solidFill>
                    <w14:srgbClr w14:val="000000">
                      <w14:alpha w14:val="100000"/>
                    </w14:srgbClr>
                  </w14:solidFill>
                </w14:textFill>
              </w:rPr>
              <w:t xml:space="preserve">　</w:t>
            </w:r>
            <w:r w:rsidRPr="00501C36">
              <w:rPr>
                <w:color w:val="000000"/>
                <w:w w:val="23"/>
                <w:shd w:val="solid" w:color="000000" w:fill="000000"/>
                <w:fitText w:val="105" w:id="-893683967"/>
                <w14:textFill>
                  <w14:solidFill>
                    <w14:srgbClr w14:val="000000">
                      <w14:alpha w14:val="100000"/>
                    </w14:srgbClr>
                  </w14:solidFill>
                </w14:textFill>
              </w:rPr>
              <w:t>|</w:t>
            </w:r>
            <w:r w:rsidRPr="00501C36">
              <w:rPr>
                <w:rFonts w:hint="eastAsia"/>
                <w:color w:val="000000"/>
                <w:spacing w:val="4"/>
                <w:w w:val="23"/>
                <w:shd w:val="solid" w:color="000000" w:fill="000000"/>
                <w:fitText w:val="105" w:id="-893683967"/>
                <w14:textFill>
                  <w14:solidFill>
                    <w14:srgbClr w14:val="000000">
                      <w14:alpha w14:val="100000"/>
                    </w14:srgbClr>
                  </w14:solidFill>
                </w14:textFill>
              </w:rPr>
              <w:t xml:space="preserve">　</w:t>
            </w:r>
            <w:r w:rsidR="007C1B17" w:rsidRPr="003F0AD1">
              <w:rPr>
                <w:vertAlign w:val="superscript"/>
              </w:rPr>
              <w:t>1</w:t>
            </w:r>
          </w:p>
        </w:tc>
        <w:tc>
          <w:tcPr>
            <w:tcW w:w="535" w:type="pct"/>
            <w:shd w:val="clear" w:color="auto" w:fill="auto"/>
          </w:tcPr>
          <w:p w14:paraId="7E9EF6F9" w14:textId="74606856"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6"/>
                <w14:textFill>
                  <w14:solidFill>
                    <w14:srgbClr w14:val="000000">
                      <w14:alpha w14:val="100000"/>
                    </w14:srgbClr>
                  </w14:solidFill>
                </w14:textFill>
              </w:rPr>
              <w:t xml:space="preserve">　</w:t>
            </w:r>
            <w:r w:rsidRPr="00501C36">
              <w:rPr>
                <w:color w:val="000000"/>
                <w:w w:val="23"/>
                <w:shd w:val="solid" w:color="000000" w:fill="000000"/>
                <w:fitText w:val="105" w:id="-893683966"/>
                <w14:textFill>
                  <w14:solidFill>
                    <w14:srgbClr w14:val="000000">
                      <w14:alpha w14:val="100000"/>
                    </w14:srgbClr>
                  </w14:solidFill>
                </w14:textFill>
              </w:rPr>
              <w:t>|</w:t>
            </w:r>
            <w:r w:rsidRPr="00501C36">
              <w:rPr>
                <w:rFonts w:hint="eastAsia"/>
                <w:color w:val="000000"/>
                <w:spacing w:val="4"/>
                <w:w w:val="23"/>
                <w:shd w:val="solid" w:color="000000" w:fill="000000"/>
                <w:fitText w:val="105" w:id="-893683966"/>
                <w14:textFill>
                  <w14:solidFill>
                    <w14:srgbClr w14:val="000000">
                      <w14:alpha w14:val="100000"/>
                    </w14:srgbClr>
                  </w14:solidFill>
                </w14:textFill>
              </w:rPr>
              <w:t xml:space="preserve">　</w:t>
            </w:r>
            <w:r w:rsidR="007C1B17" w:rsidRPr="003F0AD1">
              <w:rPr>
                <w:vertAlign w:val="superscript"/>
              </w:rPr>
              <w:t>1</w:t>
            </w:r>
          </w:p>
        </w:tc>
      </w:tr>
      <w:tr w:rsidR="00E16CF9" w:rsidRPr="004E000B" w14:paraId="04111679" w14:textId="77777777" w:rsidTr="005C19E6">
        <w:tc>
          <w:tcPr>
            <w:tcW w:w="1962" w:type="pct"/>
            <w:shd w:val="clear" w:color="auto" w:fill="auto"/>
            <w:vAlign w:val="center"/>
          </w:tcPr>
          <w:p w14:paraId="41E5FBBB" w14:textId="77777777" w:rsidR="00E16CF9" w:rsidRPr="008178F3" w:rsidRDefault="00E16CF9" w:rsidP="00854496">
            <w:pPr>
              <w:keepNext/>
              <w:ind w:left="104"/>
              <w:jc w:val="left"/>
              <w:rPr>
                <w:rFonts w:ascii="Arial Narrow" w:eastAsiaTheme="majorEastAsia" w:hAnsi="Arial Narrow" w:cstheme="majorBidi"/>
                <w:sz w:val="19"/>
                <w:szCs w:val="19"/>
              </w:rPr>
            </w:pPr>
            <w:r>
              <w:rPr>
                <w:rFonts w:ascii="Arial Narrow" w:eastAsiaTheme="majorEastAsia" w:hAnsi="Arial Narrow" w:cstheme="majorBidi"/>
                <w:sz w:val="19"/>
                <w:szCs w:val="19"/>
              </w:rPr>
              <w:t>Off which, new</w:t>
            </w:r>
            <w:r w:rsidRPr="008178F3">
              <w:rPr>
                <w:rFonts w:ascii="Arial Narrow" w:eastAsiaTheme="majorEastAsia" w:hAnsi="Arial Narrow" w:cstheme="majorBidi"/>
                <w:sz w:val="19"/>
                <w:szCs w:val="19"/>
              </w:rPr>
              <w:t xml:space="preserve"> VHL</w:t>
            </w:r>
            <w:r>
              <w:rPr>
                <w:rFonts w:ascii="Arial Narrow" w:eastAsiaTheme="majorEastAsia" w:hAnsi="Arial Narrow" w:cstheme="majorBidi"/>
                <w:sz w:val="19"/>
                <w:szCs w:val="19"/>
              </w:rPr>
              <w:t xml:space="preserve"> onset</w:t>
            </w:r>
          </w:p>
        </w:tc>
        <w:tc>
          <w:tcPr>
            <w:tcW w:w="472" w:type="pct"/>
            <w:shd w:val="clear" w:color="auto" w:fill="auto"/>
          </w:tcPr>
          <w:p w14:paraId="2EF717FD" w14:textId="386C7E5E" w:rsidR="00E16CF9" w:rsidRPr="0009066F" w:rsidRDefault="00501C36" w:rsidP="00854496">
            <w:pPr>
              <w:pStyle w:val="TableText0"/>
              <w:jc w:val="center"/>
              <w:rPr>
                <w:highlight w:val="lightGray"/>
              </w:rPr>
            </w:pP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F87339">
              <w:rPr>
                <w:color w:val="000000"/>
                <w:w w:val="16"/>
                <w:shd w:val="solid" w:color="000000" w:fill="000000"/>
                <w:fitText w:val="75" w:id="-893683965"/>
                <w14:textFill>
                  <w14:solidFill>
                    <w14:srgbClr w14:val="000000">
                      <w14:alpha w14:val="100000"/>
                    </w14:srgbClr>
                  </w14:solidFill>
                </w14:textFill>
              </w:rPr>
              <w:t>|</w:t>
            </w: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00C941DC" w:rsidRPr="0009066F">
              <w:rPr>
                <w:vertAlign w:val="superscript"/>
              </w:rPr>
              <w:t>2</w:t>
            </w:r>
          </w:p>
        </w:tc>
        <w:tc>
          <w:tcPr>
            <w:tcW w:w="551" w:type="pct"/>
            <w:shd w:val="clear" w:color="auto" w:fill="auto"/>
          </w:tcPr>
          <w:p w14:paraId="586023B1" w14:textId="45938D8B"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4"/>
                <w14:textFill>
                  <w14:solidFill>
                    <w14:srgbClr w14:val="000000">
                      <w14:alpha w14:val="100000"/>
                    </w14:srgbClr>
                  </w14:solidFill>
                </w14:textFill>
              </w:rPr>
              <w:t xml:space="preserve">　</w:t>
            </w:r>
            <w:r w:rsidRPr="00501C36">
              <w:rPr>
                <w:color w:val="000000"/>
                <w:w w:val="23"/>
                <w:shd w:val="solid" w:color="000000" w:fill="000000"/>
                <w:fitText w:val="105" w:id="-893683964"/>
                <w14:textFill>
                  <w14:solidFill>
                    <w14:srgbClr w14:val="000000">
                      <w14:alpha w14:val="100000"/>
                    </w14:srgbClr>
                  </w14:solidFill>
                </w14:textFill>
              </w:rPr>
              <w:t>|</w:t>
            </w:r>
            <w:r w:rsidRPr="00501C36">
              <w:rPr>
                <w:rFonts w:hint="eastAsia"/>
                <w:color w:val="000000"/>
                <w:spacing w:val="4"/>
                <w:w w:val="23"/>
                <w:shd w:val="solid" w:color="000000" w:fill="000000"/>
                <w:fitText w:val="105" w:id="-893683964"/>
                <w14:textFill>
                  <w14:solidFill>
                    <w14:srgbClr w14:val="000000">
                      <w14:alpha w14:val="100000"/>
                    </w14:srgbClr>
                  </w14:solidFill>
                </w14:textFill>
              </w:rPr>
              <w:t xml:space="preserve">　</w:t>
            </w:r>
            <w:r w:rsidR="00C941DC" w:rsidRPr="003F0AD1">
              <w:rPr>
                <w:vertAlign w:val="superscript"/>
              </w:rPr>
              <w:t>2</w:t>
            </w:r>
          </w:p>
        </w:tc>
        <w:tc>
          <w:tcPr>
            <w:tcW w:w="471" w:type="pct"/>
            <w:shd w:val="clear" w:color="auto" w:fill="auto"/>
          </w:tcPr>
          <w:p w14:paraId="7B4634E2" w14:textId="6C339F9B"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3"/>
                <w14:textFill>
                  <w14:solidFill>
                    <w14:srgbClr w14:val="000000">
                      <w14:alpha w14:val="100000"/>
                    </w14:srgbClr>
                  </w14:solidFill>
                </w14:textFill>
              </w:rPr>
              <w:t xml:space="preserve">　</w:t>
            </w:r>
            <w:r w:rsidRPr="00501C36">
              <w:rPr>
                <w:color w:val="000000"/>
                <w:w w:val="23"/>
                <w:shd w:val="solid" w:color="000000" w:fill="000000"/>
                <w:fitText w:val="105" w:id="-893683963"/>
                <w14:textFill>
                  <w14:solidFill>
                    <w14:srgbClr w14:val="000000">
                      <w14:alpha w14:val="100000"/>
                    </w14:srgbClr>
                  </w14:solidFill>
                </w14:textFill>
              </w:rPr>
              <w:t>|</w:t>
            </w:r>
            <w:r w:rsidRPr="00501C36">
              <w:rPr>
                <w:rFonts w:hint="eastAsia"/>
                <w:color w:val="000000"/>
                <w:spacing w:val="4"/>
                <w:w w:val="23"/>
                <w:shd w:val="solid" w:color="000000" w:fill="000000"/>
                <w:fitText w:val="105" w:id="-893683963"/>
                <w14:textFill>
                  <w14:solidFill>
                    <w14:srgbClr w14:val="000000">
                      <w14:alpha w14:val="100000"/>
                    </w14:srgbClr>
                  </w14:solidFill>
                </w14:textFill>
              </w:rPr>
              <w:t xml:space="preserve">　</w:t>
            </w:r>
            <w:r w:rsidR="00C941DC" w:rsidRPr="003F0AD1">
              <w:rPr>
                <w:vertAlign w:val="superscript"/>
              </w:rPr>
              <w:t>2</w:t>
            </w:r>
          </w:p>
        </w:tc>
        <w:tc>
          <w:tcPr>
            <w:tcW w:w="551" w:type="pct"/>
            <w:shd w:val="clear" w:color="auto" w:fill="auto"/>
          </w:tcPr>
          <w:p w14:paraId="4F67BE68" w14:textId="57328BD7"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2"/>
                <w14:textFill>
                  <w14:solidFill>
                    <w14:srgbClr w14:val="000000">
                      <w14:alpha w14:val="100000"/>
                    </w14:srgbClr>
                  </w14:solidFill>
                </w14:textFill>
              </w:rPr>
              <w:t xml:space="preserve">　</w:t>
            </w:r>
            <w:r w:rsidRPr="00501C36">
              <w:rPr>
                <w:color w:val="000000"/>
                <w:w w:val="23"/>
                <w:shd w:val="solid" w:color="000000" w:fill="000000"/>
                <w:fitText w:val="105" w:id="-893683962"/>
                <w14:textFill>
                  <w14:solidFill>
                    <w14:srgbClr w14:val="000000">
                      <w14:alpha w14:val="100000"/>
                    </w14:srgbClr>
                  </w14:solidFill>
                </w14:textFill>
              </w:rPr>
              <w:t>|</w:t>
            </w:r>
            <w:r w:rsidRPr="00501C36">
              <w:rPr>
                <w:rFonts w:hint="eastAsia"/>
                <w:color w:val="000000"/>
                <w:spacing w:val="4"/>
                <w:w w:val="23"/>
                <w:shd w:val="solid" w:color="000000" w:fill="000000"/>
                <w:fitText w:val="105" w:id="-893683962"/>
                <w14:textFill>
                  <w14:solidFill>
                    <w14:srgbClr w14:val="000000">
                      <w14:alpha w14:val="100000"/>
                    </w14:srgbClr>
                  </w14:solidFill>
                </w14:textFill>
              </w:rPr>
              <w:t xml:space="preserve">　</w:t>
            </w:r>
            <w:r w:rsidR="00C941DC" w:rsidRPr="003F0AD1">
              <w:rPr>
                <w:vertAlign w:val="superscript"/>
              </w:rPr>
              <w:t>2</w:t>
            </w:r>
          </w:p>
        </w:tc>
        <w:tc>
          <w:tcPr>
            <w:tcW w:w="457" w:type="pct"/>
            <w:shd w:val="clear" w:color="auto" w:fill="auto"/>
          </w:tcPr>
          <w:p w14:paraId="5A0082CE" w14:textId="1713D07D"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1"/>
                <w14:textFill>
                  <w14:solidFill>
                    <w14:srgbClr w14:val="000000">
                      <w14:alpha w14:val="100000"/>
                    </w14:srgbClr>
                  </w14:solidFill>
                </w14:textFill>
              </w:rPr>
              <w:t xml:space="preserve">　</w:t>
            </w:r>
            <w:r w:rsidRPr="00501C36">
              <w:rPr>
                <w:color w:val="000000"/>
                <w:w w:val="23"/>
                <w:shd w:val="solid" w:color="000000" w:fill="000000"/>
                <w:fitText w:val="105" w:id="-893683961"/>
                <w14:textFill>
                  <w14:solidFill>
                    <w14:srgbClr w14:val="000000">
                      <w14:alpha w14:val="100000"/>
                    </w14:srgbClr>
                  </w14:solidFill>
                </w14:textFill>
              </w:rPr>
              <w:t>|</w:t>
            </w:r>
            <w:r w:rsidRPr="00501C36">
              <w:rPr>
                <w:rFonts w:hint="eastAsia"/>
                <w:color w:val="000000"/>
                <w:spacing w:val="4"/>
                <w:w w:val="23"/>
                <w:shd w:val="solid" w:color="000000" w:fill="000000"/>
                <w:fitText w:val="105" w:id="-893683961"/>
                <w14:textFill>
                  <w14:solidFill>
                    <w14:srgbClr w14:val="000000">
                      <w14:alpha w14:val="100000"/>
                    </w14:srgbClr>
                  </w14:solidFill>
                </w14:textFill>
              </w:rPr>
              <w:t xml:space="preserve">　</w:t>
            </w:r>
            <w:r w:rsidR="00C941DC" w:rsidRPr="003F0AD1">
              <w:rPr>
                <w:vertAlign w:val="superscript"/>
              </w:rPr>
              <w:t>2</w:t>
            </w:r>
          </w:p>
        </w:tc>
        <w:tc>
          <w:tcPr>
            <w:tcW w:w="535" w:type="pct"/>
            <w:shd w:val="clear" w:color="auto" w:fill="auto"/>
          </w:tcPr>
          <w:p w14:paraId="60A70FAC" w14:textId="6AEA48D8"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0"/>
                <w14:textFill>
                  <w14:solidFill>
                    <w14:srgbClr w14:val="000000">
                      <w14:alpha w14:val="100000"/>
                    </w14:srgbClr>
                  </w14:solidFill>
                </w14:textFill>
              </w:rPr>
              <w:t xml:space="preserve">　</w:t>
            </w:r>
            <w:r w:rsidRPr="00501C36">
              <w:rPr>
                <w:color w:val="000000"/>
                <w:w w:val="23"/>
                <w:shd w:val="solid" w:color="000000" w:fill="000000"/>
                <w:fitText w:val="105" w:id="-893683960"/>
                <w14:textFill>
                  <w14:solidFill>
                    <w14:srgbClr w14:val="000000">
                      <w14:alpha w14:val="100000"/>
                    </w14:srgbClr>
                  </w14:solidFill>
                </w14:textFill>
              </w:rPr>
              <w:t>|</w:t>
            </w:r>
            <w:r w:rsidRPr="00501C36">
              <w:rPr>
                <w:rFonts w:hint="eastAsia"/>
                <w:color w:val="000000"/>
                <w:spacing w:val="4"/>
                <w:w w:val="23"/>
                <w:shd w:val="solid" w:color="000000" w:fill="000000"/>
                <w:fitText w:val="105" w:id="-893683960"/>
                <w14:textFill>
                  <w14:solidFill>
                    <w14:srgbClr w14:val="000000">
                      <w14:alpha w14:val="100000"/>
                    </w14:srgbClr>
                  </w14:solidFill>
                </w14:textFill>
              </w:rPr>
              <w:t xml:space="preserve">　</w:t>
            </w:r>
            <w:r w:rsidR="00C941DC" w:rsidRPr="003F0AD1">
              <w:rPr>
                <w:vertAlign w:val="superscript"/>
              </w:rPr>
              <w:t>2</w:t>
            </w:r>
          </w:p>
        </w:tc>
      </w:tr>
      <w:tr w:rsidR="00F87339" w:rsidRPr="004E000B" w14:paraId="292EA722" w14:textId="77777777" w:rsidTr="005C19E6">
        <w:tc>
          <w:tcPr>
            <w:tcW w:w="1962" w:type="pct"/>
            <w:shd w:val="clear" w:color="auto" w:fill="auto"/>
            <w:vAlign w:val="center"/>
          </w:tcPr>
          <w:p w14:paraId="1E97E365" w14:textId="77777777" w:rsidR="00F87339" w:rsidRPr="00EB04FD" w:rsidRDefault="00F87339" w:rsidP="00F87339">
            <w:pPr>
              <w:keepNext/>
              <w:ind w:left="104"/>
              <w:jc w:val="left"/>
              <w:rPr>
                <w:rFonts w:ascii="Arial Narrow" w:eastAsiaTheme="majorEastAsia" w:hAnsi="Arial Narrow" w:cstheme="majorBidi"/>
                <w:b/>
                <w:sz w:val="19"/>
                <w:szCs w:val="19"/>
              </w:rPr>
            </w:pPr>
            <w:r w:rsidRPr="00EB04FD">
              <w:rPr>
                <w:rFonts w:ascii="Arial Narrow" w:eastAsiaTheme="majorEastAsia" w:hAnsi="Arial Narrow" w:cstheme="majorBidi"/>
                <w:b/>
                <w:sz w:val="19"/>
                <w:szCs w:val="19"/>
              </w:rPr>
              <w:t>Patients diagnosed with VHL</w:t>
            </w:r>
          </w:p>
        </w:tc>
        <w:tc>
          <w:tcPr>
            <w:tcW w:w="472" w:type="pct"/>
            <w:shd w:val="clear" w:color="auto" w:fill="auto"/>
          </w:tcPr>
          <w:p w14:paraId="43FB5F73" w14:textId="7ED3E675" w:rsidR="00F87339" w:rsidRPr="0009066F" w:rsidRDefault="00F87339" w:rsidP="00F87339">
            <w:pPr>
              <w:pStyle w:val="TableText0"/>
              <w:jc w:val="center"/>
              <w:rPr>
                <w:b/>
                <w:bCs w:val="0"/>
                <w:highlight w:val="lightGray"/>
              </w:rPr>
            </w:pP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F87339">
              <w:rPr>
                <w:color w:val="000000"/>
                <w:w w:val="16"/>
                <w:shd w:val="solid" w:color="000000" w:fill="000000"/>
                <w:fitText w:val="75" w:id="-893683965"/>
                <w14:textFill>
                  <w14:solidFill>
                    <w14:srgbClr w14:val="000000">
                      <w14:alpha w14:val="100000"/>
                    </w14:srgbClr>
                  </w14:solidFill>
                </w14:textFill>
              </w:rPr>
              <w:t>|</w:t>
            </w: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09066F">
              <w:rPr>
                <w:vertAlign w:val="superscript"/>
              </w:rPr>
              <w:t>2</w:t>
            </w:r>
          </w:p>
        </w:tc>
        <w:tc>
          <w:tcPr>
            <w:tcW w:w="551" w:type="pct"/>
            <w:shd w:val="clear" w:color="auto" w:fill="auto"/>
          </w:tcPr>
          <w:p w14:paraId="1D899CBD" w14:textId="19E82EBF" w:rsidR="00F87339" w:rsidRPr="0009066F" w:rsidRDefault="00F87339" w:rsidP="00F87339">
            <w:pPr>
              <w:pStyle w:val="TableText0"/>
              <w:jc w:val="center"/>
              <w:rPr>
                <w:b/>
                <w:bCs w:val="0"/>
                <w:highlight w:val="lightGray"/>
              </w:rPr>
            </w:pPr>
            <w:r w:rsidRPr="0008347D">
              <w:rPr>
                <w:rFonts w:hint="eastAsia"/>
                <w:color w:val="000000"/>
                <w:w w:val="23"/>
                <w:shd w:val="solid" w:color="000000" w:fill="000000"/>
                <w:fitText w:val="105" w:id="-893683964"/>
                <w14:textFill>
                  <w14:solidFill>
                    <w14:srgbClr w14:val="000000">
                      <w14:alpha w14:val="100000"/>
                    </w14:srgbClr>
                  </w14:solidFill>
                </w14:textFill>
              </w:rPr>
              <w:t xml:space="preserve">　</w:t>
            </w:r>
            <w:r w:rsidRPr="0008347D">
              <w:rPr>
                <w:color w:val="000000"/>
                <w:w w:val="23"/>
                <w:shd w:val="solid" w:color="000000" w:fill="000000"/>
                <w:fitText w:val="105" w:id="-893683964"/>
                <w14:textFill>
                  <w14:solidFill>
                    <w14:srgbClr w14:val="000000">
                      <w14:alpha w14:val="100000"/>
                    </w14:srgbClr>
                  </w14:solidFill>
                </w14:textFill>
              </w:rPr>
              <w:t>|</w:t>
            </w:r>
            <w:r w:rsidRPr="0008347D">
              <w:rPr>
                <w:rFonts w:hint="eastAsia"/>
                <w:color w:val="000000"/>
                <w:spacing w:val="3"/>
                <w:w w:val="23"/>
                <w:shd w:val="solid" w:color="000000" w:fill="000000"/>
                <w:fitText w:val="105" w:id="-893683964"/>
                <w14:textFill>
                  <w14:solidFill>
                    <w14:srgbClr w14:val="000000">
                      <w14:alpha w14:val="100000"/>
                    </w14:srgbClr>
                  </w14:solidFill>
                </w14:textFill>
              </w:rPr>
              <w:t xml:space="preserve">　</w:t>
            </w:r>
            <w:r w:rsidRPr="003F0AD1">
              <w:rPr>
                <w:vertAlign w:val="superscript"/>
              </w:rPr>
              <w:t>2</w:t>
            </w:r>
          </w:p>
        </w:tc>
        <w:tc>
          <w:tcPr>
            <w:tcW w:w="471" w:type="pct"/>
            <w:shd w:val="clear" w:color="auto" w:fill="auto"/>
          </w:tcPr>
          <w:p w14:paraId="434ECFF5" w14:textId="3000680D" w:rsidR="00F87339" w:rsidRPr="0009066F" w:rsidRDefault="00F87339" w:rsidP="00F87339">
            <w:pPr>
              <w:pStyle w:val="TableText0"/>
              <w:jc w:val="center"/>
              <w:rPr>
                <w:b/>
                <w:bCs w:val="0"/>
                <w:highlight w:val="lightGray"/>
              </w:rPr>
            </w:pPr>
            <w:r w:rsidRPr="0008347D">
              <w:rPr>
                <w:rFonts w:hint="eastAsia"/>
                <w:color w:val="000000"/>
                <w:w w:val="23"/>
                <w:shd w:val="solid" w:color="000000" w:fill="000000"/>
                <w:fitText w:val="105" w:id="-893683963"/>
                <w14:textFill>
                  <w14:solidFill>
                    <w14:srgbClr w14:val="000000">
                      <w14:alpha w14:val="100000"/>
                    </w14:srgbClr>
                  </w14:solidFill>
                </w14:textFill>
              </w:rPr>
              <w:t xml:space="preserve">　</w:t>
            </w:r>
            <w:r w:rsidRPr="0008347D">
              <w:rPr>
                <w:color w:val="000000"/>
                <w:w w:val="23"/>
                <w:shd w:val="solid" w:color="000000" w:fill="000000"/>
                <w:fitText w:val="105" w:id="-893683963"/>
                <w14:textFill>
                  <w14:solidFill>
                    <w14:srgbClr w14:val="000000">
                      <w14:alpha w14:val="100000"/>
                    </w14:srgbClr>
                  </w14:solidFill>
                </w14:textFill>
              </w:rPr>
              <w:t>|</w:t>
            </w:r>
            <w:r w:rsidRPr="0008347D">
              <w:rPr>
                <w:rFonts w:hint="eastAsia"/>
                <w:color w:val="000000"/>
                <w:spacing w:val="3"/>
                <w:w w:val="23"/>
                <w:shd w:val="solid" w:color="000000" w:fill="000000"/>
                <w:fitText w:val="105" w:id="-893683963"/>
                <w14:textFill>
                  <w14:solidFill>
                    <w14:srgbClr w14:val="000000">
                      <w14:alpha w14:val="100000"/>
                    </w14:srgbClr>
                  </w14:solidFill>
                </w14:textFill>
              </w:rPr>
              <w:t xml:space="preserve">　</w:t>
            </w:r>
            <w:r w:rsidRPr="003F0AD1">
              <w:rPr>
                <w:vertAlign w:val="superscript"/>
              </w:rPr>
              <w:t>2</w:t>
            </w:r>
          </w:p>
        </w:tc>
        <w:tc>
          <w:tcPr>
            <w:tcW w:w="551" w:type="pct"/>
            <w:shd w:val="clear" w:color="auto" w:fill="auto"/>
          </w:tcPr>
          <w:p w14:paraId="418CC6EA" w14:textId="359C78BA" w:rsidR="00F87339" w:rsidRPr="0009066F" w:rsidRDefault="00F87339" w:rsidP="00F87339">
            <w:pPr>
              <w:pStyle w:val="TableText0"/>
              <w:jc w:val="center"/>
              <w:rPr>
                <w:b/>
                <w:bCs w:val="0"/>
                <w:highlight w:val="lightGray"/>
              </w:rPr>
            </w:pPr>
            <w:r w:rsidRPr="0008347D">
              <w:rPr>
                <w:rFonts w:hint="eastAsia"/>
                <w:color w:val="000000"/>
                <w:w w:val="23"/>
                <w:shd w:val="solid" w:color="000000" w:fill="000000"/>
                <w:fitText w:val="105" w:id="-893683962"/>
                <w14:textFill>
                  <w14:solidFill>
                    <w14:srgbClr w14:val="000000">
                      <w14:alpha w14:val="100000"/>
                    </w14:srgbClr>
                  </w14:solidFill>
                </w14:textFill>
              </w:rPr>
              <w:t xml:space="preserve">　</w:t>
            </w:r>
            <w:r w:rsidRPr="0008347D">
              <w:rPr>
                <w:color w:val="000000"/>
                <w:w w:val="23"/>
                <w:shd w:val="solid" w:color="000000" w:fill="000000"/>
                <w:fitText w:val="105" w:id="-893683962"/>
                <w14:textFill>
                  <w14:solidFill>
                    <w14:srgbClr w14:val="000000">
                      <w14:alpha w14:val="100000"/>
                    </w14:srgbClr>
                  </w14:solidFill>
                </w14:textFill>
              </w:rPr>
              <w:t>|</w:t>
            </w:r>
            <w:r w:rsidRPr="0008347D">
              <w:rPr>
                <w:rFonts w:hint="eastAsia"/>
                <w:color w:val="000000"/>
                <w:spacing w:val="3"/>
                <w:w w:val="23"/>
                <w:shd w:val="solid" w:color="000000" w:fill="000000"/>
                <w:fitText w:val="105" w:id="-893683962"/>
                <w14:textFill>
                  <w14:solidFill>
                    <w14:srgbClr w14:val="000000">
                      <w14:alpha w14:val="100000"/>
                    </w14:srgbClr>
                  </w14:solidFill>
                </w14:textFill>
              </w:rPr>
              <w:t xml:space="preserve">　</w:t>
            </w:r>
            <w:r w:rsidRPr="003F0AD1">
              <w:rPr>
                <w:vertAlign w:val="superscript"/>
              </w:rPr>
              <w:t>2</w:t>
            </w:r>
          </w:p>
        </w:tc>
        <w:tc>
          <w:tcPr>
            <w:tcW w:w="457" w:type="pct"/>
            <w:shd w:val="clear" w:color="auto" w:fill="auto"/>
          </w:tcPr>
          <w:p w14:paraId="50B7E1D6" w14:textId="2A28EB4D" w:rsidR="00F87339" w:rsidRPr="0009066F" w:rsidRDefault="00F87339" w:rsidP="00F87339">
            <w:pPr>
              <w:pStyle w:val="TableText0"/>
              <w:jc w:val="center"/>
              <w:rPr>
                <w:b/>
                <w:bCs w:val="0"/>
                <w:highlight w:val="lightGray"/>
              </w:rPr>
            </w:pPr>
            <w:r w:rsidRPr="0008347D">
              <w:rPr>
                <w:rFonts w:hint="eastAsia"/>
                <w:color w:val="000000"/>
                <w:w w:val="23"/>
                <w:shd w:val="solid" w:color="000000" w:fill="000000"/>
                <w:fitText w:val="105" w:id="-893683961"/>
                <w14:textFill>
                  <w14:solidFill>
                    <w14:srgbClr w14:val="000000">
                      <w14:alpha w14:val="100000"/>
                    </w14:srgbClr>
                  </w14:solidFill>
                </w14:textFill>
              </w:rPr>
              <w:t xml:space="preserve">　</w:t>
            </w:r>
            <w:r w:rsidRPr="0008347D">
              <w:rPr>
                <w:color w:val="000000"/>
                <w:w w:val="23"/>
                <w:shd w:val="solid" w:color="000000" w:fill="000000"/>
                <w:fitText w:val="105" w:id="-893683961"/>
                <w14:textFill>
                  <w14:solidFill>
                    <w14:srgbClr w14:val="000000">
                      <w14:alpha w14:val="100000"/>
                    </w14:srgbClr>
                  </w14:solidFill>
                </w14:textFill>
              </w:rPr>
              <w:t>|</w:t>
            </w:r>
            <w:r w:rsidRPr="0008347D">
              <w:rPr>
                <w:rFonts w:hint="eastAsia"/>
                <w:color w:val="000000"/>
                <w:spacing w:val="3"/>
                <w:w w:val="23"/>
                <w:shd w:val="solid" w:color="000000" w:fill="000000"/>
                <w:fitText w:val="105" w:id="-893683961"/>
                <w14:textFill>
                  <w14:solidFill>
                    <w14:srgbClr w14:val="000000">
                      <w14:alpha w14:val="100000"/>
                    </w14:srgbClr>
                  </w14:solidFill>
                </w14:textFill>
              </w:rPr>
              <w:t xml:space="preserve">　</w:t>
            </w:r>
            <w:r w:rsidRPr="003F0AD1">
              <w:rPr>
                <w:vertAlign w:val="superscript"/>
              </w:rPr>
              <w:t>2</w:t>
            </w:r>
          </w:p>
        </w:tc>
        <w:tc>
          <w:tcPr>
            <w:tcW w:w="535" w:type="pct"/>
            <w:shd w:val="clear" w:color="auto" w:fill="auto"/>
          </w:tcPr>
          <w:p w14:paraId="395FBEFC" w14:textId="312972FC" w:rsidR="00F87339" w:rsidRPr="0009066F" w:rsidRDefault="00F87339" w:rsidP="00F87339">
            <w:pPr>
              <w:pStyle w:val="TableText0"/>
              <w:jc w:val="center"/>
              <w:rPr>
                <w:b/>
                <w:bCs w:val="0"/>
                <w:highlight w:val="lightGray"/>
              </w:rPr>
            </w:pPr>
            <w:r w:rsidRPr="0008347D">
              <w:rPr>
                <w:rFonts w:hint="eastAsia"/>
                <w:color w:val="000000"/>
                <w:w w:val="23"/>
                <w:shd w:val="solid" w:color="000000" w:fill="000000"/>
                <w:fitText w:val="105" w:id="-893683960"/>
                <w14:textFill>
                  <w14:solidFill>
                    <w14:srgbClr w14:val="000000">
                      <w14:alpha w14:val="100000"/>
                    </w14:srgbClr>
                  </w14:solidFill>
                </w14:textFill>
              </w:rPr>
              <w:t xml:space="preserve">　</w:t>
            </w:r>
            <w:r w:rsidRPr="0008347D">
              <w:rPr>
                <w:color w:val="000000"/>
                <w:w w:val="23"/>
                <w:shd w:val="solid" w:color="000000" w:fill="000000"/>
                <w:fitText w:val="105" w:id="-893683960"/>
                <w14:textFill>
                  <w14:solidFill>
                    <w14:srgbClr w14:val="000000">
                      <w14:alpha w14:val="100000"/>
                    </w14:srgbClr>
                  </w14:solidFill>
                </w14:textFill>
              </w:rPr>
              <w:t>|</w:t>
            </w:r>
            <w:r w:rsidRPr="0008347D">
              <w:rPr>
                <w:rFonts w:hint="eastAsia"/>
                <w:color w:val="000000"/>
                <w:spacing w:val="3"/>
                <w:w w:val="23"/>
                <w:shd w:val="solid" w:color="000000" w:fill="000000"/>
                <w:fitText w:val="105" w:id="-893683960"/>
                <w14:textFill>
                  <w14:solidFill>
                    <w14:srgbClr w14:val="000000">
                      <w14:alpha w14:val="100000"/>
                    </w14:srgbClr>
                  </w14:solidFill>
                </w14:textFill>
              </w:rPr>
              <w:t xml:space="preserve">　</w:t>
            </w:r>
            <w:r w:rsidRPr="003F0AD1">
              <w:rPr>
                <w:vertAlign w:val="superscript"/>
              </w:rPr>
              <w:t>2</w:t>
            </w:r>
          </w:p>
        </w:tc>
      </w:tr>
      <w:tr w:rsidR="00E16CF9" w:rsidRPr="004E000B" w14:paraId="09D2177E" w14:textId="77777777" w:rsidTr="005C19E6">
        <w:tc>
          <w:tcPr>
            <w:tcW w:w="1962" w:type="pct"/>
            <w:vAlign w:val="center"/>
          </w:tcPr>
          <w:p w14:paraId="7DCE982B" w14:textId="77777777" w:rsidR="00E16CF9" w:rsidRPr="004E000B" w:rsidRDefault="00E16CF9" w:rsidP="00854496">
            <w:pPr>
              <w:keepNext/>
              <w:ind w:left="104"/>
              <w:jc w:val="left"/>
              <w:rPr>
                <w:rFonts w:ascii="Arial Narrow" w:eastAsiaTheme="majorEastAsia" w:hAnsi="Arial Narrow" w:cstheme="majorBidi"/>
                <w:bCs/>
                <w:sz w:val="19"/>
                <w:szCs w:val="19"/>
              </w:rPr>
            </w:pPr>
            <w:r>
              <w:rPr>
                <w:rFonts w:ascii="Arial Narrow" w:eastAsiaTheme="majorEastAsia" w:hAnsi="Arial Narrow" w:cstheme="majorBidi"/>
                <w:bCs/>
                <w:sz w:val="19"/>
                <w:szCs w:val="19"/>
              </w:rPr>
              <w:t>Patients ≥18 years old</w:t>
            </w:r>
            <w:r w:rsidRPr="004E000B">
              <w:rPr>
                <w:rFonts w:ascii="Arial Narrow" w:eastAsiaTheme="majorEastAsia" w:hAnsi="Arial Narrow" w:cstheme="majorBidi"/>
                <w:bCs/>
                <w:sz w:val="19"/>
                <w:szCs w:val="19"/>
              </w:rPr>
              <w:t xml:space="preserve"> </w:t>
            </w:r>
          </w:p>
        </w:tc>
        <w:tc>
          <w:tcPr>
            <w:tcW w:w="472" w:type="pct"/>
          </w:tcPr>
          <w:p w14:paraId="79B09B22" w14:textId="6B41E974" w:rsidR="00E16CF9" w:rsidRPr="0009066F" w:rsidRDefault="00501C36" w:rsidP="00854496">
            <w:pPr>
              <w:pStyle w:val="TableText0"/>
              <w:jc w:val="center"/>
              <w:rPr>
                <w:i/>
                <w:sz w:val="19"/>
                <w:szCs w:val="19"/>
                <w:highlight w:val="lightGray"/>
              </w:rPr>
            </w:pPr>
            <w:r w:rsidRPr="00501C36">
              <w:rPr>
                <w:rFonts w:hint="eastAsia"/>
                <w:color w:val="000000"/>
                <w:w w:val="16"/>
                <w:shd w:val="solid" w:color="000000" w:fill="000000"/>
                <w:fitText w:val="75" w:id="-893683953"/>
                <w14:textFill>
                  <w14:solidFill>
                    <w14:srgbClr w14:val="000000">
                      <w14:alpha w14:val="100000"/>
                    </w14:srgbClr>
                  </w14:solidFill>
                </w14:textFill>
              </w:rPr>
              <w:t xml:space="preserve">　</w:t>
            </w:r>
            <w:r w:rsidRPr="00501C36">
              <w:rPr>
                <w:color w:val="000000"/>
                <w:w w:val="16"/>
                <w:shd w:val="solid" w:color="000000" w:fill="000000"/>
                <w:fitText w:val="75" w:id="-893683953"/>
                <w14:textFill>
                  <w14:solidFill>
                    <w14:srgbClr w14:val="000000">
                      <w14:alpha w14:val="100000"/>
                    </w14:srgbClr>
                  </w14:solidFill>
                </w14:textFill>
              </w:rPr>
              <w:t>|</w:t>
            </w:r>
            <w:r w:rsidRPr="00501C36">
              <w:rPr>
                <w:rFonts w:hint="eastAsia"/>
                <w:color w:val="000000"/>
                <w:spacing w:val="5"/>
                <w:w w:val="16"/>
                <w:shd w:val="solid" w:color="000000" w:fill="000000"/>
                <w:fitText w:val="75" w:id="-893683953"/>
                <w14:textFill>
                  <w14:solidFill>
                    <w14:srgbClr w14:val="000000">
                      <w14:alpha w14:val="100000"/>
                    </w14:srgbClr>
                  </w14:solidFill>
                </w14:textFill>
              </w:rPr>
              <w:t xml:space="preserve">　</w:t>
            </w:r>
            <w:r w:rsidR="00C941DC" w:rsidRPr="003F0AD1">
              <w:rPr>
                <w:vertAlign w:val="superscript"/>
              </w:rPr>
              <w:t>2</w:t>
            </w:r>
          </w:p>
        </w:tc>
        <w:tc>
          <w:tcPr>
            <w:tcW w:w="551" w:type="pct"/>
          </w:tcPr>
          <w:p w14:paraId="073C6EC0" w14:textId="5A25E08B"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52"/>
                <w14:textFill>
                  <w14:solidFill>
                    <w14:srgbClr w14:val="000000">
                      <w14:alpha w14:val="100000"/>
                    </w14:srgbClr>
                  </w14:solidFill>
                </w14:textFill>
              </w:rPr>
              <w:t xml:space="preserve">　</w:t>
            </w:r>
            <w:r w:rsidRPr="00501C36">
              <w:rPr>
                <w:color w:val="000000"/>
                <w:w w:val="23"/>
                <w:shd w:val="solid" w:color="000000" w:fill="000000"/>
                <w:fitText w:val="105" w:id="-893683952"/>
                <w14:textFill>
                  <w14:solidFill>
                    <w14:srgbClr w14:val="000000">
                      <w14:alpha w14:val="100000"/>
                    </w14:srgbClr>
                  </w14:solidFill>
                </w14:textFill>
              </w:rPr>
              <w:t>|</w:t>
            </w:r>
            <w:r w:rsidRPr="00501C36">
              <w:rPr>
                <w:rFonts w:hint="eastAsia"/>
                <w:color w:val="000000"/>
                <w:spacing w:val="4"/>
                <w:w w:val="23"/>
                <w:shd w:val="solid" w:color="000000" w:fill="000000"/>
                <w:fitText w:val="105" w:id="-893683952"/>
                <w14:textFill>
                  <w14:solidFill>
                    <w14:srgbClr w14:val="000000">
                      <w14:alpha w14:val="100000"/>
                    </w14:srgbClr>
                  </w14:solidFill>
                </w14:textFill>
              </w:rPr>
              <w:t xml:space="preserve">　</w:t>
            </w:r>
            <w:r w:rsidR="00C941DC" w:rsidRPr="003F0AD1">
              <w:rPr>
                <w:vertAlign w:val="superscript"/>
              </w:rPr>
              <w:t>2</w:t>
            </w:r>
          </w:p>
        </w:tc>
        <w:tc>
          <w:tcPr>
            <w:tcW w:w="471" w:type="pct"/>
          </w:tcPr>
          <w:p w14:paraId="347177EB" w14:textId="6D93E7FC"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8"/>
                <w14:textFill>
                  <w14:solidFill>
                    <w14:srgbClr w14:val="000000">
                      <w14:alpha w14:val="100000"/>
                    </w14:srgbClr>
                  </w14:solidFill>
                </w14:textFill>
              </w:rPr>
              <w:t xml:space="preserve">　</w:t>
            </w:r>
            <w:r w:rsidRPr="00501C36">
              <w:rPr>
                <w:color w:val="000000"/>
                <w:w w:val="23"/>
                <w:shd w:val="solid" w:color="000000" w:fill="000000"/>
                <w:fitText w:val="105" w:id="-893683968"/>
                <w14:textFill>
                  <w14:solidFill>
                    <w14:srgbClr w14:val="000000">
                      <w14:alpha w14:val="100000"/>
                    </w14:srgbClr>
                  </w14:solidFill>
                </w14:textFill>
              </w:rPr>
              <w:t>|</w:t>
            </w:r>
            <w:r w:rsidRPr="00501C36">
              <w:rPr>
                <w:rFonts w:hint="eastAsia"/>
                <w:color w:val="000000"/>
                <w:spacing w:val="4"/>
                <w:w w:val="23"/>
                <w:shd w:val="solid" w:color="000000" w:fill="000000"/>
                <w:fitText w:val="105" w:id="-893683968"/>
                <w14:textFill>
                  <w14:solidFill>
                    <w14:srgbClr w14:val="000000">
                      <w14:alpha w14:val="100000"/>
                    </w14:srgbClr>
                  </w14:solidFill>
                </w14:textFill>
              </w:rPr>
              <w:t xml:space="preserve">　</w:t>
            </w:r>
            <w:r w:rsidR="00C941DC" w:rsidRPr="003F0AD1">
              <w:rPr>
                <w:vertAlign w:val="superscript"/>
              </w:rPr>
              <w:t>2</w:t>
            </w:r>
          </w:p>
        </w:tc>
        <w:tc>
          <w:tcPr>
            <w:tcW w:w="551" w:type="pct"/>
          </w:tcPr>
          <w:p w14:paraId="001246BF" w14:textId="4A3D9E53"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7"/>
                <w14:textFill>
                  <w14:solidFill>
                    <w14:srgbClr w14:val="000000">
                      <w14:alpha w14:val="100000"/>
                    </w14:srgbClr>
                  </w14:solidFill>
                </w14:textFill>
              </w:rPr>
              <w:t xml:space="preserve">　</w:t>
            </w:r>
            <w:r w:rsidRPr="00501C36">
              <w:rPr>
                <w:color w:val="000000"/>
                <w:w w:val="23"/>
                <w:shd w:val="solid" w:color="000000" w:fill="000000"/>
                <w:fitText w:val="105" w:id="-893683967"/>
                <w14:textFill>
                  <w14:solidFill>
                    <w14:srgbClr w14:val="000000">
                      <w14:alpha w14:val="100000"/>
                    </w14:srgbClr>
                  </w14:solidFill>
                </w14:textFill>
              </w:rPr>
              <w:t>|</w:t>
            </w:r>
            <w:r w:rsidRPr="00501C36">
              <w:rPr>
                <w:rFonts w:hint="eastAsia"/>
                <w:color w:val="000000"/>
                <w:spacing w:val="4"/>
                <w:w w:val="23"/>
                <w:shd w:val="solid" w:color="000000" w:fill="000000"/>
                <w:fitText w:val="105" w:id="-893683967"/>
                <w14:textFill>
                  <w14:solidFill>
                    <w14:srgbClr w14:val="000000">
                      <w14:alpha w14:val="100000"/>
                    </w14:srgbClr>
                  </w14:solidFill>
                </w14:textFill>
              </w:rPr>
              <w:t xml:space="preserve">　</w:t>
            </w:r>
            <w:r w:rsidR="00C941DC" w:rsidRPr="003F0AD1">
              <w:rPr>
                <w:vertAlign w:val="superscript"/>
              </w:rPr>
              <w:t>2</w:t>
            </w:r>
          </w:p>
        </w:tc>
        <w:tc>
          <w:tcPr>
            <w:tcW w:w="457" w:type="pct"/>
          </w:tcPr>
          <w:p w14:paraId="5830AEBB" w14:textId="29D46CC9"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6"/>
                <w14:textFill>
                  <w14:solidFill>
                    <w14:srgbClr w14:val="000000">
                      <w14:alpha w14:val="100000"/>
                    </w14:srgbClr>
                  </w14:solidFill>
                </w14:textFill>
              </w:rPr>
              <w:t xml:space="preserve">　</w:t>
            </w:r>
            <w:r w:rsidRPr="00501C36">
              <w:rPr>
                <w:color w:val="000000"/>
                <w:w w:val="23"/>
                <w:shd w:val="solid" w:color="000000" w:fill="000000"/>
                <w:fitText w:val="105" w:id="-893683966"/>
                <w14:textFill>
                  <w14:solidFill>
                    <w14:srgbClr w14:val="000000">
                      <w14:alpha w14:val="100000"/>
                    </w14:srgbClr>
                  </w14:solidFill>
                </w14:textFill>
              </w:rPr>
              <w:t>|</w:t>
            </w:r>
            <w:r w:rsidRPr="00501C36">
              <w:rPr>
                <w:rFonts w:hint="eastAsia"/>
                <w:color w:val="000000"/>
                <w:spacing w:val="4"/>
                <w:w w:val="23"/>
                <w:shd w:val="solid" w:color="000000" w:fill="000000"/>
                <w:fitText w:val="105" w:id="-893683966"/>
                <w14:textFill>
                  <w14:solidFill>
                    <w14:srgbClr w14:val="000000">
                      <w14:alpha w14:val="100000"/>
                    </w14:srgbClr>
                  </w14:solidFill>
                </w14:textFill>
              </w:rPr>
              <w:t xml:space="preserve">　</w:t>
            </w:r>
            <w:r w:rsidR="00C941DC" w:rsidRPr="003F0AD1">
              <w:rPr>
                <w:vertAlign w:val="superscript"/>
              </w:rPr>
              <w:t>2</w:t>
            </w:r>
          </w:p>
        </w:tc>
        <w:tc>
          <w:tcPr>
            <w:tcW w:w="535" w:type="pct"/>
          </w:tcPr>
          <w:p w14:paraId="5EAC0F41" w14:textId="5FB65010"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5"/>
                <w14:textFill>
                  <w14:solidFill>
                    <w14:srgbClr w14:val="000000">
                      <w14:alpha w14:val="100000"/>
                    </w14:srgbClr>
                  </w14:solidFill>
                </w14:textFill>
              </w:rPr>
              <w:t xml:space="preserve">　</w:t>
            </w:r>
            <w:r w:rsidRPr="00501C36">
              <w:rPr>
                <w:color w:val="000000"/>
                <w:w w:val="23"/>
                <w:shd w:val="solid" w:color="000000" w:fill="000000"/>
                <w:fitText w:val="105" w:id="-893683965"/>
                <w14:textFill>
                  <w14:solidFill>
                    <w14:srgbClr w14:val="000000">
                      <w14:alpha w14:val="100000"/>
                    </w14:srgbClr>
                  </w14:solidFill>
                </w14:textFill>
              </w:rPr>
              <w:t>|</w:t>
            </w:r>
            <w:r w:rsidRPr="00501C36">
              <w:rPr>
                <w:rFonts w:hint="eastAsia"/>
                <w:color w:val="000000"/>
                <w:spacing w:val="4"/>
                <w:w w:val="23"/>
                <w:shd w:val="solid" w:color="000000" w:fill="000000"/>
                <w:fitText w:val="105" w:id="-893683965"/>
                <w14:textFill>
                  <w14:solidFill>
                    <w14:srgbClr w14:val="000000">
                      <w14:alpha w14:val="100000"/>
                    </w14:srgbClr>
                  </w14:solidFill>
                </w14:textFill>
              </w:rPr>
              <w:t xml:space="preserve">　</w:t>
            </w:r>
            <w:r w:rsidR="00C941DC" w:rsidRPr="003F0AD1">
              <w:rPr>
                <w:vertAlign w:val="superscript"/>
              </w:rPr>
              <w:t>2</w:t>
            </w:r>
          </w:p>
        </w:tc>
      </w:tr>
      <w:tr w:rsidR="00E16CF9" w:rsidRPr="004E000B" w14:paraId="14B9B868" w14:textId="77777777" w:rsidTr="005C19E6">
        <w:tc>
          <w:tcPr>
            <w:tcW w:w="1962" w:type="pct"/>
            <w:vAlign w:val="center"/>
          </w:tcPr>
          <w:p w14:paraId="5BDBFF4F" w14:textId="77777777" w:rsidR="00E16CF9" w:rsidRPr="004E000B" w:rsidDel="00E722D4" w:rsidRDefault="00E16CF9" w:rsidP="00854496">
            <w:pPr>
              <w:keepNext/>
              <w:ind w:left="104"/>
              <w:jc w:val="left"/>
              <w:rPr>
                <w:rFonts w:ascii="Arial Narrow" w:eastAsiaTheme="majorEastAsia" w:hAnsi="Arial Narrow" w:cstheme="majorBidi"/>
                <w:bCs/>
                <w:sz w:val="19"/>
                <w:szCs w:val="19"/>
              </w:rPr>
            </w:pPr>
            <w:r w:rsidRPr="004E000B">
              <w:rPr>
                <w:rFonts w:ascii="Arial Narrow" w:eastAsiaTheme="majorEastAsia" w:hAnsi="Arial Narrow" w:cstheme="majorBidi"/>
                <w:bCs/>
                <w:sz w:val="19"/>
                <w:szCs w:val="19"/>
              </w:rPr>
              <w:t xml:space="preserve">Patients </w:t>
            </w:r>
            <w:r>
              <w:rPr>
                <w:rFonts w:ascii="Arial Narrow" w:eastAsiaTheme="majorEastAsia" w:hAnsi="Arial Narrow" w:cstheme="majorBidi"/>
                <w:bCs/>
                <w:sz w:val="19"/>
                <w:szCs w:val="19"/>
              </w:rPr>
              <w:t>with RCC, CNS Hb, pNET</w:t>
            </w:r>
          </w:p>
        </w:tc>
        <w:tc>
          <w:tcPr>
            <w:tcW w:w="472" w:type="pct"/>
          </w:tcPr>
          <w:p w14:paraId="21DE5EEE" w14:textId="15FC4765" w:rsidR="00E16CF9" w:rsidRPr="0009066F" w:rsidRDefault="00501C36" w:rsidP="00854496">
            <w:pPr>
              <w:pStyle w:val="TableText0"/>
              <w:jc w:val="center"/>
              <w:rPr>
                <w:i/>
                <w:sz w:val="19"/>
                <w:szCs w:val="19"/>
                <w:highlight w:val="lightGray"/>
              </w:rPr>
            </w:pPr>
            <w:r w:rsidRPr="00501C36">
              <w:rPr>
                <w:rFonts w:hint="eastAsia"/>
                <w:color w:val="000000"/>
                <w:w w:val="16"/>
                <w:shd w:val="solid" w:color="000000" w:fill="000000"/>
                <w:fitText w:val="75" w:id="-893683964"/>
                <w14:textFill>
                  <w14:solidFill>
                    <w14:srgbClr w14:val="000000">
                      <w14:alpha w14:val="100000"/>
                    </w14:srgbClr>
                  </w14:solidFill>
                </w14:textFill>
              </w:rPr>
              <w:t xml:space="preserve">　</w:t>
            </w:r>
            <w:r w:rsidRPr="00501C36">
              <w:rPr>
                <w:color w:val="000000"/>
                <w:w w:val="16"/>
                <w:shd w:val="solid" w:color="000000" w:fill="000000"/>
                <w:fitText w:val="75" w:id="-893683964"/>
                <w14:textFill>
                  <w14:solidFill>
                    <w14:srgbClr w14:val="000000">
                      <w14:alpha w14:val="100000"/>
                    </w14:srgbClr>
                  </w14:solidFill>
                </w14:textFill>
              </w:rPr>
              <w:t>|</w:t>
            </w:r>
            <w:r w:rsidRPr="00501C36">
              <w:rPr>
                <w:rFonts w:hint="eastAsia"/>
                <w:color w:val="000000"/>
                <w:spacing w:val="5"/>
                <w:w w:val="16"/>
                <w:shd w:val="solid" w:color="000000" w:fill="000000"/>
                <w:fitText w:val="75" w:id="-893683964"/>
                <w14:textFill>
                  <w14:solidFill>
                    <w14:srgbClr w14:val="000000">
                      <w14:alpha w14:val="100000"/>
                    </w14:srgbClr>
                  </w14:solidFill>
                </w14:textFill>
              </w:rPr>
              <w:t xml:space="preserve">　</w:t>
            </w:r>
            <w:r w:rsidR="00C941DC" w:rsidRPr="003F0AD1">
              <w:rPr>
                <w:vertAlign w:val="superscript"/>
              </w:rPr>
              <w:t>2</w:t>
            </w:r>
          </w:p>
        </w:tc>
        <w:tc>
          <w:tcPr>
            <w:tcW w:w="551" w:type="pct"/>
          </w:tcPr>
          <w:p w14:paraId="6AEC9325" w14:textId="7E31BD64"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3"/>
                <w14:textFill>
                  <w14:solidFill>
                    <w14:srgbClr w14:val="000000">
                      <w14:alpha w14:val="100000"/>
                    </w14:srgbClr>
                  </w14:solidFill>
                </w14:textFill>
              </w:rPr>
              <w:t xml:space="preserve">　</w:t>
            </w:r>
            <w:r w:rsidRPr="00501C36">
              <w:rPr>
                <w:color w:val="000000"/>
                <w:w w:val="23"/>
                <w:shd w:val="solid" w:color="000000" w:fill="000000"/>
                <w:fitText w:val="105" w:id="-893683963"/>
                <w14:textFill>
                  <w14:solidFill>
                    <w14:srgbClr w14:val="000000">
                      <w14:alpha w14:val="100000"/>
                    </w14:srgbClr>
                  </w14:solidFill>
                </w14:textFill>
              </w:rPr>
              <w:t>|</w:t>
            </w:r>
            <w:r w:rsidRPr="00501C36">
              <w:rPr>
                <w:rFonts w:hint="eastAsia"/>
                <w:color w:val="000000"/>
                <w:spacing w:val="4"/>
                <w:w w:val="23"/>
                <w:shd w:val="solid" w:color="000000" w:fill="000000"/>
                <w:fitText w:val="105" w:id="-893683963"/>
                <w14:textFill>
                  <w14:solidFill>
                    <w14:srgbClr w14:val="000000">
                      <w14:alpha w14:val="100000"/>
                    </w14:srgbClr>
                  </w14:solidFill>
                </w14:textFill>
              </w:rPr>
              <w:t xml:space="preserve">　</w:t>
            </w:r>
            <w:r w:rsidR="00C941DC" w:rsidRPr="003F0AD1">
              <w:rPr>
                <w:vertAlign w:val="superscript"/>
              </w:rPr>
              <w:t>2</w:t>
            </w:r>
          </w:p>
        </w:tc>
        <w:tc>
          <w:tcPr>
            <w:tcW w:w="471" w:type="pct"/>
          </w:tcPr>
          <w:p w14:paraId="10D5E59C" w14:textId="242369B9"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2"/>
                <w14:textFill>
                  <w14:solidFill>
                    <w14:srgbClr w14:val="000000">
                      <w14:alpha w14:val="100000"/>
                    </w14:srgbClr>
                  </w14:solidFill>
                </w14:textFill>
              </w:rPr>
              <w:t xml:space="preserve">　</w:t>
            </w:r>
            <w:r w:rsidRPr="00501C36">
              <w:rPr>
                <w:color w:val="000000"/>
                <w:w w:val="23"/>
                <w:shd w:val="solid" w:color="000000" w:fill="000000"/>
                <w:fitText w:val="105" w:id="-893683962"/>
                <w14:textFill>
                  <w14:solidFill>
                    <w14:srgbClr w14:val="000000">
                      <w14:alpha w14:val="100000"/>
                    </w14:srgbClr>
                  </w14:solidFill>
                </w14:textFill>
              </w:rPr>
              <w:t>|</w:t>
            </w:r>
            <w:r w:rsidRPr="00501C36">
              <w:rPr>
                <w:rFonts w:hint="eastAsia"/>
                <w:color w:val="000000"/>
                <w:spacing w:val="4"/>
                <w:w w:val="23"/>
                <w:shd w:val="solid" w:color="000000" w:fill="000000"/>
                <w:fitText w:val="105" w:id="-893683962"/>
                <w14:textFill>
                  <w14:solidFill>
                    <w14:srgbClr w14:val="000000">
                      <w14:alpha w14:val="100000"/>
                    </w14:srgbClr>
                  </w14:solidFill>
                </w14:textFill>
              </w:rPr>
              <w:t xml:space="preserve">　</w:t>
            </w:r>
            <w:r w:rsidR="00C941DC" w:rsidRPr="003F0AD1">
              <w:rPr>
                <w:vertAlign w:val="superscript"/>
              </w:rPr>
              <w:t>2</w:t>
            </w:r>
          </w:p>
        </w:tc>
        <w:tc>
          <w:tcPr>
            <w:tcW w:w="551" w:type="pct"/>
          </w:tcPr>
          <w:p w14:paraId="78D64C30" w14:textId="2499AB5D"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1"/>
                <w14:textFill>
                  <w14:solidFill>
                    <w14:srgbClr w14:val="000000">
                      <w14:alpha w14:val="100000"/>
                    </w14:srgbClr>
                  </w14:solidFill>
                </w14:textFill>
              </w:rPr>
              <w:t xml:space="preserve">　</w:t>
            </w:r>
            <w:r w:rsidRPr="00501C36">
              <w:rPr>
                <w:color w:val="000000"/>
                <w:w w:val="23"/>
                <w:shd w:val="solid" w:color="000000" w:fill="000000"/>
                <w:fitText w:val="105" w:id="-893683961"/>
                <w14:textFill>
                  <w14:solidFill>
                    <w14:srgbClr w14:val="000000">
                      <w14:alpha w14:val="100000"/>
                    </w14:srgbClr>
                  </w14:solidFill>
                </w14:textFill>
              </w:rPr>
              <w:t>|</w:t>
            </w:r>
            <w:r w:rsidRPr="00501C36">
              <w:rPr>
                <w:rFonts w:hint="eastAsia"/>
                <w:color w:val="000000"/>
                <w:spacing w:val="4"/>
                <w:w w:val="23"/>
                <w:shd w:val="solid" w:color="000000" w:fill="000000"/>
                <w:fitText w:val="105" w:id="-893683961"/>
                <w14:textFill>
                  <w14:solidFill>
                    <w14:srgbClr w14:val="000000">
                      <w14:alpha w14:val="100000"/>
                    </w14:srgbClr>
                  </w14:solidFill>
                </w14:textFill>
              </w:rPr>
              <w:t xml:space="preserve">　</w:t>
            </w:r>
            <w:r w:rsidR="00C941DC" w:rsidRPr="003F0AD1">
              <w:rPr>
                <w:vertAlign w:val="superscript"/>
              </w:rPr>
              <w:t>2</w:t>
            </w:r>
          </w:p>
        </w:tc>
        <w:tc>
          <w:tcPr>
            <w:tcW w:w="457" w:type="pct"/>
          </w:tcPr>
          <w:p w14:paraId="5035C852" w14:textId="21E3CC5F"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60"/>
                <w14:textFill>
                  <w14:solidFill>
                    <w14:srgbClr w14:val="000000">
                      <w14:alpha w14:val="100000"/>
                    </w14:srgbClr>
                  </w14:solidFill>
                </w14:textFill>
              </w:rPr>
              <w:t xml:space="preserve">　</w:t>
            </w:r>
            <w:r w:rsidRPr="00501C36">
              <w:rPr>
                <w:color w:val="000000"/>
                <w:w w:val="23"/>
                <w:shd w:val="solid" w:color="000000" w:fill="000000"/>
                <w:fitText w:val="105" w:id="-893683960"/>
                <w14:textFill>
                  <w14:solidFill>
                    <w14:srgbClr w14:val="000000">
                      <w14:alpha w14:val="100000"/>
                    </w14:srgbClr>
                  </w14:solidFill>
                </w14:textFill>
              </w:rPr>
              <w:t>|</w:t>
            </w:r>
            <w:r w:rsidRPr="00501C36">
              <w:rPr>
                <w:rFonts w:hint="eastAsia"/>
                <w:color w:val="000000"/>
                <w:spacing w:val="4"/>
                <w:w w:val="23"/>
                <w:shd w:val="solid" w:color="000000" w:fill="000000"/>
                <w:fitText w:val="105" w:id="-893683960"/>
                <w14:textFill>
                  <w14:solidFill>
                    <w14:srgbClr w14:val="000000">
                      <w14:alpha w14:val="100000"/>
                    </w14:srgbClr>
                  </w14:solidFill>
                </w14:textFill>
              </w:rPr>
              <w:t xml:space="preserve">　</w:t>
            </w:r>
            <w:r w:rsidR="00C941DC" w:rsidRPr="003F0AD1">
              <w:rPr>
                <w:vertAlign w:val="superscript"/>
              </w:rPr>
              <w:t>2</w:t>
            </w:r>
          </w:p>
        </w:tc>
        <w:tc>
          <w:tcPr>
            <w:tcW w:w="535" w:type="pct"/>
          </w:tcPr>
          <w:p w14:paraId="3A52C76F" w14:textId="576408A9" w:rsidR="00E16CF9" w:rsidRPr="0009066F" w:rsidRDefault="00501C36" w:rsidP="00854496">
            <w:pPr>
              <w:pStyle w:val="TableText0"/>
              <w:jc w:val="center"/>
              <w:rPr>
                <w:i/>
                <w:sz w:val="19"/>
                <w:szCs w:val="19"/>
                <w:highlight w:val="lightGray"/>
              </w:rPr>
            </w:pPr>
            <w:r w:rsidRPr="00501C36">
              <w:rPr>
                <w:rFonts w:hint="eastAsia"/>
                <w:color w:val="000000"/>
                <w:w w:val="23"/>
                <w:shd w:val="solid" w:color="000000" w:fill="000000"/>
                <w:fitText w:val="105" w:id="-893683959"/>
                <w14:textFill>
                  <w14:solidFill>
                    <w14:srgbClr w14:val="000000">
                      <w14:alpha w14:val="100000"/>
                    </w14:srgbClr>
                  </w14:solidFill>
                </w14:textFill>
              </w:rPr>
              <w:t xml:space="preserve">　</w:t>
            </w:r>
            <w:r w:rsidRPr="00501C36">
              <w:rPr>
                <w:color w:val="000000"/>
                <w:w w:val="23"/>
                <w:shd w:val="solid" w:color="000000" w:fill="000000"/>
                <w:fitText w:val="105" w:id="-893683959"/>
                <w14:textFill>
                  <w14:solidFill>
                    <w14:srgbClr w14:val="000000">
                      <w14:alpha w14:val="100000"/>
                    </w14:srgbClr>
                  </w14:solidFill>
                </w14:textFill>
              </w:rPr>
              <w:t>|</w:t>
            </w:r>
            <w:r w:rsidRPr="00501C36">
              <w:rPr>
                <w:rFonts w:hint="eastAsia"/>
                <w:color w:val="000000"/>
                <w:spacing w:val="4"/>
                <w:w w:val="23"/>
                <w:shd w:val="solid" w:color="000000" w:fill="000000"/>
                <w:fitText w:val="105" w:id="-893683959"/>
                <w14:textFill>
                  <w14:solidFill>
                    <w14:srgbClr w14:val="000000">
                      <w14:alpha w14:val="100000"/>
                    </w14:srgbClr>
                  </w14:solidFill>
                </w14:textFill>
              </w:rPr>
              <w:t xml:space="preserve">　</w:t>
            </w:r>
            <w:r w:rsidR="00C941DC" w:rsidRPr="003F0AD1">
              <w:rPr>
                <w:vertAlign w:val="superscript"/>
              </w:rPr>
              <w:t>2</w:t>
            </w:r>
          </w:p>
        </w:tc>
      </w:tr>
      <w:tr w:rsidR="00E16CF9" w:rsidRPr="004E000B" w14:paraId="51A24012" w14:textId="77777777" w:rsidTr="005C19E6">
        <w:tc>
          <w:tcPr>
            <w:tcW w:w="1962" w:type="pct"/>
            <w:vAlign w:val="center"/>
          </w:tcPr>
          <w:p w14:paraId="33E42168" w14:textId="77777777" w:rsidR="00E16CF9" w:rsidRPr="004E000B" w:rsidRDefault="00E16CF9" w:rsidP="00854496">
            <w:pPr>
              <w:keepNext/>
              <w:ind w:left="104"/>
              <w:jc w:val="left"/>
              <w:rPr>
                <w:rFonts w:ascii="Arial Narrow" w:eastAsiaTheme="majorEastAsia" w:hAnsi="Arial Narrow" w:cstheme="majorBidi"/>
                <w:bCs/>
                <w:sz w:val="19"/>
                <w:szCs w:val="19"/>
              </w:rPr>
            </w:pPr>
            <w:r>
              <w:rPr>
                <w:rFonts w:ascii="Arial Narrow" w:eastAsiaTheme="majorEastAsia" w:hAnsi="Arial Narrow" w:cstheme="majorBidi"/>
                <w:bCs/>
                <w:sz w:val="19"/>
                <w:szCs w:val="19"/>
              </w:rPr>
              <w:t>Patients not requiring immediate surgery</w:t>
            </w:r>
          </w:p>
        </w:tc>
        <w:tc>
          <w:tcPr>
            <w:tcW w:w="472" w:type="pct"/>
          </w:tcPr>
          <w:p w14:paraId="51E27264" w14:textId="736D21CB" w:rsidR="00E16CF9" w:rsidRPr="0009066F" w:rsidRDefault="00501C36" w:rsidP="00854496">
            <w:pPr>
              <w:pStyle w:val="TableText0"/>
              <w:jc w:val="center"/>
              <w:rPr>
                <w:sz w:val="19"/>
                <w:szCs w:val="19"/>
                <w:highlight w:val="lightGray"/>
              </w:rPr>
            </w:pPr>
            <w:r w:rsidRPr="00501C36">
              <w:rPr>
                <w:rFonts w:hint="eastAsia"/>
                <w:color w:val="000000"/>
                <w:w w:val="16"/>
                <w:shd w:val="solid" w:color="000000" w:fill="000000"/>
                <w:fitText w:val="75" w:id="-893683958"/>
                <w14:textFill>
                  <w14:solidFill>
                    <w14:srgbClr w14:val="000000">
                      <w14:alpha w14:val="100000"/>
                    </w14:srgbClr>
                  </w14:solidFill>
                </w14:textFill>
              </w:rPr>
              <w:t xml:space="preserve">　</w:t>
            </w:r>
            <w:r w:rsidRPr="00501C36">
              <w:rPr>
                <w:color w:val="000000"/>
                <w:w w:val="16"/>
                <w:shd w:val="solid" w:color="000000" w:fill="000000"/>
                <w:fitText w:val="75" w:id="-893683958"/>
                <w14:textFill>
                  <w14:solidFill>
                    <w14:srgbClr w14:val="000000">
                      <w14:alpha w14:val="100000"/>
                    </w14:srgbClr>
                  </w14:solidFill>
                </w14:textFill>
              </w:rPr>
              <w:t>|</w:t>
            </w:r>
            <w:r w:rsidRPr="00501C36">
              <w:rPr>
                <w:rFonts w:hint="eastAsia"/>
                <w:color w:val="000000"/>
                <w:spacing w:val="5"/>
                <w:w w:val="16"/>
                <w:shd w:val="solid" w:color="000000" w:fill="000000"/>
                <w:fitText w:val="75" w:id="-893683958"/>
                <w14:textFill>
                  <w14:solidFill>
                    <w14:srgbClr w14:val="000000">
                      <w14:alpha w14:val="100000"/>
                    </w14:srgbClr>
                  </w14:solidFill>
                </w14:textFill>
              </w:rPr>
              <w:t xml:space="preserve">　</w:t>
            </w:r>
            <w:r w:rsidR="00C941DC" w:rsidRPr="003F0AD1">
              <w:rPr>
                <w:vertAlign w:val="superscript"/>
              </w:rPr>
              <w:t>2</w:t>
            </w:r>
          </w:p>
        </w:tc>
        <w:tc>
          <w:tcPr>
            <w:tcW w:w="551" w:type="pct"/>
          </w:tcPr>
          <w:p w14:paraId="774B3779" w14:textId="006E93FC"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7"/>
                <w14:textFill>
                  <w14:solidFill>
                    <w14:srgbClr w14:val="000000">
                      <w14:alpha w14:val="100000"/>
                    </w14:srgbClr>
                  </w14:solidFill>
                </w14:textFill>
              </w:rPr>
              <w:t xml:space="preserve">　</w:t>
            </w:r>
            <w:r w:rsidRPr="00501C36">
              <w:rPr>
                <w:color w:val="000000"/>
                <w:w w:val="23"/>
                <w:shd w:val="solid" w:color="000000" w:fill="000000"/>
                <w:fitText w:val="105" w:id="-893683957"/>
                <w14:textFill>
                  <w14:solidFill>
                    <w14:srgbClr w14:val="000000">
                      <w14:alpha w14:val="100000"/>
                    </w14:srgbClr>
                  </w14:solidFill>
                </w14:textFill>
              </w:rPr>
              <w:t>|</w:t>
            </w:r>
            <w:r w:rsidRPr="00501C36">
              <w:rPr>
                <w:rFonts w:hint="eastAsia"/>
                <w:color w:val="000000"/>
                <w:spacing w:val="4"/>
                <w:w w:val="23"/>
                <w:shd w:val="solid" w:color="000000" w:fill="000000"/>
                <w:fitText w:val="105" w:id="-893683957"/>
                <w14:textFill>
                  <w14:solidFill>
                    <w14:srgbClr w14:val="000000">
                      <w14:alpha w14:val="100000"/>
                    </w14:srgbClr>
                  </w14:solidFill>
                </w14:textFill>
              </w:rPr>
              <w:t xml:space="preserve">　</w:t>
            </w:r>
            <w:r w:rsidR="00C941DC" w:rsidRPr="003F0AD1">
              <w:rPr>
                <w:vertAlign w:val="superscript"/>
              </w:rPr>
              <w:t>2</w:t>
            </w:r>
          </w:p>
        </w:tc>
        <w:tc>
          <w:tcPr>
            <w:tcW w:w="471" w:type="pct"/>
          </w:tcPr>
          <w:p w14:paraId="1B9C124C" w14:textId="129F577E"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6"/>
                <w14:textFill>
                  <w14:solidFill>
                    <w14:srgbClr w14:val="000000">
                      <w14:alpha w14:val="100000"/>
                    </w14:srgbClr>
                  </w14:solidFill>
                </w14:textFill>
              </w:rPr>
              <w:t xml:space="preserve">　</w:t>
            </w:r>
            <w:r w:rsidRPr="00501C36">
              <w:rPr>
                <w:color w:val="000000"/>
                <w:w w:val="23"/>
                <w:shd w:val="solid" w:color="000000" w:fill="000000"/>
                <w:fitText w:val="105" w:id="-893683956"/>
                <w14:textFill>
                  <w14:solidFill>
                    <w14:srgbClr w14:val="000000">
                      <w14:alpha w14:val="100000"/>
                    </w14:srgbClr>
                  </w14:solidFill>
                </w14:textFill>
              </w:rPr>
              <w:t>|</w:t>
            </w:r>
            <w:r w:rsidRPr="00501C36">
              <w:rPr>
                <w:rFonts w:hint="eastAsia"/>
                <w:color w:val="000000"/>
                <w:spacing w:val="4"/>
                <w:w w:val="23"/>
                <w:shd w:val="solid" w:color="000000" w:fill="000000"/>
                <w:fitText w:val="105" w:id="-893683956"/>
                <w14:textFill>
                  <w14:solidFill>
                    <w14:srgbClr w14:val="000000">
                      <w14:alpha w14:val="100000"/>
                    </w14:srgbClr>
                  </w14:solidFill>
                </w14:textFill>
              </w:rPr>
              <w:t xml:space="preserve">　</w:t>
            </w:r>
            <w:r w:rsidR="00C941DC" w:rsidRPr="003F0AD1">
              <w:rPr>
                <w:vertAlign w:val="superscript"/>
              </w:rPr>
              <w:t>2</w:t>
            </w:r>
          </w:p>
        </w:tc>
        <w:tc>
          <w:tcPr>
            <w:tcW w:w="551" w:type="pct"/>
          </w:tcPr>
          <w:p w14:paraId="4D76B278" w14:textId="139C9E5B"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5"/>
                <w14:textFill>
                  <w14:solidFill>
                    <w14:srgbClr w14:val="000000">
                      <w14:alpha w14:val="100000"/>
                    </w14:srgbClr>
                  </w14:solidFill>
                </w14:textFill>
              </w:rPr>
              <w:t xml:space="preserve">　</w:t>
            </w:r>
            <w:r w:rsidRPr="00501C36">
              <w:rPr>
                <w:color w:val="000000"/>
                <w:w w:val="23"/>
                <w:shd w:val="solid" w:color="000000" w:fill="000000"/>
                <w:fitText w:val="105" w:id="-893683955"/>
                <w14:textFill>
                  <w14:solidFill>
                    <w14:srgbClr w14:val="000000">
                      <w14:alpha w14:val="100000"/>
                    </w14:srgbClr>
                  </w14:solidFill>
                </w14:textFill>
              </w:rPr>
              <w:t>|</w:t>
            </w:r>
            <w:r w:rsidRPr="00501C36">
              <w:rPr>
                <w:rFonts w:hint="eastAsia"/>
                <w:color w:val="000000"/>
                <w:spacing w:val="4"/>
                <w:w w:val="23"/>
                <w:shd w:val="solid" w:color="000000" w:fill="000000"/>
                <w:fitText w:val="105" w:id="-893683955"/>
                <w14:textFill>
                  <w14:solidFill>
                    <w14:srgbClr w14:val="000000">
                      <w14:alpha w14:val="100000"/>
                    </w14:srgbClr>
                  </w14:solidFill>
                </w14:textFill>
              </w:rPr>
              <w:t xml:space="preserve">　</w:t>
            </w:r>
            <w:r w:rsidR="00C941DC" w:rsidRPr="003F0AD1">
              <w:rPr>
                <w:vertAlign w:val="superscript"/>
              </w:rPr>
              <w:t>2</w:t>
            </w:r>
          </w:p>
        </w:tc>
        <w:tc>
          <w:tcPr>
            <w:tcW w:w="457" w:type="pct"/>
          </w:tcPr>
          <w:p w14:paraId="5DA97CA9" w14:textId="039D3DF0"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4"/>
                <w14:textFill>
                  <w14:solidFill>
                    <w14:srgbClr w14:val="000000">
                      <w14:alpha w14:val="100000"/>
                    </w14:srgbClr>
                  </w14:solidFill>
                </w14:textFill>
              </w:rPr>
              <w:t xml:space="preserve">　</w:t>
            </w:r>
            <w:r w:rsidRPr="00501C36">
              <w:rPr>
                <w:color w:val="000000"/>
                <w:w w:val="23"/>
                <w:shd w:val="solid" w:color="000000" w:fill="000000"/>
                <w:fitText w:val="105" w:id="-893683954"/>
                <w14:textFill>
                  <w14:solidFill>
                    <w14:srgbClr w14:val="000000">
                      <w14:alpha w14:val="100000"/>
                    </w14:srgbClr>
                  </w14:solidFill>
                </w14:textFill>
              </w:rPr>
              <w:t>|</w:t>
            </w:r>
            <w:r w:rsidRPr="00501C36">
              <w:rPr>
                <w:rFonts w:hint="eastAsia"/>
                <w:color w:val="000000"/>
                <w:spacing w:val="4"/>
                <w:w w:val="23"/>
                <w:shd w:val="solid" w:color="000000" w:fill="000000"/>
                <w:fitText w:val="105" w:id="-893683954"/>
                <w14:textFill>
                  <w14:solidFill>
                    <w14:srgbClr w14:val="000000">
                      <w14:alpha w14:val="100000"/>
                    </w14:srgbClr>
                  </w14:solidFill>
                </w14:textFill>
              </w:rPr>
              <w:t xml:space="preserve">　</w:t>
            </w:r>
            <w:r w:rsidR="00C941DC" w:rsidRPr="003F0AD1">
              <w:rPr>
                <w:vertAlign w:val="superscript"/>
              </w:rPr>
              <w:t>2</w:t>
            </w:r>
          </w:p>
        </w:tc>
        <w:tc>
          <w:tcPr>
            <w:tcW w:w="535" w:type="pct"/>
          </w:tcPr>
          <w:p w14:paraId="4A203BC8" w14:textId="0AF432E5"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3"/>
                <w14:textFill>
                  <w14:solidFill>
                    <w14:srgbClr w14:val="000000">
                      <w14:alpha w14:val="100000"/>
                    </w14:srgbClr>
                  </w14:solidFill>
                </w14:textFill>
              </w:rPr>
              <w:t xml:space="preserve">　</w:t>
            </w:r>
            <w:r w:rsidRPr="00501C36">
              <w:rPr>
                <w:color w:val="000000"/>
                <w:w w:val="23"/>
                <w:shd w:val="solid" w:color="000000" w:fill="000000"/>
                <w:fitText w:val="105" w:id="-893683953"/>
                <w14:textFill>
                  <w14:solidFill>
                    <w14:srgbClr w14:val="000000">
                      <w14:alpha w14:val="100000"/>
                    </w14:srgbClr>
                  </w14:solidFill>
                </w14:textFill>
              </w:rPr>
              <w:t>|</w:t>
            </w:r>
            <w:r w:rsidRPr="00501C36">
              <w:rPr>
                <w:rFonts w:hint="eastAsia"/>
                <w:color w:val="000000"/>
                <w:spacing w:val="4"/>
                <w:w w:val="23"/>
                <w:shd w:val="solid" w:color="000000" w:fill="000000"/>
                <w:fitText w:val="105" w:id="-893683953"/>
                <w14:textFill>
                  <w14:solidFill>
                    <w14:srgbClr w14:val="000000">
                      <w14:alpha w14:val="100000"/>
                    </w14:srgbClr>
                  </w14:solidFill>
                </w14:textFill>
              </w:rPr>
              <w:t xml:space="preserve">　</w:t>
            </w:r>
            <w:r w:rsidR="00C941DC" w:rsidRPr="003F0AD1">
              <w:rPr>
                <w:vertAlign w:val="superscript"/>
              </w:rPr>
              <w:t>2</w:t>
            </w:r>
          </w:p>
        </w:tc>
      </w:tr>
      <w:tr w:rsidR="00E16CF9" w:rsidRPr="004E000B" w14:paraId="03A0CEE2" w14:textId="77777777" w:rsidTr="005C19E6">
        <w:tc>
          <w:tcPr>
            <w:tcW w:w="1962" w:type="pct"/>
            <w:vAlign w:val="center"/>
          </w:tcPr>
          <w:p w14:paraId="5880D944" w14:textId="77777777" w:rsidR="00E16CF9" w:rsidRDefault="00E16CF9" w:rsidP="00854496">
            <w:pPr>
              <w:keepNext/>
              <w:ind w:left="104"/>
              <w:jc w:val="left"/>
              <w:rPr>
                <w:rFonts w:ascii="Arial Narrow" w:eastAsiaTheme="majorEastAsia" w:hAnsi="Arial Narrow" w:cstheme="majorBidi"/>
                <w:bCs/>
                <w:sz w:val="19"/>
                <w:szCs w:val="19"/>
              </w:rPr>
            </w:pPr>
            <w:r>
              <w:rPr>
                <w:rFonts w:ascii="Arial Narrow" w:eastAsiaTheme="majorEastAsia" w:hAnsi="Arial Narrow" w:cstheme="majorBidi"/>
                <w:bCs/>
                <w:sz w:val="19"/>
                <w:szCs w:val="19"/>
              </w:rPr>
              <w:t>Patients with ECOG PS 0-1</w:t>
            </w:r>
          </w:p>
        </w:tc>
        <w:tc>
          <w:tcPr>
            <w:tcW w:w="472" w:type="pct"/>
          </w:tcPr>
          <w:p w14:paraId="621BE0AA" w14:textId="3411F2BE" w:rsidR="00E16CF9" w:rsidRPr="0009066F" w:rsidRDefault="00501C36" w:rsidP="00854496">
            <w:pPr>
              <w:pStyle w:val="TableText0"/>
              <w:jc w:val="center"/>
              <w:rPr>
                <w:highlight w:val="lightGray"/>
              </w:rPr>
            </w:pPr>
            <w:r w:rsidRPr="00501C36">
              <w:rPr>
                <w:rFonts w:hint="eastAsia"/>
                <w:color w:val="000000"/>
                <w:w w:val="16"/>
                <w:shd w:val="solid" w:color="000000" w:fill="000000"/>
                <w:fitText w:val="75" w:id="-893683952"/>
                <w14:textFill>
                  <w14:solidFill>
                    <w14:srgbClr w14:val="000000">
                      <w14:alpha w14:val="100000"/>
                    </w14:srgbClr>
                  </w14:solidFill>
                </w14:textFill>
              </w:rPr>
              <w:t xml:space="preserve">　</w:t>
            </w:r>
            <w:r w:rsidRPr="00501C36">
              <w:rPr>
                <w:color w:val="000000"/>
                <w:w w:val="16"/>
                <w:shd w:val="solid" w:color="000000" w:fill="000000"/>
                <w:fitText w:val="75" w:id="-893683952"/>
                <w14:textFill>
                  <w14:solidFill>
                    <w14:srgbClr w14:val="000000">
                      <w14:alpha w14:val="100000"/>
                    </w14:srgbClr>
                  </w14:solidFill>
                </w14:textFill>
              </w:rPr>
              <w:t>|</w:t>
            </w:r>
            <w:r w:rsidRPr="00501C36">
              <w:rPr>
                <w:rFonts w:hint="eastAsia"/>
                <w:color w:val="000000"/>
                <w:spacing w:val="5"/>
                <w:w w:val="16"/>
                <w:shd w:val="solid" w:color="000000" w:fill="000000"/>
                <w:fitText w:val="75" w:id="-893683952"/>
                <w14:textFill>
                  <w14:solidFill>
                    <w14:srgbClr w14:val="000000">
                      <w14:alpha w14:val="100000"/>
                    </w14:srgbClr>
                  </w14:solidFill>
                </w14:textFill>
              </w:rPr>
              <w:t xml:space="preserve">　</w:t>
            </w:r>
            <w:r w:rsidR="00C941DC" w:rsidRPr="003F0AD1">
              <w:rPr>
                <w:vertAlign w:val="superscript"/>
              </w:rPr>
              <w:t>2</w:t>
            </w:r>
          </w:p>
        </w:tc>
        <w:tc>
          <w:tcPr>
            <w:tcW w:w="551" w:type="pct"/>
          </w:tcPr>
          <w:p w14:paraId="6286C73A" w14:textId="4756CAD5"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8"/>
                <w14:textFill>
                  <w14:solidFill>
                    <w14:srgbClr w14:val="000000">
                      <w14:alpha w14:val="100000"/>
                    </w14:srgbClr>
                  </w14:solidFill>
                </w14:textFill>
              </w:rPr>
              <w:t xml:space="preserve">　</w:t>
            </w:r>
            <w:r w:rsidRPr="00501C36">
              <w:rPr>
                <w:color w:val="000000"/>
                <w:w w:val="23"/>
                <w:shd w:val="solid" w:color="000000" w:fill="000000"/>
                <w:fitText w:val="105" w:id="-893683968"/>
                <w14:textFill>
                  <w14:solidFill>
                    <w14:srgbClr w14:val="000000">
                      <w14:alpha w14:val="100000"/>
                    </w14:srgbClr>
                  </w14:solidFill>
                </w14:textFill>
              </w:rPr>
              <w:t>|</w:t>
            </w:r>
            <w:r w:rsidRPr="00501C36">
              <w:rPr>
                <w:rFonts w:hint="eastAsia"/>
                <w:color w:val="000000"/>
                <w:spacing w:val="4"/>
                <w:w w:val="23"/>
                <w:shd w:val="solid" w:color="000000" w:fill="000000"/>
                <w:fitText w:val="105" w:id="-893683968"/>
                <w14:textFill>
                  <w14:solidFill>
                    <w14:srgbClr w14:val="000000">
                      <w14:alpha w14:val="100000"/>
                    </w14:srgbClr>
                  </w14:solidFill>
                </w14:textFill>
              </w:rPr>
              <w:t xml:space="preserve">　</w:t>
            </w:r>
            <w:r w:rsidR="00C941DC" w:rsidRPr="003F0AD1">
              <w:rPr>
                <w:vertAlign w:val="superscript"/>
              </w:rPr>
              <w:t>2</w:t>
            </w:r>
          </w:p>
        </w:tc>
        <w:tc>
          <w:tcPr>
            <w:tcW w:w="471" w:type="pct"/>
          </w:tcPr>
          <w:p w14:paraId="6795E45E" w14:textId="1F81F59B"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7"/>
                <w14:textFill>
                  <w14:solidFill>
                    <w14:srgbClr w14:val="000000">
                      <w14:alpha w14:val="100000"/>
                    </w14:srgbClr>
                  </w14:solidFill>
                </w14:textFill>
              </w:rPr>
              <w:t xml:space="preserve">　</w:t>
            </w:r>
            <w:r w:rsidRPr="00501C36">
              <w:rPr>
                <w:color w:val="000000"/>
                <w:w w:val="23"/>
                <w:shd w:val="solid" w:color="000000" w:fill="000000"/>
                <w:fitText w:val="105" w:id="-893683967"/>
                <w14:textFill>
                  <w14:solidFill>
                    <w14:srgbClr w14:val="000000">
                      <w14:alpha w14:val="100000"/>
                    </w14:srgbClr>
                  </w14:solidFill>
                </w14:textFill>
              </w:rPr>
              <w:t>|</w:t>
            </w:r>
            <w:r w:rsidRPr="00501C36">
              <w:rPr>
                <w:rFonts w:hint="eastAsia"/>
                <w:color w:val="000000"/>
                <w:spacing w:val="4"/>
                <w:w w:val="23"/>
                <w:shd w:val="solid" w:color="000000" w:fill="000000"/>
                <w:fitText w:val="105" w:id="-893683967"/>
                <w14:textFill>
                  <w14:solidFill>
                    <w14:srgbClr w14:val="000000">
                      <w14:alpha w14:val="100000"/>
                    </w14:srgbClr>
                  </w14:solidFill>
                </w14:textFill>
              </w:rPr>
              <w:t xml:space="preserve">　</w:t>
            </w:r>
            <w:r w:rsidR="00C941DC" w:rsidRPr="003F0AD1">
              <w:rPr>
                <w:vertAlign w:val="superscript"/>
              </w:rPr>
              <w:t>2</w:t>
            </w:r>
          </w:p>
        </w:tc>
        <w:tc>
          <w:tcPr>
            <w:tcW w:w="551" w:type="pct"/>
          </w:tcPr>
          <w:p w14:paraId="7C66E45A" w14:textId="340292E5"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6"/>
                <w14:textFill>
                  <w14:solidFill>
                    <w14:srgbClr w14:val="000000">
                      <w14:alpha w14:val="100000"/>
                    </w14:srgbClr>
                  </w14:solidFill>
                </w14:textFill>
              </w:rPr>
              <w:t xml:space="preserve">　</w:t>
            </w:r>
            <w:r w:rsidRPr="00501C36">
              <w:rPr>
                <w:color w:val="000000"/>
                <w:w w:val="23"/>
                <w:shd w:val="solid" w:color="000000" w:fill="000000"/>
                <w:fitText w:val="105" w:id="-893683966"/>
                <w14:textFill>
                  <w14:solidFill>
                    <w14:srgbClr w14:val="000000">
                      <w14:alpha w14:val="100000"/>
                    </w14:srgbClr>
                  </w14:solidFill>
                </w14:textFill>
              </w:rPr>
              <w:t>|</w:t>
            </w:r>
            <w:r w:rsidRPr="00501C36">
              <w:rPr>
                <w:rFonts w:hint="eastAsia"/>
                <w:color w:val="000000"/>
                <w:spacing w:val="4"/>
                <w:w w:val="23"/>
                <w:shd w:val="solid" w:color="000000" w:fill="000000"/>
                <w:fitText w:val="105" w:id="-893683966"/>
                <w14:textFill>
                  <w14:solidFill>
                    <w14:srgbClr w14:val="000000">
                      <w14:alpha w14:val="100000"/>
                    </w14:srgbClr>
                  </w14:solidFill>
                </w14:textFill>
              </w:rPr>
              <w:t xml:space="preserve">　</w:t>
            </w:r>
            <w:r w:rsidR="00C941DC" w:rsidRPr="003F0AD1">
              <w:rPr>
                <w:vertAlign w:val="superscript"/>
              </w:rPr>
              <w:t>2</w:t>
            </w:r>
          </w:p>
        </w:tc>
        <w:tc>
          <w:tcPr>
            <w:tcW w:w="457" w:type="pct"/>
          </w:tcPr>
          <w:p w14:paraId="12535AB7" w14:textId="583A70C7"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5"/>
                <w14:textFill>
                  <w14:solidFill>
                    <w14:srgbClr w14:val="000000">
                      <w14:alpha w14:val="100000"/>
                    </w14:srgbClr>
                  </w14:solidFill>
                </w14:textFill>
              </w:rPr>
              <w:t xml:space="preserve">　</w:t>
            </w:r>
            <w:r w:rsidRPr="00501C36">
              <w:rPr>
                <w:color w:val="000000"/>
                <w:w w:val="23"/>
                <w:shd w:val="solid" w:color="000000" w:fill="000000"/>
                <w:fitText w:val="105" w:id="-893683965"/>
                <w14:textFill>
                  <w14:solidFill>
                    <w14:srgbClr w14:val="000000">
                      <w14:alpha w14:val="100000"/>
                    </w14:srgbClr>
                  </w14:solidFill>
                </w14:textFill>
              </w:rPr>
              <w:t>|</w:t>
            </w:r>
            <w:r w:rsidRPr="00501C36">
              <w:rPr>
                <w:rFonts w:hint="eastAsia"/>
                <w:color w:val="000000"/>
                <w:spacing w:val="4"/>
                <w:w w:val="23"/>
                <w:shd w:val="solid" w:color="000000" w:fill="000000"/>
                <w:fitText w:val="105" w:id="-893683965"/>
                <w14:textFill>
                  <w14:solidFill>
                    <w14:srgbClr w14:val="000000">
                      <w14:alpha w14:val="100000"/>
                    </w14:srgbClr>
                  </w14:solidFill>
                </w14:textFill>
              </w:rPr>
              <w:t xml:space="preserve">　</w:t>
            </w:r>
            <w:r w:rsidR="00C941DC" w:rsidRPr="003F0AD1">
              <w:rPr>
                <w:vertAlign w:val="superscript"/>
              </w:rPr>
              <w:t>2</w:t>
            </w:r>
          </w:p>
        </w:tc>
        <w:tc>
          <w:tcPr>
            <w:tcW w:w="535" w:type="pct"/>
          </w:tcPr>
          <w:p w14:paraId="22CBE870" w14:textId="3091FBD6"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4"/>
                <w14:textFill>
                  <w14:solidFill>
                    <w14:srgbClr w14:val="000000">
                      <w14:alpha w14:val="100000"/>
                    </w14:srgbClr>
                  </w14:solidFill>
                </w14:textFill>
              </w:rPr>
              <w:t xml:space="preserve">　</w:t>
            </w:r>
            <w:r w:rsidRPr="00501C36">
              <w:rPr>
                <w:color w:val="000000"/>
                <w:w w:val="23"/>
                <w:shd w:val="solid" w:color="000000" w:fill="000000"/>
                <w:fitText w:val="105" w:id="-893683964"/>
                <w14:textFill>
                  <w14:solidFill>
                    <w14:srgbClr w14:val="000000">
                      <w14:alpha w14:val="100000"/>
                    </w14:srgbClr>
                  </w14:solidFill>
                </w14:textFill>
              </w:rPr>
              <w:t>|</w:t>
            </w:r>
            <w:r w:rsidRPr="00501C36">
              <w:rPr>
                <w:rFonts w:hint="eastAsia"/>
                <w:color w:val="000000"/>
                <w:spacing w:val="4"/>
                <w:w w:val="23"/>
                <w:shd w:val="solid" w:color="000000" w:fill="000000"/>
                <w:fitText w:val="105" w:id="-893683964"/>
                <w14:textFill>
                  <w14:solidFill>
                    <w14:srgbClr w14:val="000000">
                      <w14:alpha w14:val="100000"/>
                    </w14:srgbClr>
                  </w14:solidFill>
                </w14:textFill>
              </w:rPr>
              <w:t xml:space="preserve">　</w:t>
            </w:r>
            <w:r w:rsidR="00C941DC" w:rsidRPr="003F0AD1">
              <w:rPr>
                <w:vertAlign w:val="superscript"/>
              </w:rPr>
              <w:t>2</w:t>
            </w:r>
          </w:p>
        </w:tc>
      </w:tr>
      <w:tr w:rsidR="00E16CF9" w:rsidRPr="004E000B" w14:paraId="46C09055" w14:textId="77777777" w:rsidTr="005C19E6">
        <w:tc>
          <w:tcPr>
            <w:tcW w:w="1962" w:type="pct"/>
            <w:vAlign w:val="center"/>
          </w:tcPr>
          <w:p w14:paraId="4B2D5E70" w14:textId="77777777" w:rsidR="00E16CF9" w:rsidRDefault="00E16CF9" w:rsidP="00854496">
            <w:pPr>
              <w:keepNext/>
              <w:ind w:left="104"/>
              <w:jc w:val="left"/>
              <w:rPr>
                <w:rFonts w:ascii="Arial Narrow" w:eastAsiaTheme="majorEastAsia" w:hAnsi="Arial Narrow" w:cstheme="majorBidi"/>
                <w:bCs/>
                <w:sz w:val="19"/>
                <w:szCs w:val="19"/>
              </w:rPr>
            </w:pPr>
            <w:r>
              <w:rPr>
                <w:rFonts w:ascii="Arial Narrow" w:eastAsiaTheme="majorEastAsia" w:hAnsi="Arial Narrow" w:cstheme="majorBidi"/>
                <w:bCs/>
                <w:sz w:val="19"/>
                <w:szCs w:val="19"/>
              </w:rPr>
              <w:t>Patients electing treatment</w:t>
            </w:r>
          </w:p>
        </w:tc>
        <w:tc>
          <w:tcPr>
            <w:tcW w:w="472" w:type="pct"/>
          </w:tcPr>
          <w:p w14:paraId="268CBA38" w14:textId="11457023" w:rsidR="00E16CF9" w:rsidRPr="0009066F" w:rsidRDefault="00501C36" w:rsidP="00854496">
            <w:pPr>
              <w:pStyle w:val="TableText0"/>
              <w:jc w:val="center"/>
              <w:rPr>
                <w:highlight w:val="lightGray"/>
              </w:rPr>
            </w:pPr>
            <w:r w:rsidRPr="00501C36">
              <w:rPr>
                <w:rFonts w:hint="eastAsia"/>
                <w:color w:val="000000"/>
                <w:w w:val="16"/>
                <w:shd w:val="solid" w:color="000000" w:fill="000000"/>
                <w:fitText w:val="75" w:id="-893683963"/>
                <w14:textFill>
                  <w14:solidFill>
                    <w14:srgbClr w14:val="000000">
                      <w14:alpha w14:val="100000"/>
                    </w14:srgbClr>
                  </w14:solidFill>
                </w14:textFill>
              </w:rPr>
              <w:t xml:space="preserve">　</w:t>
            </w:r>
            <w:r w:rsidRPr="00501C36">
              <w:rPr>
                <w:color w:val="000000"/>
                <w:w w:val="16"/>
                <w:shd w:val="solid" w:color="000000" w:fill="000000"/>
                <w:fitText w:val="75" w:id="-893683963"/>
                <w14:textFill>
                  <w14:solidFill>
                    <w14:srgbClr w14:val="000000">
                      <w14:alpha w14:val="100000"/>
                    </w14:srgbClr>
                  </w14:solidFill>
                </w14:textFill>
              </w:rPr>
              <w:t>|</w:t>
            </w:r>
            <w:r w:rsidRPr="00501C36">
              <w:rPr>
                <w:rFonts w:hint="eastAsia"/>
                <w:color w:val="000000"/>
                <w:spacing w:val="5"/>
                <w:w w:val="16"/>
                <w:shd w:val="solid" w:color="000000" w:fill="000000"/>
                <w:fitText w:val="75" w:id="-893683963"/>
                <w14:textFill>
                  <w14:solidFill>
                    <w14:srgbClr w14:val="000000">
                      <w14:alpha w14:val="100000"/>
                    </w14:srgbClr>
                  </w14:solidFill>
                </w14:textFill>
              </w:rPr>
              <w:t xml:space="preserve">　</w:t>
            </w:r>
            <w:r w:rsidR="00C941DC" w:rsidRPr="003F0AD1">
              <w:rPr>
                <w:vertAlign w:val="superscript"/>
              </w:rPr>
              <w:t>2</w:t>
            </w:r>
          </w:p>
        </w:tc>
        <w:tc>
          <w:tcPr>
            <w:tcW w:w="551" w:type="pct"/>
          </w:tcPr>
          <w:p w14:paraId="7FD0AD6A" w14:textId="3B8FA1FF"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2"/>
                <w14:textFill>
                  <w14:solidFill>
                    <w14:srgbClr w14:val="000000">
                      <w14:alpha w14:val="100000"/>
                    </w14:srgbClr>
                  </w14:solidFill>
                </w14:textFill>
              </w:rPr>
              <w:t xml:space="preserve">　</w:t>
            </w:r>
            <w:r w:rsidRPr="00501C36">
              <w:rPr>
                <w:color w:val="000000"/>
                <w:w w:val="23"/>
                <w:shd w:val="solid" w:color="000000" w:fill="000000"/>
                <w:fitText w:val="105" w:id="-893683962"/>
                <w14:textFill>
                  <w14:solidFill>
                    <w14:srgbClr w14:val="000000">
                      <w14:alpha w14:val="100000"/>
                    </w14:srgbClr>
                  </w14:solidFill>
                </w14:textFill>
              </w:rPr>
              <w:t>|</w:t>
            </w:r>
            <w:r w:rsidRPr="00501C36">
              <w:rPr>
                <w:rFonts w:hint="eastAsia"/>
                <w:color w:val="000000"/>
                <w:spacing w:val="4"/>
                <w:w w:val="23"/>
                <w:shd w:val="solid" w:color="000000" w:fill="000000"/>
                <w:fitText w:val="105" w:id="-893683962"/>
                <w14:textFill>
                  <w14:solidFill>
                    <w14:srgbClr w14:val="000000">
                      <w14:alpha w14:val="100000"/>
                    </w14:srgbClr>
                  </w14:solidFill>
                </w14:textFill>
              </w:rPr>
              <w:t xml:space="preserve">　</w:t>
            </w:r>
            <w:r w:rsidR="00C941DC" w:rsidRPr="003F0AD1">
              <w:rPr>
                <w:vertAlign w:val="superscript"/>
              </w:rPr>
              <w:t>2</w:t>
            </w:r>
          </w:p>
        </w:tc>
        <w:tc>
          <w:tcPr>
            <w:tcW w:w="471" w:type="pct"/>
          </w:tcPr>
          <w:p w14:paraId="0399A8C2" w14:textId="49A4AB9E"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1"/>
                <w14:textFill>
                  <w14:solidFill>
                    <w14:srgbClr w14:val="000000">
                      <w14:alpha w14:val="100000"/>
                    </w14:srgbClr>
                  </w14:solidFill>
                </w14:textFill>
              </w:rPr>
              <w:t xml:space="preserve">　</w:t>
            </w:r>
            <w:r w:rsidRPr="00501C36">
              <w:rPr>
                <w:color w:val="000000"/>
                <w:w w:val="23"/>
                <w:shd w:val="solid" w:color="000000" w:fill="000000"/>
                <w:fitText w:val="105" w:id="-893683961"/>
                <w14:textFill>
                  <w14:solidFill>
                    <w14:srgbClr w14:val="000000">
                      <w14:alpha w14:val="100000"/>
                    </w14:srgbClr>
                  </w14:solidFill>
                </w14:textFill>
              </w:rPr>
              <w:t>|</w:t>
            </w:r>
            <w:r w:rsidRPr="00501C36">
              <w:rPr>
                <w:rFonts w:hint="eastAsia"/>
                <w:color w:val="000000"/>
                <w:spacing w:val="4"/>
                <w:w w:val="23"/>
                <w:shd w:val="solid" w:color="000000" w:fill="000000"/>
                <w:fitText w:val="105" w:id="-893683961"/>
                <w14:textFill>
                  <w14:solidFill>
                    <w14:srgbClr w14:val="000000">
                      <w14:alpha w14:val="100000"/>
                    </w14:srgbClr>
                  </w14:solidFill>
                </w14:textFill>
              </w:rPr>
              <w:t xml:space="preserve">　</w:t>
            </w:r>
            <w:r w:rsidR="00C941DC" w:rsidRPr="003F0AD1">
              <w:rPr>
                <w:vertAlign w:val="superscript"/>
              </w:rPr>
              <w:t>2</w:t>
            </w:r>
          </w:p>
        </w:tc>
        <w:tc>
          <w:tcPr>
            <w:tcW w:w="551" w:type="pct"/>
          </w:tcPr>
          <w:p w14:paraId="38EBC7A9" w14:textId="7ACA3159"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0"/>
                <w14:textFill>
                  <w14:solidFill>
                    <w14:srgbClr w14:val="000000">
                      <w14:alpha w14:val="100000"/>
                    </w14:srgbClr>
                  </w14:solidFill>
                </w14:textFill>
              </w:rPr>
              <w:t xml:space="preserve">　</w:t>
            </w:r>
            <w:r w:rsidRPr="00501C36">
              <w:rPr>
                <w:color w:val="000000"/>
                <w:w w:val="23"/>
                <w:shd w:val="solid" w:color="000000" w:fill="000000"/>
                <w:fitText w:val="105" w:id="-893683960"/>
                <w14:textFill>
                  <w14:solidFill>
                    <w14:srgbClr w14:val="000000">
                      <w14:alpha w14:val="100000"/>
                    </w14:srgbClr>
                  </w14:solidFill>
                </w14:textFill>
              </w:rPr>
              <w:t>|</w:t>
            </w:r>
            <w:r w:rsidRPr="00501C36">
              <w:rPr>
                <w:rFonts w:hint="eastAsia"/>
                <w:color w:val="000000"/>
                <w:spacing w:val="4"/>
                <w:w w:val="23"/>
                <w:shd w:val="solid" w:color="000000" w:fill="000000"/>
                <w:fitText w:val="105" w:id="-893683960"/>
                <w14:textFill>
                  <w14:solidFill>
                    <w14:srgbClr w14:val="000000">
                      <w14:alpha w14:val="100000"/>
                    </w14:srgbClr>
                  </w14:solidFill>
                </w14:textFill>
              </w:rPr>
              <w:t xml:space="preserve">　</w:t>
            </w:r>
            <w:r w:rsidR="00C941DC" w:rsidRPr="003F0AD1">
              <w:rPr>
                <w:vertAlign w:val="superscript"/>
              </w:rPr>
              <w:t>2</w:t>
            </w:r>
          </w:p>
        </w:tc>
        <w:tc>
          <w:tcPr>
            <w:tcW w:w="457" w:type="pct"/>
          </w:tcPr>
          <w:p w14:paraId="4857662D" w14:textId="0D107B3B"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59"/>
                <w14:textFill>
                  <w14:solidFill>
                    <w14:srgbClr w14:val="000000">
                      <w14:alpha w14:val="100000"/>
                    </w14:srgbClr>
                  </w14:solidFill>
                </w14:textFill>
              </w:rPr>
              <w:t xml:space="preserve">　</w:t>
            </w:r>
            <w:r w:rsidRPr="00501C36">
              <w:rPr>
                <w:color w:val="000000"/>
                <w:w w:val="23"/>
                <w:shd w:val="solid" w:color="000000" w:fill="000000"/>
                <w:fitText w:val="105" w:id="-893683959"/>
                <w14:textFill>
                  <w14:solidFill>
                    <w14:srgbClr w14:val="000000">
                      <w14:alpha w14:val="100000"/>
                    </w14:srgbClr>
                  </w14:solidFill>
                </w14:textFill>
              </w:rPr>
              <w:t>|</w:t>
            </w:r>
            <w:r w:rsidRPr="00501C36">
              <w:rPr>
                <w:rFonts w:hint="eastAsia"/>
                <w:color w:val="000000"/>
                <w:spacing w:val="4"/>
                <w:w w:val="23"/>
                <w:shd w:val="solid" w:color="000000" w:fill="000000"/>
                <w:fitText w:val="105" w:id="-893683959"/>
                <w14:textFill>
                  <w14:solidFill>
                    <w14:srgbClr w14:val="000000">
                      <w14:alpha w14:val="100000"/>
                    </w14:srgbClr>
                  </w14:solidFill>
                </w14:textFill>
              </w:rPr>
              <w:t xml:space="preserve">　</w:t>
            </w:r>
            <w:r w:rsidR="00C941DC" w:rsidRPr="003F0AD1">
              <w:rPr>
                <w:vertAlign w:val="superscript"/>
              </w:rPr>
              <w:t>2</w:t>
            </w:r>
          </w:p>
        </w:tc>
        <w:tc>
          <w:tcPr>
            <w:tcW w:w="535" w:type="pct"/>
          </w:tcPr>
          <w:p w14:paraId="5BF7A6A3" w14:textId="0F96A309"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58"/>
                <w14:textFill>
                  <w14:solidFill>
                    <w14:srgbClr w14:val="000000">
                      <w14:alpha w14:val="100000"/>
                    </w14:srgbClr>
                  </w14:solidFill>
                </w14:textFill>
              </w:rPr>
              <w:t xml:space="preserve">　</w:t>
            </w:r>
            <w:r w:rsidRPr="00501C36">
              <w:rPr>
                <w:color w:val="000000"/>
                <w:w w:val="23"/>
                <w:shd w:val="solid" w:color="000000" w:fill="000000"/>
                <w:fitText w:val="105" w:id="-893683958"/>
                <w14:textFill>
                  <w14:solidFill>
                    <w14:srgbClr w14:val="000000">
                      <w14:alpha w14:val="100000"/>
                    </w14:srgbClr>
                  </w14:solidFill>
                </w14:textFill>
              </w:rPr>
              <w:t>|</w:t>
            </w:r>
            <w:r w:rsidRPr="00501C36">
              <w:rPr>
                <w:rFonts w:hint="eastAsia"/>
                <w:color w:val="000000"/>
                <w:spacing w:val="4"/>
                <w:w w:val="23"/>
                <w:shd w:val="solid" w:color="000000" w:fill="000000"/>
                <w:fitText w:val="105" w:id="-893683958"/>
                <w14:textFill>
                  <w14:solidFill>
                    <w14:srgbClr w14:val="000000">
                      <w14:alpha w14:val="100000"/>
                    </w14:srgbClr>
                  </w14:solidFill>
                </w14:textFill>
              </w:rPr>
              <w:t xml:space="preserve">　</w:t>
            </w:r>
            <w:r w:rsidR="00C941DC" w:rsidRPr="003F0AD1">
              <w:rPr>
                <w:vertAlign w:val="superscript"/>
              </w:rPr>
              <w:t>2</w:t>
            </w:r>
          </w:p>
        </w:tc>
      </w:tr>
      <w:tr w:rsidR="00E16CF9" w:rsidRPr="004E000B" w14:paraId="6FEDC4F7" w14:textId="77777777" w:rsidTr="005C19E6">
        <w:tc>
          <w:tcPr>
            <w:tcW w:w="1962" w:type="pct"/>
            <w:vAlign w:val="center"/>
          </w:tcPr>
          <w:p w14:paraId="646DF3E7" w14:textId="77777777" w:rsidR="00E16CF9" w:rsidRPr="004E000B" w:rsidRDefault="00E16CF9" w:rsidP="00854496">
            <w:pPr>
              <w:keepNext/>
              <w:ind w:left="104"/>
              <w:jc w:val="left"/>
              <w:rPr>
                <w:rFonts w:ascii="Arial Narrow" w:eastAsiaTheme="majorEastAsia" w:hAnsi="Arial Narrow" w:cstheme="majorBidi"/>
                <w:bCs/>
                <w:sz w:val="19"/>
                <w:szCs w:val="19"/>
              </w:rPr>
            </w:pPr>
            <w:r>
              <w:rPr>
                <w:rFonts w:ascii="Arial Narrow" w:eastAsiaTheme="majorEastAsia" w:hAnsi="Arial Narrow" w:cstheme="majorBidi"/>
                <w:bCs/>
                <w:sz w:val="19"/>
                <w:szCs w:val="19"/>
              </w:rPr>
              <w:t>Patients grandfathered</w:t>
            </w:r>
          </w:p>
        </w:tc>
        <w:tc>
          <w:tcPr>
            <w:tcW w:w="472" w:type="pct"/>
            <w:vAlign w:val="center"/>
          </w:tcPr>
          <w:p w14:paraId="6932DBC1" w14:textId="525B4139" w:rsidR="00E16CF9" w:rsidRPr="0009066F" w:rsidRDefault="00501C36" w:rsidP="00854496">
            <w:pPr>
              <w:pStyle w:val="TableText0"/>
              <w:jc w:val="center"/>
              <w:rPr>
                <w:highlight w:val="lightGray"/>
              </w:rPr>
            </w:pPr>
            <w:r w:rsidRPr="00501C36">
              <w:rPr>
                <w:rFonts w:hint="eastAsia"/>
                <w:color w:val="000000"/>
                <w:w w:val="16"/>
                <w:shd w:val="solid" w:color="000000" w:fill="000000"/>
                <w:fitText w:val="75" w:id="-893683957"/>
                <w14:textFill>
                  <w14:solidFill>
                    <w14:srgbClr w14:val="000000">
                      <w14:alpha w14:val="100000"/>
                    </w14:srgbClr>
                  </w14:solidFill>
                </w14:textFill>
              </w:rPr>
              <w:t xml:space="preserve">　</w:t>
            </w:r>
            <w:r w:rsidRPr="00501C36">
              <w:rPr>
                <w:color w:val="000000"/>
                <w:w w:val="16"/>
                <w:shd w:val="solid" w:color="000000" w:fill="000000"/>
                <w:fitText w:val="75" w:id="-893683957"/>
                <w14:textFill>
                  <w14:solidFill>
                    <w14:srgbClr w14:val="000000">
                      <w14:alpha w14:val="100000"/>
                    </w14:srgbClr>
                  </w14:solidFill>
                </w14:textFill>
              </w:rPr>
              <w:t>|</w:t>
            </w:r>
            <w:r w:rsidRPr="00501C36">
              <w:rPr>
                <w:rFonts w:hint="eastAsia"/>
                <w:color w:val="000000"/>
                <w:spacing w:val="5"/>
                <w:w w:val="16"/>
                <w:shd w:val="solid" w:color="000000" w:fill="000000"/>
                <w:fitText w:val="75" w:id="-893683957"/>
                <w14:textFill>
                  <w14:solidFill>
                    <w14:srgbClr w14:val="000000">
                      <w14:alpha w14:val="100000"/>
                    </w14:srgbClr>
                  </w14:solidFill>
                </w14:textFill>
              </w:rPr>
              <w:t xml:space="preserve">　</w:t>
            </w:r>
            <w:r w:rsidR="00C941DC" w:rsidRPr="003F0AD1">
              <w:rPr>
                <w:vertAlign w:val="superscript"/>
              </w:rPr>
              <w:t>2</w:t>
            </w:r>
          </w:p>
        </w:tc>
        <w:tc>
          <w:tcPr>
            <w:tcW w:w="551" w:type="pct"/>
            <w:vAlign w:val="center"/>
          </w:tcPr>
          <w:p w14:paraId="5F255819" w14:textId="77777777" w:rsidR="00E16CF9" w:rsidRPr="0009066F" w:rsidRDefault="00E16CF9" w:rsidP="00854496">
            <w:pPr>
              <w:pStyle w:val="TableText0"/>
              <w:jc w:val="center"/>
              <w:rPr>
                <w:highlight w:val="lightGray"/>
              </w:rPr>
            </w:pPr>
          </w:p>
        </w:tc>
        <w:tc>
          <w:tcPr>
            <w:tcW w:w="471" w:type="pct"/>
            <w:vAlign w:val="center"/>
          </w:tcPr>
          <w:p w14:paraId="36B1A0E2" w14:textId="77777777" w:rsidR="00E16CF9" w:rsidRPr="0009066F" w:rsidRDefault="00E16CF9" w:rsidP="00854496">
            <w:pPr>
              <w:pStyle w:val="TableText0"/>
              <w:jc w:val="center"/>
              <w:rPr>
                <w:highlight w:val="lightGray"/>
              </w:rPr>
            </w:pPr>
          </w:p>
        </w:tc>
        <w:tc>
          <w:tcPr>
            <w:tcW w:w="551" w:type="pct"/>
            <w:vAlign w:val="center"/>
          </w:tcPr>
          <w:p w14:paraId="5775C3DC" w14:textId="77777777" w:rsidR="00E16CF9" w:rsidRPr="0009066F" w:rsidRDefault="00E16CF9" w:rsidP="00854496">
            <w:pPr>
              <w:pStyle w:val="TableText0"/>
              <w:jc w:val="center"/>
              <w:rPr>
                <w:highlight w:val="lightGray"/>
              </w:rPr>
            </w:pPr>
          </w:p>
        </w:tc>
        <w:tc>
          <w:tcPr>
            <w:tcW w:w="457" w:type="pct"/>
            <w:vAlign w:val="center"/>
          </w:tcPr>
          <w:p w14:paraId="5BE7ACE1" w14:textId="77777777" w:rsidR="00E16CF9" w:rsidRPr="0009066F" w:rsidRDefault="00E16CF9" w:rsidP="00854496">
            <w:pPr>
              <w:pStyle w:val="TableText0"/>
              <w:jc w:val="center"/>
              <w:rPr>
                <w:highlight w:val="lightGray"/>
              </w:rPr>
            </w:pPr>
          </w:p>
        </w:tc>
        <w:tc>
          <w:tcPr>
            <w:tcW w:w="535" w:type="pct"/>
            <w:vAlign w:val="center"/>
          </w:tcPr>
          <w:p w14:paraId="61E02B66" w14:textId="77777777" w:rsidR="00E16CF9" w:rsidRPr="0009066F" w:rsidRDefault="00E16CF9" w:rsidP="00854496">
            <w:pPr>
              <w:pStyle w:val="TableText0"/>
              <w:jc w:val="center"/>
              <w:rPr>
                <w:highlight w:val="lightGray"/>
              </w:rPr>
            </w:pPr>
          </w:p>
        </w:tc>
      </w:tr>
      <w:tr w:rsidR="00E16CF9" w:rsidRPr="004E000B" w14:paraId="73BD7B4E" w14:textId="77777777" w:rsidTr="005C19E6">
        <w:tc>
          <w:tcPr>
            <w:tcW w:w="1962" w:type="pct"/>
            <w:vAlign w:val="center"/>
          </w:tcPr>
          <w:p w14:paraId="0FAA1A90" w14:textId="77777777" w:rsidR="00E16CF9" w:rsidRPr="004E000B" w:rsidRDefault="00E16CF9" w:rsidP="00854496">
            <w:pPr>
              <w:keepNext/>
              <w:jc w:val="left"/>
              <w:rPr>
                <w:rFonts w:ascii="Arial Narrow" w:eastAsiaTheme="majorEastAsia" w:hAnsi="Arial Narrow" w:cstheme="majorBidi"/>
                <w:b/>
                <w:bCs/>
                <w:sz w:val="19"/>
                <w:szCs w:val="19"/>
              </w:rPr>
            </w:pPr>
            <w:r w:rsidRPr="004E000B">
              <w:rPr>
                <w:rFonts w:ascii="Arial Narrow" w:eastAsiaTheme="majorEastAsia" w:hAnsi="Arial Narrow" w:cstheme="majorBidi"/>
                <w:b/>
                <w:bCs/>
                <w:sz w:val="19"/>
                <w:szCs w:val="19"/>
              </w:rPr>
              <w:t>Total initial patient</w:t>
            </w:r>
            <w:r>
              <w:rPr>
                <w:rFonts w:ascii="Arial Narrow" w:eastAsiaTheme="majorEastAsia" w:hAnsi="Arial Narrow" w:cstheme="majorBidi"/>
                <w:b/>
                <w:bCs/>
                <w:sz w:val="19"/>
                <w:szCs w:val="19"/>
              </w:rPr>
              <w:t>s</w:t>
            </w:r>
            <w:r w:rsidRPr="004E000B">
              <w:rPr>
                <w:rFonts w:ascii="Arial Narrow" w:eastAsiaTheme="majorEastAsia" w:hAnsi="Arial Narrow" w:cstheme="majorBidi"/>
                <w:b/>
                <w:bCs/>
                <w:sz w:val="19"/>
                <w:szCs w:val="19"/>
              </w:rPr>
              <w:t xml:space="preserve"> for </w:t>
            </w:r>
            <w:r>
              <w:rPr>
                <w:rFonts w:ascii="Arial Narrow" w:eastAsiaTheme="majorEastAsia" w:hAnsi="Arial Narrow" w:cstheme="majorBidi"/>
                <w:b/>
                <w:bCs/>
                <w:sz w:val="19"/>
                <w:szCs w:val="19"/>
              </w:rPr>
              <w:t>belzutifan</w:t>
            </w:r>
          </w:p>
        </w:tc>
        <w:tc>
          <w:tcPr>
            <w:tcW w:w="472" w:type="pct"/>
            <w:vAlign w:val="center"/>
          </w:tcPr>
          <w:p w14:paraId="0BC9D045" w14:textId="0138345A" w:rsidR="00E16CF9" w:rsidRPr="0009066F" w:rsidRDefault="00501C36" w:rsidP="00854496">
            <w:pPr>
              <w:pStyle w:val="TableText0"/>
              <w:jc w:val="center"/>
              <w:rPr>
                <w:sz w:val="19"/>
                <w:szCs w:val="19"/>
                <w:highlight w:val="lightGray"/>
              </w:rPr>
            </w:pPr>
            <w:r w:rsidRPr="00501C36">
              <w:rPr>
                <w:rFonts w:hint="eastAsia"/>
                <w:color w:val="000000"/>
                <w:w w:val="15"/>
                <w:sz w:val="19"/>
                <w:szCs w:val="19"/>
                <w:shd w:val="solid" w:color="000000" w:fill="000000"/>
                <w:fitText w:val="30" w:id="-893683956"/>
                <w14:textFill>
                  <w14:solidFill>
                    <w14:srgbClr w14:val="000000">
                      <w14:alpha w14:val="100000"/>
                    </w14:srgbClr>
                  </w14:solidFill>
                </w14:textFill>
              </w:rPr>
              <w:t xml:space="preserve">　</w:t>
            </w:r>
            <w:r w:rsidRPr="00501C36">
              <w:rPr>
                <w:color w:val="000000"/>
                <w:w w:val="15"/>
                <w:sz w:val="19"/>
                <w:szCs w:val="19"/>
                <w:shd w:val="solid" w:color="000000" w:fill="000000"/>
                <w:fitText w:val="30" w:id="-893683956"/>
                <w14:textFill>
                  <w14:solidFill>
                    <w14:srgbClr w14:val="000000">
                      <w14:alpha w14:val="100000"/>
                    </w14:srgbClr>
                  </w14:solidFill>
                </w14:textFill>
              </w:rPr>
              <w:t>|</w:t>
            </w:r>
            <w:r w:rsidRPr="00501C36">
              <w:rPr>
                <w:rFonts w:hint="eastAsia"/>
                <w:color w:val="000000"/>
                <w:spacing w:val="-32"/>
                <w:w w:val="15"/>
                <w:sz w:val="19"/>
                <w:szCs w:val="19"/>
                <w:shd w:val="solid" w:color="000000" w:fill="000000"/>
                <w:fitText w:val="30" w:id="-893683956"/>
                <w14:textFill>
                  <w14:solidFill>
                    <w14:srgbClr w14:val="000000">
                      <w14:alpha w14:val="100000"/>
                    </w14:srgbClr>
                  </w14:solidFill>
                </w14:textFill>
              </w:rPr>
              <w:t xml:space="preserve">　</w:t>
            </w:r>
            <w:r w:rsidR="00C941DC" w:rsidRPr="003F0AD1">
              <w:rPr>
                <w:vertAlign w:val="superscript"/>
              </w:rPr>
              <w:t>2</w:t>
            </w:r>
          </w:p>
        </w:tc>
        <w:tc>
          <w:tcPr>
            <w:tcW w:w="551" w:type="pct"/>
          </w:tcPr>
          <w:p w14:paraId="5847A541" w14:textId="7AB86BDB"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5"/>
                <w14:textFill>
                  <w14:solidFill>
                    <w14:srgbClr w14:val="000000">
                      <w14:alpha w14:val="100000"/>
                    </w14:srgbClr>
                  </w14:solidFill>
                </w14:textFill>
              </w:rPr>
              <w:t xml:space="preserve">　</w:t>
            </w:r>
            <w:r w:rsidRPr="00501C36">
              <w:rPr>
                <w:color w:val="000000"/>
                <w:w w:val="23"/>
                <w:shd w:val="solid" w:color="000000" w:fill="000000"/>
                <w:fitText w:val="105" w:id="-893683955"/>
                <w14:textFill>
                  <w14:solidFill>
                    <w14:srgbClr w14:val="000000">
                      <w14:alpha w14:val="100000"/>
                    </w14:srgbClr>
                  </w14:solidFill>
                </w14:textFill>
              </w:rPr>
              <w:t>|</w:t>
            </w:r>
            <w:r w:rsidRPr="00501C36">
              <w:rPr>
                <w:rFonts w:hint="eastAsia"/>
                <w:color w:val="000000"/>
                <w:spacing w:val="4"/>
                <w:w w:val="23"/>
                <w:shd w:val="solid" w:color="000000" w:fill="000000"/>
                <w:fitText w:val="105" w:id="-893683955"/>
                <w14:textFill>
                  <w14:solidFill>
                    <w14:srgbClr w14:val="000000">
                      <w14:alpha w14:val="100000"/>
                    </w14:srgbClr>
                  </w14:solidFill>
                </w14:textFill>
              </w:rPr>
              <w:t xml:space="preserve">　</w:t>
            </w:r>
            <w:r w:rsidR="00C941DC" w:rsidRPr="003F0AD1">
              <w:rPr>
                <w:vertAlign w:val="superscript"/>
              </w:rPr>
              <w:t>2</w:t>
            </w:r>
          </w:p>
        </w:tc>
        <w:tc>
          <w:tcPr>
            <w:tcW w:w="471" w:type="pct"/>
          </w:tcPr>
          <w:p w14:paraId="4F9BA5AC" w14:textId="50ADBA18"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4"/>
                <w14:textFill>
                  <w14:solidFill>
                    <w14:srgbClr w14:val="000000">
                      <w14:alpha w14:val="100000"/>
                    </w14:srgbClr>
                  </w14:solidFill>
                </w14:textFill>
              </w:rPr>
              <w:t xml:space="preserve">　</w:t>
            </w:r>
            <w:r w:rsidRPr="00501C36">
              <w:rPr>
                <w:color w:val="000000"/>
                <w:w w:val="23"/>
                <w:shd w:val="solid" w:color="000000" w:fill="000000"/>
                <w:fitText w:val="105" w:id="-893683954"/>
                <w14:textFill>
                  <w14:solidFill>
                    <w14:srgbClr w14:val="000000">
                      <w14:alpha w14:val="100000"/>
                    </w14:srgbClr>
                  </w14:solidFill>
                </w14:textFill>
              </w:rPr>
              <w:t>|</w:t>
            </w:r>
            <w:r w:rsidRPr="00501C36">
              <w:rPr>
                <w:rFonts w:hint="eastAsia"/>
                <w:color w:val="000000"/>
                <w:spacing w:val="4"/>
                <w:w w:val="23"/>
                <w:shd w:val="solid" w:color="000000" w:fill="000000"/>
                <w:fitText w:val="105" w:id="-893683954"/>
                <w14:textFill>
                  <w14:solidFill>
                    <w14:srgbClr w14:val="000000">
                      <w14:alpha w14:val="100000"/>
                    </w14:srgbClr>
                  </w14:solidFill>
                </w14:textFill>
              </w:rPr>
              <w:t xml:space="preserve">　</w:t>
            </w:r>
            <w:r w:rsidR="00C941DC" w:rsidRPr="003F0AD1">
              <w:rPr>
                <w:vertAlign w:val="superscript"/>
              </w:rPr>
              <w:t>2</w:t>
            </w:r>
          </w:p>
        </w:tc>
        <w:tc>
          <w:tcPr>
            <w:tcW w:w="551" w:type="pct"/>
          </w:tcPr>
          <w:p w14:paraId="212FA961" w14:textId="5DD7FB0E"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3"/>
                <w14:textFill>
                  <w14:solidFill>
                    <w14:srgbClr w14:val="000000">
                      <w14:alpha w14:val="100000"/>
                    </w14:srgbClr>
                  </w14:solidFill>
                </w14:textFill>
              </w:rPr>
              <w:t xml:space="preserve">　</w:t>
            </w:r>
            <w:r w:rsidRPr="00501C36">
              <w:rPr>
                <w:color w:val="000000"/>
                <w:w w:val="23"/>
                <w:shd w:val="solid" w:color="000000" w:fill="000000"/>
                <w:fitText w:val="105" w:id="-893683953"/>
                <w14:textFill>
                  <w14:solidFill>
                    <w14:srgbClr w14:val="000000">
                      <w14:alpha w14:val="100000"/>
                    </w14:srgbClr>
                  </w14:solidFill>
                </w14:textFill>
              </w:rPr>
              <w:t>|</w:t>
            </w:r>
            <w:r w:rsidRPr="00501C36">
              <w:rPr>
                <w:rFonts w:hint="eastAsia"/>
                <w:color w:val="000000"/>
                <w:spacing w:val="4"/>
                <w:w w:val="23"/>
                <w:shd w:val="solid" w:color="000000" w:fill="000000"/>
                <w:fitText w:val="105" w:id="-893683953"/>
                <w14:textFill>
                  <w14:solidFill>
                    <w14:srgbClr w14:val="000000">
                      <w14:alpha w14:val="100000"/>
                    </w14:srgbClr>
                  </w14:solidFill>
                </w14:textFill>
              </w:rPr>
              <w:t xml:space="preserve">　</w:t>
            </w:r>
            <w:r w:rsidR="00C941DC" w:rsidRPr="003F0AD1">
              <w:rPr>
                <w:vertAlign w:val="superscript"/>
              </w:rPr>
              <w:t>2</w:t>
            </w:r>
          </w:p>
        </w:tc>
        <w:tc>
          <w:tcPr>
            <w:tcW w:w="457" w:type="pct"/>
          </w:tcPr>
          <w:p w14:paraId="3C81A550" w14:textId="2E528A30"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52"/>
                <w14:textFill>
                  <w14:solidFill>
                    <w14:srgbClr w14:val="000000">
                      <w14:alpha w14:val="100000"/>
                    </w14:srgbClr>
                  </w14:solidFill>
                </w14:textFill>
              </w:rPr>
              <w:t xml:space="preserve">　</w:t>
            </w:r>
            <w:r w:rsidRPr="00501C36">
              <w:rPr>
                <w:color w:val="000000"/>
                <w:w w:val="23"/>
                <w:shd w:val="solid" w:color="000000" w:fill="000000"/>
                <w:fitText w:val="105" w:id="-893683952"/>
                <w14:textFill>
                  <w14:solidFill>
                    <w14:srgbClr w14:val="000000">
                      <w14:alpha w14:val="100000"/>
                    </w14:srgbClr>
                  </w14:solidFill>
                </w14:textFill>
              </w:rPr>
              <w:t>|</w:t>
            </w:r>
            <w:r w:rsidRPr="00501C36">
              <w:rPr>
                <w:rFonts w:hint="eastAsia"/>
                <w:color w:val="000000"/>
                <w:spacing w:val="4"/>
                <w:w w:val="23"/>
                <w:shd w:val="solid" w:color="000000" w:fill="000000"/>
                <w:fitText w:val="105" w:id="-893683952"/>
                <w14:textFill>
                  <w14:solidFill>
                    <w14:srgbClr w14:val="000000">
                      <w14:alpha w14:val="100000"/>
                    </w14:srgbClr>
                  </w14:solidFill>
                </w14:textFill>
              </w:rPr>
              <w:t xml:space="preserve">　</w:t>
            </w:r>
            <w:r w:rsidR="00C941DC" w:rsidRPr="003F0AD1">
              <w:rPr>
                <w:vertAlign w:val="superscript"/>
              </w:rPr>
              <w:t>2</w:t>
            </w:r>
          </w:p>
        </w:tc>
        <w:tc>
          <w:tcPr>
            <w:tcW w:w="535" w:type="pct"/>
          </w:tcPr>
          <w:p w14:paraId="54AFB4F2" w14:textId="05D888EB" w:rsidR="00E16CF9" w:rsidRPr="0009066F" w:rsidRDefault="00501C36" w:rsidP="00854496">
            <w:pPr>
              <w:pStyle w:val="TableText0"/>
              <w:jc w:val="center"/>
              <w:rPr>
                <w:sz w:val="19"/>
                <w:szCs w:val="19"/>
                <w:highlight w:val="lightGray"/>
              </w:rPr>
            </w:pPr>
            <w:r w:rsidRPr="00501C36">
              <w:rPr>
                <w:rFonts w:hint="eastAsia"/>
                <w:color w:val="000000"/>
                <w:w w:val="23"/>
                <w:shd w:val="solid" w:color="000000" w:fill="000000"/>
                <w:fitText w:val="105" w:id="-893683968"/>
                <w14:textFill>
                  <w14:solidFill>
                    <w14:srgbClr w14:val="000000">
                      <w14:alpha w14:val="100000"/>
                    </w14:srgbClr>
                  </w14:solidFill>
                </w14:textFill>
              </w:rPr>
              <w:t xml:space="preserve">　</w:t>
            </w:r>
            <w:r w:rsidRPr="00501C36">
              <w:rPr>
                <w:color w:val="000000"/>
                <w:w w:val="23"/>
                <w:shd w:val="solid" w:color="000000" w:fill="000000"/>
                <w:fitText w:val="105" w:id="-893683968"/>
                <w14:textFill>
                  <w14:solidFill>
                    <w14:srgbClr w14:val="000000">
                      <w14:alpha w14:val="100000"/>
                    </w14:srgbClr>
                  </w14:solidFill>
                </w14:textFill>
              </w:rPr>
              <w:t>|</w:t>
            </w:r>
            <w:r w:rsidRPr="00501C36">
              <w:rPr>
                <w:rFonts w:hint="eastAsia"/>
                <w:color w:val="000000"/>
                <w:spacing w:val="4"/>
                <w:w w:val="23"/>
                <w:shd w:val="solid" w:color="000000" w:fill="000000"/>
                <w:fitText w:val="105" w:id="-893683968"/>
                <w14:textFill>
                  <w14:solidFill>
                    <w14:srgbClr w14:val="000000">
                      <w14:alpha w14:val="100000"/>
                    </w14:srgbClr>
                  </w14:solidFill>
                </w14:textFill>
              </w:rPr>
              <w:t xml:space="preserve">　</w:t>
            </w:r>
            <w:r w:rsidR="00C941DC" w:rsidRPr="003F0AD1">
              <w:rPr>
                <w:vertAlign w:val="superscript"/>
              </w:rPr>
              <w:t>2</w:t>
            </w:r>
          </w:p>
        </w:tc>
      </w:tr>
      <w:tr w:rsidR="00F87339" w:rsidRPr="00E16CF9" w14:paraId="69980430" w14:textId="77777777" w:rsidTr="005C19E6">
        <w:tc>
          <w:tcPr>
            <w:tcW w:w="1962" w:type="pct"/>
            <w:vAlign w:val="center"/>
          </w:tcPr>
          <w:p w14:paraId="473065E8" w14:textId="77777777" w:rsidR="00F87339" w:rsidRPr="00E16CF9" w:rsidRDefault="00F87339" w:rsidP="00F87339">
            <w:pPr>
              <w:keepNext/>
              <w:jc w:val="left"/>
              <w:rPr>
                <w:rFonts w:ascii="Arial Narrow" w:eastAsiaTheme="majorEastAsia" w:hAnsi="Arial Narrow" w:cstheme="majorBidi"/>
                <w:b/>
                <w:bCs/>
                <w:iCs/>
                <w:sz w:val="19"/>
                <w:szCs w:val="19"/>
              </w:rPr>
            </w:pPr>
            <w:r w:rsidRPr="00E16CF9">
              <w:rPr>
                <w:rFonts w:ascii="Arial Narrow" w:eastAsiaTheme="majorEastAsia" w:hAnsi="Arial Narrow" w:cstheme="majorBidi"/>
                <w:b/>
                <w:bCs/>
                <w:iCs/>
                <w:sz w:val="19"/>
                <w:szCs w:val="19"/>
              </w:rPr>
              <w:t>Total initial patient years for belzutifan</w:t>
            </w:r>
          </w:p>
        </w:tc>
        <w:tc>
          <w:tcPr>
            <w:tcW w:w="472" w:type="pct"/>
          </w:tcPr>
          <w:p w14:paraId="26C257D0" w14:textId="4D68F099" w:rsidR="00F87339" w:rsidRPr="0009066F" w:rsidRDefault="00F87339" w:rsidP="00F87339">
            <w:pPr>
              <w:pStyle w:val="TableText0"/>
              <w:jc w:val="center"/>
              <w:rPr>
                <w:iCs/>
                <w:sz w:val="19"/>
                <w:szCs w:val="19"/>
                <w:highlight w:val="lightGray"/>
              </w:rPr>
            </w:pP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F87339">
              <w:rPr>
                <w:color w:val="000000"/>
                <w:w w:val="16"/>
                <w:shd w:val="solid" w:color="000000" w:fill="000000"/>
                <w:fitText w:val="75" w:id="-893683965"/>
                <w14:textFill>
                  <w14:solidFill>
                    <w14:srgbClr w14:val="000000">
                      <w14:alpha w14:val="100000"/>
                    </w14:srgbClr>
                  </w14:solidFill>
                </w14:textFill>
              </w:rPr>
              <w:t>|</w:t>
            </w: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09066F">
              <w:rPr>
                <w:vertAlign w:val="superscript"/>
              </w:rPr>
              <w:t>2</w:t>
            </w:r>
          </w:p>
        </w:tc>
        <w:tc>
          <w:tcPr>
            <w:tcW w:w="551" w:type="pct"/>
          </w:tcPr>
          <w:p w14:paraId="08AF9AEF" w14:textId="18B62AD7"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4"/>
                <w14:textFill>
                  <w14:solidFill>
                    <w14:srgbClr w14:val="000000">
                      <w14:alpha w14:val="100000"/>
                    </w14:srgbClr>
                  </w14:solidFill>
                </w14:textFill>
              </w:rPr>
              <w:t xml:space="preserve">　</w:t>
            </w:r>
            <w:r w:rsidRPr="00F87339">
              <w:rPr>
                <w:color w:val="000000"/>
                <w:w w:val="23"/>
                <w:shd w:val="solid" w:color="000000" w:fill="000000"/>
                <w:fitText w:val="105" w:id="-893683964"/>
                <w14:textFill>
                  <w14:solidFill>
                    <w14:srgbClr w14:val="000000">
                      <w14:alpha w14:val="100000"/>
                    </w14:srgbClr>
                  </w14:solidFill>
                </w14:textFill>
              </w:rPr>
              <w:t>|</w:t>
            </w:r>
            <w:r w:rsidRPr="00F87339">
              <w:rPr>
                <w:rFonts w:hint="eastAsia"/>
                <w:color w:val="000000"/>
                <w:spacing w:val="4"/>
                <w:w w:val="23"/>
                <w:shd w:val="solid" w:color="000000" w:fill="000000"/>
                <w:fitText w:val="105" w:id="-893683964"/>
                <w14:textFill>
                  <w14:solidFill>
                    <w14:srgbClr w14:val="000000">
                      <w14:alpha w14:val="100000"/>
                    </w14:srgbClr>
                  </w14:solidFill>
                </w14:textFill>
              </w:rPr>
              <w:t xml:space="preserve">　</w:t>
            </w:r>
            <w:r w:rsidRPr="003F0AD1">
              <w:rPr>
                <w:vertAlign w:val="superscript"/>
              </w:rPr>
              <w:t>2</w:t>
            </w:r>
          </w:p>
        </w:tc>
        <w:tc>
          <w:tcPr>
            <w:tcW w:w="471" w:type="pct"/>
          </w:tcPr>
          <w:p w14:paraId="53D78A88" w14:textId="5E45CB79"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3"/>
                <w14:textFill>
                  <w14:solidFill>
                    <w14:srgbClr w14:val="000000">
                      <w14:alpha w14:val="100000"/>
                    </w14:srgbClr>
                  </w14:solidFill>
                </w14:textFill>
              </w:rPr>
              <w:t xml:space="preserve">　</w:t>
            </w:r>
            <w:r w:rsidRPr="00F87339">
              <w:rPr>
                <w:color w:val="000000"/>
                <w:w w:val="23"/>
                <w:shd w:val="solid" w:color="000000" w:fill="000000"/>
                <w:fitText w:val="105" w:id="-893683963"/>
                <w14:textFill>
                  <w14:solidFill>
                    <w14:srgbClr w14:val="000000">
                      <w14:alpha w14:val="100000"/>
                    </w14:srgbClr>
                  </w14:solidFill>
                </w14:textFill>
              </w:rPr>
              <w:t>|</w:t>
            </w:r>
            <w:r w:rsidRPr="00F87339">
              <w:rPr>
                <w:rFonts w:hint="eastAsia"/>
                <w:color w:val="000000"/>
                <w:spacing w:val="4"/>
                <w:w w:val="23"/>
                <w:shd w:val="solid" w:color="000000" w:fill="000000"/>
                <w:fitText w:val="105" w:id="-893683963"/>
                <w14:textFill>
                  <w14:solidFill>
                    <w14:srgbClr w14:val="000000">
                      <w14:alpha w14:val="100000"/>
                    </w14:srgbClr>
                  </w14:solidFill>
                </w14:textFill>
              </w:rPr>
              <w:t xml:space="preserve">　</w:t>
            </w:r>
            <w:r w:rsidRPr="003F0AD1">
              <w:rPr>
                <w:vertAlign w:val="superscript"/>
              </w:rPr>
              <w:t>2</w:t>
            </w:r>
          </w:p>
        </w:tc>
        <w:tc>
          <w:tcPr>
            <w:tcW w:w="551" w:type="pct"/>
          </w:tcPr>
          <w:p w14:paraId="0EEA56BB" w14:textId="1250D3A4"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2"/>
                <w14:textFill>
                  <w14:solidFill>
                    <w14:srgbClr w14:val="000000">
                      <w14:alpha w14:val="100000"/>
                    </w14:srgbClr>
                  </w14:solidFill>
                </w14:textFill>
              </w:rPr>
              <w:t xml:space="preserve">　</w:t>
            </w:r>
            <w:r w:rsidRPr="00F87339">
              <w:rPr>
                <w:color w:val="000000"/>
                <w:w w:val="23"/>
                <w:shd w:val="solid" w:color="000000" w:fill="000000"/>
                <w:fitText w:val="105" w:id="-893683962"/>
                <w14:textFill>
                  <w14:solidFill>
                    <w14:srgbClr w14:val="000000">
                      <w14:alpha w14:val="100000"/>
                    </w14:srgbClr>
                  </w14:solidFill>
                </w14:textFill>
              </w:rPr>
              <w:t>|</w:t>
            </w:r>
            <w:r w:rsidRPr="00F87339">
              <w:rPr>
                <w:rFonts w:hint="eastAsia"/>
                <w:color w:val="000000"/>
                <w:spacing w:val="4"/>
                <w:w w:val="23"/>
                <w:shd w:val="solid" w:color="000000" w:fill="000000"/>
                <w:fitText w:val="105" w:id="-893683962"/>
                <w14:textFill>
                  <w14:solidFill>
                    <w14:srgbClr w14:val="000000">
                      <w14:alpha w14:val="100000"/>
                    </w14:srgbClr>
                  </w14:solidFill>
                </w14:textFill>
              </w:rPr>
              <w:t xml:space="preserve">　</w:t>
            </w:r>
            <w:r w:rsidRPr="003F0AD1">
              <w:rPr>
                <w:vertAlign w:val="superscript"/>
              </w:rPr>
              <w:t>2</w:t>
            </w:r>
          </w:p>
        </w:tc>
        <w:tc>
          <w:tcPr>
            <w:tcW w:w="457" w:type="pct"/>
          </w:tcPr>
          <w:p w14:paraId="4F0DF6CF" w14:textId="7DFDF71D"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1"/>
                <w14:textFill>
                  <w14:solidFill>
                    <w14:srgbClr w14:val="000000">
                      <w14:alpha w14:val="100000"/>
                    </w14:srgbClr>
                  </w14:solidFill>
                </w14:textFill>
              </w:rPr>
              <w:t xml:space="preserve">　</w:t>
            </w:r>
            <w:r w:rsidRPr="00F87339">
              <w:rPr>
                <w:color w:val="000000"/>
                <w:w w:val="23"/>
                <w:shd w:val="solid" w:color="000000" w:fill="000000"/>
                <w:fitText w:val="105" w:id="-893683961"/>
                <w14:textFill>
                  <w14:solidFill>
                    <w14:srgbClr w14:val="000000">
                      <w14:alpha w14:val="100000"/>
                    </w14:srgbClr>
                  </w14:solidFill>
                </w14:textFill>
              </w:rPr>
              <w:t>|</w:t>
            </w:r>
            <w:r w:rsidRPr="00F87339">
              <w:rPr>
                <w:rFonts w:hint="eastAsia"/>
                <w:color w:val="000000"/>
                <w:spacing w:val="4"/>
                <w:w w:val="23"/>
                <w:shd w:val="solid" w:color="000000" w:fill="000000"/>
                <w:fitText w:val="105" w:id="-893683961"/>
                <w14:textFill>
                  <w14:solidFill>
                    <w14:srgbClr w14:val="000000">
                      <w14:alpha w14:val="100000"/>
                    </w14:srgbClr>
                  </w14:solidFill>
                </w14:textFill>
              </w:rPr>
              <w:t xml:space="preserve">　</w:t>
            </w:r>
            <w:r w:rsidRPr="003F0AD1">
              <w:rPr>
                <w:vertAlign w:val="superscript"/>
              </w:rPr>
              <w:t>2</w:t>
            </w:r>
          </w:p>
        </w:tc>
        <w:tc>
          <w:tcPr>
            <w:tcW w:w="535" w:type="pct"/>
          </w:tcPr>
          <w:p w14:paraId="65C249D9" w14:textId="34D2B33E"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0"/>
                <w14:textFill>
                  <w14:solidFill>
                    <w14:srgbClr w14:val="000000">
                      <w14:alpha w14:val="100000"/>
                    </w14:srgbClr>
                  </w14:solidFill>
                </w14:textFill>
              </w:rPr>
              <w:t xml:space="preserve">　</w:t>
            </w:r>
            <w:r w:rsidRPr="00F87339">
              <w:rPr>
                <w:color w:val="000000"/>
                <w:w w:val="23"/>
                <w:shd w:val="solid" w:color="000000" w:fill="000000"/>
                <w:fitText w:val="105" w:id="-893683960"/>
                <w14:textFill>
                  <w14:solidFill>
                    <w14:srgbClr w14:val="000000">
                      <w14:alpha w14:val="100000"/>
                    </w14:srgbClr>
                  </w14:solidFill>
                </w14:textFill>
              </w:rPr>
              <w:t>|</w:t>
            </w:r>
            <w:r w:rsidRPr="00F87339">
              <w:rPr>
                <w:rFonts w:hint="eastAsia"/>
                <w:color w:val="000000"/>
                <w:spacing w:val="4"/>
                <w:w w:val="23"/>
                <w:shd w:val="solid" w:color="000000" w:fill="000000"/>
                <w:fitText w:val="105" w:id="-893683960"/>
                <w14:textFill>
                  <w14:solidFill>
                    <w14:srgbClr w14:val="000000">
                      <w14:alpha w14:val="100000"/>
                    </w14:srgbClr>
                  </w14:solidFill>
                </w14:textFill>
              </w:rPr>
              <w:t xml:space="preserve">　</w:t>
            </w:r>
            <w:r w:rsidRPr="003F0AD1">
              <w:rPr>
                <w:vertAlign w:val="superscript"/>
              </w:rPr>
              <w:t>2</w:t>
            </w:r>
          </w:p>
        </w:tc>
      </w:tr>
      <w:tr w:rsidR="00E16CF9" w:rsidRPr="00E16CF9" w14:paraId="46F3A7DB" w14:textId="77777777" w:rsidTr="005C19E6">
        <w:tc>
          <w:tcPr>
            <w:tcW w:w="1962" w:type="pct"/>
            <w:vAlign w:val="center"/>
          </w:tcPr>
          <w:p w14:paraId="07E59708" w14:textId="77777777" w:rsidR="00E16CF9" w:rsidRPr="00E16CF9" w:rsidRDefault="00E16CF9" w:rsidP="00854496">
            <w:pPr>
              <w:keepNext/>
              <w:jc w:val="left"/>
              <w:rPr>
                <w:rFonts w:ascii="Arial Narrow" w:eastAsiaTheme="majorEastAsia" w:hAnsi="Arial Narrow" w:cstheme="majorBidi"/>
                <w:b/>
                <w:bCs/>
                <w:iCs/>
                <w:sz w:val="19"/>
                <w:szCs w:val="19"/>
              </w:rPr>
            </w:pPr>
            <w:r w:rsidRPr="00E16CF9">
              <w:rPr>
                <w:rFonts w:ascii="Arial Narrow" w:eastAsiaTheme="majorEastAsia" w:hAnsi="Arial Narrow" w:cstheme="majorBidi"/>
                <w:b/>
                <w:bCs/>
                <w:iCs/>
                <w:sz w:val="19"/>
                <w:szCs w:val="19"/>
              </w:rPr>
              <w:t>Continuing belzutifan treatment (pt yrs)</w:t>
            </w:r>
          </w:p>
        </w:tc>
        <w:tc>
          <w:tcPr>
            <w:tcW w:w="472" w:type="pct"/>
            <w:vAlign w:val="center"/>
          </w:tcPr>
          <w:p w14:paraId="0DDFCF79" w14:textId="77777777" w:rsidR="00E16CF9" w:rsidRPr="0009066F" w:rsidRDefault="00E16CF9" w:rsidP="00854496">
            <w:pPr>
              <w:pStyle w:val="TableText0"/>
              <w:jc w:val="center"/>
              <w:rPr>
                <w:iCs/>
                <w:sz w:val="19"/>
                <w:szCs w:val="19"/>
                <w:highlight w:val="lightGray"/>
              </w:rPr>
            </w:pPr>
          </w:p>
        </w:tc>
        <w:tc>
          <w:tcPr>
            <w:tcW w:w="551" w:type="pct"/>
            <w:vAlign w:val="center"/>
          </w:tcPr>
          <w:p w14:paraId="5E2705F5" w14:textId="77777777" w:rsidR="00E16CF9" w:rsidRPr="0009066F" w:rsidRDefault="00E16CF9" w:rsidP="00854496">
            <w:pPr>
              <w:pStyle w:val="TableText0"/>
              <w:jc w:val="center"/>
              <w:rPr>
                <w:iCs/>
                <w:highlight w:val="lightGray"/>
              </w:rPr>
            </w:pPr>
          </w:p>
        </w:tc>
        <w:tc>
          <w:tcPr>
            <w:tcW w:w="471" w:type="pct"/>
            <w:vAlign w:val="center"/>
          </w:tcPr>
          <w:p w14:paraId="1A1C8044" w14:textId="77777777" w:rsidR="00E16CF9" w:rsidRPr="0009066F" w:rsidRDefault="00E16CF9" w:rsidP="00854496">
            <w:pPr>
              <w:pStyle w:val="TableText0"/>
              <w:jc w:val="center"/>
              <w:rPr>
                <w:iCs/>
                <w:highlight w:val="lightGray"/>
              </w:rPr>
            </w:pPr>
          </w:p>
        </w:tc>
        <w:tc>
          <w:tcPr>
            <w:tcW w:w="551" w:type="pct"/>
            <w:vAlign w:val="center"/>
          </w:tcPr>
          <w:p w14:paraId="527178A2" w14:textId="77777777" w:rsidR="00E16CF9" w:rsidRPr="0009066F" w:rsidRDefault="00E16CF9" w:rsidP="00854496">
            <w:pPr>
              <w:pStyle w:val="TableText0"/>
              <w:jc w:val="center"/>
              <w:rPr>
                <w:iCs/>
                <w:highlight w:val="lightGray"/>
              </w:rPr>
            </w:pPr>
          </w:p>
        </w:tc>
        <w:tc>
          <w:tcPr>
            <w:tcW w:w="457" w:type="pct"/>
            <w:vAlign w:val="center"/>
          </w:tcPr>
          <w:p w14:paraId="662DC713" w14:textId="77777777" w:rsidR="00E16CF9" w:rsidRPr="0009066F" w:rsidRDefault="00E16CF9" w:rsidP="00854496">
            <w:pPr>
              <w:pStyle w:val="TableText0"/>
              <w:jc w:val="center"/>
              <w:rPr>
                <w:iCs/>
                <w:highlight w:val="lightGray"/>
              </w:rPr>
            </w:pPr>
          </w:p>
        </w:tc>
        <w:tc>
          <w:tcPr>
            <w:tcW w:w="535" w:type="pct"/>
            <w:vAlign w:val="center"/>
          </w:tcPr>
          <w:p w14:paraId="053B1725" w14:textId="77777777" w:rsidR="00E16CF9" w:rsidRPr="0009066F" w:rsidRDefault="00E16CF9" w:rsidP="00854496">
            <w:pPr>
              <w:pStyle w:val="TableText0"/>
              <w:jc w:val="center"/>
              <w:rPr>
                <w:iCs/>
                <w:highlight w:val="lightGray"/>
              </w:rPr>
            </w:pPr>
          </w:p>
        </w:tc>
      </w:tr>
      <w:tr w:rsidR="00F87339" w:rsidRPr="00E16CF9" w14:paraId="4F907E5A" w14:textId="77777777" w:rsidTr="005C19E6">
        <w:tc>
          <w:tcPr>
            <w:tcW w:w="1962" w:type="pct"/>
            <w:vAlign w:val="center"/>
          </w:tcPr>
          <w:p w14:paraId="0C7B45FE" w14:textId="77777777" w:rsidR="00F87339" w:rsidRPr="00E16CF9" w:rsidRDefault="00F87339" w:rsidP="00F87339">
            <w:pPr>
              <w:keepNext/>
              <w:jc w:val="left"/>
              <w:rPr>
                <w:rFonts w:ascii="Arial Narrow" w:eastAsiaTheme="majorEastAsia" w:hAnsi="Arial Narrow" w:cstheme="majorBidi"/>
                <w:b/>
                <w:bCs/>
                <w:iCs/>
                <w:sz w:val="19"/>
                <w:szCs w:val="19"/>
              </w:rPr>
            </w:pPr>
            <w:r w:rsidRPr="00E16CF9">
              <w:rPr>
                <w:rFonts w:ascii="Arial Narrow" w:eastAsiaTheme="majorEastAsia" w:hAnsi="Arial Narrow" w:cstheme="majorBidi"/>
                <w:b/>
                <w:bCs/>
                <w:iCs/>
                <w:sz w:val="19"/>
                <w:szCs w:val="19"/>
              </w:rPr>
              <w:t>Newly electing treatment</w:t>
            </w:r>
          </w:p>
        </w:tc>
        <w:tc>
          <w:tcPr>
            <w:tcW w:w="472" w:type="pct"/>
          </w:tcPr>
          <w:p w14:paraId="7038D50C" w14:textId="1C31E3DF" w:rsidR="00F87339" w:rsidRPr="0009066F" w:rsidRDefault="00F87339" w:rsidP="00F87339">
            <w:pPr>
              <w:pStyle w:val="TableText0"/>
              <w:jc w:val="center"/>
              <w:rPr>
                <w:iCs/>
                <w:sz w:val="19"/>
                <w:szCs w:val="19"/>
                <w:highlight w:val="lightGray"/>
              </w:rPr>
            </w:pP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F87339">
              <w:rPr>
                <w:color w:val="000000"/>
                <w:w w:val="16"/>
                <w:shd w:val="solid" w:color="000000" w:fill="000000"/>
                <w:fitText w:val="75" w:id="-893683965"/>
                <w14:textFill>
                  <w14:solidFill>
                    <w14:srgbClr w14:val="000000">
                      <w14:alpha w14:val="100000"/>
                    </w14:srgbClr>
                  </w14:solidFill>
                </w14:textFill>
              </w:rPr>
              <w:t>|</w:t>
            </w: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09066F">
              <w:rPr>
                <w:vertAlign w:val="superscript"/>
              </w:rPr>
              <w:t>2</w:t>
            </w:r>
          </w:p>
        </w:tc>
        <w:tc>
          <w:tcPr>
            <w:tcW w:w="551" w:type="pct"/>
          </w:tcPr>
          <w:p w14:paraId="4F521AE7" w14:textId="277B7511"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4"/>
                <w14:textFill>
                  <w14:solidFill>
                    <w14:srgbClr w14:val="000000">
                      <w14:alpha w14:val="100000"/>
                    </w14:srgbClr>
                  </w14:solidFill>
                </w14:textFill>
              </w:rPr>
              <w:t xml:space="preserve">　</w:t>
            </w:r>
            <w:r w:rsidRPr="00F87339">
              <w:rPr>
                <w:color w:val="000000"/>
                <w:w w:val="23"/>
                <w:shd w:val="solid" w:color="000000" w:fill="000000"/>
                <w:fitText w:val="105" w:id="-893683964"/>
                <w14:textFill>
                  <w14:solidFill>
                    <w14:srgbClr w14:val="000000">
                      <w14:alpha w14:val="100000"/>
                    </w14:srgbClr>
                  </w14:solidFill>
                </w14:textFill>
              </w:rPr>
              <w:t>|</w:t>
            </w:r>
            <w:r w:rsidRPr="00F87339">
              <w:rPr>
                <w:rFonts w:hint="eastAsia"/>
                <w:color w:val="000000"/>
                <w:spacing w:val="4"/>
                <w:w w:val="23"/>
                <w:shd w:val="solid" w:color="000000" w:fill="000000"/>
                <w:fitText w:val="105" w:id="-893683964"/>
                <w14:textFill>
                  <w14:solidFill>
                    <w14:srgbClr w14:val="000000">
                      <w14:alpha w14:val="100000"/>
                    </w14:srgbClr>
                  </w14:solidFill>
                </w14:textFill>
              </w:rPr>
              <w:t xml:space="preserve">　</w:t>
            </w:r>
            <w:r w:rsidRPr="003F0AD1">
              <w:rPr>
                <w:vertAlign w:val="superscript"/>
              </w:rPr>
              <w:t>2</w:t>
            </w:r>
          </w:p>
        </w:tc>
        <w:tc>
          <w:tcPr>
            <w:tcW w:w="471" w:type="pct"/>
          </w:tcPr>
          <w:p w14:paraId="1BDEFF57" w14:textId="27E2E418"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3"/>
                <w14:textFill>
                  <w14:solidFill>
                    <w14:srgbClr w14:val="000000">
                      <w14:alpha w14:val="100000"/>
                    </w14:srgbClr>
                  </w14:solidFill>
                </w14:textFill>
              </w:rPr>
              <w:t xml:space="preserve">　</w:t>
            </w:r>
            <w:r w:rsidRPr="00F87339">
              <w:rPr>
                <w:color w:val="000000"/>
                <w:w w:val="23"/>
                <w:shd w:val="solid" w:color="000000" w:fill="000000"/>
                <w:fitText w:val="105" w:id="-893683963"/>
                <w14:textFill>
                  <w14:solidFill>
                    <w14:srgbClr w14:val="000000">
                      <w14:alpha w14:val="100000"/>
                    </w14:srgbClr>
                  </w14:solidFill>
                </w14:textFill>
              </w:rPr>
              <w:t>|</w:t>
            </w:r>
            <w:r w:rsidRPr="00F87339">
              <w:rPr>
                <w:rFonts w:hint="eastAsia"/>
                <w:color w:val="000000"/>
                <w:spacing w:val="4"/>
                <w:w w:val="23"/>
                <w:shd w:val="solid" w:color="000000" w:fill="000000"/>
                <w:fitText w:val="105" w:id="-893683963"/>
                <w14:textFill>
                  <w14:solidFill>
                    <w14:srgbClr w14:val="000000">
                      <w14:alpha w14:val="100000"/>
                    </w14:srgbClr>
                  </w14:solidFill>
                </w14:textFill>
              </w:rPr>
              <w:t xml:space="preserve">　</w:t>
            </w:r>
            <w:r w:rsidRPr="003F0AD1">
              <w:rPr>
                <w:vertAlign w:val="superscript"/>
              </w:rPr>
              <w:t>2</w:t>
            </w:r>
          </w:p>
        </w:tc>
        <w:tc>
          <w:tcPr>
            <w:tcW w:w="551" w:type="pct"/>
          </w:tcPr>
          <w:p w14:paraId="54F663E7" w14:textId="4E2508C7"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2"/>
                <w14:textFill>
                  <w14:solidFill>
                    <w14:srgbClr w14:val="000000">
                      <w14:alpha w14:val="100000"/>
                    </w14:srgbClr>
                  </w14:solidFill>
                </w14:textFill>
              </w:rPr>
              <w:t xml:space="preserve">　</w:t>
            </w:r>
            <w:r w:rsidRPr="00F87339">
              <w:rPr>
                <w:color w:val="000000"/>
                <w:w w:val="23"/>
                <w:shd w:val="solid" w:color="000000" w:fill="000000"/>
                <w:fitText w:val="105" w:id="-893683962"/>
                <w14:textFill>
                  <w14:solidFill>
                    <w14:srgbClr w14:val="000000">
                      <w14:alpha w14:val="100000"/>
                    </w14:srgbClr>
                  </w14:solidFill>
                </w14:textFill>
              </w:rPr>
              <w:t>|</w:t>
            </w:r>
            <w:r w:rsidRPr="00F87339">
              <w:rPr>
                <w:rFonts w:hint="eastAsia"/>
                <w:color w:val="000000"/>
                <w:spacing w:val="4"/>
                <w:w w:val="23"/>
                <w:shd w:val="solid" w:color="000000" w:fill="000000"/>
                <w:fitText w:val="105" w:id="-893683962"/>
                <w14:textFill>
                  <w14:solidFill>
                    <w14:srgbClr w14:val="000000">
                      <w14:alpha w14:val="100000"/>
                    </w14:srgbClr>
                  </w14:solidFill>
                </w14:textFill>
              </w:rPr>
              <w:t xml:space="preserve">　</w:t>
            </w:r>
            <w:r w:rsidRPr="003F0AD1">
              <w:rPr>
                <w:vertAlign w:val="superscript"/>
              </w:rPr>
              <w:t>2</w:t>
            </w:r>
          </w:p>
        </w:tc>
        <w:tc>
          <w:tcPr>
            <w:tcW w:w="457" w:type="pct"/>
          </w:tcPr>
          <w:p w14:paraId="0B6370B5" w14:textId="7C3A89CF"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1"/>
                <w14:textFill>
                  <w14:solidFill>
                    <w14:srgbClr w14:val="000000">
                      <w14:alpha w14:val="100000"/>
                    </w14:srgbClr>
                  </w14:solidFill>
                </w14:textFill>
              </w:rPr>
              <w:t xml:space="preserve">　</w:t>
            </w:r>
            <w:r w:rsidRPr="00F87339">
              <w:rPr>
                <w:color w:val="000000"/>
                <w:w w:val="23"/>
                <w:shd w:val="solid" w:color="000000" w:fill="000000"/>
                <w:fitText w:val="105" w:id="-893683961"/>
                <w14:textFill>
                  <w14:solidFill>
                    <w14:srgbClr w14:val="000000">
                      <w14:alpha w14:val="100000"/>
                    </w14:srgbClr>
                  </w14:solidFill>
                </w14:textFill>
              </w:rPr>
              <w:t>|</w:t>
            </w:r>
            <w:r w:rsidRPr="00F87339">
              <w:rPr>
                <w:rFonts w:hint="eastAsia"/>
                <w:color w:val="000000"/>
                <w:spacing w:val="4"/>
                <w:w w:val="23"/>
                <w:shd w:val="solid" w:color="000000" w:fill="000000"/>
                <w:fitText w:val="105" w:id="-893683961"/>
                <w14:textFill>
                  <w14:solidFill>
                    <w14:srgbClr w14:val="000000">
                      <w14:alpha w14:val="100000"/>
                    </w14:srgbClr>
                  </w14:solidFill>
                </w14:textFill>
              </w:rPr>
              <w:t xml:space="preserve">　</w:t>
            </w:r>
            <w:r w:rsidRPr="003F0AD1">
              <w:rPr>
                <w:vertAlign w:val="superscript"/>
              </w:rPr>
              <w:t>2</w:t>
            </w:r>
          </w:p>
        </w:tc>
        <w:tc>
          <w:tcPr>
            <w:tcW w:w="535" w:type="pct"/>
          </w:tcPr>
          <w:p w14:paraId="00E796CA" w14:textId="7A7428DA"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0"/>
                <w14:textFill>
                  <w14:solidFill>
                    <w14:srgbClr w14:val="000000">
                      <w14:alpha w14:val="100000"/>
                    </w14:srgbClr>
                  </w14:solidFill>
                </w14:textFill>
              </w:rPr>
              <w:t xml:space="preserve">　</w:t>
            </w:r>
            <w:r w:rsidRPr="00F87339">
              <w:rPr>
                <w:color w:val="000000"/>
                <w:w w:val="23"/>
                <w:shd w:val="solid" w:color="000000" w:fill="000000"/>
                <w:fitText w:val="105" w:id="-893683960"/>
                <w14:textFill>
                  <w14:solidFill>
                    <w14:srgbClr w14:val="000000">
                      <w14:alpha w14:val="100000"/>
                    </w14:srgbClr>
                  </w14:solidFill>
                </w14:textFill>
              </w:rPr>
              <w:t>|</w:t>
            </w:r>
            <w:r w:rsidRPr="00F87339">
              <w:rPr>
                <w:rFonts w:hint="eastAsia"/>
                <w:color w:val="000000"/>
                <w:spacing w:val="4"/>
                <w:w w:val="23"/>
                <w:shd w:val="solid" w:color="000000" w:fill="000000"/>
                <w:fitText w:val="105" w:id="-893683960"/>
                <w14:textFill>
                  <w14:solidFill>
                    <w14:srgbClr w14:val="000000">
                      <w14:alpha w14:val="100000"/>
                    </w14:srgbClr>
                  </w14:solidFill>
                </w14:textFill>
              </w:rPr>
              <w:t xml:space="preserve">　</w:t>
            </w:r>
            <w:r w:rsidRPr="003F0AD1">
              <w:rPr>
                <w:vertAlign w:val="superscript"/>
              </w:rPr>
              <w:t>2</w:t>
            </w:r>
          </w:p>
        </w:tc>
      </w:tr>
      <w:tr w:rsidR="00F87339" w:rsidRPr="00E16CF9" w14:paraId="77284615" w14:textId="77777777" w:rsidTr="005C19E6">
        <w:tc>
          <w:tcPr>
            <w:tcW w:w="1962" w:type="pct"/>
            <w:vAlign w:val="center"/>
          </w:tcPr>
          <w:p w14:paraId="754C1AA9" w14:textId="77777777" w:rsidR="00F87339" w:rsidRPr="00E16CF9" w:rsidRDefault="00F87339" w:rsidP="00F87339">
            <w:pPr>
              <w:keepNext/>
              <w:jc w:val="left"/>
              <w:rPr>
                <w:rFonts w:ascii="Arial Narrow" w:eastAsiaTheme="majorEastAsia" w:hAnsi="Arial Narrow" w:cstheme="majorBidi"/>
                <w:b/>
                <w:bCs/>
                <w:iCs/>
                <w:sz w:val="19"/>
                <w:szCs w:val="19"/>
              </w:rPr>
            </w:pPr>
            <w:r w:rsidRPr="00E16CF9">
              <w:rPr>
                <w:rFonts w:ascii="Arial Narrow" w:eastAsiaTheme="majorEastAsia" w:hAnsi="Arial Narrow" w:cstheme="majorBidi"/>
                <w:b/>
                <w:bCs/>
                <w:iCs/>
                <w:sz w:val="19"/>
                <w:szCs w:val="19"/>
              </w:rPr>
              <w:t>Grandfathered patients</w:t>
            </w:r>
          </w:p>
        </w:tc>
        <w:tc>
          <w:tcPr>
            <w:tcW w:w="472" w:type="pct"/>
          </w:tcPr>
          <w:p w14:paraId="03A7B424" w14:textId="69C3435E" w:rsidR="00F87339" w:rsidRPr="0009066F" w:rsidRDefault="00F87339" w:rsidP="00F87339">
            <w:pPr>
              <w:pStyle w:val="TableText0"/>
              <w:jc w:val="center"/>
              <w:rPr>
                <w:iCs/>
                <w:sz w:val="19"/>
                <w:szCs w:val="19"/>
                <w:highlight w:val="lightGray"/>
              </w:rPr>
            </w:pP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F87339">
              <w:rPr>
                <w:color w:val="000000"/>
                <w:w w:val="16"/>
                <w:shd w:val="solid" w:color="000000" w:fill="000000"/>
                <w:fitText w:val="75" w:id="-893683965"/>
                <w14:textFill>
                  <w14:solidFill>
                    <w14:srgbClr w14:val="000000">
                      <w14:alpha w14:val="100000"/>
                    </w14:srgbClr>
                  </w14:solidFill>
                </w14:textFill>
              </w:rPr>
              <w:t>|</w:t>
            </w: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09066F">
              <w:rPr>
                <w:vertAlign w:val="superscript"/>
              </w:rPr>
              <w:t>2</w:t>
            </w:r>
          </w:p>
        </w:tc>
        <w:tc>
          <w:tcPr>
            <w:tcW w:w="551" w:type="pct"/>
          </w:tcPr>
          <w:p w14:paraId="53B68E89" w14:textId="27835850"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4"/>
                <w14:textFill>
                  <w14:solidFill>
                    <w14:srgbClr w14:val="000000">
                      <w14:alpha w14:val="100000"/>
                    </w14:srgbClr>
                  </w14:solidFill>
                </w14:textFill>
              </w:rPr>
              <w:t xml:space="preserve">　</w:t>
            </w:r>
            <w:r w:rsidRPr="00F87339">
              <w:rPr>
                <w:color w:val="000000"/>
                <w:w w:val="23"/>
                <w:shd w:val="solid" w:color="000000" w:fill="000000"/>
                <w:fitText w:val="105" w:id="-893683964"/>
                <w14:textFill>
                  <w14:solidFill>
                    <w14:srgbClr w14:val="000000">
                      <w14:alpha w14:val="100000"/>
                    </w14:srgbClr>
                  </w14:solidFill>
                </w14:textFill>
              </w:rPr>
              <w:t>|</w:t>
            </w:r>
            <w:r w:rsidRPr="00F87339">
              <w:rPr>
                <w:rFonts w:hint="eastAsia"/>
                <w:color w:val="000000"/>
                <w:spacing w:val="4"/>
                <w:w w:val="23"/>
                <w:shd w:val="solid" w:color="000000" w:fill="000000"/>
                <w:fitText w:val="105" w:id="-893683964"/>
                <w14:textFill>
                  <w14:solidFill>
                    <w14:srgbClr w14:val="000000">
                      <w14:alpha w14:val="100000"/>
                    </w14:srgbClr>
                  </w14:solidFill>
                </w14:textFill>
              </w:rPr>
              <w:t xml:space="preserve">　</w:t>
            </w:r>
            <w:r w:rsidRPr="003F0AD1">
              <w:rPr>
                <w:vertAlign w:val="superscript"/>
              </w:rPr>
              <w:t>2</w:t>
            </w:r>
          </w:p>
        </w:tc>
        <w:tc>
          <w:tcPr>
            <w:tcW w:w="471" w:type="pct"/>
          </w:tcPr>
          <w:p w14:paraId="1D870639" w14:textId="43AABACC"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3"/>
                <w14:textFill>
                  <w14:solidFill>
                    <w14:srgbClr w14:val="000000">
                      <w14:alpha w14:val="100000"/>
                    </w14:srgbClr>
                  </w14:solidFill>
                </w14:textFill>
              </w:rPr>
              <w:t xml:space="preserve">　</w:t>
            </w:r>
            <w:r w:rsidRPr="00F87339">
              <w:rPr>
                <w:color w:val="000000"/>
                <w:w w:val="23"/>
                <w:shd w:val="solid" w:color="000000" w:fill="000000"/>
                <w:fitText w:val="105" w:id="-893683963"/>
                <w14:textFill>
                  <w14:solidFill>
                    <w14:srgbClr w14:val="000000">
                      <w14:alpha w14:val="100000"/>
                    </w14:srgbClr>
                  </w14:solidFill>
                </w14:textFill>
              </w:rPr>
              <w:t>|</w:t>
            </w:r>
            <w:r w:rsidRPr="00F87339">
              <w:rPr>
                <w:rFonts w:hint="eastAsia"/>
                <w:color w:val="000000"/>
                <w:spacing w:val="4"/>
                <w:w w:val="23"/>
                <w:shd w:val="solid" w:color="000000" w:fill="000000"/>
                <w:fitText w:val="105" w:id="-893683963"/>
                <w14:textFill>
                  <w14:solidFill>
                    <w14:srgbClr w14:val="000000">
                      <w14:alpha w14:val="100000"/>
                    </w14:srgbClr>
                  </w14:solidFill>
                </w14:textFill>
              </w:rPr>
              <w:t xml:space="preserve">　</w:t>
            </w:r>
            <w:r w:rsidRPr="003F0AD1">
              <w:rPr>
                <w:vertAlign w:val="superscript"/>
              </w:rPr>
              <w:t>2</w:t>
            </w:r>
          </w:p>
        </w:tc>
        <w:tc>
          <w:tcPr>
            <w:tcW w:w="551" w:type="pct"/>
          </w:tcPr>
          <w:p w14:paraId="60067420" w14:textId="60A40903"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2"/>
                <w14:textFill>
                  <w14:solidFill>
                    <w14:srgbClr w14:val="000000">
                      <w14:alpha w14:val="100000"/>
                    </w14:srgbClr>
                  </w14:solidFill>
                </w14:textFill>
              </w:rPr>
              <w:t xml:space="preserve">　</w:t>
            </w:r>
            <w:r w:rsidRPr="00F87339">
              <w:rPr>
                <w:color w:val="000000"/>
                <w:w w:val="23"/>
                <w:shd w:val="solid" w:color="000000" w:fill="000000"/>
                <w:fitText w:val="105" w:id="-893683962"/>
                <w14:textFill>
                  <w14:solidFill>
                    <w14:srgbClr w14:val="000000">
                      <w14:alpha w14:val="100000"/>
                    </w14:srgbClr>
                  </w14:solidFill>
                </w14:textFill>
              </w:rPr>
              <w:t>|</w:t>
            </w:r>
            <w:r w:rsidRPr="00F87339">
              <w:rPr>
                <w:rFonts w:hint="eastAsia"/>
                <w:color w:val="000000"/>
                <w:spacing w:val="4"/>
                <w:w w:val="23"/>
                <w:shd w:val="solid" w:color="000000" w:fill="000000"/>
                <w:fitText w:val="105" w:id="-893683962"/>
                <w14:textFill>
                  <w14:solidFill>
                    <w14:srgbClr w14:val="000000">
                      <w14:alpha w14:val="100000"/>
                    </w14:srgbClr>
                  </w14:solidFill>
                </w14:textFill>
              </w:rPr>
              <w:t xml:space="preserve">　</w:t>
            </w:r>
            <w:r w:rsidRPr="003F0AD1">
              <w:rPr>
                <w:vertAlign w:val="superscript"/>
              </w:rPr>
              <w:t>2</w:t>
            </w:r>
          </w:p>
        </w:tc>
        <w:tc>
          <w:tcPr>
            <w:tcW w:w="457" w:type="pct"/>
          </w:tcPr>
          <w:p w14:paraId="72A1CB09" w14:textId="1F40B525"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1"/>
                <w14:textFill>
                  <w14:solidFill>
                    <w14:srgbClr w14:val="000000">
                      <w14:alpha w14:val="100000"/>
                    </w14:srgbClr>
                  </w14:solidFill>
                </w14:textFill>
              </w:rPr>
              <w:t xml:space="preserve">　</w:t>
            </w:r>
            <w:r w:rsidRPr="00F87339">
              <w:rPr>
                <w:color w:val="000000"/>
                <w:w w:val="23"/>
                <w:shd w:val="solid" w:color="000000" w:fill="000000"/>
                <w:fitText w:val="105" w:id="-893683961"/>
                <w14:textFill>
                  <w14:solidFill>
                    <w14:srgbClr w14:val="000000">
                      <w14:alpha w14:val="100000"/>
                    </w14:srgbClr>
                  </w14:solidFill>
                </w14:textFill>
              </w:rPr>
              <w:t>|</w:t>
            </w:r>
            <w:r w:rsidRPr="00F87339">
              <w:rPr>
                <w:rFonts w:hint="eastAsia"/>
                <w:color w:val="000000"/>
                <w:spacing w:val="4"/>
                <w:w w:val="23"/>
                <w:shd w:val="solid" w:color="000000" w:fill="000000"/>
                <w:fitText w:val="105" w:id="-893683961"/>
                <w14:textFill>
                  <w14:solidFill>
                    <w14:srgbClr w14:val="000000">
                      <w14:alpha w14:val="100000"/>
                    </w14:srgbClr>
                  </w14:solidFill>
                </w14:textFill>
              </w:rPr>
              <w:t xml:space="preserve">　</w:t>
            </w:r>
            <w:r w:rsidRPr="003F0AD1">
              <w:rPr>
                <w:vertAlign w:val="superscript"/>
              </w:rPr>
              <w:t>2</w:t>
            </w:r>
          </w:p>
        </w:tc>
        <w:tc>
          <w:tcPr>
            <w:tcW w:w="535" w:type="pct"/>
          </w:tcPr>
          <w:p w14:paraId="43F70930" w14:textId="0513F6C4"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0"/>
                <w14:textFill>
                  <w14:solidFill>
                    <w14:srgbClr w14:val="000000">
                      <w14:alpha w14:val="100000"/>
                    </w14:srgbClr>
                  </w14:solidFill>
                </w14:textFill>
              </w:rPr>
              <w:t xml:space="preserve">　</w:t>
            </w:r>
            <w:r w:rsidRPr="00F87339">
              <w:rPr>
                <w:color w:val="000000"/>
                <w:w w:val="23"/>
                <w:shd w:val="solid" w:color="000000" w:fill="000000"/>
                <w:fitText w:val="105" w:id="-893683960"/>
                <w14:textFill>
                  <w14:solidFill>
                    <w14:srgbClr w14:val="000000">
                      <w14:alpha w14:val="100000"/>
                    </w14:srgbClr>
                  </w14:solidFill>
                </w14:textFill>
              </w:rPr>
              <w:t>|</w:t>
            </w:r>
            <w:r w:rsidRPr="00F87339">
              <w:rPr>
                <w:rFonts w:hint="eastAsia"/>
                <w:color w:val="000000"/>
                <w:spacing w:val="4"/>
                <w:w w:val="23"/>
                <w:shd w:val="solid" w:color="000000" w:fill="000000"/>
                <w:fitText w:val="105" w:id="-893683960"/>
                <w14:textFill>
                  <w14:solidFill>
                    <w14:srgbClr w14:val="000000">
                      <w14:alpha w14:val="100000"/>
                    </w14:srgbClr>
                  </w14:solidFill>
                </w14:textFill>
              </w:rPr>
              <w:t xml:space="preserve">　</w:t>
            </w:r>
            <w:r w:rsidRPr="003F0AD1">
              <w:rPr>
                <w:vertAlign w:val="superscript"/>
              </w:rPr>
              <w:t>2</w:t>
            </w:r>
          </w:p>
        </w:tc>
      </w:tr>
      <w:tr w:rsidR="00F87339" w:rsidRPr="00E16CF9" w14:paraId="68A274C0" w14:textId="77777777" w:rsidTr="005C19E6">
        <w:tc>
          <w:tcPr>
            <w:tcW w:w="1962" w:type="pct"/>
            <w:vAlign w:val="center"/>
          </w:tcPr>
          <w:p w14:paraId="5F15970D" w14:textId="77777777" w:rsidR="00F87339" w:rsidRPr="00E16CF9" w:rsidRDefault="00F87339" w:rsidP="00F87339">
            <w:pPr>
              <w:keepNext/>
              <w:jc w:val="left"/>
              <w:rPr>
                <w:rFonts w:ascii="Arial Narrow" w:eastAsiaTheme="majorEastAsia" w:hAnsi="Arial Narrow" w:cstheme="majorBidi"/>
                <w:b/>
                <w:bCs/>
                <w:iCs/>
                <w:sz w:val="19"/>
                <w:szCs w:val="19"/>
              </w:rPr>
            </w:pPr>
            <w:r w:rsidRPr="00E16CF9">
              <w:rPr>
                <w:rFonts w:ascii="Arial Narrow" w:eastAsiaTheme="majorEastAsia" w:hAnsi="Arial Narrow" w:cstheme="majorBidi"/>
                <w:b/>
                <w:bCs/>
                <w:iCs/>
                <w:sz w:val="19"/>
                <w:szCs w:val="19"/>
              </w:rPr>
              <w:t>Total continuing treatment (pt yrs)</w:t>
            </w:r>
          </w:p>
        </w:tc>
        <w:tc>
          <w:tcPr>
            <w:tcW w:w="472" w:type="pct"/>
          </w:tcPr>
          <w:p w14:paraId="5A50BEA3" w14:textId="11ADFCFB" w:rsidR="00F87339" w:rsidRPr="0009066F" w:rsidRDefault="00F87339" w:rsidP="00F87339">
            <w:pPr>
              <w:pStyle w:val="TableText0"/>
              <w:jc w:val="center"/>
              <w:rPr>
                <w:iCs/>
                <w:sz w:val="19"/>
                <w:szCs w:val="19"/>
                <w:highlight w:val="lightGray"/>
              </w:rPr>
            </w:pP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F87339">
              <w:rPr>
                <w:color w:val="000000"/>
                <w:w w:val="16"/>
                <w:shd w:val="solid" w:color="000000" w:fill="000000"/>
                <w:fitText w:val="75" w:id="-893683965"/>
                <w14:textFill>
                  <w14:solidFill>
                    <w14:srgbClr w14:val="000000">
                      <w14:alpha w14:val="100000"/>
                    </w14:srgbClr>
                  </w14:solidFill>
                </w14:textFill>
              </w:rPr>
              <w:t>|</w:t>
            </w: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09066F">
              <w:rPr>
                <w:vertAlign w:val="superscript"/>
              </w:rPr>
              <w:t>2</w:t>
            </w:r>
          </w:p>
        </w:tc>
        <w:tc>
          <w:tcPr>
            <w:tcW w:w="551" w:type="pct"/>
          </w:tcPr>
          <w:p w14:paraId="66AE6926" w14:textId="50C28539"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4"/>
                <w14:textFill>
                  <w14:solidFill>
                    <w14:srgbClr w14:val="000000">
                      <w14:alpha w14:val="100000"/>
                    </w14:srgbClr>
                  </w14:solidFill>
                </w14:textFill>
              </w:rPr>
              <w:t xml:space="preserve">　</w:t>
            </w:r>
            <w:r w:rsidRPr="00F87339">
              <w:rPr>
                <w:color w:val="000000"/>
                <w:w w:val="23"/>
                <w:shd w:val="solid" w:color="000000" w:fill="000000"/>
                <w:fitText w:val="105" w:id="-893683964"/>
                <w14:textFill>
                  <w14:solidFill>
                    <w14:srgbClr w14:val="000000">
                      <w14:alpha w14:val="100000"/>
                    </w14:srgbClr>
                  </w14:solidFill>
                </w14:textFill>
              </w:rPr>
              <w:t>|</w:t>
            </w:r>
            <w:r w:rsidRPr="00F87339">
              <w:rPr>
                <w:rFonts w:hint="eastAsia"/>
                <w:color w:val="000000"/>
                <w:spacing w:val="4"/>
                <w:w w:val="23"/>
                <w:shd w:val="solid" w:color="000000" w:fill="000000"/>
                <w:fitText w:val="105" w:id="-893683964"/>
                <w14:textFill>
                  <w14:solidFill>
                    <w14:srgbClr w14:val="000000">
                      <w14:alpha w14:val="100000"/>
                    </w14:srgbClr>
                  </w14:solidFill>
                </w14:textFill>
              </w:rPr>
              <w:t xml:space="preserve">　</w:t>
            </w:r>
            <w:r w:rsidRPr="003F0AD1">
              <w:rPr>
                <w:vertAlign w:val="superscript"/>
              </w:rPr>
              <w:t>2</w:t>
            </w:r>
          </w:p>
        </w:tc>
        <w:tc>
          <w:tcPr>
            <w:tcW w:w="471" w:type="pct"/>
          </w:tcPr>
          <w:p w14:paraId="4C04D343" w14:textId="61F4C7A3"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3"/>
                <w14:textFill>
                  <w14:solidFill>
                    <w14:srgbClr w14:val="000000">
                      <w14:alpha w14:val="100000"/>
                    </w14:srgbClr>
                  </w14:solidFill>
                </w14:textFill>
              </w:rPr>
              <w:t xml:space="preserve">　</w:t>
            </w:r>
            <w:r w:rsidRPr="00F87339">
              <w:rPr>
                <w:color w:val="000000"/>
                <w:w w:val="23"/>
                <w:shd w:val="solid" w:color="000000" w:fill="000000"/>
                <w:fitText w:val="105" w:id="-893683963"/>
                <w14:textFill>
                  <w14:solidFill>
                    <w14:srgbClr w14:val="000000">
                      <w14:alpha w14:val="100000"/>
                    </w14:srgbClr>
                  </w14:solidFill>
                </w14:textFill>
              </w:rPr>
              <w:t>|</w:t>
            </w:r>
            <w:r w:rsidRPr="00F87339">
              <w:rPr>
                <w:rFonts w:hint="eastAsia"/>
                <w:color w:val="000000"/>
                <w:spacing w:val="4"/>
                <w:w w:val="23"/>
                <w:shd w:val="solid" w:color="000000" w:fill="000000"/>
                <w:fitText w:val="105" w:id="-893683963"/>
                <w14:textFill>
                  <w14:solidFill>
                    <w14:srgbClr w14:val="000000">
                      <w14:alpha w14:val="100000"/>
                    </w14:srgbClr>
                  </w14:solidFill>
                </w14:textFill>
              </w:rPr>
              <w:t xml:space="preserve">　</w:t>
            </w:r>
            <w:r w:rsidRPr="003F0AD1">
              <w:rPr>
                <w:vertAlign w:val="superscript"/>
              </w:rPr>
              <w:t>2</w:t>
            </w:r>
          </w:p>
        </w:tc>
        <w:tc>
          <w:tcPr>
            <w:tcW w:w="551" w:type="pct"/>
          </w:tcPr>
          <w:p w14:paraId="70297FDD" w14:textId="1C32F2BF"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2"/>
                <w14:textFill>
                  <w14:solidFill>
                    <w14:srgbClr w14:val="000000">
                      <w14:alpha w14:val="100000"/>
                    </w14:srgbClr>
                  </w14:solidFill>
                </w14:textFill>
              </w:rPr>
              <w:t xml:space="preserve">　</w:t>
            </w:r>
            <w:r w:rsidRPr="00F87339">
              <w:rPr>
                <w:color w:val="000000"/>
                <w:w w:val="23"/>
                <w:shd w:val="solid" w:color="000000" w:fill="000000"/>
                <w:fitText w:val="105" w:id="-893683962"/>
                <w14:textFill>
                  <w14:solidFill>
                    <w14:srgbClr w14:val="000000">
                      <w14:alpha w14:val="100000"/>
                    </w14:srgbClr>
                  </w14:solidFill>
                </w14:textFill>
              </w:rPr>
              <w:t>|</w:t>
            </w:r>
            <w:r w:rsidRPr="00F87339">
              <w:rPr>
                <w:rFonts w:hint="eastAsia"/>
                <w:color w:val="000000"/>
                <w:spacing w:val="4"/>
                <w:w w:val="23"/>
                <w:shd w:val="solid" w:color="000000" w:fill="000000"/>
                <w:fitText w:val="105" w:id="-893683962"/>
                <w14:textFill>
                  <w14:solidFill>
                    <w14:srgbClr w14:val="000000">
                      <w14:alpha w14:val="100000"/>
                    </w14:srgbClr>
                  </w14:solidFill>
                </w14:textFill>
              </w:rPr>
              <w:t xml:space="preserve">　</w:t>
            </w:r>
            <w:r w:rsidRPr="003F0AD1">
              <w:rPr>
                <w:vertAlign w:val="superscript"/>
              </w:rPr>
              <w:t>2</w:t>
            </w:r>
          </w:p>
        </w:tc>
        <w:tc>
          <w:tcPr>
            <w:tcW w:w="457" w:type="pct"/>
          </w:tcPr>
          <w:p w14:paraId="031B28EA" w14:textId="6E426B33"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1"/>
                <w14:textFill>
                  <w14:solidFill>
                    <w14:srgbClr w14:val="000000">
                      <w14:alpha w14:val="100000"/>
                    </w14:srgbClr>
                  </w14:solidFill>
                </w14:textFill>
              </w:rPr>
              <w:t xml:space="preserve">　</w:t>
            </w:r>
            <w:r w:rsidRPr="00F87339">
              <w:rPr>
                <w:color w:val="000000"/>
                <w:w w:val="23"/>
                <w:shd w:val="solid" w:color="000000" w:fill="000000"/>
                <w:fitText w:val="105" w:id="-893683961"/>
                <w14:textFill>
                  <w14:solidFill>
                    <w14:srgbClr w14:val="000000">
                      <w14:alpha w14:val="100000"/>
                    </w14:srgbClr>
                  </w14:solidFill>
                </w14:textFill>
              </w:rPr>
              <w:t>|</w:t>
            </w:r>
            <w:r w:rsidRPr="00F87339">
              <w:rPr>
                <w:rFonts w:hint="eastAsia"/>
                <w:color w:val="000000"/>
                <w:spacing w:val="4"/>
                <w:w w:val="23"/>
                <w:shd w:val="solid" w:color="000000" w:fill="000000"/>
                <w:fitText w:val="105" w:id="-893683961"/>
                <w14:textFill>
                  <w14:solidFill>
                    <w14:srgbClr w14:val="000000">
                      <w14:alpha w14:val="100000"/>
                    </w14:srgbClr>
                  </w14:solidFill>
                </w14:textFill>
              </w:rPr>
              <w:t xml:space="preserve">　</w:t>
            </w:r>
            <w:r w:rsidRPr="003F0AD1">
              <w:rPr>
                <w:vertAlign w:val="superscript"/>
              </w:rPr>
              <w:t>2</w:t>
            </w:r>
          </w:p>
        </w:tc>
        <w:tc>
          <w:tcPr>
            <w:tcW w:w="535" w:type="pct"/>
          </w:tcPr>
          <w:p w14:paraId="43FD5493" w14:textId="6F373082" w:rsidR="00F87339" w:rsidRPr="0009066F" w:rsidRDefault="00F87339" w:rsidP="00F87339">
            <w:pPr>
              <w:pStyle w:val="TableText0"/>
              <w:jc w:val="center"/>
              <w:rPr>
                <w:iCs/>
                <w:highlight w:val="lightGray"/>
              </w:rPr>
            </w:pPr>
            <w:r w:rsidRPr="00F87339">
              <w:rPr>
                <w:rFonts w:hint="eastAsia"/>
                <w:color w:val="000000"/>
                <w:w w:val="23"/>
                <w:shd w:val="solid" w:color="000000" w:fill="000000"/>
                <w:fitText w:val="105" w:id="-893683960"/>
                <w14:textFill>
                  <w14:solidFill>
                    <w14:srgbClr w14:val="000000">
                      <w14:alpha w14:val="100000"/>
                    </w14:srgbClr>
                  </w14:solidFill>
                </w14:textFill>
              </w:rPr>
              <w:t xml:space="preserve">　</w:t>
            </w:r>
            <w:r w:rsidRPr="00F87339">
              <w:rPr>
                <w:color w:val="000000"/>
                <w:w w:val="23"/>
                <w:shd w:val="solid" w:color="000000" w:fill="000000"/>
                <w:fitText w:val="105" w:id="-893683960"/>
                <w14:textFill>
                  <w14:solidFill>
                    <w14:srgbClr w14:val="000000">
                      <w14:alpha w14:val="100000"/>
                    </w14:srgbClr>
                  </w14:solidFill>
                </w14:textFill>
              </w:rPr>
              <w:t>|</w:t>
            </w:r>
            <w:r w:rsidRPr="00F87339">
              <w:rPr>
                <w:rFonts w:hint="eastAsia"/>
                <w:color w:val="000000"/>
                <w:spacing w:val="4"/>
                <w:w w:val="23"/>
                <w:shd w:val="solid" w:color="000000" w:fill="000000"/>
                <w:fitText w:val="105" w:id="-893683960"/>
                <w14:textFill>
                  <w14:solidFill>
                    <w14:srgbClr w14:val="000000">
                      <w14:alpha w14:val="100000"/>
                    </w14:srgbClr>
                  </w14:solidFill>
                </w14:textFill>
              </w:rPr>
              <w:t xml:space="preserve">　</w:t>
            </w:r>
            <w:r w:rsidRPr="003F0AD1">
              <w:rPr>
                <w:vertAlign w:val="superscript"/>
              </w:rPr>
              <w:t>2</w:t>
            </w:r>
          </w:p>
        </w:tc>
      </w:tr>
      <w:tr w:rsidR="00E16CF9" w:rsidRPr="004E000B" w14:paraId="2D10EFF6" w14:textId="77777777" w:rsidTr="005C19E6">
        <w:tc>
          <w:tcPr>
            <w:tcW w:w="1962" w:type="pct"/>
            <w:vAlign w:val="center"/>
          </w:tcPr>
          <w:p w14:paraId="3B65E96E" w14:textId="7FD40413" w:rsidR="00E16CF9" w:rsidRDefault="00E16CF9" w:rsidP="00854496">
            <w:pPr>
              <w:keepNext/>
              <w:jc w:val="left"/>
              <w:rPr>
                <w:rFonts w:ascii="Arial Narrow" w:eastAsiaTheme="majorEastAsia" w:hAnsi="Arial Narrow" w:cstheme="majorBidi"/>
                <w:b/>
                <w:bCs/>
                <w:sz w:val="19"/>
                <w:szCs w:val="19"/>
              </w:rPr>
            </w:pPr>
            <w:r>
              <w:rPr>
                <w:rFonts w:ascii="Arial Narrow" w:eastAsiaTheme="majorEastAsia" w:hAnsi="Arial Narrow" w:cstheme="majorBidi"/>
                <w:b/>
                <w:bCs/>
                <w:sz w:val="19"/>
                <w:szCs w:val="19"/>
              </w:rPr>
              <w:t>Effective cost of belzutifan to PBS/RPBS</w:t>
            </w:r>
            <w:r w:rsidR="00C941DC">
              <w:rPr>
                <w:rFonts w:ascii="Arial Narrow" w:eastAsiaTheme="majorEastAsia" w:hAnsi="Arial Narrow" w:cstheme="majorBidi"/>
                <w:b/>
                <w:bCs/>
                <w:sz w:val="19"/>
                <w:szCs w:val="19"/>
              </w:rPr>
              <w:t xml:space="preserve"> ($)</w:t>
            </w:r>
          </w:p>
        </w:tc>
        <w:tc>
          <w:tcPr>
            <w:tcW w:w="472" w:type="pct"/>
          </w:tcPr>
          <w:p w14:paraId="4FB8E838" w14:textId="0D029EC0" w:rsidR="00E16CF9" w:rsidRPr="0009066F" w:rsidRDefault="00501C36" w:rsidP="00854496">
            <w:pPr>
              <w:pStyle w:val="TableText0"/>
              <w:jc w:val="center"/>
              <w:rPr>
                <w:highlight w:val="lightGray"/>
              </w:rPr>
            </w:pPr>
            <w:r w:rsidRPr="00501C36">
              <w:rPr>
                <w:rFonts w:hint="eastAsia"/>
                <w:color w:val="000000"/>
                <w:w w:val="16"/>
                <w:shd w:val="solid" w:color="000000" w:fill="000000"/>
                <w:fitText w:val="75" w:id="-893683953"/>
                <w14:textFill>
                  <w14:solidFill>
                    <w14:srgbClr w14:val="000000">
                      <w14:alpha w14:val="100000"/>
                    </w14:srgbClr>
                  </w14:solidFill>
                </w14:textFill>
              </w:rPr>
              <w:t xml:space="preserve">　</w:t>
            </w:r>
            <w:r w:rsidRPr="00501C36">
              <w:rPr>
                <w:color w:val="000000"/>
                <w:w w:val="16"/>
                <w:shd w:val="solid" w:color="000000" w:fill="000000"/>
                <w:fitText w:val="75" w:id="-893683953"/>
                <w14:textFill>
                  <w14:solidFill>
                    <w14:srgbClr w14:val="000000">
                      <w14:alpha w14:val="100000"/>
                    </w14:srgbClr>
                  </w14:solidFill>
                </w14:textFill>
              </w:rPr>
              <w:t>|</w:t>
            </w:r>
            <w:r w:rsidRPr="00501C36">
              <w:rPr>
                <w:rFonts w:hint="eastAsia"/>
                <w:color w:val="000000"/>
                <w:spacing w:val="5"/>
                <w:w w:val="16"/>
                <w:shd w:val="solid" w:color="000000" w:fill="000000"/>
                <w:fitText w:val="75" w:id="-893683953"/>
                <w14:textFill>
                  <w14:solidFill>
                    <w14:srgbClr w14:val="000000">
                      <w14:alpha w14:val="100000"/>
                    </w14:srgbClr>
                  </w14:solidFill>
                </w14:textFill>
              </w:rPr>
              <w:t xml:space="preserve">　</w:t>
            </w:r>
            <w:r w:rsidR="00E3560E" w:rsidRPr="0009066F">
              <w:rPr>
                <w:vertAlign w:val="superscript"/>
              </w:rPr>
              <w:t>3</w:t>
            </w:r>
          </w:p>
        </w:tc>
        <w:tc>
          <w:tcPr>
            <w:tcW w:w="551" w:type="pct"/>
          </w:tcPr>
          <w:p w14:paraId="03B17C39" w14:textId="580959F0" w:rsidR="00E16CF9" w:rsidRPr="0009066F" w:rsidRDefault="00501C36" w:rsidP="00854496">
            <w:pPr>
              <w:pStyle w:val="TableText0"/>
              <w:jc w:val="center"/>
              <w:rPr>
                <w:highlight w:val="lightGray"/>
              </w:rPr>
            </w:pPr>
            <w:r w:rsidRPr="00F87339">
              <w:rPr>
                <w:rFonts w:hint="eastAsia"/>
                <w:color w:val="000000"/>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Pr="00F87339">
              <w:rPr>
                <w:rFonts w:hint="eastAsia"/>
                <w:color w:val="000000"/>
                <w:spacing w:val="4"/>
                <w:w w:val="23"/>
                <w:shd w:val="solid" w:color="000000" w:fill="000000"/>
                <w:fitText w:val="105" w:id="-893683952"/>
                <w14:textFill>
                  <w14:solidFill>
                    <w14:srgbClr w14:val="000000">
                      <w14:alpha w14:val="100000"/>
                    </w14:srgbClr>
                  </w14:solidFill>
                </w14:textFill>
              </w:rPr>
              <w:t xml:space="preserve">　</w:t>
            </w:r>
            <w:r w:rsidR="00E3560E" w:rsidRPr="0009066F">
              <w:rPr>
                <w:vertAlign w:val="superscript"/>
              </w:rPr>
              <w:t>4</w:t>
            </w:r>
          </w:p>
        </w:tc>
        <w:tc>
          <w:tcPr>
            <w:tcW w:w="471" w:type="pct"/>
          </w:tcPr>
          <w:p w14:paraId="4AF73BF2" w14:textId="6009E434" w:rsidR="00E16CF9" w:rsidRPr="0009066F" w:rsidRDefault="00F87339" w:rsidP="00854496">
            <w:pPr>
              <w:pStyle w:val="TableText0"/>
              <w:jc w:val="center"/>
              <w:rPr>
                <w:highlight w:val="lightGray"/>
              </w:rPr>
            </w:pPr>
            <w:r w:rsidRPr="00F87339">
              <w:rPr>
                <w:rFonts w:hint="eastAsia"/>
                <w:color w:val="000000"/>
                <w:spacing w:val="49"/>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00E3560E" w:rsidRPr="003F0AD1">
              <w:rPr>
                <w:vertAlign w:val="superscript"/>
              </w:rPr>
              <w:t>4</w:t>
            </w:r>
          </w:p>
        </w:tc>
        <w:tc>
          <w:tcPr>
            <w:tcW w:w="551" w:type="pct"/>
          </w:tcPr>
          <w:p w14:paraId="09C39752" w14:textId="13BB0860" w:rsidR="00E16CF9" w:rsidRPr="0009066F" w:rsidRDefault="00F87339" w:rsidP="00854496">
            <w:pPr>
              <w:pStyle w:val="TableText0"/>
              <w:jc w:val="center"/>
              <w:rPr>
                <w:highlight w:val="lightGray"/>
              </w:rPr>
            </w:pPr>
            <w:r w:rsidRPr="00F87339">
              <w:rPr>
                <w:rFonts w:hint="eastAsia"/>
                <w:color w:val="000000"/>
                <w:spacing w:val="49"/>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00E3560E" w:rsidRPr="003F0AD1">
              <w:rPr>
                <w:vertAlign w:val="superscript"/>
              </w:rPr>
              <w:t>4</w:t>
            </w:r>
          </w:p>
        </w:tc>
        <w:tc>
          <w:tcPr>
            <w:tcW w:w="457" w:type="pct"/>
          </w:tcPr>
          <w:p w14:paraId="2F90E78D" w14:textId="3D5921B3"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965"/>
                <w14:textFill>
                  <w14:solidFill>
                    <w14:srgbClr w14:val="000000">
                      <w14:alpha w14:val="100000"/>
                    </w14:srgbClr>
                  </w14:solidFill>
                </w14:textFill>
              </w:rPr>
              <w:t xml:space="preserve">　</w:t>
            </w:r>
            <w:r w:rsidRPr="00501C36">
              <w:rPr>
                <w:color w:val="000000"/>
                <w:w w:val="23"/>
                <w:shd w:val="solid" w:color="000000" w:fill="000000"/>
                <w:fitText w:val="105" w:id="-893683965"/>
                <w14:textFill>
                  <w14:solidFill>
                    <w14:srgbClr w14:val="000000">
                      <w14:alpha w14:val="100000"/>
                    </w14:srgbClr>
                  </w14:solidFill>
                </w14:textFill>
              </w:rPr>
              <w:t>|</w:t>
            </w:r>
            <w:r w:rsidRPr="00501C36">
              <w:rPr>
                <w:rFonts w:hint="eastAsia"/>
                <w:color w:val="000000"/>
                <w:spacing w:val="4"/>
                <w:w w:val="23"/>
                <w:shd w:val="solid" w:color="000000" w:fill="000000"/>
                <w:fitText w:val="105" w:id="-893683965"/>
                <w14:textFill>
                  <w14:solidFill>
                    <w14:srgbClr w14:val="000000">
                      <w14:alpha w14:val="100000"/>
                    </w14:srgbClr>
                  </w14:solidFill>
                </w14:textFill>
              </w:rPr>
              <w:t xml:space="preserve">　</w:t>
            </w:r>
            <w:r w:rsidR="00E3560E" w:rsidRPr="0009066F">
              <w:rPr>
                <w:vertAlign w:val="superscript"/>
              </w:rPr>
              <w:t>5</w:t>
            </w:r>
          </w:p>
        </w:tc>
        <w:tc>
          <w:tcPr>
            <w:tcW w:w="535" w:type="pct"/>
          </w:tcPr>
          <w:p w14:paraId="650FDFFE" w14:textId="05712425" w:rsidR="00E16CF9" w:rsidRPr="0009066F" w:rsidRDefault="00F87339" w:rsidP="00854496">
            <w:pPr>
              <w:pStyle w:val="TableText0"/>
              <w:jc w:val="center"/>
              <w:rPr>
                <w:highlight w:val="lightGray"/>
              </w:rPr>
            </w:pPr>
            <w:r w:rsidRPr="00F87339">
              <w:rPr>
                <w:rFonts w:hint="eastAsia"/>
                <w:color w:val="000000"/>
                <w:spacing w:val="49"/>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00E3560E" w:rsidRPr="0009066F">
              <w:rPr>
                <w:vertAlign w:val="superscript"/>
              </w:rPr>
              <w:t>6</w:t>
            </w:r>
          </w:p>
        </w:tc>
      </w:tr>
      <w:tr w:rsidR="00E16CF9" w:rsidRPr="004E000B" w14:paraId="0F43D97E" w14:textId="77777777" w:rsidTr="00854496">
        <w:trPr>
          <w:trHeight w:val="56"/>
        </w:trPr>
        <w:tc>
          <w:tcPr>
            <w:tcW w:w="5000" w:type="pct"/>
            <w:gridSpan w:val="7"/>
            <w:vAlign w:val="center"/>
          </w:tcPr>
          <w:p w14:paraId="7DD27E4A" w14:textId="77777777" w:rsidR="00E16CF9" w:rsidRPr="004E000B" w:rsidRDefault="00E16CF9" w:rsidP="00854496">
            <w:pPr>
              <w:keepNext/>
              <w:jc w:val="left"/>
              <w:rPr>
                <w:rFonts w:ascii="Arial Narrow" w:eastAsiaTheme="majorEastAsia" w:hAnsi="Arial Narrow" w:cstheme="majorBidi"/>
                <w:bCs/>
                <w:sz w:val="19"/>
                <w:szCs w:val="19"/>
              </w:rPr>
            </w:pPr>
            <w:r w:rsidRPr="004E000B">
              <w:rPr>
                <w:rFonts w:ascii="Arial Narrow" w:eastAsiaTheme="majorEastAsia" w:hAnsi="Arial Narrow" w:cstheme="majorBidi"/>
                <w:b/>
                <w:bCs/>
                <w:sz w:val="19"/>
                <w:szCs w:val="19"/>
              </w:rPr>
              <w:t>Estimated financial implications for the PBS/RPBS and the health budget</w:t>
            </w:r>
          </w:p>
        </w:tc>
      </w:tr>
      <w:tr w:rsidR="00E16CF9" w:rsidRPr="004E000B" w14:paraId="0A8DF5E4" w14:textId="77777777" w:rsidTr="005C19E6">
        <w:tc>
          <w:tcPr>
            <w:tcW w:w="1962" w:type="pct"/>
            <w:vAlign w:val="center"/>
          </w:tcPr>
          <w:p w14:paraId="38FB6CF3" w14:textId="77777777" w:rsidR="00E16CF9" w:rsidRPr="004E000B" w:rsidRDefault="00E16CF9" w:rsidP="00854496">
            <w:pPr>
              <w:keepNext/>
              <w:jc w:val="left"/>
              <w:rPr>
                <w:rFonts w:ascii="Arial Narrow" w:eastAsiaTheme="majorEastAsia" w:hAnsi="Arial Narrow" w:cstheme="majorBidi"/>
                <w:bCs/>
                <w:sz w:val="19"/>
                <w:szCs w:val="19"/>
              </w:rPr>
            </w:pPr>
            <w:r>
              <w:rPr>
                <w:rFonts w:ascii="Arial Narrow" w:eastAsiaTheme="majorEastAsia" w:hAnsi="Arial Narrow" w:cstheme="majorBidi"/>
                <w:bCs/>
                <w:sz w:val="19"/>
                <w:szCs w:val="19"/>
              </w:rPr>
              <w:t>Net change in PBS scripts</w:t>
            </w:r>
          </w:p>
        </w:tc>
        <w:tc>
          <w:tcPr>
            <w:tcW w:w="472" w:type="pct"/>
          </w:tcPr>
          <w:p w14:paraId="208F6645" w14:textId="69834AB4" w:rsidR="00E16CF9" w:rsidRPr="0009066F" w:rsidRDefault="00F87339" w:rsidP="00854496">
            <w:pPr>
              <w:pStyle w:val="TableText0"/>
              <w:jc w:val="center"/>
              <w:rPr>
                <w:rFonts w:cs="Times New Roman"/>
                <w:i/>
                <w:snapToGrid w:val="0"/>
                <w:sz w:val="19"/>
                <w:szCs w:val="19"/>
                <w:highlight w:val="lightGray"/>
              </w:rPr>
            </w:pPr>
            <w:r w:rsidRPr="00F87339">
              <w:rPr>
                <w:rFonts w:hint="eastAsia"/>
                <w:color w:val="000000"/>
                <w:spacing w:val="49"/>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00C941DC" w:rsidRPr="003F0AD1">
              <w:rPr>
                <w:vertAlign w:val="superscript"/>
              </w:rPr>
              <w:t>1</w:t>
            </w:r>
          </w:p>
        </w:tc>
        <w:tc>
          <w:tcPr>
            <w:tcW w:w="551" w:type="pct"/>
          </w:tcPr>
          <w:p w14:paraId="38531D30" w14:textId="40AAC422" w:rsidR="00E16CF9" w:rsidRPr="0009066F" w:rsidRDefault="00F87339" w:rsidP="00854496">
            <w:pPr>
              <w:pStyle w:val="TableText0"/>
              <w:jc w:val="center"/>
              <w:rPr>
                <w:rFonts w:cs="Times New Roman"/>
                <w:i/>
                <w:snapToGrid w:val="0"/>
                <w:sz w:val="19"/>
                <w:szCs w:val="19"/>
                <w:highlight w:val="lightGray"/>
              </w:rPr>
            </w:pPr>
            <w:r w:rsidRPr="00F87339">
              <w:rPr>
                <w:rFonts w:hint="eastAsia"/>
                <w:color w:val="000000"/>
                <w:spacing w:val="49"/>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00C941DC" w:rsidRPr="003F0AD1">
              <w:rPr>
                <w:vertAlign w:val="superscript"/>
              </w:rPr>
              <w:t>1</w:t>
            </w:r>
          </w:p>
        </w:tc>
        <w:tc>
          <w:tcPr>
            <w:tcW w:w="471" w:type="pct"/>
          </w:tcPr>
          <w:p w14:paraId="67939626" w14:textId="39A3B91C" w:rsidR="00E16CF9" w:rsidRPr="0009066F" w:rsidRDefault="00501C36" w:rsidP="00854496">
            <w:pPr>
              <w:pStyle w:val="TableText0"/>
              <w:jc w:val="center"/>
              <w:rPr>
                <w:rFonts w:cs="Times New Roman"/>
                <w:i/>
                <w:snapToGrid w:val="0"/>
                <w:sz w:val="19"/>
                <w:szCs w:val="19"/>
                <w:highlight w:val="lightGray"/>
              </w:rPr>
            </w:pPr>
            <w:r w:rsidRPr="00501C36">
              <w:rPr>
                <w:color w:val="000000"/>
                <w:spacing w:val="79"/>
                <w:shd w:val="solid" w:color="000000" w:fill="000000"/>
                <w:fitText w:val="165" w:id="-893683959"/>
                <w14:textFill>
                  <w14:solidFill>
                    <w14:srgbClr w14:val="000000">
                      <w14:alpha w14:val="100000"/>
                    </w14:srgbClr>
                  </w14:solidFill>
                </w14:textFill>
              </w:rPr>
              <w:t>|</w:t>
            </w:r>
            <w:r w:rsidRPr="00501C36">
              <w:rPr>
                <w:color w:val="000000"/>
                <w:spacing w:val="1"/>
                <w:shd w:val="solid" w:color="000000" w:fill="000000"/>
                <w:fitText w:val="165" w:id="-893683959"/>
                <w14:textFill>
                  <w14:solidFill>
                    <w14:srgbClr w14:val="000000">
                      <w14:alpha w14:val="100000"/>
                    </w14:srgbClr>
                  </w14:solidFill>
                </w14:textFill>
              </w:rPr>
              <w:t>|</w:t>
            </w:r>
            <w:r w:rsidR="00C941DC" w:rsidRPr="003F0AD1">
              <w:rPr>
                <w:vertAlign w:val="superscript"/>
              </w:rPr>
              <w:t>1</w:t>
            </w:r>
          </w:p>
        </w:tc>
        <w:tc>
          <w:tcPr>
            <w:tcW w:w="551" w:type="pct"/>
          </w:tcPr>
          <w:p w14:paraId="23F4163C" w14:textId="7C5BA2B9" w:rsidR="00E16CF9" w:rsidRPr="0009066F" w:rsidRDefault="00501C36" w:rsidP="00854496">
            <w:pPr>
              <w:pStyle w:val="TableText0"/>
              <w:jc w:val="center"/>
              <w:rPr>
                <w:rFonts w:cs="Times New Roman"/>
                <w:i/>
                <w:snapToGrid w:val="0"/>
                <w:sz w:val="19"/>
                <w:szCs w:val="19"/>
                <w:highlight w:val="lightGray"/>
              </w:rPr>
            </w:pPr>
            <w:r w:rsidRPr="00501C36">
              <w:rPr>
                <w:rFonts w:hint="eastAsia"/>
                <w:color w:val="000000"/>
                <w:w w:val="23"/>
                <w:shd w:val="solid" w:color="000000" w:fill="000000"/>
                <w:fitText w:val="105" w:id="-893683958"/>
                <w14:textFill>
                  <w14:solidFill>
                    <w14:srgbClr w14:val="000000">
                      <w14:alpha w14:val="100000"/>
                    </w14:srgbClr>
                  </w14:solidFill>
                </w14:textFill>
              </w:rPr>
              <w:t xml:space="preserve">　</w:t>
            </w:r>
            <w:r w:rsidRPr="00501C36">
              <w:rPr>
                <w:color w:val="000000"/>
                <w:w w:val="23"/>
                <w:shd w:val="solid" w:color="000000" w:fill="000000"/>
                <w:fitText w:val="105" w:id="-893683958"/>
                <w14:textFill>
                  <w14:solidFill>
                    <w14:srgbClr w14:val="000000">
                      <w14:alpha w14:val="100000"/>
                    </w14:srgbClr>
                  </w14:solidFill>
                </w14:textFill>
              </w:rPr>
              <w:t>|</w:t>
            </w:r>
            <w:r w:rsidRPr="00501C36">
              <w:rPr>
                <w:rFonts w:hint="eastAsia"/>
                <w:color w:val="000000"/>
                <w:spacing w:val="4"/>
                <w:w w:val="23"/>
                <w:shd w:val="solid" w:color="000000" w:fill="000000"/>
                <w:fitText w:val="105" w:id="-893683958"/>
                <w14:textFill>
                  <w14:solidFill>
                    <w14:srgbClr w14:val="000000">
                      <w14:alpha w14:val="100000"/>
                    </w14:srgbClr>
                  </w14:solidFill>
                </w14:textFill>
              </w:rPr>
              <w:t xml:space="preserve">　</w:t>
            </w:r>
            <w:r w:rsidR="00C941DC" w:rsidRPr="003F0AD1">
              <w:rPr>
                <w:vertAlign w:val="superscript"/>
              </w:rPr>
              <w:t>1</w:t>
            </w:r>
          </w:p>
        </w:tc>
        <w:tc>
          <w:tcPr>
            <w:tcW w:w="457" w:type="pct"/>
          </w:tcPr>
          <w:p w14:paraId="6605BAE2" w14:textId="5715CCE8" w:rsidR="00E16CF9" w:rsidRPr="0009066F" w:rsidRDefault="00F87339" w:rsidP="00854496">
            <w:pPr>
              <w:pStyle w:val="TableText0"/>
              <w:jc w:val="center"/>
              <w:rPr>
                <w:rFonts w:cs="Times New Roman"/>
                <w:i/>
                <w:snapToGrid w:val="0"/>
                <w:sz w:val="19"/>
                <w:szCs w:val="19"/>
                <w:highlight w:val="lightGray"/>
              </w:rPr>
            </w:pPr>
            <w:r w:rsidRPr="00F87339">
              <w:rPr>
                <w:rFonts w:hint="eastAsia"/>
                <w:color w:val="000000"/>
                <w:spacing w:val="49"/>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00C941DC" w:rsidRPr="003F0AD1">
              <w:rPr>
                <w:vertAlign w:val="superscript"/>
              </w:rPr>
              <w:t>1</w:t>
            </w:r>
          </w:p>
        </w:tc>
        <w:tc>
          <w:tcPr>
            <w:tcW w:w="535" w:type="pct"/>
          </w:tcPr>
          <w:p w14:paraId="04DF6E0F" w14:textId="071B24EE" w:rsidR="00E16CF9" w:rsidRPr="0009066F" w:rsidRDefault="00501C36" w:rsidP="00854496">
            <w:pPr>
              <w:pStyle w:val="TableText0"/>
              <w:jc w:val="center"/>
              <w:rPr>
                <w:rFonts w:cs="Times New Roman"/>
                <w:i/>
                <w:snapToGrid w:val="0"/>
                <w:sz w:val="19"/>
                <w:szCs w:val="19"/>
                <w:highlight w:val="lightGray"/>
              </w:rPr>
            </w:pPr>
            <w:r w:rsidRPr="00501C36">
              <w:rPr>
                <w:rFonts w:hint="eastAsia"/>
                <w:color w:val="000000"/>
                <w:w w:val="33"/>
                <w:shd w:val="solid" w:color="000000" w:fill="000000"/>
                <w:fitText w:val="150" w:id="-893683955"/>
                <w14:textFill>
                  <w14:solidFill>
                    <w14:srgbClr w14:val="000000">
                      <w14:alpha w14:val="100000"/>
                    </w14:srgbClr>
                  </w14:solidFill>
                </w14:textFill>
              </w:rPr>
              <w:t xml:space="preserve">　</w:t>
            </w:r>
            <w:r w:rsidRPr="00501C36">
              <w:rPr>
                <w:color w:val="000000"/>
                <w:w w:val="33"/>
                <w:shd w:val="solid" w:color="000000" w:fill="000000"/>
                <w:fitText w:val="150" w:id="-893683955"/>
                <w14:textFill>
                  <w14:solidFill>
                    <w14:srgbClr w14:val="000000">
                      <w14:alpha w14:val="100000"/>
                    </w14:srgbClr>
                  </w14:solidFill>
                </w14:textFill>
              </w:rPr>
              <w:t>|</w:t>
            </w:r>
            <w:r w:rsidRPr="00501C36">
              <w:rPr>
                <w:rFonts w:hint="eastAsia"/>
                <w:color w:val="000000"/>
                <w:spacing w:val="4"/>
                <w:w w:val="33"/>
                <w:shd w:val="solid" w:color="000000" w:fill="000000"/>
                <w:fitText w:val="150" w:id="-893683955"/>
                <w14:textFill>
                  <w14:solidFill>
                    <w14:srgbClr w14:val="000000">
                      <w14:alpha w14:val="100000"/>
                    </w14:srgbClr>
                  </w14:solidFill>
                </w14:textFill>
              </w:rPr>
              <w:t xml:space="preserve">　</w:t>
            </w:r>
            <w:r w:rsidR="00C941DC" w:rsidRPr="003F0AD1">
              <w:rPr>
                <w:vertAlign w:val="superscript"/>
              </w:rPr>
              <w:t>1</w:t>
            </w:r>
          </w:p>
        </w:tc>
      </w:tr>
      <w:tr w:rsidR="00E16CF9" w:rsidRPr="004E000B" w14:paraId="64E0CAC7" w14:textId="77777777" w:rsidTr="005C19E6">
        <w:tc>
          <w:tcPr>
            <w:tcW w:w="1962" w:type="pct"/>
            <w:vAlign w:val="center"/>
          </w:tcPr>
          <w:p w14:paraId="031EE766" w14:textId="77777777" w:rsidR="00E16CF9" w:rsidRPr="004E000B" w:rsidRDefault="00E16CF9" w:rsidP="00854496">
            <w:pPr>
              <w:keepNext/>
              <w:jc w:val="left"/>
              <w:rPr>
                <w:rFonts w:ascii="Arial Narrow" w:eastAsiaTheme="majorEastAsia" w:hAnsi="Arial Narrow" w:cstheme="majorBidi"/>
                <w:bCs/>
                <w:sz w:val="19"/>
                <w:szCs w:val="19"/>
              </w:rPr>
            </w:pPr>
            <w:r>
              <w:rPr>
                <w:rFonts w:ascii="Arial Narrow" w:eastAsiaTheme="majorEastAsia" w:hAnsi="Arial Narrow" w:cstheme="majorBidi"/>
                <w:bCs/>
                <w:sz w:val="19"/>
                <w:szCs w:val="19"/>
              </w:rPr>
              <w:t>Net change in RPBS scripts</w:t>
            </w:r>
          </w:p>
        </w:tc>
        <w:tc>
          <w:tcPr>
            <w:tcW w:w="472" w:type="pct"/>
          </w:tcPr>
          <w:p w14:paraId="539FF70A" w14:textId="7FBC9B7F" w:rsidR="00E16CF9" w:rsidRPr="0009066F" w:rsidRDefault="00501C36" w:rsidP="00854496">
            <w:pPr>
              <w:pStyle w:val="TableText0"/>
              <w:jc w:val="center"/>
              <w:rPr>
                <w:highlight w:val="lightGray"/>
              </w:rPr>
            </w:pPr>
            <w:r w:rsidRPr="00501C36">
              <w:rPr>
                <w:rFonts w:hint="eastAsia"/>
                <w:color w:val="000000"/>
                <w:w w:val="16"/>
                <w:shd w:val="solid" w:color="000000" w:fill="000000"/>
                <w:fitText w:val="75" w:id="-893683712"/>
                <w14:textFill>
                  <w14:solidFill>
                    <w14:srgbClr w14:val="000000">
                      <w14:alpha w14:val="100000"/>
                    </w14:srgbClr>
                  </w14:solidFill>
                </w14:textFill>
              </w:rPr>
              <w:t xml:space="preserve">　</w:t>
            </w:r>
            <w:r w:rsidRPr="00501C36">
              <w:rPr>
                <w:color w:val="000000"/>
                <w:w w:val="16"/>
                <w:shd w:val="solid" w:color="000000" w:fill="000000"/>
                <w:fitText w:val="75" w:id="-893683712"/>
                <w14:textFill>
                  <w14:solidFill>
                    <w14:srgbClr w14:val="000000">
                      <w14:alpha w14:val="100000"/>
                    </w14:srgbClr>
                  </w14:solidFill>
                </w14:textFill>
              </w:rPr>
              <w:t>|</w:t>
            </w:r>
            <w:r w:rsidRPr="00501C36">
              <w:rPr>
                <w:rFonts w:hint="eastAsia"/>
                <w:color w:val="000000"/>
                <w:spacing w:val="5"/>
                <w:w w:val="16"/>
                <w:shd w:val="solid" w:color="000000" w:fill="000000"/>
                <w:fitText w:val="75" w:id="-893683712"/>
                <w14:textFill>
                  <w14:solidFill>
                    <w14:srgbClr w14:val="000000">
                      <w14:alpha w14:val="100000"/>
                    </w14:srgbClr>
                  </w14:solidFill>
                </w14:textFill>
              </w:rPr>
              <w:t xml:space="preserve">　</w:t>
            </w:r>
            <w:r w:rsidR="00C941DC" w:rsidRPr="003F0AD1">
              <w:rPr>
                <w:vertAlign w:val="superscript"/>
              </w:rPr>
              <w:t>2</w:t>
            </w:r>
          </w:p>
        </w:tc>
        <w:tc>
          <w:tcPr>
            <w:tcW w:w="551" w:type="pct"/>
          </w:tcPr>
          <w:p w14:paraId="3AD52350" w14:textId="5BA6AB5D" w:rsidR="00E16CF9" w:rsidRPr="0009066F" w:rsidRDefault="00F87339" w:rsidP="00854496">
            <w:pPr>
              <w:pStyle w:val="TableText0"/>
              <w:jc w:val="center"/>
              <w:rPr>
                <w:highlight w:val="lightGray"/>
              </w:rPr>
            </w:pPr>
            <w:r w:rsidRPr="00F87339">
              <w:rPr>
                <w:rFonts w:hint="eastAsia"/>
                <w:color w:val="000000"/>
                <w:spacing w:val="49"/>
                <w:w w:val="23"/>
                <w:shd w:val="solid" w:color="000000" w:fill="000000"/>
                <w:fitText w:val="105" w:id="-893683952"/>
                <w14:textFill>
                  <w14:solidFill>
                    <w14:srgbClr w14:val="000000">
                      <w14:alpha w14:val="100000"/>
                    </w14:srgbClr>
                  </w14:solidFill>
                </w14:textFill>
              </w:rPr>
              <w:t xml:space="preserve">　</w:t>
            </w:r>
            <w:r w:rsidRPr="00F87339">
              <w:rPr>
                <w:color w:val="000000"/>
                <w:w w:val="23"/>
                <w:shd w:val="solid" w:color="000000" w:fill="000000"/>
                <w:fitText w:val="105" w:id="-893683952"/>
                <w14:textFill>
                  <w14:solidFill>
                    <w14:srgbClr w14:val="000000">
                      <w14:alpha w14:val="100000"/>
                    </w14:srgbClr>
                  </w14:solidFill>
                </w14:textFill>
              </w:rPr>
              <w:t>|</w:t>
            </w:r>
            <w:r w:rsidR="00C941DC" w:rsidRPr="003F0AD1">
              <w:rPr>
                <w:vertAlign w:val="superscript"/>
              </w:rPr>
              <w:t>2</w:t>
            </w:r>
          </w:p>
        </w:tc>
        <w:tc>
          <w:tcPr>
            <w:tcW w:w="471" w:type="pct"/>
          </w:tcPr>
          <w:p w14:paraId="1DB87507" w14:textId="438DC917" w:rsidR="00E16CF9" w:rsidRPr="0009066F" w:rsidRDefault="00501C36" w:rsidP="00854496">
            <w:pPr>
              <w:pStyle w:val="TableText0"/>
              <w:jc w:val="center"/>
              <w:rPr>
                <w:highlight w:val="lightGray"/>
              </w:rPr>
            </w:pPr>
            <w:r w:rsidRPr="00501C36">
              <w:rPr>
                <w:rFonts w:hint="eastAsia"/>
                <w:color w:val="000000"/>
                <w:w w:val="33"/>
                <w:shd w:val="solid" w:color="000000" w:fill="000000"/>
                <w:fitText w:val="150" w:id="-893683709"/>
                <w14:textFill>
                  <w14:solidFill>
                    <w14:srgbClr w14:val="000000">
                      <w14:alpha w14:val="100000"/>
                    </w14:srgbClr>
                  </w14:solidFill>
                </w14:textFill>
              </w:rPr>
              <w:t xml:space="preserve">　</w:t>
            </w:r>
            <w:r w:rsidRPr="00501C36">
              <w:rPr>
                <w:color w:val="000000"/>
                <w:w w:val="33"/>
                <w:shd w:val="solid" w:color="000000" w:fill="000000"/>
                <w:fitText w:val="150" w:id="-893683709"/>
                <w14:textFill>
                  <w14:solidFill>
                    <w14:srgbClr w14:val="000000">
                      <w14:alpha w14:val="100000"/>
                    </w14:srgbClr>
                  </w14:solidFill>
                </w14:textFill>
              </w:rPr>
              <w:t>|</w:t>
            </w:r>
            <w:r w:rsidRPr="00501C36">
              <w:rPr>
                <w:rFonts w:hint="eastAsia"/>
                <w:color w:val="000000"/>
                <w:spacing w:val="4"/>
                <w:w w:val="33"/>
                <w:shd w:val="solid" w:color="000000" w:fill="000000"/>
                <w:fitText w:val="150" w:id="-893683709"/>
                <w14:textFill>
                  <w14:solidFill>
                    <w14:srgbClr w14:val="000000">
                      <w14:alpha w14:val="100000"/>
                    </w14:srgbClr>
                  </w14:solidFill>
                </w14:textFill>
              </w:rPr>
              <w:t xml:space="preserve">　</w:t>
            </w:r>
            <w:r w:rsidR="00C941DC" w:rsidRPr="003F0AD1">
              <w:rPr>
                <w:vertAlign w:val="superscript"/>
              </w:rPr>
              <w:t>2</w:t>
            </w:r>
          </w:p>
        </w:tc>
        <w:tc>
          <w:tcPr>
            <w:tcW w:w="551" w:type="pct"/>
          </w:tcPr>
          <w:p w14:paraId="486E5387" w14:textId="0829BA0C"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708"/>
                <w14:textFill>
                  <w14:solidFill>
                    <w14:srgbClr w14:val="000000">
                      <w14:alpha w14:val="100000"/>
                    </w14:srgbClr>
                  </w14:solidFill>
                </w14:textFill>
              </w:rPr>
              <w:t xml:space="preserve">　</w:t>
            </w:r>
            <w:r w:rsidRPr="00501C36">
              <w:rPr>
                <w:color w:val="000000"/>
                <w:w w:val="23"/>
                <w:shd w:val="solid" w:color="000000" w:fill="000000"/>
                <w:fitText w:val="105" w:id="-893683708"/>
                <w14:textFill>
                  <w14:solidFill>
                    <w14:srgbClr w14:val="000000">
                      <w14:alpha w14:val="100000"/>
                    </w14:srgbClr>
                  </w14:solidFill>
                </w14:textFill>
              </w:rPr>
              <w:t>|</w:t>
            </w:r>
            <w:r w:rsidRPr="00501C36">
              <w:rPr>
                <w:rFonts w:hint="eastAsia"/>
                <w:color w:val="000000"/>
                <w:spacing w:val="4"/>
                <w:w w:val="23"/>
                <w:shd w:val="solid" w:color="000000" w:fill="000000"/>
                <w:fitText w:val="105" w:id="-893683708"/>
                <w14:textFill>
                  <w14:solidFill>
                    <w14:srgbClr w14:val="000000">
                      <w14:alpha w14:val="100000"/>
                    </w14:srgbClr>
                  </w14:solidFill>
                </w14:textFill>
              </w:rPr>
              <w:t xml:space="preserve">　</w:t>
            </w:r>
            <w:r w:rsidR="00C941DC" w:rsidRPr="003F0AD1">
              <w:rPr>
                <w:vertAlign w:val="superscript"/>
              </w:rPr>
              <w:t>2</w:t>
            </w:r>
          </w:p>
        </w:tc>
        <w:tc>
          <w:tcPr>
            <w:tcW w:w="457" w:type="pct"/>
          </w:tcPr>
          <w:p w14:paraId="4B872E8B" w14:textId="4CD1286B"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707"/>
                <w14:textFill>
                  <w14:solidFill>
                    <w14:srgbClr w14:val="000000">
                      <w14:alpha w14:val="100000"/>
                    </w14:srgbClr>
                  </w14:solidFill>
                </w14:textFill>
              </w:rPr>
              <w:t xml:space="preserve">　</w:t>
            </w:r>
            <w:r w:rsidRPr="00501C36">
              <w:rPr>
                <w:color w:val="000000"/>
                <w:w w:val="23"/>
                <w:shd w:val="solid" w:color="000000" w:fill="000000"/>
                <w:fitText w:val="105" w:id="-893683707"/>
                <w14:textFill>
                  <w14:solidFill>
                    <w14:srgbClr w14:val="000000">
                      <w14:alpha w14:val="100000"/>
                    </w14:srgbClr>
                  </w14:solidFill>
                </w14:textFill>
              </w:rPr>
              <w:t>|</w:t>
            </w:r>
            <w:r w:rsidRPr="00501C36">
              <w:rPr>
                <w:rFonts w:hint="eastAsia"/>
                <w:color w:val="000000"/>
                <w:spacing w:val="4"/>
                <w:w w:val="23"/>
                <w:shd w:val="solid" w:color="000000" w:fill="000000"/>
                <w:fitText w:val="105" w:id="-893683707"/>
                <w14:textFill>
                  <w14:solidFill>
                    <w14:srgbClr w14:val="000000">
                      <w14:alpha w14:val="100000"/>
                    </w14:srgbClr>
                  </w14:solidFill>
                </w14:textFill>
              </w:rPr>
              <w:t xml:space="preserve">　</w:t>
            </w:r>
            <w:r w:rsidR="00C941DC" w:rsidRPr="003F0AD1">
              <w:rPr>
                <w:vertAlign w:val="superscript"/>
              </w:rPr>
              <w:t>2</w:t>
            </w:r>
          </w:p>
        </w:tc>
        <w:tc>
          <w:tcPr>
            <w:tcW w:w="535" w:type="pct"/>
          </w:tcPr>
          <w:p w14:paraId="1C1175CC" w14:textId="53CE30F5" w:rsidR="00E16CF9" w:rsidRPr="0009066F" w:rsidRDefault="00501C36" w:rsidP="00854496">
            <w:pPr>
              <w:pStyle w:val="TableText0"/>
              <w:jc w:val="center"/>
              <w:rPr>
                <w:highlight w:val="lightGray"/>
              </w:rPr>
            </w:pPr>
            <w:r w:rsidRPr="00501C36">
              <w:rPr>
                <w:rFonts w:hint="eastAsia"/>
                <w:color w:val="000000"/>
                <w:w w:val="33"/>
                <w:shd w:val="solid" w:color="000000" w:fill="000000"/>
                <w:fitText w:val="150" w:id="-893683706"/>
                <w14:textFill>
                  <w14:solidFill>
                    <w14:srgbClr w14:val="000000">
                      <w14:alpha w14:val="100000"/>
                    </w14:srgbClr>
                  </w14:solidFill>
                </w14:textFill>
              </w:rPr>
              <w:t xml:space="preserve">　</w:t>
            </w:r>
            <w:r w:rsidRPr="00501C36">
              <w:rPr>
                <w:color w:val="000000"/>
                <w:w w:val="33"/>
                <w:shd w:val="solid" w:color="000000" w:fill="000000"/>
                <w:fitText w:val="150" w:id="-893683706"/>
                <w14:textFill>
                  <w14:solidFill>
                    <w14:srgbClr w14:val="000000">
                      <w14:alpha w14:val="100000"/>
                    </w14:srgbClr>
                  </w14:solidFill>
                </w14:textFill>
              </w:rPr>
              <w:t>|</w:t>
            </w:r>
            <w:r w:rsidRPr="00501C36">
              <w:rPr>
                <w:rFonts w:hint="eastAsia"/>
                <w:color w:val="000000"/>
                <w:spacing w:val="4"/>
                <w:w w:val="33"/>
                <w:shd w:val="solid" w:color="000000" w:fill="000000"/>
                <w:fitText w:val="150" w:id="-893683706"/>
                <w14:textFill>
                  <w14:solidFill>
                    <w14:srgbClr w14:val="000000">
                      <w14:alpha w14:val="100000"/>
                    </w14:srgbClr>
                  </w14:solidFill>
                </w14:textFill>
              </w:rPr>
              <w:t xml:space="preserve">　</w:t>
            </w:r>
            <w:r w:rsidR="00C941DC" w:rsidRPr="003F0AD1">
              <w:rPr>
                <w:vertAlign w:val="superscript"/>
              </w:rPr>
              <w:t>2</w:t>
            </w:r>
          </w:p>
        </w:tc>
      </w:tr>
      <w:tr w:rsidR="00E16CF9" w:rsidRPr="004E000B" w14:paraId="0F6E7D71" w14:textId="77777777" w:rsidTr="005C19E6">
        <w:tc>
          <w:tcPr>
            <w:tcW w:w="1962" w:type="pct"/>
            <w:vAlign w:val="center"/>
          </w:tcPr>
          <w:p w14:paraId="1ED032ED" w14:textId="77777777" w:rsidR="00E16CF9" w:rsidRPr="004E000B" w:rsidRDefault="00E16CF9" w:rsidP="00854496">
            <w:pPr>
              <w:keepNext/>
              <w:jc w:val="left"/>
              <w:rPr>
                <w:rFonts w:ascii="Arial Narrow" w:eastAsiaTheme="majorEastAsia" w:hAnsi="Arial Narrow" w:cstheme="majorBidi"/>
                <w:bCs/>
                <w:sz w:val="19"/>
                <w:szCs w:val="19"/>
              </w:rPr>
            </w:pPr>
            <w:r w:rsidRPr="004E000B">
              <w:rPr>
                <w:rFonts w:ascii="Arial Narrow" w:eastAsiaTheme="majorEastAsia" w:hAnsi="Arial Narrow" w:cstheme="majorBidi"/>
                <w:bCs/>
                <w:sz w:val="19"/>
                <w:szCs w:val="19"/>
              </w:rPr>
              <w:t xml:space="preserve">Net change in scripts </w:t>
            </w:r>
          </w:p>
        </w:tc>
        <w:tc>
          <w:tcPr>
            <w:tcW w:w="472" w:type="pct"/>
          </w:tcPr>
          <w:p w14:paraId="343E6087" w14:textId="6B043FBC" w:rsidR="00E16CF9" w:rsidRPr="0009066F" w:rsidRDefault="00501C36" w:rsidP="00854496">
            <w:pPr>
              <w:pStyle w:val="TableText0"/>
              <w:jc w:val="center"/>
              <w:rPr>
                <w:highlight w:val="lightGray"/>
              </w:rPr>
            </w:pPr>
            <w:r w:rsidRPr="00501C36">
              <w:rPr>
                <w:rFonts w:hint="eastAsia"/>
                <w:color w:val="000000"/>
                <w:w w:val="16"/>
                <w:shd w:val="solid" w:color="000000" w:fill="000000"/>
                <w:fitText w:val="75" w:id="-893683705"/>
                <w14:textFill>
                  <w14:solidFill>
                    <w14:srgbClr w14:val="000000">
                      <w14:alpha w14:val="100000"/>
                    </w14:srgbClr>
                  </w14:solidFill>
                </w14:textFill>
              </w:rPr>
              <w:t xml:space="preserve">　</w:t>
            </w:r>
            <w:r w:rsidRPr="00501C36">
              <w:rPr>
                <w:color w:val="000000"/>
                <w:w w:val="16"/>
                <w:shd w:val="solid" w:color="000000" w:fill="000000"/>
                <w:fitText w:val="75" w:id="-893683705"/>
                <w14:textFill>
                  <w14:solidFill>
                    <w14:srgbClr w14:val="000000">
                      <w14:alpha w14:val="100000"/>
                    </w14:srgbClr>
                  </w14:solidFill>
                </w14:textFill>
              </w:rPr>
              <w:t>|</w:t>
            </w:r>
            <w:r w:rsidRPr="00501C36">
              <w:rPr>
                <w:rFonts w:hint="eastAsia"/>
                <w:color w:val="000000"/>
                <w:spacing w:val="5"/>
                <w:w w:val="16"/>
                <w:shd w:val="solid" w:color="000000" w:fill="000000"/>
                <w:fitText w:val="75" w:id="-893683705"/>
                <w14:textFill>
                  <w14:solidFill>
                    <w14:srgbClr w14:val="000000">
                      <w14:alpha w14:val="100000"/>
                    </w14:srgbClr>
                  </w14:solidFill>
                </w14:textFill>
              </w:rPr>
              <w:t xml:space="preserve">　</w:t>
            </w:r>
            <w:r w:rsidR="00C941DC" w:rsidRPr="003F0AD1">
              <w:rPr>
                <w:vertAlign w:val="superscript"/>
              </w:rPr>
              <w:t>1</w:t>
            </w:r>
          </w:p>
        </w:tc>
        <w:tc>
          <w:tcPr>
            <w:tcW w:w="551" w:type="pct"/>
          </w:tcPr>
          <w:p w14:paraId="5809D7E2" w14:textId="0BAB37FC" w:rsidR="00E16CF9" w:rsidRPr="0009066F" w:rsidRDefault="00501C36" w:rsidP="00854496">
            <w:pPr>
              <w:pStyle w:val="TableText0"/>
              <w:jc w:val="center"/>
              <w:rPr>
                <w:highlight w:val="lightGray"/>
              </w:rPr>
            </w:pPr>
            <w:r w:rsidRPr="00501C36">
              <w:rPr>
                <w:rFonts w:hint="eastAsia"/>
                <w:color w:val="000000"/>
                <w:w w:val="33"/>
                <w:shd w:val="solid" w:color="000000" w:fill="000000"/>
                <w:fitText w:val="150" w:id="-893683704"/>
                <w14:textFill>
                  <w14:solidFill>
                    <w14:srgbClr w14:val="000000">
                      <w14:alpha w14:val="100000"/>
                    </w14:srgbClr>
                  </w14:solidFill>
                </w14:textFill>
              </w:rPr>
              <w:t xml:space="preserve">　</w:t>
            </w:r>
            <w:r w:rsidRPr="00501C36">
              <w:rPr>
                <w:color w:val="000000"/>
                <w:w w:val="33"/>
                <w:shd w:val="solid" w:color="000000" w:fill="000000"/>
                <w:fitText w:val="150" w:id="-893683704"/>
                <w14:textFill>
                  <w14:solidFill>
                    <w14:srgbClr w14:val="000000">
                      <w14:alpha w14:val="100000"/>
                    </w14:srgbClr>
                  </w14:solidFill>
                </w14:textFill>
              </w:rPr>
              <w:t>|</w:t>
            </w:r>
            <w:r w:rsidRPr="00501C36">
              <w:rPr>
                <w:rFonts w:hint="eastAsia"/>
                <w:color w:val="000000"/>
                <w:spacing w:val="4"/>
                <w:w w:val="33"/>
                <w:shd w:val="solid" w:color="000000" w:fill="000000"/>
                <w:fitText w:val="150" w:id="-893683704"/>
                <w14:textFill>
                  <w14:solidFill>
                    <w14:srgbClr w14:val="000000">
                      <w14:alpha w14:val="100000"/>
                    </w14:srgbClr>
                  </w14:solidFill>
                </w14:textFill>
              </w:rPr>
              <w:t xml:space="preserve">　</w:t>
            </w:r>
            <w:r w:rsidR="00C941DC" w:rsidRPr="003F0AD1">
              <w:rPr>
                <w:vertAlign w:val="superscript"/>
              </w:rPr>
              <w:t>1</w:t>
            </w:r>
          </w:p>
        </w:tc>
        <w:tc>
          <w:tcPr>
            <w:tcW w:w="471" w:type="pct"/>
          </w:tcPr>
          <w:p w14:paraId="0CABE5D3" w14:textId="5285EF6E" w:rsidR="00E16CF9" w:rsidRPr="0009066F" w:rsidRDefault="00501C36" w:rsidP="00854496">
            <w:pPr>
              <w:pStyle w:val="TableText0"/>
              <w:jc w:val="center"/>
              <w:rPr>
                <w:highlight w:val="lightGray"/>
              </w:rPr>
            </w:pPr>
            <w:r w:rsidRPr="00501C36">
              <w:rPr>
                <w:rFonts w:hint="eastAsia"/>
                <w:color w:val="000000"/>
                <w:w w:val="33"/>
                <w:shd w:val="solid" w:color="000000" w:fill="000000"/>
                <w:fitText w:val="150" w:id="-893683703"/>
                <w14:textFill>
                  <w14:solidFill>
                    <w14:srgbClr w14:val="000000">
                      <w14:alpha w14:val="100000"/>
                    </w14:srgbClr>
                  </w14:solidFill>
                </w14:textFill>
              </w:rPr>
              <w:t xml:space="preserve">　</w:t>
            </w:r>
            <w:r w:rsidRPr="00501C36">
              <w:rPr>
                <w:color w:val="000000"/>
                <w:w w:val="33"/>
                <w:shd w:val="solid" w:color="000000" w:fill="000000"/>
                <w:fitText w:val="150" w:id="-893683703"/>
                <w14:textFill>
                  <w14:solidFill>
                    <w14:srgbClr w14:val="000000">
                      <w14:alpha w14:val="100000"/>
                    </w14:srgbClr>
                  </w14:solidFill>
                </w14:textFill>
              </w:rPr>
              <w:t>|</w:t>
            </w:r>
            <w:r w:rsidRPr="00501C36">
              <w:rPr>
                <w:rFonts w:hint="eastAsia"/>
                <w:color w:val="000000"/>
                <w:spacing w:val="4"/>
                <w:w w:val="33"/>
                <w:shd w:val="solid" w:color="000000" w:fill="000000"/>
                <w:fitText w:val="150" w:id="-893683703"/>
                <w14:textFill>
                  <w14:solidFill>
                    <w14:srgbClr w14:val="000000">
                      <w14:alpha w14:val="100000"/>
                    </w14:srgbClr>
                  </w14:solidFill>
                </w14:textFill>
              </w:rPr>
              <w:t xml:space="preserve">　</w:t>
            </w:r>
            <w:r w:rsidR="00C941DC" w:rsidRPr="003F0AD1">
              <w:rPr>
                <w:vertAlign w:val="superscript"/>
              </w:rPr>
              <w:t>1</w:t>
            </w:r>
          </w:p>
        </w:tc>
        <w:tc>
          <w:tcPr>
            <w:tcW w:w="551" w:type="pct"/>
          </w:tcPr>
          <w:p w14:paraId="399C98A2" w14:textId="10D8209D"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702"/>
                <w14:textFill>
                  <w14:solidFill>
                    <w14:srgbClr w14:val="000000">
                      <w14:alpha w14:val="100000"/>
                    </w14:srgbClr>
                  </w14:solidFill>
                </w14:textFill>
              </w:rPr>
              <w:t xml:space="preserve">　</w:t>
            </w:r>
            <w:r w:rsidRPr="00501C36">
              <w:rPr>
                <w:color w:val="000000"/>
                <w:w w:val="23"/>
                <w:shd w:val="solid" w:color="000000" w:fill="000000"/>
                <w:fitText w:val="105" w:id="-893683702"/>
                <w14:textFill>
                  <w14:solidFill>
                    <w14:srgbClr w14:val="000000">
                      <w14:alpha w14:val="100000"/>
                    </w14:srgbClr>
                  </w14:solidFill>
                </w14:textFill>
              </w:rPr>
              <w:t>|</w:t>
            </w:r>
            <w:r w:rsidRPr="00501C36">
              <w:rPr>
                <w:rFonts w:hint="eastAsia"/>
                <w:color w:val="000000"/>
                <w:spacing w:val="4"/>
                <w:w w:val="23"/>
                <w:shd w:val="solid" w:color="000000" w:fill="000000"/>
                <w:fitText w:val="105" w:id="-893683702"/>
                <w14:textFill>
                  <w14:solidFill>
                    <w14:srgbClr w14:val="000000">
                      <w14:alpha w14:val="100000"/>
                    </w14:srgbClr>
                  </w14:solidFill>
                </w14:textFill>
              </w:rPr>
              <w:t xml:space="preserve">　</w:t>
            </w:r>
            <w:r w:rsidR="00C941DC" w:rsidRPr="003F0AD1">
              <w:rPr>
                <w:vertAlign w:val="superscript"/>
              </w:rPr>
              <w:t>1</w:t>
            </w:r>
          </w:p>
        </w:tc>
        <w:tc>
          <w:tcPr>
            <w:tcW w:w="457" w:type="pct"/>
          </w:tcPr>
          <w:p w14:paraId="4798558B" w14:textId="15A025FA" w:rsidR="00E16CF9" w:rsidRPr="0009066F" w:rsidRDefault="00501C36" w:rsidP="00854496">
            <w:pPr>
              <w:pStyle w:val="TableText0"/>
              <w:jc w:val="center"/>
              <w:rPr>
                <w:highlight w:val="lightGray"/>
              </w:rPr>
            </w:pPr>
            <w:r w:rsidRPr="00501C36">
              <w:rPr>
                <w:rFonts w:hint="eastAsia"/>
                <w:color w:val="000000"/>
                <w:w w:val="23"/>
                <w:shd w:val="solid" w:color="000000" w:fill="000000"/>
                <w:fitText w:val="105" w:id="-893683701"/>
                <w14:textFill>
                  <w14:solidFill>
                    <w14:srgbClr w14:val="000000">
                      <w14:alpha w14:val="100000"/>
                    </w14:srgbClr>
                  </w14:solidFill>
                </w14:textFill>
              </w:rPr>
              <w:t xml:space="preserve">　</w:t>
            </w:r>
            <w:r w:rsidRPr="00501C36">
              <w:rPr>
                <w:color w:val="000000"/>
                <w:w w:val="23"/>
                <w:shd w:val="solid" w:color="000000" w:fill="000000"/>
                <w:fitText w:val="105" w:id="-893683701"/>
                <w14:textFill>
                  <w14:solidFill>
                    <w14:srgbClr w14:val="000000">
                      <w14:alpha w14:val="100000"/>
                    </w14:srgbClr>
                  </w14:solidFill>
                </w14:textFill>
              </w:rPr>
              <w:t>|</w:t>
            </w:r>
            <w:r w:rsidRPr="00501C36">
              <w:rPr>
                <w:rFonts w:hint="eastAsia"/>
                <w:color w:val="000000"/>
                <w:spacing w:val="4"/>
                <w:w w:val="23"/>
                <w:shd w:val="solid" w:color="000000" w:fill="000000"/>
                <w:fitText w:val="105" w:id="-893683701"/>
                <w14:textFill>
                  <w14:solidFill>
                    <w14:srgbClr w14:val="000000">
                      <w14:alpha w14:val="100000"/>
                    </w14:srgbClr>
                  </w14:solidFill>
                </w14:textFill>
              </w:rPr>
              <w:t xml:space="preserve">　</w:t>
            </w:r>
            <w:r w:rsidR="00C941DC" w:rsidRPr="003F0AD1">
              <w:rPr>
                <w:vertAlign w:val="superscript"/>
              </w:rPr>
              <w:t>1</w:t>
            </w:r>
          </w:p>
        </w:tc>
        <w:tc>
          <w:tcPr>
            <w:tcW w:w="535" w:type="pct"/>
          </w:tcPr>
          <w:p w14:paraId="3A169568" w14:textId="55F5E56A" w:rsidR="00E16CF9" w:rsidRPr="0009066F" w:rsidRDefault="00501C36" w:rsidP="00854496">
            <w:pPr>
              <w:pStyle w:val="TableText0"/>
              <w:jc w:val="center"/>
              <w:rPr>
                <w:highlight w:val="lightGray"/>
              </w:rPr>
            </w:pPr>
            <w:r w:rsidRPr="00501C36">
              <w:rPr>
                <w:rFonts w:hint="eastAsia"/>
                <w:color w:val="000000"/>
                <w:w w:val="33"/>
                <w:shd w:val="solid" w:color="000000" w:fill="000000"/>
                <w:fitText w:val="150" w:id="-893683700"/>
                <w14:textFill>
                  <w14:solidFill>
                    <w14:srgbClr w14:val="000000">
                      <w14:alpha w14:val="100000"/>
                    </w14:srgbClr>
                  </w14:solidFill>
                </w14:textFill>
              </w:rPr>
              <w:t xml:space="preserve">　</w:t>
            </w:r>
            <w:r w:rsidRPr="00501C36">
              <w:rPr>
                <w:color w:val="000000"/>
                <w:w w:val="33"/>
                <w:shd w:val="solid" w:color="000000" w:fill="000000"/>
                <w:fitText w:val="150" w:id="-893683700"/>
                <w14:textFill>
                  <w14:solidFill>
                    <w14:srgbClr w14:val="000000">
                      <w14:alpha w14:val="100000"/>
                    </w14:srgbClr>
                  </w14:solidFill>
                </w14:textFill>
              </w:rPr>
              <w:t>|</w:t>
            </w:r>
            <w:r w:rsidRPr="00501C36">
              <w:rPr>
                <w:rFonts w:hint="eastAsia"/>
                <w:color w:val="000000"/>
                <w:spacing w:val="4"/>
                <w:w w:val="33"/>
                <w:shd w:val="solid" w:color="000000" w:fill="000000"/>
                <w:fitText w:val="150" w:id="-893683700"/>
                <w14:textFill>
                  <w14:solidFill>
                    <w14:srgbClr w14:val="000000">
                      <w14:alpha w14:val="100000"/>
                    </w14:srgbClr>
                  </w14:solidFill>
                </w14:textFill>
              </w:rPr>
              <w:t xml:space="preserve">　</w:t>
            </w:r>
            <w:r w:rsidR="00C941DC" w:rsidRPr="003F0AD1">
              <w:rPr>
                <w:vertAlign w:val="superscript"/>
              </w:rPr>
              <w:t>1</w:t>
            </w:r>
          </w:p>
        </w:tc>
      </w:tr>
      <w:tr w:rsidR="00F87339" w:rsidRPr="00E16CF9" w14:paraId="17FB142E" w14:textId="77777777" w:rsidTr="005C19E6">
        <w:tc>
          <w:tcPr>
            <w:tcW w:w="1962" w:type="pct"/>
            <w:vAlign w:val="center"/>
          </w:tcPr>
          <w:p w14:paraId="1CCF168B" w14:textId="77777777" w:rsidR="00F87339" w:rsidRPr="00E16CF9" w:rsidRDefault="00F87339" w:rsidP="00F87339">
            <w:pPr>
              <w:keepNext/>
              <w:jc w:val="left"/>
              <w:rPr>
                <w:rFonts w:ascii="Arial Narrow" w:eastAsiaTheme="majorEastAsia" w:hAnsi="Arial Narrow" w:cstheme="majorBidi"/>
                <w:bCs/>
                <w:iCs/>
                <w:sz w:val="19"/>
                <w:szCs w:val="19"/>
              </w:rPr>
            </w:pPr>
            <w:r w:rsidRPr="00E16CF9">
              <w:rPr>
                <w:rFonts w:ascii="Arial Narrow" w:eastAsiaTheme="majorEastAsia" w:hAnsi="Arial Narrow" w:cstheme="majorBidi"/>
                <w:bCs/>
                <w:iCs/>
                <w:sz w:val="19"/>
                <w:szCs w:val="19"/>
              </w:rPr>
              <w:t>Net change in authorities processed (telephone)</w:t>
            </w:r>
          </w:p>
        </w:tc>
        <w:tc>
          <w:tcPr>
            <w:tcW w:w="472" w:type="pct"/>
          </w:tcPr>
          <w:p w14:paraId="4FA098B4" w14:textId="1B66B5BD" w:rsidR="00F87339" w:rsidRPr="0009066F" w:rsidRDefault="00F87339" w:rsidP="00F87339">
            <w:pPr>
              <w:pStyle w:val="TableText0"/>
              <w:jc w:val="center"/>
              <w:rPr>
                <w:rFonts w:cs="Times New Roman"/>
                <w:iCs/>
                <w:snapToGrid w:val="0"/>
                <w:sz w:val="19"/>
                <w:szCs w:val="19"/>
                <w:highlight w:val="lightGray"/>
              </w:rPr>
            </w:pP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F87339">
              <w:rPr>
                <w:color w:val="000000"/>
                <w:w w:val="16"/>
                <w:shd w:val="solid" w:color="000000" w:fill="000000"/>
                <w:fitText w:val="75" w:id="-893683965"/>
                <w14:textFill>
                  <w14:solidFill>
                    <w14:srgbClr w14:val="000000">
                      <w14:alpha w14:val="100000"/>
                    </w14:srgbClr>
                  </w14:solidFill>
                </w14:textFill>
              </w:rPr>
              <w:t>|</w:t>
            </w:r>
            <w:r w:rsidRPr="00F87339">
              <w:rPr>
                <w:rFonts w:hint="eastAsia"/>
                <w:color w:val="000000"/>
                <w:w w:val="16"/>
                <w:shd w:val="solid" w:color="000000" w:fill="000000"/>
                <w:fitText w:val="75" w:id="-893683965"/>
                <w14:textFill>
                  <w14:solidFill>
                    <w14:srgbClr w14:val="000000">
                      <w14:alpha w14:val="100000"/>
                    </w14:srgbClr>
                  </w14:solidFill>
                </w14:textFill>
              </w:rPr>
              <w:t xml:space="preserve">　</w:t>
            </w:r>
            <w:r w:rsidRPr="0009066F">
              <w:rPr>
                <w:vertAlign w:val="superscript"/>
              </w:rPr>
              <w:t>2</w:t>
            </w:r>
          </w:p>
        </w:tc>
        <w:tc>
          <w:tcPr>
            <w:tcW w:w="551" w:type="pct"/>
          </w:tcPr>
          <w:p w14:paraId="5F0F12CC" w14:textId="732ACF7C" w:rsidR="00F87339" w:rsidRPr="0009066F" w:rsidRDefault="00F87339" w:rsidP="00F87339">
            <w:pPr>
              <w:pStyle w:val="TableText0"/>
              <w:jc w:val="center"/>
              <w:rPr>
                <w:rFonts w:cs="Times New Roman"/>
                <w:iCs/>
                <w:snapToGrid w:val="0"/>
                <w:sz w:val="19"/>
                <w:szCs w:val="19"/>
                <w:highlight w:val="lightGray"/>
              </w:rPr>
            </w:pPr>
            <w:r w:rsidRPr="0008347D">
              <w:rPr>
                <w:rFonts w:hint="eastAsia"/>
                <w:color w:val="000000"/>
                <w:w w:val="23"/>
                <w:shd w:val="solid" w:color="000000" w:fill="000000"/>
                <w:fitText w:val="105" w:id="-893683964"/>
                <w14:textFill>
                  <w14:solidFill>
                    <w14:srgbClr w14:val="000000">
                      <w14:alpha w14:val="100000"/>
                    </w14:srgbClr>
                  </w14:solidFill>
                </w14:textFill>
              </w:rPr>
              <w:t xml:space="preserve">　</w:t>
            </w:r>
            <w:r w:rsidRPr="0008347D">
              <w:rPr>
                <w:color w:val="000000"/>
                <w:w w:val="23"/>
                <w:shd w:val="solid" w:color="000000" w:fill="000000"/>
                <w:fitText w:val="105" w:id="-893683964"/>
                <w14:textFill>
                  <w14:solidFill>
                    <w14:srgbClr w14:val="000000">
                      <w14:alpha w14:val="100000"/>
                    </w14:srgbClr>
                  </w14:solidFill>
                </w14:textFill>
              </w:rPr>
              <w:t>|</w:t>
            </w:r>
            <w:r w:rsidRPr="0008347D">
              <w:rPr>
                <w:rFonts w:hint="eastAsia"/>
                <w:color w:val="000000"/>
                <w:spacing w:val="3"/>
                <w:w w:val="23"/>
                <w:shd w:val="solid" w:color="000000" w:fill="000000"/>
                <w:fitText w:val="105" w:id="-893683964"/>
                <w14:textFill>
                  <w14:solidFill>
                    <w14:srgbClr w14:val="000000">
                      <w14:alpha w14:val="100000"/>
                    </w14:srgbClr>
                  </w14:solidFill>
                </w14:textFill>
              </w:rPr>
              <w:t xml:space="preserve">　</w:t>
            </w:r>
            <w:r w:rsidRPr="003F0AD1">
              <w:rPr>
                <w:vertAlign w:val="superscript"/>
              </w:rPr>
              <w:t>2</w:t>
            </w:r>
          </w:p>
        </w:tc>
        <w:tc>
          <w:tcPr>
            <w:tcW w:w="471" w:type="pct"/>
          </w:tcPr>
          <w:p w14:paraId="6050FB0B" w14:textId="1EB84A04" w:rsidR="00F87339" w:rsidRPr="0009066F" w:rsidRDefault="00F87339" w:rsidP="00F87339">
            <w:pPr>
              <w:pStyle w:val="TableText0"/>
              <w:jc w:val="center"/>
              <w:rPr>
                <w:rFonts w:cs="Times New Roman"/>
                <w:iCs/>
                <w:snapToGrid w:val="0"/>
                <w:sz w:val="19"/>
                <w:szCs w:val="19"/>
                <w:highlight w:val="lightGray"/>
              </w:rPr>
            </w:pPr>
            <w:r w:rsidRPr="0008347D">
              <w:rPr>
                <w:rFonts w:hint="eastAsia"/>
                <w:color w:val="000000"/>
                <w:w w:val="23"/>
                <w:shd w:val="solid" w:color="000000" w:fill="000000"/>
                <w:fitText w:val="105" w:id="-893683963"/>
                <w14:textFill>
                  <w14:solidFill>
                    <w14:srgbClr w14:val="000000">
                      <w14:alpha w14:val="100000"/>
                    </w14:srgbClr>
                  </w14:solidFill>
                </w14:textFill>
              </w:rPr>
              <w:t xml:space="preserve">　</w:t>
            </w:r>
            <w:r w:rsidRPr="0008347D">
              <w:rPr>
                <w:color w:val="000000"/>
                <w:w w:val="23"/>
                <w:shd w:val="solid" w:color="000000" w:fill="000000"/>
                <w:fitText w:val="105" w:id="-893683963"/>
                <w14:textFill>
                  <w14:solidFill>
                    <w14:srgbClr w14:val="000000">
                      <w14:alpha w14:val="100000"/>
                    </w14:srgbClr>
                  </w14:solidFill>
                </w14:textFill>
              </w:rPr>
              <w:t>|</w:t>
            </w:r>
            <w:r w:rsidRPr="0008347D">
              <w:rPr>
                <w:rFonts w:hint="eastAsia"/>
                <w:color w:val="000000"/>
                <w:spacing w:val="3"/>
                <w:w w:val="23"/>
                <w:shd w:val="solid" w:color="000000" w:fill="000000"/>
                <w:fitText w:val="105" w:id="-893683963"/>
                <w14:textFill>
                  <w14:solidFill>
                    <w14:srgbClr w14:val="000000">
                      <w14:alpha w14:val="100000"/>
                    </w14:srgbClr>
                  </w14:solidFill>
                </w14:textFill>
              </w:rPr>
              <w:t xml:space="preserve">　</w:t>
            </w:r>
            <w:r w:rsidRPr="003F0AD1">
              <w:rPr>
                <w:vertAlign w:val="superscript"/>
              </w:rPr>
              <w:t>2</w:t>
            </w:r>
          </w:p>
        </w:tc>
        <w:tc>
          <w:tcPr>
            <w:tcW w:w="551" w:type="pct"/>
          </w:tcPr>
          <w:p w14:paraId="1DBBB428" w14:textId="4DC079B1" w:rsidR="00F87339" w:rsidRPr="0009066F" w:rsidRDefault="00F87339" w:rsidP="00F87339">
            <w:pPr>
              <w:pStyle w:val="TableText0"/>
              <w:jc w:val="center"/>
              <w:rPr>
                <w:rFonts w:cs="Times New Roman"/>
                <w:iCs/>
                <w:snapToGrid w:val="0"/>
                <w:sz w:val="19"/>
                <w:szCs w:val="19"/>
                <w:highlight w:val="lightGray"/>
              </w:rPr>
            </w:pPr>
            <w:r w:rsidRPr="0008347D">
              <w:rPr>
                <w:rFonts w:hint="eastAsia"/>
                <w:color w:val="000000"/>
                <w:w w:val="23"/>
                <w:shd w:val="solid" w:color="000000" w:fill="000000"/>
                <w:fitText w:val="105" w:id="-893683962"/>
                <w14:textFill>
                  <w14:solidFill>
                    <w14:srgbClr w14:val="000000">
                      <w14:alpha w14:val="100000"/>
                    </w14:srgbClr>
                  </w14:solidFill>
                </w14:textFill>
              </w:rPr>
              <w:t xml:space="preserve">　</w:t>
            </w:r>
            <w:r w:rsidRPr="0008347D">
              <w:rPr>
                <w:color w:val="000000"/>
                <w:w w:val="23"/>
                <w:shd w:val="solid" w:color="000000" w:fill="000000"/>
                <w:fitText w:val="105" w:id="-893683962"/>
                <w14:textFill>
                  <w14:solidFill>
                    <w14:srgbClr w14:val="000000">
                      <w14:alpha w14:val="100000"/>
                    </w14:srgbClr>
                  </w14:solidFill>
                </w14:textFill>
              </w:rPr>
              <w:t>|</w:t>
            </w:r>
            <w:r w:rsidRPr="0008347D">
              <w:rPr>
                <w:rFonts w:hint="eastAsia"/>
                <w:color w:val="000000"/>
                <w:spacing w:val="3"/>
                <w:w w:val="23"/>
                <w:shd w:val="solid" w:color="000000" w:fill="000000"/>
                <w:fitText w:val="105" w:id="-893683962"/>
                <w14:textFill>
                  <w14:solidFill>
                    <w14:srgbClr w14:val="000000">
                      <w14:alpha w14:val="100000"/>
                    </w14:srgbClr>
                  </w14:solidFill>
                </w14:textFill>
              </w:rPr>
              <w:t xml:space="preserve">　</w:t>
            </w:r>
            <w:r w:rsidRPr="003F0AD1">
              <w:rPr>
                <w:vertAlign w:val="superscript"/>
              </w:rPr>
              <w:t>2</w:t>
            </w:r>
          </w:p>
        </w:tc>
        <w:tc>
          <w:tcPr>
            <w:tcW w:w="457" w:type="pct"/>
          </w:tcPr>
          <w:p w14:paraId="44FB303B" w14:textId="3B454C92" w:rsidR="00F87339" w:rsidRPr="0009066F" w:rsidRDefault="00F87339" w:rsidP="00F87339">
            <w:pPr>
              <w:pStyle w:val="TableText0"/>
              <w:jc w:val="center"/>
              <w:rPr>
                <w:rFonts w:cs="Times New Roman"/>
                <w:iCs/>
                <w:snapToGrid w:val="0"/>
                <w:sz w:val="19"/>
                <w:szCs w:val="19"/>
                <w:highlight w:val="lightGray"/>
              </w:rPr>
            </w:pPr>
            <w:r w:rsidRPr="0008347D">
              <w:rPr>
                <w:rFonts w:hint="eastAsia"/>
                <w:color w:val="000000"/>
                <w:w w:val="23"/>
                <w:shd w:val="solid" w:color="000000" w:fill="000000"/>
                <w:fitText w:val="105" w:id="-893683961"/>
                <w14:textFill>
                  <w14:solidFill>
                    <w14:srgbClr w14:val="000000">
                      <w14:alpha w14:val="100000"/>
                    </w14:srgbClr>
                  </w14:solidFill>
                </w14:textFill>
              </w:rPr>
              <w:t xml:space="preserve">　</w:t>
            </w:r>
            <w:r w:rsidRPr="0008347D">
              <w:rPr>
                <w:color w:val="000000"/>
                <w:w w:val="23"/>
                <w:shd w:val="solid" w:color="000000" w:fill="000000"/>
                <w:fitText w:val="105" w:id="-893683961"/>
                <w14:textFill>
                  <w14:solidFill>
                    <w14:srgbClr w14:val="000000">
                      <w14:alpha w14:val="100000"/>
                    </w14:srgbClr>
                  </w14:solidFill>
                </w14:textFill>
              </w:rPr>
              <w:t>|</w:t>
            </w:r>
            <w:r w:rsidRPr="0008347D">
              <w:rPr>
                <w:rFonts w:hint="eastAsia"/>
                <w:color w:val="000000"/>
                <w:spacing w:val="3"/>
                <w:w w:val="23"/>
                <w:shd w:val="solid" w:color="000000" w:fill="000000"/>
                <w:fitText w:val="105" w:id="-893683961"/>
                <w14:textFill>
                  <w14:solidFill>
                    <w14:srgbClr w14:val="000000">
                      <w14:alpha w14:val="100000"/>
                    </w14:srgbClr>
                  </w14:solidFill>
                </w14:textFill>
              </w:rPr>
              <w:t xml:space="preserve">　</w:t>
            </w:r>
            <w:r w:rsidRPr="003F0AD1">
              <w:rPr>
                <w:vertAlign w:val="superscript"/>
              </w:rPr>
              <w:t>2</w:t>
            </w:r>
          </w:p>
        </w:tc>
        <w:tc>
          <w:tcPr>
            <w:tcW w:w="535" w:type="pct"/>
          </w:tcPr>
          <w:p w14:paraId="73762F22" w14:textId="06907488" w:rsidR="00F87339" w:rsidRPr="0009066F" w:rsidRDefault="00F87339" w:rsidP="00F87339">
            <w:pPr>
              <w:pStyle w:val="TableText0"/>
              <w:jc w:val="center"/>
              <w:rPr>
                <w:rFonts w:cs="Times New Roman"/>
                <w:iCs/>
                <w:snapToGrid w:val="0"/>
                <w:sz w:val="19"/>
                <w:szCs w:val="19"/>
                <w:highlight w:val="lightGray"/>
              </w:rPr>
            </w:pPr>
            <w:r w:rsidRPr="0008347D">
              <w:rPr>
                <w:rFonts w:hint="eastAsia"/>
                <w:color w:val="000000"/>
                <w:w w:val="23"/>
                <w:shd w:val="solid" w:color="000000" w:fill="000000"/>
                <w:fitText w:val="105" w:id="-893683960"/>
                <w14:textFill>
                  <w14:solidFill>
                    <w14:srgbClr w14:val="000000">
                      <w14:alpha w14:val="100000"/>
                    </w14:srgbClr>
                  </w14:solidFill>
                </w14:textFill>
              </w:rPr>
              <w:t xml:space="preserve">　</w:t>
            </w:r>
            <w:r w:rsidRPr="0008347D">
              <w:rPr>
                <w:color w:val="000000"/>
                <w:w w:val="23"/>
                <w:shd w:val="solid" w:color="000000" w:fill="000000"/>
                <w:fitText w:val="105" w:id="-893683960"/>
                <w14:textFill>
                  <w14:solidFill>
                    <w14:srgbClr w14:val="000000">
                      <w14:alpha w14:val="100000"/>
                    </w14:srgbClr>
                  </w14:solidFill>
                </w14:textFill>
              </w:rPr>
              <w:t>|</w:t>
            </w:r>
            <w:r w:rsidRPr="0008347D">
              <w:rPr>
                <w:rFonts w:hint="eastAsia"/>
                <w:color w:val="000000"/>
                <w:spacing w:val="3"/>
                <w:w w:val="23"/>
                <w:shd w:val="solid" w:color="000000" w:fill="000000"/>
                <w:fitText w:val="105" w:id="-893683960"/>
                <w14:textFill>
                  <w14:solidFill>
                    <w14:srgbClr w14:val="000000">
                      <w14:alpha w14:val="100000"/>
                    </w14:srgbClr>
                  </w14:solidFill>
                </w14:textFill>
              </w:rPr>
              <w:t xml:space="preserve">　</w:t>
            </w:r>
            <w:r w:rsidRPr="003F0AD1">
              <w:rPr>
                <w:vertAlign w:val="superscript"/>
              </w:rPr>
              <w:t>2</w:t>
            </w:r>
          </w:p>
        </w:tc>
      </w:tr>
      <w:tr w:rsidR="00E16CF9" w:rsidRPr="001B4B72" w14:paraId="69E3BC4D" w14:textId="77777777" w:rsidTr="005C19E6">
        <w:tc>
          <w:tcPr>
            <w:tcW w:w="1962" w:type="pct"/>
            <w:vAlign w:val="center"/>
          </w:tcPr>
          <w:p w14:paraId="1641E0AF" w14:textId="5AAAC3D1" w:rsidR="00E16CF9" w:rsidRPr="001B4B72" w:rsidRDefault="00E16CF9" w:rsidP="00854496">
            <w:pPr>
              <w:keepNext/>
              <w:jc w:val="left"/>
              <w:rPr>
                <w:rFonts w:ascii="Arial Narrow" w:eastAsiaTheme="majorEastAsia" w:hAnsi="Arial Narrow" w:cstheme="majorBidi"/>
                <w:b/>
                <w:sz w:val="19"/>
                <w:szCs w:val="19"/>
              </w:rPr>
            </w:pPr>
            <w:r w:rsidRPr="001B4B72">
              <w:rPr>
                <w:rFonts w:ascii="Arial Narrow" w:eastAsiaTheme="majorEastAsia" w:hAnsi="Arial Narrow" w:cstheme="majorBidi"/>
                <w:b/>
                <w:sz w:val="19"/>
                <w:szCs w:val="19"/>
              </w:rPr>
              <w:t>Net cost PBS/RPBS</w:t>
            </w:r>
            <w:r>
              <w:rPr>
                <w:rFonts w:ascii="Arial Narrow" w:eastAsiaTheme="majorEastAsia" w:hAnsi="Arial Narrow" w:cstheme="majorBidi"/>
                <w:b/>
                <w:sz w:val="19"/>
                <w:szCs w:val="19"/>
              </w:rPr>
              <w:t xml:space="preserve"> (less copayments)</w:t>
            </w:r>
            <w:r w:rsidR="00C941DC">
              <w:rPr>
                <w:rFonts w:ascii="Arial Narrow" w:eastAsiaTheme="majorEastAsia" w:hAnsi="Arial Narrow" w:cstheme="majorBidi"/>
                <w:b/>
                <w:sz w:val="19"/>
                <w:szCs w:val="19"/>
              </w:rPr>
              <w:t xml:space="preserve"> ($)</w:t>
            </w:r>
          </w:p>
        </w:tc>
        <w:tc>
          <w:tcPr>
            <w:tcW w:w="472" w:type="pct"/>
            <w:tcBorders>
              <w:bottom w:val="single" w:sz="4" w:space="0" w:color="auto"/>
            </w:tcBorders>
          </w:tcPr>
          <w:p w14:paraId="78556759" w14:textId="4378615D" w:rsidR="00E16CF9" w:rsidRPr="0009066F" w:rsidRDefault="00501C36" w:rsidP="00854496">
            <w:pPr>
              <w:pStyle w:val="TableText0"/>
              <w:jc w:val="center"/>
              <w:rPr>
                <w:b/>
                <w:bCs w:val="0"/>
                <w:i/>
                <w:snapToGrid w:val="0"/>
                <w:sz w:val="19"/>
                <w:szCs w:val="19"/>
                <w:highlight w:val="lightGray"/>
              </w:rPr>
            </w:pPr>
            <w:r w:rsidRPr="00F87339">
              <w:rPr>
                <w:rFonts w:hint="eastAsia"/>
                <w:b/>
                <w:bCs w:val="0"/>
                <w:color w:val="000000"/>
                <w:w w:val="23"/>
                <w:shd w:val="solid" w:color="000000" w:fill="000000"/>
                <w:fitText w:val="105" w:id="-893683708"/>
                <w14:textFill>
                  <w14:solidFill>
                    <w14:srgbClr w14:val="000000">
                      <w14:alpha w14:val="100000"/>
                    </w14:srgbClr>
                  </w14:solidFill>
                </w14:textFill>
              </w:rPr>
              <w:t xml:space="preserve">　</w:t>
            </w:r>
            <w:r w:rsidRPr="00F87339">
              <w:rPr>
                <w:b/>
                <w:bCs w:val="0"/>
                <w:color w:val="000000"/>
                <w:w w:val="23"/>
                <w:shd w:val="solid" w:color="000000" w:fill="000000"/>
                <w:fitText w:val="105" w:id="-893683708"/>
                <w14:textFill>
                  <w14:solidFill>
                    <w14:srgbClr w14:val="000000">
                      <w14:alpha w14:val="100000"/>
                    </w14:srgbClr>
                  </w14:solidFill>
                </w14:textFill>
              </w:rPr>
              <w:t>|</w:t>
            </w:r>
            <w:r w:rsidRPr="00F87339">
              <w:rPr>
                <w:rFonts w:hint="eastAsia"/>
                <w:b/>
                <w:bCs w:val="0"/>
                <w:color w:val="000000"/>
                <w:spacing w:val="3"/>
                <w:w w:val="23"/>
                <w:shd w:val="solid" w:color="000000" w:fill="000000"/>
                <w:fitText w:val="105" w:id="-893683708"/>
                <w14:textFill>
                  <w14:solidFill>
                    <w14:srgbClr w14:val="000000">
                      <w14:alpha w14:val="100000"/>
                    </w14:srgbClr>
                  </w14:solidFill>
                </w14:textFill>
              </w:rPr>
              <w:t xml:space="preserve">　</w:t>
            </w:r>
            <w:r w:rsidR="00E3560E" w:rsidRPr="003F0AD1">
              <w:rPr>
                <w:vertAlign w:val="superscript"/>
              </w:rPr>
              <w:t>3</w:t>
            </w:r>
          </w:p>
        </w:tc>
        <w:tc>
          <w:tcPr>
            <w:tcW w:w="551" w:type="pct"/>
            <w:tcBorders>
              <w:bottom w:val="single" w:sz="4" w:space="0" w:color="auto"/>
            </w:tcBorders>
          </w:tcPr>
          <w:p w14:paraId="7F6AAFFF" w14:textId="60564EC9" w:rsidR="00E16CF9" w:rsidRPr="0009066F" w:rsidRDefault="00501C36" w:rsidP="00854496">
            <w:pPr>
              <w:pStyle w:val="TableText0"/>
              <w:jc w:val="center"/>
              <w:rPr>
                <w:b/>
                <w:bCs w:val="0"/>
                <w:i/>
                <w:snapToGrid w:val="0"/>
                <w:sz w:val="19"/>
                <w:szCs w:val="19"/>
                <w:highlight w:val="lightGray"/>
              </w:rPr>
            </w:pPr>
            <w:r w:rsidRPr="00501C36">
              <w:rPr>
                <w:b/>
                <w:bCs w:val="0"/>
                <w:color w:val="000000"/>
                <w:spacing w:val="73"/>
                <w:shd w:val="solid" w:color="000000" w:fill="000000"/>
                <w:fitText w:val="165" w:id="-893683707"/>
                <w14:textFill>
                  <w14:solidFill>
                    <w14:srgbClr w14:val="000000">
                      <w14:alpha w14:val="100000"/>
                    </w14:srgbClr>
                  </w14:solidFill>
                </w14:textFill>
              </w:rPr>
              <w:t>|</w:t>
            </w:r>
            <w:r w:rsidRPr="00501C36">
              <w:rPr>
                <w:b/>
                <w:bCs w:val="0"/>
                <w:color w:val="000000"/>
                <w:spacing w:val="1"/>
                <w:shd w:val="solid" w:color="000000" w:fill="000000"/>
                <w:fitText w:val="165" w:id="-893683707"/>
                <w14:textFill>
                  <w14:solidFill>
                    <w14:srgbClr w14:val="000000">
                      <w14:alpha w14:val="100000"/>
                    </w14:srgbClr>
                  </w14:solidFill>
                </w14:textFill>
              </w:rPr>
              <w:t>|</w:t>
            </w:r>
            <w:r w:rsidR="00E3560E" w:rsidRPr="003F0AD1">
              <w:rPr>
                <w:vertAlign w:val="superscript"/>
              </w:rPr>
              <w:t>4</w:t>
            </w:r>
          </w:p>
        </w:tc>
        <w:tc>
          <w:tcPr>
            <w:tcW w:w="471" w:type="pct"/>
            <w:tcBorders>
              <w:bottom w:val="single" w:sz="4" w:space="0" w:color="auto"/>
            </w:tcBorders>
          </w:tcPr>
          <w:p w14:paraId="3AEED4C7" w14:textId="321FCBF7" w:rsidR="00E16CF9" w:rsidRPr="0009066F" w:rsidRDefault="00501C36" w:rsidP="00854496">
            <w:pPr>
              <w:pStyle w:val="TableText0"/>
              <w:jc w:val="center"/>
              <w:rPr>
                <w:b/>
                <w:bCs w:val="0"/>
                <w:i/>
                <w:snapToGrid w:val="0"/>
                <w:sz w:val="19"/>
                <w:szCs w:val="19"/>
                <w:highlight w:val="lightGray"/>
              </w:rPr>
            </w:pPr>
            <w:r w:rsidRPr="00501C36">
              <w:rPr>
                <w:b/>
                <w:bCs w:val="0"/>
                <w:color w:val="000000"/>
                <w:spacing w:val="73"/>
                <w:shd w:val="solid" w:color="000000" w:fill="000000"/>
                <w:fitText w:val="165" w:id="-893683706"/>
                <w14:textFill>
                  <w14:solidFill>
                    <w14:srgbClr w14:val="000000">
                      <w14:alpha w14:val="100000"/>
                    </w14:srgbClr>
                  </w14:solidFill>
                </w14:textFill>
              </w:rPr>
              <w:t>|</w:t>
            </w:r>
            <w:r w:rsidRPr="00501C36">
              <w:rPr>
                <w:b/>
                <w:bCs w:val="0"/>
                <w:color w:val="000000"/>
                <w:spacing w:val="1"/>
                <w:shd w:val="solid" w:color="000000" w:fill="000000"/>
                <w:fitText w:val="165" w:id="-893683706"/>
                <w14:textFill>
                  <w14:solidFill>
                    <w14:srgbClr w14:val="000000">
                      <w14:alpha w14:val="100000"/>
                    </w14:srgbClr>
                  </w14:solidFill>
                </w14:textFill>
              </w:rPr>
              <w:t>|</w:t>
            </w:r>
            <w:r w:rsidR="00E3560E" w:rsidRPr="003F0AD1">
              <w:rPr>
                <w:vertAlign w:val="superscript"/>
              </w:rPr>
              <w:t>4</w:t>
            </w:r>
          </w:p>
        </w:tc>
        <w:tc>
          <w:tcPr>
            <w:tcW w:w="551" w:type="pct"/>
            <w:tcBorders>
              <w:bottom w:val="single" w:sz="4" w:space="0" w:color="auto"/>
            </w:tcBorders>
          </w:tcPr>
          <w:p w14:paraId="7765BBF8" w14:textId="2B21549A" w:rsidR="00E16CF9" w:rsidRPr="0009066F" w:rsidRDefault="00501C36" w:rsidP="00854496">
            <w:pPr>
              <w:pStyle w:val="TableText0"/>
              <w:jc w:val="center"/>
              <w:rPr>
                <w:b/>
                <w:bCs w:val="0"/>
                <w:i/>
                <w:snapToGrid w:val="0"/>
                <w:sz w:val="19"/>
                <w:szCs w:val="19"/>
                <w:highlight w:val="lightGray"/>
              </w:rPr>
            </w:pPr>
            <w:r w:rsidRPr="00501C36">
              <w:rPr>
                <w:b/>
                <w:bCs w:val="0"/>
                <w:color w:val="000000"/>
                <w:spacing w:val="73"/>
                <w:shd w:val="solid" w:color="000000" w:fill="000000"/>
                <w:fitText w:val="165" w:id="-893683705"/>
                <w14:textFill>
                  <w14:solidFill>
                    <w14:srgbClr w14:val="000000">
                      <w14:alpha w14:val="100000"/>
                    </w14:srgbClr>
                  </w14:solidFill>
                </w14:textFill>
              </w:rPr>
              <w:t>|</w:t>
            </w:r>
            <w:r w:rsidRPr="00501C36">
              <w:rPr>
                <w:b/>
                <w:bCs w:val="0"/>
                <w:color w:val="000000"/>
                <w:spacing w:val="1"/>
                <w:shd w:val="solid" w:color="000000" w:fill="000000"/>
                <w:fitText w:val="165" w:id="-893683705"/>
                <w14:textFill>
                  <w14:solidFill>
                    <w14:srgbClr w14:val="000000">
                      <w14:alpha w14:val="100000"/>
                    </w14:srgbClr>
                  </w14:solidFill>
                </w14:textFill>
              </w:rPr>
              <w:t>|</w:t>
            </w:r>
            <w:r w:rsidR="00E3560E" w:rsidRPr="003F0AD1">
              <w:rPr>
                <w:vertAlign w:val="superscript"/>
              </w:rPr>
              <w:t>4</w:t>
            </w:r>
          </w:p>
        </w:tc>
        <w:tc>
          <w:tcPr>
            <w:tcW w:w="457" w:type="pct"/>
            <w:tcBorders>
              <w:bottom w:val="single" w:sz="4" w:space="0" w:color="auto"/>
            </w:tcBorders>
          </w:tcPr>
          <w:p w14:paraId="14E90598" w14:textId="7310D217" w:rsidR="00E16CF9" w:rsidRPr="0009066F" w:rsidRDefault="00501C36" w:rsidP="00854496">
            <w:pPr>
              <w:pStyle w:val="TableText0"/>
              <w:jc w:val="center"/>
              <w:rPr>
                <w:b/>
                <w:bCs w:val="0"/>
                <w:i/>
                <w:snapToGrid w:val="0"/>
                <w:sz w:val="19"/>
                <w:szCs w:val="19"/>
                <w:highlight w:val="lightGray"/>
              </w:rPr>
            </w:pPr>
            <w:r w:rsidRPr="00501C36">
              <w:rPr>
                <w:b/>
                <w:bCs w:val="0"/>
                <w:color w:val="000000"/>
                <w:spacing w:val="73"/>
                <w:shd w:val="solid" w:color="000000" w:fill="000000"/>
                <w:fitText w:val="165" w:id="-893683704"/>
                <w14:textFill>
                  <w14:solidFill>
                    <w14:srgbClr w14:val="000000">
                      <w14:alpha w14:val="100000"/>
                    </w14:srgbClr>
                  </w14:solidFill>
                </w14:textFill>
              </w:rPr>
              <w:t>|</w:t>
            </w:r>
            <w:r w:rsidRPr="00501C36">
              <w:rPr>
                <w:b/>
                <w:bCs w:val="0"/>
                <w:color w:val="000000"/>
                <w:spacing w:val="1"/>
                <w:shd w:val="solid" w:color="000000" w:fill="000000"/>
                <w:fitText w:val="165" w:id="-893683704"/>
                <w14:textFill>
                  <w14:solidFill>
                    <w14:srgbClr w14:val="000000">
                      <w14:alpha w14:val="100000"/>
                    </w14:srgbClr>
                  </w14:solidFill>
                </w14:textFill>
              </w:rPr>
              <w:t>|</w:t>
            </w:r>
            <w:r w:rsidR="00E3560E" w:rsidRPr="003F0AD1">
              <w:rPr>
                <w:vertAlign w:val="superscript"/>
              </w:rPr>
              <w:t>5</w:t>
            </w:r>
          </w:p>
        </w:tc>
        <w:tc>
          <w:tcPr>
            <w:tcW w:w="535" w:type="pct"/>
            <w:tcBorders>
              <w:bottom w:val="single" w:sz="4" w:space="0" w:color="auto"/>
            </w:tcBorders>
          </w:tcPr>
          <w:p w14:paraId="4A884C4B" w14:textId="3B9F3AFA" w:rsidR="00E16CF9" w:rsidRPr="0009066F" w:rsidRDefault="00501C36" w:rsidP="00854496">
            <w:pPr>
              <w:pStyle w:val="TableText0"/>
              <w:jc w:val="center"/>
              <w:rPr>
                <w:b/>
                <w:bCs w:val="0"/>
                <w:i/>
                <w:snapToGrid w:val="0"/>
                <w:sz w:val="19"/>
                <w:szCs w:val="19"/>
                <w:highlight w:val="lightGray"/>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00E3560E" w:rsidRPr="003F0AD1">
              <w:rPr>
                <w:vertAlign w:val="superscript"/>
              </w:rPr>
              <w:t>6</w:t>
            </w:r>
          </w:p>
        </w:tc>
      </w:tr>
      <w:tr w:rsidR="00F87339" w:rsidRPr="001B4B72" w14:paraId="5D810A54" w14:textId="77777777" w:rsidTr="005C19E6">
        <w:tc>
          <w:tcPr>
            <w:tcW w:w="1962" w:type="pct"/>
            <w:vAlign w:val="center"/>
          </w:tcPr>
          <w:p w14:paraId="01D6108D" w14:textId="6031ED24" w:rsidR="00F87339" w:rsidRPr="001B4B72" w:rsidRDefault="00F87339" w:rsidP="00854496">
            <w:pPr>
              <w:keepNext/>
              <w:jc w:val="left"/>
              <w:rPr>
                <w:rFonts w:ascii="Arial Narrow" w:eastAsiaTheme="majorEastAsia" w:hAnsi="Arial Narrow" w:cstheme="majorBidi"/>
                <w:b/>
                <w:sz w:val="19"/>
                <w:szCs w:val="19"/>
              </w:rPr>
            </w:pPr>
            <w:r w:rsidRPr="004E000B">
              <w:rPr>
                <w:rFonts w:ascii="Arial Narrow" w:eastAsiaTheme="majorEastAsia" w:hAnsi="Arial Narrow" w:cstheme="majorBidi"/>
                <w:b/>
                <w:bCs/>
                <w:sz w:val="19"/>
                <w:szCs w:val="19"/>
              </w:rPr>
              <w:t>Net cost to MBS</w:t>
            </w:r>
            <w:r>
              <w:rPr>
                <w:rFonts w:ascii="Arial Narrow" w:eastAsiaTheme="majorEastAsia" w:hAnsi="Arial Narrow" w:cstheme="majorBidi"/>
                <w:b/>
                <w:bCs/>
                <w:sz w:val="19"/>
                <w:szCs w:val="19"/>
              </w:rPr>
              <w:t xml:space="preserve"> ($)</w:t>
            </w:r>
          </w:p>
        </w:tc>
        <w:tc>
          <w:tcPr>
            <w:tcW w:w="472" w:type="pct"/>
            <w:tcBorders>
              <w:bottom w:val="single" w:sz="4" w:space="0" w:color="auto"/>
            </w:tcBorders>
          </w:tcPr>
          <w:p w14:paraId="0C459C9C" w14:textId="093F39D4" w:rsidR="00F87339" w:rsidRPr="00501C36" w:rsidRDefault="00F87339" w:rsidP="00854496">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Pr="003F0AD1">
              <w:rPr>
                <w:vertAlign w:val="superscript"/>
              </w:rPr>
              <w:t>6</w:t>
            </w:r>
          </w:p>
        </w:tc>
        <w:tc>
          <w:tcPr>
            <w:tcW w:w="551" w:type="pct"/>
            <w:tcBorders>
              <w:bottom w:val="single" w:sz="4" w:space="0" w:color="auto"/>
            </w:tcBorders>
          </w:tcPr>
          <w:p w14:paraId="6595C6AB" w14:textId="7AA013BD" w:rsidR="00F87339" w:rsidRPr="00501C36" w:rsidRDefault="00F87339" w:rsidP="00854496">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Pr="003F0AD1">
              <w:rPr>
                <w:vertAlign w:val="superscript"/>
              </w:rPr>
              <w:t>6</w:t>
            </w:r>
          </w:p>
        </w:tc>
        <w:tc>
          <w:tcPr>
            <w:tcW w:w="471" w:type="pct"/>
            <w:tcBorders>
              <w:bottom w:val="single" w:sz="4" w:space="0" w:color="auto"/>
            </w:tcBorders>
          </w:tcPr>
          <w:p w14:paraId="3DF36F38" w14:textId="751546AD" w:rsidR="00F87339" w:rsidRPr="00501C36" w:rsidRDefault="00F87339" w:rsidP="00854496">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Pr="003F0AD1">
              <w:rPr>
                <w:vertAlign w:val="superscript"/>
              </w:rPr>
              <w:t>6</w:t>
            </w:r>
          </w:p>
        </w:tc>
        <w:tc>
          <w:tcPr>
            <w:tcW w:w="551" w:type="pct"/>
            <w:tcBorders>
              <w:bottom w:val="single" w:sz="4" w:space="0" w:color="auto"/>
            </w:tcBorders>
          </w:tcPr>
          <w:p w14:paraId="3EFE917C" w14:textId="07877E0D" w:rsidR="00F87339" w:rsidRPr="00501C36" w:rsidRDefault="00F87339" w:rsidP="00854496">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Pr="003F0AD1">
              <w:rPr>
                <w:vertAlign w:val="superscript"/>
              </w:rPr>
              <w:t>6</w:t>
            </w:r>
          </w:p>
        </w:tc>
        <w:tc>
          <w:tcPr>
            <w:tcW w:w="457" w:type="pct"/>
            <w:tcBorders>
              <w:bottom w:val="single" w:sz="4" w:space="0" w:color="auto"/>
            </w:tcBorders>
          </w:tcPr>
          <w:p w14:paraId="4720093B" w14:textId="6A09EF0E" w:rsidR="00F87339" w:rsidRPr="00501C36" w:rsidRDefault="00F87339" w:rsidP="00854496">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Pr="003F0AD1">
              <w:rPr>
                <w:vertAlign w:val="superscript"/>
              </w:rPr>
              <w:t>6</w:t>
            </w:r>
          </w:p>
        </w:tc>
        <w:tc>
          <w:tcPr>
            <w:tcW w:w="535" w:type="pct"/>
            <w:tcBorders>
              <w:bottom w:val="single" w:sz="4" w:space="0" w:color="auto"/>
            </w:tcBorders>
          </w:tcPr>
          <w:p w14:paraId="330EE557" w14:textId="1D95D484" w:rsidR="00F87339" w:rsidRPr="00501C36" w:rsidRDefault="00F87339" w:rsidP="00854496">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Pr="003F0AD1">
              <w:rPr>
                <w:vertAlign w:val="superscript"/>
              </w:rPr>
              <w:t>6</w:t>
            </w:r>
          </w:p>
        </w:tc>
      </w:tr>
      <w:tr w:rsidR="00F87339" w:rsidRPr="001B4B72" w14:paraId="30E87773" w14:textId="77777777" w:rsidTr="005C19E6">
        <w:tc>
          <w:tcPr>
            <w:tcW w:w="1962" w:type="pct"/>
            <w:vAlign w:val="center"/>
          </w:tcPr>
          <w:p w14:paraId="467AB4E9" w14:textId="6AC6ABB9" w:rsidR="00F87339" w:rsidRPr="001B4B72" w:rsidRDefault="00F87339" w:rsidP="00F87339">
            <w:pPr>
              <w:keepNext/>
              <w:jc w:val="left"/>
              <w:rPr>
                <w:rFonts w:ascii="Arial Narrow" w:eastAsiaTheme="majorEastAsia" w:hAnsi="Arial Narrow" w:cstheme="majorBidi"/>
                <w:b/>
                <w:sz w:val="19"/>
                <w:szCs w:val="19"/>
              </w:rPr>
            </w:pPr>
            <w:r w:rsidRPr="004E000B">
              <w:rPr>
                <w:rFonts w:ascii="Arial Narrow" w:eastAsiaTheme="majorEastAsia" w:hAnsi="Arial Narrow" w:cstheme="majorBidi"/>
                <w:b/>
                <w:bCs/>
                <w:sz w:val="19"/>
                <w:szCs w:val="19"/>
              </w:rPr>
              <w:t>Net change to government budget</w:t>
            </w:r>
            <w:r>
              <w:rPr>
                <w:rFonts w:ascii="Arial Narrow" w:eastAsiaTheme="majorEastAsia" w:hAnsi="Arial Narrow" w:cstheme="majorBidi"/>
                <w:b/>
                <w:bCs/>
                <w:sz w:val="19"/>
                <w:szCs w:val="19"/>
              </w:rPr>
              <w:t xml:space="preserve"> ($)</w:t>
            </w:r>
          </w:p>
        </w:tc>
        <w:tc>
          <w:tcPr>
            <w:tcW w:w="472" w:type="pct"/>
            <w:tcBorders>
              <w:bottom w:val="single" w:sz="4" w:space="0" w:color="auto"/>
            </w:tcBorders>
          </w:tcPr>
          <w:p w14:paraId="6C7B2E7A" w14:textId="37E7020B" w:rsidR="00F87339" w:rsidRPr="00501C36" w:rsidRDefault="00F87339" w:rsidP="00F87339">
            <w:pPr>
              <w:pStyle w:val="TableText0"/>
              <w:jc w:val="center"/>
              <w:rPr>
                <w:b/>
                <w:bCs w:val="0"/>
                <w:color w:val="000000"/>
                <w:shd w:val="solid" w:color="000000" w:fill="000000"/>
                <w14:textFill>
                  <w14:solidFill>
                    <w14:srgbClr w14:val="000000">
                      <w14:alpha w14:val="100000"/>
                    </w14:srgbClr>
                  </w14:solidFill>
                </w14:textFill>
              </w:rPr>
            </w:pPr>
            <w:r w:rsidRPr="00F87339">
              <w:rPr>
                <w:rFonts w:hint="eastAsia"/>
                <w:b/>
                <w:bCs w:val="0"/>
                <w:color w:val="000000"/>
                <w:w w:val="23"/>
                <w:shd w:val="solid" w:color="000000" w:fill="000000"/>
                <w:fitText w:val="105" w:id="-893683708"/>
                <w14:textFill>
                  <w14:solidFill>
                    <w14:srgbClr w14:val="000000">
                      <w14:alpha w14:val="100000"/>
                    </w14:srgbClr>
                  </w14:solidFill>
                </w14:textFill>
              </w:rPr>
              <w:t xml:space="preserve">　</w:t>
            </w:r>
            <w:r w:rsidRPr="00F87339">
              <w:rPr>
                <w:b/>
                <w:bCs w:val="0"/>
                <w:color w:val="000000"/>
                <w:w w:val="23"/>
                <w:shd w:val="solid" w:color="000000" w:fill="000000"/>
                <w:fitText w:val="105" w:id="-893683708"/>
                <w14:textFill>
                  <w14:solidFill>
                    <w14:srgbClr w14:val="000000">
                      <w14:alpha w14:val="100000"/>
                    </w14:srgbClr>
                  </w14:solidFill>
                </w14:textFill>
              </w:rPr>
              <w:t>|</w:t>
            </w:r>
            <w:r w:rsidRPr="00F87339">
              <w:rPr>
                <w:rFonts w:hint="eastAsia"/>
                <w:b/>
                <w:bCs w:val="0"/>
                <w:color w:val="000000"/>
                <w:w w:val="23"/>
                <w:shd w:val="solid" w:color="000000" w:fill="000000"/>
                <w:fitText w:val="105" w:id="-893683708"/>
                <w14:textFill>
                  <w14:solidFill>
                    <w14:srgbClr w14:val="000000">
                      <w14:alpha w14:val="100000"/>
                    </w14:srgbClr>
                  </w14:solidFill>
                </w14:textFill>
              </w:rPr>
              <w:t xml:space="preserve">　</w:t>
            </w:r>
            <w:r w:rsidRPr="003F0AD1">
              <w:rPr>
                <w:vertAlign w:val="superscript"/>
              </w:rPr>
              <w:t>3</w:t>
            </w:r>
          </w:p>
        </w:tc>
        <w:tc>
          <w:tcPr>
            <w:tcW w:w="551" w:type="pct"/>
            <w:tcBorders>
              <w:bottom w:val="single" w:sz="4" w:space="0" w:color="auto"/>
            </w:tcBorders>
          </w:tcPr>
          <w:p w14:paraId="4CB2E45F" w14:textId="395C1AF0" w:rsidR="00F87339" w:rsidRPr="00501C36" w:rsidRDefault="00F87339" w:rsidP="00F87339">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88"/>
                <w:shd w:val="solid" w:color="000000" w:fill="000000"/>
                <w:fitText w:val="180" w:id="-893683711"/>
                <w14:textFill>
                  <w14:solidFill>
                    <w14:srgbClr w14:val="000000">
                      <w14:alpha w14:val="100000"/>
                    </w14:srgbClr>
                  </w14:solidFill>
                </w14:textFill>
              </w:rPr>
              <w:t>|</w:t>
            </w:r>
            <w:r w:rsidRPr="00501C36">
              <w:rPr>
                <w:b/>
                <w:bCs w:val="0"/>
                <w:color w:val="000000"/>
                <w:spacing w:val="1"/>
                <w:shd w:val="solid" w:color="000000" w:fill="000000"/>
                <w:fitText w:val="180" w:id="-893683711"/>
                <w14:textFill>
                  <w14:solidFill>
                    <w14:srgbClr w14:val="000000">
                      <w14:alpha w14:val="100000"/>
                    </w14:srgbClr>
                  </w14:solidFill>
                </w14:textFill>
              </w:rPr>
              <w:t>|</w:t>
            </w:r>
            <w:r w:rsidRPr="003F0AD1">
              <w:rPr>
                <w:vertAlign w:val="superscript"/>
              </w:rPr>
              <w:t>4</w:t>
            </w:r>
          </w:p>
        </w:tc>
        <w:tc>
          <w:tcPr>
            <w:tcW w:w="471" w:type="pct"/>
            <w:tcBorders>
              <w:bottom w:val="single" w:sz="4" w:space="0" w:color="auto"/>
            </w:tcBorders>
          </w:tcPr>
          <w:p w14:paraId="05EFF9A4" w14:textId="1D82486C" w:rsidR="00F87339" w:rsidRPr="00501C36" w:rsidRDefault="00F87339" w:rsidP="00F87339">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88"/>
                <w:shd w:val="solid" w:color="000000" w:fill="000000"/>
                <w:fitText w:val="180" w:id="-893683710"/>
                <w14:textFill>
                  <w14:solidFill>
                    <w14:srgbClr w14:val="000000">
                      <w14:alpha w14:val="100000"/>
                    </w14:srgbClr>
                  </w14:solidFill>
                </w14:textFill>
              </w:rPr>
              <w:t>|</w:t>
            </w:r>
            <w:r w:rsidRPr="00501C36">
              <w:rPr>
                <w:b/>
                <w:bCs w:val="0"/>
                <w:color w:val="000000"/>
                <w:spacing w:val="1"/>
                <w:shd w:val="solid" w:color="000000" w:fill="000000"/>
                <w:fitText w:val="180" w:id="-893683710"/>
                <w14:textFill>
                  <w14:solidFill>
                    <w14:srgbClr w14:val="000000">
                      <w14:alpha w14:val="100000"/>
                    </w14:srgbClr>
                  </w14:solidFill>
                </w14:textFill>
              </w:rPr>
              <w:t>|</w:t>
            </w:r>
            <w:r w:rsidRPr="003F0AD1">
              <w:rPr>
                <w:vertAlign w:val="superscript"/>
              </w:rPr>
              <w:t>4</w:t>
            </w:r>
          </w:p>
        </w:tc>
        <w:tc>
          <w:tcPr>
            <w:tcW w:w="551" w:type="pct"/>
            <w:tcBorders>
              <w:bottom w:val="single" w:sz="4" w:space="0" w:color="auto"/>
            </w:tcBorders>
          </w:tcPr>
          <w:p w14:paraId="6248B5FC" w14:textId="2A212BE8" w:rsidR="00F87339" w:rsidRPr="00501C36" w:rsidRDefault="00F87339" w:rsidP="00F87339">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88"/>
                <w:shd w:val="solid" w:color="000000" w:fill="000000"/>
                <w:fitText w:val="180" w:id="-893683709"/>
                <w14:textFill>
                  <w14:solidFill>
                    <w14:srgbClr w14:val="000000">
                      <w14:alpha w14:val="100000"/>
                    </w14:srgbClr>
                  </w14:solidFill>
                </w14:textFill>
              </w:rPr>
              <w:t>|</w:t>
            </w:r>
            <w:r w:rsidRPr="00501C36">
              <w:rPr>
                <w:b/>
                <w:bCs w:val="0"/>
                <w:color w:val="000000"/>
                <w:spacing w:val="1"/>
                <w:shd w:val="solid" w:color="000000" w:fill="000000"/>
                <w:fitText w:val="180" w:id="-893683709"/>
                <w14:textFill>
                  <w14:solidFill>
                    <w14:srgbClr w14:val="000000">
                      <w14:alpha w14:val="100000"/>
                    </w14:srgbClr>
                  </w14:solidFill>
                </w14:textFill>
              </w:rPr>
              <w:t>|</w:t>
            </w:r>
            <w:r w:rsidRPr="003F0AD1">
              <w:rPr>
                <w:vertAlign w:val="superscript"/>
              </w:rPr>
              <w:t>4</w:t>
            </w:r>
          </w:p>
        </w:tc>
        <w:tc>
          <w:tcPr>
            <w:tcW w:w="457" w:type="pct"/>
            <w:tcBorders>
              <w:bottom w:val="single" w:sz="4" w:space="0" w:color="auto"/>
            </w:tcBorders>
          </w:tcPr>
          <w:p w14:paraId="1A7A613C" w14:textId="559E207F" w:rsidR="00F87339" w:rsidRPr="00501C36" w:rsidRDefault="00F87339" w:rsidP="00F87339">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88"/>
                <w:shd w:val="solid" w:color="000000" w:fill="000000"/>
                <w:fitText w:val="180" w:id="-893683708"/>
                <w14:textFill>
                  <w14:solidFill>
                    <w14:srgbClr w14:val="000000">
                      <w14:alpha w14:val="100000"/>
                    </w14:srgbClr>
                  </w14:solidFill>
                </w14:textFill>
              </w:rPr>
              <w:t>|</w:t>
            </w:r>
            <w:r w:rsidRPr="00501C36">
              <w:rPr>
                <w:b/>
                <w:bCs w:val="0"/>
                <w:color w:val="000000"/>
                <w:spacing w:val="1"/>
                <w:shd w:val="solid" w:color="000000" w:fill="000000"/>
                <w:fitText w:val="180" w:id="-893683708"/>
                <w14:textFill>
                  <w14:solidFill>
                    <w14:srgbClr w14:val="000000">
                      <w14:alpha w14:val="100000"/>
                    </w14:srgbClr>
                  </w14:solidFill>
                </w14:textFill>
              </w:rPr>
              <w:t>|</w:t>
            </w:r>
            <w:r w:rsidRPr="003F0AD1">
              <w:rPr>
                <w:vertAlign w:val="superscript"/>
              </w:rPr>
              <w:t>5</w:t>
            </w:r>
          </w:p>
        </w:tc>
        <w:tc>
          <w:tcPr>
            <w:tcW w:w="535" w:type="pct"/>
            <w:tcBorders>
              <w:bottom w:val="single" w:sz="4" w:space="0" w:color="auto"/>
            </w:tcBorders>
          </w:tcPr>
          <w:p w14:paraId="63F108B8" w14:textId="0A416AFC" w:rsidR="00F87339" w:rsidRPr="00501C36" w:rsidRDefault="00F87339" w:rsidP="00F87339">
            <w:pPr>
              <w:pStyle w:val="TableText0"/>
              <w:jc w:val="center"/>
              <w:rPr>
                <w:b/>
                <w:bCs w:val="0"/>
                <w:color w:val="000000"/>
                <w:shd w:val="solid" w:color="000000" w:fill="000000"/>
                <w14:textFill>
                  <w14:solidFill>
                    <w14:srgbClr w14:val="000000">
                      <w14:alpha w14:val="100000"/>
                    </w14:srgbClr>
                  </w14:solidFill>
                </w14:textFill>
              </w:rPr>
            </w:pPr>
            <w:r w:rsidRPr="00501C36">
              <w:rPr>
                <w:b/>
                <w:bCs w:val="0"/>
                <w:color w:val="000000"/>
                <w:spacing w:val="73"/>
                <w:shd w:val="solid" w:color="000000" w:fill="000000"/>
                <w:fitText w:val="165" w:id="-893683703"/>
                <w14:textFill>
                  <w14:solidFill>
                    <w14:srgbClr w14:val="000000">
                      <w14:alpha w14:val="100000"/>
                    </w14:srgbClr>
                  </w14:solidFill>
                </w14:textFill>
              </w:rPr>
              <w:t>|</w:t>
            </w:r>
            <w:r w:rsidRPr="00501C36">
              <w:rPr>
                <w:b/>
                <w:bCs w:val="0"/>
                <w:color w:val="000000"/>
                <w:spacing w:val="1"/>
                <w:shd w:val="solid" w:color="000000" w:fill="000000"/>
                <w:fitText w:val="165" w:id="-893683703"/>
                <w14:textFill>
                  <w14:solidFill>
                    <w14:srgbClr w14:val="000000">
                      <w14:alpha w14:val="100000"/>
                    </w14:srgbClr>
                  </w14:solidFill>
                </w14:textFill>
              </w:rPr>
              <w:t>|</w:t>
            </w:r>
            <w:r w:rsidRPr="003F0AD1">
              <w:rPr>
                <w:vertAlign w:val="superscript"/>
              </w:rPr>
              <w:t>6</w:t>
            </w:r>
          </w:p>
        </w:tc>
      </w:tr>
    </w:tbl>
    <w:p w14:paraId="1048A85A" w14:textId="77777777" w:rsidR="00E16CF9" w:rsidRDefault="00E16CF9" w:rsidP="00E16CF9">
      <w:pPr>
        <w:keepNext/>
        <w:keepLines/>
        <w:rPr>
          <w:rFonts w:ascii="Arial Narrow" w:hAnsi="Arial Narrow"/>
          <w:bCs/>
          <w:sz w:val="18"/>
          <w:szCs w:val="18"/>
        </w:rPr>
      </w:pPr>
      <w:r w:rsidRPr="003D76F3">
        <w:rPr>
          <w:rFonts w:ascii="Arial Narrow" w:hAnsi="Arial Narrow"/>
          <w:bCs/>
          <w:sz w:val="18"/>
          <w:szCs w:val="18"/>
        </w:rPr>
        <w:t xml:space="preserve">Source: </w:t>
      </w:r>
      <w:r>
        <w:rPr>
          <w:rFonts w:ascii="Arial Narrow" w:hAnsi="Arial Narrow"/>
          <w:bCs/>
          <w:sz w:val="18"/>
          <w:szCs w:val="18"/>
        </w:rPr>
        <w:t xml:space="preserve">Tables 4.2-5, 4.2-7, 4.5-1, 4.6-1 and </w:t>
      </w:r>
      <w:r w:rsidRPr="00E16CF9">
        <w:rPr>
          <w:rFonts w:ascii="Arial Narrow" w:hAnsi="Arial Narrow"/>
          <w:bCs/>
          <w:iCs/>
          <w:sz w:val="18"/>
          <w:szCs w:val="18"/>
        </w:rPr>
        <w:t>compiled during the evaluation</w:t>
      </w:r>
      <w:r>
        <w:rPr>
          <w:rFonts w:ascii="Arial Narrow" w:hAnsi="Arial Narrow"/>
          <w:bCs/>
          <w:sz w:val="18"/>
          <w:szCs w:val="18"/>
        </w:rPr>
        <w:t xml:space="preserve"> </w:t>
      </w:r>
    </w:p>
    <w:p w14:paraId="4E6F2B82" w14:textId="77777777" w:rsidR="00E16CF9" w:rsidRDefault="00E16CF9" w:rsidP="00E16CF9">
      <w:pPr>
        <w:keepNext/>
        <w:keepLines/>
        <w:rPr>
          <w:rFonts w:ascii="Arial Narrow" w:hAnsi="Arial Narrow"/>
          <w:bCs/>
          <w:sz w:val="18"/>
          <w:szCs w:val="18"/>
        </w:rPr>
      </w:pPr>
      <w:r>
        <w:rPr>
          <w:rFonts w:ascii="Arial Narrow" w:hAnsi="Arial Narrow"/>
          <w:bCs/>
          <w:sz w:val="18"/>
          <w:szCs w:val="18"/>
        </w:rPr>
        <w:t>pt=patient, yr=year</w:t>
      </w:r>
    </w:p>
    <w:p w14:paraId="3228C6AC" w14:textId="77777777" w:rsidR="00C941DC" w:rsidRPr="0009066F" w:rsidRDefault="00C941DC" w:rsidP="00C941DC">
      <w:pPr>
        <w:keepNext/>
        <w:keepLines/>
        <w:rPr>
          <w:rFonts w:ascii="Arial Narrow" w:hAnsi="Arial Narrow"/>
          <w:bCs/>
          <w:i/>
          <w:iCs/>
          <w:sz w:val="18"/>
          <w:szCs w:val="18"/>
        </w:rPr>
      </w:pPr>
      <w:r w:rsidRPr="0009066F">
        <w:rPr>
          <w:rFonts w:ascii="Arial Narrow" w:hAnsi="Arial Narrow"/>
          <w:bCs/>
          <w:i/>
          <w:iCs/>
          <w:sz w:val="18"/>
          <w:szCs w:val="18"/>
        </w:rPr>
        <w:t>The redacted values correspond to the following ranges:</w:t>
      </w:r>
    </w:p>
    <w:p w14:paraId="615A8388" w14:textId="77777777" w:rsidR="00C941DC" w:rsidRPr="0009066F" w:rsidRDefault="00C941DC" w:rsidP="00C941DC">
      <w:pPr>
        <w:keepNext/>
        <w:keepLines/>
        <w:rPr>
          <w:rFonts w:ascii="Arial Narrow" w:hAnsi="Arial Narrow"/>
          <w:bCs/>
          <w:i/>
          <w:iCs/>
          <w:sz w:val="18"/>
          <w:szCs w:val="18"/>
        </w:rPr>
      </w:pPr>
      <w:r w:rsidRPr="0009066F">
        <w:rPr>
          <w:rFonts w:ascii="Arial Narrow" w:hAnsi="Arial Narrow"/>
          <w:bCs/>
          <w:i/>
          <w:iCs/>
          <w:sz w:val="18"/>
          <w:szCs w:val="18"/>
        </w:rPr>
        <w:t>1 500 to &lt; 5,000</w:t>
      </w:r>
    </w:p>
    <w:p w14:paraId="08234D85" w14:textId="6874EA72" w:rsidR="00C941DC" w:rsidRDefault="00C941DC" w:rsidP="00C941DC">
      <w:pPr>
        <w:keepNext/>
        <w:keepLines/>
        <w:rPr>
          <w:rFonts w:ascii="Arial Narrow" w:hAnsi="Arial Narrow"/>
          <w:bCs/>
          <w:i/>
          <w:iCs/>
          <w:sz w:val="18"/>
          <w:szCs w:val="18"/>
        </w:rPr>
      </w:pPr>
      <w:r w:rsidRPr="0009066F">
        <w:rPr>
          <w:rFonts w:ascii="Arial Narrow" w:hAnsi="Arial Narrow"/>
          <w:bCs/>
          <w:i/>
          <w:iCs/>
          <w:sz w:val="18"/>
          <w:szCs w:val="18"/>
        </w:rPr>
        <w:t>2 &lt; 500</w:t>
      </w:r>
    </w:p>
    <w:p w14:paraId="4EAEEC33" w14:textId="3C4190EC" w:rsidR="00E3560E" w:rsidRDefault="00E3560E" w:rsidP="00C941DC">
      <w:pPr>
        <w:keepNext/>
        <w:keepLines/>
        <w:rPr>
          <w:rFonts w:ascii="Arial Narrow" w:hAnsi="Arial Narrow"/>
          <w:bCs/>
          <w:i/>
          <w:iCs/>
          <w:sz w:val="18"/>
          <w:szCs w:val="18"/>
        </w:rPr>
      </w:pPr>
      <w:r>
        <w:rPr>
          <w:rFonts w:ascii="Arial Narrow" w:hAnsi="Arial Narrow"/>
          <w:bCs/>
          <w:i/>
          <w:iCs/>
          <w:sz w:val="18"/>
          <w:szCs w:val="18"/>
        </w:rPr>
        <w:t xml:space="preserve">3 </w:t>
      </w:r>
      <w:r w:rsidRPr="00E3560E">
        <w:rPr>
          <w:rFonts w:ascii="Arial Narrow" w:hAnsi="Arial Narrow"/>
          <w:bCs/>
          <w:i/>
          <w:iCs/>
          <w:sz w:val="18"/>
          <w:szCs w:val="18"/>
        </w:rPr>
        <w:t>$20 million to &lt; $30 million</w:t>
      </w:r>
    </w:p>
    <w:p w14:paraId="09F3C1A6" w14:textId="78CA6531" w:rsidR="00E3560E" w:rsidRDefault="00E3560E" w:rsidP="00C941DC">
      <w:pPr>
        <w:keepNext/>
        <w:keepLines/>
        <w:rPr>
          <w:rFonts w:ascii="Arial Narrow" w:hAnsi="Arial Narrow"/>
          <w:bCs/>
          <w:i/>
          <w:iCs/>
          <w:sz w:val="18"/>
          <w:szCs w:val="18"/>
        </w:rPr>
      </w:pPr>
      <w:r>
        <w:rPr>
          <w:rFonts w:ascii="Arial Narrow" w:hAnsi="Arial Narrow"/>
          <w:bCs/>
          <w:i/>
          <w:iCs/>
          <w:sz w:val="18"/>
          <w:szCs w:val="18"/>
        </w:rPr>
        <w:t xml:space="preserve">4 </w:t>
      </w:r>
      <w:r w:rsidRPr="00E3560E">
        <w:rPr>
          <w:rFonts w:ascii="Arial Narrow" w:hAnsi="Arial Narrow"/>
          <w:bCs/>
          <w:i/>
          <w:iCs/>
          <w:sz w:val="18"/>
          <w:szCs w:val="18"/>
        </w:rPr>
        <w:t>$30 million to &lt; $40 million</w:t>
      </w:r>
    </w:p>
    <w:p w14:paraId="4A982754" w14:textId="1D569A2F" w:rsidR="00E3560E" w:rsidRDefault="00E3560E" w:rsidP="00E3560E">
      <w:pPr>
        <w:keepNext/>
        <w:keepLines/>
        <w:rPr>
          <w:rFonts w:ascii="Arial Narrow" w:hAnsi="Arial Narrow"/>
          <w:bCs/>
          <w:i/>
          <w:iCs/>
          <w:sz w:val="18"/>
          <w:szCs w:val="18"/>
        </w:rPr>
      </w:pPr>
      <w:r>
        <w:rPr>
          <w:rFonts w:ascii="Arial Narrow" w:hAnsi="Arial Narrow"/>
          <w:bCs/>
          <w:i/>
          <w:iCs/>
          <w:sz w:val="18"/>
          <w:szCs w:val="18"/>
        </w:rPr>
        <w:t xml:space="preserve">5 </w:t>
      </w:r>
      <w:r w:rsidRPr="00E3560E">
        <w:rPr>
          <w:rFonts w:ascii="Arial Narrow" w:hAnsi="Arial Narrow"/>
          <w:bCs/>
          <w:i/>
          <w:iCs/>
          <w:sz w:val="18"/>
          <w:szCs w:val="18"/>
        </w:rPr>
        <w:t>$10 million to &lt; $20 million</w:t>
      </w:r>
    </w:p>
    <w:p w14:paraId="737938C1" w14:textId="034DE723" w:rsidR="008C077D" w:rsidRPr="00E3560E" w:rsidRDefault="008C077D" w:rsidP="00E3560E">
      <w:pPr>
        <w:keepNext/>
        <w:keepLines/>
        <w:rPr>
          <w:rFonts w:ascii="Arial Narrow" w:hAnsi="Arial Narrow"/>
          <w:bCs/>
          <w:i/>
          <w:iCs/>
          <w:sz w:val="18"/>
          <w:szCs w:val="18"/>
        </w:rPr>
      </w:pPr>
      <w:r>
        <w:rPr>
          <w:rFonts w:ascii="Arial Narrow" w:hAnsi="Arial Narrow"/>
          <w:bCs/>
          <w:i/>
          <w:iCs/>
          <w:sz w:val="18"/>
          <w:szCs w:val="18"/>
        </w:rPr>
        <w:t xml:space="preserve">6 </w:t>
      </w:r>
      <w:r w:rsidRPr="00E3560E">
        <w:rPr>
          <w:rFonts w:ascii="Arial Narrow" w:hAnsi="Arial Narrow"/>
          <w:bCs/>
          <w:i/>
          <w:iCs/>
          <w:sz w:val="18"/>
          <w:szCs w:val="18"/>
        </w:rPr>
        <w:t>$0 to &lt; $10 million</w:t>
      </w:r>
    </w:p>
    <w:p w14:paraId="19E4F784" w14:textId="2EE3618E" w:rsidR="00E16CF9" w:rsidRPr="00E16CF9" w:rsidRDefault="00E16CF9" w:rsidP="00E16CF9">
      <w:pPr>
        <w:pStyle w:val="3-BodyText"/>
        <w:spacing w:before="120"/>
        <w:rPr>
          <w:iCs/>
        </w:rPr>
      </w:pPr>
      <w:r w:rsidRPr="00F24622">
        <w:t>The submission estimated total net cost to government</w:t>
      </w:r>
      <w:r>
        <w:t xml:space="preserve"> of listing belzutifan on the PBS/RPBS</w:t>
      </w:r>
      <w:r w:rsidRPr="00F24622">
        <w:t xml:space="preserve"> </w:t>
      </w:r>
      <w:r>
        <w:t>over</w:t>
      </w:r>
      <w:r w:rsidRPr="00F24622">
        <w:t xml:space="preserve"> the first 6 years to be</w:t>
      </w:r>
      <w:r>
        <w:t xml:space="preserve"> </w:t>
      </w:r>
      <w:r w:rsidRPr="00E03F32">
        <w:rPr>
          <w:iCs/>
        </w:rPr>
        <w:t>$</w:t>
      </w:r>
      <w:r w:rsidR="00E3560E" w:rsidRPr="00E3560E">
        <w:rPr>
          <w:iCs/>
        </w:rPr>
        <w:t>100 million to &lt; $200 million</w:t>
      </w:r>
      <w:r w:rsidRPr="00E03F32">
        <w:rPr>
          <w:iCs/>
        </w:rPr>
        <w:t>.</w:t>
      </w:r>
      <w:r>
        <w:rPr>
          <w:iCs/>
        </w:rPr>
        <w:t xml:space="preserve"> </w:t>
      </w:r>
      <w:r w:rsidRPr="00E16CF9">
        <w:rPr>
          <w:iCs/>
        </w:rPr>
        <w:t>The financial estimates are likely underestimated as:</w:t>
      </w:r>
    </w:p>
    <w:p w14:paraId="7FF83BE5" w14:textId="7237954F" w:rsidR="00E16CF9" w:rsidRPr="00E16CF9" w:rsidRDefault="00E16CF9" w:rsidP="00E16CF9">
      <w:pPr>
        <w:pStyle w:val="ListParagraph"/>
        <w:ind w:left="1134"/>
        <w:rPr>
          <w:iCs/>
        </w:rPr>
      </w:pPr>
      <w:r w:rsidRPr="00E16CF9">
        <w:rPr>
          <w:iCs/>
        </w:rPr>
        <w:t xml:space="preserve">Time on treatment was likely underestimated. </w:t>
      </w:r>
      <w:r w:rsidR="00517F3F">
        <w:rPr>
          <w:iCs/>
        </w:rPr>
        <w:t>T</w:t>
      </w:r>
      <w:r w:rsidRPr="00E16CF9">
        <w:rPr>
          <w:iCs/>
        </w:rPr>
        <w:t xml:space="preserve">he submission stated that the time on treatment of 4 years was taken from the Weibull extrapolation in the economic analysis, but mean time in the economic analyses ranged from 4.52 to 4.57 years. Potentially patients could receive belzutifan until developing metastatic disease. Over time, newly eligible patients are also likely to be younger </w:t>
      </w:r>
      <w:r w:rsidRPr="00E16CF9">
        <w:rPr>
          <w:iCs/>
        </w:rPr>
        <w:lastRenderedPageBreak/>
        <w:t>than the 41.0 years in the model (CNS Hb involvement usually develops while patients are 20-30 years old), and this could further expand the time on treatment.</w:t>
      </w:r>
    </w:p>
    <w:p w14:paraId="711EC230" w14:textId="77777777" w:rsidR="00E16CF9" w:rsidRPr="00E16CF9" w:rsidRDefault="00E16CF9" w:rsidP="00E16CF9">
      <w:pPr>
        <w:pStyle w:val="ListParagraph"/>
        <w:ind w:left="1134"/>
        <w:rPr>
          <w:iCs/>
        </w:rPr>
      </w:pPr>
      <w:r w:rsidRPr="00E16CF9">
        <w:rPr>
          <w:iCs/>
        </w:rPr>
        <w:t>The number of patients in the first year was likely underestimated. It was unlikely that only 35% of the adult population living with VHL (after their first disease manifestation) would be currently diagnosed, accumulating to 85% of the population diagnosed by Year 6. In the current adult VHL population most patients are likely to already have a diagnosis as a result of a history of VHL-associated lesions (the requested restriction for belzutifan does not require a positive germline test), or through genetic testing (possibly even before first symptom onset) where a family history was identified (80% of VHL is estimated to be hereditary). In general, a staggered approach to diagnosis would only be applicable to the proportion of adult VHL patients who are undiagnosed prior to their first symptom manifestation. If, as the estimates assumed, it takes 6 years for 85% of patients to be diagnosed from first manifestation, the persistent proportion of the prevalent population was estimated to be about 83%, and therefore 83% of patients in Year 1 may be diagnosed. The effect of familial screening could result in an even larger proportion of the prevalent population being aware of their diagnosis prior to first symptom manifestation.</w:t>
      </w:r>
    </w:p>
    <w:p w14:paraId="440CB156" w14:textId="77777777" w:rsidR="00E16CF9" w:rsidRPr="00E16CF9" w:rsidRDefault="00E16CF9" w:rsidP="00E16CF9">
      <w:pPr>
        <w:pStyle w:val="ListParagraph"/>
        <w:ind w:left="1134"/>
        <w:rPr>
          <w:iCs/>
        </w:rPr>
      </w:pPr>
      <w:r w:rsidRPr="00E16CF9">
        <w:rPr>
          <w:iCs/>
        </w:rPr>
        <w:t>By assuming diagnosis to be cumulative, patients were only able to receive belzutifan in the year they are diagnosed (the financial estimates effectively assume the diagnosed cohort each year was independent of the prior years). This was inappropriate as both eligibility and patient decisions may change year on year and patients may become eligible or choose to take belzutifan in a future year.</w:t>
      </w:r>
    </w:p>
    <w:p w14:paraId="35FBFA7F" w14:textId="5FD46348" w:rsidR="00E16CF9" w:rsidRPr="00B45A1D" w:rsidRDefault="00E16CF9" w:rsidP="00E16CF9">
      <w:pPr>
        <w:pStyle w:val="3-BodyText"/>
      </w:pPr>
      <w:r w:rsidRPr="00E16CF9">
        <w:rPr>
          <w:iCs/>
        </w:rPr>
        <w:t xml:space="preserve">Key sensitivity analyses are presented in </w:t>
      </w:r>
      <w:r w:rsidRPr="00E16CF9">
        <w:rPr>
          <w:iCs/>
        </w:rPr>
        <w:fldChar w:fldCharType="begin" w:fldLock="1"/>
      </w:r>
      <w:r w:rsidRPr="00E16CF9">
        <w:rPr>
          <w:iCs/>
        </w:rPr>
        <w:instrText xml:space="preserve"> REF _Ref166361782  \* MERGEFORMAT </w:instrText>
      </w:r>
      <w:r w:rsidRPr="00E16CF9">
        <w:rPr>
          <w:iCs/>
        </w:rPr>
        <w:fldChar w:fldCharType="separate"/>
      </w:r>
      <w:r w:rsidR="00437B51" w:rsidRPr="00437B51">
        <w:rPr>
          <w:iCs/>
        </w:rPr>
        <w:t xml:space="preserve">Table </w:t>
      </w:r>
      <w:r w:rsidR="00437B51" w:rsidRPr="00437B51">
        <w:rPr>
          <w:iCs/>
          <w:noProof/>
        </w:rPr>
        <w:t>22</w:t>
      </w:r>
      <w:r w:rsidRPr="00E16CF9">
        <w:rPr>
          <w:iCs/>
        </w:rPr>
        <w:fldChar w:fldCharType="end"/>
      </w:r>
      <w:r w:rsidRPr="00E16CF9">
        <w:rPr>
          <w:iCs/>
        </w:rPr>
        <w:t>. The financial estimates were sensitive to most inputs, particularly those related to time on treatment, prevalence, and proportion of patients meeting eligibility criteria.</w:t>
      </w:r>
    </w:p>
    <w:p w14:paraId="1EC5B434" w14:textId="1AAE01E9" w:rsidR="00E16CF9" w:rsidRPr="00E94D3B" w:rsidRDefault="00E16CF9" w:rsidP="00E16CF9">
      <w:pPr>
        <w:pStyle w:val="TableFigureHeading"/>
      </w:pPr>
      <w:bookmarkStart w:id="93" w:name="_Ref166361782"/>
      <w:r>
        <w:t xml:space="preserve">Table </w:t>
      </w:r>
      <w:r>
        <w:fldChar w:fldCharType="begin" w:fldLock="1"/>
      </w:r>
      <w:r>
        <w:instrText xml:space="preserve"> SEQ Table \* ARABIC </w:instrText>
      </w:r>
      <w:r>
        <w:fldChar w:fldCharType="separate"/>
      </w:r>
      <w:r w:rsidR="00437B51">
        <w:rPr>
          <w:noProof/>
        </w:rPr>
        <w:t>22</w:t>
      </w:r>
      <w:r>
        <w:rPr>
          <w:noProof/>
        </w:rPr>
        <w:fldChar w:fldCharType="end"/>
      </w:r>
      <w:bookmarkEnd w:id="93"/>
      <w:r>
        <w:t>:</w:t>
      </w:r>
      <w:r w:rsidRPr="00606FBA">
        <w:rPr>
          <w:rStyle w:val="CommentReference"/>
          <w:b/>
          <w:szCs w:val="24"/>
        </w:rPr>
        <w:t xml:space="preserve"> </w:t>
      </w:r>
      <w:r w:rsidRPr="00E94D3B">
        <w:t>Results of the sensitivity analyses to net costs</w:t>
      </w:r>
    </w:p>
    <w:tbl>
      <w:tblPr>
        <w:tblStyle w:val="TableGrid"/>
        <w:tblW w:w="9020" w:type="dxa"/>
        <w:tblLayout w:type="fixed"/>
        <w:tblCellMar>
          <w:left w:w="28" w:type="dxa"/>
          <w:right w:w="28" w:type="dxa"/>
        </w:tblCellMar>
        <w:tblLook w:val="04A0" w:firstRow="1" w:lastRow="0" w:firstColumn="1" w:lastColumn="0" w:noHBand="0" w:noVBand="1"/>
        <w:tblCaption w:val="Table 22: Results of the sensitivity analyses to net costs"/>
      </w:tblPr>
      <w:tblGrid>
        <w:gridCol w:w="1271"/>
        <w:gridCol w:w="1134"/>
        <w:gridCol w:w="1134"/>
        <w:gridCol w:w="1134"/>
        <w:gridCol w:w="1134"/>
        <w:gridCol w:w="1134"/>
        <w:gridCol w:w="992"/>
        <w:gridCol w:w="1087"/>
      </w:tblGrid>
      <w:tr w:rsidR="00E16CF9" w14:paraId="2CAD6519" w14:textId="77777777" w:rsidTr="002621BF">
        <w:tc>
          <w:tcPr>
            <w:tcW w:w="1271" w:type="dxa"/>
            <w:vAlign w:val="center"/>
          </w:tcPr>
          <w:p w14:paraId="219EEF1B" w14:textId="77777777" w:rsidR="00E16CF9" w:rsidRDefault="00E16CF9" w:rsidP="00854496">
            <w:pPr>
              <w:pStyle w:val="In-tableHeading"/>
            </w:pPr>
            <w:r>
              <w:t>Analysis</w:t>
            </w:r>
          </w:p>
        </w:tc>
        <w:tc>
          <w:tcPr>
            <w:tcW w:w="1134" w:type="dxa"/>
            <w:vAlign w:val="center"/>
          </w:tcPr>
          <w:p w14:paraId="6947ABD5" w14:textId="77777777" w:rsidR="00E16CF9" w:rsidRDefault="00E16CF9" w:rsidP="00854496">
            <w:pPr>
              <w:pStyle w:val="In-tableHeading"/>
              <w:jc w:val="center"/>
            </w:pPr>
            <w:r w:rsidRPr="001459D6">
              <w:t>2024</w:t>
            </w:r>
          </w:p>
        </w:tc>
        <w:tc>
          <w:tcPr>
            <w:tcW w:w="1134" w:type="dxa"/>
            <w:vAlign w:val="center"/>
          </w:tcPr>
          <w:p w14:paraId="7D980016" w14:textId="77777777" w:rsidR="00E16CF9" w:rsidRDefault="00E16CF9" w:rsidP="00854496">
            <w:pPr>
              <w:pStyle w:val="In-tableHeading"/>
              <w:jc w:val="center"/>
            </w:pPr>
            <w:r w:rsidRPr="001459D6">
              <w:t>2025</w:t>
            </w:r>
          </w:p>
        </w:tc>
        <w:tc>
          <w:tcPr>
            <w:tcW w:w="1134" w:type="dxa"/>
            <w:vAlign w:val="center"/>
          </w:tcPr>
          <w:p w14:paraId="4B4859E8" w14:textId="77777777" w:rsidR="00E16CF9" w:rsidRDefault="00E16CF9" w:rsidP="00854496">
            <w:pPr>
              <w:pStyle w:val="In-tableHeading"/>
              <w:jc w:val="center"/>
            </w:pPr>
            <w:r w:rsidRPr="001459D6">
              <w:t>2026</w:t>
            </w:r>
          </w:p>
        </w:tc>
        <w:tc>
          <w:tcPr>
            <w:tcW w:w="1134" w:type="dxa"/>
            <w:vAlign w:val="center"/>
          </w:tcPr>
          <w:p w14:paraId="31ADF452" w14:textId="77777777" w:rsidR="00E16CF9" w:rsidRDefault="00E16CF9" w:rsidP="00854496">
            <w:pPr>
              <w:pStyle w:val="In-tableHeading"/>
              <w:jc w:val="center"/>
            </w:pPr>
            <w:r w:rsidRPr="001459D6">
              <w:t>2027</w:t>
            </w:r>
          </w:p>
        </w:tc>
        <w:tc>
          <w:tcPr>
            <w:tcW w:w="1134" w:type="dxa"/>
            <w:vAlign w:val="center"/>
          </w:tcPr>
          <w:p w14:paraId="7982BBDC" w14:textId="77777777" w:rsidR="00E16CF9" w:rsidRDefault="00E16CF9" w:rsidP="00854496">
            <w:pPr>
              <w:pStyle w:val="In-tableHeading"/>
              <w:jc w:val="center"/>
            </w:pPr>
            <w:r w:rsidRPr="001459D6">
              <w:t>2028</w:t>
            </w:r>
          </w:p>
        </w:tc>
        <w:tc>
          <w:tcPr>
            <w:tcW w:w="992" w:type="dxa"/>
            <w:vAlign w:val="center"/>
          </w:tcPr>
          <w:p w14:paraId="276DF177" w14:textId="77777777" w:rsidR="00E16CF9" w:rsidRDefault="00E16CF9" w:rsidP="00854496">
            <w:pPr>
              <w:pStyle w:val="In-tableHeading"/>
              <w:jc w:val="center"/>
            </w:pPr>
            <w:r w:rsidRPr="001459D6">
              <w:t>2029</w:t>
            </w:r>
          </w:p>
        </w:tc>
        <w:tc>
          <w:tcPr>
            <w:tcW w:w="1087" w:type="dxa"/>
            <w:vAlign w:val="center"/>
          </w:tcPr>
          <w:p w14:paraId="3FD53686" w14:textId="77777777" w:rsidR="00E16CF9" w:rsidRDefault="00E16CF9" w:rsidP="00854496">
            <w:pPr>
              <w:pStyle w:val="In-tableHeading"/>
              <w:jc w:val="center"/>
            </w:pPr>
            <w:r w:rsidRPr="001459D6">
              <w:t>Total</w:t>
            </w:r>
          </w:p>
          <w:p w14:paraId="719999C7" w14:textId="77777777" w:rsidR="00E16CF9" w:rsidRDefault="00E16CF9" w:rsidP="00854496">
            <w:pPr>
              <w:pStyle w:val="In-tableHeading"/>
              <w:jc w:val="center"/>
            </w:pPr>
            <w:r>
              <w:t>(%∆)</w:t>
            </w:r>
          </w:p>
        </w:tc>
      </w:tr>
      <w:tr w:rsidR="00E16CF9" w14:paraId="69D59C45" w14:textId="77777777" w:rsidTr="002621BF">
        <w:tc>
          <w:tcPr>
            <w:tcW w:w="1271" w:type="dxa"/>
            <w:vAlign w:val="center"/>
          </w:tcPr>
          <w:p w14:paraId="130C4906" w14:textId="69BAD6EB" w:rsidR="00E16CF9" w:rsidRDefault="00E16CF9" w:rsidP="00854496">
            <w:pPr>
              <w:pStyle w:val="TableText0"/>
            </w:pPr>
            <w:r>
              <w:t>Submitted</w:t>
            </w:r>
            <w:r w:rsidR="00E3560E">
              <w:t xml:space="preserve"> ($)</w:t>
            </w:r>
          </w:p>
        </w:tc>
        <w:tc>
          <w:tcPr>
            <w:tcW w:w="1134" w:type="dxa"/>
            <w:vAlign w:val="center"/>
          </w:tcPr>
          <w:p w14:paraId="595A35F5" w14:textId="70588394" w:rsidR="00E16CF9" w:rsidRPr="0009066F" w:rsidRDefault="00501C36" w:rsidP="00854496">
            <w:pPr>
              <w:pStyle w:val="TableText0"/>
              <w:jc w:val="center"/>
              <w:rPr>
                <w:highlight w:val="lightGray"/>
              </w:rPr>
            </w:pPr>
            <w:r w:rsidRPr="00501C36">
              <w:rPr>
                <w:rFonts w:hint="eastAsia"/>
                <w:color w:val="000000"/>
                <w:w w:val="15"/>
                <w:shd w:val="solid" w:color="000000" w:fill="000000"/>
                <w:fitText w:val="45" w:id="-893683706"/>
                <w14:textFill>
                  <w14:solidFill>
                    <w14:srgbClr w14:val="000000">
                      <w14:alpha w14:val="100000"/>
                    </w14:srgbClr>
                  </w14:solidFill>
                </w14:textFill>
              </w:rPr>
              <w:t xml:space="preserve">　</w:t>
            </w:r>
            <w:r w:rsidRPr="00501C36">
              <w:rPr>
                <w:color w:val="000000"/>
                <w:w w:val="15"/>
                <w:shd w:val="solid" w:color="000000" w:fill="000000"/>
                <w:fitText w:val="45" w:id="-893683706"/>
                <w14:textFill>
                  <w14:solidFill>
                    <w14:srgbClr w14:val="000000">
                      <w14:alpha w14:val="100000"/>
                    </w14:srgbClr>
                  </w14:solidFill>
                </w14:textFill>
              </w:rPr>
              <w:t>|</w:t>
            </w:r>
            <w:r w:rsidRPr="00501C36">
              <w:rPr>
                <w:rFonts w:hint="eastAsia"/>
                <w:color w:val="000000"/>
                <w:spacing w:val="-20"/>
                <w:w w:val="15"/>
                <w:shd w:val="solid" w:color="000000" w:fill="000000"/>
                <w:fitText w:val="45" w:id="-893683706"/>
                <w14:textFill>
                  <w14:solidFill>
                    <w14:srgbClr w14:val="000000">
                      <w14:alpha w14:val="100000"/>
                    </w14:srgbClr>
                  </w14:solidFill>
                </w14:textFill>
              </w:rPr>
              <w:t xml:space="preserve">　</w:t>
            </w:r>
            <w:r w:rsidR="00FE090C" w:rsidRPr="0009066F">
              <w:rPr>
                <w:vertAlign w:val="superscript"/>
              </w:rPr>
              <w:t>1</w:t>
            </w:r>
          </w:p>
        </w:tc>
        <w:tc>
          <w:tcPr>
            <w:tcW w:w="1134" w:type="dxa"/>
            <w:vAlign w:val="center"/>
          </w:tcPr>
          <w:p w14:paraId="74D4DC7B" w14:textId="60F89D68" w:rsidR="00E16CF9" w:rsidRPr="0009066F" w:rsidRDefault="00501C36" w:rsidP="00854496">
            <w:pPr>
              <w:pStyle w:val="TableText0"/>
              <w:jc w:val="center"/>
              <w:rPr>
                <w:highlight w:val="lightGray"/>
              </w:rPr>
            </w:pPr>
            <w:r w:rsidRPr="00501C36">
              <w:rPr>
                <w:rFonts w:hint="eastAsia"/>
                <w:color w:val="000000"/>
                <w:w w:val="15"/>
                <w:shd w:val="solid" w:color="000000" w:fill="000000"/>
                <w:fitText w:val="45" w:id="-893683705"/>
                <w14:textFill>
                  <w14:solidFill>
                    <w14:srgbClr w14:val="000000">
                      <w14:alpha w14:val="100000"/>
                    </w14:srgbClr>
                  </w14:solidFill>
                </w14:textFill>
              </w:rPr>
              <w:t xml:space="preserve">　</w:t>
            </w:r>
            <w:r w:rsidRPr="00501C36">
              <w:rPr>
                <w:color w:val="000000"/>
                <w:w w:val="15"/>
                <w:shd w:val="solid" w:color="000000" w:fill="000000"/>
                <w:fitText w:val="45" w:id="-893683705"/>
                <w14:textFill>
                  <w14:solidFill>
                    <w14:srgbClr w14:val="000000">
                      <w14:alpha w14:val="100000"/>
                    </w14:srgbClr>
                  </w14:solidFill>
                </w14:textFill>
              </w:rPr>
              <w:t>|</w:t>
            </w:r>
            <w:r w:rsidRPr="00501C36">
              <w:rPr>
                <w:rFonts w:hint="eastAsia"/>
                <w:color w:val="000000"/>
                <w:spacing w:val="-20"/>
                <w:w w:val="15"/>
                <w:shd w:val="solid" w:color="000000" w:fill="000000"/>
                <w:fitText w:val="45" w:id="-893683705"/>
                <w14:textFill>
                  <w14:solidFill>
                    <w14:srgbClr w14:val="000000">
                      <w14:alpha w14:val="100000"/>
                    </w14:srgbClr>
                  </w14:solidFill>
                </w14:textFill>
              </w:rPr>
              <w:t xml:space="preserve">　</w:t>
            </w:r>
            <w:r w:rsidR="00FE090C" w:rsidRPr="0009066F">
              <w:rPr>
                <w:vertAlign w:val="superscript"/>
              </w:rPr>
              <w:t>2</w:t>
            </w:r>
          </w:p>
        </w:tc>
        <w:tc>
          <w:tcPr>
            <w:tcW w:w="1134" w:type="dxa"/>
            <w:vAlign w:val="center"/>
          </w:tcPr>
          <w:p w14:paraId="251B4AC7" w14:textId="1077FA87" w:rsidR="00E16CF9" w:rsidRPr="0009066F" w:rsidRDefault="00501C36" w:rsidP="00854496">
            <w:pPr>
              <w:pStyle w:val="TableText0"/>
              <w:jc w:val="center"/>
              <w:rPr>
                <w:highlight w:val="lightGray"/>
              </w:rPr>
            </w:pPr>
            <w:r w:rsidRPr="00501C36">
              <w:rPr>
                <w:rFonts w:hint="eastAsia"/>
                <w:color w:val="000000"/>
                <w:w w:val="15"/>
                <w:shd w:val="solid" w:color="000000" w:fill="000000"/>
                <w:fitText w:val="45" w:id="-893683704"/>
                <w14:textFill>
                  <w14:solidFill>
                    <w14:srgbClr w14:val="000000">
                      <w14:alpha w14:val="100000"/>
                    </w14:srgbClr>
                  </w14:solidFill>
                </w14:textFill>
              </w:rPr>
              <w:t xml:space="preserve">　</w:t>
            </w:r>
            <w:r w:rsidRPr="00501C36">
              <w:rPr>
                <w:color w:val="000000"/>
                <w:w w:val="15"/>
                <w:shd w:val="solid" w:color="000000" w:fill="000000"/>
                <w:fitText w:val="45" w:id="-893683704"/>
                <w14:textFill>
                  <w14:solidFill>
                    <w14:srgbClr w14:val="000000">
                      <w14:alpha w14:val="100000"/>
                    </w14:srgbClr>
                  </w14:solidFill>
                </w14:textFill>
              </w:rPr>
              <w:t>|</w:t>
            </w:r>
            <w:r w:rsidRPr="00501C36">
              <w:rPr>
                <w:rFonts w:hint="eastAsia"/>
                <w:color w:val="000000"/>
                <w:spacing w:val="-20"/>
                <w:w w:val="15"/>
                <w:shd w:val="solid" w:color="000000" w:fill="000000"/>
                <w:fitText w:val="45" w:id="-893683704"/>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231083F2" w14:textId="77BFF702" w:rsidR="00E16CF9" w:rsidRPr="0009066F" w:rsidRDefault="00501C36" w:rsidP="00854496">
            <w:pPr>
              <w:pStyle w:val="TableText0"/>
              <w:jc w:val="center"/>
              <w:rPr>
                <w:highlight w:val="lightGray"/>
              </w:rPr>
            </w:pPr>
            <w:r w:rsidRPr="00501C36">
              <w:rPr>
                <w:rFonts w:hint="eastAsia"/>
                <w:color w:val="000000"/>
                <w:w w:val="15"/>
                <w:shd w:val="solid" w:color="000000" w:fill="000000"/>
                <w:fitText w:val="45" w:id="-893683703"/>
                <w14:textFill>
                  <w14:solidFill>
                    <w14:srgbClr w14:val="000000">
                      <w14:alpha w14:val="100000"/>
                    </w14:srgbClr>
                  </w14:solidFill>
                </w14:textFill>
              </w:rPr>
              <w:t xml:space="preserve">　</w:t>
            </w:r>
            <w:r w:rsidRPr="00501C36">
              <w:rPr>
                <w:color w:val="000000"/>
                <w:w w:val="15"/>
                <w:shd w:val="solid" w:color="000000" w:fill="000000"/>
                <w:fitText w:val="45" w:id="-893683703"/>
                <w14:textFill>
                  <w14:solidFill>
                    <w14:srgbClr w14:val="000000">
                      <w14:alpha w14:val="100000"/>
                    </w14:srgbClr>
                  </w14:solidFill>
                </w14:textFill>
              </w:rPr>
              <w:t>|</w:t>
            </w:r>
            <w:r w:rsidRPr="00501C36">
              <w:rPr>
                <w:rFonts w:hint="eastAsia"/>
                <w:color w:val="000000"/>
                <w:spacing w:val="-20"/>
                <w:w w:val="15"/>
                <w:shd w:val="solid" w:color="000000" w:fill="000000"/>
                <w:fitText w:val="45" w:id="-893683703"/>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4BA2919D" w14:textId="28965EAB" w:rsidR="00E16CF9" w:rsidRPr="0009066F" w:rsidRDefault="00501C36" w:rsidP="00854496">
            <w:pPr>
              <w:pStyle w:val="TableText0"/>
              <w:jc w:val="center"/>
              <w:rPr>
                <w:highlight w:val="lightGray"/>
              </w:rPr>
            </w:pPr>
            <w:r w:rsidRPr="00501C36">
              <w:rPr>
                <w:rFonts w:hint="eastAsia"/>
                <w:color w:val="000000"/>
                <w:w w:val="15"/>
                <w:shd w:val="solid" w:color="000000" w:fill="000000"/>
                <w:fitText w:val="45" w:id="-893683702"/>
                <w14:textFill>
                  <w14:solidFill>
                    <w14:srgbClr w14:val="000000">
                      <w14:alpha w14:val="100000"/>
                    </w14:srgbClr>
                  </w14:solidFill>
                </w14:textFill>
              </w:rPr>
              <w:t xml:space="preserve">　</w:t>
            </w:r>
            <w:r w:rsidRPr="00501C36">
              <w:rPr>
                <w:color w:val="000000"/>
                <w:w w:val="15"/>
                <w:shd w:val="solid" w:color="000000" w:fill="000000"/>
                <w:fitText w:val="45" w:id="-893683702"/>
                <w14:textFill>
                  <w14:solidFill>
                    <w14:srgbClr w14:val="000000">
                      <w14:alpha w14:val="100000"/>
                    </w14:srgbClr>
                  </w14:solidFill>
                </w14:textFill>
              </w:rPr>
              <w:t>|</w:t>
            </w:r>
            <w:r w:rsidRPr="00501C36">
              <w:rPr>
                <w:rFonts w:hint="eastAsia"/>
                <w:color w:val="000000"/>
                <w:spacing w:val="-20"/>
                <w:w w:val="15"/>
                <w:shd w:val="solid" w:color="000000" w:fill="000000"/>
                <w:fitText w:val="45" w:id="-893683702"/>
                <w14:textFill>
                  <w14:solidFill>
                    <w14:srgbClr w14:val="000000">
                      <w14:alpha w14:val="100000"/>
                    </w14:srgbClr>
                  </w14:solidFill>
                </w14:textFill>
              </w:rPr>
              <w:t xml:space="preserve">　</w:t>
            </w:r>
            <w:r w:rsidR="00C522F2" w:rsidRPr="0009066F">
              <w:rPr>
                <w:vertAlign w:val="superscript"/>
              </w:rPr>
              <w:t>3</w:t>
            </w:r>
          </w:p>
        </w:tc>
        <w:tc>
          <w:tcPr>
            <w:tcW w:w="992" w:type="dxa"/>
            <w:vAlign w:val="center"/>
          </w:tcPr>
          <w:p w14:paraId="36B8FE71" w14:textId="30A61AE3" w:rsidR="00E16CF9" w:rsidRPr="0009066F" w:rsidRDefault="00501C36" w:rsidP="00854496">
            <w:pPr>
              <w:pStyle w:val="TableText0"/>
              <w:jc w:val="center"/>
              <w:rPr>
                <w:highlight w:val="lightGray"/>
              </w:rPr>
            </w:pPr>
            <w:r w:rsidRPr="00501C36">
              <w:rPr>
                <w:rFonts w:hint="eastAsia"/>
                <w:color w:val="000000"/>
                <w:w w:val="15"/>
                <w:shd w:val="solid" w:color="000000" w:fill="000000"/>
                <w:fitText w:val="45" w:id="-893683701"/>
                <w14:textFill>
                  <w14:solidFill>
                    <w14:srgbClr w14:val="000000">
                      <w14:alpha w14:val="100000"/>
                    </w14:srgbClr>
                  </w14:solidFill>
                </w14:textFill>
              </w:rPr>
              <w:t xml:space="preserve">　</w:t>
            </w:r>
            <w:r w:rsidRPr="00501C36">
              <w:rPr>
                <w:color w:val="000000"/>
                <w:w w:val="15"/>
                <w:shd w:val="solid" w:color="000000" w:fill="000000"/>
                <w:fitText w:val="45" w:id="-893683701"/>
                <w14:textFill>
                  <w14:solidFill>
                    <w14:srgbClr w14:val="000000">
                      <w14:alpha w14:val="100000"/>
                    </w14:srgbClr>
                  </w14:solidFill>
                </w14:textFill>
              </w:rPr>
              <w:t>|</w:t>
            </w:r>
            <w:r w:rsidRPr="00501C36">
              <w:rPr>
                <w:rFonts w:hint="eastAsia"/>
                <w:color w:val="000000"/>
                <w:spacing w:val="-20"/>
                <w:w w:val="15"/>
                <w:shd w:val="solid" w:color="000000" w:fill="000000"/>
                <w:fitText w:val="45" w:id="-893683701"/>
                <w14:textFill>
                  <w14:solidFill>
                    <w14:srgbClr w14:val="000000">
                      <w14:alpha w14:val="100000"/>
                    </w14:srgbClr>
                  </w14:solidFill>
                </w14:textFill>
              </w:rPr>
              <w:t xml:space="preserve">　</w:t>
            </w:r>
            <w:r w:rsidR="00C522F2" w:rsidRPr="0009066F">
              <w:rPr>
                <w:vertAlign w:val="superscript"/>
              </w:rPr>
              <w:t>4</w:t>
            </w:r>
          </w:p>
        </w:tc>
        <w:tc>
          <w:tcPr>
            <w:tcW w:w="1087" w:type="dxa"/>
            <w:vAlign w:val="center"/>
          </w:tcPr>
          <w:p w14:paraId="7205F6AF" w14:textId="411F689E" w:rsidR="00E16CF9" w:rsidRPr="0009066F" w:rsidRDefault="00501C36" w:rsidP="00854496">
            <w:pPr>
              <w:pStyle w:val="TableText0"/>
              <w:jc w:val="center"/>
              <w:rPr>
                <w:highlight w:val="lightGray"/>
              </w:rPr>
            </w:pPr>
            <w:r w:rsidRPr="00501C36">
              <w:rPr>
                <w:color w:val="000000"/>
                <w:shd w:val="solid" w:color="000000" w:fill="000000"/>
                <w14:textFill>
                  <w14:solidFill>
                    <w14:srgbClr w14:val="000000">
                      <w14:alpha w14:val="100000"/>
                    </w14:srgbClr>
                  </w14:solidFill>
                </w14:textFill>
              </w:rPr>
              <w:t>|</w:t>
            </w:r>
            <w:r w:rsidR="00C522F2" w:rsidRPr="0009066F">
              <w:rPr>
                <w:vertAlign w:val="superscript"/>
              </w:rPr>
              <w:t>5</w:t>
            </w:r>
          </w:p>
        </w:tc>
      </w:tr>
      <w:tr w:rsidR="00E16CF9" w14:paraId="1893546F" w14:textId="77777777" w:rsidTr="00854496">
        <w:tc>
          <w:tcPr>
            <w:tcW w:w="9020" w:type="dxa"/>
            <w:gridSpan w:val="8"/>
            <w:vAlign w:val="center"/>
          </w:tcPr>
          <w:p w14:paraId="42D8F748" w14:textId="77777777" w:rsidR="00E16CF9" w:rsidRPr="00666EFE" w:rsidRDefault="00E16CF9" w:rsidP="00854496">
            <w:pPr>
              <w:pStyle w:val="TableText0"/>
            </w:pPr>
            <w:r>
              <w:t>Methods for selecting adult population (base case Australian medium projected population x 77%)</w:t>
            </w:r>
          </w:p>
        </w:tc>
      </w:tr>
      <w:tr w:rsidR="00E16CF9" w:rsidRPr="00E16CF9" w14:paraId="6D61488F" w14:textId="77777777" w:rsidTr="002621BF">
        <w:tc>
          <w:tcPr>
            <w:tcW w:w="1271" w:type="dxa"/>
            <w:vAlign w:val="center"/>
          </w:tcPr>
          <w:p w14:paraId="671AE08B" w14:textId="71C32FF3" w:rsidR="00E16CF9" w:rsidRPr="00E16CF9" w:rsidRDefault="00E16CF9" w:rsidP="00854496">
            <w:pPr>
              <w:pStyle w:val="TableText0"/>
              <w:rPr>
                <w:iCs/>
              </w:rPr>
            </w:pPr>
            <w:r w:rsidRPr="00E16CF9">
              <w:rPr>
                <w:iCs/>
              </w:rPr>
              <w:t>ABS 18+</w:t>
            </w:r>
            <w:r w:rsidR="00E3560E">
              <w:rPr>
                <w:iCs/>
              </w:rPr>
              <w:t xml:space="preserve"> ($)</w:t>
            </w:r>
          </w:p>
        </w:tc>
        <w:tc>
          <w:tcPr>
            <w:tcW w:w="1134" w:type="dxa"/>
            <w:vAlign w:val="center"/>
          </w:tcPr>
          <w:p w14:paraId="0D251382" w14:textId="43E443C8" w:rsidR="00E16CF9" w:rsidRPr="0009066F" w:rsidRDefault="00501C36" w:rsidP="00854496">
            <w:pPr>
              <w:pStyle w:val="TableText0"/>
              <w:jc w:val="center"/>
              <w:rPr>
                <w:iCs/>
                <w:highlight w:val="lightGray"/>
              </w:rPr>
            </w:pPr>
            <w:r w:rsidRPr="00501C36">
              <w:rPr>
                <w:rFonts w:hint="eastAsia"/>
                <w:iCs/>
                <w:color w:val="000000"/>
                <w:w w:val="15"/>
                <w:shd w:val="solid" w:color="000000" w:fill="000000"/>
                <w:fitText w:val="45" w:id="-893683700"/>
                <w14:textFill>
                  <w14:solidFill>
                    <w14:srgbClr w14:val="000000">
                      <w14:alpha w14:val="100000"/>
                    </w14:srgbClr>
                  </w14:solidFill>
                </w14:textFill>
              </w:rPr>
              <w:t xml:space="preserve">　</w:t>
            </w:r>
            <w:r w:rsidRPr="00501C36">
              <w:rPr>
                <w:iCs/>
                <w:color w:val="000000"/>
                <w:w w:val="15"/>
                <w:shd w:val="solid" w:color="000000" w:fill="000000"/>
                <w:fitText w:val="45" w:id="-89368370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0"/>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626A21FD" w14:textId="70F1C64E" w:rsidR="00E16CF9" w:rsidRPr="0009066F" w:rsidRDefault="00501C36" w:rsidP="00854496">
            <w:pPr>
              <w:pStyle w:val="TableText0"/>
              <w:jc w:val="center"/>
              <w:rPr>
                <w:iCs/>
                <w:highlight w:val="lightGray"/>
              </w:rPr>
            </w:pPr>
            <w:r w:rsidRPr="00501C36">
              <w:rPr>
                <w:rFonts w:hint="eastAsia"/>
                <w:iCs/>
                <w:color w:val="000000"/>
                <w:w w:val="15"/>
                <w:shd w:val="solid" w:color="000000" w:fill="000000"/>
                <w:fitText w:val="45" w:id="-893683699"/>
                <w14:textFill>
                  <w14:solidFill>
                    <w14:srgbClr w14:val="000000">
                      <w14:alpha w14:val="100000"/>
                    </w14:srgbClr>
                  </w14:solidFill>
                </w14:textFill>
              </w:rPr>
              <w:t xml:space="preserve">　</w:t>
            </w:r>
            <w:r w:rsidRPr="00501C36">
              <w:rPr>
                <w:iCs/>
                <w:color w:val="000000"/>
                <w:w w:val="15"/>
                <w:shd w:val="solid" w:color="000000" w:fill="000000"/>
                <w:fitText w:val="45" w:id="-893683699"/>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699"/>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1CA6D6DB" w14:textId="2DFAB2F8" w:rsidR="00E16CF9" w:rsidRPr="0009066F" w:rsidRDefault="00501C36" w:rsidP="00854496">
            <w:pPr>
              <w:pStyle w:val="TableText0"/>
              <w:jc w:val="center"/>
              <w:rPr>
                <w:iCs/>
                <w:highlight w:val="lightGray"/>
              </w:rPr>
            </w:pPr>
            <w:r w:rsidRPr="00501C36">
              <w:rPr>
                <w:rFonts w:hint="eastAsia"/>
                <w:iCs/>
                <w:color w:val="000000"/>
                <w:w w:val="15"/>
                <w:shd w:val="solid" w:color="000000" w:fill="000000"/>
                <w:fitText w:val="45" w:id="-893683698"/>
                <w14:textFill>
                  <w14:solidFill>
                    <w14:srgbClr w14:val="000000">
                      <w14:alpha w14:val="100000"/>
                    </w14:srgbClr>
                  </w14:solidFill>
                </w14:textFill>
              </w:rPr>
              <w:t xml:space="preserve">　</w:t>
            </w:r>
            <w:r w:rsidRPr="00501C36">
              <w:rPr>
                <w:iCs/>
                <w:color w:val="000000"/>
                <w:w w:val="15"/>
                <w:shd w:val="solid" w:color="000000" w:fill="000000"/>
                <w:fitText w:val="45" w:id="-893683698"/>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698"/>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478D5145" w14:textId="138DF649" w:rsidR="00E16CF9" w:rsidRPr="0009066F" w:rsidRDefault="00501C36" w:rsidP="00854496">
            <w:pPr>
              <w:pStyle w:val="TableText0"/>
              <w:jc w:val="center"/>
              <w:rPr>
                <w:iCs/>
                <w:highlight w:val="lightGray"/>
              </w:rPr>
            </w:pPr>
            <w:r w:rsidRPr="00501C36">
              <w:rPr>
                <w:rFonts w:hint="eastAsia"/>
                <w:iCs/>
                <w:color w:val="000000"/>
                <w:w w:val="15"/>
                <w:shd w:val="solid" w:color="000000" w:fill="000000"/>
                <w:fitText w:val="45" w:id="-893683697"/>
                <w14:textFill>
                  <w14:solidFill>
                    <w14:srgbClr w14:val="000000">
                      <w14:alpha w14:val="100000"/>
                    </w14:srgbClr>
                  </w14:solidFill>
                </w14:textFill>
              </w:rPr>
              <w:t xml:space="preserve">　</w:t>
            </w:r>
            <w:r w:rsidRPr="00501C36">
              <w:rPr>
                <w:iCs/>
                <w:color w:val="000000"/>
                <w:w w:val="15"/>
                <w:shd w:val="solid" w:color="000000" w:fill="000000"/>
                <w:fitText w:val="45" w:id="-893683697"/>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697"/>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1373A95F" w14:textId="41D68D71" w:rsidR="00E16CF9" w:rsidRPr="0009066F" w:rsidRDefault="00501C36" w:rsidP="00854496">
            <w:pPr>
              <w:pStyle w:val="TableText0"/>
              <w:jc w:val="center"/>
              <w:rPr>
                <w:iCs/>
                <w:highlight w:val="lightGray"/>
              </w:rPr>
            </w:pPr>
            <w:r w:rsidRPr="00501C36">
              <w:rPr>
                <w:rFonts w:hint="eastAsia"/>
                <w:iCs/>
                <w:color w:val="000000"/>
                <w:w w:val="15"/>
                <w:shd w:val="solid" w:color="000000" w:fill="000000"/>
                <w:fitText w:val="45" w:id="-893683696"/>
                <w14:textFill>
                  <w14:solidFill>
                    <w14:srgbClr w14:val="000000">
                      <w14:alpha w14:val="100000"/>
                    </w14:srgbClr>
                  </w14:solidFill>
                </w14:textFill>
              </w:rPr>
              <w:t xml:space="preserve">　</w:t>
            </w:r>
            <w:r w:rsidRPr="00501C36">
              <w:rPr>
                <w:iCs/>
                <w:color w:val="000000"/>
                <w:w w:val="15"/>
                <w:shd w:val="solid" w:color="000000" w:fill="000000"/>
                <w:fitText w:val="45" w:id="-893683696"/>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696"/>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57356B2A" w14:textId="407086A6" w:rsidR="00E16CF9" w:rsidRPr="0009066F" w:rsidRDefault="00501C36" w:rsidP="00854496">
            <w:pPr>
              <w:pStyle w:val="TableText0"/>
              <w:jc w:val="center"/>
              <w:rPr>
                <w:iCs/>
                <w:highlight w:val="lightGray"/>
              </w:rPr>
            </w:pPr>
            <w:r w:rsidRPr="00501C36">
              <w:rPr>
                <w:rFonts w:hint="eastAsia"/>
                <w:iCs/>
                <w:color w:val="000000"/>
                <w:w w:val="15"/>
                <w:shd w:val="solid" w:color="000000" w:fill="000000"/>
                <w:fitText w:val="45" w:id="-893683712"/>
                <w14:textFill>
                  <w14:solidFill>
                    <w14:srgbClr w14:val="000000">
                      <w14:alpha w14:val="100000"/>
                    </w14:srgbClr>
                  </w14:solidFill>
                </w14:textFill>
              </w:rPr>
              <w:t xml:space="preserve">　</w:t>
            </w:r>
            <w:r w:rsidRPr="00501C36">
              <w:rPr>
                <w:iCs/>
                <w:color w:val="000000"/>
                <w:w w:val="15"/>
                <w:shd w:val="solid" w:color="000000" w:fill="000000"/>
                <w:fitText w:val="45" w:id="-89368371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12"/>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375D194D" w14:textId="70726295" w:rsidR="00E16CF9" w:rsidRPr="00E16CF9" w:rsidRDefault="00501C36" w:rsidP="00854496">
            <w:pPr>
              <w:pStyle w:val="TableText0"/>
              <w:jc w:val="center"/>
              <w:rPr>
                <w:iCs/>
              </w:rPr>
            </w:pPr>
            <w:r w:rsidRPr="00501C36">
              <w:rPr>
                <w:iCs/>
                <w:color w:val="000000"/>
                <w:shd w:val="solid" w:color="000000" w:fill="000000"/>
                <w14:textFill>
                  <w14:solidFill>
                    <w14:srgbClr w14:val="000000">
                      <w14:alpha w14:val="100000"/>
                    </w14:srgbClr>
                  </w14:solidFill>
                </w14:textFill>
              </w:rPr>
              <w:t>|</w:t>
            </w:r>
            <w:r w:rsidR="00C522F2" w:rsidRPr="003F0AD1">
              <w:rPr>
                <w:vertAlign w:val="superscript"/>
              </w:rPr>
              <w:t>5</w:t>
            </w:r>
          </w:p>
          <w:p w14:paraId="09A08029" w14:textId="574D65B7" w:rsidR="00E16CF9" w:rsidRPr="00E16CF9" w:rsidRDefault="00E16CF9" w:rsidP="00854496">
            <w:pPr>
              <w:pStyle w:val="TableText0"/>
              <w:jc w:val="center"/>
              <w:rPr>
                <w:iCs/>
              </w:rPr>
            </w:pPr>
            <w:r w:rsidRPr="00E16CF9">
              <w:rPr>
                <w:iCs/>
              </w:rPr>
              <w:t>(</w:t>
            </w:r>
            <w:r w:rsidR="00501C36" w:rsidRPr="00501C36">
              <w:rPr>
                <w:rFonts w:hint="eastAsia"/>
                <w:iCs/>
                <w:color w:val="000000"/>
                <w:w w:val="20"/>
                <w:shd w:val="solid" w:color="000000" w:fill="000000"/>
                <w:fitText w:val="90" w:id="-893683711"/>
                <w14:textFill>
                  <w14:solidFill>
                    <w14:srgbClr w14:val="000000">
                      <w14:alpha w14:val="100000"/>
                    </w14:srgbClr>
                  </w14:solidFill>
                </w14:textFill>
              </w:rPr>
              <w:t xml:space="preserve">　</w:t>
            </w:r>
            <w:r w:rsidR="00501C36" w:rsidRPr="00501C36">
              <w:rPr>
                <w:iCs/>
                <w:color w:val="000000"/>
                <w:w w:val="20"/>
                <w:shd w:val="solid" w:color="000000" w:fill="000000"/>
                <w:fitText w:val="90" w:id="-893683711"/>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711"/>
                <w14:textFill>
                  <w14:solidFill>
                    <w14:srgbClr w14:val="000000">
                      <w14:alpha w14:val="100000"/>
                    </w14:srgbClr>
                  </w14:solidFill>
                </w14:textFill>
              </w:rPr>
              <w:t xml:space="preserve">　</w:t>
            </w:r>
            <w:r w:rsidRPr="00E16CF9">
              <w:rPr>
                <w:iCs/>
              </w:rPr>
              <w:t>%)</w:t>
            </w:r>
          </w:p>
        </w:tc>
      </w:tr>
      <w:tr w:rsidR="00E16CF9" w:rsidRPr="00B54DE6" w14:paraId="7B58CB9B" w14:textId="77777777" w:rsidTr="00854496">
        <w:tc>
          <w:tcPr>
            <w:tcW w:w="9020" w:type="dxa"/>
            <w:gridSpan w:val="8"/>
            <w:vAlign w:val="center"/>
          </w:tcPr>
          <w:p w14:paraId="48298179" w14:textId="77777777" w:rsidR="00E16CF9" w:rsidRPr="00B54DE6" w:rsidRDefault="00E16CF9" w:rsidP="00854496">
            <w:pPr>
              <w:pStyle w:val="TableText0"/>
              <w:keepNext w:val="0"/>
            </w:pPr>
            <w:r w:rsidRPr="00B54DE6">
              <w:t>Prevalence (base 2.1/100,000)</w:t>
            </w:r>
          </w:p>
        </w:tc>
      </w:tr>
      <w:tr w:rsidR="00E16CF9" w14:paraId="4EB0DBF4" w14:textId="77777777" w:rsidTr="002621BF">
        <w:tc>
          <w:tcPr>
            <w:tcW w:w="1271" w:type="dxa"/>
            <w:vAlign w:val="center"/>
          </w:tcPr>
          <w:p w14:paraId="1887F28C" w14:textId="1DB5650C" w:rsidR="00E16CF9" w:rsidRPr="00E3560E" w:rsidRDefault="00E16CF9" w:rsidP="00854496">
            <w:pPr>
              <w:pStyle w:val="TableText0"/>
              <w:keepNext w:val="0"/>
            </w:pPr>
            <w:r>
              <w:t>2.6</w:t>
            </w:r>
            <w:r w:rsidRPr="00E15DB9">
              <w:rPr>
                <w:vertAlign w:val="superscript"/>
              </w:rPr>
              <w:t>a</w:t>
            </w:r>
            <w:r w:rsidR="00E3560E">
              <w:rPr>
                <w:vertAlign w:val="superscript"/>
              </w:rPr>
              <w:t xml:space="preserve"> </w:t>
            </w:r>
            <w:r w:rsidR="00E3560E">
              <w:t>($)</w:t>
            </w:r>
          </w:p>
        </w:tc>
        <w:tc>
          <w:tcPr>
            <w:tcW w:w="1134" w:type="dxa"/>
            <w:vAlign w:val="center"/>
          </w:tcPr>
          <w:p w14:paraId="32709471" w14:textId="4E8662A8"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10"/>
                <w14:textFill>
                  <w14:solidFill>
                    <w14:srgbClr w14:val="000000">
                      <w14:alpha w14:val="100000"/>
                    </w14:srgbClr>
                  </w14:solidFill>
                </w14:textFill>
              </w:rPr>
              <w:t xml:space="preserve">　</w:t>
            </w:r>
            <w:r w:rsidRPr="00501C36">
              <w:rPr>
                <w:color w:val="000000"/>
                <w:w w:val="15"/>
                <w:shd w:val="solid" w:color="000000" w:fill="000000"/>
                <w:fitText w:val="45" w:id="-893683710"/>
                <w14:textFill>
                  <w14:solidFill>
                    <w14:srgbClr w14:val="000000">
                      <w14:alpha w14:val="100000"/>
                    </w14:srgbClr>
                  </w14:solidFill>
                </w14:textFill>
              </w:rPr>
              <w:t>|</w:t>
            </w:r>
            <w:r w:rsidRPr="00501C36">
              <w:rPr>
                <w:rFonts w:hint="eastAsia"/>
                <w:color w:val="000000"/>
                <w:spacing w:val="-20"/>
                <w:w w:val="15"/>
                <w:shd w:val="solid" w:color="000000" w:fill="000000"/>
                <w:fitText w:val="45" w:id="-893683710"/>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23FB73A4" w14:textId="3D4488B3"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09"/>
                <w14:textFill>
                  <w14:solidFill>
                    <w14:srgbClr w14:val="000000">
                      <w14:alpha w14:val="100000"/>
                    </w14:srgbClr>
                  </w14:solidFill>
                </w14:textFill>
              </w:rPr>
              <w:t xml:space="preserve">　</w:t>
            </w:r>
            <w:r w:rsidRPr="00501C36">
              <w:rPr>
                <w:color w:val="000000"/>
                <w:w w:val="15"/>
                <w:shd w:val="solid" w:color="000000" w:fill="000000"/>
                <w:fitText w:val="45" w:id="-893683709"/>
                <w14:textFill>
                  <w14:solidFill>
                    <w14:srgbClr w14:val="000000">
                      <w14:alpha w14:val="100000"/>
                    </w14:srgbClr>
                  </w14:solidFill>
                </w14:textFill>
              </w:rPr>
              <w:t>|</w:t>
            </w:r>
            <w:r w:rsidRPr="00501C36">
              <w:rPr>
                <w:rFonts w:hint="eastAsia"/>
                <w:color w:val="000000"/>
                <w:spacing w:val="-20"/>
                <w:w w:val="15"/>
                <w:shd w:val="solid" w:color="000000" w:fill="000000"/>
                <w:fitText w:val="45" w:id="-893683709"/>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00902416" w14:textId="1C39C28B"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08"/>
                <w14:textFill>
                  <w14:solidFill>
                    <w14:srgbClr w14:val="000000">
                      <w14:alpha w14:val="100000"/>
                    </w14:srgbClr>
                  </w14:solidFill>
                </w14:textFill>
              </w:rPr>
              <w:t xml:space="preserve">　</w:t>
            </w:r>
            <w:r w:rsidRPr="00501C36">
              <w:rPr>
                <w:color w:val="000000"/>
                <w:w w:val="15"/>
                <w:shd w:val="solid" w:color="000000" w:fill="000000"/>
                <w:fitText w:val="45" w:id="-893683708"/>
                <w14:textFill>
                  <w14:solidFill>
                    <w14:srgbClr w14:val="000000">
                      <w14:alpha w14:val="100000"/>
                    </w14:srgbClr>
                  </w14:solidFill>
                </w14:textFill>
              </w:rPr>
              <w:t>|</w:t>
            </w:r>
            <w:r w:rsidRPr="00501C36">
              <w:rPr>
                <w:rFonts w:hint="eastAsia"/>
                <w:color w:val="000000"/>
                <w:spacing w:val="-20"/>
                <w:w w:val="15"/>
                <w:shd w:val="solid" w:color="000000" w:fill="000000"/>
                <w:fitText w:val="45" w:id="-893683708"/>
                <w14:textFill>
                  <w14:solidFill>
                    <w14:srgbClr w14:val="000000">
                      <w14:alpha w14:val="100000"/>
                    </w14:srgbClr>
                  </w14:solidFill>
                </w14:textFill>
              </w:rPr>
              <w:t xml:space="preserve">　</w:t>
            </w:r>
            <w:r w:rsidR="00B4602F" w:rsidRPr="0009066F">
              <w:rPr>
                <w:vertAlign w:val="superscript"/>
              </w:rPr>
              <w:t>6</w:t>
            </w:r>
          </w:p>
        </w:tc>
        <w:tc>
          <w:tcPr>
            <w:tcW w:w="1134" w:type="dxa"/>
            <w:vAlign w:val="center"/>
          </w:tcPr>
          <w:p w14:paraId="34C51ABD" w14:textId="0137D5AB" w:rsidR="00E16CF9" w:rsidRPr="0009066F" w:rsidRDefault="00501C36" w:rsidP="00854496">
            <w:pPr>
              <w:pStyle w:val="TableText0"/>
              <w:keepNext w:val="0"/>
              <w:jc w:val="center"/>
              <w:rPr>
                <w:i/>
                <w:iCs/>
                <w:highlight w:val="lightGray"/>
              </w:rPr>
            </w:pPr>
            <w:r w:rsidRPr="007C53CF">
              <w:rPr>
                <w:rFonts w:hint="eastAsia"/>
                <w:color w:val="000000"/>
                <w:w w:val="15"/>
                <w:shd w:val="solid" w:color="000000" w:fill="000000"/>
                <w:fitText w:val="45" w:id="-893683707"/>
                <w14:textFill>
                  <w14:solidFill>
                    <w14:srgbClr w14:val="000000">
                      <w14:alpha w14:val="100000"/>
                    </w14:srgbClr>
                  </w14:solidFill>
                </w14:textFill>
              </w:rPr>
              <w:t xml:space="preserve">　</w:t>
            </w:r>
            <w:r w:rsidRPr="007C53CF">
              <w:rPr>
                <w:color w:val="000000"/>
                <w:w w:val="15"/>
                <w:shd w:val="solid" w:color="000000" w:fill="000000"/>
                <w:fitText w:val="45" w:id="-893683707"/>
                <w14:textFill>
                  <w14:solidFill>
                    <w14:srgbClr w14:val="000000">
                      <w14:alpha w14:val="100000"/>
                    </w14:srgbClr>
                  </w14:solidFill>
                </w14:textFill>
              </w:rPr>
              <w:t>|</w:t>
            </w:r>
            <w:r w:rsidRPr="007C53CF">
              <w:rPr>
                <w:rFonts w:hint="eastAsia"/>
                <w:color w:val="000000"/>
                <w:spacing w:val="-30"/>
                <w:w w:val="15"/>
                <w:shd w:val="solid" w:color="000000" w:fill="000000"/>
                <w:fitText w:val="45" w:id="-893683707"/>
                <w14:textFill>
                  <w14:solidFill>
                    <w14:srgbClr w14:val="000000">
                      <w14:alpha w14:val="100000"/>
                    </w14:srgbClr>
                  </w14:solidFill>
                </w14:textFill>
              </w:rPr>
              <w:t xml:space="preserve">　</w:t>
            </w:r>
            <w:r w:rsidR="00B4602F" w:rsidRPr="003F0AD1">
              <w:rPr>
                <w:vertAlign w:val="superscript"/>
              </w:rPr>
              <w:t>6</w:t>
            </w:r>
          </w:p>
        </w:tc>
        <w:tc>
          <w:tcPr>
            <w:tcW w:w="1134" w:type="dxa"/>
            <w:vAlign w:val="center"/>
          </w:tcPr>
          <w:p w14:paraId="089F87BA" w14:textId="00B70B7D"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06"/>
                <w14:textFill>
                  <w14:solidFill>
                    <w14:srgbClr w14:val="000000">
                      <w14:alpha w14:val="100000"/>
                    </w14:srgbClr>
                  </w14:solidFill>
                </w14:textFill>
              </w:rPr>
              <w:t xml:space="preserve">　</w:t>
            </w:r>
            <w:r w:rsidRPr="00501C36">
              <w:rPr>
                <w:color w:val="000000"/>
                <w:w w:val="15"/>
                <w:shd w:val="solid" w:color="000000" w:fill="000000"/>
                <w:fitText w:val="45" w:id="-893683706"/>
                <w14:textFill>
                  <w14:solidFill>
                    <w14:srgbClr w14:val="000000">
                      <w14:alpha w14:val="100000"/>
                    </w14:srgbClr>
                  </w14:solidFill>
                </w14:textFill>
              </w:rPr>
              <w:t>|</w:t>
            </w:r>
            <w:r w:rsidRPr="00501C36">
              <w:rPr>
                <w:rFonts w:hint="eastAsia"/>
                <w:color w:val="000000"/>
                <w:spacing w:val="-20"/>
                <w:w w:val="15"/>
                <w:shd w:val="solid" w:color="000000" w:fill="000000"/>
                <w:fitText w:val="45" w:id="-893683706"/>
                <w14:textFill>
                  <w14:solidFill>
                    <w14:srgbClr w14:val="000000">
                      <w14:alpha w14:val="100000"/>
                    </w14:srgbClr>
                  </w14:solidFill>
                </w14:textFill>
              </w:rPr>
              <w:t xml:space="preserve">　</w:t>
            </w:r>
            <w:r w:rsidR="00FE090C" w:rsidRPr="0009066F">
              <w:rPr>
                <w:vertAlign w:val="superscript"/>
              </w:rPr>
              <w:t>1</w:t>
            </w:r>
          </w:p>
        </w:tc>
        <w:tc>
          <w:tcPr>
            <w:tcW w:w="992" w:type="dxa"/>
            <w:vAlign w:val="center"/>
          </w:tcPr>
          <w:p w14:paraId="6B2698FC" w14:textId="018EA3A6"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05"/>
                <w14:textFill>
                  <w14:solidFill>
                    <w14:srgbClr w14:val="000000">
                      <w14:alpha w14:val="100000"/>
                    </w14:srgbClr>
                  </w14:solidFill>
                </w14:textFill>
              </w:rPr>
              <w:t xml:space="preserve">　</w:t>
            </w:r>
            <w:r w:rsidRPr="00501C36">
              <w:rPr>
                <w:color w:val="000000"/>
                <w:w w:val="15"/>
                <w:shd w:val="solid" w:color="000000" w:fill="000000"/>
                <w:fitText w:val="45" w:id="-893683705"/>
                <w14:textFill>
                  <w14:solidFill>
                    <w14:srgbClr w14:val="000000">
                      <w14:alpha w14:val="100000"/>
                    </w14:srgbClr>
                  </w14:solidFill>
                </w14:textFill>
              </w:rPr>
              <w:t>|</w:t>
            </w:r>
            <w:r w:rsidRPr="00501C36">
              <w:rPr>
                <w:rFonts w:hint="eastAsia"/>
                <w:color w:val="000000"/>
                <w:spacing w:val="-20"/>
                <w:w w:val="15"/>
                <w:shd w:val="solid" w:color="000000" w:fill="000000"/>
                <w:fitText w:val="45" w:id="-893683705"/>
                <w14:textFill>
                  <w14:solidFill>
                    <w14:srgbClr w14:val="000000">
                      <w14:alpha w14:val="100000"/>
                    </w14:srgbClr>
                  </w14:solidFill>
                </w14:textFill>
              </w:rPr>
              <w:t xml:space="preserve">　</w:t>
            </w:r>
            <w:r w:rsidR="00C522F2" w:rsidRPr="003F0AD1">
              <w:rPr>
                <w:vertAlign w:val="superscript"/>
              </w:rPr>
              <w:t>3</w:t>
            </w:r>
          </w:p>
        </w:tc>
        <w:tc>
          <w:tcPr>
            <w:tcW w:w="1087" w:type="dxa"/>
            <w:vAlign w:val="center"/>
          </w:tcPr>
          <w:p w14:paraId="42C7FCC3" w14:textId="567CD8E0"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C522F2" w:rsidRPr="003F0AD1">
              <w:rPr>
                <w:vertAlign w:val="superscript"/>
              </w:rPr>
              <w:t>5</w:t>
            </w:r>
          </w:p>
          <w:p w14:paraId="0D3894CB" w14:textId="727C499C" w:rsidR="00E16CF9" w:rsidRPr="0094293D" w:rsidRDefault="00E16CF9" w:rsidP="00854496">
            <w:pPr>
              <w:pStyle w:val="TableText0"/>
              <w:keepNext w:val="0"/>
              <w:jc w:val="center"/>
              <w:rPr>
                <w:i/>
                <w:iCs/>
              </w:rPr>
            </w:pPr>
            <w:r w:rsidRPr="00E16CF9">
              <w:rPr>
                <w:iCs/>
              </w:rPr>
              <w:t>(</w:t>
            </w:r>
            <w:r w:rsidR="00501C36" w:rsidRPr="00501C36">
              <w:rPr>
                <w:rFonts w:hint="eastAsia"/>
                <w:iCs/>
                <w:color w:val="000000"/>
                <w:w w:val="20"/>
                <w:shd w:val="solid" w:color="000000" w:fill="000000"/>
                <w:fitText w:val="90" w:id="-893683704"/>
                <w14:textFill>
                  <w14:solidFill>
                    <w14:srgbClr w14:val="000000">
                      <w14:alpha w14:val="100000"/>
                    </w14:srgbClr>
                  </w14:solidFill>
                </w14:textFill>
              </w:rPr>
              <w:t xml:space="preserve">　</w:t>
            </w:r>
            <w:r w:rsidR="00501C36" w:rsidRPr="00501C36">
              <w:rPr>
                <w:iCs/>
                <w:color w:val="000000"/>
                <w:w w:val="20"/>
                <w:shd w:val="solid" w:color="000000" w:fill="000000"/>
                <w:fitText w:val="90" w:id="-893683704"/>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704"/>
                <w14:textFill>
                  <w14:solidFill>
                    <w14:srgbClr w14:val="000000">
                      <w14:alpha w14:val="100000"/>
                    </w14:srgbClr>
                  </w14:solidFill>
                </w14:textFill>
              </w:rPr>
              <w:t xml:space="preserve">　</w:t>
            </w:r>
            <w:r w:rsidRPr="00E16CF9">
              <w:rPr>
                <w:iCs/>
              </w:rPr>
              <w:t>%)</w:t>
            </w:r>
          </w:p>
        </w:tc>
      </w:tr>
      <w:tr w:rsidR="00E16CF9" w:rsidRPr="00E16CF9" w14:paraId="5942DE9E" w14:textId="77777777" w:rsidTr="002621BF">
        <w:tc>
          <w:tcPr>
            <w:tcW w:w="1271" w:type="dxa"/>
            <w:vAlign w:val="center"/>
          </w:tcPr>
          <w:p w14:paraId="71F2FFEC" w14:textId="2F853D7D" w:rsidR="00E16CF9" w:rsidRPr="00E3560E" w:rsidRDefault="00E16CF9" w:rsidP="00854496">
            <w:pPr>
              <w:pStyle w:val="TableText0"/>
              <w:keepNext w:val="0"/>
              <w:rPr>
                <w:iCs/>
              </w:rPr>
            </w:pPr>
            <w:r w:rsidRPr="00E16CF9">
              <w:rPr>
                <w:iCs/>
              </w:rPr>
              <w:t>1.1</w:t>
            </w:r>
            <w:r w:rsidRPr="00E16CF9">
              <w:rPr>
                <w:iCs/>
                <w:vertAlign w:val="superscript"/>
              </w:rPr>
              <w:t>a</w:t>
            </w:r>
            <w:r w:rsidR="00E3560E">
              <w:rPr>
                <w:iCs/>
              </w:rPr>
              <w:t xml:space="preserve"> ($)</w:t>
            </w:r>
          </w:p>
        </w:tc>
        <w:tc>
          <w:tcPr>
            <w:tcW w:w="1134" w:type="dxa"/>
            <w:vAlign w:val="center"/>
          </w:tcPr>
          <w:p w14:paraId="1250EA3D" w14:textId="105B0FDE"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3"/>
                <w14:textFill>
                  <w14:solidFill>
                    <w14:srgbClr w14:val="000000">
                      <w14:alpha w14:val="100000"/>
                    </w14:srgbClr>
                  </w14:solidFill>
                </w14:textFill>
              </w:rPr>
              <w:t xml:space="preserve">　</w:t>
            </w:r>
            <w:r w:rsidRPr="00501C36">
              <w:rPr>
                <w:iCs/>
                <w:color w:val="000000"/>
                <w:w w:val="15"/>
                <w:shd w:val="solid" w:color="000000" w:fill="000000"/>
                <w:fitText w:val="45" w:id="-89368370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3"/>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4536D00C" w14:textId="5C2998F8"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2"/>
                <w14:textFill>
                  <w14:solidFill>
                    <w14:srgbClr w14:val="000000">
                      <w14:alpha w14:val="100000"/>
                    </w14:srgbClr>
                  </w14:solidFill>
                </w14:textFill>
              </w:rPr>
              <w:t xml:space="preserve">　</w:t>
            </w:r>
            <w:r w:rsidRPr="00501C36">
              <w:rPr>
                <w:iCs/>
                <w:color w:val="000000"/>
                <w:w w:val="15"/>
                <w:shd w:val="solid" w:color="000000" w:fill="000000"/>
                <w:fitText w:val="45" w:id="-89368370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2"/>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62D82470" w14:textId="1079037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1"/>
                <w14:textFill>
                  <w14:solidFill>
                    <w14:srgbClr w14:val="000000">
                      <w14:alpha w14:val="100000"/>
                    </w14:srgbClr>
                  </w14:solidFill>
                </w14:textFill>
              </w:rPr>
              <w:t xml:space="preserve">　</w:t>
            </w:r>
            <w:r w:rsidRPr="00501C36">
              <w:rPr>
                <w:iCs/>
                <w:color w:val="000000"/>
                <w:w w:val="15"/>
                <w:shd w:val="solid" w:color="000000" w:fill="000000"/>
                <w:fitText w:val="45" w:id="-89368370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1"/>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18FAD2DA" w14:textId="706A0A45" w:rsidR="00E16CF9" w:rsidRPr="0009066F" w:rsidRDefault="007C53CF" w:rsidP="00854496">
            <w:pPr>
              <w:pStyle w:val="TableText0"/>
              <w:keepNext w:val="0"/>
              <w:jc w:val="center"/>
              <w:rPr>
                <w:iCs/>
                <w:highlight w:val="lightGray"/>
              </w:rPr>
            </w:pPr>
            <w:r w:rsidRPr="007C53CF">
              <w:rPr>
                <w:rFonts w:hint="eastAsia"/>
                <w:color w:val="000000"/>
                <w:w w:val="15"/>
                <w:shd w:val="solid" w:color="000000" w:fill="000000"/>
                <w:fitText w:val="45" w:id="-893683707"/>
                <w14:textFill>
                  <w14:solidFill>
                    <w14:srgbClr w14:val="000000">
                      <w14:alpha w14:val="100000"/>
                    </w14:srgbClr>
                  </w14:solidFill>
                </w14:textFill>
              </w:rPr>
              <w:t xml:space="preserve">　</w:t>
            </w:r>
            <w:r w:rsidRPr="007C53CF">
              <w:rPr>
                <w:color w:val="000000"/>
                <w:w w:val="15"/>
                <w:shd w:val="solid" w:color="000000" w:fill="000000"/>
                <w:fitText w:val="45" w:id="-893683707"/>
                <w14:textFill>
                  <w14:solidFill>
                    <w14:srgbClr w14:val="000000">
                      <w14:alpha w14:val="100000"/>
                    </w14:srgbClr>
                  </w14:solidFill>
                </w14:textFill>
              </w:rPr>
              <w:t>|</w:t>
            </w:r>
            <w:r w:rsidRPr="007C53CF">
              <w:rPr>
                <w:rFonts w:hint="eastAsia"/>
                <w:color w:val="000000"/>
                <w:spacing w:val="-20"/>
                <w:w w:val="15"/>
                <w:shd w:val="solid" w:color="000000" w:fill="000000"/>
                <w:fitText w:val="45" w:id="-893683707"/>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6977B9D4" w14:textId="1B308F2C"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698"/>
                <w14:textFill>
                  <w14:solidFill>
                    <w14:srgbClr w14:val="000000">
                      <w14:alpha w14:val="100000"/>
                    </w14:srgbClr>
                  </w14:solidFill>
                </w14:textFill>
              </w:rPr>
              <w:t xml:space="preserve">　</w:t>
            </w:r>
            <w:r w:rsidRPr="00501C36">
              <w:rPr>
                <w:iCs/>
                <w:color w:val="000000"/>
                <w:w w:val="15"/>
                <w:shd w:val="solid" w:color="000000" w:fill="000000"/>
                <w:fitText w:val="45" w:id="-893683698"/>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698"/>
                <w14:textFill>
                  <w14:solidFill>
                    <w14:srgbClr w14:val="000000">
                      <w14:alpha w14:val="100000"/>
                    </w14:srgbClr>
                  </w14:solidFill>
                </w14:textFill>
              </w:rPr>
              <w:t xml:space="preserve">　</w:t>
            </w:r>
            <w:r w:rsidR="00C522F2" w:rsidRPr="003F0AD1">
              <w:rPr>
                <w:vertAlign w:val="superscript"/>
              </w:rPr>
              <w:t>4</w:t>
            </w:r>
          </w:p>
        </w:tc>
        <w:tc>
          <w:tcPr>
            <w:tcW w:w="992" w:type="dxa"/>
            <w:vAlign w:val="center"/>
          </w:tcPr>
          <w:p w14:paraId="3120E28B" w14:textId="1490AB44"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697"/>
                <w14:textFill>
                  <w14:solidFill>
                    <w14:srgbClr w14:val="000000">
                      <w14:alpha w14:val="100000"/>
                    </w14:srgbClr>
                  </w14:solidFill>
                </w14:textFill>
              </w:rPr>
              <w:t xml:space="preserve">　</w:t>
            </w:r>
            <w:r w:rsidRPr="00501C36">
              <w:rPr>
                <w:iCs/>
                <w:color w:val="000000"/>
                <w:w w:val="15"/>
                <w:shd w:val="solid" w:color="000000" w:fill="000000"/>
                <w:fitText w:val="45" w:id="-893683697"/>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697"/>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559FB0E2" w14:textId="37E1BF37"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09066F">
              <w:rPr>
                <w:iCs/>
                <w:vertAlign w:val="superscript"/>
              </w:rPr>
              <w:t>7</w:t>
            </w:r>
          </w:p>
          <w:p w14:paraId="6A51A564" w14:textId="5C3CF398"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7"/>
                <w:shd w:val="solid" w:color="000000" w:fill="000000"/>
                <w:fitText w:val="120" w:id="-893683696"/>
                <w14:textFill>
                  <w14:solidFill>
                    <w14:srgbClr w14:val="000000">
                      <w14:alpha w14:val="100000"/>
                    </w14:srgbClr>
                  </w14:solidFill>
                </w14:textFill>
              </w:rPr>
              <w:t xml:space="preserve">　</w:t>
            </w:r>
            <w:r w:rsidR="00501C36" w:rsidRPr="00501C36">
              <w:rPr>
                <w:iCs/>
                <w:color w:val="000000"/>
                <w:w w:val="27"/>
                <w:shd w:val="solid" w:color="000000" w:fill="000000"/>
                <w:fitText w:val="120" w:id="-893683696"/>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696"/>
                <w14:textFill>
                  <w14:solidFill>
                    <w14:srgbClr w14:val="000000">
                      <w14:alpha w14:val="100000"/>
                    </w14:srgbClr>
                  </w14:solidFill>
                </w14:textFill>
              </w:rPr>
              <w:t xml:space="preserve">　</w:t>
            </w:r>
            <w:r w:rsidRPr="00E16CF9">
              <w:rPr>
                <w:iCs/>
              </w:rPr>
              <w:t>%)</w:t>
            </w:r>
          </w:p>
        </w:tc>
      </w:tr>
      <w:tr w:rsidR="00E16CF9" w14:paraId="289FD3AC" w14:textId="77777777" w:rsidTr="002621BF">
        <w:tc>
          <w:tcPr>
            <w:tcW w:w="1271" w:type="dxa"/>
            <w:vAlign w:val="center"/>
          </w:tcPr>
          <w:p w14:paraId="756345D0" w14:textId="1782764F" w:rsidR="00E16CF9" w:rsidRPr="00E3560E" w:rsidRDefault="00E16CF9" w:rsidP="00854496">
            <w:pPr>
              <w:pStyle w:val="TableText0"/>
              <w:keepNext w:val="0"/>
            </w:pPr>
            <w:r>
              <w:t>1.91</w:t>
            </w:r>
            <w:r w:rsidRPr="00E15DB9">
              <w:rPr>
                <w:vertAlign w:val="superscript"/>
              </w:rPr>
              <w:t>a</w:t>
            </w:r>
            <w:r w:rsidR="00E3560E">
              <w:t xml:space="preserve"> ($)</w:t>
            </w:r>
          </w:p>
        </w:tc>
        <w:tc>
          <w:tcPr>
            <w:tcW w:w="1134" w:type="dxa"/>
            <w:vAlign w:val="center"/>
          </w:tcPr>
          <w:p w14:paraId="7C7A2469" w14:textId="5D0C7AAE"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12"/>
                <w14:textFill>
                  <w14:solidFill>
                    <w14:srgbClr w14:val="000000">
                      <w14:alpha w14:val="100000"/>
                    </w14:srgbClr>
                  </w14:solidFill>
                </w14:textFill>
              </w:rPr>
              <w:t xml:space="preserve">　</w:t>
            </w:r>
            <w:r w:rsidRPr="00501C36">
              <w:rPr>
                <w:color w:val="000000"/>
                <w:w w:val="15"/>
                <w:shd w:val="solid" w:color="000000" w:fill="000000"/>
                <w:fitText w:val="45" w:id="-893683712"/>
                <w14:textFill>
                  <w14:solidFill>
                    <w14:srgbClr w14:val="000000">
                      <w14:alpha w14:val="100000"/>
                    </w14:srgbClr>
                  </w14:solidFill>
                </w14:textFill>
              </w:rPr>
              <w:t>|</w:t>
            </w:r>
            <w:r w:rsidRPr="00501C36">
              <w:rPr>
                <w:rFonts w:hint="eastAsia"/>
                <w:color w:val="000000"/>
                <w:spacing w:val="-20"/>
                <w:w w:val="15"/>
                <w:shd w:val="solid" w:color="000000" w:fill="000000"/>
                <w:fitText w:val="45" w:id="-893683712"/>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74D3C70E" w14:textId="4B600F83"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11"/>
                <w14:textFill>
                  <w14:solidFill>
                    <w14:srgbClr w14:val="000000">
                      <w14:alpha w14:val="100000"/>
                    </w14:srgbClr>
                  </w14:solidFill>
                </w14:textFill>
              </w:rPr>
              <w:t xml:space="preserve">　</w:t>
            </w:r>
            <w:r w:rsidRPr="00501C36">
              <w:rPr>
                <w:color w:val="000000"/>
                <w:w w:val="15"/>
                <w:shd w:val="solid" w:color="000000" w:fill="000000"/>
                <w:fitText w:val="45" w:id="-893683711"/>
                <w14:textFill>
                  <w14:solidFill>
                    <w14:srgbClr w14:val="000000">
                      <w14:alpha w14:val="100000"/>
                    </w14:srgbClr>
                  </w14:solidFill>
                </w14:textFill>
              </w:rPr>
              <w:t>|</w:t>
            </w:r>
            <w:r w:rsidRPr="00501C36">
              <w:rPr>
                <w:rFonts w:hint="eastAsia"/>
                <w:color w:val="000000"/>
                <w:spacing w:val="-20"/>
                <w:w w:val="15"/>
                <w:shd w:val="solid" w:color="000000" w:fill="000000"/>
                <w:fitText w:val="45" w:id="-893683711"/>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7B88481D" w14:textId="68B34D33"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10"/>
                <w14:textFill>
                  <w14:solidFill>
                    <w14:srgbClr w14:val="000000">
                      <w14:alpha w14:val="100000"/>
                    </w14:srgbClr>
                  </w14:solidFill>
                </w14:textFill>
              </w:rPr>
              <w:t xml:space="preserve">　</w:t>
            </w:r>
            <w:r w:rsidRPr="00501C36">
              <w:rPr>
                <w:color w:val="000000"/>
                <w:w w:val="15"/>
                <w:shd w:val="solid" w:color="000000" w:fill="000000"/>
                <w:fitText w:val="45" w:id="-893683710"/>
                <w14:textFill>
                  <w14:solidFill>
                    <w14:srgbClr w14:val="000000">
                      <w14:alpha w14:val="100000"/>
                    </w14:srgbClr>
                  </w14:solidFill>
                </w14:textFill>
              </w:rPr>
              <w:t>|</w:t>
            </w:r>
            <w:r w:rsidRPr="00501C36">
              <w:rPr>
                <w:rFonts w:hint="eastAsia"/>
                <w:color w:val="000000"/>
                <w:spacing w:val="-20"/>
                <w:w w:val="15"/>
                <w:shd w:val="solid" w:color="000000" w:fill="000000"/>
                <w:fitText w:val="45" w:id="-893683710"/>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36436D42" w14:textId="2EBA567B"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09"/>
                <w14:textFill>
                  <w14:solidFill>
                    <w14:srgbClr w14:val="000000">
                      <w14:alpha w14:val="100000"/>
                    </w14:srgbClr>
                  </w14:solidFill>
                </w14:textFill>
              </w:rPr>
              <w:t xml:space="preserve">　</w:t>
            </w:r>
            <w:r w:rsidRPr="00501C36">
              <w:rPr>
                <w:color w:val="000000"/>
                <w:w w:val="15"/>
                <w:shd w:val="solid" w:color="000000" w:fill="000000"/>
                <w:fitText w:val="45" w:id="-893683709"/>
                <w14:textFill>
                  <w14:solidFill>
                    <w14:srgbClr w14:val="000000">
                      <w14:alpha w14:val="100000"/>
                    </w14:srgbClr>
                  </w14:solidFill>
                </w14:textFill>
              </w:rPr>
              <w:t>|</w:t>
            </w:r>
            <w:r w:rsidRPr="00501C36">
              <w:rPr>
                <w:rFonts w:hint="eastAsia"/>
                <w:color w:val="000000"/>
                <w:spacing w:val="-20"/>
                <w:w w:val="15"/>
                <w:shd w:val="solid" w:color="000000" w:fill="000000"/>
                <w:fitText w:val="45" w:id="-893683709"/>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53C34608" w14:textId="6081822F"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08"/>
                <w14:textFill>
                  <w14:solidFill>
                    <w14:srgbClr w14:val="000000">
                      <w14:alpha w14:val="100000"/>
                    </w14:srgbClr>
                  </w14:solidFill>
                </w14:textFill>
              </w:rPr>
              <w:t xml:space="preserve">　</w:t>
            </w:r>
            <w:r w:rsidRPr="00501C36">
              <w:rPr>
                <w:color w:val="000000"/>
                <w:w w:val="15"/>
                <w:shd w:val="solid" w:color="000000" w:fill="000000"/>
                <w:fitText w:val="45" w:id="-893683708"/>
                <w14:textFill>
                  <w14:solidFill>
                    <w14:srgbClr w14:val="000000">
                      <w14:alpha w14:val="100000"/>
                    </w14:srgbClr>
                  </w14:solidFill>
                </w14:textFill>
              </w:rPr>
              <w:t>|</w:t>
            </w:r>
            <w:r w:rsidRPr="00501C36">
              <w:rPr>
                <w:rFonts w:hint="eastAsia"/>
                <w:color w:val="000000"/>
                <w:spacing w:val="-20"/>
                <w:w w:val="15"/>
                <w:shd w:val="solid" w:color="000000" w:fill="000000"/>
                <w:fitText w:val="45" w:id="-893683708"/>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05627E92" w14:textId="07159F13"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707"/>
                <w14:textFill>
                  <w14:solidFill>
                    <w14:srgbClr w14:val="000000">
                      <w14:alpha w14:val="100000"/>
                    </w14:srgbClr>
                  </w14:solidFill>
                </w14:textFill>
              </w:rPr>
              <w:t xml:space="preserve">　</w:t>
            </w:r>
            <w:r w:rsidRPr="00501C36">
              <w:rPr>
                <w:color w:val="000000"/>
                <w:w w:val="15"/>
                <w:shd w:val="solid" w:color="000000" w:fill="000000"/>
                <w:fitText w:val="45" w:id="-893683707"/>
                <w14:textFill>
                  <w14:solidFill>
                    <w14:srgbClr w14:val="000000">
                      <w14:alpha w14:val="100000"/>
                    </w14:srgbClr>
                  </w14:solidFill>
                </w14:textFill>
              </w:rPr>
              <w:t>|</w:t>
            </w:r>
            <w:r w:rsidRPr="00501C36">
              <w:rPr>
                <w:rFonts w:hint="eastAsia"/>
                <w:color w:val="000000"/>
                <w:spacing w:val="-20"/>
                <w:w w:val="15"/>
                <w:shd w:val="solid" w:color="000000" w:fill="000000"/>
                <w:fitText w:val="45" w:id="-893683707"/>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2E9E5C77" w14:textId="253DD662"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C522F2" w:rsidRPr="003F0AD1">
              <w:rPr>
                <w:vertAlign w:val="superscript"/>
              </w:rPr>
              <w:t>5</w:t>
            </w:r>
          </w:p>
          <w:p w14:paraId="0C4E0844" w14:textId="09F9E153" w:rsidR="00E16CF9" w:rsidRPr="004B6227" w:rsidRDefault="00E16CF9" w:rsidP="00854496">
            <w:pPr>
              <w:pStyle w:val="TableText0"/>
              <w:keepNext w:val="0"/>
              <w:jc w:val="center"/>
              <w:rPr>
                <w:i/>
                <w:iCs/>
              </w:rPr>
            </w:pPr>
            <w:r w:rsidRPr="00E16CF9">
              <w:rPr>
                <w:iCs/>
              </w:rPr>
              <w:t>(-</w:t>
            </w:r>
            <w:r w:rsidR="00501C36" w:rsidRPr="00501C36">
              <w:rPr>
                <w:rFonts w:hint="eastAsia"/>
                <w:iCs/>
                <w:color w:val="000000"/>
                <w:w w:val="27"/>
                <w:shd w:val="solid" w:color="000000" w:fill="000000"/>
                <w:fitText w:val="120" w:id="-893683706"/>
                <w14:textFill>
                  <w14:solidFill>
                    <w14:srgbClr w14:val="000000">
                      <w14:alpha w14:val="100000"/>
                    </w14:srgbClr>
                  </w14:solidFill>
                </w14:textFill>
              </w:rPr>
              <w:t xml:space="preserve">　</w:t>
            </w:r>
            <w:r w:rsidR="00501C36" w:rsidRPr="00501C36">
              <w:rPr>
                <w:iCs/>
                <w:color w:val="000000"/>
                <w:w w:val="27"/>
                <w:shd w:val="solid" w:color="000000" w:fill="000000"/>
                <w:fitText w:val="120" w:id="-893683706"/>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706"/>
                <w14:textFill>
                  <w14:solidFill>
                    <w14:srgbClr w14:val="000000">
                      <w14:alpha w14:val="100000"/>
                    </w14:srgbClr>
                  </w14:solidFill>
                </w14:textFill>
              </w:rPr>
              <w:t xml:space="preserve">　</w:t>
            </w:r>
            <w:r w:rsidRPr="00E16CF9">
              <w:rPr>
                <w:iCs/>
              </w:rPr>
              <w:t>%)</w:t>
            </w:r>
          </w:p>
        </w:tc>
      </w:tr>
      <w:tr w:rsidR="00E16CF9" w14:paraId="04DD3010" w14:textId="77777777" w:rsidTr="00854496">
        <w:tc>
          <w:tcPr>
            <w:tcW w:w="9020" w:type="dxa"/>
            <w:gridSpan w:val="8"/>
            <w:vAlign w:val="center"/>
          </w:tcPr>
          <w:p w14:paraId="16884574" w14:textId="77777777" w:rsidR="00E16CF9" w:rsidRDefault="00E16CF9" w:rsidP="00854496">
            <w:pPr>
              <w:pStyle w:val="TableText0"/>
              <w:keepNext w:val="0"/>
            </w:pPr>
            <w:r>
              <w:t>Proportion of patients diagnosed (yr 1: 35%, yr2 25%, y3, 10%, yr4-6, 5%; cumulative 85%)</w:t>
            </w:r>
          </w:p>
        </w:tc>
      </w:tr>
      <w:tr w:rsidR="00E16CF9" w:rsidRPr="00E16CF9" w14:paraId="7215EA6A" w14:textId="77777777" w:rsidTr="002621BF">
        <w:tc>
          <w:tcPr>
            <w:tcW w:w="1271" w:type="dxa"/>
            <w:vAlign w:val="center"/>
          </w:tcPr>
          <w:p w14:paraId="34897CC7" w14:textId="14C2E4A6" w:rsidR="00E16CF9" w:rsidRPr="00E3560E" w:rsidRDefault="00E16CF9" w:rsidP="00854496">
            <w:pPr>
              <w:pStyle w:val="TableText0"/>
              <w:keepNext w:val="0"/>
              <w:rPr>
                <w:iCs/>
              </w:rPr>
            </w:pPr>
            <w:r w:rsidRPr="00E16CF9">
              <w:rPr>
                <w:iCs/>
              </w:rPr>
              <w:t>Yr1-6 83%</w:t>
            </w:r>
            <w:r w:rsidRPr="00E16CF9">
              <w:rPr>
                <w:iCs/>
                <w:vertAlign w:val="superscript"/>
              </w:rPr>
              <w:t>b</w:t>
            </w:r>
            <w:r w:rsidR="00E3560E">
              <w:rPr>
                <w:iCs/>
              </w:rPr>
              <w:t xml:space="preserve"> ($)</w:t>
            </w:r>
          </w:p>
        </w:tc>
        <w:tc>
          <w:tcPr>
            <w:tcW w:w="1134" w:type="dxa"/>
            <w:vAlign w:val="center"/>
          </w:tcPr>
          <w:p w14:paraId="1984A328" w14:textId="7779C165"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5"/>
                <w14:textFill>
                  <w14:solidFill>
                    <w14:srgbClr w14:val="000000">
                      <w14:alpha w14:val="100000"/>
                    </w14:srgbClr>
                  </w14:solidFill>
                </w14:textFill>
              </w:rPr>
              <w:t xml:space="preserve">　</w:t>
            </w:r>
            <w:r w:rsidRPr="00501C36">
              <w:rPr>
                <w:iCs/>
                <w:color w:val="000000"/>
                <w:w w:val="15"/>
                <w:shd w:val="solid" w:color="000000" w:fill="000000"/>
                <w:fitText w:val="45" w:id="-893683705"/>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5"/>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1073E63D" w14:textId="6E05F265"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4"/>
                <w14:textFill>
                  <w14:solidFill>
                    <w14:srgbClr w14:val="000000">
                      <w14:alpha w14:val="100000"/>
                    </w14:srgbClr>
                  </w14:solidFill>
                </w14:textFill>
              </w:rPr>
              <w:t xml:space="preserve">　</w:t>
            </w:r>
            <w:r w:rsidRPr="00501C36">
              <w:rPr>
                <w:iCs/>
                <w:color w:val="000000"/>
                <w:w w:val="15"/>
                <w:shd w:val="solid" w:color="000000" w:fill="000000"/>
                <w:fitText w:val="45" w:id="-893683704"/>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4"/>
                <w14:textFill>
                  <w14:solidFill>
                    <w14:srgbClr w14:val="000000">
                      <w14:alpha w14:val="100000"/>
                    </w14:srgbClr>
                  </w14:solidFill>
                </w14:textFill>
              </w:rPr>
              <w:t xml:space="preserve">　</w:t>
            </w:r>
            <w:r w:rsidR="00B4602F" w:rsidRPr="0009066F">
              <w:rPr>
                <w:iCs/>
                <w:vertAlign w:val="superscript"/>
              </w:rPr>
              <w:t>8</w:t>
            </w:r>
          </w:p>
        </w:tc>
        <w:tc>
          <w:tcPr>
            <w:tcW w:w="1134" w:type="dxa"/>
            <w:vAlign w:val="center"/>
          </w:tcPr>
          <w:p w14:paraId="4954682F" w14:textId="4AD00F27"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3"/>
                <w14:textFill>
                  <w14:solidFill>
                    <w14:srgbClr w14:val="000000">
                      <w14:alpha w14:val="100000"/>
                    </w14:srgbClr>
                  </w14:solidFill>
                </w14:textFill>
              </w:rPr>
              <w:t xml:space="preserve">　</w:t>
            </w:r>
            <w:r w:rsidRPr="00501C36">
              <w:rPr>
                <w:iCs/>
                <w:color w:val="000000"/>
                <w:w w:val="15"/>
                <w:shd w:val="solid" w:color="000000" w:fill="000000"/>
                <w:fitText w:val="45" w:id="-89368370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3"/>
                <w14:textFill>
                  <w14:solidFill>
                    <w14:srgbClr w14:val="000000">
                      <w14:alpha w14:val="100000"/>
                    </w14:srgbClr>
                  </w14:solidFill>
                </w14:textFill>
              </w:rPr>
              <w:t xml:space="preserve">　</w:t>
            </w:r>
            <w:r w:rsidR="00B4602F" w:rsidRPr="003F0AD1">
              <w:rPr>
                <w:iCs/>
                <w:vertAlign w:val="superscript"/>
              </w:rPr>
              <w:t>8</w:t>
            </w:r>
          </w:p>
        </w:tc>
        <w:tc>
          <w:tcPr>
            <w:tcW w:w="1134" w:type="dxa"/>
            <w:vAlign w:val="center"/>
          </w:tcPr>
          <w:p w14:paraId="462DAB7D" w14:textId="0D273C92"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2"/>
                <w14:textFill>
                  <w14:solidFill>
                    <w14:srgbClr w14:val="000000">
                      <w14:alpha w14:val="100000"/>
                    </w14:srgbClr>
                  </w14:solidFill>
                </w14:textFill>
              </w:rPr>
              <w:t xml:space="preserve">　</w:t>
            </w:r>
            <w:r w:rsidRPr="00501C36">
              <w:rPr>
                <w:iCs/>
                <w:color w:val="000000"/>
                <w:w w:val="15"/>
                <w:shd w:val="solid" w:color="000000" w:fill="000000"/>
                <w:fitText w:val="45" w:id="-89368370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2"/>
                <w14:textFill>
                  <w14:solidFill>
                    <w14:srgbClr w14:val="000000">
                      <w14:alpha w14:val="100000"/>
                    </w14:srgbClr>
                  </w14:solidFill>
                </w14:textFill>
              </w:rPr>
              <w:t xml:space="preserve">　</w:t>
            </w:r>
            <w:r w:rsidR="00B4602F" w:rsidRPr="003F0AD1">
              <w:rPr>
                <w:iCs/>
                <w:vertAlign w:val="superscript"/>
              </w:rPr>
              <w:t>8</w:t>
            </w:r>
          </w:p>
        </w:tc>
        <w:tc>
          <w:tcPr>
            <w:tcW w:w="1134" w:type="dxa"/>
            <w:vAlign w:val="center"/>
          </w:tcPr>
          <w:p w14:paraId="6118C123" w14:textId="74AC636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1"/>
                <w14:textFill>
                  <w14:solidFill>
                    <w14:srgbClr w14:val="000000">
                      <w14:alpha w14:val="100000"/>
                    </w14:srgbClr>
                  </w14:solidFill>
                </w14:textFill>
              </w:rPr>
              <w:t xml:space="preserve">　</w:t>
            </w:r>
            <w:r w:rsidRPr="00501C36">
              <w:rPr>
                <w:iCs/>
                <w:color w:val="000000"/>
                <w:w w:val="15"/>
                <w:shd w:val="solid" w:color="000000" w:fill="000000"/>
                <w:fitText w:val="45" w:id="-89368370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1"/>
                <w14:textFill>
                  <w14:solidFill>
                    <w14:srgbClr w14:val="000000">
                      <w14:alpha w14:val="100000"/>
                    </w14:srgbClr>
                  </w14:solidFill>
                </w14:textFill>
              </w:rPr>
              <w:t xml:space="preserve">　</w:t>
            </w:r>
            <w:r w:rsidR="00FE090C" w:rsidRPr="0009066F">
              <w:rPr>
                <w:iCs/>
                <w:vertAlign w:val="superscript"/>
              </w:rPr>
              <w:t>1</w:t>
            </w:r>
          </w:p>
        </w:tc>
        <w:tc>
          <w:tcPr>
            <w:tcW w:w="992" w:type="dxa"/>
            <w:vAlign w:val="center"/>
          </w:tcPr>
          <w:p w14:paraId="0DB636AE" w14:textId="7C7237D5"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0"/>
                <w14:textFill>
                  <w14:solidFill>
                    <w14:srgbClr w14:val="000000">
                      <w14:alpha w14:val="100000"/>
                    </w14:srgbClr>
                  </w14:solidFill>
                </w14:textFill>
              </w:rPr>
              <w:t xml:space="preserve">　</w:t>
            </w:r>
            <w:r w:rsidRPr="00501C36">
              <w:rPr>
                <w:iCs/>
                <w:color w:val="000000"/>
                <w:w w:val="15"/>
                <w:shd w:val="solid" w:color="000000" w:fill="000000"/>
                <w:fitText w:val="45" w:id="-89368370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0"/>
                <w14:textFill>
                  <w14:solidFill>
                    <w14:srgbClr w14:val="000000">
                      <w14:alpha w14:val="100000"/>
                    </w14:srgbClr>
                  </w14:solidFill>
                </w14:textFill>
              </w:rPr>
              <w:t xml:space="preserve">　</w:t>
            </w:r>
            <w:r w:rsidR="00C522F2" w:rsidRPr="003F0AD1">
              <w:rPr>
                <w:vertAlign w:val="superscript"/>
              </w:rPr>
              <w:t>3</w:t>
            </w:r>
          </w:p>
        </w:tc>
        <w:tc>
          <w:tcPr>
            <w:tcW w:w="1087" w:type="dxa"/>
            <w:vAlign w:val="center"/>
          </w:tcPr>
          <w:p w14:paraId="225C7852" w14:textId="49142118"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15"/>
                <w:shd w:val="solid" w:color="000000" w:fill="000000"/>
                <w:fitText w:val="45" w:id="-893683699"/>
                <w14:textFill>
                  <w14:solidFill>
                    <w14:srgbClr w14:val="000000">
                      <w14:alpha w14:val="100000"/>
                    </w14:srgbClr>
                  </w14:solidFill>
                </w14:textFill>
              </w:rPr>
              <w:t xml:space="preserve">　</w:t>
            </w:r>
            <w:r w:rsidR="00501C36" w:rsidRPr="00501C36">
              <w:rPr>
                <w:iCs/>
                <w:color w:val="000000"/>
                <w:w w:val="15"/>
                <w:shd w:val="solid" w:color="000000" w:fill="000000"/>
                <w:fitText w:val="45" w:id="-893683699"/>
                <w14:textFill>
                  <w14:solidFill>
                    <w14:srgbClr w14:val="000000">
                      <w14:alpha w14:val="100000"/>
                    </w14:srgbClr>
                  </w14:solidFill>
                </w14:textFill>
              </w:rPr>
              <w:t>|</w:t>
            </w:r>
            <w:r w:rsidR="00501C36" w:rsidRPr="00501C36">
              <w:rPr>
                <w:rFonts w:hint="eastAsia"/>
                <w:iCs/>
                <w:color w:val="000000"/>
                <w:spacing w:val="-20"/>
                <w:w w:val="15"/>
                <w:shd w:val="solid" w:color="000000" w:fill="000000"/>
                <w:fitText w:val="45" w:id="-893683699"/>
                <w14:textFill>
                  <w14:solidFill>
                    <w14:srgbClr w14:val="000000">
                      <w14:alpha w14:val="100000"/>
                    </w14:srgbClr>
                  </w14:solidFill>
                </w14:textFill>
              </w:rPr>
              <w:t xml:space="preserve">　</w:t>
            </w:r>
            <w:r w:rsidR="00B4602F" w:rsidRPr="0009066F">
              <w:rPr>
                <w:iCs/>
                <w:vertAlign w:val="superscript"/>
              </w:rPr>
              <w:t>9</w:t>
            </w:r>
          </w:p>
          <w:p w14:paraId="5080A3BA" w14:textId="32D87AAC"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0"/>
                <w:shd w:val="solid" w:color="000000" w:fill="000000"/>
                <w:fitText w:val="90" w:id="-893683698"/>
                <w14:textFill>
                  <w14:solidFill>
                    <w14:srgbClr w14:val="000000">
                      <w14:alpha w14:val="100000"/>
                    </w14:srgbClr>
                  </w14:solidFill>
                </w14:textFill>
              </w:rPr>
              <w:t xml:space="preserve">　</w:t>
            </w:r>
            <w:r w:rsidR="00501C36" w:rsidRPr="00501C36">
              <w:rPr>
                <w:iCs/>
                <w:color w:val="000000"/>
                <w:w w:val="20"/>
                <w:shd w:val="solid" w:color="000000" w:fill="000000"/>
                <w:fitText w:val="90" w:id="-893683698"/>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698"/>
                <w14:textFill>
                  <w14:solidFill>
                    <w14:srgbClr w14:val="000000">
                      <w14:alpha w14:val="100000"/>
                    </w14:srgbClr>
                  </w14:solidFill>
                </w14:textFill>
              </w:rPr>
              <w:t xml:space="preserve">　</w:t>
            </w:r>
            <w:r w:rsidRPr="00E16CF9">
              <w:rPr>
                <w:iCs/>
              </w:rPr>
              <w:t>%)</w:t>
            </w:r>
          </w:p>
        </w:tc>
      </w:tr>
      <w:tr w:rsidR="00E16CF9" w14:paraId="10E1BD37" w14:textId="77777777" w:rsidTr="00854496">
        <w:tc>
          <w:tcPr>
            <w:tcW w:w="9020" w:type="dxa"/>
            <w:gridSpan w:val="8"/>
            <w:vAlign w:val="center"/>
          </w:tcPr>
          <w:p w14:paraId="4DCEC829" w14:textId="77777777" w:rsidR="00E16CF9" w:rsidRDefault="00E16CF9" w:rsidP="00854496">
            <w:pPr>
              <w:pStyle w:val="TableText0"/>
              <w:keepNext w:val="0"/>
            </w:pPr>
            <w:r>
              <w:lastRenderedPageBreak/>
              <w:t>Proportion of patients with RCC, CNS Hb or pNET (base case 85%)</w:t>
            </w:r>
          </w:p>
        </w:tc>
      </w:tr>
      <w:tr w:rsidR="00E16CF9" w14:paraId="4E416FCA" w14:textId="77777777" w:rsidTr="002621BF">
        <w:tc>
          <w:tcPr>
            <w:tcW w:w="1271" w:type="dxa"/>
            <w:vAlign w:val="center"/>
          </w:tcPr>
          <w:p w14:paraId="3F24A52C" w14:textId="1BF15BBF" w:rsidR="00E16CF9" w:rsidRDefault="00E16CF9" w:rsidP="00854496">
            <w:pPr>
              <w:pStyle w:val="TableText0"/>
              <w:keepNext w:val="0"/>
            </w:pPr>
            <w:r>
              <w:t>70%</w:t>
            </w:r>
            <w:r w:rsidR="00E3560E">
              <w:t xml:space="preserve"> ($)</w:t>
            </w:r>
          </w:p>
        </w:tc>
        <w:tc>
          <w:tcPr>
            <w:tcW w:w="1134" w:type="dxa"/>
            <w:vAlign w:val="center"/>
          </w:tcPr>
          <w:p w14:paraId="7BE159AE" w14:textId="46B8C53F" w:rsidR="00E16CF9" w:rsidRPr="0009066F" w:rsidRDefault="00501C36" w:rsidP="00854496">
            <w:pPr>
              <w:pStyle w:val="TableText0"/>
              <w:keepNext w:val="0"/>
              <w:jc w:val="center"/>
              <w:rPr>
                <w:highlight w:val="lightGray"/>
              </w:rPr>
            </w:pPr>
            <w:r w:rsidRPr="00501C36">
              <w:rPr>
                <w:rFonts w:hint="eastAsia"/>
                <w:color w:val="000000"/>
                <w:w w:val="15"/>
                <w:shd w:val="solid" w:color="000000" w:fill="000000"/>
                <w:fitText w:val="45" w:id="-893683697"/>
                <w14:textFill>
                  <w14:solidFill>
                    <w14:srgbClr w14:val="000000">
                      <w14:alpha w14:val="100000"/>
                    </w14:srgbClr>
                  </w14:solidFill>
                </w14:textFill>
              </w:rPr>
              <w:t xml:space="preserve">　</w:t>
            </w:r>
            <w:r w:rsidRPr="00501C36">
              <w:rPr>
                <w:color w:val="000000"/>
                <w:w w:val="15"/>
                <w:shd w:val="solid" w:color="000000" w:fill="000000"/>
                <w:fitText w:val="45" w:id="-893683697"/>
                <w14:textFill>
                  <w14:solidFill>
                    <w14:srgbClr w14:val="000000">
                      <w14:alpha w14:val="100000"/>
                    </w14:srgbClr>
                  </w14:solidFill>
                </w14:textFill>
              </w:rPr>
              <w:t>|</w:t>
            </w:r>
            <w:r w:rsidRPr="00501C36">
              <w:rPr>
                <w:rFonts w:hint="eastAsia"/>
                <w:color w:val="000000"/>
                <w:spacing w:val="-20"/>
                <w:w w:val="15"/>
                <w:shd w:val="solid" w:color="000000" w:fill="000000"/>
                <w:fitText w:val="45" w:id="-893683697"/>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0F3A5A1B" w14:textId="44014AE7" w:rsidR="00E16CF9" w:rsidRPr="0009066F" w:rsidRDefault="00501C36" w:rsidP="00854496">
            <w:pPr>
              <w:pStyle w:val="TableText0"/>
              <w:keepNext w:val="0"/>
              <w:jc w:val="center"/>
              <w:rPr>
                <w:highlight w:val="lightGray"/>
              </w:rPr>
            </w:pPr>
            <w:r w:rsidRPr="00501C36">
              <w:rPr>
                <w:rFonts w:hint="eastAsia"/>
                <w:color w:val="000000"/>
                <w:w w:val="15"/>
                <w:shd w:val="solid" w:color="000000" w:fill="000000"/>
                <w:fitText w:val="45" w:id="-893683696"/>
                <w14:textFill>
                  <w14:solidFill>
                    <w14:srgbClr w14:val="000000">
                      <w14:alpha w14:val="100000"/>
                    </w14:srgbClr>
                  </w14:solidFill>
                </w14:textFill>
              </w:rPr>
              <w:t xml:space="preserve">　</w:t>
            </w:r>
            <w:r w:rsidRPr="00501C36">
              <w:rPr>
                <w:color w:val="000000"/>
                <w:w w:val="15"/>
                <w:shd w:val="solid" w:color="000000" w:fill="000000"/>
                <w:fitText w:val="45" w:id="-893683696"/>
                <w14:textFill>
                  <w14:solidFill>
                    <w14:srgbClr w14:val="000000">
                      <w14:alpha w14:val="100000"/>
                    </w14:srgbClr>
                  </w14:solidFill>
                </w14:textFill>
              </w:rPr>
              <w:t>|</w:t>
            </w:r>
            <w:r w:rsidRPr="00501C36">
              <w:rPr>
                <w:rFonts w:hint="eastAsia"/>
                <w:color w:val="000000"/>
                <w:spacing w:val="-20"/>
                <w:w w:val="15"/>
                <w:shd w:val="solid" w:color="000000" w:fill="000000"/>
                <w:fitText w:val="45" w:id="-893683696"/>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4C9F74E1" w14:textId="46336812" w:rsidR="00E16CF9" w:rsidRPr="0009066F" w:rsidRDefault="00501C36" w:rsidP="00854496">
            <w:pPr>
              <w:pStyle w:val="TableText0"/>
              <w:keepNext w:val="0"/>
              <w:jc w:val="center"/>
              <w:rPr>
                <w:highlight w:val="lightGray"/>
              </w:rPr>
            </w:pPr>
            <w:r w:rsidRPr="00501C36">
              <w:rPr>
                <w:rFonts w:hint="eastAsia"/>
                <w:color w:val="000000"/>
                <w:w w:val="15"/>
                <w:shd w:val="solid" w:color="000000" w:fill="000000"/>
                <w:fitText w:val="45" w:id="-893683712"/>
                <w14:textFill>
                  <w14:solidFill>
                    <w14:srgbClr w14:val="000000">
                      <w14:alpha w14:val="100000"/>
                    </w14:srgbClr>
                  </w14:solidFill>
                </w14:textFill>
              </w:rPr>
              <w:t xml:space="preserve">　</w:t>
            </w:r>
            <w:r w:rsidRPr="00501C36">
              <w:rPr>
                <w:color w:val="000000"/>
                <w:w w:val="15"/>
                <w:shd w:val="solid" w:color="000000" w:fill="000000"/>
                <w:fitText w:val="45" w:id="-893683712"/>
                <w14:textFill>
                  <w14:solidFill>
                    <w14:srgbClr w14:val="000000">
                      <w14:alpha w14:val="100000"/>
                    </w14:srgbClr>
                  </w14:solidFill>
                </w14:textFill>
              </w:rPr>
              <w:t>|</w:t>
            </w:r>
            <w:r w:rsidRPr="00501C36">
              <w:rPr>
                <w:rFonts w:hint="eastAsia"/>
                <w:color w:val="000000"/>
                <w:spacing w:val="-20"/>
                <w:w w:val="15"/>
                <w:shd w:val="solid" w:color="000000" w:fill="000000"/>
                <w:fitText w:val="45" w:id="-893683712"/>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1C53C8FC" w14:textId="1FD145F3" w:rsidR="00E16CF9" w:rsidRPr="0009066F" w:rsidRDefault="00501C36" w:rsidP="00854496">
            <w:pPr>
              <w:pStyle w:val="TableText0"/>
              <w:keepNext w:val="0"/>
              <w:jc w:val="center"/>
              <w:rPr>
                <w:highlight w:val="lightGray"/>
              </w:rPr>
            </w:pPr>
            <w:r w:rsidRPr="00501C36">
              <w:rPr>
                <w:rFonts w:hint="eastAsia"/>
                <w:color w:val="000000"/>
                <w:w w:val="15"/>
                <w:shd w:val="solid" w:color="000000" w:fill="000000"/>
                <w:fitText w:val="45" w:id="-893683711"/>
                <w14:textFill>
                  <w14:solidFill>
                    <w14:srgbClr w14:val="000000">
                      <w14:alpha w14:val="100000"/>
                    </w14:srgbClr>
                  </w14:solidFill>
                </w14:textFill>
              </w:rPr>
              <w:t xml:space="preserve">　</w:t>
            </w:r>
            <w:r w:rsidRPr="00501C36">
              <w:rPr>
                <w:color w:val="000000"/>
                <w:w w:val="15"/>
                <w:shd w:val="solid" w:color="000000" w:fill="000000"/>
                <w:fitText w:val="45" w:id="-893683711"/>
                <w14:textFill>
                  <w14:solidFill>
                    <w14:srgbClr w14:val="000000">
                      <w14:alpha w14:val="100000"/>
                    </w14:srgbClr>
                  </w14:solidFill>
                </w14:textFill>
              </w:rPr>
              <w:t>|</w:t>
            </w:r>
            <w:r w:rsidRPr="00501C36">
              <w:rPr>
                <w:rFonts w:hint="eastAsia"/>
                <w:color w:val="000000"/>
                <w:spacing w:val="-20"/>
                <w:w w:val="15"/>
                <w:shd w:val="solid" w:color="000000" w:fill="000000"/>
                <w:fitText w:val="45" w:id="-893683711"/>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55523EF1" w14:textId="1F75DF2C" w:rsidR="00E16CF9" w:rsidRPr="0009066F" w:rsidRDefault="00501C36" w:rsidP="00854496">
            <w:pPr>
              <w:pStyle w:val="TableText0"/>
              <w:keepNext w:val="0"/>
              <w:jc w:val="center"/>
              <w:rPr>
                <w:highlight w:val="lightGray"/>
              </w:rPr>
            </w:pPr>
            <w:r w:rsidRPr="00501C36">
              <w:rPr>
                <w:rFonts w:hint="eastAsia"/>
                <w:color w:val="000000"/>
                <w:w w:val="15"/>
                <w:shd w:val="solid" w:color="000000" w:fill="000000"/>
                <w:fitText w:val="45" w:id="-893683710"/>
                <w14:textFill>
                  <w14:solidFill>
                    <w14:srgbClr w14:val="000000">
                      <w14:alpha w14:val="100000"/>
                    </w14:srgbClr>
                  </w14:solidFill>
                </w14:textFill>
              </w:rPr>
              <w:t xml:space="preserve">　</w:t>
            </w:r>
            <w:r w:rsidRPr="00501C36">
              <w:rPr>
                <w:color w:val="000000"/>
                <w:w w:val="15"/>
                <w:shd w:val="solid" w:color="000000" w:fill="000000"/>
                <w:fitText w:val="45" w:id="-893683710"/>
                <w14:textFill>
                  <w14:solidFill>
                    <w14:srgbClr w14:val="000000">
                      <w14:alpha w14:val="100000"/>
                    </w14:srgbClr>
                  </w14:solidFill>
                </w14:textFill>
              </w:rPr>
              <w:t>|</w:t>
            </w:r>
            <w:r w:rsidRPr="00501C36">
              <w:rPr>
                <w:rFonts w:hint="eastAsia"/>
                <w:color w:val="000000"/>
                <w:spacing w:val="-20"/>
                <w:w w:val="15"/>
                <w:shd w:val="solid" w:color="000000" w:fill="000000"/>
                <w:fitText w:val="45" w:id="-893683710"/>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4F4583C2" w14:textId="59F1116A" w:rsidR="00E16CF9" w:rsidRPr="0009066F" w:rsidRDefault="00501C36" w:rsidP="00854496">
            <w:pPr>
              <w:pStyle w:val="TableText0"/>
              <w:keepNext w:val="0"/>
              <w:jc w:val="center"/>
              <w:rPr>
                <w:highlight w:val="lightGray"/>
              </w:rPr>
            </w:pPr>
            <w:r w:rsidRPr="00501C36">
              <w:rPr>
                <w:rFonts w:hint="eastAsia"/>
                <w:color w:val="000000"/>
                <w:w w:val="15"/>
                <w:shd w:val="solid" w:color="000000" w:fill="000000"/>
                <w:fitText w:val="45" w:id="-893683709"/>
                <w14:textFill>
                  <w14:solidFill>
                    <w14:srgbClr w14:val="000000">
                      <w14:alpha w14:val="100000"/>
                    </w14:srgbClr>
                  </w14:solidFill>
                </w14:textFill>
              </w:rPr>
              <w:t xml:space="preserve">　</w:t>
            </w:r>
            <w:r w:rsidRPr="00501C36">
              <w:rPr>
                <w:color w:val="000000"/>
                <w:w w:val="15"/>
                <w:shd w:val="solid" w:color="000000" w:fill="000000"/>
                <w:fitText w:val="45" w:id="-893683709"/>
                <w14:textFill>
                  <w14:solidFill>
                    <w14:srgbClr w14:val="000000">
                      <w14:alpha w14:val="100000"/>
                    </w14:srgbClr>
                  </w14:solidFill>
                </w14:textFill>
              </w:rPr>
              <w:t>|</w:t>
            </w:r>
            <w:r w:rsidRPr="00501C36">
              <w:rPr>
                <w:rFonts w:hint="eastAsia"/>
                <w:color w:val="000000"/>
                <w:spacing w:val="-20"/>
                <w:w w:val="15"/>
                <w:shd w:val="solid" w:color="000000" w:fill="000000"/>
                <w:fitText w:val="45" w:id="-893683709"/>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38DC8C02" w14:textId="3F808BAA"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7FF3FD18" w14:textId="2C44E129" w:rsidR="00E16CF9" w:rsidRDefault="00E16CF9" w:rsidP="00854496">
            <w:pPr>
              <w:pStyle w:val="TableText0"/>
              <w:keepNext w:val="0"/>
              <w:jc w:val="center"/>
            </w:pPr>
            <w:r w:rsidRPr="00E16CF9">
              <w:rPr>
                <w:iCs/>
              </w:rPr>
              <w:t>(-</w:t>
            </w:r>
            <w:r w:rsidR="00501C36" w:rsidRPr="00501C36">
              <w:rPr>
                <w:rFonts w:hint="eastAsia"/>
                <w:iCs/>
                <w:color w:val="000000"/>
                <w:w w:val="27"/>
                <w:shd w:val="solid" w:color="000000" w:fill="000000"/>
                <w:fitText w:val="120" w:id="-893683708"/>
                <w14:textFill>
                  <w14:solidFill>
                    <w14:srgbClr w14:val="000000">
                      <w14:alpha w14:val="100000"/>
                    </w14:srgbClr>
                  </w14:solidFill>
                </w14:textFill>
              </w:rPr>
              <w:t xml:space="preserve">　</w:t>
            </w:r>
            <w:r w:rsidR="00501C36" w:rsidRPr="00501C36">
              <w:rPr>
                <w:iCs/>
                <w:color w:val="000000"/>
                <w:w w:val="27"/>
                <w:shd w:val="solid" w:color="000000" w:fill="000000"/>
                <w:fitText w:val="120" w:id="-893683708"/>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708"/>
                <w14:textFill>
                  <w14:solidFill>
                    <w14:srgbClr w14:val="000000">
                      <w14:alpha w14:val="100000"/>
                    </w14:srgbClr>
                  </w14:solidFill>
                </w14:textFill>
              </w:rPr>
              <w:t xml:space="preserve">　</w:t>
            </w:r>
            <w:r w:rsidRPr="00E16CF9">
              <w:rPr>
                <w:iCs/>
              </w:rPr>
              <w:t>%)</w:t>
            </w:r>
          </w:p>
        </w:tc>
      </w:tr>
      <w:tr w:rsidR="00E16CF9" w:rsidRPr="00E16CF9" w14:paraId="65A96462" w14:textId="77777777" w:rsidTr="002621BF">
        <w:tc>
          <w:tcPr>
            <w:tcW w:w="1271" w:type="dxa"/>
            <w:vAlign w:val="center"/>
          </w:tcPr>
          <w:p w14:paraId="3F6A6BC7" w14:textId="76222E3E" w:rsidR="00E16CF9" w:rsidRPr="00E3560E" w:rsidRDefault="00E16CF9" w:rsidP="00854496">
            <w:pPr>
              <w:pStyle w:val="TableText0"/>
              <w:keepNext w:val="0"/>
              <w:rPr>
                <w:iCs/>
              </w:rPr>
            </w:pPr>
            <w:r w:rsidRPr="00E16CF9">
              <w:rPr>
                <w:iCs/>
              </w:rPr>
              <w:t>63%</w:t>
            </w:r>
            <w:r w:rsidRPr="00E16CF9">
              <w:rPr>
                <w:iCs/>
                <w:vertAlign w:val="superscript"/>
              </w:rPr>
              <w:t>c</w:t>
            </w:r>
            <w:r w:rsidR="00E3560E">
              <w:rPr>
                <w:iCs/>
              </w:rPr>
              <w:t xml:space="preserve"> ($)</w:t>
            </w:r>
          </w:p>
        </w:tc>
        <w:tc>
          <w:tcPr>
            <w:tcW w:w="1134" w:type="dxa"/>
            <w:vAlign w:val="center"/>
          </w:tcPr>
          <w:p w14:paraId="70B59180" w14:textId="6BCC7AE7"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7"/>
                <w14:textFill>
                  <w14:solidFill>
                    <w14:srgbClr w14:val="000000">
                      <w14:alpha w14:val="100000"/>
                    </w14:srgbClr>
                  </w14:solidFill>
                </w14:textFill>
              </w:rPr>
              <w:t xml:space="preserve">　</w:t>
            </w:r>
            <w:r w:rsidRPr="00501C36">
              <w:rPr>
                <w:iCs/>
                <w:color w:val="000000"/>
                <w:w w:val="15"/>
                <w:shd w:val="solid" w:color="000000" w:fill="000000"/>
                <w:fitText w:val="45" w:id="-893683707"/>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7"/>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009BBE09" w14:textId="2458C11B"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6"/>
                <w14:textFill>
                  <w14:solidFill>
                    <w14:srgbClr w14:val="000000">
                      <w14:alpha w14:val="100000"/>
                    </w14:srgbClr>
                  </w14:solidFill>
                </w14:textFill>
              </w:rPr>
              <w:t xml:space="preserve">　</w:t>
            </w:r>
            <w:r w:rsidRPr="00501C36">
              <w:rPr>
                <w:iCs/>
                <w:color w:val="000000"/>
                <w:w w:val="15"/>
                <w:shd w:val="solid" w:color="000000" w:fill="000000"/>
                <w:fitText w:val="45" w:id="-893683706"/>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6"/>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71D60D59" w14:textId="6992F3C1"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5"/>
                <w14:textFill>
                  <w14:solidFill>
                    <w14:srgbClr w14:val="000000">
                      <w14:alpha w14:val="100000"/>
                    </w14:srgbClr>
                  </w14:solidFill>
                </w14:textFill>
              </w:rPr>
              <w:t xml:space="preserve">　</w:t>
            </w:r>
            <w:r w:rsidRPr="00501C36">
              <w:rPr>
                <w:iCs/>
                <w:color w:val="000000"/>
                <w:w w:val="15"/>
                <w:shd w:val="solid" w:color="000000" w:fill="000000"/>
                <w:fitText w:val="45" w:id="-893683705"/>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5"/>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3BCB045F" w14:textId="0115C2A9"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704"/>
                <w14:textFill>
                  <w14:solidFill>
                    <w14:srgbClr w14:val="000000">
                      <w14:alpha w14:val="100000"/>
                    </w14:srgbClr>
                  </w14:solidFill>
                </w14:textFill>
              </w:rPr>
              <w:t xml:space="preserve">　</w:t>
            </w:r>
            <w:r w:rsidRPr="00501C36">
              <w:rPr>
                <w:iCs/>
                <w:color w:val="000000"/>
                <w:w w:val="15"/>
                <w:shd w:val="solid" w:color="000000" w:fill="000000"/>
                <w:fitText w:val="45" w:id="-893683704"/>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704"/>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76738B3F" w14:textId="3C34A42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6"/>
                <w14:textFill>
                  <w14:solidFill>
                    <w14:srgbClr w14:val="000000">
                      <w14:alpha w14:val="100000"/>
                    </w14:srgbClr>
                  </w14:solidFill>
                </w14:textFill>
              </w:rPr>
              <w:t xml:space="preserve">　</w:t>
            </w:r>
            <w:r w:rsidRPr="00501C36">
              <w:rPr>
                <w:iCs/>
                <w:color w:val="000000"/>
                <w:w w:val="15"/>
                <w:shd w:val="solid" w:color="000000" w:fill="000000"/>
                <w:fitText w:val="45" w:id="-893683456"/>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6"/>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49B1EED1" w14:textId="7E4ED47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5"/>
                <w14:textFill>
                  <w14:solidFill>
                    <w14:srgbClr w14:val="000000">
                      <w14:alpha w14:val="100000"/>
                    </w14:srgbClr>
                  </w14:solidFill>
                </w14:textFill>
              </w:rPr>
              <w:t xml:space="preserve">　</w:t>
            </w:r>
            <w:r w:rsidRPr="00501C36">
              <w:rPr>
                <w:iCs/>
                <w:color w:val="000000"/>
                <w:w w:val="15"/>
                <w:shd w:val="solid" w:color="000000" w:fill="000000"/>
                <w:fitText w:val="45" w:id="-893683455"/>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5"/>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4A239660" w14:textId="2AB5B1A6"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524CC188" w14:textId="12F3F049"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7"/>
                <w:shd w:val="solid" w:color="000000" w:fill="000000"/>
                <w:fitText w:val="120" w:id="-893683454"/>
                <w14:textFill>
                  <w14:solidFill>
                    <w14:srgbClr w14:val="000000">
                      <w14:alpha w14:val="100000"/>
                    </w14:srgbClr>
                  </w14:solidFill>
                </w14:textFill>
              </w:rPr>
              <w:t xml:space="preserve">　</w:t>
            </w:r>
            <w:r w:rsidR="00501C36" w:rsidRPr="00501C36">
              <w:rPr>
                <w:iCs/>
                <w:color w:val="000000"/>
                <w:w w:val="27"/>
                <w:shd w:val="solid" w:color="000000" w:fill="000000"/>
                <w:fitText w:val="120" w:id="-893683454"/>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454"/>
                <w14:textFill>
                  <w14:solidFill>
                    <w14:srgbClr w14:val="000000">
                      <w14:alpha w14:val="100000"/>
                    </w14:srgbClr>
                  </w14:solidFill>
                </w14:textFill>
              </w:rPr>
              <w:t xml:space="preserve">　</w:t>
            </w:r>
            <w:r w:rsidRPr="00E16CF9">
              <w:rPr>
                <w:iCs/>
              </w:rPr>
              <w:t>%)</w:t>
            </w:r>
          </w:p>
        </w:tc>
      </w:tr>
      <w:tr w:rsidR="00E16CF9" w:rsidRPr="00E16CF9" w14:paraId="7F46CAFE" w14:textId="77777777" w:rsidTr="002621BF">
        <w:tc>
          <w:tcPr>
            <w:tcW w:w="1271" w:type="dxa"/>
            <w:vAlign w:val="center"/>
          </w:tcPr>
          <w:p w14:paraId="2E7CE59C" w14:textId="6D5AA5D5" w:rsidR="00E16CF9" w:rsidRPr="00E3560E" w:rsidRDefault="00E16CF9" w:rsidP="00854496">
            <w:pPr>
              <w:pStyle w:val="TableText0"/>
              <w:keepNext w:val="0"/>
              <w:rPr>
                <w:iCs/>
              </w:rPr>
            </w:pPr>
            <w:r w:rsidRPr="00E16CF9">
              <w:rPr>
                <w:iCs/>
              </w:rPr>
              <w:t>89%</w:t>
            </w:r>
            <w:r w:rsidRPr="00E16CF9">
              <w:rPr>
                <w:iCs/>
                <w:vertAlign w:val="superscript"/>
              </w:rPr>
              <w:t>c</w:t>
            </w:r>
            <w:r w:rsidR="00E3560E">
              <w:rPr>
                <w:iCs/>
              </w:rPr>
              <w:t xml:space="preserve"> ($)</w:t>
            </w:r>
          </w:p>
        </w:tc>
        <w:tc>
          <w:tcPr>
            <w:tcW w:w="1134" w:type="dxa"/>
            <w:vAlign w:val="center"/>
          </w:tcPr>
          <w:p w14:paraId="08815BA1" w14:textId="201A96F1"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3"/>
                <w14:textFill>
                  <w14:solidFill>
                    <w14:srgbClr w14:val="000000">
                      <w14:alpha w14:val="100000"/>
                    </w14:srgbClr>
                  </w14:solidFill>
                </w14:textFill>
              </w:rPr>
              <w:t xml:space="preserve">　</w:t>
            </w:r>
            <w:r w:rsidRPr="00501C36">
              <w:rPr>
                <w:iCs/>
                <w:color w:val="000000"/>
                <w:w w:val="15"/>
                <w:shd w:val="solid" w:color="000000" w:fill="000000"/>
                <w:fitText w:val="45" w:id="-89368345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3"/>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65A4EDAD" w14:textId="596B844B"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2"/>
                <w14:textFill>
                  <w14:solidFill>
                    <w14:srgbClr w14:val="000000">
                      <w14:alpha w14:val="100000"/>
                    </w14:srgbClr>
                  </w14:solidFill>
                </w14:textFill>
              </w:rPr>
              <w:t xml:space="preserve">　</w:t>
            </w:r>
            <w:r w:rsidRPr="00501C36">
              <w:rPr>
                <w:iCs/>
                <w:color w:val="000000"/>
                <w:w w:val="15"/>
                <w:shd w:val="solid" w:color="000000" w:fill="000000"/>
                <w:fitText w:val="45" w:id="-89368345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2"/>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033EFCEA" w14:textId="31F8E3EA"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1"/>
                <w14:textFill>
                  <w14:solidFill>
                    <w14:srgbClr w14:val="000000">
                      <w14:alpha w14:val="100000"/>
                    </w14:srgbClr>
                  </w14:solidFill>
                </w14:textFill>
              </w:rPr>
              <w:t xml:space="preserve">　</w:t>
            </w:r>
            <w:r w:rsidRPr="00501C36">
              <w:rPr>
                <w:iCs/>
                <w:color w:val="000000"/>
                <w:w w:val="15"/>
                <w:shd w:val="solid" w:color="000000" w:fill="000000"/>
                <w:fitText w:val="45" w:id="-89368345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1"/>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2279422D" w14:textId="62C51EE0"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0"/>
                <w14:textFill>
                  <w14:solidFill>
                    <w14:srgbClr w14:val="000000">
                      <w14:alpha w14:val="100000"/>
                    </w14:srgbClr>
                  </w14:solidFill>
                </w14:textFill>
              </w:rPr>
              <w:t xml:space="preserve">　</w:t>
            </w:r>
            <w:r w:rsidRPr="00501C36">
              <w:rPr>
                <w:iCs/>
                <w:color w:val="000000"/>
                <w:w w:val="15"/>
                <w:shd w:val="solid" w:color="000000" w:fill="000000"/>
                <w:fitText w:val="45" w:id="-89368345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0"/>
                <w14:textFill>
                  <w14:solidFill>
                    <w14:srgbClr w14:val="000000">
                      <w14:alpha w14:val="100000"/>
                    </w14:srgbClr>
                  </w14:solidFill>
                </w14:textFill>
              </w:rPr>
              <w:t xml:space="preserve">　</w:t>
            </w:r>
            <w:r w:rsidR="00B4602F" w:rsidRPr="003F0AD1">
              <w:rPr>
                <w:vertAlign w:val="superscript"/>
              </w:rPr>
              <w:t>6</w:t>
            </w:r>
          </w:p>
        </w:tc>
        <w:tc>
          <w:tcPr>
            <w:tcW w:w="1134" w:type="dxa"/>
            <w:vAlign w:val="center"/>
          </w:tcPr>
          <w:p w14:paraId="20EC6F6D" w14:textId="08FE30BE"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9"/>
                <w14:textFill>
                  <w14:solidFill>
                    <w14:srgbClr w14:val="000000">
                      <w14:alpha w14:val="100000"/>
                    </w14:srgbClr>
                  </w14:solidFill>
                </w14:textFill>
              </w:rPr>
              <w:t xml:space="preserve">　</w:t>
            </w:r>
            <w:r w:rsidRPr="00501C36">
              <w:rPr>
                <w:iCs/>
                <w:color w:val="000000"/>
                <w:w w:val="15"/>
                <w:shd w:val="solid" w:color="000000" w:fill="000000"/>
                <w:fitText w:val="45" w:id="-893683449"/>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9"/>
                <w14:textFill>
                  <w14:solidFill>
                    <w14:srgbClr w14:val="000000">
                      <w14:alpha w14:val="100000"/>
                    </w14:srgbClr>
                  </w14:solidFill>
                </w14:textFill>
              </w:rPr>
              <w:t xml:space="preserve">　</w:t>
            </w:r>
            <w:r w:rsidR="00FE090C" w:rsidRPr="003F0AD1">
              <w:rPr>
                <w:vertAlign w:val="superscript"/>
              </w:rPr>
              <w:t>1</w:t>
            </w:r>
          </w:p>
        </w:tc>
        <w:tc>
          <w:tcPr>
            <w:tcW w:w="992" w:type="dxa"/>
            <w:vAlign w:val="center"/>
          </w:tcPr>
          <w:p w14:paraId="297B601F" w14:textId="1A3F23A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8"/>
                <w14:textFill>
                  <w14:solidFill>
                    <w14:srgbClr w14:val="000000">
                      <w14:alpha w14:val="100000"/>
                    </w14:srgbClr>
                  </w14:solidFill>
                </w14:textFill>
              </w:rPr>
              <w:t xml:space="preserve">　</w:t>
            </w:r>
            <w:r w:rsidRPr="00501C36">
              <w:rPr>
                <w:iCs/>
                <w:color w:val="000000"/>
                <w:w w:val="15"/>
                <w:shd w:val="solid" w:color="000000" w:fill="000000"/>
                <w:fitText w:val="45" w:id="-893683448"/>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8"/>
                <w14:textFill>
                  <w14:solidFill>
                    <w14:srgbClr w14:val="000000">
                      <w14:alpha w14:val="100000"/>
                    </w14:srgbClr>
                  </w14:solidFill>
                </w14:textFill>
              </w:rPr>
              <w:t xml:space="preserve">　</w:t>
            </w:r>
            <w:r w:rsidR="00C522F2" w:rsidRPr="003F0AD1">
              <w:rPr>
                <w:vertAlign w:val="superscript"/>
              </w:rPr>
              <w:t>3</w:t>
            </w:r>
          </w:p>
        </w:tc>
        <w:tc>
          <w:tcPr>
            <w:tcW w:w="1087" w:type="dxa"/>
            <w:vAlign w:val="center"/>
          </w:tcPr>
          <w:p w14:paraId="7D234F96" w14:textId="0DF76F11"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4EB134E3" w14:textId="1BE65A15" w:rsidR="00E16CF9" w:rsidRPr="00E16CF9" w:rsidRDefault="00E16CF9" w:rsidP="00854496">
            <w:pPr>
              <w:pStyle w:val="TableText0"/>
              <w:keepNext w:val="0"/>
              <w:jc w:val="center"/>
              <w:rPr>
                <w:iCs/>
              </w:rPr>
            </w:pPr>
            <w:r w:rsidRPr="001C640B">
              <w:rPr>
                <w:iCs/>
              </w:rPr>
              <w:t>(1</w:t>
            </w:r>
            <w:r w:rsidR="00501C36" w:rsidRPr="00501C36">
              <w:rPr>
                <w:rFonts w:hint="eastAsia"/>
                <w:iCs/>
                <w:color w:val="000000"/>
                <w:w w:val="30"/>
                <w:shd w:val="solid" w:color="000000" w:fill="000000"/>
                <w:fitText w:val="135" w:id="-893683447"/>
                <w14:textFill>
                  <w14:solidFill>
                    <w14:srgbClr w14:val="000000">
                      <w14:alpha w14:val="100000"/>
                    </w14:srgbClr>
                  </w14:solidFill>
                </w14:textFill>
              </w:rPr>
              <w:t xml:space="preserve">　</w:t>
            </w:r>
            <w:r w:rsidR="00501C36" w:rsidRPr="00501C36">
              <w:rPr>
                <w:iCs/>
                <w:color w:val="000000"/>
                <w:w w:val="30"/>
                <w:shd w:val="solid" w:color="000000" w:fill="000000"/>
                <w:fitText w:val="135" w:id="-893683447"/>
                <w14:textFill>
                  <w14:solidFill>
                    <w14:srgbClr w14:val="000000">
                      <w14:alpha w14:val="100000"/>
                    </w14:srgbClr>
                  </w14:solidFill>
                </w14:textFill>
              </w:rPr>
              <w:t>|</w:t>
            </w:r>
            <w:r w:rsidR="00501C36" w:rsidRPr="00501C36">
              <w:rPr>
                <w:rFonts w:hint="eastAsia"/>
                <w:iCs/>
                <w:color w:val="000000"/>
                <w:spacing w:val="3"/>
                <w:w w:val="30"/>
                <w:shd w:val="solid" w:color="000000" w:fill="000000"/>
                <w:fitText w:val="135" w:id="-893683447"/>
                <w14:textFill>
                  <w14:solidFill>
                    <w14:srgbClr w14:val="000000">
                      <w14:alpha w14:val="100000"/>
                    </w14:srgbClr>
                  </w14:solidFill>
                </w14:textFill>
              </w:rPr>
              <w:t xml:space="preserve">　</w:t>
            </w:r>
            <w:r w:rsidRPr="001C640B">
              <w:rPr>
                <w:iCs/>
              </w:rPr>
              <w:t>%)</w:t>
            </w:r>
          </w:p>
        </w:tc>
      </w:tr>
      <w:tr w:rsidR="00E16CF9" w14:paraId="77F0AD94" w14:textId="77777777" w:rsidTr="00854496">
        <w:tc>
          <w:tcPr>
            <w:tcW w:w="9020" w:type="dxa"/>
            <w:gridSpan w:val="8"/>
            <w:vAlign w:val="center"/>
          </w:tcPr>
          <w:p w14:paraId="59E66D01" w14:textId="77777777" w:rsidR="00E16CF9" w:rsidRPr="003D3FC4" w:rsidRDefault="00E16CF9" w:rsidP="00854496">
            <w:pPr>
              <w:pStyle w:val="TableText0"/>
              <w:keepNext w:val="0"/>
            </w:pPr>
            <w:r>
              <w:t>Proportion of patients with ECOG PS 01 (base case 90%)</w:t>
            </w:r>
          </w:p>
        </w:tc>
      </w:tr>
      <w:tr w:rsidR="00E16CF9" w:rsidRPr="00E16CF9" w14:paraId="69E6DA6E" w14:textId="77777777" w:rsidTr="002621BF">
        <w:tc>
          <w:tcPr>
            <w:tcW w:w="1271" w:type="dxa"/>
            <w:vAlign w:val="center"/>
          </w:tcPr>
          <w:p w14:paraId="67400E62" w14:textId="546A3A7E" w:rsidR="00E16CF9" w:rsidRPr="00E3560E" w:rsidRDefault="00E16CF9" w:rsidP="00854496">
            <w:pPr>
              <w:pStyle w:val="TableText0"/>
              <w:keepNext w:val="0"/>
              <w:rPr>
                <w:iCs/>
              </w:rPr>
            </w:pPr>
            <w:r w:rsidRPr="00E16CF9">
              <w:rPr>
                <w:iCs/>
              </w:rPr>
              <w:t>82.9%</w:t>
            </w:r>
            <w:r w:rsidRPr="00E16CF9">
              <w:rPr>
                <w:iCs/>
                <w:vertAlign w:val="superscript"/>
              </w:rPr>
              <w:t>d</w:t>
            </w:r>
            <w:r w:rsidR="00E3560E">
              <w:rPr>
                <w:iCs/>
              </w:rPr>
              <w:t xml:space="preserve"> ($)</w:t>
            </w:r>
          </w:p>
        </w:tc>
        <w:tc>
          <w:tcPr>
            <w:tcW w:w="1134" w:type="dxa"/>
            <w:vAlign w:val="center"/>
          </w:tcPr>
          <w:p w14:paraId="1F74BD1D" w14:textId="6DFB2377" w:rsidR="00E16CF9" w:rsidRPr="0009066F" w:rsidRDefault="007C53CF" w:rsidP="00854496">
            <w:pPr>
              <w:pStyle w:val="TableText0"/>
              <w:keepNext w:val="0"/>
              <w:jc w:val="center"/>
              <w:rPr>
                <w:iCs/>
                <w:highlight w:val="lightGray"/>
              </w:rPr>
            </w:pPr>
            <w:r w:rsidRPr="007C53CF">
              <w:rPr>
                <w:rFonts w:hint="eastAsia"/>
                <w:color w:val="000000"/>
                <w:w w:val="15"/>
                <w:shd w:val="solid" w:color="000000" w:fill="000000"/>
                <w:fitText w:val="45" w:id="-893683707"/>
                <w14:textFill>
                  <w14:solidFill>
                    <w14:srgbClr w14:val="000000">
                      <w14:alpha w14:val="100000"/>
                    </w14:srgbClr>
                  </w14:solidFill>
                </w14:textFill>
              </w:rPr>
              <w:t xml:space="preserve">　</w:t>
            </w:r>
            <w:r w:rsidRPr="007C53CF">
              <w:rPr>
                <w:color w:val="000000"/>
                <w:w w:val="15"/>
                <w:shd w:val="solid" w:color="000000" w:fill="000000"/>
                <w:fitText w:val="45" w:id="-893683707"/>
                <w14:textFill>
                  <w14:solidFill>
                    <w14:srgbClr w14:val="000000">
                      <w14:alpha w14:val="100000"/>
                    </w14:srgbClr>
                  </w14:solidFill>
                </w14:textFill>
              </w:rPr>
              <w:t>|</w:t>
            </w:r>
            <w:r w:rsidRPr="007C53CF">
              <w:rPr>
                <w:rFonts w:hint="eastAsia"/>
                <w:color w:val="000000"/>
                <w:spacing w:val="-20"/>
                <w:w w:val="15"/>
                <w:shd w:val="solid" w:color="000000" w:fill="000000"/>
                <w:fitText w:val="45" w:id="-893683707"/>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5C87D082" w14:textId="28D63BEF"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4"/>
                <w14:textFill>
                  <w14:solidFill>
                    <w14:srgbClr w14:val="000000">
                      <w14:alpha w14:val="100000"/>
                    </w14:srgbClr>
                  </w14:solidFill>
                </w14:textFill>
              </w:rPr>
              <w:t xml:space="preserve">　</w:t>
            </w:r>
            <w:r w:rsidRPr="00501C36">
              <w:rPr>
                <w:iCs/>
                <w:color w:val="000000"/>
                <w:w w:val="15"/>
                <w:shd w:val="solid" w:color="000000" w:fill="000000"/>
                <w:fitText w:val="45" w:id="-893683444"/>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4"/>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6156F64C" w14:textId="73C2BF34"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3"/>
                <w14:textFill>
                  <w14:solidFill>
                    <w14:srgbClr w14:val="000000">
                      <w14:alpha w14:val="100000"/>
                    </w14:srgbClr>
                  </w14:solidFill>
                </w14:textFill>
              </w:rPr>
              <w:t xml:space="preserve">　</w:t>
            </w:r>
            <w:r w:rsidRPr="00501C36">
              <w:rPr>
                <w:iCs/>
                <w:color w:val="000000"/>
                <w:w w:val="15"/>
                <w:shd w:val="solid" w:color="000000" w:fill="000000"/>
                <w:fitText w:val="45" w:id="-89368344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3"/>
                <w14:textFill>
                  <w14:solidFill>
                    <w14:srgbClr w14:val="000000">
                      <w14:alpha w14:val="100000"/>
                    </w14:srgbClr>
                  </w14:solidFill>
                </w14:textFill>
              </w:rPr>
              <w:t xml:space="preserve">　</w:t>
            </w:r>
            <w:r w:rsidR="00FE090C" w:rsidRPr="003F0AD1">
              <w:rPr>
                <w:vertAlign w:val="superscript"/>
              </w:rPr>
              <w:t>2</w:t>
            </w:r>
          </w:p>
        </w:tc>
        <w:tc>
          <w:tcPr>
            <w:tcW w:w="1134" w:type="dxa"/>
            <w:vAlign w:val="center"/>
          </w:tcPr>
          <w:p w14:paraId="6033B11A" w14:textId="457D88F2"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2"/>
                <w14:textFill>
                  <w14:solidFill>
                    <w14:srgbClr w14:val="000000">
                      <w14:alpha w14:val="100000"/>
                    </w14:srgbClr>
                  </w14:solidFill>
                </w14:textFill>
              </w:rPr>
              <w:t xml:space="preserve">　</w:t>
            </w:r>
            <w:r w:rsidRPr="00501C36">
              <w:rPr>
                <w:iCs/>
                <w:color w:val="000000"/>
                <w:w w:val="15"/>
                <w:shd w:val="solid" w:color="000000" w:fill="000000"/>
                <w:fitText w:val="45" w:id="-89368344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2"/>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3A1E1713" w14:textId="14020DA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1"/>
                <w14:textFill>
                  <w14:solidFill>
                    <w14:srgbClr w14:val="000000">
                      <w14:alpha w14:val="100000"/>
                    </w14:srgbClr>
                  </w14:solidFill>
                </w14:textFill>
              </w:rPr>
              <w:t xml:space="preserve">　</w:t>
            </w:r>
            <w:r w:rsidRPr="00501C36">
              <w:rPr>
                <w:iCs/>
                <w:color w:val="000000"/>
                <w:w w:val="15"/>
                <w:shd w:val="solid" w:color="000000" w:fill="000000"/>
                <w:fitText w:val="45" w:id="-89368344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1"/>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2F680B92" w14:textId="4A324771"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0"/>
                <w14:textFill>
                  <w14:solidFill>
                    <w14:srgbClr w14:val="000000">
                      <w14:alpha w14:val="100000"/>
                    </w14:srgbClr>
                  </w14:solidFill>
                </w14:textFill>
              </w:rPr>
              <w:t xml:space="preserve">　</w:t>
            </w:r>
            <w:r w:rsidRPr="00501C36">
              <w:rPr>
                <w:iCs/>
                <w:color w:val="000000"/>
                <w:w w:val="15"/>
                <w:shd w:val="solid" w:color="000000" w:fill="000000"/>
                <w:fitText w:val="45" w:id="-89368344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0"/>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4590A772" w14:textId="7068B7B6"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59749E39" w14:textId="743EDA3C"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7"/>
                <w:shd w:val="solid" w:color="000000" w:fill="000000"/>
                <w:fitText w:val="120" w:id="-893683456"/>
                <w14:textFill>
                  <w14:solidFill>
                    <w14:srgbClr w14:val="000000">
                      <w14:alpha w14:val="100000"/>
                    </w14:srgbClr>
                  </w14:solidFill>
                </w14:textFill>
              </w:rPr>
              <w:t xml:space="preserve">　</w:t>
            </w:r>
            <w:r w:rsidR="00501C36" w:rsidRPr="00501C36">
              <w:rPr>
                <w:iCs/>
                <w:color w:val="000000"/>
                <w:w w:val="27"/>
                <w:shd w:val="solid" w:color="000000" w:fill="000000"/>
                <w:fitText w:val="120" w:id="-893683456"/>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456"/>
                <w14:textFill>
                  <w14:solidFill>
                    <w14:srgbClr w14:val="000000">
                      <w14:alpha w14:val="100000"/>
                    </w14:srgbClr>
                  </w14:solidFill>
                </w14:textFill>
              </w:rPr>
              <w:t xml:space="preserve">　</w:t>
            </w:r>
            <w:r w:rsidRPr="00E16CF9">
              <w:rPr>
                <w:iCs/>
              </w:rPr>
              <w:t>%)</w:t>
            </w:r>
          </w:p>
        </w:tc>
      </w:tr>
      <w:tr w:rsidR="00E16CF9" w:rsidRPr="00E16CF9" w14:paraId="749B3A77" w14:textId="77777777" w:rsidTr="002621BF">
        <w:tc>
          <w:tcPr>
            <w:tcW w:w="1271" w:type="dxa"/>
            <w:vAlign w:val="center"/>
          </w:tcPr>
          <w:p w14:paraId="5856931D" w14:textId="297699CA" w:rsidR="00E16CF9" w:rsidRPr="00E3560E" w:rsidRDefault="00E16CF9" w:rsidP="00854496">
            <w:pPr>
              <w:pStyle w:val="TableText0"/>
              <w:keepNext w:val="0"/>
              <w:rPr>
                <w:iCs/>
              </w:rPr>
            </w:pPr>
            <w:r w:rsidRPr="00E16CF9">
              <w:rPr>
                <w:iCs/>
              </w:rPr>
              <w:t>100%</w:t>
            </w:r>
            <w:r w:rsidRPr="00E16CF9">
              <w:rPr>
                <w:iCs/>
                <w:vertAlign w:val="superscript"/>
              </w:rPr>
              <w:t>d</w:t>
            </w:r>
            <w:r w:rsidR="00E3560E">
              <w:rPr>
                <w:iCs/>
              </w:rPr>
              <w:t xml:space="preserve"> ($)</w:t>
            </w:r>
          </w:p>
        </w:tc>
        <w:tc>
          <w:tcPr>
            <w:tcW w:w="1134" w:type="dxa"/>
            <w:vAlign w:val="center"/>
          </w:tcPr>
          <w:p w14:paraId="0C56A19F" w14:textId="0AE4DD40"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5"/>
                <w14:textFill>
                  <w14:solidFill>
                    <w14:srgbClr w14:val="000000">
                      <w14:alpha w14:val="100000"/>
                    </w14:srgbClr>
                  </w14:solidFill>
                </w14:textFill>
              </w:rPr>
              <w:t xml:space="preserve">　</w:t>
            </w:r>
            <w:r w:rsidRPr="00501C36">
              <w:rPr>
                <w:iCs/>
                <w:color w:val="000000"/>
                <w:w w:val="15"/>
                <w:shd w:val="solid" w:color="000000" w:fill="000000"/>
                <w:fitText w:val="45" w:id="-893683455"/>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5"/>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7282FB51" w14:textId="37675C53"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4"/>
                <w14:textFill>
                  <w14:solidFill>
                    <w14:srgbClr w14:val="000000">
                      <w14:alpha w14:val="100000"/>
                    </w14:srgbClr>
                  </w14:solidFill>
                </w14:textFill>
              </w:rPr>
              <w:t xml:space="preserve">　</w:t>
            </w:r>
            <w:r w:rsidRPr="00501C36">
              <w:rPr>
                <w:iCs/>
                <w:color w:val="000000"/>
                <w:w w:val="15"/>
                <w:shd w:val="solid" w:color="000000" w:fill="000000"/>
                <w:fitText w:val="45" w:id="-893683454"/>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4"/>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25F05939" w14:textId="500BDD28"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3"/>
                <w14:textFill>
                  <w14:solidFill>
                    <w14:srgbClr w14:val="000000">
                      <w14:alpha w14:val="100000"/>
                    </w14:srgbClr>
                  </w14:solidFill>
                </w14:textFill>
              </w:rPr>
              <w:t xml:space="preserve">　</w:t>
            </w:r>
            <w:r w:rsidRPr="00501C36">
              <w:rPr>
                <w:iCs/>
                <w:color w:val="000000"/>
                <w:w w:val="15"/>
                <w:shd w:val="solid" w:color="000000" w:fill="000000"/>
                <w:fitText w:val="45" w:id="-89368345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3"/>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109BB0DC" w14:textId="36512DA9"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2"/>
                <w14:textFill>
                  <w14:solidFill>
                    <w14:srgbClr w14:val="000000">
                      <w14:alpha w14:val="100000"/>
                    </w14:srgbClr>
                  </w14:solidFill>
                </w14:textFill>
              </w:rPr>
              <w:t xml:space="preserve">　</w:t>
            </w:r>
            <w:r w:rsidRPr="00501C36">
              <w:rPr>
                <w:iCs/>
                <w:color w:val="000000"/>
                <w:w w:val="15"/>
                <w:shd w:val="solid" w:color="000000" w:fill="000000"/>
                <w:fitText w:val="45" w:id="-89368345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2"/>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3FDC9089" w14:textId="66727810"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1"/>
                <w14:textFill>
                  <w14:solidFill>
                    <w14:srgbClr w14:val="000000">
                      <w14:alpha w14:val="100000"/>
                    </w14:srgbClr>
                  </w14:solidFill>
                </w14:textFill>
              </w:rPr>
              <w:t xml:space="preserve">　</w:t>
            </w:r>
            <w:r w:rsidRPr="00501C36">
              <w:rPr>
                <w:iCs/>
                <w:color w:val="000000"/>
                <w:w w:val="15"/>
                <w:shd w:val="solid" w:color="000000" w:fill="000000"/>
                <w:fitText w:val="45" w:id="-89368345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1"/>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0BA19C7B" w14:textId="0A2A7545"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0"/>
                <w14:textFill>
                  <w14:solidFill>
                    <w14:srgbClr w14:val="000000">
                      <w14:alpha w14:val="100000"/>
                    </w14:srgbClr>
                  </w14:solidFill>
                </w14:textFill>
              </w:rPr>
              <w:t xml:space="preserve">　</w:t>
            </w:r>
            <w:r w:rsidRPr="00501C36">
              <w:rPr>
                <w:iCs/>
                <w:color w:val="000000"/>
                <w:w w:val="15"/>
                <w:shd w:val="solid" w:color="000000" w:fill="000000"/>
                <w:fitText w:val="45" w:id="-89368345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0"/>
                <w14:textFill>
                  <w14:solidFill>
                    <w14:srgbClr w14:val="000000">
                      <w14:alpha w14:val="100000"/>
                    </w14:srgbClr>
                  </w14:solidFill>
                </w14:textFill>
              </w:rPr>
              <w:t xml:space="preserve">　</w:t>
            </w:r>
            <w:r w:rsidR="00C522F2" w:rsidRPr="003F0AD1">
              <w:rPr>
                <w:vertAlign w:val="superscript"/>
              </w:rPr>
              <w:t>3</w:t>
            </w:r>
          </w:p>
        </w:tc>
        <w:tc>
          <w:tcPr>
            <w:tcW w:w="1087" w:type="dxa"/>
            <w:vAlign w:val="center"/>
          </w:tcPr>
          <w:p w14:paraId="51FCE3D0" w14:textId="2716988B"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6DBC8730" w14:textId="41DB5A9D"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0"/>
                <w:shd w:val="solid" w:color="000000" w:fill="000000"/>
                <w:fitText w:val="90" w:id="-893683449"/>
                <w14:textFill>
                  <w14:solidFill>
                    <w14:srgbClr w14:val="000000">
                      <w14:alpha w14:val="100000"/>
                    </w14:srgbClr>
                  </w14:solidFill>
                </w14:textFill>
              </w:rPr>
              <w:t xml:space="preserve">　</w:t>
            </w:r>
            <w:r w:rsidR="00501C36" w:rsidRPr="00501C36">
              <w:rPr>
                <w:iCs/>
                <w:color w:val="000000"/>
                <w:w w:val="20"/>
                <w:shd w:val="solid" w:color="000000" w:fill="000000"/>
                <w:fitText w:val="90" w:id="-893683449"/>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449"/>
                <w14:textFill>
                  <w14:solidFill>
                    <w14:srgbClr w14:val="000000">
                      <w14:alpha w14:val="100000"/>
                    </w14:srgbClr>
                  </w14:solidFill>
                </w14:textFill>
              </w:rPr>
              <w:t xml:space="preserve">　</w:t>
            </w:r>
            <w:r w:rsidRPr="00E16CF9">
              <w:rPr>
                <w:iCs/>
              </w:rPr>
              <w:t>%)</w:t>
            </w:r>
          </w:p>
        </w:tc>
      </w:tr>
      <w:tr w:rsidR="00E16CF9" w14:paraId="73E3FEA0" w14:textId="77777777" w:rsidTr="00854496">
        <w:tc>
          <w:tcPr>
            <w:tcW w:w="9020" w:type="dxa"/>
            <w:gridSpan w:val="8"/>
            <w:vAlign w:val="center"/>
          </w:tcPr>
          <w:p w14:paraId="021ED528" w14:textId="77777777" w:rsidR="00E16CF9" w:rsidRPr="003D3FC4" w:rsidRDefault="00E16CF9" w:rsidP="00854496">
            <w:pPr>
              <w:pStyle w:val="TableText0"/>
              <w:keepNext w:val="0"/>
            </w:pPr>
            <w:r>
              <w:t>Belzutifan uptake (base case 90%)</w:t>
            </w:r>
          </w:p>
        </w:tc>
      </w:tr>
      <w:tr w:rsidR="00E16CF9" w14:paraId="43A2C497" w14:textId="77777777" w:rsidTr="002621BF">
        <w:tc>
          <w:tcPr>
            <w:tcW w:w="1271" w:type="dxa"/>
            <w:vAlign w:val="center"/>
          </w:tcPr>
          <w:p w14:paraId="0CAC2895" w14:textId="5D13D49F" w:rsidR="00E16CF9" w:rsidRDefault="00E16CF9" w:rsidP="00854496">
            <w:pPr>
              <w:pStyle w:val="TableText0"/>
              <w:keepNext w:val="0"/>
            </w:pPr>
            <w:r w:rsidRPr="00FB1FB5">
              <w:t>85%</w:t>
            </w:r>
            <w:r w:rsidR="00E3560E">
              <w:t xml:space="preserve"> ($)</w:t>
            </w:r>
          </w:p>
        </w:tc>
        <w:tc>
          <w:tcPr>
            <w:tcW w:w="1134" w:type="dxa"/>
            <w:vAlign w:val="center"/>
          </w:tcPr>
          <w:p w14:paraId="439D8843" w14:textId="382261C7"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8"/>
                <w14:textFill>
                  <w14:solidFill>
                    <w14:srgbClr w14:val="000000">
                      <w14:alpha w14:val="100000"/>
                    </w14:srgbClr>
                  </w14:solidFill>
                </w14:textFill>
              </w:rPr>
              <w:t xml:space="preserve">　</w:t>
            </w:r>
            <w:r w:rsidRPr="00501C36">
              <w:rPr>
                <w:color w:val="000000"/>
                <w:w w:val="15"/>
                <w:shd w:val="solid" w:color="000000" w:fill="000000"/>
                <w:fitText w:val="45" w:id="-893683448"/>
                <w14:textFill>
                  <w14:solidFill>
                    <w14:srgbClr w14:val="000000">
                      <w14:alpha w14:val="100000"/>
                    </w14:srgbClr>
                  </w14:solidFill>
                </w14:textFill>
              </w:rPr>
              <w:t>|</w:t>
            </w:r>
            <w:r w:rsidRPr="00501C36">
              <w:rPr>
                <w:rFonts w:hint="eastAsia"/>
                <w:color w:val="000000"/>
                <w:spacing w:val="-20"/>
                <w:w w:val="15"/>
                <w:shd w:val="solid" w:color="000000" w:fill="000000"/>
                <w:fitText w:val="45" w:id="-893683448"/>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0D814BA8" w14:textId="22A8095B"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7"/>
                <w14:textFill>
                  <w14:solidFill>
                    <w14:srgbClr w14:val="000000">
                      <w14:alpha w14:val="100000"/>
                    </w14:srgbClr>
                  </w14:solidFill>
                </w14:textFill>
              </w:rPr>
              <w:t xml:space="preserve">　</w:t>
            </w:r>
            <w:r w:rsidRPr="00501C36">
              <w:rPr>
                <w:color w:val="000000"/>
                <w:w w:val="15"/>
                <w:shd w:val="solid" w:color="000000" w:fill="000000"/>
                <w:fitText w:val="45" w:id="-893683447"/>
                <w14:textFill>
                  <w14:solidFill>
                    <w14:srgbClr w14:val="000000">
                      <w14:alpha w14:val="100000"/>
                    </w14:srgbClr>
                  </w14:solidFill>
                </w14:textFill>
              </w:rPr>
              <w:t>|</w:t>
            </w:r>
            <w:r w:rsidRPr="00501C36">
              <w:rPr>
                <w:rFonts w:hint="eastAsia"/>
                <w:color w:val="000000"/>
                <w:spacing w:val="-20"/>
                <w:w w:val="15"/>
                <w:shd w:val="solid" w:color="000000" w:fill="000000"/>
                <w:fitText w:val="45" w:id="-893683447"/>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3440334A" w14:textId="6BBD3EA5"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6"/>
                <w14:textFill>
                  <w14:solidFill>
                    <w14:srgbClr w14:val="000000">
                      <w14:alpha w14:val="100000"/>
                    </w14:srgbClr>
                  </w14:solidFill>
                </w14:textFill>
              </w:rPr>
              <w:t xml:space="preserve">　</w:t>
            </w:r>
            <w:r w:rsidRPr="00501C36">
              <w:rPr>
                <w:color w:val="000000"/>
                <w:w w:val="15"/>
                <w:shd w:val="solid" w:color="000000" w:fill="000000"/>
                <w:fitText w:val="45" w:id="-893683446"/>
                <w14:textFill>
                  <w14:solidFill>
                    <w14:srgbClr w14:val="000000">
                      <w14:alpha w14:val="100000"/>
                    </w14:srgbClr>
                  </w14:solidFill>
                </w14:textFill>
              </w:rPr>
              <w:t>|</w:t>
            </w:r>
            <w:r w:rsidRPr="00501C36">
              <w:rPr>
                <w:rFonts w:hint="eastAsia"/>
                <w:color w:val="000000"/>
                <w:spacing w:val="-20"/>
                <w:w w:val="15"/>
                <w:shd w:val="solid" w:color="000000" w:fill="000000"/>
                <w:fitText w:val="45" w:id="-893683446"/>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1DFC6DC2" w14:textId="6C9F112E"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5"/>
                <w14:textFill>
                  <w14:solidFill>
                    <w14:srgbClr w14:val="000000">
                      <w14:alpha w14:val="100000"/>
                    </w14:srgbClr>
                  </w14:solidFill>
                </w14:textFill>
              </w:rPr>
              <w:t xml:space="preserve">　</w:t>
            </w:r>
            <w:r w:rsidRPr="00501C36">
              <w:rPr>
                <w:color w:val="000000"/>
                <w:w w:val="15"/>
                <w:shd w:val="solid" w:color="000000" w:fill="000000"/>
                <w:fitText w:val="45" w:id="-893683445"/>
                <w14:textFill>
                  <w14:solidFill>
                    <w14:srgbClr w14:val="000000">
                      <w14:alpha w14:val="100000"/>
                    </w14:srgbClr>
                  </w14:solidFill>
                </w14:textFill>
              </w:rPr>
              <w:t>|</w:t>
            </w:r>
            <w:r w:rsidRPr="00501C36">
              <w:rPr>
                <w:rFonts w:hint="eastAsia"/>
                <w:color w:val="000000"/>
                <w:spacing w:val="-20"/>
                <w:w w:val="15"/>
                <w:shd w:val="solid" w:color="000000" w:fill="000000"/>
                <w:fitText w:val="45" w:id="-893683445"/>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780B7713" w14:textId="22DABF70"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4"/>
                <w14:textFill>
                  <w14:solidFill>
                    <w14:srgbClr w14:val="000000">
                      <w14:alpha w14:val="100000"/>
                    </w14:srgbClr>
                  </w14:solidFill>
                </w14:textFill>
              </w:rPr>
              <w:t xml:space="preserve">　</w:t>
            </w:r>
            <w:r w:rsidRPr="00501C36">
              <w:rPr>
                <w:color w:val="000000"/>
                <w:w w:val="15"/>
                <w:shd w:val="solid" w:color="000000" w:fill="000000"/>
                <w:fitText w:val="45" w:id="-893683444"/>
                <w14:textFill>
                  <w14:solidFill>
                    <w14:srgbClr w14:val="000000">
                      <w14:alpha w14:val="100000"/>
                    </w14:srgbClr>
                  </w14:solidFill>
                </w14:textFill>
              </w:rPr>
              <w:t>|</w:t>
            </w:r>
            <w:r w:rsidRPr="00501C36">
              <w:rPr>
                <w:rFonts w:hint="eastAsia"/>
                <w:color w:val="000000"/>
                <w:spacing w:val="-20"/>
                <w:w w:val="15"/>
                <w:shd w:val="solid" w:color="000000" w:fill="000000"/>
                <w:fitText w:val="45" w:id="-893683444"/>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6AE41EAB" w14:textId="25AE4173"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3"/>
                <w14:textFill>
                  <w14:solidFill>
                    <w14:srgbClr w14:val="000000">
                      <w14:alpha w14:val="100000"/>
                    </w14:srgbClr>
                  </w14:solidFill>
                </w14:textFill>
              </w:rPr>
              <w:t xml:space="preserve">　</w:t>
            </w:r>
            <w:r w:rsidRPr="00501C36">
              <w:rPr>
                <w:color w:val="000000"/>
                <w:w w:val="15"/>
                <w:shd w:val="solid" w:color="000000" w:fill="000000"/>
                <w:fitText w:val="45" w:id="-893683443"/>
                <w14:textFill>
                  <w14:solidFill>
                    <w14:srgbClr w14:val="000000">
                      <w14:alpha w14:val="100000"/>
                    </w14:srgbClr>
                  </w14:solidFill>
                </w14:textFill>
              </w:rPr>
              <w:t>|</w:t>
            </w:r>
            <w:r w:rsidRPr="00501C36">
              <w:rPr>
                <w:rFonts w:hint="eastAsia"/>
                <w:color w:val="000000"/>
                <w:spacing w:val="-20"/>
                <w:w w:val="15"/>
                <w:shd w:val="solid" w:color="000000" w:fill="000000"/>
                <w:fitText w:val="45" w:id="-893683443"/>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4C796F3F" w14:textId="27648840"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69AD97BB" w14:textId="316F9F85" w:rsidR="00E16CF9" w:rsidRPr="0094293D" w:rsidRDefault="00E16CF9" w:rsidP="00854496">
            <w:pPr>
              <w:pStyle w:val="TableText0"/>
              <w:keepNext w:val="0"/>
              <w:jc w:val="center"/>
              <w:rPr>
                <w:i/>
                <w:iCs/>
              </w:rPr>
            </w:pPr>
            <w:r w:rsidRPr="00E16CF9">
              <w:rPr>
                <w:iCs/>
              </w:rPr>
              <w:t>(-</w:t>
            </w:r>
            <w:r w:rsidR="00501C36" w:rsidRPr="00501C36">
              <w:rPr>
                <w:rFonts w:hint="eastAsia"/>
                <w:iCs/>
                <w:color w:val="000000"/>
                <w:w w:val="27"/>
                <w:shd w:val="solid" w:color="000000" w:fill="000000"/>
                <w:fitText w:val="120" w:id="-893683442"/>
                <w14:textFill>
                  <w14:solidFill>
                    <w14:srgbClr w14:val="000000">
                      <w14:alpha w14:val="100000"/>
                    </w14:srgbClr>
                  </w14:solidFill>
                </w14:textFill>
              </w:rPr>
              <w:t xml:space="preserve">　</w:t>
            </w:r>
            <w:r w:rsidR="00501C36" w:rsidRPr="00501C36">
              <w:rPr>
                <w:iCs/>
                <w:color w:val="000000"/>
                <w:w w:val="27"/>
                <w:shd w:val="solid" w:color="000000" w:fill="000000"/>
                <w:fitText w:val="120" w:id="-893683442"/>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442"/>
                <w14:textFill>
                  <w14:solidFill>
                    <w14:srgbClr w14:val="000000">
                      <w14:alpha w14:val="100000"/>
                    </w14:srgbClr>
                  </w14:solidFill>
                </w14:textFill>
              </w:rPr>
              <w:t xml:space="preserve">　</w:t>
            </w:r>
            <w:r w:rsidRPr="00E16CF9">
              <w:rPr>
                <w:iCs/>
              </w:rPr>
              <w:t>%)</w:t>
            </w:r>
          </w:p>
        </w:tc>
      </w:tr>
      <w:tr w:rsidR="00E16CF9" w14:paraId="091E52E1" w14:textId="77777777" w:rsidTr="002621BF">
        <w:tc>
          <w:tcPr>
            <w:tcW w:w="1271" w:type="dxa"/>
            <w:vAlign w:val="center"/>
          </w:tcPr>
          <w:p w14:paraId="565C9EA9" w14:textId="07F56D25" w:rsidR="00E16CF9" w:rsidRDefault="00E16CF9" w:rsidP="00854496">
            <w:pPr>
              <w:pStyle w:val="TableText0"/>
              <w:keepNext w:val="0"/>
            </w:pPr>
            <w:r w:rsidRPr="00FB1FB5">
              <w:t>95%</w:t>
            </w:r>
            <w:r w:rsidR="00E3560E">
              <w:t xml:space="preserve"> ($)</w:t>
            </w:r>
          </w:p>
        </w:tc>
        <w:tc>
          <w:tcPr>
            <w:tcW w:w="1134" w:type="dxa"/>
            <w:vAlign w:val="center"/>
          </w:tcPr>
          <w:p w14:paraId="3A3F9003" w14:textId="541B556B"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1"/>
                <w14:textFill>
                  <w14:solidFill>
                    <w14:srgbClr w14:val="000000">
                      <w14:alpha w14:val="100000"/>
                    </w14:srgbClr>
                  </w14:solidFill>
                </w14:textFill>
              </w:rPr>
              <w:t xml:space="preserve">　</w:t>
            </w:r>
            <w:r w:rsidRPr="00501C36">
              <w:rPr>
                <w:color w:val="000000"/>
                <w:w w:val="15"/>
                <w:shd w:val="solid" w:color="000000" w:fill="000000"/>
                <w:fitText w:val="45" w:id="-893683441"/>
                <w14:textFill>
                  <w14:solidFill>
                    <w14:srgbClr w14:val="000000">
                      <w14:alpha w14:val="100000"/>
                    </w14:srgbClr>
                  </w14:solidFill>
                </w14:textFill>
              </w:rPr>
              <w:t>|</w:t>
            </w:r>
            <w:r w:rsidRPr="00501C36">
              <w:rPr>
                <w:rFonts w:hint="eastAsia"/>
                <w:color w:val="000000"/>
                <w:spacing w:val="-20"/>
                <w:w w:val="15"/>
                <w:shd w:val="solid" w:color="000000" w:fill="000000"/>
                <w:fitText w:val="45" w:id="-893683441"/>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33849C08" w14:textId="1F457915"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40"/>
                <w14:textFill>
                  <w14:solidFill>
                    <w14:srgbClr w14:val="000000">
                      <w14:alpha w14:val="100000"/>
                    </w14:srgbClr>
                  </w14:solidFill>
                </w14:textFill>
              </w:rPr>
              <w:t xml:space="preserve">　</w:t>
            </w:r>
            <w:r w:rsidRPr="00501C36">
              <w:rPr>
                <w:color w:val="000000"/>
                <w:w w:val="15"/>
                <w:shd w:val="solid" w:color="000000" w:fill="000000"/>
                <w:fitText w:val="45" w:id="-893683440"/>
                <w14:textFill>
                  <w14:solidFill>
                    <w14:srgbClr w14:val="000000">
                      <w14:alpha w14:val="100000"/>
                    </w14:srgbClr>
                  </w14:solidFill>
                </w14:textFill>
              </w:rPr>
              <w:t>|</w:t>
            </w:r>
            <w:r w:rsidRPr="00501C36">
              <w:rPr>
                <w:rFonts w:hint="eastAsia"/>
                <w:color w:val="000000"/>
                <w:spacing w:val="-20"/>
                <w:w w:val="15"/>
                <w:shd w:val="solid" w:color="000000" w:fill="000000"/>
                <w:fitText w:val="45" w:id="-893683440"/>
                <w14:textFill>
                  <w14:solidFill>
                    <w14:srgbClr w14:val="000000">
                      <w14:alpha w14:val="100000"/>
                    </w14:srgbClr>
                  </w14:solidFill>
                </w14:textFill>
              </w:rPr>
              <w:t xml:space="preserve">　</w:t>
            </w:r>
            <w:r w:rsidR="00B4602F" w:rsidRPr="0009066F">
              <w:rPr>
                <w:vertAlign w:val="superscript"/>
              </w:rPr>
              <w:t>2</w:t>
            </w:r>
          </w:p>
        </w:tc>
        <w:tc>
          <w:tcPr>
            <w:tcW w:w="1134" w:type="dxa"/>
            <w:vAlign w:val="center"/>
          </w:tcPr>
          <w:p w14:paraId="0162A9B0" w14:textId="5EDC9A13"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56"/>
                <w14:textFill>
                  <w14:solidFill>
                    <w14:srgbClr w14:val="000000">
                      <w14:alpha w14:val="100000"/>
                    </w14:srgbClr>
                  </w14:solidFill>
                </w14:textFill>
              </w:rPr>
              <w:t xml:space="preserve">　</w:t>
            </w:r>
            <w:r w:rsidRPr="00501C36">
              <w:rPr>
                <w:color w:val="000000"/>
                <w:w w:val="15"/>
                <w:shd w:val="solid" w:color="000000" w:fill="000000"/>
                <w:fitText w:val="45" w:id="-893683456"/>
                <w14:textFill>
                  <w14:solidFill>
                    <w14:srgbClr w14:val="000000">
                      <w14:alpha w14:val="100000"/>
                    </w14:srgbClr>
                  </w14:solidFill>
                </w14:textFill>
              </w:rPr>
              <w:t>|</w:t>
            </w:r>
            <w:r w:rsidRPr="00501C36">
              <w:rPr>
                <w:rFonts w:hint="eastAsia"/>
                <w:color w:val="000000"/>
                <w:spacing w:val="-20"/>
                <w:w w:val="15"/>
                <w:shd w:val="solid" w:color="000000" w:fill="000000"/>
                <w:fitText w:val="45" w:id="-893683456"/>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4114830E" w14:textId="6E69ABB3"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55"/>
                <w14:textFill>
                  <w14:solidFill>
                    <w14:srgbClr w14:val="000000">
                      <w14:alpha w14:val="100000"/>
                    </w14:srgbClr>
                  </w14:solidFill>
                </w14:textFill>
              </w:rPr>
              <w:t xml:space="preserve">　</w:t>
            </w:r>
            <w:r w:rsidRPr="00501C36">
              <w:rPr>
                <w:color w:val="000000"/>
                <w:w w:val="15"/>
                <w:shd w:val="solid" w:color="000000" w:fill="000000"/>
                <w:fitText w:val="45" w:id="-893683455"/>
                <w14:textFill>
                  <w14:solidFill>
                    <w14:srgbClr w14:val="000000">
                      <w14:alpha w14:val="100000"/>
                    </w14:srgbClr>
                  </w14:solidFill>
                </w14:textFill>
              </w:rPr>
              <w:t>|</w:t>
            </w:r>
            <w:r w:rsidRPr="00501C36">
              <w:rPr>
                <w:rFonts w:hint="eastAsia"/>
                <w:color w:val="000000"/>
                <w:spacing w:val="-20"/>
                <w:w w:val="15"/>
                <w:shd w:val="solid" w:color="000000" w:fill="000000"/>
                <w:fitText w:val="45" w:id="-893683455"/>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4AF479D1" w14:textId="156123DC"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54"/>
                <w14:textFill>
                  <w14:solidFill>
                    <w14:srgbClr w14:val="000000">
                      <w14:alpha w14:val="100000"/>
                    </w14:srgbClr>
                  </w14:solidFill>
                </w14:textFill>
              </w:rPr>
              <w:t xml:space="preserve">　</w:t>
            </w:r>
            <w:r w:rsidRPr="00501C36">
              <w:rPr>
                <w:color w:val="000000"/>
                <w:w w:val="15"/>
                <w:shd w:val="solid" w:color="000000" w:fill="000000"/>
                <w:fitText w:val="45" w:id="-893683454"/>
                <w14:textFill>
                  <w14:solidFill>
                    <w14:srgbClr w14:val="000000">
                      <w14:alpha w14:val="100000"/>
                    </w14:srgbClr>
                  </w14:solidFill>
                </w14:textFill>
              </w:rPr>
              <w:t>|</w:t>
            </w:r>
            <w:r w:rsidRPr="00501C36">
              <w:rPr>
                <w:rFonts w:hint="eastAsia"/>
                <w:color w:val="000000"/>
                <w:spacing w:val="-20"/>
                <w:w w:val="15"/>
                <w:shd w:val="solid" w:color="000000" w:fill="000000"/>
                <w:fitText w:val="45" w:id="-893683454"/>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1FF2220A" w14:textId="0F23BD7A" w:rsidR="00E16CF9" w:rsidRPr="0009066F" w:rsidRDefault="00501C36" w:rsidP="00854496">
            <w:pPr>
              <w:pStyle w:val="TableText0"/>
              <w:keepNext w:val="0"/>
              <w:jc w:val="center"/>
              <w:rPr>
                <w:i/>
                <w:iCs/>
                <w:highlight w:val="lightGray"/>
              </w:rPr>
            </w:pPr>
            <w:r w:rsidRPr="00501C36">
              <w:rPr>
                <w:rFonts w:hint="eastAsia"/>
                <w:color w:val="000000"/>
                <w:w w:val="15"/>
                <w:shd w:val="solid" w:color="000000" w:fill="000000"/>
                <w:fitText w:val="45" w:id="-893683453"/>
                <w14:textFill>
                  <w14:solidFill>
                    <w14:srgbClr w14:val="000000">
                      <w14:alpha w14:val="100000"/>
                    </w14:srgbClr>
                  </w14:solidFill>
                </w14:textFill>
              </w:rPr>
              <w:t xml:space="preserve">　</w:t>
            </w:r>
            <w:r w:rsidRPr="00501C36">
              <w:rPr>
                <w:color w:val="000000"/>
                <w:w w:val="15"/>
                <w:shd w:val="solid" w:color="000000" w:fill="000000"/>
                <w:fitText w:val="45" w:id="-893683453"/>
                <w14:textFill>
                  <w14:solidFill>
                    <w14:srgbClr w14:val="000000">
                      <w14:alpha w14:val="100000"/>
                    </w14:srgbClr>
                  </w14:solidFill>
                </w14:textFill>
              </w:rPr>
              <w:t>|</w:t>
            </w:r>
            <w:r w:rsidRPr="00501C36">
              <w:rPr>
                <w:rFonts w:hint="eastAsia"/>
                <w:color w:val="000000"/>
                <w:spacing w:val="-20"/>
                <w:w w:val="15"/>
                <w:shd w:val="solid" w:color="000000" w:fill="000000"/>
                <w:fitText w:val="45" w:id="-893683453"/>
                <w14:textFill>
                  <w14:solidFill>
                    <w14:srgbClr w14:val="000000">
                      <w14:alpha w14:val="100000"/>
                    </w14:srgbClr>
                  </w14:solidFill>
                </w14:textFill>
              </w:rPr>
              <w:t xml:space="preserve">　</w:t>
            </w:r>
            <w:r w:rsidR="00C522F2" w:rsidRPr="003F0AD1">
              <w:rPr>
                <w:vertAlign w:val="superscript"/>
              </w:rPr>
              <w:t>3</w:t>
            </w:r>
          </w:p>
        </w:tc>
        <w:tc>
          <w:tcPr>
            <w:tcW w:w="1087" w:type="dxa"/>
            <w:vAlign w:val="center"/>
          </w:tcPr>
          <w:p w14:paraId="2710AEAE" w14:textId="3924E0FB"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460A02E8" w14:textId="007D5DFC" w:rsidR="00E16CF9" w:rsidRPr="0094293D" w:rsidRDefault="00E16CF9" w:rsidP="00854496">
            <w:pPr>
              <w:pStyle w:val="TableText0"/>
              <w:keepNext w:val="0"/>
              <w:jc w:val="center"/>
              <w:rPr>
                <w:i/>
                <w:iCs/>
              </w:rPr>
            </w:pPr>
            <w:r w:rsidRPr="00E16CF9">
              <w:rPr>
                <w:iCs/>
              </w:rPr>
              <w:t>(</w:t>
            </w:r>
            <w:r w:rsidR="00501C36" w:rsidRPr="00501C36">
              <w:rPr>
                <w:rFonts w:hint="eastAsia"/>
                <w:iCs/>
                <w:color w:val="000000"/>
                <w:w w:val="20"/>
                <w:shd w:val="solid" w:color="000000" w:fill="000000"/>
                <w:fitText w:val="90" w:id="-893683452"/>
                <w14:textFill>
                  <w14:solidFill>
                    <w14:srgbClr w14:val="000000">
                      <w14:alpha w14:val="100000"/>
                    </w14:srgbClr>
                  </w14:solidFill>
                </w14:textFill>
              </w:rPr>
              <w:t xml:space="preserve">　</w:t>
            </w:r>
            <w:r w:rsidR="00501C36" w:rsidRPr="00501C36">
              <w:rPr>
                <w:iCs/>
                <w:color w:val="000000"/>
                <w:w w:val="20"/>
                <w:shd w:val="solid" w:color="000000" w:fill="000000"/>
                <w:fitText w:val="90" w:id="-893683452"/>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452"/>
                <w14:textFill>
                  <w14:solidFill>
                    <w14:srgbClr w14:val="000000">
                      <w14:alpha w14:val="100000"/>
                    </w14:srgbClr>
                  </w14:solidFill>
                </w14:textFill>
              </w:rPr>
              <w:t xml:space="preserve">　</w:t>
            </w:r>
            <w:r w:rsidRPr="00E16CF9">
              <w:rPr>
                <w:iCs/>
              </w:rPr>
              <w:t>%)</w:t>
            </w:r>
          </w:p>
        </w:tc>
      </w:tr>
      <w:tr w:rsidR="00E16CF9" w:rsidRPr="00E16CF9" w14:paraId="00155A9F" w14:textId="77777777" w:rsidTr="002621BF">
        <w:tc>
          <w:tcPr>
            <w:tcW w:w="1271" w:type="dxa"/>
            <w:vAlign w:val="center"/>
          </w:tcPr>
          <w:p w14:paraId="6B5E37FC" w14:textId="0EC2903E" w:rsidR="00E16CF9" w:rsidRPr="00E16CF9" w:rsidRDefault="00E16CF9" w:rsidP="00854496">
            <w:pPr>
              <w:pStyle w:val="TableText0"/>
              <w:keepNext w:val="0"/>
              <w:rPr>
                <w:iCs/>
              </w:rPr>
            </w:pPr>
            <w:r w:rsidRPr="00E16CF9">
              <w:rPr>
                <w:iCs/>
              </w:rPr>
              <w:t>100%</w:t>
            </w:r>
            <w:r w:rsidR="00E3560E">
              <w:rPr>
                <w:iCs/>
              </w:rPr>
              <w:t xml:space="preserve"> ($)</w:t>
            </w:r>
          </w:p>
        </w:tc>
        <w:tc>
          <w:tcPr>
            <w:tcW w:w="1134" w:type="dxa"/>
            <w:vAlign w:val="center"/>
          </w:tcPr>
          <w:p w14:paraId="1896ABDF" w14:textId="65A99A1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1"/>
                <w14:textFill>
                  <w14:solidFill>
                    <w14:srgbClr w14:val="000000">
                      <w14:alpha w14:val="100000"/>
                    </w14:srgbClr>
                  </w14:solidFill>
                </w14:textFill>
              </w:rPr>
              <w:t xml:space="preserve">　</w:t>
            </w:r>
            <w:r w:rsidRPr="00501C36">
              <w:rPr>
                <w:iCs/>
                <w:color w:val="000000"/>
                <w:w w:val="15"/>
                <w:shd w:val="solid" w:color="000000" w:fill="000000"/>
                <w:fitText w:val="45" w:id="-89368345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1"/>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674C3E16" w14:textId="1C452833"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0"/>
                <w14:textFill>
                  <w14:solidFill>
                    <w14:srgbClr w14:val="000000">
                      <w14:alpha w14:val="100000"/>
                    </w14:srgbClr>
                  </w14:solidFill>
                </w14:textFill>
              </w:rPr>
              <w:t xml:space="preserve">　</w:t>
            </w:r>
            <w:r w:rsidRPr="00501C36">
              <w:rPr>
                <w:iCs/>
                <w:color w:val="000000"/>
                <w:w w:val="15"/>
                <w:shd w:val="solid" w:color="000000" w:fill="000000"/>
                <w:fitText w:val="45" w:id="-89368345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0"/>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72F6B50B" w14:textId="7D142F77"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9"/>
                <w14:textFill>
                  <w14:solidFill>
                    <w14:srgbClr w14:val="000000">
                      <w14:alpha w14:val="100000"/>
                    </w14:srgbClr>
                  </w14:solidFill>
                </w14:textFill>
              </w:rPr>
              <w:t xml:space="preserve">　</w:t>
            </w:r>
            <w:r w:rsidRPr="00501C36">
              <w:rPr>
                <w:iCs/>
                <w:color w:val="000000"/>
                <w:w w:val="15"/>
                <w:shd w:val="solid" w:color="000000" w:fill="000000"/>
                <w:fitText w:val="45" w:id="-893683449"/>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9"/>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7D8C6C24" w14:textId="44D5EEE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8"/>
                <w14:textFill>
                  <w14:solidFill>
                    <w14:srgbClr w14:val="000000">
                      <w14:alpha w14:val="100000"/>
                    </w14:srgbClr>
                  </w14:solidFill>
                </w14:textFill>
              </w:rPr>
              <w:t xml:space="preserve">　</w:t>
            </w:r>
            <w:r w:rsidRPr="00501C36">
              <w:rPr>
                <w:iCs/>
                <w:color w:val="000000"/>
                <w:w w:val="15"/>
                <w:shd w:val="solid" w:color="000000" w:fill="000000"/>
                <w:fitText w:val="45" w:id="-893683448"/>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8"/>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0F1D98BE" w14:textId="268CA705"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7"/>
                <w14:textFill>
                  <w14:solidFill>
                    <w14:srgbClr w14:val="000000">
                      <w14:alpha w14:val="100000"/>
                    </w14:srgbClr>
                  </w14:solidFill>
                </w14:textFill>
              </w:rPr>
              <w:t xml:space="preserve">　</w:t>
            </w:r>
            <w:r w:rsidRPr="00501C36">
              <w:rPr>
                <w:iCs/>
                <w:color w:val="000000"/>
                <w:w w:val="15"/>
                <w:shd w:val="solid" w:color="000000" w:fill="000000"/>
                <w:fitText w:val="45" w:id="-893683447"/>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7"/>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7D7967A5" w14:textId="42755353"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6"/>
                <w14:textFill>
                  <w14:solidFill>
                    <w14:srgbClr w14:val="000000">
                      <w14:alpha w14:val="100000"/>
                    </w14:srgbClr>
                  </w14:solidFill>
                </w14:textFill>
              </w:rPr>
              <w:t xml:space="preserve">　</w:t>
            </w:r>
            <w:r w:rsidRPr="00501C36">
              <w:rPr>
                <w:iCs/>
                <w:color w:val="000000"/>
                <w:w w:val="15"/>
                <w:shd w:val="solid" w:color="000000" w:fill="000000"/>
                <w:fitText w:val="45" w:id="-893683446"/>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6"/>
                <w14:textFill>
                  <w14:solidFill>
                    <w14:srgbClr w14:val="000000">
                      <w14:alpha w14:val="100000"/>
                    </w14:srgbClr>
                  </w14:solidFill>
                </w14:textFill>
              </w:rPr>
              <w:t xml:space="preserve">　</w:t>
            </w:r>
            <w:r w:rsidR="00C522F2" w:rsidRPr="003F0AD1">
              <w:rPr>
                <w:vertAlign w:val="superscript"/>
              </w:rPr>
              <w:t>3</w:t>
            </w:r>
          </w:p>
        </w:tc>
        <w:tc>
          <w:tcPr>
            <w:tcW w:w="1087" w:type="dxa"/>
            <w:vAlign w:val="center"/>
          </w:tcPr>
          <w:p w14:paraId="358A0EBE" w14:textId="282B76A7"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0C6454C9" w14:textId="6FDA92D5"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0"/>
                <w:shd w:val="solid" w:color="000000" w:fill="000000"/>
                <w:fitText w:val="90" w:id="-893683445"/>
                <w14:textFill>
                  <w14:solidFill>
                    <w14:srgbClr w14:val="000000">
                      <w14:alpha w14:val="100000"/>
                    </w14:srgbClr>
                  </w14:solidFill>
                </w14:textFill>
              </w:rPr>
              <w:t xml:space="preserve">　</w:t>
            </w:r>
            <w:r w:rsidR="00501C36" w:rsidRPr="00501C36">
              <w:rPr>
                <w:iCs/>
                <w:color w:val="000000"/>
                <w:w w:val="20"/>
                <w:shd w:val="solid" w:color="000000" w:fill="000000"/>
                <w:fitText w:val="90" w:id="-893683445"/>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445"/>
                <w14:textFill>
                  <w14:solidFill>
                    <w14:srgbClr w14:val="000000">
                      <w14:alpha w14:val="100000"/>
                    </w14:srgbClr>
                  </w14:solidFill>
                </w14:textFill>
              </w:rPr>
              <w:t xml:space="preserve">　</w:t>
            </w:r>
            <w:r w:rsidRPr="00E16CF9">
              <w:rPr>
                <w:iCs/>
              </w:rPr>
              <w:t>%)</w:t>
            </w:r>
          </w:p>
        </w:tc>
      </w:tr>
      <w:tr w:rsidR="00E16CF9" w:rsidRPr="00E16CF9" w14:paraId="0259CB2A" w14:textId="77777777" w:rsidTr="002621BF">
        <w:tc>
          <w:tcPr>
            <w:tcW w:w="1271" w:type="dxa"/>
            <w:vAlign w:val="center"/>
          </w:tcPr>
          <w:p w14:paraId="4E4230B2" w14:textId="5B3263DD" w:rsidR="00E16CF9" w:rsidRPr="00E3560E" w:rsidRDefault="00E16CF9" w:rsidP="00854496">
            <w:pPr>
              <w:pStyle w:val="TableText0"/>
              <w:keepNext w:val="0"/>
              <w:rPr>
                <w:iCs/>
              </w:rPr>
            </w:pPr>
            <w:r w:rsidRPr="00E16CF9">
              <w:rPr>
                <w:iCs/>
              </w:rPr>
              <w:t>36%</w:t>
            </w:r>
            <w:r w:rsidRPr="00E16CF9">
              <w:rPr>
                <w:iCs/>
                <w:vertAlign w:val="superscript"/>
              </w:rPr>
              <w:t>e</w:t>
            </w:r>
            <w:r w:rsidR="00E3560E">
              <w:rPr>
                <w:iCs/>
              </w:rPr>
              <w:t xml:space="preserve"> ($)</w:t>
            </w:r>
          </w:p>
        </w:tc>
        <w:tc>
          <w:tcPr>
            <w:tcW w:w="1134" w:type="dxa"/>
            <w:vAlign w:val="center"/>
          </w:tcPr>
          <w:p w14:paraId="5C52F993" w14:textId="42B171E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4"/>
                <w14:textFill>
                  <w14:solidFill>
                    <w14:srgbClr w14:val="000000">
                      <w14:alpha w14:val="100000"/>
                    </w14:srgbClr>
                  </w14:solidFill>
                </w14:textFill>
              </w:rPr>
              <w:t xml:space="preserve">　</w:t>
            </w:r>
            <w:r w:rsidRPr="00501C36">
              <w:rPr>
                <w:iCs/>
                <w:color w:val="000000"/>
                <w:w w:val="15"/>
                <w:shd w:val="solid" w:color="000000" w:fill="000000"/>
                <w:fitText w:val="45" w:id="-893683444"/>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4"/>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763D6CDE" w14:textId="03F478E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3"/>
                <w14:textFill>
                  <w14:solidFill>
                    <w14:srgbClr w14:val="000000">
                      <w14:alpha w14:val="100000"/>
                    </w14:srgbClr>
                  </w14:solidFill>
                </w14:textFill>
              </w:rPr>
              <w:t xml:space="preserve">　</w:t>
            </w:r>
            <w:r w:rsidRPr="00501C36">
              <w:rPr>
                <w:iCs/>
                <w:color w:val="000000"/>
                <w:w w:val="15"/>
                <w:shd w:val="solid" w:color="000000" w:fill="000000"/>
                <w:fitText w:val="45" w:id="-89368344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3"/>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2D867324" w14:textId="6756CEBE"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2"/>
                <w14:textFill>
                  <w14:solidFill>
                    <w14:srgbClr w14:val="000000">
                      <w14:alpha w14:val="100000"/>
                    </w14:srgbClr>
                  </w14:solidFill>
                </w14:textFill>
              </w:rPr>
              <w:t xml:space="preserve">　</w:t>
            </w:r>
            <w:r w:rsidRPr="00501C36">
              <w:rPr>
                <w:iCs/>
                <w:color w:val="000000"/>
                <w:w w:val="15"/>
                <w:shd w:val="solid" w:color="000000" w:fill="000000"/>
                <w:fitText w:val="45" w:id="-89368344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2"/>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19FBF489" w14:textId="0FED7963"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1"/>
                <w14:textFill>
                  <w14:solidFill>
                    <w14:srgbClr w14:val="000000">
                      <w14:alpha w14:val="100000"/>
                    </w14:srgbClr>
                  </w14:solidFill>
                </w14:textFill>
              </w:rPr>
              <w:t xml:space="preserve">　</w:t>
            </w:r>
            <w:r w:rsidRPr="00501C36">
              <w:rPr>
                <w:iCs/>
                <w:color w:val="000000"/>
                <w:w w:val="15"/>
                <w:shd w:val="solid" w:color="000000" w:fill="000000"/>
                <w:fitText w:val="45" w:id="-89368344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1"/>
                <w14:textFill>
                  <w14:solidFill>
                    <w14:srgbClr w14:val="000000">
                      <w14:alpha w14:val="100000"/>
                    </w14:srgbClr>
                  </w14:solidFill>
                </w14:textFill>
              </w:rPr>
              <w:t xml:space="preserve">　</w:t>
            </w:r>
            <w:r w:rsidR="00C522F2" w:rsidRPr="003F0AD1">
              <w:rPr>
                <w:vertAlign w:val="superscript"/>
              </w:rPr>
              <w:t>3</w:t>
            </w:r>
          </w:p>
        </w:tc>
        <w:tc>
          <w:tcPr>
            <w:tcW w:w="1134" w:type="dxa"/>
            <w:vAlign w:val="center"/>
          </w:tcPr>
          <w:p w14:paraId="71E0F80B" w14:textId="7E523DBA"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0"/>
                <w14:textFill>
                  <w14:solidFill>
                    <w14:srgbClr w14:val="000000">
                      <w14:alpha w14:val="100000"/>
                    </w14:srgbClr>
                  </w14:solidFill>
                </w14:textFill>
              </w:rPr>
              <w:t xml:space="preserve">　</w:t>
            </w:r>
            <w:r w:rsidRPr="00501C36">
              <w:rPr>
                <w:iCs/>
                <w:color w:val="000000"/>
                <w:w w:val="15"/>
                <w:shd w:val="solid" w:color="000000" w:fill="000000"/>
                <w:fitText w:val="45" w:id="-89368344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0"/>
                <w14:textFill>
                  <w14:solidFill>
                    <w14:srgbClr w14:val="000000">
                      <w14:alpha w14:val="100000"/>
                    </w14:srgbClr>
                  </w14:solidFill>
                </w14:textFill>
              </w:rPr>
              <w:t xml:space="preserve">　</w:t>
            </w:r>
            <w:r w:rsidR="00C522F2" w:rsidRPr="003F0AD1">
              <w:rPr>
                <w:vertAlign w:val="superscript"/>
              </w:rPr>
              <w:t>4</w:t>
            </w:r>
          </w:p>
        </w:tc>
        <w:tc>
          <w:tcPr>
            <w:tcW w:w="992" w:type="dxa"/>
            <w:vAlign w:val="center"/>
          </w:tcPr>
          <w:p w14:paraId="5E98BAC0" w14:textId="37F3A73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6"/>
                <w14:textFill>
                  <w14:solidFill>
                    <w14:srgbClr w14:val="000000">
                      <w14:alpha w14:val="100000"/>
                    </w14:srgbClr>
                  </w14:solidFill>
                </w14:textFill>
              </w:rPr>
              <w:t xml:space="preserve">　</w:t>
            </w:r>
            <w:r w:rsidRPr="00501C36">
              <w:rPr>
                <w:iCs/>
                <w:color w:val="000000"/>
                <w:w w:val="15"/>
                <w:shd w:val="solid" w:color="000000" w:fill="000000"/>
                <w:fitText w:val="45" w:id="-893683456"/>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6"/>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2441423A" w14:textId="50BF93EB"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16"/>
                <w:shd w:val="solid" w:color="000000" w:fill="000000"/>
                <w:fitText w:val="75" w:id="-893683455"/>
                <w14:textFill>
                  <w14:solidFill>
                    <w14:srgbClr w14:val="000000">
                      <w14:alpha w14:val="100000"/>
                    </w14:srgbClr>
                  </w14:solidFill>
                </w14:textFill>
              </w:rPr>
              <w:t xml:space="preserve">　</w:t>
            </w:r>
            <w:r w:rsidR="00501C36" w:rsidRPr="00501C36">
              <w:rPr>
                <w:iCs/>
                <w:color w:val="000000"/>
                <w:w w:val="16"/>
                <w:shd w:val="solid" w:color="000000" w:fill="000000"/>
                <w:fitText w:val="75" w:id="-893683455"/>
                <w14:textFill>
                  <w14:solidFill>
                    <w14:srgbClr w14:val="000000">
                      <w14:alpha w14:val="100000"/>
                    </w14:srgbClr>
                  </w14:solidFill>
                </w14:textFill>
              </w:rPr>
              <w:t>|</w:t>
            </w:r>
            <w:r w:rsidR="00501C36" w:rsidRPr="00501C36">
              <w:rPr>
                <w:rFonts w:hint="eastAsia"/>
                <w:iCs/>
                <w:color w:val="000000"/>
                <w:spacing w:val="5"/>
                <w:w w:val="16"/>
                <w:shd w:val="solid" w:color="000000" w:fill="000000"/>
                <w:fitText w:val="75" w:id="-893683455"/>
                <w14:textFill>
                  <w14:solidFill>
                    <w14:srgbClr w14:val="000000">
                      <w14:alpha w14:val="100000"/>
                    </w14:srgbClr>
                  </w14:solidFill>
                </w14:textFill>
              </w:rPr>
              <w:t xml:space="preserve">　</w:t>
            </w:r>
            <w:r w:rsidR="00045F79" w:rsidRPr="0009066F">
              <w:rPr>
                <w:iCs/>
                <w:vertAlign w:val="superscript"/>
              </w:rPr>
              <w:t>10</w:t>
            </w:r>
          </w:p>
          <w:p w14:paraId="769662D0" w14:textId="338FDD10"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7"/>
                <w:shd w:val="solid" w:color="000000" w:fill="000000"/>
                <w:fitText w:val="120" w:id="-893683454"/>
                <w14:textFill>
                  <w14:solidFill>
                    <w14:srgbClr w14:val="000000">
                      <w14:alpha w14:val="100000"/>
                    </w14:srgbClr>
                  </w14:solidFill>
                </w14:textFill>
              </w:rPr>
              <w:t xml:space="preserve">　</w:t>
            </w:r>
            <w:r w:rsidR="00501C36" w:rsidRPr="00501C36">
              <w:rPr>
                <w:iCs/>
                <w:color w:val="000000"/>
                <w:w w:val="27"/>
                <w:shd w:val="solid" w:color="000000" w:fill="000000"/>
                <w:fitText w:val="120" w:id="-893683454"/>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454"/>
                <w14:textFill>
                  <w14:solidFill>
                    <w14:srgbClr w14:val="000000">
                      <w14:alpha w14:val="100000"/>
                    </w14:srgbClr>
                  </w14:solidFill>
                </w14:textFill>
              </w:rPr>
              <w:t xml:space="preserve">　</w:t>
            </w:r>
            <w:r w:rsidRPr="00E16CF9">
              <w:rPr>
                <w:iCs/>
              </w:rPr>
              <w:t>%)</w:t>
            </w:r>
          </w:p>
        </w:tc>
      </w:tr>
      <w:tr w:rsidR="00E16CF9" w:rsidRPr="00D6592A" w14:paraId="5A5F2FC4" w14:textId="77777777" w:rsidTr="00854496">
        <w:tc>
          <w:tcPr>
            <w:tcW w:w="9020" w:type="dxa"/>
            <w:gridSpan w:val="8"/>
            <w:vAlign w:val="center"/>
          </w:tcPr>
          <w:p w14:paraId="49D3B8A3" w14:textId="77777777" w:rsidR="00E16CF9" w:rsidRPr="00D6592A" w:rsidRDefault="00E16CF9" w:rsidP="00854496">
            <w:pPr>
              <w:pStyle w:val="TableText0"/>
              <w:keepNext w:val="0"/>
            </w:pPr>
            <w:r w:rsidRPr="00D6592A">
              <w:t>Time on treatment (base case 4 yrs)</w:t>
            </w:r>
          </w:p>
        </w:tc>
      </w:tr>
      <w:tr w:rsidR="00E16CF9" w:rsidRPr="00E16CF9" w14:paraId="50C20FE6" w14:textId="77777777" w:rsidTr="002621BF">
        <w:tc>
          <w:tcPr>
            <w:tcW w:w="1271" w:type="dxa"/>
            <w:vAlign w:val="center"/>
          </w:tcPr>
          <w:p w14:paraId="10B847ED" w14:textId="6B25034D" w:rsidR="00E16CF9" w:rsidRPr="00E3560E" w:rsidRDefault="00E16CF9" w:rsidP="00854496">
            <w:pPr>
              <w:pStyle w:val="TableText0"/>
              <w:keepNext w:val="0"/>
              <w:rPr>
                <w:iCs/>
              </w:rPr>
            </w:pPr>
            <w:r w:rsidRPr="00E16CF9">
              <w:rPr>
                <w:iCs/>
              </w:rPr>
              <w:t>4.6 yrs</w:t>
            </w:r>
            <w:r w:rsidRPr="00E16CF9">
              <w:rPr>
                <w:iCs/>
                <w:vertAlign w:val="superscript"/>
              </w:rPr>
              <w:t>f</w:t>
            </w:r>
            <w:r w:rsidR="00E3560E">
              <w:rPr>
                <w:iCs/>
              </w:rPr>
              <w:t xml:space="preserve"> ($)</w:t>
            </w:r>
          </w:p>
        </w:tc>
        <w:tc>
          <w:tcPr>
            <w:tcW w:w="1134" w:type="dxa"/>
            <w:vAlign w:val="center"/>
          </w:tcPr>
          <w:p w14:paraId="08ABFAC9" w14:textId="416B906A"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3"/>
                <w14:textFill>
                  <w14:solidFill>
                    <w14:srgbClr w14:val="000000">
                      <w14:alpha w14:val="100000"/>
                    </w14:srgbClr>
                  </w14:solidFill>
                </w14:textFill>
              </w:rPr>
              <w:t xml:space="preserve">　</w:t>
            </w:r>
            <w:r w:rsidRPr="00501C36">
              <w:rPr>
                <w:iCs/>
                <w:color w:val="000000"/>
                <w:w w:val="15"/>
                <w:shd w:val="solid" w:color="000000" w:fill="000000"/>
                <w:fitText w:val="45" w:id="-89368345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3"/>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48C0A086" w14:textId="4AD4BAA7"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2"/>
                <w14:textFill>
                  <w14:solidFill>
                    <w14:srgbClr w14:val="000000">
                      <w14:alpha w14:val="100000"/>
                    </w14:srgbClr>
                  </w14:solidFill>
                </w14:textFill>
              </w:rPr>
              <w:t xml:space="preserve">　</w:t>
            </w:r>
            <w:r w:rsidRPr="00501C36">
              <w:rPr>
                <w:iCs/>
                <w:color w:val="000000"/>
                <w:w w:val="15"/>
                <w:shd w:val="solid" w:color="000000" w:fill="000000"/>
                <w:fitText w:val="45" w:id="-89368345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2"/>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20DB14AA" w14:textId="25B94E7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1"/>
                <w14:textFill>
                  <w14:solidFill>
                    <w14:srgbClr w14:val="000000">
                      <w14:alpha w14:val="100000"/>
                    </w14:srgbClr>
                  </w14:solidFill>
                </w14:textFill>
              </w:rPr>
              <w:t xml:space="preserve">　</w:t>
            </w:r>
            <w:r w:rsidRPr="00501C36">
              <w:rPr>
                <w:iCs/>
                <w:color w:val="000000"/>
                <w:w w:val="15"/>
                <w:shd w:val="solid" w:color="000000" w:fill="000000"/>
                <w:fitText w:val="45" w:id="-89368345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1"/>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0FB48B63" w14:textId="7D8A7C03"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0"/>
                <w14:textFill>
                  <w14:solidFill>
                    <w14:srgbClr w14:val="000000">
                      <w14:alpha w14:val="100000"/>
                    </w14:srgbClr>
                  </w14:solidFill>
                </w14:textFill>
              </w:rPr>
              <w:t xml:space="preserve">　</w:t>
            </w:r>
            <w:r w:rsidRPr="00501C36">
              <w:rPr>
                <w:iCs/>
                <w:color w:val="000000"/>
                <w:w w:val="15"/>
                <w:shd w:val="solid" w:color="000000" w:fill="000000"/>
                <w:fitText w:val="45" w:id="-893683450"/>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0"/>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1C540F56" w14:textId="66104140"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9"/>
                <w14:textFill>
                  <w14:solidFill>
                    <w14:srgbClr w14:val="000000">
                      <w14:alpha w14:val="100000"/>
                    </w14:srgbClr>
                  </w14:solidFill>
                </w14:textFill>
              </w:rPr>
              <w:t xml:space="preserve">　</w:t>
            </w:r>
            <w:r w:rsidRPr="00501C36">
              <w:rPr>
                <w:iCs/>
                <w:color w:val="000000"/>
                <w:w w:val="15"/>
                <w:shd w:val="solid" w:color="000000" w:fill="000000"/>
                <w:fitText w:val="45" w:id="-893683449"/>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9"/>
                <w14:textFill>
                  <w14:solidFill>
                    <w14:srgbClr w14:val="000000">
                      <w14:alpha w14:val="100000"/>
                    </w14:srgbClr>
                  </w14:solidFill>
                </w14:textFill>
              </w:rPr>
              <w:t xml:space="preserve">　</w:t>
            </w:r>
            <w:r w:rsidR="00FE090C" w:rsidRPr="003F0AD1">
              <w:rPr>
                <w:vertAlign w:val="superscript"/>
              </w:rPr>
              <w:t>1</w:t>
            </w:r>
          </w:p>
        </w:tc>
        <w:tc>
          <w:tcPr>
            <w:tcW w:w="992" w:type="dxa"/>
            <w:vAlign w:val="center"/>
          </w:tcPr>
          <w:p w14:paraId="5FDD1CD3" w14:textId="3D06789B"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8"/>
                <w14:textFill>
                  <w14:solidFill>
                    <w14:srgbClr w14:val="000000">
                      <w14:alpha w14:val="100000"/>
                    </w14:srgbClr>
                  </w14:solidFill>
                </w14:textFill>
              </w:rPr>
              <w:t xml:space="preserve">　</w:t>
            </w:r>
            <w:r w:rsidRPr="00501C36">
              <w:rPr>
                <w:iCs/>
                <w:color w:val="000000"/>
                <w:w w:val="15"/>
                <w:shd w:val="solid" w:color="000000" w:fill="000000"/>
                <w:fitText w:val="45" w:id="-893683448"/>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8"/>
                <w14:textFill>
                  <w14:solidFill>
                    <w14:srgbClr w14:val="000000">
                      <w14:alpha w14:val="100000"/>
                    </w14:srgbClr>
                  </w14:solidFill>
                </w14:textFill>
              </w:rPr>
              <w:t xml:space="preserve">　</w:t>
            </w:r>
            <w:r w:rsidR="00C522F2" w:rsidRPr="003F0AD1">
              <w:rPr>
                <w:vertAlign w:val="superscript"/>
              </w:rPr>
              <w:t>3</w:t>
            </w:r>
          </w:p>
        </w:tc>
        <w:tc>
          <w:tcPr>
            <w:tcW w:w="1087" w:type="dxa"/>
            <w:vAlign w:val="center"/>
          </w:tcPr>
          <w:p w14:paraId="40A7A88A" w14:textId="285A76A0"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7AF98075" w14:textId="25A353D1"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0"/>
                <w:shd w:val="solid" w:color="000000" w:fill="000000"/>
                <w:fitText w:val="90" w:id="-893683447"/>
                <w14:textFill>
                  <w14:solidFill>
                    <w14:srgbClr w14:val="000000">
                      <w14:alpha w14:val="100000"/>
                    </w14:srgbClr>
                  </w14:solidFill>
                </w14:textFill>
              </w:rPr>
              <w:t xml:space="preserve">　</w:t>
            </w:r>
            <w:r w:rsidR="00501C36" w:rsidRPr="00501C36">
              <w:rPr>
                <w:iCs/>
                <w:color w:val="000000"/>
                <w:w w:val="20"/>
                <w:shd w:val="solid" w:color="000000" w:fill="000000"/>
                <w:fitText w:val="90" w:id="-893683447"/>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447"/>
                <w14:textFill>
                  <w14:solidFill>
                    <w14:srgbClr w14:val="000000">
                      <w14:alpha w14:val="100000"/>
                    </w14:srgbClr>
                  </w14:solidFill>
                </w14:textFill>
              </w:rPr>
              <w:t xml:space="preserve">　</w:t>
            </w:r>
            <w:r w:rsidRPr="00E16CF9">
              <w:rPr>
                <w:iCs/>
              </w:rPr>
              <w:t>%)</w:t>
            </w:r>
          </w:p>
        </w:tc>
      </w:tr>
      <w:tr w:rsidR="00E16CF9" w:rsidRPr="00E16CF9" w14:paraId="1011D925" w14:textId="77777777" w:rsidTr="002621BF">
        <w:tc>
          <w:tcPr>
            <w:tcW w:w="1271" w:type="dxa"/>
            <w:vAlign w:val="center"/>
          </w:tcPr>
          <w:p w14:paraId="3FE8CD16" w14:textId="68FB6782" w:rsidR="00E16CF9" w:rsidRPr="00E3560E" w:rsidRDefault="00E16CF9" w:rsidP="00854496">
            <w:pPr>
              <w:pStyle w:val="TableText0"/>
              <w:keepNext w:val="0"/>
              <w:rPr>
                <w:iCs/>
              </w:rPr>
            </w:pPr>
            <w:r w:rsidRPr="00E16CF9">
              <w:rPr>
                <w:iCs/>
              </w:rPr>
              <w:t>10 yrs</w:t>
            </w:r>
            <w:r w:rsidRPr="00E16CF9">
              <w:rPr>
                <w:iCs/>
                <w:vertAlign w:val="superscript"/>
              </w:rPr>
              <w:t>g</w:t>
            </w:r>
            <w:r w:rsidR="00E3560E">
              <w:rPr>
                <w:iCs/>
              </w:rPr>
              <w:t xml:space="preserve"> ($)</w:t>
            </w:r>
          </w:p>
        </w:tc>
        <w:tc>
          <w:tcPr>
            <w:tcW w:w="1134" w:type="dxa"/>
            <w:vAlign w:val="center"/>
          </w:tcPr>
          <w:p w14:paraId="6110995C" w14:textId="11CA7866"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6"/>
                <w14:textFill>
                  <w14:solidFill>
                    <w14:srgbClr w14:val="000000">
                      <w14:alpha w14:val="100000"/>
                    </w14:srgbClr>
                  </w14:solidFill>
                </w14:textFill>
              </w:rPr>
              <w:t xml:space="preserve">　</w:t>
            </w:r>
            <w:r w:rsidRPr="00501C36">
              <w:rPr>
                <w:iCs/>
                <w:color w:val="000000"/>
                <w:w w:val="15"/>
                <w:shd w:val="solid" w:color="000000" w:fill="000000"/>
                <w:fitText w:val="45" w:id="-893683446"/>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6"/>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54D84C7E" w14:textId="04524ABB"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5"/>
                <w14:textFill>
                  <w14:solidFill>
                    <w14:srgbClr w14:val="000000">
                      <w14:alpha w14:val="100000"/>
                    </w14:srgbClr>
                  </w14:solidFill>
                </w14:textFill>
              </w:rPr>
              <w:t xml:space="preserve">　</w:t>
            </w:r>
            <w:r w:rsidRPr="00501C36">
              <w:rPr>
                <w:iCs/>
                <w:color w:val="000000"/>
                <w:w w:val="15"/>
                <w:shd w:val="solid" w:color="000000" w:fill="000000"/>
                <w:fitText w:val="45" w:id="-893683445"/>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5"/>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08FB5119" w14:textId="04FA9DD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4"/>
                <w14:textFill>
                  <w14:solidFill>
                    <w14:srgbClr w14:val="000000">
                      <w14:alpha w14:val="100000"/>
                    </w14:srgbClr>
                  </w14:solidFill>
                </w14:textFill>
              </w:rPr>
              <w:t xml:space="preserve">　</w:t>
            </w:r>
            <w:r w:rsidRPr="00501C36">
              <w:rPr>
                <w:iCs/>
                <w:color w:val="000000"/>
                <w:w w:val="15"/>
                <w:shd w:val="solid" w:color="000000" w:fill="000000"/>
                <w:fitText w:val="45" w:id="-893683444"/>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4"/>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2C62DEF6" w14:textId="1E0CAED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3"/>
                <w14:textFill>
                  <w14:solidFill>
                    <w14:srgbClr w14:val="000000">
                      <w14:alpha w14:val="100000"/>
                    </w14:srgbClr>
                  </w14:solidFill>
                </w14:textFill>
              </w:rPr>
              <w:t xml:space="preserve">　</w:t>
            </w:r>
            <w:r w:rsidRPr="00501C36">
              <w:rPr>
                <w:iCs/>
                <w:color w:val="000000"/>
                <w:w w:val="15"/>
                <w:shd w:val="solid" w:color="000000" w:fill="000000"/>
                <w:fitText w:val="45" w:id="-89368344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3"/>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681043A7" w14:textId="3DAD7BCD"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2"/>
                <w14:textFill>
                  <w14:solidFill>
                    <w14:srgbClr w14:val="000000">
                      <w14:alpha w14:val="100000"/>
                    </w14:srgbClr>
                  </w14:solidFill>
                </w14:textFill>
              </w:rPr>
              <w:t xml:space="preserve">　</w:t>
            </w:r>
            <w:r w:rsidRPr="00501C36">
              <w:rPr>
                <w:iCs/>
                <w:color w:val="000000"/>
                <w:w w:val="15"/>
                <w:shd w:val="solid" w:color="000000" w:fill="000000"/>
                <w:fitText w:val="45" w:id="-89368344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2"/>
                <w14:textFill>
                  <w14:solidFill>
                    <w14:srgbClr w14:val="000000">
                      <w14:alpha w14:val="100000"/>
                    </w14:srgbClr>
                  </w14:solidFill>
                </w14:textFill>
              </w:rPr>
              <w:t xml:space="preserve">　</w:t>
            </w:r>
            <w:r w:rsidR="00C522F2" w:rsidRPr="003F0AD1">
              <w:rPr>
                <w:vertAlign w:val="superscript"/>
              </w:rPr>
              <w:t>2</w:t>
            </w:r>
          </w:p>
        </w:tc>
        <w:tc>
          <w:tcPr>
            <w:tcW w:w="992" w:type="dxa"/>
            <w:vAlign w:val="center"/>
          </w:tcPr>
          <w:p w14:paraId="53005806" w14:textId="47FF24A9"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41"/>
                <w14:textFill>
                  <w14:solidFill>
                    <w14:srgbClr w14:val="000000">
                      <w14:alpha w14:val="100000"/>
                    </w14:srgbClr>
                  </w14:solidFill>
                </w14:textFill>
              </w:rPr>
              <w:t xml:space="preserve">　</w:t>
            </w:r>
            <w:r w:rsidRPr="00501C36">
              <w:rPr>
                <w:iCs/>
                <w:color w:val="000000"/>
                <w:w w:val="15"/>
                <w:shd w:val="solid" w:color="000000" w:fill="000000"/>
                <w:fitText w:val="45" w:id="-89368344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41"/>
                <w14:textFill>
                  <w14:solidFill>
                    <w14:srgbClr w14:val="000000">
                      <w14:alpha w14:val="100000"/>
                    </w14:srgbClr>
                  </w14:solidFill>
                </w14:textFill>
              </w:rPr>
              <w:t xml:space="preserve">　</w:t>
            </w:r>
            <w:r w:rsidR="00C522F2" w:rsidRPr="003F0AD1">
              <w:rPr>
                <w:vertAlign w:val="superscript"/>
              </w:rPr>
              <w:t>2</w:t>
            </w:r>
          </w:p>
        </w:tc>
        <w:tc>
          <w:tcPr>
            <w:tcW w:w="1087" w:type="dxa"/>
            <w:vAlign w:val="center"/>
          </w:tcPr>
          <w:p w14:paraId="4F3DCFC5" w14:textId="514083A7"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1158A07F" w14:textId="77F06623"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0"/>
                <w:shd w:val="solid" w:color="000000" w:fill="000000"/>
                <w:fitText w:val="90" w:id="-893683440"/>
                <w14:textFill>
                  <w14:solidFill>
                    <w14:srgbClr w14:val="000000">
                      <w14:alpha w14:val="100000"/>
                    </w14:srgbClr>
                  </w14:solidFill>
                </w14:textFill>
              </w:rPr>
              <w:t xml:space="preserve">　</w:t>
            </w:r>
            <w:r w:rsidR="00501C36" w:rsidRPr="00501C36">
              <w:rPr>
                <w:iCs/>
                <w:color w:val="000000"/>
                <w:w w:val="20"/>
                <w:shd w:val="solid" w:color="000000" w:fill="000000"/>
                <w:fitText w:val="90" w:id="-893683440"/>
                <w14:textFill>
                  <w14:solidFill>
                    <w14:srgbClr w14:val="000000">
                      <w14:alpha w14:val="100000"/>
                    </w14:srgbClr>
                  </w14:solidFill>
                </w14:textFill>
              </w:rPr>
              <w:t>|</w:t>
            </w:r>
            <w:r w:rsidR="00501C36" w:rsidRPr="00501C36">
              <w:rPr>
                <w:rFonts w:hint="eastAsia"/>
                <w:iCs/>
                <w:color w:val="000000"/>
                <w:spacing w:val="3"/>
                <w:w w:val="20"/>
                <w:shd w:val="solid" w:color="000000" w:fill="000000"/>
                <w:fitText w:val="90" w:id="-893683440"/>
                <w14:textFill>
                  <w14:solidFill>
                    <w14:srgbClr w14:val="000000">
                      <w14:alpha w14:val="100000"/>
                    </w14:srgbClr>
                  </w14:solidFill>
                </w14:textFill>
              </w:rPr>
              <w:t xml:space="preserve">　</w:t>
            </w:r>
            <w:r w:rsidRPr="00E16CF9">
              <w:rPr>
                <w:iCs/>
              </w:rPr>
              <w:t>%)</w:t>
            </w:r>
          </w:p>
        </w:tc>
      </w:tr>
      <w:tr w:rsidR="00E16CF9" w:rsidRPr="00E16CF9" w14:paraId="7A0BABC4" w14:textId="77777777" w:rsidTr="002621BF">
        <w:tc>
          <w:tcPr>
            <w:tcW w:w="1271" w:type="dxa"/>
            <w:vAlign w:val="center"/>
          </w:tcPr>
          <w:p w14:paraId="17C40BFA" w14:textId="6734A410" w:rsidR="00E16CF9" w:rsidRPr="00E3560E" w:rsidRDefault="00E16CF9" w:rsidP="00854496">
            <w:pPr>
              <w:pStyle w:val="TableText0"/>
              <w:keepNext w:val="0"/>
            </w:pPr>
            <w:r w:rsidRPr="00E16CF9">
              <w:t>3.66yrs</w:t>
            </w:r>
            <w:r w:rsidRPr="00E16CF9">
              <w:rPr>
                <w:vertAlign w:val="superscript"/>
              </w:rPr>
              <w:t>h</w:t>
            </w:r>
            <w:r w:rsidR="00E3560E">
              <w:t xml:space="preserve"> ($)</w:t>
            </w:r>
          </w:p>
        </w:tc>
        <w:tc>
          <w:tcPr>
            <w:tcW w:w="1134" w:type="dxa"/>
            <w:vAlign w:val="center"/>
          </w:tcPr>
          <w:p w14:paraId="570C3DC0" w14:textId="7A845049" w:rsidR="00E16CF9" w:rsidRPr="0009066F" w:rsidRDefault="00501C36" w:rsidP="00854496">
            <w:pPr>
              <w:pStyle w:val="TableText0"/>
              <w:keepNext w:val="0"/>
              <w:jc w:val="center"/>
              <w:rPr>
                <w:iCs/>
                <w:highlight w:val="lightGray"/>
              </w:rPr>
            </w:pPr>
            <w:r w:rsidRPr="00501C36">
              <w:rPr>
                <w:rFonts w:hint="eastAsia"/>
                <w:color w:val="000000"/>
                <w:w w:val="15"/>
                <w:shd w:val="solid" w:color="000000" w:fill="000000"/>
                <w:fitText w:val="45" w:id="-893683456"/>
                <w14:textFill>
                  <w14:solidFill>
                    <w14:srgbClr w14:val="000000">
                      <w14:alpha w14:val="100000"/>
                    </w14:srgbClr>
                  </w14:solidFill>
                </w14:textFill>
              </w:rPr>
              <w:t xml:space="preserve">　</w:t>
            </w:r>
            <w:r w:rsidRPr="00501C36">
              <w:rPr>
                <w:color w:val="000000"/>
                <w:w w:val="15"/>
                <w:shd w:val="solid" w:color="000000" w:fill="000000"/>
                <w:fitText w:val="45" w:id="-893683456"/>
                <w14:textFill>
                  <w14:solidFill>
                    <w14:srgbClr w14:val="000000">
                      <w14:alpha w14:val="100000"/>
                    </w14:srgbClr>
                  </w14:solidFill>
                </w14:textFill>
              </w:rPr>
              <w:t>|</w:t>
            </w:r>
            <w:r w:rsidRPr="00501C36">
              <w:rPr>
                <w:rFonts w:hint="eastAsia"/>
                <w:color w:val="000000"/>
                <w:spacing w:val="-20"/>
                <w:w w:val="15"/>
                <w:shd w:val="solid" w:color="000000" w:fill="000000"/>
                <w:fitText w:val="45" w:id="-893683456"/>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0BA9D6FB" w14:textId="4CB49633" w:rsidR="00E16CF9" w:rsidRPr="0009066F" w:rsidRDefault="00501C36" w:rsidP="00854496">
            <w:pPr>
              <w:pStyle w:val="TableText0"/>
              <w:keepNext w:val="0"/>
              <w:jc w:val="center"/>
              <w:rPr>
                <w:iCs/>
                <w:highlight w:val="lightGray"/>
              </w:rPr>
            </w:pPr>
            <w:r w:rsidRPr="00501C36">
              <w:rPr>
                <w:rFonts w:hint="eastAsia"/>
                <w:color w:val="000000"/>
                <w:w w:val="15"/>
                <w:shd w:val="solid" w:color="000000" w:fill="000000"/>
                <w:fitText w:val="45" w:id="-893683455"/>
                <w14:textFill>
                  <w14:solidFill>
                    <w14:srgbClr w14:val="000000">
                      <w14:alpha w14:val="100000"/>
                    </w14:srgbClr>
                  </w14:solidFill>
                </w14:textFill>
              </w:rPr>
              <w:t xml:space="preserve">　</w:t>
            </w:r>
            <w:r w:rsidRPr="00501C36">
              <w:rPr>
                <w:color w:val="000000"/>
                <w:w w:val="15"/>
                <w:shd w:val="solid" w:color="000000" w:fill="000000"/>
                <w:fitText w:val="45" w:id="-893683455"/>
                <w14:textFill>
                  <w14:solidFill>
                    <w14:srgbClr w14:val="000000">
                      <w14:alpha w14:val="100000"/>
                    </w14:srgbClr>
                  </w14:solidFill>
                </w14:textFill>
              </w:rPr>
              <w:t>|</w:t>
            </w:r>
            <w:r w:rsidRPr="00501C36">
              <w:rPr>
                <w:rFonts w:hint="eastAsia"/>
                <w:color w:val="000000"/>
                <w:spacing w:val="-20"/>
                <w:w w:val="15"/>
                <w:shd w:val="solid" w:color="000000" w:fill="000000"/>
                <w:fitText w:val="45" w:id="-893683455"/>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0DA901B3" w14:textId="078C4A0F" w:rsidR="00E16CF9" w:rsidRPr="0009066F" w:rsidRDefault="00501C36" w:rsidP="00854496">
            <w:pPr>
              <w:pStyle w:val="TableText0"/>
              <w:keepNext w:val="0"/>
              <w:jc w:val="center"/>
              <w:rPr>
                <w:iCs/>
                <w:highlight w:val="lightGray"/>
              </w:rPr>
            </w:pPr>
            <w:r w:rsidRPr="00501C36">
              <w:rPr>
                <w:rFonts w:hint="eastAsia"/>
                <w:color w:val="000000"/>
                <w:w w:val="15"/>
                <w:shd w:val="solid" w:color="000000" w:fill="000000"/>
                <w:fitText w:val="45" w:id="-893683454"/>
                <w14:textFill>
                  <w14:solidFill>
                    <w14:srgbClr w14:val="000000">
                      <w14:alpha w14:val="100000"/>
                    </w14:srgbClr>
                  </w14:solidFill>
                </w14:textFill>
              </w:rPr>
              <w:t xml:space="preserve">　</w:t>
            </w:r>
            <w:r w:rsidRPr="00501C36">
              <w:rPr>
                <w:color w:val="000000"/>
                <w:w w:val="15"/>
                <w:shd w:val="solid" w:color="000000" w:fill="000000"/>
                <w:fitText w:val="45" w:id="-893683454"/>
                <w14:textFill>
                  <w14:solidFill>
                    <w14:srgbClr w14:val="000000">
                      <w14:alpha w14:val="100000"/>
                    </w14:srgbClr>
                  </w14:solidFill>
                </w14:textFill>
              </w:rPr>
              <w:t>|</w:t>
            </w:r>
            <w:r w:rsidRPr="00501C36">
              <w:rPr>
                <w:rFonts w:hint="eastAsia"/>
                <w:color w:val="000000"/>
                <w:spacing w:val="-20"/>
                <w:w w:val="15"/>
                <w:shd w:val="solid" w:color="000000" w:fill="000000"/>
                <w:fitText w:val="45" w:id="-893683454"/>
                <w14:textFill>
                  <w14:solidFill>
                    <w14:srgbClr w14:val="000000">
                      <w14:alpha w14:val="100000"/>
                    </w14:srgbClr>
                  </w14:solidFill>
                </w14:textFill>
              </w:rPr>
              <w:t xml:space="preserve">　</w:t>
            </w:r>
            <w:r w:rsidR="00C522F2" w:rsidRPr="003F0AD1">
              <w:rPr>
                <w:vertAlign w:val="superscript"/>
              </w:rPr>
              <w:t>2</w:t>
            </w:r>
          </w:p>
        </w:tc>
        <w:tc>
          <w:tcPr>
            <w:tcW w:w="1134" w:type="dxa"/>
            <w:vAlign w:val="center"/>
          </w:tcPr>
          <w:p w14:paraId="27B2F171" w14:textId="16B40563"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3"/>
                <w14:textFill>
                  <w14:solidFill>
                    <w14:srgbClr w14:val="000000">
                      <w14:alpha w14:val="100000"/>
                    </w14:srgbClr>
                  </w14:solidFill>
                </w14:textFill>
              </w:rPr>
              <w:t xml:space="preserve">　</w:t>
            </w:r>
            <w:r w:rsidRPr="00501C36">
              <w:rPr>
                <w:iCs/>
                <w:color w:val="000000"/>
                <w:w w:val="15"/>
                <w:shd w:val="solid" w:color="000000" w:fill="000000"/>
                <w:fitText w:val="45" w:id="-893683453"/>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3"/>
                <w14:textFill>
                  <w14:solidFill>
                    <w14:srgbClr w14:val="000000">
                      <w14:alpha w14:val="100000"/>
                    </w14:srgbClr>
                  </w14:solidFill>
                </w14:textFill>
              </w:rPr>
              <w:t xml:space="preserve">　</w:t>
            </w:r>
            <w:r w:rsidR="00FE090C" w:rsidRPr="003F0AD1">
              <w:rPr>
                <w:vertAlign w:val="superscript"/>
              </w:rPr>
              <w:t>1</w:t>
            </w:r>
          </w:p>
        </w:tc>
        <w:tc>
          <w:tcPr>
            <w:tcW w:w="1134" w:type="dxa"/>
            <w:vAlign w:val="center"/>
          </w:tcPr>
          <w:p w14:paraId="16E5457C" w14:textId="7C127850"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2"/>
                <w14:textFill>
                  <w14:solidFill>
                    <w14:srgbClr w14:val="000000">
                      <w14:alpha w14:val="100000"/>
                    </w14:srgbClr>
                  </w14:solidFill>
                </w14:textFill>
              </w:rPr>
              <w:t xml:space="preserve">　</w:t>
            </w:r>
            <w:r w:rsidRPr="00501C36">
              <w:rPr>
                <w:iCs/>
                <w:color w:val="000000"/>
                <w:w w:val="15"/>
                <w:shd w:val="solid" w:color="000000" w:fill="000000"/>
                <w:fitText w:val="45" w:id="-893683452"/>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2"/>
                <w14:textFill>
                  <w14:solidFill>
                    <w14:srgbClr w14:val="000000">
                      <w14:alpha w14:val="100000"/>
                    </w14:srgbClr>
                  </w14:solidFill>
                </w14:textFill>
              </w:rPr>
              <w:t xml:space="preserve">　</w:t>
            </w:r>
            <w:r w:rsidR="00C522F2" w:rsidRPr="003F0AD1">
              <w:rPr>
                <w:vertAlign w:val="superscript"/>
              </w:rPr>
              <w:t>3</w:t>
            </w:r>
          </w:p>
        </w:tc>
        <w:tc>
          <w:tcPr>
            <w:tcW w:w="992" w:type="dxa"/>
            <w:vAlign w:val="center"/>
          </w:tcPr>
          <w:p w14:paraId="74A759D2" w14:textId="41B124E2" w:rsidR="00E16CF9" w:rsidRPr="0009066F" w:rsidRDefault="00501C36" w:rsidP="00854496">
            <w:pPr>
              <w:pStyle w:val="TableText0"/>
              <w:keepNext w:val="0"/>
              <w:jc w:val="center"/>
              <w:rPr>
                <w:iCs/>
                <w:highlight w:val="lightGray"/>
              </w:rPr>
            </w:pPr>
            <w:r w:rsidRPr="00501C36">
              <w:rPr>
                <w:rFonts w:hint="eastAsia"/>
                <w:iCs/>
                <w:color w:val="000000"/>
                <w:w w:val="15"/>
                <w:shd w:val="solid" w:color="000000" w:fill="000000"/>
                <w:fitText w:val="45" w:id="-893683451"/>
                <w14:textFill>
                  <w14:solidFill>
                    <w14:srgbClr w14:val="000000">
                      <w14:alpha w14:val="100000"/>
                    </w14:srgbClr>
                  </w14:solidFill>
                </w14:textFill>
              </w:rPr>
              <w:t xml:space="preserve">　</w:t>
            </w:r>
            <w:r w:rsidRPr="00501C36">
              <w:rPr>
                <w:iCs/>
                <w:color w:val="000000"/>
                <w:w w:val="15"/>
                <w:shd w:val="solid" w:color="000000" w:fill="000000"/>
                <w:fitText w:val="45" w:id="-893683451"/>
                <w14:textFill>
                  <w14:solidFill>
                    <w14:srgbClr w14:val="000000">
                      <w14:alpha w14:val="100000"/>
                    </w14:srgbClr>
                  </w14:solidFill>
                </w14:textFill>
              </w:rPr>
              <w:t>|</w:t>
            </w:r>
            <w:r w:rsidRPr="00501C36">
              <w:rPr>
                <w:rFonts w:hint="eastAsia"/>
                <w:iCs/>
                <w:color w:val="000000"/>
                <w:spacing w:val="-20"/>
                <w:w w:val="15"/>
                <w:shd w:val="solid" w:color="000000" w:fill="000000"/>
                <w:fitText w:val="45" w:id="-893683451"/>
                <w14:textFill>
                  <w14:solidFill>
                    <w14:srgbClr w14:val="000000">
                      <w14:alpha w14:val="100000"/>
                    </w14:srgbClr>
                  </w14:solidFill>
                </w14:textFill>
              </w:rPr>
              <w:t xml:space="preserve">　</w:t>
            </w:r>
            <w:r w:rsidR="00C522F2" w:rsidRPr="003F0AD1">
              <w:rPr>
                <w:vertAlign w:val="superscript"/>
              </w:rPr>
              <w:t>4</w:t>
            </w:r>
          </w:p>
        </w:tc>
        <w:tc>
          <w:tcPr>
            <w:tcW w:w="1087" w:type="dxa"/>
            <w:vAlign w:val="center"/>
          </w:tcPr>
          <w:p w14:paraId="532DBAD5" w14:textId="00F2CA5B" w:rsidR="00E16CF9" w:rsidRPr="00E16CF9" w:rsidRDefault="00501C36" w:rsidP="00854496">
            <w:pPr>
              <w:pStyle w:val="TableText0"/>
              <w:keepNext w:val="0"/>
              <w:jc w:val="center"/>
              <w:rPr>
                <w:iCs/>
              </w:rPr>
            </w:pPr>
            <w:r w:rsidRPr="00501C36">
              <w:rPr>
                <w:iCs/>
                <w:color w:val="000000"/>
                <w:shd w:val="solid" w:color="000000" w:fill="000000"/>
                <w14:textFill>
                  <w14:solidFill>
                    <w14:srgbClr w14:val="000000">
                      <w14:alpha w14:val="100000"/>
                    </w14:srgbClr>
                  </w14:solidFill>
                </w14:textFill>
              </w:rPr>
              <w:t>|</w:t>
            </w:r>
            <w:r w:rsidR="00B4602F" w:rsidRPr="003F0AD1">
              <w:rPr>
                <w:vertAlign w:val="superscript"/>
              </w:rPr>
              <w:t>5</w:t>
            </w:r>
          </w:p>
          <w:p w14:paraId="1C656CCD" w14:textId="0475E0F6" w:rsidR="00E16CF9" w:rsidRPr="00E16CF9" w:rsidRDefault="00E16CF9" w:rsidP="00854496">
            <w:pPr>
              <w:pStyle w:val="TableText0"/>
              <w:keepNext w:val="0"/>
              <w:jc w:val="center"/>
              <w:rPr>
                <w:iCs/>
              </w:rPr>
            </w:pPr>
            <w:r w:rsidRPr="00E16CF9">
              <w:rPr>
                <w:iCs/>
              </w:rPr>
              <w:t>(-</w:t>
            </w:r>
            <w:r w:rsidR="00501C36" w:rsidRPr="00501C36">
              <w:rPr>
                <w:rFonts w:hint="eastAsia"/>
                <w:iCs/>
                <w:color w:val="000000"/>
                <w:w w:val="27"/>
                <w:shd w:val="solid" w:color="000000" w:fill="000000"/>
                <w:fitText w:val="120" w:id="-893683450"/>
                <w14:textFill>
                  <w14:solidFill>
                    <w14:srgbClr w14:val="000000">
                      <w14:alpha w14:val="100000"/>
                    </w14:srgbClr>
                  </w14:solidFill>
                </w14:textFill>
              </w:rPr>
              <w:t xml:space="preserve">　</w:t>
            </w:r>
            <w:r w:rsidR="00501C36" w:rsidRPr="00501C36">
              <w:rPr>
                <w:iCs/>
                <w:color w:val="000000"/>
                <w:w w:val="27"/>
                <w:shd w:val="solid" w:color="000000" w:fill="000000"/>
                <w:fitText w:val="120" w:id="-893683450"/>
                <w14:textFill>
                  <w14:solidFill>
                    <w14:srgbClr w14:val="000000">
                      <w14:alpha w14:val="100000"/>
                    </w14:srgbClr>
                  </w14:solidFill>
                </w14:textFill>
              </w:rPr>
              <w:t>|</w:t>
            </w:r>
            <w:r w:rsidR="00501C36" w:rsidRPr="00501C36">
              <w:rPr>
                <w:rFonts w:hint="eastAsia"/>
                <w:iCs/>
                <w:color w:val="000000"/>
                <w:spacing w:val="2"/>
                <w:w w:val="27"/>
                <w:shd w:val="solid" w:color="000000" w:fill="000000"/>
                <w:fitText w:val="120" w:id="-893683450"/>
                <w14:textFill>
                  <w14:solidFill>
                    <w14:srgbClr w14:val="000000">
                      <w14:alpha w14:val="100000"/>
                    </w14:srgbClr>
                  </w14:solidFill>
                </w14:textFill>
              </w:rPr>
              <w:t xml:space="preserve">　</w:t>
            </w:r>
            <w:r w:rsidRPr="00E16CF9">
              <w:rPr>
                <w:iCs/>
              </w:rPr>
              <w:t>%)</w:t>
            </w:r>
          </w:p>
        </w:tc>
      </w:tr>
    </w:tbl>
    <w:p w14:paraId="2CC9805B" w14:textId="77777777" w:rsidR="00E16CF9" w:rsidRPr="00E16CF9" w:rsidRDefault="00E16CF9" w:rsidP="00E16CF9">
      <w:pPr>
        <w:pStyle w:val="TableFigureFooter"/>
        <w:rPr>
          <w:iCs/>
        </w:rPr>
      </w:pPr>
      <w:r>
        <w:t xml:space="preserve">Source: Table 4.7-1 of the submission </w:t>
      </w:r>
      <w:r w:rsidRPr="00E16CF9">
        <w:rPr>
          <w:iCs/>
        </w:rPr>
        <w:t>and compiled during the evaluation</w:t>
      </w:r>
    </w:p>
    <w:p w14:paraId="494DEA2A" w14:textId="77777777" w:rsidR="00E16CF9" w:rsidRPr="001A6BA2" w:rsidRDefault="00E16CF9" w:rsidP="00E16CF9">
      <w:pPr>
        <w:pStyle w:val="TableFigureFooter"/>
      </w:pPr>
      <w:r>
        <w:t>yr=year, ECOG PS=</w:t>
      </w:r>
      <w:r w:rsidRPr="001A6BA2">
        <w:t>Eastern Cooperative Oncology Group Performance Status</w:t>
      </w:r>
    </w:p>
    <w:p w14:paraId="4D1D358F" w14:textId="77777777" w:rsidR="00E16CF9" w:rsidRDefault="00E16CF9" w:rsidP="00E16CF9">
      <w:pPr>
        <w:pStyle w:val="TableFigureFooter"/>
      </w:pPr>
      <w:r>
        <w:t>a</w:t>
      </w:r>
      <w:r>
        <w:tab/>
        <w:t>Table 4.2-1 of the submission. Average 1.91, range 1.1 (Evans 2010) to 2.6 (Neumann and wiestler 1991)</w:t>
      </w:r>
    </w:p>
    <w:p w14:paraId="749C82CB" w14:textId="77777777" w:rsidR="00E16CF9" w:rsidRDefault="00E16CF9" w:rsidP="00E16CF9">
      <w:pPr>
        <w:pStyle w:val="TableFigureFooter"/>
        <w:ind w:left="165" w:hanging="165"/>
      </w:pPr>
      <w:r>
        <w:t>b</w:t>
      </w:r>
      <w:r>
        <w:tab/>
      </w:r>
      <w:r w:rsidRPr="00C87DC5">
        <w:t>constant probability that 83% prevalent patients would be diagnosed at any time (assuming it takes 6 years for 85% of a cohort to be diagnosed) and that untreated patients from previous years should form part of the prevalent population the following year.</w:t>
      </w:r>
      <w:r>
        <w:t xml:space="preserve"> Also restricts population to 18+ from ABS population in Sheet ‘8. ABS population’ to avoid overcounting</w:t>
      </w:r>
    </w:p>
    <w:p w14:paraId="33528967" w14:textId="77777777" w:rsidR="00E16CF9" w:rsidRDefault="00E16CF9" w:rsidP="00E16CF9">
      <w:pPr>
        <w:pStyle w:val="TableFigureFooter"/>
        <w:ind w:left="165" w:hanging="165"/>
      </w:pPr>
      <w:r>
        <w:t>c</w:t>
      </w:r>
      <w:r>
        <w:tab/>
        <w:t>Table 4.2-4 of the submission. 63% minimum from Dallagnol 2023. 89% from Optum CDM includes patients not in need of immediate surgery and sensitivity analysis adjusts for this.</w:t>
      </w:r>
    </w:p>
    <w:p w14:paraId="006DFE60" w14:textId="77777777" w:rsidR="00E16CF9" w:rsidRDefault="00E16CF9" w:rsidP="00E16CF9">
      <w:pPr>
        <w:pStyle w:val="TableFigureFooter"/>
      </w:pPr>
      <w:r>
        <w:t>d</w:t>
      </w:r>
      <w:r>
        <w:tab/>
        <w:t>range from studies presented on p245 of the submission</w:t>
      </w:r>
    </w:p>
    <w:p w14:paraId="16C46711" w14:textId="77777777" w:rsidR="00E16CF9" w:rsidRDefault="00E16CF9" w:rsidP="00E16CF9">
      <w:pPr>
        <w:pStyle w:val="TableFigureFooter"/>
      </w:pPr>
      <w:r>
        <w:t>e</w:t>
      </w:r>
      <w:r>
        <w:tab/>
        <w:t>Aravelo 2022</w:t>
      </w:r>
    </w:p>
    <w:p w14:paraId="07B2C7E1" w14:textId="77777777" w:rsidR="00E16CF9" w:rsidRDefault="00E16CF9" w:rsidP="00E16CF9">
      <w:pPr>
        <w:pStyle w:val="TableFigureFooter"/>
      </w:pPr>
      <w:r>
        <w:t>f</w:t>
      </w:r>
      <w:r>
        <w:tab/>
        <w:t>mean time on treatment in economic analyses was 4.52-4.57years</w:t>
      </w:r>
    </w:p>
    <w:p w14:paraId="70AAB367" w14:textId="77777777" w:rsidR="00E16CF9" w:rsidRDefault="00E16CF9" w:rsidP="00E16CF9">
      <w:pPr>
        <w:pStyle w:val="TableFigureFooter"/>
      </w:pPr>
      <w:r>
        <w:t>g</w:t>
      </w:r>
      <w:r>
        <w:tab/>
        <w:t>proxy for indefinite treatment. Financial estimates cost for 6 years per patient (new or grandfathered)</w:t>
      </w:r>
    </w:p>
    <w:p w14:paraId="48813A93" w14:textId="49F1427D" w:rsidR="00E16CF9" w:rsidRDefault="00E16CF9" w:rsidP="00E16CF9">
      <w:pPr>
        <w:pStyle w:val="TableFigureFooter"/>
        <w:ind w:left="165" w:hanging="165"/>
      </w:pPr>
      <w:r>
        <w:t>h</w:t>
      </w:r>
      <w:r>
        <w:tab/>
        <w:t>submission stated this was from Gompertz extrapolation in the economic model, but time on treatment in models with Gompertz extrapolation ranged from 3.51-3.52 years. Results differed slightly from those in the submission due to rounding.</w:t>
      </w:r>
    </w:p>
    <w:p w14:paraId="4D8F889F" w14:textId="77777777" w:rsidR="00E3560E" w:rsidRPr="0009066F" w:rsidRDefault="00E3560E" w:rsidP="00E3560E">
      <w:pPr>
        <w:pStyle w:val="TableFigureFooter"/>
        <w:ind w:left="165" w:hanging="165"/>
        <w:rPr>
          <w:i/>
          <w:iCs/>
        </w:rPr>
      </w:pPr>
      <w:r w:rsidRPr="0009066F">
        <w:rPr>
          <w:i/>
          <w:iCs/>
        </w:rPr>
        <w:t>The redacted values correspond to the following ranges:</w:t>
      </w:r>
    </w:p>
    <w:p w14:paraId="55DCADBC" w14:textId="7A1A2FB1" w:rsidR="00E3560E" w:rsidRPr="0009066F" w:rsidRDefault="00FE090C" w:rsidP="00E3560E">
      <w:pPr>
        <w:pStyle w:val="TableFigureFooter"/>
        <w:ind w:left="165" w:hanging="165"/>
        <w:rPr>
          <w:i/>
          <w:iCs/>
        </w:rPr>
      </w:pPr>
      <w:r>
        <w:rPr>
          <w:i/>
          <w:iCs/>
        </w:rPr>
        <w:t>1</w:t>
      </w:r>
      <w:r w:rsidR="00E3560E" w:rsidRPr="0009066F">
        <w:rPr>
          <w:i/>
          <w:iCs/>
        </w:rPr>
        <w:t xml:space="preserve"> $20 million to &lt; $30 million</w:t>
      </w:r>
    </w:p>
    <w:p w14:paraId="0E01F132" w14:textId="53F0D595" w:rsidR="00E3560E" w:rsidRPr="0009066F" w:rsidRDefault="00C522F2" w:rsidP="00E3560E">
      <w:pPr>
        <w:pStyle w:val="TableFigureFooter"/>
        <w:ind w:left="165" w:hanging="165"/>
        <w:rPr>
          <w:i/>
          <w:iCs/>
        </w:rPr>
      </w:pPr>
      <w:r>
        <w:rPr>
          <w:i/>
          <w:iCs/>
        </w:rPr>
        <w:t xml:space="preserve">2 </w:t>
      </w:r>
      <w:r w:rsidR="00E3560E" w:rsidRPr="0009066F">
        <w:rPr>
          <w:i/>
          <w:iCs/>
        </w:rPr>
        <w:t>$30 million to &lt; $40 million</w:t>
      </w:r>
    </w:p>
    <w:p w14:paraId="7B8ED437" w14:textId="4B8DB0D9" w:rsidR="00E3560E" w:rsidRDefault="00C522F2" w:rsidP="00E3560E">
      <w:pPr>
        <w:pStyle w:val="TableFigureFooter"/>
        <w:ind w:left="165" w:hanging="165"/>
        <w:rPr>
          <w:i/>
          <w:iCs/>
        </w:rPr>
      </w:pPr>
      <w:r>
        <w:rPr>
          <w:i/>
          <w:iCs/>
        </w:rPr>
        <w:t>3</w:t>
      </w:r>
      <w:r w:rsidR="00E3560E" w:rsidRPr="0009066F">
        <w:rPr>
          <w:i/>
          <w:iCs/>
        </w:rPr>
        <w:t xml:space="preserve"> $10 million to &lt; $20 million</w:t>
      </w:r>
    </w:p>
    <w:p w14:paraId="036007E8" w14:textId="6B84F143" w:rsidR="00C522F2" w:rsidRDefault="00C522F2" w:rsidP="00E3560E">
      <w:pPr>
        <w:pStyle w:val="TableFigureFooter"/>
        <w:ind w:left="165" w:hanging="165"/>
        <w:rPr>
          <w:i/>
          <w:iCs/>
        </w:rPr>
      </w:pPr>
      <w:r>
        <w:rPr>
          <w:i/>
          <w:iCs/>
        </w:rPr>
        <w:t xml:space="preserve">4 </w:t>
      </w:r>
      <w:r w:rsidRPr="00C522F2">
        <w:rPr>
          <w:i/>
          <w:iCs/>
        </w:rPr>
        <w:t>$0 to &lt; $10 million</w:t>
      </w:r>
    </w:p>
    <w:p w14:paraId="6647BB9D" w14:textId="3790068D" w:rsidR="00C522F2" w:rsidRDefault="00C522F2" w:rsidP="00E3560E">
      <w:pPr>
        <w:pStyle w:val="TableFigureFooter"/>
        <w:ind w:left="165" w:hanging="165"/>
        <w:rPr>
          <w:i/>
          <w:iCs/>
        </w:rPr>
      </w:pPr>
      <w:r>
        <w:rPr>
          <w:i/>
          <w:iCs/>
        </w:rPr>
        <w:t xml:space="preserve">5 </w:t>
      </w:r>
      <w:r w:rsidRPr="00C522F2">
        <w:rPr>
          <w:i/>
          <w:iCs/>
        </w:rPr>
        <w:t>$100 million to &lt; $200 million</w:t>
      </w:r>
    </w:p>
    <w:p w14:paraId="11A400A0" w14:textId="1A0E0C30" w:rsidR="00B4602F" w:rsidRDefault="00B4602F" w:rsidP="00E3560E">
      <w:pPr>
        <w:pStyle w:val="TableFigureFooter"/>
        <w:ind w:left="165" w:hanging="165"/>
        <w:rPr>
          <w:i/>
          <w:iCs/>
        </w:rPr>
      </w:pPr>
      <w:r>
        <w:rPr>
          <w:i/>
          <w:iCs/>
        </w:rPr>
        <w:t xml:space="preserve">6 </w:t>
      </w:r>
      <w:r w:rsidRPr="00B4602F">
        <w:rPr>
          <w:i/>
          <w:iCs/>
        </w:rPr>
        <w:t>$40 million to &lt; $50 million</w:t>
      </w:r>
    </w:p>
    <w:p w14:paraId="21575FD2" w14:textId="71AA8403" w:rsidR="00B4602F" w:rsidRDefault="00B4602F" w:rsidP="00E3560E">
      <w:pPr>
        <w:pStyle w:val="TableFigureFooter"/>
        <w:ind w:left="165" w:hanging="165"/>
        <w:rPr>
          <w:i/>
          <w:iCs/>
        </w:rPr>
      </w:pPr>
      <w:r>
        <w:rPr>
          <w:i/>
          <w:iCs/>
        </w:rPr>
        <w:t xml:space="preserve">7 </w:t>
      </w:r>
      <w:r w:rsidRPr="00B4602F">
        <w:rPr>
          <w:i/>
          <w:iCs/>
        </w:rPr>
        <w:t>$80 million to &lt; $90 million</w:t>
      </w:r>
    </w:p>
    <w:p w14:paraId="384386AD" w14:textId="790E5FCE" w:rsidR="00B4602F" w:rsidRDefault="00B4602F" w:rsidP="00E3560E">
      <w:pPr>
        <w:pStyle w:val="TableFigureFooter"/>
        <w:ind w:left="165" w:hanging="165"/>
        <w:rPr>
          <w:i/>
          <w:iCs/>
        </w:rPr>
      </w:pPr>
      <w:r>
        <w:rPr>
          <w:i/>
          <w:iCs/>
        </w:rPr>
        <w:t xml:space="preserve">8 </w:t>
      </w:r>
      <w:r w:rsidRPr="00B4602F">
        <w:rPr>
          <w:i/>
          <w:iCs/>
        </w:rPr>
        <w:t>$50 million to &lt; $60 million</w:t>
      </w:r>
    </w:p>
    <w:p w14:paraId="6F899A49" w14:textId="7BAA1C75" w:rsidR="00B4602F" w:rsidRDefault="00B4602F" w:rsidP="00E3560E">
      <w:pPr>
        <w:pStyle w:val="TableFigureFooter"/>
        <w:ind w:left="165" w:hanging="165"/>
        <w:rPr>
          <w:i/>
          <w:iCs/>
        </w:rPr>
      </w:pPr>
      <w:r>
        <w:rPr>
          <w:i/>
          <w:iCs/>
        </w:rPr>
        <w:t xml:space="preserve">9 </w:t>
      </w:r>
      <w:r w:rsidRPr="00B4602F">
        <w:rPr>
          <w:i/>
          <w:iCs/>
        </w:rPr>
        <w:t>$200 million to &lt; $300 million</w:t>
      </w:r>
    </w:p>
    <w:p w14:paraId="7EE044D9" w14:textId="79D9CF31" w:rsidR="00045F79" w:rsidRPr="0009066F" w:rsidRDefault="00045F79" w:rsidP="00E3560E">
      <w:pPr>
        <w:pStyle w:val="TableFigureFooter"/>
        <w:ind w:left="165" w:hanging="165"/>
        <w:rPr>
          <w:i/>
          <w:iCs/>
        </w:rPr>
      </w:pPr>
      <w:r>
        <w:rPr>
          <w:i/>
          <w:iCs/>
        </w:rPr>
        <w:t xml:space="preserve">10 </w:t>
      </w:r>
      <w:r w:rsidRPr="00045F79">
        <w:rPr>
          <w:i/>
          <w:iCs/>
        </w:rPr>
        <w:t>$70 million to &lt; $80 million</w:t>
      </w:r>
    </w:p>
    <w:p w14:paraId="13082805" w14:textId="664C9EBA" w:rsidR="007676AF" w:rsidRPr="00F354C9" w:rsidRDefault="007676AF" w:rsidP="00F354C9">
      <w:pPr>
        <w:pStyle w:val="3-BodyText"/>
        <w:rPr>
          <w:bCs/>
        </w:rPr>
      </w:pPr>
      <w:r w:rsidRPr="00F354C9">
        <w:rPr>
          <w:bCs/>
        </w:rPr>
        <w:t>DUSC consider</w:t>
      </w:r>
      <w:r w:rsidR="00C81C06">
        <w:rPr>
          <w:bCs/>
        </w:rPr>
        <w:t>ed</w:t>
      </w:r>
      <w:r w:rsidRPr="00F354C9">
        <w:rPr>
          <w:bCs/>
        </w:rPr>
        <w:t xml:space="preserve"> the modelled utilisation presented in the submission to be underestimated, particularly in years 4</w:t>
      </w:r>
      <w:r w:rsidR="00517F3F">
        <w:rPr>
          <w:rFonts w:cstheme="minorHAnsi"/>
          <w:bCs/>
        </w:rPr>
        <w:t>−</w:t>
      </w:r>
      <w:r w:rsidRPr="00F354C9">
        <w:rPr>
          <w:bCs/>
        </w:rPr>
        <w:t>6. The main issues are:</w:t>
      </w:r>
    </w:p>
    <w:p w14:paraId="3AF3FD51" w14:textId="018F2D9C" w:rsidR="007676AF" w:rsidRPr="00AF69AF" w:rsidRDefault="007676AF" w:rsidP="002621BF">
      <w:pPr>
        <w:pStyle w:val="ListParagraph"/>
        <w:numPr>
          <w:ilvl w:val="0"/>
          <w:numId w:val="17"/>
        </w:numPr>
        <w:ind w:left="1134"/>
      </w:pPr>
      <w:r w:rsidRPr="00AF69AF">
        <w:rPr>
          <w:lang w:val="en-US"/>
        </w:rPr>
        <w:lastRenderedPageBreak/>
        <w:t>Time on treatment was underestimated as there is potential for patients to continue treatment</w:t>
      </w:r>
      <w:r w:rsidRPr="00AF69AF">
        <w:t xml:space="preserve"> </w:t>
      </w:r>
      <w:r w:rsidRPr="00AF69AF">
        <w:rPr>
          <w:lang w:val="en-US"/>
        </w:rPr>
        <w:t>without progression, beyond progression (until developing metastatic disease) or receive multiple courses of treatment over the course of life. It is unlikely that use will decrease in years 4</w:t>
      </w:r>
      <w:r w:rsidR="00517F3F">
        <w:rPr>
          <w:rFonts w:cstheme="minorHAnsi"/>
          <w:lang w:val="en-US"/>
        </w:rPr>
        <w:t>−</w:t>
      </w:r>
      <w:r w:rsidRPr="00AF69AF">
        <w:rPr>
          <w:lang w:val="en-US"/>
        </w:rPr>
        <w:t>6 as estimated by the submission.</w:t>
      </w:r>
    </w:p>
    <w:p w14:paraId="3D49DA6D" w14:textId="77777777" w:rsidR="007676AF" w:rsidRPr="00AF69AF" w:rsidRDefault="007676AF" w:rsidP="002621BF">
      <w:pPr>
        <w:pStyle w:val="ListParagraph"/>
        <w:numPr>
          <w:ilvl w:val="0"/>
          <w:numId w:val="17"/>
        </w:numPr>
        <w:ind w:left="1134"/>
      </w:pPr>
      <w:r w:rsidRPr="00AF69AF">
        <w:rPr>
          <w:lang w:val="en-US"/>
        </w:rPr>
        <w:t xml:space="preserve">Newly diagnosed and eligible patients are likely to be younger in the future which may result in longer time on treatment. </w:t>
      </w:r>
    </w:p>
    <w:p w14:paraId="554D64CF" w14:textId="77777777" w:rsidR="007676AF" w:rsidRPr="00AF69AF" w:rsidRDefault="007676AF" w:rsidP="002621BF">
      <w:pPr>
        <w:pStyle w:val="ListParagraph"/>
        <w:numPr>
          <w:ilvl w:val="0"/>
          <w:numId w:val="17"/>
        </w:numPr>
        <w:ind w:left="1134"/>
      </w:pPr>
      <w:r w:rsidRPr="00AF69AF">
        <w:rPr>
          <w:lang w:val="en-US"/>
        </w:rPr>
        <w:t xml:space="preserve">The assumption that patients will elect to commence treatment in the year of diagnosis is incorrect as it is dependent on multiple factors including patient preference to monitor or undergo surgery. </w:t>
      </w:r>
    </w:p>
    <w:p w14:paraId="1521318B" w14:textId="77777777" w:rsidR="007676AF" w:rsidRDefault="007676AF" w:rsidP="002621BF">
      <w:pPr>
        <w:pStyle w:val="ListParagraph"/>
        <w:numPr>
          <w:ilvl w:val="0"/>
          <w:numId w:val="17"/>
        </w:numPr>
        <w:spacing w:before="120"/>
        <w:ind w:left="1134" w:hanging="357"/>
      </w:pPr>
      <w:r w:rsidRPr="00415E96">
        <w:t>The assumption of a cumulative diagnostic rate was not appropriate. It was unlikely that only 35% of the adult population living with VHL would be currently diagnosed, and most patients are likely to already have a diagnosis as a result of a history of VHL-associated lesions, or through genetic testing where a family history was identified.</w:t>
      </w:r>
    </w:p>
    <w:p w14:paraId="3C611442" w14:textId="3A8F45D1" w:rsidR="00F354C9" w:rsidRPr="00F354C9" w:rsidRDefault="00F354C9" w:rsidP="00F354C9">
      <w:pPr>
        <w:pStyle w:val="3-BodyText"/>
        <w:rPr>
          <w:rFonts w:eastAsia="SimSun"/>
        </w:rPr>
      </w:pPr>
      <w:bookmarkStart w:id="94" w:name="_Ref172277730"/>
      <w:r>
        <w:rPr>
          <w:rFonts w:eastAsia="SimSun"/>
        </w:rPr>
        <w:t>The pre-PBAC response made revisions to</w:t>
      </w:r>
      <w:r w:rsidR="00955933">
        <w:rPr>
          <w:rFonts w:eastAsia="SimSun"/>
        </w:rPr>
        <w:t xml:space="preserve"> the modelled utilisation to</w:t>
      </w:r>
      <w:r>
        <w:rPr>
          <w:rFonts w:eastAsia="SimSun"/>
        </w:rPr>
        <w:t xml:space="preserve"> address the DUSC concerns</w:t>
      </w:r>
      <w:r w:rsidR="00955933">
        <w:rPr>
          <w:rFonts w:eastAsia="SimSun"/>
        </w:rPr>
        <w:t>,</w:t>
      </w:r>
      <w:r w:rsidRPr="00F354C9">
        <w:rPr>
          <w:rFonts w:eastAsia="SimSun"/>
        </w:rPr>
        <w:t xml:space="preserve"> which </w:t>
      </w:r>
      <w:r w:rsidR="00A75967">
        <w:rPr>
          <w:rFonts w:eastAsia="SimSun"/>
        </w:rPr>
        <w:t>included</w:t>
      </w:r>
      <w:r w:rsidRPr="00F354C9">
        <w:rPr>
          <w:rFonts w:eastAsia="SimSun"/>
        </w:rPr>
        <w:t>:</w:t>
      </w:r>
      <w:bookmarkEnd w:id="94"/>
    </w:p>
    <w:p w14:paraId="0D30E319" w14:textId="3D8E44D0" w:rsidR="003208ED" w:rsidRDefault="003208ED" w:rsidP="002621BF">
      <w:pPr>
        <w:pStyle w:val="ListParagraph"/>
        <w:numPr>
          <w:ilvl w:val="0"/>
          <w:numId w:val="17"/>
        </w:numPr>
        <w:ind w:left="1134"/>
      </w:pPr>
      <w:r>
        <w:t>Applying an average persistent diagnostic rate of 61% to all prevalent patients in Years 1−6 and grandfathered patients were subtracted from this estimate in Year</w:t>
      </w:r>
      <w:r w:rsidR="006F175E">
        <w:t> </w:t>
      </w:r>
      <w:r>
        <w:t xml:space="preserve">1. </w:t>
      </w:r>
    </w:p>
    <w:p w14:paraId="4F6BA3C6" w14:textId="2A87674C" w:rsidR="00F354C9" w:rsidRPr="00F354C9" w:rsidRDefault="00F354C9" w:rsidP="002621BF">
      <w:pPr>
        <w:pStyle w:val="ListParagraph"/>
        <w:numPr>
          <w:ilvl w:val="0"/>
          <w:numId w:val="17"/>
        </w:numPr>
        <w:ind w:left="1134" w:hanging="357"/>
      </w:pPr>
      <w:r w:rsidRPr="00F354C9">
        <w:t xml:space="preserve">Calculating </w:t>
      </w:r>
      <w:r w:rsidR="00A75967">
        <w:t>an</w:t>
      </w:r>
      <w:r w:rsidRPr="00F354C9">
        <w:t xml:space="preserve"> initiating untreated prevalent pool separately</w:t>
      </w:r>
      <w:r w:rsidR="00A75967">
        <w:t xml:space="preserve">. These figures were based on Year 1 </w:t>
      </w:r>
      <w:r w:rsidR="004276C3">
        <w:t xml:space="preserve">prevalent </w:t>
      </w:r>
      <w:r w:rsidR="00A75967">
        <w:t>patients only;</w:t>
      </w:r>
    </w:p>
    <w:p w14:paraId="6F76C4DC" w14:textId="263A2E33" w:rsidR="00F354C9" w:rsidRPr="00F354C9" w:rsidRDefault="00F354C9" w:rsidP="002621BF">
      <w:pPr>
        <w:pStyle w:val="ListParagraph"/>
        <w:numPr>
          <w:ilvl w:val="0"/>
          <w:numId w:val="17"/>
        </w:numPr>
        <w:ind w:left="1134" w:hanging="357"/>
        <w:rPr>
          <w:rFonts w:eastAsia="SimSun"/>
        </w:rPr>
      </w:pPr>
      <w:r w:rsidRPr="00F354C9">
        <w:t>Increasing time on treatment</w:t>
      </w:r>
      <w:r w:rsidR="00CD6912">
        <w:t xml:space="preserve"> of continuing patients</w:t>
      </w:r>
      <w:r w:rsidR="00955933">
        <w:t xml:space="preserve"> </w:t>
      </w:r>
      <w:r w:rsidRPr="00F354C9">
        <w:t xml:space="preserve">to </w:t>
      </w:r>
      <w:r w:rsidR="00AC7B38">
        <w:t>6 years;</w:t>
      </w:r>
    </w:p>
    <w:p w14:paraId="4F90422E" w14:textId="1E98313F" w:rsidR="00F354C9" w:rsidRDefault="00F354C9" w:rsidP="00F354C9">
      <w:pPr>
        <w:pStyle w:val="3-BodyText"/>
        <w:numPr>
          <w:ilvl w:val="0"/>
          <w:numId w:val="0"/>
        </w:numPr>
        <w:ind w:left="720"/>
        <w:rPr>
          <w:rFonts w:eastAsia="SimSun"/>
        </w:rPr>
      </w:pPr>
      <w:r w:rsidRPr="00F354C9">
        <w:rPr>
          <w:rFonts w:eastAsia="SimSun"/>
        </w:rPr>
        <w:t>The impact of these changes in addition to the re</w:t>
      </w:r>
      <w:r>
        <w:rPr>
          <w:rFonts w:eastAsia="SimSun"/>
        </w:rPr>
        <w:t>duced</w:t>
      </w:r>
      <w:r w:rsidRPr="00F354C9">
        <w:rPr>
          <w:rFonts w:eastAsia="SimSun"/>
        </w:rPr>
        <w:t xml:space="preserve"> </w:t>
      </w:r>
      <w:r>
        <w:rPr>
          <w:rFonts w:eastAsia="SimSun"/>
        </w:rPr>
        <w:t>price offer</w:t>
      </w:r>
      <w:r w:rsidRPr="00F354C9">
        <w:rPr>
          <w:rFonts w:eastAsia="SimSun"/>
        </w:rPr>
        <w:t xml:space="preserve">, leads to an increase in patient numbers and overall net cost to government presented in </w:t>
      </w:r>
      <w:r>
        <w:rPr>
          <w:rFonts w:eastAsia="SimSun"/>
        </w:rPr>
        <w:t>th</w:t>
      </w:r>
      <w:r w:rsidR="00173ED1">
        <w:rPr>
          <w:rFonts w:eastAsia="SimSun"/>
        </w:rPr>
        <w:t>e</w:t>
      </w:r>
      <w:r>
        <w:rPr>
          <w:rFonts w:eastAsia="SimSun"/>
        </w:rPr>
        <w:t xml:space="preserve"> table below.</w:t>
      </w:r>
    </w:p>
    <w:p w14:paraId="2FAF92A6" w14:textId="7C87D9A8" w:rsidR="00F354C9" w:rsidRPr="00F354C9" w:rsidRDefault="00F354C9" w:rsidP="002621BF">
      <w:pPr>
        <w:pStyle w:val="Caption"/>
        <w:rPr>
          <w:b w:val="0"/>
          <w:color w:val="000000" w:themeColor="text1"/>
          <w:szCs w:val="20"/>
        </w:rPr>
      </w:pPr>
      <w:r w:rsidRPr="00F354C9">
        <w:rPr>
          <w:color w:val="000000" w:themeColor="text1"/>
          <w:szCs w:val="20"/>
        </w:rPr>
        <w:lastRenderedPageBreak/>
        <w:t xml:space="preserve">Table </w:t>
      </w:r>
      <w:r w:rsidRPr="00F354C9">
        <w:rPr>
          <w:color w:val="000000" w:themeColor="text1"/>
          <w:szCs w:val="20"/>
        </w:rPr>
        <w:fldChar w:fldCharType="begin" w:fldLock="1"/>
      </w:r>
      <w:r w:rsidRPr="00F354C9">
        <w:rPr>
          <w:color w:val="000000" w:themeColor="text1"/>
          <w:szCs w:val="20"/>
        </w:rPr>
        <w:instrText xml:space="preserve"> SEQ Table \* ARABIC </w:instrText>
      </w:r>
      <w:r w:rsidRPr="00F354C9">
        <w:rPr>
          <w:color w:val="000000" w:themeColor="text1"/>
          <w:szCs w:val="20"/>
        </w:rPr>
        <w:fldChar w:fldCharType="separate"/>
      </w:r>
      <w:r w:rsidR="00437B51">
        <w:rPr>
          <w:noProof/>
          <w:color w:val="000000" w:themeColor="text1"/>
          <w:szCs w:val="20"/>
        </w:rPr>
        <w:t>23</w:t>
      </w:r>
      <w:r w:rsidRPr="00F354C9">
        <w:rPr>
          <w:color w:val="000000" w:themeColor="text1"/>
          <w:szCs w:val="20"/>
        </w:rPr>
        <w:fldChar w:fldCharType="end"/>
      </w:r>
      <w:r w:rsidRPr="00F354C9">
        <w:rPr>
          <w:color w:val="000000" w:themeColor="text1"/>
          <w:szCs w:val="20"/>
        </w:rPr>
        <w:t xml:space="preserve"> </w:t>
      </w:r>
      <w:r w:rsidR="001D4330">
        <w:rPr>
          <w:color w:val="000000" w:themeColor="text1"/>
          <w:szCs w:val="20"/>
        </w:rPr>
        <w:t xml:space="preserve">Revised </w:t>
      </w:r>
      <w:r w:rsidR="001D4330">
        <w:rPr>
          <w:rStyle w:val="CommentReference"/>
          <w:b/>
          <w:szCs w:val="24"/>
        </w:rPr>
        <w:t>e</w:t>
      </w:r>
      <w:r w:rsidR="001D4330" w:rsidRPr="00606FBA">
        <w:rPr>
          <w:rStyle w:val="CommentReference"/>
          <w:b/>
          <w:szCs w:val="24"/>
        </w:rPr>
        <w:t>stimated use and financial implications</w:t>
      </w:r>
      <w:r w:rsidR="001D4330">
        <w:rPr>
          <w:rStyle w:val="CommentReference"/>
          <w:b/>
          <w:szCs w:val="24"/>
        </w:rPr>
        <w:t>, pre-PBAC response</w:t>
      </w:r>
    </w:p>
    <w:tbl>
      <w:tblPr>
        <w:tblStyle w:val="ASDTable2"/>
        <w:tblW w:w="5028" w:type="pct"/>
        <w:tblLayout w:type="fixed"/>
        <w:tblCellMar>
          <w:left w:w="85" w:type="dxa"/>
          <w:right w:w="85" w:type="dxa"/>
        </w:tblCellMar>
        <w:tblLook w:val="04A0" w:firstRow="1" w:lastRow="0" w:firstColumn="1" w:lastColumn="0" w:noHBand="0" w:noVBand="1"/>
        <w:tblCaption w:val="Table 23 Revised estimated use and financial implications, pre-PBAC response"/>
      </w:tblPr>
      <w:tblGrid>
        <w:gridCol w:w="1562"/>
        <w:gridCol w:w="1126"/>
        <w:gridCol w:w="1133"/>
        <w:gridCol w:w="992"/>
        <w:gridCol w:w="1135"/>
        <w:gridCol w:w="994"/>
        <w:gridCol w:w="1135"/>
        <w:gridCol w:w="990"/>
      </w:tblGrid>
      <w:tr w:rsidR="00F354C9" w:rsidRPr="00F354C9" w14:paraId="7CC3CFF5" w14:textId="77777777" w:rsidTr="002621BF">
        <w:trPr>
          <w:trHeight w:val="20"/>
        </w:trPr>
        <w:tc>
          <w:tcPr>
            <w:tcW w:w="861" w:type="pct"/>
          </w:tcPr>
          <w:p w14:paraId="7D99C125" w14:textId="77777777" w:rsidR="00F354C9" w:rsidRPr="00F354C9" w:rsidRDefault="00F354C9" w:rsidP="002621BF">
            <w:pPr>
              <w:pStyle w:val="TableText0"/>
              <w:rPr>
                <w:szCs w:val="20"/>
              </w:rPr>
            </w:pPr>
          </w:p>
        </w:tc>
        <w:tc>
          <w:tcPr>
            <w:tcW w:w="621" w:type="pct"/>
          </w:tcPr>
          <w:p w14:paraId="0E93964A" w14:textId="77777777" w:rsidR="00F354C9" w:rsidRPr="009114DF" w:rsidRDefault="00F354C9" w:rsidP="002621BF">
            <w:pPr>
              <w:pStyle w:val="TableText0"/>
              <w:jc w:val="center"/>
              <w:rPr>
                <w:b/>
                <w:bCs w:val="0"/>
                <w:szCs w:val="20"/>
              </w:rPr>
            </w:pPr>
            <w:r w:rsidRPr="009114DF">
              <w:rPr>
                <w:b/>
                <w:bCs w:val="0"/>
                <w:szCs w:val="20"/>
              </w:rPr>
              <w:t>Year 1</w:t>
            </w:r>
          </w:p>
        </w:tc>
        <w:tc>
          <w:tcPr>
            <w:tcW w:w="625" w:type="pct"/>
          </w:tcPr>
          <w:p w14:paraId="4EF95373" w14:textId="77777777" w:rsidR="00F354C9" w:rsidRPr="009114DF" w:rsidRDefault="00F354C9" w:rsidP="002621BF">
            <w:pPr>
              <w:pStyle w:val="TableText0"/>
              <w:jc w:val="center"/>
              <w:rPr>
                <w:b/>
                <w:bCs w:val="0"/>
                <w:szCs w:val="20"/>
              </w:rPr>
            </w:pPr>
            <w:r w:rsidRPr="009114DF">
              <w:rPr>
                <w:b/>
                <w:bCs w:val="0"/>
                <w:szCs w:val="20"/>
              </w:rPr>
              <w:t>Year 2</w:t>
            </w:r>
          </w:p>
        </w:tc>
        <w:tc>
          <w:tcPr>
            <w:tcW w:w="547" w:type="pct"/>
          </w:tcPr>
          <w:p w14:paraId="4E032FF4" w14:textId="77777777" w:rsidR="00F354C9" w:rsidRPr="009114DF" w:rsidRDefault="00F354C9" w:rsidP="002621BF">
            <w:pPr>
              <w:pStyle w:val="TableText0"/>
              <w:jc w:val="center"/>
              <w:rPr>
                <w:b/>
                <w:bCs w:val="0"/>
                <w:szCs w:val="20"/>
              </w:rPr>
            </w:pPr>
            <w:r w:rsidRPr="009114DF">
              <w:rPr>
                <w:b/>
                <w:bCs w:val="0"/>
                <w:szCs w:val="20"/>
              </w:rPr>
              <w:t>Year 3</w:t>
            </w:r>
          </w:p>
        </w:tc>
        <w:tc>
          <w:tcPr>
            <w:tcW w:w="626" w:type="pct"/>
          </w:tcPr>
          <w:p w14:paraId="6B5380ED" w14:textId="77777777" w:rsidR="00F354C9" w:rsidRPr="009114DF" w:rsidRDefault="00F354C9" w:rsidP="002621BF">
            <w:pPr>
              <w:pStyle w:val="TableText0"/>
              <w:jc w:val="center"/>
              <w:rPr>
                <w:b/>
                <w:bCs w:val="0"/>
                <w:szCs w:val="20"/>
              </w:rPr>
            </w:pPr>
            <w:r w:rsidRPr="009114DF">
              <w:rPr>
                <w:b/>
                <w:bCs w:val="0"/>
                <w:szCs w:val="20"/>
              </w:rPr>
              <w:t>Year 4</w:t>
            </w:r>
          </w:p>
        </w:tc>
        <w:tc>
          <w:tcPr>
            <w:tcW w:w="548" w:type="pct"/>
          </w:tcPr>
          <w:p w14:paraId="7D85E367" w14:textId="77777777" w:rsidR="00F354C9" w:rsidRPr="009114DF" w:rsidRDefault="00F354C9" w:rsidP="002621BF">
            <w:pPr>
              <w:pStyle w:val="TableText0"/>
              <w:jc w:val="center"/>
              <w:rPr>
                <w:b/>
                <w:bCs w:val="0"/>
                <w:szCs w:val="20"/>
              </w:rPr>
            </w:pPr>
            <w:r w:rsidRPr="009114DF">
              <w:rPr>
                <w:b/>
                <w:bCs w:val="0"/>
                <w:szCs w:val="20"/>
              </w:rPr>
              <w:t>Year 5</w:t>
            </w:r>
          </w:p>
        </w:tc>
        <w:tc>
          <w:tcPr>
            <w:tcW w:w="626" w:type="pct"/>
          </w:tcPr>
          <w:p w14:paraId="1471E86C" w14:textId="77777777" w:rsidR="00F354C9" w:rsidRPr="009114DF" w:rsidRDefault="00F354C9" w:rsidP="002621BF">
            <w:pPr>
              <w:pStyle w:val="TableText0"/>
              <w:jc w:val="center"/>
              <w:rPr>
                <w:b/>
                <w:bCs w:val="0"/>
                <w:szCs w:val="20"/>
              </w:rPr>
            </w:pPr>
            <w:r w:rsidRPr="009114DF">
              <w:rPr>
                <w:b/>
                <w:bCs w:val="0"/>
                <w:szCs w:val="20"/>
              </w:rPr>
              <w:t>Year 6</w:t>
            </w:r>
          </w:p>
        </w:tc>
        <w:tc>
          <w:tcPr>
            <w:tcW w:w="545" w:type="pct"/>
          </w:tcPr>
          <w:p w14:paraId="70EE3067" w14:textId="77777777" w:rsidR="00F354C9" w:rsidRPr="009114DF" w:rsidRDefault="00F354C9" w:rsidP="002621BF">
            <w:pPr>
              <w:pStyle w:val="TableText0"/>
              <w:jc w:val="center"/>
              <w:rPr>
                <w:b/>
                <w:bCs w:val="0"/>
                <w:szCs w:val="20"/>
              </w:rPr>
            </w:pPr>
            <w:r w:rsidRPr="009114DF">
              <w:rPr>
                <w:b/>
                <w:bCs w:val="0"/>
                <w:szCs w:val="20"/>
              </w:rPr>
              <w:t>Total</w:t>
            </w:r>
          </w:p>
        </w:tc>
      </w:tr>
      <w:tr w:rsidR="00F354C9" w:rsidRPr="00F354C9" w14:paraId="52E1D061" w14:textId="77777777" w:rsidTr="002621BF">
        <w:trPr>
          <w:trHeight w:val="20"/>
        </w:trPr>
        <w:tc>
          <w:tcPr>
            <w:tcW w:w="5000" w:type="pct"/>
            <w:gridSpan w:val="8"/>
          </w:tcPr>
          <w:p w14:paraId="7F0DE39C" w14:textId="38F62546" w:rsidR="00F354C9" w:rsidRPr="009114DF" w:rsidRDefault="00AE4969" w:rsidP="002621BF">
            <w:pPr>
              <w:pStyle w:val="TableText0"/>
              <w:spacing w:line="276" w:lineRule="auto"/>
              <w:rPr>
                <w:b/>
                <w:bCs w:val="0"/>
                <w:szCs w:val="20"/>
              </w:rPr>
            </w:pPr>
            <w:r>
              <w:rPr>
                <w:b/>
                <w:bCs w:val="0"/>
                <w:szCs w:val="20"/>
              </w:rPr>
              <w:t>Submission</w:t>
            </w:r>
            <w:r w:rsidR="00F354C9" w:rsidRPr="009114DF">
              <w:rPr>
                <w:b/>
                <w:bCs w:val="0"/>
                <w:szCs w:val="20"/>
              </w:rPr>
              <w:t xml:space="preserve"> </w:t>
            </w:r>
            <w:r>
              <w:rPr>
                <w:b/>
                <w:bCs w:val="0"/>
                <w:szCs w:val="20"/>
              </w:rPr>
              <w:t>b</w:t>
            </w:r>
            <w:r w:rsidR="00F354C9" w:rsidRPr="009114DF">
              <w:rPr>
                <w:b/>
                <w:bCs w:val="0"/>
                <w:szCs w:val="20"/>
              </w:rPr>
              <w:t>ase case</w:t>
            </w:r>
          </w:p>
        </w:tc>
      </w:tr>
      <w:tr w:rsidR="00F354C9" w:rsidRPr="00F354C9" w14:paraId="454B2A4E" w14:textId="77777777" w:rsidTr="002621BF">
        <w:trPr>
          <w:trHeight w:val="20"/>
        </w:trPr>
        <w:tc>
          <w:tcPr>
            <w:tcW w:w="861" w:type="pct"/>
          </w:tcPr>
          <w:p w14:paraId="3C040B0E" w14:textId="5B5089D9" w:rsidR="00AC7B38" w:rsidRPr="00D66CD4" w:rsidRDefault="00AC7B38" w:rsidP="002621BF">
            <w:pPr>
              <w:pStyle w:val="TableText0"/>
              <w:spacing w:line="276" w:lineRule="auto"/>
              <w:rPr>
                <w:szCs w:val="20"/>
              </w:rPr>
            </w:pPr>
            <w:r>
              <w:rPr>
                <w:szCs w:val="20"/>
              </w:rPr>
              <w:t xml:space="preserve">Initiating </w:t>
            </w:r>
            <w:r w:rsidRPr="00F354C9">
              <w:rPr>
                <w:szCs w:val="20"/>
              </w:rPr>
              <w:t xml:space="preserve"> </w:t>
            </w:r>
            <w:r w:rsidR="00F354C9" w:rsidRPr="00F354C9">
              <w:rPr>
                <w:szCs w:val="20"/>
              </w:rPr>
              <w:t>patients treated p.a.</w:t>
            </w:r>
            <w:r>
              <w:rPr>
                <w:szCs w:val="20"/>
              </w:rPr>
              <w:t>*</w:t>
            </w:r>
          </w:p>
        </w:tc>
        <w:tc>
          <w:tcPr>
            <w:tcW w:w="621" w:type="pct"/>
            <w:vAlign w:val="center"/>
          </w:tcPr>
          <w:p w14:paraId="0228EE8F" w14:textId="1FCE24D5" w:rsidR="00F354C9" w:rsidRPr="0009066F" w:rsidRDefault="00501C36" w:rsidP="002621BF">
            <w:pPr>
              <w:pStyle w:val="TableText0"/>
              <w:spacing w:line="276" w:lineRule="auto"/>
              <w:jc w:val="center"/>
              <w:rPr>
                <w:szCs w:val="20"/>
                <w:highlight w:val="lightGray"/>
              </w:rPr>
            </w:pPr>
            <w:r w:rsidRPr="00501C36">
              <w:rPr>
                <w:rFonts w:hint="eastAsia"/>
                <w:color w:val="000000"/>
                <w:w w:val="20"/>
                <w:szCs w:val="20"/>
                <w:shd w:val="solid" w:color="000000" w:fill="000000"/>
                <w:fitText w:val="90" w:id="-893683449"/>
                <w14:textFill>
                  <w14:solidFill>
                    <w14:srgbClr w14:val="000000">
                      <w14:alpha w14:val="100000"/>
                    </w14:srgbClr>
                  </w14:solidFill>
                </w14:textFill>
              </w:rPr>
              <w:t xml:space="preserve">　</w:t>
            </w:r>
            <w:r w:rsidRPr="00501C36">
              <w:rPr>
                <w:color w:val="000000"/>
                <w:w w:val="20"/>
                <w:szCs w:val="20"/>
                <w:shd w:val="solid" w:color="000000" w:fill="000000"/>
                <w:fitText w:val="90" w:id="-893683449"/>
                <w14:textFill>
                  <w14:solidFill>
                    <w14:srgbClr w14:val="000000">
                      <w14:alpha w14:val="100000"/>
                    </w14:srgbClr>
                  </w14:solidFill>
                </w14:textFill>
              </w:rPr>
              <w:t>|</w:t>
            </w:r>
            <w:r w:rsidRPr="00501C36">
              <w:rPr>
                <w:rFonts w:hint="eastAsia"/>
                <w:color w:val="000000"/>
                <w:spacing w:val="3"/>
                <w:w w:val="20"/>
                <w:szCs w:val="20"/>
                <w:shd w:val="solid" w:color="000000" w:fill="000000"/>
                <w:fitText w:val="90" w:id="-893683449"/>
                <w14:textFill>
                  <w14:solidFill>
                    <w14:srgbClr w14:val="000000">
                      <w14:alpha w14:val="100000"/>
                    </w14:srgbClr>
                  </w14:solidFill>
                </w14:textFill>
              </w:rPr>
              <w:t xml:space="preserve">　</w:t>
            </w:r>
            <w:r w:rsidR="00045F79" w:rsidRPr="0009066F">
              <w:rPr>
                <w:szCs w:val="20"/>
                <w:vertAlign w:val="superscript"/>
              </w:rPr>
              <w:t>1</w:t>
            </w:r>
          </w:p>
        </w:tc>
        <w:tc>
          <w:tcPr>
            <w:tcW w:w="625" w:type="pct"/>
            <w:vAlign w:val="center"/>
          </w:tcPr>
          <w:p w14:paraId="77548896" w14:textId="62679EFD"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8"/>
                <w14:textFill>
                  <w14:solidFill>
                    <w14:srgbClr w14:val="000000">
                      <w14:alpha w14:val="100000"/>
                    </w14:srgbClr>
                  </w14:solidFill>
                </w14:textFill>
              </w:rPr>
              <w:t xml:space="preserve">　</w:t>
            </w:r>
            <w:r w:rsidRPr="00501C36">
              <w:rPr>
                <w:color w:val="000000"/>
                <w:w w:val="27"/>
                <w:szCs w:val="20"/>
                <w:shd w:val="solid" w:color="000000" w:fill="000000"/>
                <w:fitText w:val="120" w:id="-893683448"/>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8"/>
                <w14:textFill>
                  <w14:solidFill>
                    <w14:srgbClr w14:val="000000">
                      <w14:alpha w14:val="100000"/>
                    </w14:srgbClr>
                  </w14:solidFill>
                </w14:textFill>
              </w:rPr>
              <w:t xml:space="preserve">　</w:t>
            </w:r>
            <w:r w:rsidR="00045F79" w:rsidRPr="003F0AD1">
              <w:rPr>
                <w:szCs w:val="20"/>
                <w:vertAlign w:val="superscript"/>
              </w:rPr>
              <w:t>1</w:t>
            </w:r>
          </w:p>
        </w:tc>
        <w:tc>
          <w:tcPr>
            <w:tcW w:w="547" w:type="pct"/>
            <w:vAlign w:val="center"/>
          </w:tcPr>
          <w:p w14:paraId="0108DBE2" w14:textId="71005FE7"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7"/>
                <w14:textFill>
                  <w14:solidFill>
                    <w14:srgbClr w14:val="000000">
                      <w14:alpha w14:val="100000"/>
                    </w14:srgbClr>
                  </w14:solidFill>
                </w14:textFill>
              </w:rPr>
              <w:t xml:space="preserve">　</w:t>
            </w:r>
            <w:r w:rsidRPr="00501C36">
              <w:rPr>
                <w:color w:val="000000"/>
                <w:w w:val="27"/>
                <w:szCs w:val="20"/>
                <w:shd w:val="solid" w:color="000000" w:fill="000000"/>
                <w:fitText w:val="120" w:id="-893683447"/>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7"/>
                <w14:textFill>
                  <w14:solidFill>
                    <w14:srgbClr w14:val="000000">
                      <w14:alpha w14:val="100000"/>
                    </w14:srgbClr>
                  </w14:solidFill>
                </w14:textFill>
              </w:rPr>
              <w:t xml:space="preserve">　</w:t>
            </w:r>
            <w:r w:rsidR="00045F79" w:rsidRPr="003F0AD1">
              <w:rPr>
                <w:szCs w:val="20"/>
                <w:vertAlign w:val="superscript"/>
              </w:rPr>
              <w:t>1</w:t>
            </w:r>
          </w:p>
        </w:tc>
        <w:tc>
          <w:tcPr>
            <w:tcW w:w="626" w:type="pct"/>
            <w:vAlign w:val="center"/>
          </w:tcPr>
          <w:p w14:paraId="4BE81B2F" w14:textId="0A6A7311"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6"/>
                <w14:textFill>
                  <w14:solidFill>
                    <w14:srgbClr w14:val="000000">
                      <w14:alpha w14:val="100000"/>
                    </w14:srgbClr>
                  </w14:solidFill>
                </w14:textFill>
              </w:rPr>
              <w:t xml:space="preserve">　</w:t>
            </w:r>
            <w:r w:rsidRPr="00501C36">
              <w:rPr>
                <w:color w:val="000000"/>
                <w:w w:val="27"/>
                <w:szCs w:val="20"/>
                <w:shd w:val="solid" w:color="000000" w:fill="000000"/>
                <w:fitText w:val="120" w:id="-893683446"/>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6"/>
                <w14:textFill>
                  <w14:solidFill>
                    <w14:srgbClr w14:val="000000">
                      <w14:alpha w14:val="100000"/>
                    </w14:srgbClr>
                  </w14:solidFill>
                </w14:textFill>
              </w:rPr>
              <w:t xml:space="preserve">　</w:t>
            </w:r>
            <w:r w:rsidR="00045F79" w:rsidRPr="003F0AD1">
              <w:rPr>
                <w:szCs w:val="20"/>
                <w:vertAlign w:val="superscript"/>
              </w:rPr>
              <w:t>1</w:t>
            </w:r>
          </w:p>
        </w:tc>
        <w:tc>
          <w:tcPr>
            <w:tcW w:w="548" w:type="pct"/>
            <w:vAlign w:val="center"/>
          </w:tcPr>
          <w:p w14:paraId="2267A8C1" w14:textId="59BD4843"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5"/>
                <w14:textFill>
                  <w14:solidFill>
                    <w14:srgbClr w14:val="000000">
                      <w14:alpha w14:val="100000"/>
                    </w14:srgbClr>
                  </w14:solidFill>
                </w14:textFill>
              </w:rPr>
              <w:t xml:space="preserve">　</w:t>
            </w:r>
            <w:r w:rsidRPr="00501C36">
              <w:rPr>
                <w:color w:val="000000"/>
                <w:w w:val="27"/>
                <w:szCs w:val="20"/>
                <w:shd w:val="solid" w:color="000000" w:fill="000000"/>
                <w:fitText w:val="120" w:id="-893683445"/>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5"/>
                <w14:textFill>
                  <w14:solidFill>
                    <w14:srgbClr w14:val="000000">
                      <w14:alpha w14:val="100000"/>
                    </w14:srgbClr>
                  </w14:solidFill>
                </w14:textFill>
              </w:rPr>
              <w:t xml:space="preserve">　</w:t>
            </w:r>
            <w:r w:rsidR="00045F79" w:rsidRPr="003F0AD1">
              <w:rPr>
                <w:szCs w:val="20"/>
                <w:vertAlign w:val="superscript"/>
              </w:rPr>
              <w:t>1</w:t>
            </w:r>
          </w:p>
        </w:tc>
        <w:tc>
          <w:tcPr>
            <w:tcW w:w="626" w:type="pct"/>
            <w:vAlign w:val="center"/>
          </w:tcPr>
          <w:p w14:paraId="7DC1A869" w14:textId="3337369D"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4"/>
                <w14:textFill>
                  <w14:solidFill>
                    <w14:srgbClr w14:val="000000">
                      <w14:alpha w14:val="100000"/>
                    </w14:srgbClr>
                  </w14:solidFill>
                </w14:textFill>
              </w:rPr>
              <w:t xml:space="preserve">　</w:t>
            </w:r>
            <w:r w:rsidRPr="00501C36">
              <w:rPr>
                <w:color w:val="000000"/>
                <w:w w:val="27"/>
                <w:szCs w:val="20"/>
                <w:shd w:val="solid" w:color="000000" w:fill="000000"/>
                <w:fitText w:val="120" w:id="-893683444"/>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4"/>
                <w14:textFill>
                  <w14:solidFill>
                    <w14:srgbClr w14:val="000000">
                      <w14:alpha w14:val="100000"/>
                    </w14:srgbClr>
                  </w14:solidFill>
                </w14:textFill>
              </w:rPr>
              <w:t xml:space="preserve">　</w:t>
            </w:r>
            <w:r w:rsidR="00045F79" w:rsidRPr="003F0AD1">
              <w:rPr>
                <w:szCs w:val="20"/>
                <w:vertAlign w:val="superscript"/>
              </w:rPr>
              <w:t>1</w:t>
            </w:r>
          </w:p>
        </w:tc>
        <w:tc>
          <w:tcPr>
            <w:tcW w:w="545" w:type="pct"/>
            <w:vAlign w:val="center"/>
          </w:tcPr>
          <w:p w14:paraId="0966BC1C" w14:textId="6F247F02" w:rsidR="00F354C9" w:rsidRPr="0009066F" w:rsidRDefault="00501C36" w:rsidP="002621BF">
            <w:pPr>
              <w:pStyle w:val="TableText0"/>
              <w:spacing w:line="276" w:lineRule="auto"/>
              <w:jc w:val="center"/>
              <w:rPr>
                <w:szCs w:val="20"/>
                <w:highlight w:val="lightGray"/>
              </w:rPr>
            </w:pPr>
            <w:r w:rsidRPr="00501C36">
              <w:rPr>
                <w:rFonts w:hint="eastAsia"/>
                <w:color w:val="000000"/>
                <w:w w:val="15"/>
                <w:szCs w:val="20"/>
                <w:shd w:val="solid" w:color="000000" w:fill="000000"/>
                <w:fitText w:val="60" w:id="-893683443"/>
                <w14:textFill>
                  <w14:solidFill>
                    <w14:srgbClr w14:val="000000">
                      <w14:alpha w14:val="100000"/>
                    </w14:srgbClr>
                  </w14:solidFill>
                </w14:textFill>
              </w:rPr>
              <w:t xml:space="preserve">　</w:t>
            </w:r>
            <w:r w:rsidRPr="00501C36">
              <w:rPr>
                <w:color w:val="000000"/>
                <w:w w:val="15"/>
                <w:szCs w:val="20"/>
                <w:shd w:val="solid" w:color="000000" w:fill="000000"/>
                <w:fitText w:val="60" w:id="-893683443"/>
                <w14:textFill>
                  <w14:solidFill>
                    <w14:srgbClr w14:val="000000">
                      <w14:alpha w14:val="100000"/>
                    </w14:srgbClr>
                  </w14:solidFill>
                </w14:textFill>
              </w:rPr>
              <w:t>|</w:t>
            </w:r>
            <w:r w:rsidRPr="00501C36">
              <w:rPr>
                <w:rFonts w:hint="eastAsia"/>
                <w:color w:val="000000"/>
                <w:spacing w:val="-5"/>
                <w:w w:val="15"/>
                <w:szCs w:val="20"/>
                <w:shd w:val="solid" w:color="000000" w:fill="000000"/>
                <w:fitText w:val="60" w:id="-893683443"/>
                <w14:textFill>
                  <w14:solidFill>
                    <w14:srgbClr w14:val="000000">
                      <w14:alpha w14:val="100000"/>
                    </w14:srgbClr>
                  </w14:solidFill>
                </w14:textFill>
              </w:rPr>
              <w:t xml:space="preserve">　</w:t>
            </w:r>
            <w:r w:rsidR="00045F79" w:rsidRPr="003F0AD1">
              <w:rPr>
                <w:szCs w:val="20"/>
                <w:vertAlign w:val="superscript"/>
              </w:rPr>
              <w:t>1</w:t>
            </w:r>
          </w:p>
        </w:tc>
      </w:tr>
      <w:tr w:rsidR="00100E4B" w:rsidRPr="00F354C9" w14:paraId="252E0E9F" w14:textId="77777777" w:rsidTr="002621BF">
        <w:trPr>
          <w:trHeight w:val="20"/>
        </w:trPr>
        <w:tc>
          <w:tcPr>
            <w:tcW w:w="861" w:type="pct"/>
          </w:tcPr>
          <w:p w14:paraId="6E7AF537" w14:textId="7A3FFA52" w:rsidR="00100E4B" w:rsidRPr="00F354C9" w:rsidRDefault="00100E4B" w:rsidP="002621BF">
            <w:pPr>
              <w:pStyle w:val="TableText0"/>
              <w:spacing w:line="276" w:lineRule="auto"/>
              <w:rPr>
                <w:szCs w:val="20"/>
              </w:rPr>
            </w:pPr>
            <w:r>
              <w:rPr>
                <w:szCs w:val="20"/>
              </w:rPr>
              <w:t>Scripts dispensed</w:t>
            </w:r>
          </w:p>
        </w:tc>
        <w:tc>
          <w:tcPr>
            <w:tcW w:w="621" w:type="pct"/>
            <w:vAlign w:val="center"/>
          </w:tcPr>
          <w:p w14:paraId="7E1E20D5" w14:textId="0F2CC78F" w:rsidR="00100E4B" w:rsidRPr="0009066F" w:rsidRDefault="00501C36" w:rsidP="002621BF">
            <w:pPr>
              <w:pStyle w:val="TableText0"/>
              <w:spacing w:line="276" w:lineRule="auto"/>
              <w:jc w:val="center"/>
              <w:rPr>
                <w:szCs w:val="20"/>
                <w:highlight w:val="lightGray"/>
              </w:rPr>
            </w:pPr>
            <w:r w:rsidRPr="00501C36">
              <w:rPr>
                <w:rFonts w:hint="eastAsia"/>
                <w:color w:val="000000"/>
                <w:w w:val="20"/>
                <w:szCs w:val="20"/>
                <w:shd w:val="solid" w:color="000000" w:fill="000000"/>
                <w:fitText w:val="90" w:id="-893683442"/>
                <w14:textFill>
                  <w14:solidFill>
                    <w14:srgbClr w14:val="000000">
                      <w14:alpha w14:val="100000"/>
                    </w14:srgbClr>
                  </w14:solidFill>
                </w14:textFill>
              </w:rPr>
              <w:t xml:space="preserve">　</w:t>
            </w:r>
            <w:r w:rsidRPr="00501C36">
              <w:rPr>
                <w:color w:val="000000"/>
                <w:w w:val="20"/>
                <w:szCs w:val="20"/>
                <w:shd w:val="solid" w:color="000000" w:fill="000000"/>
                <w:fitText w:val="90" w:id="-893683442"/>
                <w14:textFill>
                  <w14:solidFill>
                    <w14:srgbClr w14:val="000000">
                      <w14:alpha w14:val="100000"/>
                    </w14:srgbClr>
                  </w14:solidFill>
                </w14:textFill>
              </w:rPr>
              <w:t>|</w:t>
            </w:r>
            <w:r w:rsidRPr="00501C36">
              <w:rPr>
                <w:rFonts w:hint="eastAsia"/>
                <w:color w:val="000000"/>
                <w:spacing w:val="3"/>
                <w:w w:val="20"/>
                <w:szCs w:val="20"/>
                <w:shd w:val="solid" w:color="000000" w:fill="000000"/>
                <w:fitText w:val="90" w:id="-893683442"/>
                <w14:textFill>
                  <w14:solidFill>
                    <w14:srgbClr w14:val="000000">
                      <w14:alpha w14:val="100000"/>
                    </w14:srgbClr>
                  </w14:solidFill>
                </w14:textFill>
              </w:rPr>
              <w:t xml:space="preserve">　</w:t>
            </w:r>
            <w:r w:rsidR="00045F79" w:rsidRPr="0009066F">
              <w:rPr>
                <w:szCs w:val="20"/>
                <w:vertAlign w:val="superscript"/>
              </w:rPr>
              <w:t>2</w:t>
            </w:r>
          </w:p>
        </w:tc>
        <w:tc>
          <w:tcPr>
            <w:tcW w:w="625" w:type="pct"/>
            <w:vAlign w:val="center"/>
          </w:tcPr>
          <w:p w14:paraId="64DE9445" w14:textId="7C0F3863" w:rsidR="00100E4B"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1"/>
                <w14:textFill>
                  <w14:solidFill>
                    <w14:srgbClr w14:val="000000">
                      <w14:alpha w14:val="100000"/>
                    </w14:srgbClr>
                  </w14:solidFill>
                </w14:textFill>
              </w:rPr>
              <w:t xml:space="preserve">　</w:t>
            </w:r>
            <w:r w:rsidRPr="00501C36">
              <w:rPr>
                <w:color w:val="000000"/>
                <w:w w:val="27"/>
                <w:szCs w:val="20"/>
                <w:shd w:val="solid" w:color="000000" w:fill="000000"/>
                <w:fitText w:val="120" w:id="-893683441"/>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1"/>
                <w14:textFill>
                  <w14:solidFill>
                    <w14:srgbClr w14:val="000000">
                      <w14:alpha w14:val="100000"/>
                    </w14:srgbClr>
                  </w14:solidFill>
                </w14:textFill>
              </w:rPr>
              <w:t xml:space="preserve">　</w:t>
            </w:r>
            <w:r w:rsidR="00045F79" w:rsidRPr="003F0AD1">
              <w:rPr>
                <w:szCs w:val="20"/>
                <w:vertAlign w:val="superscript"/>
              </w:rPr>
              <w:t>2</w:t>
            </w:r>
          </w:p>
        </w:tc>
        <w:tc>
          <w:tcPr>
            <w:tcW w:w="547" w:type="pct"/>
            <w:vAlign w:val="center"/>
          </w:tcPr>
          <w:p w14:paraId="49EB15E0" w14:textId="29EF96A1" w:rsidR="00100E4B"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0"/>
                <w14:textFill>
                  <w14:solidFill>
                    <w14:srgbClr w14:val="000000">
                      <w14:alpha w14:val="100000"/>
                    </w14:srgbClr>
                  </w14:solidFill>
                </w14:textFill>
              </w:rPr>
              <w:t xml:space="preserve">　</w:t>
            </w:r>
            <w:r w:rsidRPr="00501C36">
              <w:rPr>
                <w:color w:val="000000"/>
                <w:w w:val="27"/>
                <w:szCs w:val="20"/>
                <w:shd w:val="solid" w:color="000000" w:fill="000000"/>
                <w:fitText w:val="120" w:id="-893683440"/>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0"/>
                <w14:textFill>
                  <w14:solidFill>
                    <w14:srgbClr w14:val="000000">
                      <w14:alpha w14:val="100000"/>
                    </w14:srgbClr>
                  </w14:solidFill>
                </w14:textFill>
              </w:rPr>
              <w:t xml:space="preserve">　</w:t>
            </w:r>
            <w:r w:rsidR="00045F79" w:rsidRPr="003F0AD1">
              <w:rPr>
                <w:szCs w:val="20"/>
                <w:vertAlign w:val="superscript"/>
              </w:rPr>
              <w:t>2</w:t>
            </w:r>
          </w:p>
        </w:tc>
        <w:tc>
          <w:tcPr>
            <w:tcW w:w="626" w:type="pct"/>
            <w:vAlign w:val="center"/>
          </w:tcPr>
          <w:p w14:paraId="5AB3010C" w14:textId="59B4604B" w:rsidR="00100E4B"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6"/>
                <w14:textFill>
                  <w14:solidFill>
                    <w14:srgbClr w14:val="000000">
                      <w14:alpha w14:val="100000"/>
                    </w14:srgbClr>
                  </w14:solidFill>
                </w14:textFill>
              </w:rPr>
              <w:t xml:space="preserve">　</w:t>
            </w:r>
            <w:r w:rsidRPr="00501C36">
              <w:rPr>
                <w:color w:val="000000"/>
                <w:w w:val="27"/>
                <w:szCs w:val="20"/>
                <w:shd w:val="solid" w:color="000000" w:fill="000000"/>
                <w:fitText w:val="120" w:id="-893683456"/>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6"/>
                <w14:textFill>
                  <w14:solidFill>
                    <w14:srgbClr w14:val="000000">
                      <w14:alpha w14:val="100000"/>
                    </w14:srgbClr>
                  </w14:solidFill>
                </w14:textFill>
              </w:rPr>
              <w:t xml:space="preserve">　</w:t>
            </w:r>
            <w:r w:rsidR="0067259A" w:rsidRPr="003F0AD1">
              <w:rPr>
                <w:szCs w:val="20"/>
                <w:vertAlign w:val="superscript"/>
              </w:rPr>
              <w:t>2</w:t>
            </w:r>
          </w:p>
        </w:tc>
        <w:tc>
          <w:tcPr>
            <w:tcW w:w="548" w:type="pct"/>
            <w:vAlign w:val="center"/>
          </w:tcPr>
          <w:p w14:paraId="203C1EED" w14:textId="70BF3189" w:rsidR="00100E4B"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5"/>
                <w14:textFill>
                  <w14:solidFill>
                    <w14:srgbClr w14:val="000000">
                      <w14:alpha w14:val="100000"/>
                    </w14:srgbClr>
                  </w14:solidFill>
                </w14:textFill>
              </w:rPr>
              <w:t xml:space="preserve">　</w:t>
            </w:r>
            <w:r w:rsidRPr="00501C36">
              <w:rPr>
                <w:color w:val="000000"/>
                <w:w w:val="27"/>
                <w:szCs w:val="20"/>
                <w:shd w:val="solid" w:color="000000" w:fill="000000"/>
                <w:fitText w:val="120" w:id="-893683455"/>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5"/>
                <w14:textFill>
                  <w14:solidFill>
                    <w14:srgbClr w14:val="000000">
                      <w14:alpha w14:val="100000"/>
                    </w14:srgbClr>
                  </w14:solidFill>
                </w14:textFill>
              </w:rPr>
              <w:t xml:space="preserve">　</w:t>
            </w:r>
            <w:r w:rsidR="00045F79" w:rsidRPr="003F0AD1">
              <w:rPr>
                <w:szCs w:val="20"/>
                <w:vertAlign w:val="superscript"/>
              </w:rPr>
              <w:t>2</w:t>
            </w:r>
          </w:p>
        </w:tc>
        <w:tc>
          <w:tcPr>
            <w:tcW w:w="626" w:type="pct"/>
            <w:vAlign w:val="center"/>
          </w:tcPr>
          <w:p w14:paraId="3D7B1D59" w14:textId="749F3D6D" w:rsidR="00100E4B"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4"/>
                <w14:textFill>
                  <w14:solidFill>
                    <w14:srgbClr w14:val="000000">
                      <w14:alpha w14:val="100000"/>
                    </w14:srgbClr>
                  </w14:solidFill>
                </w14:textFill>
              </w:rPr>
              <w:t xml:space="preserve">　</w:t>
            </w:r>
            <w:r w:rsidRPr="00501C36">
              <w:rPr>
                <w:color w:val="000000"/>
                <w:w w:val="27"/>
                <w:szCs w:val="20"/>
                <w:shd w:val="solid" w:color="000000" w:fill="000000"/>
                <w:fitText w:val="120" w:id="-893683454"/>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4"/>
                <w14:textFill>
                  <w14:solidFill>
                    <w14:srgbClr w14:val="000000">
                      <w14:alpha w14:val="100000"/>
                    </w14:srgbClr>
                  </w14:solidFill>
                </w14:textFill>
              </w:rPr>
              <w:t xml:space="preserve">　</w:t>
            </w:r>
            <w:r w:rsidR="00045F79" w:rsidRPr="003F0AD1">
              <w:rPr>
                <w:szCs w:val="20"/>
                <w:vertAlign w:val="superscript"/>
              </w:rPr>
              <w:t>2</w:t>
            </w:r>
          </w:p>
        </w:tc>
        <w:tc>
          <w:tcPr>
            <w:tcW w:w="545" w:type="pct"/>
            <w:vAlign w:val="center"/>
          </w:tcPr>
          <w:p w14:paraId="3721C277" w14:textId="6DF9B486" w:rsidR="00100E4B" w:rsidRPr="0009066F" w:rsidRDefault="00501C36" w:rsidP="002621BF">
            <w:pPr>
              <w:pStyle w:val="TableText0"/>
              <w:spacing w:line="276" w:lineRule="auto"/>
              <w:jc w:val="center"/>
              <w:rPr>
                <w:szCs w:val="20"/>
                <w:highlight w:val="lightGray"/>
              </w:rPr>
            </w:pPr>
            <w:r w:rsidRPr="00501C36">
              <w:rPr>
                <w:rFonts w:hint="eastAsia"/>
                <w:color w:val="000000"/>
                <w:w w:val="15"/>
                <w:szCs w:val="20"/>
                <w:shd w:val="solid" w:color="000000" w:fill="000000"/>
                <w:fitText w:val="60" w:id="-893683453"/>
                <w14:textFill>
                  <w14:solidFill>
                    <w14:srgbClr w14:val="000000">
                      <w14:alpha w14:val="100000"/>
                    </w14:srgbClr>
                  </w14:solidFill>
                </w14:textFill>
              </w:rPr>
              <w:t xml:space="preserve">　</w:t>
            </w:r>
            <w:r w:rsidRPr="00501C36">
              <w:rPr>
                <w:color w:val="000000"/>
                <w:w w:val="15"/>
                <w:szCs w:val="20"/>
                <w:shd w:val="solid" w:color="000000" w:fill="000000"/>
                <w:fitText w:val="60" w:id="-893683453"/>
                <w14:textFill>
                  <w14:solidFill>
                    <w14:srgbClr w14:val="000000">
                      <w14:alpha w14:val="100000"/>
                    </w14:srgbClr>
                  </w14:solidFill>
                </w14:textFill>
              </w:rPr>
              <w:t>|</w:t>
            </w:r>
            <w:r w:rsidRPr="00501C36">
              <w:rPr>
                <w:rFonts w:hint="eastAsia"/>
                <w:color w:val="000000"/>
                <w:spacing w:val="-5"/>
                <w:w w:val="15"/>
                <w:szCs w:val="20"/>
                <w:shd w:val="solid" w:color="000000" w:fill="000000"/>
                <w:fitText w:val="60" w:id="-893683453"/>
                <w14:textFill>
                  <w14:solidFill>
                    <w14:srgbClr w14:val="000000">
                      <w14:alpha w14:val="100000"/>
                    </w14:srgbClr>
                  </w14:solidFill>
                </w14:textFill>
              </w:rPr>
              <w:t xml:space="preserve">　</w:t>
            </w:r>
            <w:r w:rsidR="00045F79" w:rsidRPr="0009066F">
              <w:rPr>
                <w:szCs w:val="20"/>
                <w:vertAlign w:val="superscript"/>
              </w:rPr>
              <w:t>3</w:t>
            </w:r>
          </w:p>
        </w:tc>
      </w:tr>
      <w:tr w:rsidR="00F354C9" w:rsidRPr="00F354C9" w14:paraId="7D53A457" w14:textId="77777777" w:rsidTr="002621BF">
        <w:trPr>
          <w:trHeight w:val="20"/>
        </w:trPr>
        <w:tc>
          <w:tcPr>
            <w:tcW w:w="861" w:type="pct"/>
          </w:tcPr>
          <w:p w14:paraId="6FA2CBA6" w14:textId="00659FFE" w:rsidR="00F354C9" w:rsidRPr="00F354C9" w:rsidRDefault="00F354C9" w:rsidP="002621BF">
            <w:pPr>
              <w:pStyle w:val="TableText0"/>
              <w:spacing w:line="276" w:lineRule="auto"/>
              <w:rPr>
                <w:b/>
                <w:szCs w:val="20"/>
              </w:rPr>
            </w:pPr>
            <w:r w:rsidRPr="00F354C9">
              <w:rPr>
                <w:szCs w:val="20"/>
              </w:rPr>
              <w:t>Net Cost to government</w:t>
            </w:r>
            <w:r w:rsidR="00045F79">
              <w:rPr>
                <w:szCs w:val="20"/>
              </w:rPr>
              <w:t xml:space="preserve"> ($)</w:t>
            </w:r>
          </w:p>
        </w:tc>
        <w:tc>
          <w:tcPr>
            <w:tcW w:w="621" w:type="pct"/>
            <w:vAlign w:val="center"/>
          </w:tcPr>
          <w:p w14:paraId="536B8CED" w14:textId="0AAA1DBB" w:rsidR="00F354C9" w:rsidRPr="0009066F" w:rsidRDefault="00501C36" w:rsidP="002621BF">
            <w:pPr>
              <w:pStyle w:val="TableText0"/>
              <w:spacing w:line="276" w:lineRule="auto"/>
              <w:jc w:val="center"/>
              <w:rPr>
                <w:szCs w:val="20"/>
                <w:highlight w:val="lightGray"/>
              </w:rPr>
            </w:pPr>
            <w:r w:rsidRPr="00501C36">
              <w:rPr>
                <w:rFonts w:hint="eastAsia"/>
                <w:color w:val="000000"/>
                <w:w w:val="20"/>
                <w:szCs w:val="20"/>
                <w:shd w:val="solid" w:color="000000" w:fill="000000"/>
                <w:fitText w:val="90" w:id="-893683452"/>
                <w14:textFill>
                  <w14:solidFill>
                    <w14:srgbClr w14:val="000000">
                      <w14:alpha w14:val="100000"/>
                    </w14:srgbClr>
                  </w14:solidFill>
                </w14:textFill>
              </w:rPr>
              <w:t xml:space="preserve">　</w:t>
            </w:r>
            <w:r w:rsidRPr="00501C36">
              <w:rPr>
                <w:color w:val="000000"/>
                <w:w w:val="20"/>
                <w:szCs w:val="20"/>
                <w:shd w:val="solid" w:color="000000" w:fill="000000"/>
                <w:fitText w:val="90" w:id="-893683452"/>
                <w14:textFill>
                  <w14:solidFill>
                    <w14:srgbClr w14:val="000000">
                      <w14:alpha w14:val="100000"/>
                    </w14:srgbClr>
                  </w14:solidFill>
                </w14:textFill>
              </w:rPr>
              <w:t>|</w:t>
            </w:r>
            <w:r w:rsidRPr="00501C36">
              <w:rPr>
                <w:rFonts w:hint="eastAsia"/>
                <w:color w:val="000000"/>
                <w:spacing w:val="3"/>
                <w:w w:val="20"/>
                <w:szCs w:val="20"/>
                <w:shd w:val="solid" w:color="000000" w:fill="000000"/>
                <w:fitText w:val="90" w:id="-893683452"/>
                <w14:textFill>
                  <w14:solidFill>
                    <w14:srgbClr w14:val="000000">
                      <w14:alpha w14:val="100000"/>
                    </w14:srgbClr>
                  </w14:solidFill>
                </w14:textFill>
              </w:rPr>
              <w:t xml:space="preserve">　</w:t>
            </w:r>
            <w:r w:rsidR="00045F79" w:rsidRPr="0009066F">
              <w:rPr>
                <w:szCs w:val="20"/>
                <w:vertAlign w:val="superscript"/>
              </w:rPr>
              <w:t>4</w:t>
            </w:r>
          </w:p>
        </w:tc>
        <w:tc>
          <w:tcPr>
            <w:tcW w:w="625" w:type="pct"/>
            <w:vAlign w:val="center"/>
          </w:tcPr>
          <w:p w14:paraId="600A300B" w14:textId="092D4EE7" w:rsidR="00F354C9" w:rsidRPr="0009066F" w:rsidRDefault="00501C36" w:rsidP="002621BF">
            <w:pPr>
              <w:pStyle w:val="TableText0"/>
              <w:spacing w:line="276" w:lineRule="auto"/>
              <w:jc w:val="center"/>
              <w:rPr>
                <w:szCs w:val="20"/>
                <w:highlight w:val="lightGray"/>
              </w:rPr>
            </w:pPr>
            <w:r w:rsidRPr="002621BF">
              <w:rPr>
                <w:rFonts w:hint="eastAsia"/>
                <w:color w:val="000000"/>
                <w:w w:val="27"/>
                <w:szCs w:val="20"/>
                <w:shd w:val="solid" w:color="000000" w:fill="000000"/>
                <w:fitText w:val="120" w:id="-893683451"/>
                <w14:textFill>
                  <w14:solidFill>
                    <w14:srgbClr w14:val="000000">
                      <w14:alpha w14:val="100000"/>
                    </w14:srgbClr>
                  </w14:solidFill>
                </w14:textFill>
              </w:rPr>
              <w:t xml:space="preserve">　</w:t>
            </w:r>
            <w:r w:rsidRPr="002621BF">
              <w:rPr>
                <w:color w:val="000000"/>
                <w:w w:val="27"/>
                <w:szCs w:val="20"/>
                <w:shd w:val="solid" w:color="000000" w:fill="000000"/>
                <w:fitText w:val="120" w:id="-893683451"/>
                <w14:textFill>
                  <w14:solidFill>
                    <w14:srgbClr w14:val="000000">
                      <w14:alpha w14:val="100000"/>
                    </w14:srgbClr>
                  </w14:solidFill>
                </w14:textFill>
              </w:rPr>
              <w:t>|</w:t>
            </w:r>
            <w:r w:rsidRPr="002621BF">
              <w:rPr>
                <w:rFonts w:hint="eastAsia"/>
                <w:color w:val="000000"/>
                <w:w w:val="27"/>
                <w:szCs w:val="20"/>
                <w:shd w:val="solid" w:color="000000" w:fill="000000"/>
                <w:fitText w:val="120" w:id="-893683451"/>
                <w14:textFill>
                  <w14:solidFill>
                    <w14:srgbClr w14:val="000000">
                      <w14:alpha w14:val="100000"/>
                    </w14:srgbClr>
                  </w14:solidFill>
                </w14:textFill>
              </w:rPr>
              <w:t xml:space="preserve">　</w:t>
            </w:r>
            <w:r w:rsidR="00045F79" w:rsidRPr="0009066F">
              <w:rPr>
                <w:szCs w:val="20"/>
                <w:vertAlign w:val="superscript"/>
              </w:rPr>
              <w:t>5</w:t>
            </w:r>
          </w:p>
        </w:tc>
        <w:tc>
          <w:tcPr>
            <w:tcW w:w="547" w:type="pct"/>
            <w:vAlign w:val="center"/>
          </w:tcPr>
          <w:p w14:paraId="01E20EEF" w14:textId="761BBC4C"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0"/>
                <w14:textFill>
                  <w14:solidFill>
                    <w14:srgbClr w14:val="000000">
                      <w14:alpha w14:val="100000"/>
                    </w14:srgbClr>
                  </w14:solidFill>
                </w14:textFill>
              </w:rPr>
              <w:t xml:space="preserve">　</w:t>
            </w:r>
            <w:r w:rsidRPr="00501C36">
              <w:rPr>
                <w:color w:val="000000"/>
                <w:w w:val="27"/>
                <w:szCs w:val="20"/>
                <w:shd w:val="solid" w:color="000000" w:fill="000000"/>
                <w:fitText w:val="120" w:id="-893683450"/>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0"/>
                <w14:textFill>
                  <w14:solidFill>
                    <w14:srgbClr w14:val="000000">
                      <w14:alpha w14:val="100000"/>
                    </w14:srgbClr>
                  </w14:solidFill>
                </w14:textFill>
              </w:rPr>
              <w:t xml:space="preserve">　</w:t>
            </w:r>
            <w:r w:rsidR="00045F79" w:rsidRPr="003F0AD1">
              <w:rPr>
                <w:szCs w:val="20"/>
                <w:vertAlign w:val="superscript"/>
              </w:rPr>
              <w:t>5</w:t>
            </w:r>
          </w:p>
        </w:tc>
        <w:tc>
          <w:tcPr>
            <w:tcW w:w="626" w:type="pct"/>
            <w:vAlign w:val="center"/>
          </w:tcPr>
          <w:p w14:paraId="5863A0BE" w14:textId="1F8ADFC8"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9"/>
                <w14:textFill>
                  <w14:solidFill>
                    <w14:srgbClr w14:val="000000">
                      <w14:alpha w14:val="100000"/>
                    </w14:srgbClr>
                  </w14:solidFill>
                </w14:textFill>
              </w:rPr>
              <w:t xml:space="preserve">　</w:t>
            </w:r>
            <w:r w:rsidRPr="00501C36">
              <w:rPr>
                <w:color w:val="000000"/>
                <w:w w:val="27"/>
                <w:szCs w:val="20"/>
                <w:shd w:val="solid" w:color="000000" w:fill="000000"/>
                <w:fitText w:val="120" w:id="-893683449"/>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9"/>
                <w14:textFill>
                  <w14:solidFill>
                    <w14:srgbClr w14:val="000000">
                      <w14:alpha w14:val="100000"/>
                    </w14:srgbClr>
                  </w14:solidFill>
                </w14:textFill>
              </w:rPr>
              <w:t xml:space="preserve">　</w:t>
            </w:r>
            <w:r w:rsidR="00045F79" w:rsidRPr="003F0AD1">
              <w:rPr>
                <w:szCs w:val="20"/>
                <w:vertAlign w:val="superscript"/>
              </w:rPr>
              <w:t>5</w:t>
            </w:r>
          </w:p>
        </w:tc>
        <w:tc>
          <w:tcPr>
            <w:tcW w:w="548" w:type="pct"/>
            <w:vAlign w:val="center"/>
          </w:tcPr>
          <w:p w14:paraId="011A8287" w14:textId="69F43023"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8"/>
                <w14:textFill>
                  <w14:solidFill>
                    <w14:srgbClr w14:val="000000">
                      <w14:alpha w14:val="100000"/>
                    </w14:srgbClr>
                  </w14:solidFill>
                </w14:textFill>
              </w:rPr>
              <w:t xml:space="preserve">　</w:t>
            </w:r>
            <w:r w:rsidRPr="00501C36">
              <w:rPr>
                <w:color w:val="000000"/>
                <w:w w:val="27"/>
                <w:szCs w:val="20"/>
                <w:shd w:val="solid" w:color="000000" w:fill="000000"/>
                <w:fitText w:val="120" w:id="-893683448"/>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8"/>
                <w14:textFill>
                  <w14:solidFill>
                    <w14:srgbClr w14:val="000000">
                      <w14:alpha w14:val="100000"/>
                    </w14:srgbClr>
                  </w14:solidFill>
                </w14:textFill>
              </w:rPr>
              <w:t xml:space="preserve">　</w:t>
            </w:r>
            <w:r w:rsidR="00045F79" w:rsidRPr="0009066F">
              <w:rPr>
                <w:szCs w:val="20"/>
                <w:vertAlign w:val="superscript"/>
              </w:rPr>
              <w:t>6</w:t>
            </w:r>
          </w:p>
        </w:tc>
        <w:tc>
          <w:tcPr>
            <w:tcW w:w="626" w:type="pct"/>
            <w:vAlign w:val="center"/>
          </w:tcPr>
          <w:p w14:paraId="710E35EE" w14:textId="3DE2F448"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7"/>
                <w14:textFill>
                  <w14:solidFill>
                    <w14:srgbClr w14:val="000000">
                      <w14:alpha w14:val="100000"/>
                    </w14:srgbClr>
                  </w14:solidFill>
                </w14:textFill>
              </w:rPr>
              <w:t xml:space="preserve">　</w:t>
            </w:r>
            <w:r w:rsidRPr="00501C36">
              <w:rPr>
                <w:color w:val="000000"/>
                <w:w w:val="27"/>
                <w:szCs w:val="20"/>
                <w:shd w:val="solid" w:color="000000" w:fill="000000"/>
                <w:fitText w:val="120" w:id="-893683447"/>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7"/>
                <w14:textFill>
                  <w14:solidFill>
                    <w14:srgbClr w14:val="000000">
                      <w14:alpha w14:val="100000"/>
                    </w14:srgbClr>
                  </w14:solidFill>
                </w14:textFill>
              </w:rPr>
              <w:t xml:space="preserve">　</w:t>
            </w:r>
            <w:r w:rsidR="00045F79" w:rsidRPr="0009066F">
              <w:rPr>
                <w:szCs w:val="20"/>
                <w:vertAlign w:val="superscript"/>
              </w:rPr>
              <w:t>7</w:t>
            </w:r>
          </w:p>
        </w:tc>
        <w:tc>
          <w:tcPr>
            <w:tcW w:w="545" w:type="pct"/>
            <w:vAlign w:val="center"/>
          </w:tcPr>
          <w:p w14:paraId="4937D0D7" w14:textId="5E54F1CE" w:rsidR="00F354C9" w:rsidRPr="0009066F" w:rsidRDefault="00501C36" w:rsidP="002621BF">
            <w:pPr>
              <w:pStyle w:val="TableText0"/>
              <w:spacing w:line="276" w:lineRule="auto"/>
              <w:jc w:val="center"/>
              <w:rPr>
                <w:szCs w:val="20"/>
                <w:highlight w:val="lightGray"/>
              </w:rPr>
            </w:pPr>
            <w:r w:rsidRPr="00501C36">
              <w:rPr>
                <w:rFonts w:hint="eastAsia"/>
                <w:color w:val="000000"/>
                <w:w w:val="15"/>
                <w:szCs w:val="20"/>
                <w:shd w:val="solid" w:color="000000" w:fill="000000"/>
                <w:fitText w:val="60" w:id="-893683446"/>
                <w14:textFill>
                  <w14:solidFill>
                    <w14:srgbClr w14:val="000000">
                      <w14:alpha w14:val="100000"/>
                    </w14:srgbClr>
                  </w14:solidFill>
                </w14:textFill>
              </w:rPr>
              <w:t xml:space="preserve">　</w:t>
            </w:r>
            <w:r w:rsidRPr="00501C36">
              <w:rPr>
                <w:color w:val="000000"/>
                <w:w w:val="15"/>
                <w:szCs w:val="20"/>
                <w:shd w:val="solid" w:color="000000" w:fill="000000"/>
                <w:fitText w:val="60" w:id="-893683446"/>
                <w14:textFill>
                  <w14:solidFill>
                    <w14:srgbClr w14:val="000000">
                      <w14:alpha w14:val="100000"/>
                    </w14:srgbClr>
                  </w14:solidFill>
                </w14:textFill>
              </w:rPr>
              <w:t>|</w:t>
            </w:r>
            <w:r w:rsidRPr="00501C36">
              <w:rPr>
                <w:rFonts w:hint="eastAsia"/>
                <w:color w:val="000000"/>
                <w:spacing w:val="-5"/>
                <w:w w:val="15"/>
                <w:szCs w:val="20"/>
                <w:shd w:val="solid" w:color="000000" w:fill="000000"/>
                <w:fitText w:val="60" w:id="-893683446"/>
                <w14:textFill>
                  <w14:solidFill>
                    <w14:srgbClr w14:val="000000">
                      <w14:alpha w14:val="100000"/>
                    </w14:srgbClr>
                  </w14:solidFill>
                </w14:textFill>
              </w:rPr>
              <w:t xml:space="preserve">　</w:t>
            </w:r>
            <w:r w:rsidR="00045F79" w:rsidRPr="0009066F">
              <w:rPr>
                <w:szCs w:val="20"/>
                <w:vertAlign w:val="superscript"/>
              </w:rPr>
              <w:t>8</w:t>
            </w:r>
          </w:p>
        </w:tc>
      </w:tr>
      <w:tr w:rsidR="00F354C9" w:rsidRPr="00F354C9" w14:paraId="0D32058B" w14:textId="77777777" w:rsidTr="002621BF">
        <w:trPr>
          <w:trHeight w:val="20"/>
        </w:trPr>
        <w:tc>
          <w:tcPr>
            <w:tcW w:w="5000" w:type="pct"/>
            <w:gridSpan w:val="8"/>
          </w:tcPr>
          <w:p w14:paraId="26866734" w14:textId="3FEE14E2" w:rsidR="00F354C9" w:rsidRPr="009114DF" w:rsidRDefault="00F354C9" w:rsidP="002621BF">
            <w:pPr>
              <w:pStyle w:val="TableText0"/>
              <w:spacing w:line="276" w:lineRule="auto"/>
              <w:rPr>
                <w:b/>
                <w:bCs w:val="0"/>
                <w:szCs w:val="20"/>
              </w:rPr>
            </w:pPr>
            <w:r w:rsidRPr="009114DF">
              <w:rPr>
                <w:b/>
                <w:bCs w:val="0"/>
                <w:szCs w:val="20"/>
              </w:rPr>
              <w:t xml:space="preserve">Pre-PBAC </w:t>
            </w:r>
            <w:r w:rsidR="00A309C6">
              <w:rPr>
                <w:b/>
                <w:bCs w:val="0"/>
                <w:szCs w:val="20"/>
              </w:rPr>
              <w:t>response</w:t>
            </w:r>
          </w:p>
        </w:tc>
      </w:tr>
      <w:tr w:rsidR="00E758CC" w:rsidRPr="00F354C9" w14:paraId="4D13A4D7" w14:textId="77777777" w:rsidTr="002621BF">
        <w:trPr>
          <w:trHeight w:val="20"/>
        </w:trPr>
        <w:tc>
          <w:tcPr>
            <w:tcW w:w="861" w:type="pct"/>
          </w:tcPr>
          <w:p w14:paraId="2F4960F1" w14:textId="187726CF" w:rsidR="00E758CC" w:rsidRPr="00F354C9" w:rsidRDefault="00AC7B38" w:rsidP="002621BF">
            <w:pPr>
              <w:pStyle w:val="TableText0"/>
              <w:spacing w:line="276" w:lineRule="auto"/>
              <w:rPr>
                <w:szCs w:val="20"/>
              </w:rPr>
            </w:pPr>
            <w:r>
              <w:rPr>
                <w:szCs w:val="20"/>
              </w:rPr>
              <w:t>Initiating</w:t>
            </w:r>
            <w:r w:rsidRPr="00F354C9">
              <w:rPr>
                <w:szCs w:val="20"/>
              </w:rPr>
              <w:t xml:space="preserve"> </w:t>
            </w:r>
            <w:r w:rsidR="00E758CC" w:rsidRPr="00F354C9">
              <w:rPr>
                <w:szCs w:val="20"/>
              </w:rPr>
              <w:t>patients treated p.a.</w:t>
            </w:r>
            <w:r>
              <w:rPr>
                <w:szCs w:val="20"/>
              </w:rPr>
              <w:t>*</w:t>
            </w:r>
          </w:p>
        </w:tc>
        <w:tc>
          <w:tcPr>
            <w:tcW w:w="621" w:type="pct"/>
            <w:vAlign w:val="center"/>
          </w:tcPr>
          <w:p w14:paraId="2D18D345" w14:textId="34212D6A" w:rsidR="00E758CC" w:rsidRPr="0009066F" w:rsidRDefault="00501C36" w:rsidP="002621BF">
            <w:pPr>
              <w:pStyle w:val="TableText0"/>
              <w:spacing w:line="276" w:lineRule="auto"/>
              <w:jc w:val="center"/>
              <w:rPr>
                <w:szCs w:val="20"/>
                <w:highlight w:val="lightGray"/>
              </w:rPr>
            </w:pPr>
            <w:r w:rsidRPr="00501C36">
              <w:rPr>
                <w:rFonts w:hint="eastAsia"/>
                <w:color w:val="000000" w:themeColor="text1"/>
                <w:w w:val="20"/>
                <w:shd w:val="solid" w:color="000000" w:fill="000000"/>
                <w:fitText w:val="90" w:id="-893683445"/>
                <w14:textFill>
                  <w14:solidFill>
                    <w14:schemeClr w14:val="tx1">
                      <w14:alpha w14:val="100000"/>
                    </w14:schemeClr>
                  </w14:solidFill>
                </w14:textFill>
              </w:rPr>
              <w:t xml:space="preserve">　</w:t>
            </w:r>
            <w:r w:rsidRPr="00501C36">
              <w:rPr>
                <w:color w:val="000000" w:themeColor="text1"/>
                <w:w w:val="20"/>
                <w:shd w:val="solid" w:color="000000" w:fill="000000"/>
                <w:fitText w:val="90" w:id="-893683445"/>
                <w14:textFill>
                  <w14:solidFill>
                    <w14:schemeClr w14:val="tx1">
                      <w14:alpha w14:val="100000"/>
                    </w14:schemeClr>
                  </w14:solidFill>
                </w14:textFill>
              </w:rPr>
              <w:t>|</w:t>
            </w:r>
            <w:r w:rsidRPr="00501C36">
              <w:rPr>
                <w:rFonts w:hint="eastAsia"/>
                <w:color w:val="000000" w:themeColor="text1"/>
                <w:spacing w:val="3"/>
                <w:w w:val="20"/>
                <w:shd w:val="solid" w:color="000000" w:fill="000000"/>
                <w:fitText w:val="90" w:id="-893683445"/>
                <w14:textFill>
                  <w14:solidFill>
                    <w14:schemeClr w14:val="tx1">
                      <w14:alpha w14:val="100000"/>
                    </w14:schemeClr>
                  </w14:solidFill>
                </w14:textFill>
              </w:rPr>
              <w:t xml:space="preserve">　</w:t>
            </w:r>
            <w:r w:rsidR="00045F79" w:rsidRPr="003F0AD1">
              <w:rPr>
                <w:szCs w:val="20"/>
                <w:vertAlign w:val="superscript"/>
              </w:rPr>
              <w:t>1</w:t>
            </w:r>
          </w:p>
        </w:tc>
        <w:tc>
          <w:tcPr>
            <w:tcW w:w="625" w:type="pct"/>
            <w:vAlign w:val="center"/>
          </w:tcPr>
          <w:p w14:paraId="2C6DD01D" w14:textId="3E194104" w:rsidR="00E758CC" w:rsidRPr="0009066F" w:rsidRDefault="00501C36" w:rsidP="002621BF">
            <w:pPr>
              <w:pStyle w:val="TableText0"/>
              <w:spacing w:line="276" w:lineRule="auto"/>
              <w:jc w:val="center"/>
              <w:rPr>
                <w:szCs w:val="20"/>
                <w:highlight w:val="lightGray"/>
              </w:rPr>
            </w:pPr>
            <w:r w:rsidRPr="00501C36">
              <w:rPr>
                <w:rFonts w:hint="eastAsia"/>
                <w:color w:val="000000" w:themeColor="text1"/>
                <w:w w:val="27"/>
                <w:shd w:val="solid" w:color="000000" w:fill="000000"/>
                <w:fitText w:val="120" w:id="-893683444"/>
                <w14:textFill>
                  <w14:solidFill>
                    <w14:schemeClr w14:val="tx1">
                      <w14:alpha w14:val="100000"/>
                    </w14:schemeClr>
                  </w14:solidFill>
                </w14:textFill>
              </w:rPr>
              <w:t xml:space="preserve">　</w:t>
            </w:r>
            <w:r w:rsidRPr="00501C36">
              <w:rPr>
                <w:color w:val="000000" w:themeColor="text1"/>
                <w:w w:val="27"/>
                <w:shd w:val="solid" w:color="000000" w:fill="000000"/>
                <w:fitText w:val="120" w:id="-893683444"/>
                <w14:textFill>
                  <w14:solidFill>
                    <w14:schemeClr w14:val="tx1">
                      <w14:alpha w14:val="100000"/>
                    </w14:schemeClr>
                  </w14:solidFill>
                </w14:textFill>
              </w:rPr>
              <w:t>|</w:t>
            </w:r>
            <w:r w:rsidRPr="00501C36">
              <w:rPr>
                <w:rFonts w:hint="eastAsia"/>
                <w:color w:val="000000" w:themeColor="text1"/>
                <w:spacing w:val="2"/>
                <w:w w:val="27"/>
                <w:shd w:val="solid" w:color="000000" w:fill="000000"/>
                <w:fitText w:val="120" w:id="-893683444"/>
                <w14:textFill>
                  <w14:solidFill>
                    <w14:schemeClr w14:val="tx1">
                      <w14:alpha w14:val="100000"/>
                    </w14:schemeClr>
                  </w14:solidFill>
                </w14:textFill>
              </w:rPr>
              <w:t xml:space="preserve">　</w:t>
            </w:r>
            <w:r w:rsidR="00045F79" w:rsidRPr="003F0AD1">
              <w:rPr>
                <w:szCs w:val="20"/>
                <w:vertAlign w:val="superscript"/>
              </w:rPr>
              <w:t>1</w:t>
            </w:r>
          </w:p>
        </w:tc>
        <w:tc>
          <w:tcPr>
            <w:tcW w:w="547" w:type="pct"/>
            <w:vAlign w:val="center"/>
          </w:tcPr>
          <w:p w14:paraId="0BD5BE68" w14:textId="1AD87619" w:rsidR="00E758CC" w:rsidRPr="0009066F" w:rsidRDefault="00501C36" w:rsidP="002621BF">
            <w:pPr>
              <w:pStyle w:val="TableText0"/>
              <w:spacing w:line="276" w:lineRule="auto"/>
              <w:jc w:val="center"/>
              <w:rPr>
                <w:szCs w:val="20"/>
                <w:highlight w:val="lightGray"/>
              </w:rPr>
            </w:pPr>
            <w:r w:rsidRPr="00501C36">
              <w:rPr>
                <w:rFonts w:hint="eastAsia"/>
                <w:color w:val="000000" w:themeColor="text1"/>
                <w:w w:val="27"/>
                <w:shd w:val="solid" w:color="000000" w:fill="000000"/>
                <w:fitText w:val="120" w:id="-893683443"/>
                <w14:textFill>
                  <w14:solidFill>
                    <w14:schemeClr w14:val="tx1">
                      <w14:alpha w14:val="100000"/>
                    </w14:schemeClr>
                  </w14:solidFill>
                </w14:textFill>
              </w:rPr>
              <w:t xml:space="preserve">　</w:t>
            </w:r>
            <w:r w:rsidRPr="00501C36">
              <w:rPr>
                <w:color w:val="000000" w:themeColor="text1"/>
                <w:w w:val="27"/>
                <w:shd w:val="solid" w:color="000000" w:fill="000000"/>
                <w:fitText w:val="120" w:id="-893683443"/>
                <w14:textFill>
                  <w14:solidFill>
                    <w14:schemeClr w14:val="tx1">
                      <w14:alpha w14:val="100000"/>
                    </w14:schemeClr>
                  </w14:solidFill>
                </w14:textFill>
              </w:rPr>
              <w:t>|</w:t>
            </w:r>
            <w:r w:rsidRPr="00501C36">
              <w:rPr>
                <w:rFonts w:hint="eastAsia"/>
                <w:color w:val="000000" w:themeColor="text1"/>
                <w:spacing w:val="2"/>
                <w:w w:val="27"/>
                <w:shd w:val="solid" w:color="000000" w:fill="000000"/>
                <w:fitText w:val="120" w:id="-893683443"/>
                <w14:textFill>
                  <w14:solidFill>
                    <w14:schemeClr w14:val="tx1">
                      <w14:alpha w14:val="100000"/>
                    </w14:schemeClr>
                  </w14:solidFill>
                </w14:textFill>
              </w:rPr>
              <w:t xml:space="preserve">　</w:t>
            </w:r>
            <w:r w:rsidR="00045F79" w:rsidRPr="003F0AD1">
              <w:rPr>
                <w:szCs w:val="20"/>
                <w:vertAlign w:val="superscript"/>
              </w:rPr>
              <w:t>1</w:t>
            </w:r>
          </w:p>
        </w:tc>
        <w:tc>
          <w:tcPr>
            <w:tcW w:w="626" w:type="pct"/>
            <w:vAlign w:val="center"/>
          </w:tcPr>
          <w:p w14:paraId="21F65567" w14:textId="04299538" w:rsidR="00E758CC" w:rsidRPr="0009066F" w:rsidRDefault="00501C36" w:rsidP="002621BF">
            <w:pPr>
              <w:pStyle w:val="TableText0"/>
              <w:spacing w:line="276" w:lineRule="auto"/>
              <w:jc w:val="center"/>
              <w:rPr>
                <w:szCs w:val="20"/>
                <w:highlight w:val="lightGray"/>
              </w:rPr>
            </w:pPr>
            <w:r w:rsidRPr="00501C36">
              <w:rPr>
                <w:rFonts w:hint="eastAsia"/>
                <w:color w:val="000000" w:themeColor="text1"/>
                <w:w w:val="27"/>
                <w:shd w:val="solid" w:color="000000" w:fill="000000"/>
                <w:fitText w:val="120" w:id="-893683442"/>
                <w14:textFill>
                  <w14:solidFill>
                    <w14:schemeClr w14:val="tx1">
                      <w14:alpha w14:val="100000"/>
                    </w14:schemeClr>
                  </w14:solidFill>
                </w14:textFill>
              </w:rPr>
              <w:t xml:space="preserve">　</w:t>
            </w:r>
            <w:r w:rsidRPr="00501C36">
              <w:rPr>
                <w:color w:val="000000" w:themeColor="text1"/>
                <w:w w:val="27"/>
                <w:shd w:val="solid" w:color="000000" w:fill="000000"/>
                <w:fitText w:val="120" w:id="-893683442"/>
                <w14:textFill>
                  <w14:solidFill>
                    <w14:schemeClr w14:val="tx1">
                      <w14:alpha w14:val="100000"/>
                    </w14:schemeClr>
                  </w14:solidFill>
                </w14:textFill>
              </w:rPr>
              <w:t>|</w:t>
            </w:r>
            <w:r w:rsidRPr="00501C36">
              <w:rPr>
                <w:rFonts w:hint="eastAsia"/>
                <w:color w:val="000000" w:themeColor="text1"/>
                <w:spacing w:val="2"/>
                <w:w w:val="27"/>
                <w:shd w:val="solid" w:color="000000" w:fill="000000"/>
                <w:fitText w:val="120" w:id="-893683442"/>
                <w14:textFill>
                  <w14:solidFill>
                    <w14:schemeClr w14:val="tx1">
                      <w14:alpha w14:val="100000"/>
                    </w14:schemeClr>
                  </w14:solidFill>
                </w14:textFill>
              </w:rPr>
              <w:t xml:space="preserve">　</w:t>
            </w:r>
            <w:r w:rsidR="00045F79" w:rsidRPr="003F0AD1">
              <w:rPr>
                <w:szCs w:val="20"/>
                <w:vertAlign w:val="superscript"/>
              </w:rPr>
              <w:t>1</w:t>
            </w:r>
          </w:p>
        </w:tc>
        <w:tc>
          <w:tcPr>
            <w:tcW w:w="548" w:type="pct"/>
            <w:vAlign w:val="center"/>
          </w:tcPr>
          <w:p w14:paraId="02371E0C" w14:textId="2BFD9AC9" w:rsidR="00E758CC" w:rsidRPr="0009066F" w:rsidRDefault="00501C36" w:rsidP="002621BF">
            <w:pPr>
              <w:pStyle w:val="TableText0"/>
              <w:spacing w:line="276" w:lineRule="auto"/>
              <w:jc w:val="center"/>
              <w:rPr>
                <w:szCs w:val="20"/>
                <w:highlight w:val="lightGray"/>
              </w:rPr>
            </w:pPr>
            <w:r w:rsidRPr="00501C36">
              <w:rPr>
                <w:rFonts w:hint="eastAsia"/>
                <w:color w:val="000000" w:themeColor="text1"/>
                <w:w w:val="27"/>
                <w:shd w:val="solid" w:color="000000" w:fill="000000"/>
                <w:fitText w:val="120" w:id="-893683441"/>
                <w14:textFill>
                  <w14:solidFill>
                    <w14:schemeClr w14:val="tx1">
                      <w14:alpha w14:val="100000"/>
                    </w14:schemeClr>
                  </w14:solidFill>
                </w14:textFill>
              </w:rPr>
              <w:t xml:space="preserve">　</w:t>
            </w:r>
            <w:r w:rsidRPr="00501C36">
              <w:rPr>
                <w:color w:val="000000" w:themeColor="text1"/>
                <w:w w:val="27"/>
                <w:shd w:val="solid" w:color="000000" w:fill="000000"/>
                <w:fitText w:val="120" w:id="-893683441"/>
                <w14:textFill>
                  <w14:solidFill>
                    <w14:schemeClr w14:val="tx1">
                      <w14:alpha w14:val="100000"/>
                    </w14:schemeClr>
                  </w14:solidFill>
                </w14:textFill>
              </w:rPr>
              <w:t>|</w:t>
            </w:r>
            <w:r w:rsidRPr="00501C36">
              <w:rPr>
                <w:rFonts w:hint="eastAsia"/>
                <w:color w:val="000000" w:themeColor="text1"/>
                <w:spacing w:val="2"/>
                <w:w w:val="27"/>
                <w:shd w:val="solid" w:color="000000" w:fill="000000"/>
                <w:fitText w:val="120" w:id="-893683441"/>
                <w14:textFill>
                  <w14:solidFill>
                    <w14:schemeClr w14:val="tx1">
                      <w14:alpha w14:val="100000"/>
                    </w14:schemeClr>
                  </w14:solidFill>
                </w14:textFill>
              </w:rPr>
              <w:t xml:space="preserve">　</w:t>
            </w:r>
            <w:r w:rsidR="00045F79" w:rsidRPr="003F0AD1">
              <w:rPr>
                <w:szCs w:val="20"/>
                <w:vertAlign w:val="superscript"/>
              </w:rPr>
              <w:t>1</w:t>
            </w:r>
          </w:p>
        </w:tc>
        <w:tc>
          <w:tcPr>
            <w:tcW w:w="626" w:type="pct"/>
            <w:vAlign w:val="center"/>
          </w:tcPr>
          <w:p w14:paraId="17886CBB" w14:textId="4F5C77FC" w:rsidR="00E758CC" w:rsidRPr="0009066F" w:rsidRDefault="00501C36" w:rsidP="002621BF">
            <w:pPr>
              <w:pStyle w:val="TableText0"/>
              <w:spacing w:line="276" w:lineRule="auto"/>
              <w:jc w:val="center"/>
              <w:rPr>
                <w:szCs w:val="20"/>
                <w:highlight w:val="lightGray"/>
              </w:rPr>
            </w:pPr>
            <w:r w:rsidRPr="00501C36">
              <w:rPr>
                <w:rFonts w:hint="eastAsia"/>
                <w:color w:val="000000" w:themeColor="text1"/>
                <w:w w:val="27"/>
                <w:shd w:val="solid" w:color="000000" w:fill="000000"/>
                <w:fitText w:val="120" w:id="-893683440"/>
                <w14:textFill>
                  <w14:solidFill>
                    <w14:schemeClr w14:val="tx1">
                      <w14:alpha w14:val="100000"/>
                    </w14:schemeClr>
                  </w14:solidFill>
                </w14:textFill>
              </w:rPr>
              <w:t xml:space="preserve">　</w:t>
            </w:r>
            <w:r w:rsidRPr="00501C36">
              <w:rPr>
                <w:color w:val="000000" w:themeColor="text1"/>
                <w:w w:val="27"/>
                <w:shd w:val="solid" w:color="000000" w:fill="000000"/>
                <w:fitText w:val="120" w:id="-893683440"/>
                <w14:textFill>
                  <w14:solidFill>
                    <w14:schemeClr w14:val="tx1">
                      <w14:alpha w14:val="100000"/>
                    </w14:schemeClr>
                  </w14:solidFill>
                </w14:textFill>
              </w:rPr>
              <w:t>|</w:t>
            </w:r>
            <w:r w:rsidRPr="00501C36">
              <w:rPr>
                <w:rFonts w:hint="eastAsia"/>
                <w:color w:val="000000" w:themeColor="text1"/>
                <w:spacing w:val="2"/>
                <w:w w:val="27"/>
                <w:shd w:val="solid" w:color="000000" w:fill="000000"/>
                <w:fitText w:val="120" w:id="-893683440"/>
                <w14:textFill>
                  <w14:solidFill>
                    <w14:schemeClr w14:val="tx1">
                      <w14:alpha w14:val="100000"/>
                    </w14:schemeClr>
                  </w14:solidFill>
                </w14:textFill>
              </w:rPr>
              <w:t xml:space="preserve">　</w:t>
            </w:r>
            <w:r w:rsidR="00045F79" w:rsidRPr="003F0AD1">
              <w:rPr>
                <w:szCs w:val="20"/>
                <w:vertAlign w:val="superscript"/>
              </w:rPr>
              <w:t>1</w:t>
            </w:r>
          </w:p>
        </w:tc>
        <w:tc>
          <w:tcPr>
            <w:tcW w:w="545" w:type="pct"/>
            <w:vAlign w:val="center"/>
          </w:tcPr>
          <w:p w14:paraId="67C00884" w14:textId="1554879B" w:rsidR="00E758CC" w:rsidRPr="0009066F" w:rsidRDefault="00501C36" w:rsidP="002621BF">
            <w:pPr>
              <w:pStyle w:val="TableText0"/>
              <w:spacing w:line="276" w:lineRule="auto"/>
              <w:jc w:val="center"/>
              <w:rPr>
                <w:szCs w:val="20"/>
                <w:highlight w:val="lightGray"/>
              </w:rPr>
            </w:pPr>
            <w:r w:rsidRPr="00501C36">
              <w:rPr>
                <w:rFonts w:hint="eastAsia"/>
                <w:color w:val="000000" w:themeColor="text1"/>
                <w:w w:val="15"/>
                <w:shd w:val="solid" w:color="000000" w:fill="000000"/>
                <w:fitText w:val="60" w:id="-893683456"/>
                <w14:textFill>
                  <w14:solidFill>
                    <w14:schemeClr w14:val="tx1">
                      <w14:alpha w14:val="100000"/>
                    </w14:schemeClr>
                  </w14:solidFill>
                </w14:textFill>
              </w:rPr>
              <w:t xml:space="preserve">　</w:t>
            </w:r>
            <w:r w:rsidRPr="00501C36">
              <w:rPr>
                <w:color w:val="000000" w:themeColor="text1"/>
                <w:w w:val="15"/>
                <w:shd w:val="solid" w:color="000000" w:fill="000000"/>
                <w:fitText w:val="60" w:id="-893683456"/>
                <w14:textFill>
                  <w14:solidFill>
                    <w14:schemeClr w14:val="tx1">
                      <w14:alpha w14:val="100000"/>
                    </w14:schemeClr>
                  </w14:solidFill>
                </w14:textFill>
              </w:rPr>
              <w:t>|</w:t>
            </w:r>
            <w:r w:rsidRPr="00501C36">
              <w:rPr>
                <w:rFonts w:hint="eastAsia"/>
                <w:color w:val="000000" w:themeColor="text1"/>
                <w:spacing w:val="-5"/>
                <w:w w:val="15"/>
                <w:shd w:val="solid" w:color="000000" w:fill="000000"/>
                <w:fitText w:val="60" w:id="-893683456"/>
                <w14:textFill>
                  <w14:solidFill>
                    <w14:schemeClr w14:val="tx1">
                      <w14:alpha w14:val="100000"/>
                    </w14:schemeClr>
                  </w14:solidFill>
                </w14:textFill>
              </w:rPr>
              <w:t xml:space="preserve">　</w:t>
            </w:r>
            <w:r w:rsidR="00045F79" w:rsidRPr="003F0AD1">
              <w:rPr>
                <w:szCs w:val="20"/>
                <w:vertAlign w:val="superscript"/>
              </w:rPr>
              <w:t>1</w:t>
            </w:r>
          </w:p>
        </w:tc>
      </w:tr>
      <w:tr w:rsidR="006A7B50" w:rsidRPr="00F354C9" w14:paraId="10E91BC0" w14:textId="77777777" w:rsidTr="002621BF">
        <w:trPr>
          <w:trHeight w:val="20"/>
        </w:trPr>
        <w:tc>
          <w:tcPr>
            <w:tcW w:w="861" w:type="pct"/>
          </w:tcPr>
          <w:p w14:paraId="2B263B8A" w14:textId="10A8B40D" w:rsidR="006A7B50" w:rsidRPr="00F354C9" w:rsidRDefault="00100E4B" w:rsidP="002621BF">
            <w:pPr>
              <w:pStyle w:val="TableText0"/>
              <w:spacing w:line="276" w:lineRule="auto"/>
              <w:rPr>
                <w:szCs w:val="20"/>
              </w:rPr>
            </w:pPr>
            <w:r>
              <w:rPr>
                <w:szCs w:val="20"/>
              </w:rPr>
              <w:t>S</w:t>
            </w:r>
            <w:r w:rsidR="006A7B50">
              <w:rPr>
                <w:szCs w:val="20"/>
              </w:rPr>
              <w:t>cripts dispensed</w:t>
            </w:r>
          </w:p>
        </w:tc>
        <w:tc>
          <w:tcPr>
            <w:tcW w:w="621" w:type="pct"/>
            <w:vAlign w:val="center"/>
          </w:tcPr>
          <w:p w14:paraId="74C6E489" w14:textId="735D175C" w:rsidR="006A7B50" w:rsidRPr="0009066F" w:rsidRDefault="00501C36" w:rsidP="002621BF">
            <w:pPr>
              <w:pStyle w:val="TableText0"/>
              <w:spacing w:line="276" w:lineRule="auto"/>
              <w:jc w:val="center"/>
              <w:rPr>
                <w:szCs w:val="20"/>
                <w:highlight w:val="lightGray"/>
              </w:rPr>
            </w:pPr>
            <w:r w:rsidRPr="00501C36">
              <w:rPr>
                <w:rFonts w:hint="eastAsia"/>
                <w:color w:val="000000"/>
                <w:w w:val="20"/>
                <w:szCs w:val="20"/>
                <w:shd w:val="solid" w:color="000000" w:fill="000000"/>
                <w:fitText w:val="90" w:id="-893683455"/>
                <w14:textFill>
                  <w14:solidFill>
                    <w14:srgbClr w14:val="000000">
                      <w14:alpha w14:val="100000"/>
                    </w14:srgbClr>
                  </w14:solidFill>
                </w14:textFill>
              </w:rPr>
              <w:t xml:space="preserve">　</w:t>
            </w:r>
            <w:r w:rsidRPr="00501C36">
              <w:rPr>
                <w:color w:val="000000"/>
                <w:w w:val="20"/>
                <w:szCs w:val="20"/>
                <w:shd w:val="solid" w:color="000000" w:fill="000000"/>
                <w:fitText w:val="90" w:id="-893683455"/>
                <w14:textFill>
                  <w14:solidFill>
                    <w14:srgbClr w14:val="000000">
                      <w14:alpha w14:val="100000"/>
                    </w14:srgbClr>
                  </w14:solidFill>
                </w14:textFill>
              </w:rPr>
              <w:t>|</w:t>
            </w:r>
            <w:r w:rsidRPr="00501C36">
              <w:rPr>
                <w:rFonts w:hint="eastAsia"/>
                <w:color w:val="000000"/>
                <w:spacing w:val="3"/>
                <w:w w:val="20"/>
                <w:szCs w:val="20"/>
                <w:shd w:val="solid" w:color="000000" w:fill="000000"/>
                <w:fitText w:val="90" w:id="-893683455"/>
                <w14:textFill>
                  <w14:solidFill>
                    <w14:srgbClr w14:val="000000">
                      <w14:alpha w14:val="100000"/>
                    </w14:srgbClr>
                  </w14:solidFill>
                </w14:textFill>
              </w:rPr>
              <w:t xml:space="preserve">　</w:t>
            </w:r>
            <w:r w:rsidR="00045F79" w:rsidRPr="003F0AD1">
              <w:rPr>
                <w:szCs w:val="20"/>
                <w:vertAlign w:val="superscript"/>
              </w:rPr>
              <w:t>2</w:t>
            </w:r>
          </w:p>
        </w:tc>
        <w:tc>
          <w:tcPr>
            <w:tcW w:w="625" w:type="pct"/>
            <w:vAlign w:val="center"/>
          </w:tcPr>
          <w:p w14:paraId="0D3A5FF2" w14:textId="58C18EB0" w:rsidR="006A7B50"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4"/>
                <w14:textFill>
                  <w14:solidFill>
                    <w14:srgbClr w14:val="000000">
                      <w14:alpha w14:val="100000"/>
                    </w14:srgbClr>
                  </w14:solidFill>
                </w14:textFill>
              </w:rPr>
              <w:t xml:space="preserve">　</w:t>
            </w:r>
            <w:r w:rsidRPr="00501C36">
              <w:rPr>
                <w:color w:val="000000"/>
                <w:w w:val="27"/>
                <w:szCs w:val="20"/>
                <w:shd w:val="solid" w:color="000000" w:fill="000000"/>
                <w:fitText w:val="120" w:id="-893683454"/>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4"/>
                <w14:textFill>
                  <w14:solidFill>
                    <w14:srgbClr w14:val="000000">
                      <w14:alpha w14:val="100000"/>
                    </w14:srgbClr>
                  </w14:solidFill>
                </w14:textFill>
              </w:rPr>
              <w:t xml:space="preserve">　</w:t>
            </w:r>
            <w:r w:rsidR="00045F79" w:rsidRPr="003F0AD1">
              <w:rPr>
                <w:szCs w:val="20"/>
                <w:vertAlign w:val="superscript"/>
              </w:rPr>
              <w:t>2</w:t>
            </w:r>
          </w:p>
        </w:tc>
        <w:tc>
          <w:tcPr>
            <w:tcW w:w="547" w:type="pct"/>
            <w:vAlign w:val="center"/>
          </w:tcPr>
          <w:p w14:paraId="137F8A47" w14:textId="2C431D4C" w:rsidR="006A7B50"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3"/>
                <w14:textFill>
                  <w14:solidFill>
                    <w14:srgbClr w14:val="000000">
                      <w14:alpha w14:val="100000"/>
                    </w14:srgbClr>
                  </w14:solidFill>
                </w14:textFill>
              </w:rPr>
              <w:t xml:space="preserve">　</w:t>
            </w:r>
            <w:r w:rsidRPr="00501C36">
              <w:rPr>
                <w:color w:val="000000"/>
                <w:w w:val="27"/>
                <w:szCs w:val="20"/>
                <w:shd w:val="solid" w:color="000000" w:fill="000000"/>
                <w:fitText w:val="120" w:id="-893683453"/>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3"/>
                <w14:textFill>
                  <w14:solidFill>
                    <w14:srgbClr w14:val="000000">
                      <w14:alpha w14:val="100000"/>
                    </w14:srgbClr>
                  </w14:solidFill>
                </w14:textFill>
              </w:rPr>
              <w:t xml:space="preserve">　</w:t>
            </w:r>
            <w:r w:rsidR="00045F79" w:rsidRPr="003F0AD1">
              <w:rPr>
                <w:szCs w:val="20"/>
                <w:vertAlign w:val="superscript"/>
              </w:rPr>
              <w:t>2</w:t>
            </w:r>
          </w:p>
        </w:tc>
        <w:tc>
          <w:tcPr>
            <w:tcW w:w="626" w:type="pct"/>
            <w:vAlign w:val="center"/>
          </w:tcPr>
          <w:p w14:paraId="1EE88496" w14:textId="5C877582" w:rsidR="006A7B50"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2"/>
                <w14:textFill>
                  <w14:solidFill>
                    <w14:srgbClr w14:val="000000">
                      <w14:alpha w14:val="100000"/>
                    </w14:srgbClr>
                  </w14:solidFill>
                </w14:textFill>
              </w:rPr>
              <w:t xml:space="preserve">　</w:t>
            </w:r>
            <w:r w:rsidRPr="00501C36">
              <w:rPr>
                <w:color w:val="000000"/>
                <w:w w:val="27"/>
                <w:szCs w:val="20"/>
                <w:shd w:val="solid" w:color="000000" w:fill="000000"/>
                <w:fitText w:val="120" w:id="-893683452"/>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2"/>
                <w14:textFill>
                  <w14:solidFill>
                    <w14:srgbClr w14:val="000000">
                      <w14:alpha w14:val="100000"/>
                    </w14:srgbClr>
                  </w14:solidFill>
                </w14:textFill>
              </w:rPr>
              <w:t xml:space="preserve">　</w:t>
            </w:r>
            <w:r w:rsidR="00045F79" w:rsidRPr="003F0AD1">
              <w:rPr>
                <w:szCs w:val="20"/>
                <w:vertAlign w:val="superscript"/>
              </w:rPr>
              <w:t>2</w:t>
            </w:r>
          </w:p>
        </w:tc>
        <w:tc>
          <w:tcPr>
            <w:tcW w:w="548" w:type="pct"/>
            <w:vAlign w:val="center"/>
          </w:tcPr>
          <w:p w14:paraId="59332A35" w14:textId="413EAF21" w:rsidR="006A7B50"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1"/>
                <w14:textFill>
                  <w14:solidFill>
                    <w14:srgbClr w14:val="000000">
                      <w14:alpha w14:val="100000"/>
                    </w14:srgbClr>
                  </w14:solidFill>
                </w14:textFill>
              </w:rPr>
              <w:t xml:space="preserve">　</w:t>
            </w:r>
            <w:r w:rsidRPr="00501C36">
              <w:rPr>
                <w:color w:val="000000"/>
                <w:w w:val="27"/>
                <w:szCs w:val="20"/>
                <w:shd w:val="solid" w:color="000000" w:fill="000000"/>
                <w:fitText w:val="120" w:id="-893683451"/>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1"/>
                <w14:textFill>
                  <w14:solidFill>
                    <w14:srgbClr w14:val="000000">
                      <w14:alpha w14:val="100000"/>
                    </w14:srgbClr>
                  </w14:solidFill>
                </w14:textFill>
              </w:rPr>
              <w:t xml:space="preserve">　</w:t>
            </w:r>
            <w:r w:rsidR="00045F79" w:rsidRPr="003F0AD1">
              <w:rPr>
                <w:szCs w:val="20"/>
                <w:vertAlign w:val="superscript"/>
              </w:rPr>
              <w:t>2</w:t>
            </w:r>
          </w:p>
        </w:tc>
        <w:tc>
          <w:tcPr>
            <w:tcW w:w="626" w:type="pct"/>
            <w:vAlign w:val="center"/>
          </w:tcPr>
          <w:p w14:paraId="1AE72A8B" w14:textId="2B2D2466" w:rsidR="006A7B50"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50"/>
                <w14:textFill>
                  <w14:solidFill>
                    <w14:srgbClr w14:val="000000">
                      <w14:alpha w14:val="100000"/>
                    </w14:srgbClr>
                  </w14:solidFill>
                </w14:textFill>
              </w:rPr>
              <w:t xml:space="preserve">　</w:t>
            </w:r>
            <w:r w:rsidRPr="00501C36">
              <w:rPr>
                <w:color w:val="000000"/>
                <w:w w:val="27"/>
                <w:szCs w:val="20"/>
                <w:shd w:val="solid" w:color="000000" w:fill="000000"/>
                <w:fitText w:val="120" w:id="-893683450"/>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50"/>
                <w14:textFill>
                  <w14:solidFill>
                    <w14:srgbClr w14:val="000000">
                      <w14:alpha w14:val="100000"/>
                    </w14:srgbClr>
                  </w14:solidFill>
                </w14:textFill>
              </w:rPr>
              <w:t xml:space="preserve">　</w:t>
            </w:r>
            <w:r w:rsidR="00045F79" w:rsidRPr="003F0AD1">
              <w:rPr>
                <w:szCs w:val="20"/>
                <w:vertAlign w:val="superscript"/>
              </w:rPr>
              <w:t>2</w:t>
            </w:r>
          </w:p>
        </w:tc>
        <w:tc>
          <w:tcPr>
            <w:tcW w:w="545" w:type="pct"/>
            <w:vAlign w:val="center"/>
          </w:tcPr>
          <w:p w14:paraId="3157D091" w14:textId="49EB6CB4" w:rsidR="006A7B50" w:rsidRPr="0009066F" w:rsidRDefault="00501C36" w:rsidP="002621BF">
            <w:pPr>
              <w:pStyle w:val="TableText0"/>
              <w:spacing w:line="276" w:lineRule="auto"/>
              <w:jc w:val="center"/>
              <w:rPr>
                <w:szCs w:val="20"/>
                <w:highlight w:val="lightGray"/>
              </w:rPr>
            </w:pPr>
            <w:r w:rsidRPr="00501C36">
              <w:rPr>
                <w:rFonts w:hint="eastAsia"/>
                <w:color w:val="000000"/>
                <w:w w:val="15"/>
                <w:szCs w:val="20"/>
                <w:shd w:val="solid" w:color="000000" w:fill="000000"/>
                <w:fitText w:val="60" w:id="-893683449"/>
                <w14:textFill>
                  <w14:solidFill>
                    <w14:srgbClr w14:val="000000">
                      <w14:alpha w14:val="100000"/>
                    </w14:srgbClr>
                  </w14:solidFill>
                </w14:textFill>
              </w:rPr>
              <w:t xml:space="preserve">　</w:t>
            </w:r>
            <w:r w:rsidRPr="00501C36">
              <w:rPr>
                <w:color w:val="000000"/>
                <w:w w:val="15"/>
                <w:szCs w:val="20"/>
                <w:shd w:val="solid" w:color="000000" w:fill="000000"/>
                <w:fitText w:val="60" w:id="-893683449"/>
                <w14:textFill>
                  <w14:solidFill>
                    <w14:srgbClr w14:val="000000">
                      <w14:alpha w14:val="100000"/>
                    </w14:srgbClr>
                  </w14:solidFill>
                </w14:textFill>
              </w:rPr>
              <w:t>|</w:t>
            </w:r>
            <w:r w:rsidRPr="00501C36">
              <w:rPr>
                <w:rFonts w:hint="eastAsia"/>
                <w:color w:val="000000"/>
                <w:spacing w:val="-5"/>
                <w:w w:val="15"/>
                <w:szCs w:val="20"/>
                <w:shd w:val="solid" w:color="000000" w:fill="000000"/>
                <w:fitText w:val="60" w:id="-893683449"/>
                <w14:textFill>
                  <w14:solidFill>
                    <w14:srgbClr w14:val="000000">
                      <w14:alpha w14:val="100000"/>
                    </w14:srgbClr>
                  </w14:solidFill>
                </w14:textFill>
              </w:rPr>
              <w:t xml:space="preserve">　</w:t>
            </w:r>
            <w:r w:rsidR="00045F79" w:rsidRPr="003F0AD1">
              <w:rPr>
                <w:szCs w:val="20"/>
                <w:vertAlign w:val="superscript"/>
              </w:rPr>
              <w:t>3</w:t>
            </w:r>
          </w:p>
        </w:tc>
      </w:tr>
      <w:tr w:rsidR="00F354C9" w:rsidRPr="00F354C9" w14:paraId="686B6A54" w14:textId="77777777" w:rsidTr="002621BF">
        <w:trPr>
          <w:trHeight w:val="20"/>
        </w:trPr>
        <w:tc>
          <w:tcPr>
            <w:tcW w:w="861" w:type="pct"/>
          </w:tcPr>
          <w:p w14:paraId="530B5C31" w14:textId="1551A567" w:rsidR="00F354C9" w:rsidRPr="00F354C9" w:rsidRDefault="00F354C9" w:rsidP="002621BF">
            <w:pPr>
              <w:pStyle w:val="TableText0"/>
              <w:spacing w:line="276" w:lineRule="auto"/>
              <w:rPr>
                <w:b/>
                <w:szCs w:val="20"/>
              </w:rPr>
            </w:pPr>
            <w:r w:rsidRPr="00F354C9">
              <w:rPr>
                <w:szCs w:val="20"/>
              </w:rPr>
              <w:t>Net Cost to government</w:t>
            </w:r>
            <w:r w:rsidR="00045F79">
              <w:rPr>
                <w:szCs w:val="20"/>
              </w:rPr>
              <w:t xml:space="preserve"> ($)</w:t>
            </w:r>
          </w:p>
        </w:tc>
        <w:tc>
          <w:tcPr>
            <w:tcW w:w="621" w:type="pct"/>
            <w:vAlign w:val="center"/>
          </w:tcPr>
          <w:p w14:paraId="75DCB491" w14:textId="13EE3067" w:rsidR="00F354C9" w:rsidRPr="0009066F" w:rsidRDefault="00501C36" w:rsidP="002621BF">
            <w:pPr>
              <w:pStyle w:val="TableText0"/>
              <w:spacing w:line="276" w:lineRule="auto"/>
              <w:jc w:val="center"/>
              <w:rPr>
                <w:szCs w:val="20"/>
                <w:highlight w:val="lightGray"/>
              </w:rPr>
            </w:pPr>
            <w:r w:rsidRPr="00501C36">
              <w:rPr>
                <w:rFonts w:hint="eastAsia"/>
                <w:color w:val="000000"/>
                <w:w w:val="20"/>
                <w:szCs w:val="20"/>
                <w:shd w:val="solid" w:color="000000" w:fill="000000"/>
                <w:fitText w:val="90" w:id="-893683448"/>
                <w14:textFill>
                  <w14:solidFill>
                    <w14:srgbClr w14:val="000000">
                      <w14:alpha w14:val="100000"/>
                    </w14:srgbClr>
                  </w14:solidFill>
                </w14:textFill>
              </w:rPr>
              <w:t xml:space="preserve">　</w:t>
            </w:r>
            <w:r w:rsidRPr="00501C36">
              <w:rPr>
                <w:color w:val="000000"/>
                <w:w w:val="20"/>
                <w:szCs w:val="20"/>
                <w:shd w:val="solid" w:color="000000" w:fill="000000"/>
                <w:fitText w:val="90" w:id="-893683448"/>
                <w14:textFill>
                  <w14:solidFill>
                    <w14:srgbClr w14:val="000000">
                      <w14:alpha w14:val="100000"/>
                    </w14:srgbClr>
                  </w14:solidFill>
                </w14:textFill>
              </w:rPr>
              <w:t>|</w:t>
            </w:r>
            <w:r w:rsidRPr="00501C36">
              <w:rPr>
                <w:rFonts w:hint="eastAsia"/>
                <w:color w:val="000000"/>
                <w:spacing w:val="3"/>
                <w:w w:val="20"/>
                <w:szCs w:val="20"/>
                <w:shd w:val="solid" w:color="000000" w:fill="000000"/>
                <w:fitText w:val="90" w:id="-893683448"/>
                <w14:textFill>
                  <w14:solidFill>
                    <w14:srgbClr w14:val="000000">
                      <w14:alpha w14:val="100000"/>
                    </w14:srgbClr>
                  </w14:solidFill>
                </w14:textFill>
              </w:rPr>
              <w:t xml:space="preserve">　</w:t>
            </w:r>
            <w:r w:rsidR="00045F79" w:rsidRPr="003F0AD1">
              <w:rPr>
                <w:szCs w:val="20"/>
                <w:vertAlign w:val="superscript"/>
              </w:rPr>
              <w:t>4</w:t>
            </w:r>
          </w:p>
        </w:tc>
        <w:tc>
          <w:tcPr>
            <w:tcW w:w="625" w:type="pct"/>
            <w:vAlign w:val="center"/>
          </w:tcPr>
          <w:p w14:paraId="2F0806AD" w14:textId="65ECE54F"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447"/>
                <w14:textFill>
                  <w14:solidFill>
                    <w14:srgbClr w14:val="000000">
                      <w14:alpha w14:val="100000"/>
                    </w14:srgbClr>
                  </w14:solidFill>
                </w14:textFill>
              </w:rPr>
              <w:t xml:space="preserve">　</w:t>
            </w:r>
            <w:r w:rsidRPr="00501C36">
              <w:rPr>
                <w:color w:val="000000"/>
                <w:w w:val="27"/>
                <w:szCs w:val="20"/>
                <w:shd w:val="solid" w:color="000000" w:fill="000000"/>
                <w:fitText w:val="120" w:id="-893683447"/>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447"/>
                <w14:textFill>
                  <w14:solidFill>
                    <w14:srgbClr w14:val="000000">
                      <w14:alpha w14:val="100000"/>
                    </w14:srgbClr>
                  </w14:solidFill>
                </w14:textFill>
              </w:rPr>
              <w:t xml:space="preserve">　</w:t>
            </w:r>
            <w:r w:rsidR="00045F79" w:rsidRPr="003F0AD1">
              <w:rPr>
                <w:szCs w:val="20"/>
                <w:vertAlign w:val="superscript"/>
              </w:rPr>
              <w:t>4</w:t>
            </w:r>
          </w:p>
        </w:tc>
        <w:tc>
          <w:tcPr>
            <w:tcW w:w="547" w:type="pct"/>
            <w:vAlign w:val="center"/>
          </w:tcPr>
          <w:p w14:paraId="61F4F92E" w14:textId="5C4F83C7"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200"/>
                <w14:textFill>
                  <w14:solidFill>
                    <w14:srgbClr w14:val="000000">
                      <w14:alpha w14:val="100000"/>
                    </w14:srgbClr>
                  </w14:solidFill>
                </w14:textFill>
              </w:rPr>
              <w:t xml:space="preserve">　</w:t>
            </w:r>
            <w:r w:rsidRPr="00501C36">
              <w:rPr>
                <w:color w:val="000000"/>
                <w:w w:val="27"/>
                <w:szCs w:val="20"/>
                <w:shd w:val="solid" w:color="000000" w:fill="000000"/>
                <w:fitText w:val="120" w:id="-893683200"/>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200"/>
                <w14:textFill>
                  <w14:solidFill>
                    <w14:srgbClr w14:val="000000">
                      <w14:alpha w14:val="100000"/>
                    </w14:srgbClr>
                  </w14:solidFill>
                </w14:textFill>
              </w:rPr>
              <w:t xml:space="preserve">　</w:t>
            </w:r>
            <w:r w:rsidR="00045F79" w:rsidRPr="003F0AD1">
              <w:rPr>
                <w:szCs w:val="20"/>
                <w:vertAlign w:val="superscript"/>
              </w:rPr>
              <w:t>4</w:t>
            </w:r>
          </w:p>
        </w:tc>
        <w:tc>
          <w:tcPr>
            <w:tcW w:w="626" w:type="pct"/>
            <w:vAlign w:val="center"/>
          </w:tcPr>
          <w:p w14:paraId="0E084DDA" w14:textId="03EC5D08"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199"/>
                <w14:textFill>
                  <w14:solidFill>
                    <w14:srgbClr w14:val="000000">
                      <w14:alpha w14:val="100000"/>
                    </w14:srgbClr>
                  </w14:solidFill>
                </w14:textFill>
              </w:rPr>
              <w:t xml:space="preserve">　</w:t>
            </w:r>
            <w:r w:rsidRPr="00501C36">
              <w:rPr>
                <w:color w:val="000000"/>
                <w:w w:val="27"/>
                <w:szCs w:val="20"/>
                <w:shd w:val="solid" w:color="000000" w:fill="000000"/>
                <w:fitText w:val="120" w:id="-893683199"/>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199"/>
                <w14:textFill>
                  <w14:solidFill>
                    <w14:srgbClr w14:val="000000">
                      <w14:alpha w14:val="100000"/>
                    </w14:srgbClr>
                  </w14:solidFill>
                </w14:textFill>
              </w:rPr>
              <w:t xml:space="preserve">　</w:t>
            </w:r>
            <w:r w:rsidR="00045F79" w:rsidRPr="003F0AD1">
              <w:rPr>
                <w:szCs w:val="20"/>
                <w:vertAlign w:val="superscript"/>
              </w:rPr>
              <w:t>4</w:t>
            </w:r>
          </w:p>
        </w:tc>
        <w:tc>
          <w:tcPr>
            <w:tcW w:w="548" w:type="pct"/>
            <w:vAlign w:val="center"/>
          </w:tcPr>
          <w:p w14:paraId="6F9F6C80" w14:textId="0D92C982"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198"/>
                <w14:textFill>
                  <w14:solidFill>
                    <w14:srgbClr w14:val="000000">
                      <w14:alpha w14:val="100000"/>
                    </w14:srgbClr>
                  </w14:solidFill>
                </w14:textFill>
              </w:rPr>
              <w:t xml:space="preserve">　</w:t>
            </w:r>
            <w:r w:rsidRPr="00501C36">
              <w:rPr>
                <w:color w:val="000000"/>
                <w:w w:val="27"/>
                <w:szCs w:val="20"/>
                <w:shd w:val="solid" w:color="000000" w:fill="000000"/>
                <w:fitText w:val="120" w:id="-893683198"/>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198"/>
                <w14:textFill>
                  <w14:solidFill>
                    <w14:srgbClr w14:val="000000">
                      <w14:alpha w14:val="100000"/>
                    </w14:srgbClr>
                  </w14:solidFill>
                </w14:textFill>
              </w:rPr>
              <w:t xml:space="preserve">　</w:t>
            </w:r>
            <w:r w:rsidR="00045F79" w:rsidRPr="003F0AD1">
              <w:rPr>
                <w:szCs w:val="20"/>
                <w:vertAlign w:val="superscript"/>
              </w:rPr>
              <w:t>4</w:t>
            </w:r>
          </w:p>
        </w:tc>
        <w:tc>
          <w:tcPr>
            <w:tcW w:w="626" w:type="pct"/>
            <w:vAlign w:val="center"/>
          </w:tcPr>
          <w:p w14:paraId="52124F34" w14:textId="59D9E93A" w:rsidR="00F354C9" w:rsidRPr="0009066F" w:rsidRDefault="00501C36" w:rsidP="002621BF">
            <w:pPr>
              <w:pStyle w:val="TableText0"/>
              <w:spacing w:line="276" w:lineRule="auto"/>
              <w:jc w:val="center"/>
              <w:rPr>
                <w:szCs w:val="20"/>
                <w:highlight w:val="lightGray"/>
              </w:rPr>
            </w:pPr>
            <w:r w:rsidRPr="00501C36">
              <w:rPr>
                <w:rFonts w:hint="eastAsia"/>
                <w:color w:val="000000"/>
                <w:w w:val="27"/>
                <w:szCs w:val="20"/>
                <w:shd w:val="solid" w:color="000000" w:fill="000000"/>
                <w:fitText w:val="120" w:id="-893683197"/>
                <w14:textFill>
                  <w14:solidFill>
                    <w14:srgbClr w14:val="000000">
                      <w14:alpha w14:val="100000"/>
                    </w14:srgbClr>
                  </w14:solidFill>
                </w14:textFill>
              </w:rPr>
              <w:t xml:space="preserve">　</w:t>
            </w:r>
            <w:r w:rsidRPr="00501C36">
              <w:rPr>
                <w:color w:val="000000"/>
                <w:w w:val="27"/>
                <w:szCs w:val="20"/>
                <w:shd w:val="solid" w:color="000000" w:fill="000000"/>
                <w:fitText w:val="120" w:id="-893683197"/>
                <w14:textFill>
                  <w14:solidFill>
                    <w14:srgbClr w14:val="000000">
                      <w14:alpha w14:val="100000"/>
                    </w14:srgbClr>
                  </w14:solidFill>
                </w14:textFill>
              </w:rPr>
              <w:t>|</w:t>
            </w:r>
            <w:r w:rsidRPr="00501C36">
              <w:rPr>
                <w:rFonts w:hint="eastAsia"/>
                <w:color w:val="000000"/>
                <w:spacing w:val="2"/>
                <w:w w:val="27"/>
                <w:szCs w:val="20"/>
                <w:shd w:val="solid" w:color="000000" w:fill="000000"/>
                <w:fitText w:val="120" w:id="-893683197"/>
                <w14:textFill>
                  <w14:solidFill>
                    <w14:srgbClr w14:val="000000">
                      <w14:alpha w14:val="100000"/>
                    </w14:srgbClr>
                  </w14:solidFill>
                </w14:textFill>
              </w:rPr>
              <w:t xml:space="preserve">　</w:t>
            </w:r>
            <w:r w:rsidR="00045F79" w:rsidRPr="003F0AD1">
              <w:rPr>
                <w:szCs w:val="20"/>
                <w:vertAlign w:val="superscript"/>
              </w:rPr>
              <w:t>4</w:t>
            </w:r>
          </w:p>
        </w:tc>
        <w:tc>
          <w:tcPr>
            <w:tcW w:w="545" w:type="pct"/>
            <w:vAlign w:val="center"/>
          </w:tcPr>
          <w:p w14:paraId="23755C87" w14:textId="0B5846DF" w:rsidR="00F354C9" w:rsidRPr="0009066F" w:rsidRDefault="00501C36" w:rsidP="002621BF">
            <w:pPr>
              <w:pStyle w:val="TableText0"/>
              <w:spacing w:line="276" w:lineRule="auto"/>
              <w:jc w:val="center"/>
              <w:rPr>
                <w:szCs w:val="20"/>
                <w:highlight w:val="lightGray"/>
              </w:rPr>
            </w:pPr>
            <w:r w:rsidRPr="00501C36">
              <w:rPr>
                <w:rFonts w:hint="eastAsia"/>
                <w:color w:val="000000"/>
                <w:w w:val="15"/>
                <w:szCs w:val="20"/>
                <w:shd w:val="solid" w:color="000000" w:fill="000000"/>
                <w:fitText w:val="60" w:id="-893683196"/>
                <w14:textFill>
                  <w14:solidFill>
                    <w14:srgbClr w14:val="000000">
                      <w14:alpha w14:val="100000"/>
                    </w14:srgbClr>
                  </w14:solidFill>
                </w14:textFill>
              </w:rPr>
              <w:t xml:space="preserve">　</w:t>
            </w:r>
            <w:r w:rsidRPr="00501C36">
              <w:rPr>
                <w:color w:val="000000"/>
                <w:w w:val="15"/>
                <w:szCs w:val="20"/>
                <w:shd w:val="solid" w:color="000000" w:fill="000000"/>
                <w:fitText w:val="60" w:id="-893683196"/>
                <w14:textFill>
                  <w14:solidFill>
                    <w14:srgbClr w14:val="000000">
                      <w14:alpha w14:val="100000"/>
                    </w14:srgbClr>
                  </w14:solidFill>
                </w14:textFill>
              </w:rPr>
              <w:t>|</w:t>
            </w:r>
            <w:r w:rsidRPr="00501C36">
              <w:rPr>
                <w:rFonts w:hint="eastAsia"/>
                <w:color w:val="000000"/>
                <w:spacing w:val="-5"/>
                <w:w w:val="15"/>
                <w:szCs w:val="20"/>
                <w:shd w:val="solid" w:color="000000" w:fill="000000"/>
                <w:fitText w:val="60" w:id="-893683196"/>
                <w14:textFill>
                  <w14:solidFill>
                    <w14:srgbClr w14:val="000000">
                      <w14:alpha w14:val="100000"/>
                    </w14:srgbClr>
                  </w14:solidFill>
                </w14:textFill>
              </w:rPr>
              <w:t xml:space="preserve">　</w:t>
            </w:r>
            <w:r w:rsidR="00D0471D">
              <w:rPr>
                <w:szCs w:val="20"/>
                <w:vertAlign w:val="superscript"/>
              </w:rPr>
              <w:t>8</w:t>
            </w:r>
          </w:p>
        </w:tc>
      </w:tr>
    </w:tbl>
    <w:p w14:paraId="49DE6E0D" w14:textId="49FFE103" w:rsidR="00F354C9" w:rsidRDefault="00F354C9" w:rsidP="002621BF">
      <w:pPr>
        <w:pStyle w:val="3-BodyText"/>
        <w:keepNext/>
        <w:numPr>
          <w:ilvl w:val="0"/>
          <w:numId w:val="0"/>
        </w:numPr>
        <w:spacing w:after="0"/>
        <w:rPr>
          <w:rFonts w:ascii="Arial Narrow" w:eastAsia="SimSun" w:hAnsi="Arial Narrow"/>
          <w:sz w:val="18"/>
          <w:szCs w:val="18"/>
        </w:rPr>
      </w:pPr>
      <w:r w:rsidRPr="00F354C9">
        <w:rPr>
          <w:rFonts w:ascii="Arial Narrow" w:eastAsia="SimSun" w:hAnsi="Arial Narrow"/>
          <w:sz w:val="18"/>
          <w:szCs w:val="18"/>
        </w:rPr>
        <w:t xml:space="preserve">Source: </w:t>
      </w:r>
      <w:r w:rsidR="004413BC">
        <w:rPr>
          <w:rFonts w:ascii="Arial Narrow" w:eastAsia="SimSun" w:hAnsi="Arial Narrow"/>
          <w:sz w:val="18"/>
          <w:szCs w:val="18"/>
        </w:rPr>
        <w:t>Accompanying p</w:t>
      </w:r>
      <w:r w:rsidRPr="00F354C9">
        <w:rPr>
          <w:rFonts w:ascii="Arial Narrow" w:eastAsia="SimSun" w:hAnsi="Arial Narrow"/>
          <w:sz w:val="18"/>
          <w:szCs w:val="18"/>
        </w:rPr>
        <w:t>re-PB</w:t>
      </w:r>
      <w:r w:rsidR="004413BC">
        <w:rPr>
          <w:rFonts w:ascii="Arial Narrow" w:eastAsia="SimSun" w:hAnsi="Arial Narrow"/>
          <w:sz w:val="18"/>
          <w:szCs w:val="18"/>
        </w:rPr>
        <w:t>A</w:t>
      </w:r>
      <w:r w:rsidRPr="00F354C9">
        <w:rPr>
          <w:rFonts w:ascii="Arial Narrow" w:eastAsia="SimSun" w:hAnsi="Arial Narrow"/>
          <w:sz w:val="18"/>
          <w:szCs w:val="18"/>
        </w:rPr>
        <w:t>C response</w:t>
      </w:r>
      <w:r w:rsidR="004413BC">
        <w:rPr>
          <w:rFonts w:ascii="Arial Narrow" w:eastAsia="SimSun" w:hAnsi="Arial Narrow"/>
          <w:sz w:val="18"/>
          <w:szCs w:val="18"/>
        </w:rPr>
        <w:t xml:space="preserve"> workbook</w:t>
      </w:r>
      <w:r w:rsidRPr="00F354C9">
        <w:rPr>
          <w:rFonts w:ascii="Arial Narrow" w:eastAsia="SimSun" w:hAnsi="Arial Narrow"/>
          <w:sz w:val="18"/>
          <w:szCs w:val="18"/>
        </w:rPr>
        <w:t xml:space="preserve"> </w:t>
      </w:r>
      <w:r w:rsidR="004413BC">
        <w:rPr>
          <w:rFonts w:ascii="Arial Narrow" w:eastAsia="SimSun" w:hAnsi="Arial Narrow"/>
          <w:sz w:val="18"/>
          <w:szCs w:val="18"/>
        </w:rPr>
        <w:t>‘</w:t>
      </w:r>
      <w:r w:rsidR="004413BC" w:rsidRPr="004413BC">
        <w:rPr>
          <w:rFonts w:ascii="Arial Narrow" w:eastAsia="SimSun" w:hAnsi="Arial Narrow"/>
          <w:sz w:val="18"/>
          <w:szCs w:val="18"/>
        </w:rPr>
        <w:t>pre PBAC Response Attachment UCM (DUSC Epi, max ToT)</w:t>
      </w:r>
      <w:r w:rsidR="004413BC">
        <w:rPr>
          <w:rFonts w:ascii="Arial Narrow" w:eastAsia="SimSun" w:hAnsi="Arial Narrow"/>
          <w:sz w:val="18"/>
          <w:szCs w:val="18"/>
        </w:rPr>
        <w:t>.xlsx’</w:t>
      </w:r>
    </w:p>
    <w:p w14:paraId="49CC9C20" w14:textId="7966D79A" w:rsidR="00AC7B38" w:rsidRDefault="00AC7B38" w:rsidP="002621BF">
      <w:pPr>
        <w:pStyle w:val="3-BodyText"/>
        <w:keepNext/>
        <w:numPr>
          <w:ilvl w:val="0"/>
          <w:numId w:val="0"/>
        </w:numPr>
        <w:spacing w:after="0"/>
        <w:rPr>
          <w:rFonts w:ascii="Arial Narrow" w:eastAsia="SimSun" w:hAnsi="Arial Narrow"/>
          <w:sz w:val="18"/>
          <w:szCs w:val="18"/>
        </w:rPr>
      </w:pPr>
      <w:r>
        <w:rPr>
          <w:rFonts w:ascii="Arial Narrow" w:eastAsia="SimSun" w:hAnsi="Arial Narrow"/>
          <w:sz w:val="18"/>
          <w:szCs w:val="18"/>
        </w:rPr>
        <w:t>*Includes grandfathered patients</w:t>
      </w:r>
    </w:p>
    <w:p w14:paraId="74C003BB" w14:textId="77777777" w:rsidR="00045F79" w:rsidRPr="003F0AD1" w:rsidRDefault="00045F79" w:rsidP="002621BF">
      <w:pPr>
        <w:keepNext/>
        <w:keepLines/>
        <w:rPr>
          <w:rFonts w:ascii="Arial Narrow" w:hAnsi="Arial Narrow"/>
          <w:bCs/>
          <w:i/>
          <w:iCs/>
          <w:sz w:val="18"/>
          <w:szCs w:val="18"/>
        </w:rPr>
      </w:pPr>
      <w:r w:rsidRPr="003F0AD1">
        <w:rPr>
          <w:rFonts w:ascii="Arial Narrow" w:hAnsi="Arial Narrow"/>
          <w:bCs/>
          <w:i/>
          <w:iCs/>
          <w:sz w:val="18"/>
          <w:szCs w:val="18"/>
        </w:rPr>
        <w:t>The redacted values correspond to the following ranges:</w:t>
      </w:r>
    </w:p>
    <w:p w14:paraId="6ECD68EC" w14:textId="0B1D4A94" w:rsidR="00045F79" w:rsidRDefault="00045F79" w:rsidP="00045F79">
      <w:pPr>
        <w:keepNext/>
        <w:keepLines/>
        <w:rPr>
          <w:rFonts w:ascii="Arial Narrow" w:hAnsi="Arial Narrow"/>
          <w:bCs/>
          <w:i/>
          <w:iCs/>
          <w:sz w:val="18"/>
          <w:szCs w:val="18"/>
        </w:rPr>
      </w:pPr>
      <w:r>
        <w:rPr>
          <w:rFonts w:ascii="Arial Narrow" w:hAnsi="Arial Narrow"/>
          <w:bCs/>
          <w:i/>
          <w:iCs/>
          <w:sz w:val="18"/>
          <w:szCs w:val="18"/>
        </w:rPr>
        <w:t>1</w:t>
      </w:r>
      <w:r w:rsidRPr="00045F79">
        <w:rPr>
          <w:rFonts w:ascii="Arial Narrow" w:hAnsi="Arial Narrow"/>
          <w:bCs/>
          <w:i/>
          <w:iCs/>
          <w:sz w:val="18"/>
          <w:szCs w:val="18"/>
        </w:rPr>
        <w:t xml:space="preserve"> &lt; 500</w:t>
      </w:r>
    </w:p>
    <w:p w14:paraId="055C01A4" w14:textId="12E8D463" w:rsidR="00045F79" w:rsidRDefault="00045F79" w:rsidP="00045F79">
      <w:pPr>
        <w:keepNext/>
        <w:keepLines/>
        <w:rPr>
          <w:rFonts w:ascii="Arial Narrow" w:hAnsi="Arial Narrow"/>
          <w:bCs/>
          <w:i/>
          <w:iCs/>
          <w:sz w:val="18"/>
          <w:szCs w:val="18"/>
        </w:rPr>
      </w:pPr>
      <w:r>
        <w:rPr>
          <w:rFonts w:ascii="Arial Narrow" w:hAnsi="Arial Narrow"/>
          <w:bCs/>
          <w:i/>
          <w:iCs/>
          <w:sz w:val="18"/>
          <w:szCs w:val="18"/>
        </w:rPr>
        <w:t>2</w:t>
      </w:r>
      <w:r w:rsidRPr="003F0AD1">
        <w:rPr>
          <w:rFonts w:ascii="Arial Narrow" w:hAnsi="Arial Narrow"/>
          <w:bCs/>
          <w:i/>
          <w:iCs/>
          <w:sz w:val="18"/>
          <w:szCs w:val="18"/>
        </w:rPr>
        <w:t xml:space="preserve"> 500 to &lt; 5,000</w:t>
      </w:r>
    </w:p>
    <w:p w14:paraId="65786F48" w14:textId="156BEA71" w:rsidR="00045F79" w:rsidRPr="003F0AD1" w:rsidRDefault="00045F79" w:rsidP="00045F79">
      <w:pPr>
        <w:keepNext/>
        <w:keepLines/>
        <w:rPr>
          <w:rFonts w:ascii="Arial Narrow" w:hAnsi="Arial Narrow"/>
          <w:bCs/>
          <w:i/>
          <w:iCs/>
          <w:sz w:val="18"/>
          <w:szCs w:val="18"/>
        </w:rPr>
      </w:pPr>
      <w:r>
        <w:rPr>
          <w:rFonts w:ascii="Arial Narrow" w:hAnsi="Arial Narrow"/>
          <w:bCs/>
          <w:i/>
          <w:iCs/>
          <w:sz w:val="18"/>
          <w:szCs w:val="18"/>
        </w:rPr>
        <w:t xml:space="preserve">3 </w:t>
      </w:r>
      <w:r w:rsidRPr="00045F79">
        <w:rPr>
          <w:rFonts w:ascii="Arial Narrow" w:hAnsi="Arial Narrow"/>
          <w:bCs/>
          <w:i/>
          <w:iCs/>
          <w:sz w:val="18"/>
          <w:szCs w:val="18"/>
        </w:rPr>
        <w:t>10,000 to &lt; 20,000</w:t>
      </w:r>
    </w:p>
    <w:p w14:paraId="61D5767B" w14:textId="70C38114" w:rsidR="00045F79" w:rsidRDefault="00045F79" w:rsidP="00045F79">
      <w:pPr>
        <w:keepNext/>
        <w:keepLines/>
        <w:rPr>
          <w:rFonts w:ascii="Arial Narrow" w:hAnsi="Arial Narrow"/>
          <w:bCs/>
          <w:i/>
          <w:iCs/>
          <w:sz w:val="18"/>
          <w:szCs w:val="18"/>
        </w:rPr>
      </w:pPr>
      <w:r>
        <w:rPr>
          <w:rFonts w:ascii="Arial Narrow" w:hAnsi="Arial Narrow"/>
          <w:bCs/>
          <w:i/>
          <w:iCs/>
          <w:sz w:val="18"/>
          <w:szCs w:val="18"/>
        </w:rPr>
        <w:t xml:space="preserve">4 </w:t>
      </w:r>
      <w:r w:rsidRPr="00E3560E">
        <w:rPr>
          <w:rFonts w:ascii="Arial Narrow" w:hAnsi="Arial Narrow"/>
          <w:bCs/>
          <w:i/>
          <w:iCs/>
          <w:sz w:val="18"/>
          <w:szCs w:val="18"/>
        </w:rPr>
        <w:t>$20 million to &lt; $30 million</w:t>
      </w:r>
    </w:p>
    <w:p w14:paraId="552F2ADE" w14:textId="5248211E" w:rsidR="00045F79" w:rsidRDefault="00045F79" w:rsidP="00045F79">
      <w:pPr>
        <w:keepNext/>
        <w:keepLines/>
        <w:rPr>
          <w:rFonts w:ascii="Arial Narrow" w:hAnsi="Arial Narrow"/>
          <w:bCs/>
          <w:i/>
          <w:iCs/>
          <w:sz w:val="18"/>
          <w:szCs w:val="18"/>
        </w:rPr>
      </w:pPr>
      <w:r>
        <w:rPr>
          <w:rFonts w:ascii="Arial Narrow" w:hAnsi="Arial Narrow"/>
          <w:bCs/>
          <w:i/>
          <w:iCs/>
          <w:sz w:val="18"/>
          <w:szCs w:val="18"/>
        </w:rPr>
        <w:t xml:space="preserve">5 </w:t>
      </w:r>
      <w:r w:rsidRPr="00E3560E">
        <w:rPr>
          <w:rFonts w:ascii="Arial Narrow" w:hAnsi="Arial Narrow"/>
          <w:bCs/>
          <w:i/>
          <w:iCs/>
          <w:sz w:val="18"/>
          <w:szCs w:val="18"/>
        </w:rPr>
        <w:t>$30 million to &lt; $40 million</w:t>
      </w:r>
    </w:p>
    <w:p w14:paraId="0D8C6CDB" w14:textId="603A1FED" w:rsidR="00045F79" w:rsidRPr="00E3560E" w:rsidRDefault="00045F79" w:rsidP="00045F79">
      <w:pPr>
        <w:keepNext/>
        <w:keepLines/>
        <w:rPr>
          <w:rFonts w:ascii="Arial Narrow" w:hAnsi="Arial Narrow"/>
          <w:bCs/>
          <w:i/>
          <w:iCs/>
          <w:sz w:val="18"/>
          <w:szCs w:val="18"/>
        </w:rPr>
      </w:pPr>
      <w:r>
        <w:rPr>
          <w:rFonts w:ascii="Arial Narrow" w:hAnsi="Arial Narrow"/>
          <w:bCs/>
          <w:i/>
          <w:iCs/>
          <w:sz w:val="18"/>
          <w:szCs w:val="18"/>
        </w:rPr>
        <w:t xml:space="preserve">6 </w:t>
      </w:r>
      <w:r w:rsidRPr="00E3560E">
        <w:rPr>
          <w:rFonts w:ascii="Arial Narrow" w:hAnsi="Arial Narrow"/>
          <w:bCs/>
          <w:i/>
          <w:iCs/>
          <w:sz w:val="18"/>
          <w:szCs w:val="18"/>
        </w:rPr>
        <w:t>$10 million to &lt; $20 million</w:t>
      </w:r>
    </w:p>
    <w:p w14:paraId="37A29168" w14:textId="2122EDF7" w:rsidR="00045F79" w:rsidRDefault="00045F79" w:rsidP="0009066F">
      <w:pPr>
        <w:keepNext/>
        <w:keepLines/>
        <w:rPr>
          <w:rFonts w:ascii="Arial Narrow" w:hAnsi="Arial Narrow"/>
          <w:bCs/>
          <w:i/>
          <w:iCs/>
          <w:sz w:val="18"/>
          <w:szCs w:val="18"/>
        </w:rPr>
      </w:pPr>
      <w:r>
        <w:rPr>
          <w:rFonts w:ascii="Arial Narrow" w:hAnsi="Arial Narrow"/>
          <w:bCs/>
          <w:i/>
          <w:iCs/>
          <w:sz w:val="18"/>
          <w:szCs w:val="18"/>
        </w:rPr>
        <w:t xml:space="preserve">7 </w:t>
      </w:r>
      <w:r w:rsidRPr="00E3560E">
        <w:rPr>
          <w:rFonts w:ascii="Arial Narrow" w:hAnsi="Arial Narrow"/>
          <w:bCs/>
          <w:i/>
          <w:iCs/>
          <w:sz w:val="18"/>
          <w:szCs w:val="18"/>
        </w:rPr>
        <w:t>$0 to &lt; $10 million</w:t>
      </w:r>
    </w:p>
    <w:p w14:paraId="6CF10137" w14:textId="19CB020D" w:rsidR="00045F79" w:rsidRPr="002621BF" w:rsidRDefault="00D0471D" w:rsidP="006F175E">
      <w:pPr>
        <w:keepLines/>
        <w:spacing w:after="120"/>
        <w:rPr>
          <w:rFonts w:ascii="Arial Narrow" w:hAnsi="Arial Narrow"/>
          <w:bCs/>
          <w:i/>
          <w:iCs/>
          <w:sz w:val="18"/>
          <w:szCs w:val="18"/>
        </w:rPr>
      </w:pPr>
      <w:r>
        <w:rPr>
          <w:rFonts w:ascii="Arial Narrow" w:hAnsi="Arial Narrow"/>
          <w:bCs/>
          <w:i/>
          <w:iCs/>
          <w:sz w:val="18"/>
          <w:szCs w:val="18"/>
        </w:rPr>
        <w:t xml:space="preserve">8 </w:t>
      </w:r>
      <w:r w:rsidRPr="00D0471D">
        <w:rPr>
          <w:rFonts w:ascii="Arial Narrow" w:hAnsi="Arial Narrow"/>
          <w:bCs/>
          <w:i/>
          <w:iCs/>
          <w:sz w:val="18"/>
          <w:szCs w:val="18"/>
        </w:rPr>
        <w:t>$100 million to &lt; $200 million</w:t>
      </w:r>
    </w:p>
    <w:p w14:paraId="2238DEE9" w14:textId="710784DE" w:rsidR="00576972" w:rsidRPr="0049394D" w:rsidRDefault="00576972" w:rsidP="00606FBA">
      <w:pPr>
        <w:pStyle w:val="4-SubsectionHeading"/>
      </w:pPr>
      <w:r w:rsidRPr="0049394D">
        <w:t>Quality Use of Medicines</w:t>
      </w:r>
      <w:bookmarkEnd w:id="89"/>
      <w:bookmarkEnd w:id="90"/>
    </w:p>
    <w:p w14:paraId="30F12A9B" w14:textId="2B2CE9A0" w:rsidR="00E20F5E" w:rsidRPr="0049394D" w:rsidRDefault="00E20F5E" w:rsidP="00E20F5E">
      <w:pPr>
        <w:pStyle w:val="3-BodyText"/>
      </w:pPr>
      <w:bookmarkStart w:id="95" w:name="_Toc22897649"/>
      <w:r w:rsidRPr="0049394D">
        <w:t xml:space="preserve">The submission </w:t>
      </w:r>
      <w:r w:rsidR="00C3249B" w:rsidRPr="0049394D">
        <w:t>stated that</w:t>
      </w:r>
      <w:r w:rsidRPr="0049394D">
        <w:t xml:space="preserve"> the Sponsor intend to develop information materials alongside clinical advisory boards, for physicians, nurses, pharmacists, and patients to identify and manage adverse events associated with belzutifan (e.g., anaemia and hypoxia). Education programs will include in-person workshops aligned to medical conferences and telephone service. </w:t>
      </w:r>
      <w:r w:rsidRPr="0049394D">
        <w:rPr>
          <w:iCs/>
        </w:rPr>
        <w:t xml:space="preserve">The submission did not give specifics of the information or how it </w:t>
      </w:r>
      <w:r w:rsidR="00F10B70">
        <w:rPr>
          <w:iCs/>
        </w:rPr>
        <w:t>would</w:t>
      </w:r>
      <w:r w:rsidR="00F10B70" w:rsidRPr="0049394D">
        <w:rPr>
          <w:iCs/>
        </w:rPr>
        <w:t xml:space="preserve"> </w:t>
      </w:r>
      <w:r w:rsidRPr="0049394D">
        <w:rPr>
          <w:iCs/>
        </w:rPr>
        <w:t>be disseminated (e.g., no specific conferences were identified).</w:t>
      </w:r>
    </w:p>
    <w:p w14:paraId="6015A395" w14:textId="2EDB6A4E" w:rsidR="00576972" w:rsidRPr="0049394D" w:rsidRDefault="00576972" w:rsidP="00606FBA">
      <w:pPr>
        <w:pStyle w:val="4-SubsectionHeading"/>
      </w:pPr>
      <w:bookmarkStart w:id="96" w:name="_Toc167277641"/>
      <w:r w:rsidRPr="0049394D">
        <w:t>Financial Management – Risk Sharing Arrangements</w:t>
      </w:r>
      <w:bookmarkEnd w:id="95"/>
      <w:bookmarkEnd w:id="96"/>
    </w:p>
    <w:p w14:paraId="390B336E" w14:textId="59E55A7A" w:rsidR="00E20F5E" w:rsidRDefault="00E20F5E" w:rsidP="00E20F5E">
      <w:pPr>
        <w:pStyle w:val="3-BodyText"/>
        <w:rPr>
          <w:rStyle w:val="3-BodyTextChar"/>
        </w:rPr>
      </w:pPr>
      <w:r w:rsidRPr="0049394D">
        <w:rPr>
          <w:rStyle w:val="3-BodyTextChar"/>
        </w:rPr>
        <w:t xml:space="preserve">No specific </w:t>
      </w:r>
      <w:r w:rsidR="00DB7F29">
        <w:rPr>
          <w:rStyle w:val="3-BodyTextChar"/>
        </w:rPr>
        <w:t xml:space="preserve">risk </w:t>
      </w:r>
      <w:r w:rsidR="00113655" w:rsidRPr="00113655">
        <w:rPr>
          <w:snapToGrid/>
        </w:rPr>
        <w:t xml:space="preserve">sharing arrangement </w:t>
      </w:r>
      <w:r w:rsidR="00113655">
        <w:rPr>
          <w:snapToGrid/>
        </w:rPr>
        <w:t>(</w:t>
      </w:r>
      <w:r w:rsidR="0043261E">
        <w:rPr>
          <w:rStyle w:val="3-BodyTextChar"/>
        </w:rPr>
        <w:t>RSA</w:t>
      </w:r>
      <w:r w:rsidR="00113655">
        <w:rPr>
          <w:rStyle w:val="3-BodyTextChar"/>
        </w:rPr>
        <w:t>)</w:t>
      </w:r>
      <w:r w:rsidR="004F67DE" w:rsidRPr="0049394D">
        <w:rPr>
          <w:rStyle w:val="3-BodyTextChar"/>
        </w:rPr>
        <w:t xml:space="preserve"> </w:t>
      </w:r>
      <w:r w:rsidRPr="0049394D">
        <w:rPr>
          <w:rStyle w:val="3-BodyTextChar"/>
        </w:rPr>
        <w:t>w</w:t>
      </w:r>
      <w:r w:rsidR="0043261E">
        <w:rPr>
          <w:rStyle w:val="3-BodyTextChar"/>
        </w:rPr>
        <w:t>as</w:t>
      </w:r>
      <w:r w:rsidRPr="0049394D">
        <w:rPr>
          <w:rStyle w:val="3-BodyTextChar"/>
        </w:rPr>
        <w:t xml:space="preserve"> presented in the submission, but the Sponsor indicated a willingness to discuss.</w:t>
      </w:r>
    </w:p>
    <w:p w14:paraId="00AEAC25" w14:textId="059E2111" w:rsidR="00465819" w:rsidRDefault="00876081" w:rsidP="0075528C">
      <w:pPr>
        <w:pStyle w:val="3-BodyText"/>
        <w:rPr>
          <w:rStyle w:val="3-BodyTextChar"/>
        </w:rPr>
      </w:pPr>
      <w:bookmarkStart w:id="97" w:name="_Ref172279636"/>
      <w:r>
        <w:rPr>
          <w:rStyle w:val="3-BodyTextChar"/>
        </w:rPr>
        <w:t xml:space="preserve">The pre-PBAC </w:t>
      </w:r>
      <w:r w:rsidR="00C3249B">
        <w:rPr>
          <w:rStyle w:val="3-BodyTextChar"/>
        </w:rPr>
        <w:t>response supported</w:t>
      </w:r>
      <w:r w:rsidRPr="00876081">
        <w:rPr>
          <w:rStyle w:val="3-BodyTextChar"/>
        </w:rPr>
        <w:t xml:space="preserve"> the proposed PBS restrictions (with Secretariat amendments) and </w:t>
      </w:r>
      <w:r>
        <w:rPr>
          <w:rStyle w:val="3-BodyTextChar"/>
        </w:rPr>
        <w:t>welcom</w:t>
      </w:r>
      <w:r w:rsidR="00AF6202">
        <w:rPr>
          <w:rStyle w:val="3-BodyTextChar"/>
        </w:rPr>
        <w:t>ed</w:t>
      </w:r>
      <w:r>
        <w:rPr>
          <w:rStyle w:val="3-BodyTextChar"/>
        </w:rPr>
        <w:t xml:space="preserve"> the</w:t>
      </w:r>
      <w:r w:rsidRPr="00876081">
        <w:rPr>
          <w:rStyle w:val="3-BodyTextChar"/>
        </w:rPr>
        <w:t xml:space="preserve"> flexibility for the treating clinician to best determine the optimal timing and place in therapy to initiate, suspend and/or continue belzutifan</w:t>
      </w:r>
      <w:r>
        <w:rPr>
          <w:rStyle w:val="3-BodyTextChar"/>
        </w:rPr>
        <w:t xml:space="preserve">. The sponsor proposed </w:t>
      </w:r>
      <w:r w:rsidRPr="00876081">
        <w:rPr>
          <w:rStyle w:val="3-BodyTextChar"/>
        </w:rPr>
        <w:t xml:space="preserve">to address </w:t>
      </w:r>
      <w:r>
        <w:rPr>
          <w:rStyle w:val="3-BodyTextChar"/>
        </w:rPr>
        <w:t xml:space="preserve">remaining </w:t>
      </w:r>
      <w:r w:rsidRPr="00876081">
        <w:rPr>
          <w:rStyle w:val="3-BodyTextChar"/>
        </w:rPr>
        <w:t>uncertainty in the form of an RSA with proportionate (</w:t>
      </w:r>
      <w:r w:rsidR="00501C36" w:rsidRPr="006F175E">
        <w:rPr>
          <w:rStyle w:val="3-BodyTextChar"/>
          <w:color w:val="000000"/>
          <w:w w:val="15"/>
          <w:shd w:val="solid" w:color="000000" w:fill="000000"/>
          <w:fitText w:val="-20" w:id="-893683195"/>
          <w14:textFill>
            <w14:solidFill>
              <w14:srgbClr w14:val="000000">
                <w14:alpha w14:val="100000"/>
              </w14:srgbClr>
            </w14:solidFill>
          </w14:textFill>
        </w:rPr>
        <w:t xml:space="preserve">|  </w:t>
      </w:r>
      <w:r w:rsidR="00501C36" w:rsidRPr="006F175E">
        <w:rPr>
          <w:rStyle w:val="3-BodyTextChar"/>
          <w:color w:val="000000"/>
          <w:spacing w:val="-69"/>
          <w:w w:val="15"/>
          <w:shd w:val="solid" w:color="000000" w:fill="000000"/>
          <w:fitText w:val="-20" w:id="-893683195"/>
          <w14:textFill>
            <w14:solidFill>
              <w14:srgbClr w14:val="000000">
                <w14:alpha w14:val="100000"/>
              </w14:srgbClr>
            </w14:solidFill>
          </w14:textFill>
        </w:rPr>
        <w:t>|</w:t>
      </w:r>
      <w:r w:rsidR="002621BF">
        <w:rPr>
          <w:rStyle w:val="3-BodyTextChar"/>
          <w:color w:val="000000"/>
          <w:shd w:val="solid" w:color="000000" w:fill="000000"/>
          <w14:textFill>
            <w14:solidFill>
              <w14:srgbClr w14:val="000000">
                <w14:alpha w14:val="100000"/>
              </w14:srgbClr>
            </w14:solidFill>
          </w14:textFill>
        </w:rPr>
        <w:t>%</w:t>
      </w:r>
      <w:r w:rsidRPr="00876081">
        <w:rPr>
          <w:rStyle w:val="3-BodyTextChar"/>
        </w:rPr>
        <w:t xml:space="preserve">) sharing of risk between </w:t>
      </w:r>
      <w:r>
        <w:rPr>
          <w:rStyle w:val="3-BodyTextChar"/>
        </w:rPr>
        <w:t>the sponsor</w:t>
      </w:r>
      <w:r w:rsidRPr="00876081">
        <w:rPr>
          <w:rStyle w:val="3-BodyTextChar"/>
        </w:rPr>
        <w:t xml:space="preserve"> and the </w:t>
      </w:r>
      <w:r>
        <w:rPr>
          <w:rStyle w:val="3-BodyTextChar"/>
        </w:rPr>
        <w:t>Australian Government</w:t>
      </w:r>
      <w:r w:rsidRPr="00876081">
        <w:rPr>
          <w:rStyle w:val="3-BodyTextChar"/>
        </w:rPr>
        <w:t xml:space="preserve"> should agreed expenditure caps be exceeded. Furthermore, </w:t>
      </w:r>
      <w:r>
        <w:rPr>
          <w:rStyle w:val="3-BodyTextChar"/>
        </w:rPr>
        <w:t xml:space="preserve">it was proposed </w:t>
      </w:r>
      <w:r w:rsidR="00DE22CE">
        <w:rPr>
          <w:rStyle w:val="3-BodyTextChar"/>
        </w:rPr>
        <w:t>that a</w:t>
      </w:r>
      <w:r w:rsidRPr="00876081">
        <w:rPr>
          <w:rStyle w:val="3-BodyTextChar"/>
        </w:rPr>
        <w:t xml:space="preserve"> ‘maximum lifetime duration of therapy’ and/or ‘recommencement</w:t>
      </w:r>
      <w:r w:rsidR="00DE22CE">
        <w:rPr>
          <w:rStyle w:val="3-BodyTextChar"/>
        </w:rPr>
        <w:t>’</w:t>
      </w:r>
      <w:r w:rsidRPr="00876081">
        <w:rPr>
          <w:rStyle w:val="3-BodyTextChar"/>
        </w:rPr>
        <w:t xml:space="preserve"> restriction could further mitigate areas of uncertainty</w:t>
      </w:r>
      <w:r>
        <w:rPr>
          <w:rStyle w:val="3-BodyTextChar"/>
        </w:rPr>
        <w:t>.</w:t>
      </w:r>
      <w:bookmarkStart w:id="98" w:name="_Hlk103934877"/>
      <w:bookmarkEnd w:id="97"/>
    </w:p>
    <w:bookmarkEnd w:id="98"/>
    <w:p w14:paraId="30FEB8A5" w14:textId="77777777" w:rsidR="0065536C" w:rsidRPr="0065536C" w:rsidRDefault="0065536C" w:rsidP="002621BF">
      <w:pPr>
        <w:pStyle w:val="3-BodyText"/>
        <w:numPr>
          <w:ilvl w:val="0"/>
          <w:numId w:val="0"/>
        </w:numPr>
        <w:ind w:left="720" w:hanging="40"/>
        <w:rPr>
          <w:i/>
          <w:iCs/>
        </w:rPr>
      </w:pPr>
      <w:r w:rsidRPr="0065536C">
        <w:rPr>
          <w:i/>
          <w:iCs/>
        </w:rPr>
        <w:t>For more detail on PBAC’s view, see section 7 PBAC outcome.</w:t>
      </w:r>
    </w:p>
    <w:p w14:paraId="614E3DCD" w14:textId="77777777" w:rsidR="003E71CC" w:rsidRPr="0090150D" w:rsidRDefault="003E71CC" w:rsidP="003E71CC">
      <w:pPr>
        <w:pStyle w:val="2-SectionHeading"/>
        <w:numPr>
          <w:ilvl w:val="0"/>
          <w:numId w:val="1"/>
        </w:numPr>
      </w:pPr>
      <w:bookmarkStart w:id="99" w:name="_Hlk76381249"/>
      <w:bookmarkStart w:id="100" w:name="_Hlk76377955"/>
      <w:r w:rsidRPr="0090150D">
        <w:lastRenderedPageBreak/>
        <w:t>PBAC Outcome</w:t>
      </w:r>
    </w:p>
    <w:p w14:paraId="41CB738E" w14:textId="38125D9C" w:rsidR="003E71CC" w:rsidRPr="00C375DA" w:rsidRDefault="00F177D9" w:rsidP="00854496">
      <w:pPr>
        <w:widowControl w:val="0"/>
        <w:numPr>
          <w:ilvl w:val="1"/>
          <w:numId w:val="1"/>
        </w:numPr>
        <w:spacing w:after="120"/>
        <w:rPr>
          <w:rFonts w:asciiTheme="minorHAnsi" w:hAnsiTheme="minorHAnsi"/>
          <w:snapToGrid w:val="0"/>
          <w:lang w:val="en-GB"/>
        </w:rPr>
      </w:pPr>
      <w:r w:rsidRPr="00C375DA">
        <w:rPr>
          <w:rFonts w:asciiTheme="minorHAnsi" w:hAnsiTheme="minorHAnsi"/>
          <w:snapToGrid w:val="0"/>
          <w:lang w:val="en-GB"/>
        </w:rPr>
        <w:t xml:space="preserve">The PBAC recommended the listing of </w:t>
      </w:r>
      <w:r>
        <w:t>belzutifan</w:t>
      </w:r>
      <w:r w:rsidRPr="00C375DA">
        <w:rPr>
          <w:rFonts w:asciiTheme="minorHAnsi" w:hAnsiTheme="minorHAnsi"/>
          <w:snapToGrid w:val="0"/>
          <w:lang w:val="en-GB"/>
        </w:rPr>
        <w:t xml:space="preserve">, on the basis that it should be available </w:t>
      </w:r>
      <w:r>
        <w:t xml:space="preserve">as a General Schedule Authority Required (telephone/online </w:t>
      </w:r>
      <w:r w:rsidRPr="0049394D">
        <w:t>PBS Authorities system</w:t>
      </w:r>
      <w:r>
        <w:t>) listing for the treatment of patients with von Hippel-Lindau (VHL) disease who require therapy for associated renal cell carcinoma (RCC), central nervous system haemangioblastomas (CNS Hb), or pancreatic neuroendocrine tumours (pNET)</w:t>
      </w:r>
      <w:r w:rsidRPr="00C375DA">
        <w:rPr>
          <w:rFonts w:asciiTheme="minorHAnsi" w:hAnsiTheme="minorHAnsi"/>
          <w:snapToGrid w:val="0"/>
          <w:lang w:val="en-GB"/>
        </w:rPr>
        <w:t xml:space="preserve">. The PBAC is satisfied that </w:t>
      </w:r>
      <w:r>
        <w:rPr>
          <w:rFonts w:asciiTheme="minorHAnsi" w:hAnsiTheme="minorHAnsi"/>
          <w:snapToGrid w:val="0"/>
          <w:lang w:val="en-GB"/>
        </w:rPr>
        <w:t>belzutifan</w:t>
      </w:r>
      <w:r w:rsidRPr="00C375DA">
        <w:rPr>
          <w:rFonts w:asciiTheme="minorHAnsi" w:hAnsiTheme="minorHAnsi"/>
          <w:snapToGrid w:val="0"/>
          <w:lang w:val="en-GB"/>
        </w:rPr>
        <w:t xml:space="preserve"> provides, for some patients, a significant improvement in efficacy over</w:t>
      </w:r>
      <w:r>
        <w:rPr>
          <w:rFonts w:asciiTheme="minorHAnsi" w:hAnsiTheme="minorHAnsi"/>
          <w:snapToGrid w:val="0"/>
          <w:lang w:val="en-GB"/>
        </w:rPr>
        <w:t xml:space="preserve"> active surveillance</w:t>
      </w:r>
      <w:r w:rsidRPr="00C375DA">
        <w:rPr>
          <w:rFonts w:asciiTheme="minorHAnsi" w:hAnsiTheme="minorHAnsi"/>
          <w:snapToGrid w:val="0"/>
          <w:lang w:val="en-GB"/>
        </w:rPr>
        <w:t xml:space="preserve">. </w:t>
      </w:r>
      <w:r w:rsidR="00452F1F" w:rsidRPr="00452F1F">
        <w:t xml:space="preserve">In making this recommendation, the PBAC accepted there is a high unmet clinical need for treatment options for patients with VHL-disease prior to the development of metastatic disease or debilitating tumour progression, and that belzutifan is effective in reducing tumour activity and the </w:t>
      </w:r>
      <w:r w:rsidR="00F96E3E">
        <w:t>frequency</w:t>
      </w:r>
      <w:r w:rsidR="00452F1F" w:rsidRPr="00452F1F">
        <w:t xml:space="preserve"> of surgeries for these patients. The PBAC considered that the incremental cost-effectiveness was uncertain due to the limited amount of </w:t>
      </w:r>
      <w:r w:rsidR="00724FA0">
        <w:t xml:space="preserve">clinical </w:t>
      </w:r>
      <w:r w:rsidR="00452F1F" w:rsidRPr="00452F1F">
        <w:t xml:space="preserve">data to inform the model, but that in the context of this rare and life-limiting disease, belzutifan would be considered acceptably cost-effective with a price reduction that resulted in an acceptable cost per patient per year. The PBAC noted that the estimated utilisation of belzutifan required further </w:t>
      </w:r>
      <w:r w:rsidR="006A0EA8">
        <w:t>revisions</w:t>
      </w:r>
      <w:r w:rsidR="006A0EA8" w:rsidRPr="00452F1F">
        <w:t xml:space="preserve"> </w:t>
      </w:r>
      <w:r w:rsidR="00452F1F" w:rsidRPr="00452F1F">
        <w:t xml:space="preserve">to </w:t>
      </w:r>
      <w:r w:rsidR="00765C94">
        <w:t>better</w:t>
      </w:r>
      <w:r w:rsidR="00452F1F" w:rsidRPr="00452F1F">
        <w:t xml:space="preserve"> reflect the eligible patient population and time on treatment. The PBAC considered that any remaining uncertainties </w:t>
      </w:r>
      <w:r w:rsidR="00115800">
        <w:t>c</w:t>
      </w:r>
      <w:r w:rsidR="00452F1F" w:rsidRPr="00452F1F">
        <w:t xml:space="preserve">ould be managed by a </w:t>
      </w:r>
      <w:bookmarkStart w:id="101" w:name="_Hlk175724888"/>
      <w:r w:rsidR="0049593A">
        <w:t>RSA</w:t>
      </w:r>
      <w:r w:rsidR="00452F1F" w:rsidRPr="00452F1F">
        <w:t>.</w:t>
      </w:r>
      <w:bookmarkEnd w:id="101"/>
    </w:p>
    <w:p w14:paraId="08273434" w14:textId="3622A06F" w:rsidR="003E71CC" w:rsidRPr="00765C94" w:rsidRDefault="005236C4" w:rsidP="003E71C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516D3C">
        <w:rPr>
          <w:rFonts w:asciiTheme="minorHAnsi" w:hAnsiTheme="minorHAnsi"/>
          <w:snapToGrid w:val="0"/>
          <w:lang w:val="en-GB"/>
        </w:rPr>
        <w:t xml:space="preserve">noted the </w:t>
      </w:r>
      <w:r w:rsidR="00516D3C" w:rsidRPr="0049394D">
        <w:t>qualitative evidence on the patient experience in Australia</w:t>
      </w:r>
      <w:r w:rsidR="00516D3C">
        <w:rPr>
          <w:rFonts w:asciiTheme="minorHAnsi" w:hAnsiTheme="minorHAnsi"/>
          <w:snapToGrid w:val="0"/>
          <w:lang w:val="en-GB"/>
        </w:rPr>
        <w:t xml:space="preserve"> </w:t>
      </w:r>
      <w:r w:rsidR="00115800">
        <w:rPr>
          <w:rFonts w:asciiTheme="minorHAnsi" w:hAnsiTheme="minorHAnsi"/>
          <w:snapToGrid w:val="0"/>
          <w:lang w:val="en-GB"/>
        </w:rPr>
        <w:t xml:space="preserve">that was </w:t>
      </w:r>
      <w:r w:rsidR="00516D3C">
        <w:rPr>
          <w:rFonts w:asciiTheme="minorHAnsi" w:hAnsiTheme="minorHAnsi"/>
          <w:snapToGrid w:val="0"/>
          <w:lang w:val="en-GB"/>
        </w:rPr>
        <w:t xml:space="preserve">provided in the submission and </w:t>
      </w:r>
      <w:r w:rsidR="00115800">
        <w:rPr>
          <w:rFonts w:asciiTheme="minorHAnsi" w:hAnsiTheme="minorHAnsi"/>
          <w:snapToGrid w:val="0"/>
          <w:lang w:val="en-GB"/>
        </w:rPr>
        <w:t xml:space="preserve">is </w:t>
      </w:r>
      <w:r w:rsidR="00516D3C">
        <w:rPr>
          <w:rFonts w:asciiTheme="minorHAnsi" w:hAnsiTheme="minorHAnsi"/>
          <w:snapToGrid w:val="0"/>
          <w:lang w:val="en-GB"/>
        </w:rPr>
        <w:t xml:space="preserve">summarised in </w:t>
      </w:r>
      <w:r w:rsidR="00516D3C">
        <w:rPr>
          <w:rFonts w:asciiTheme="minorHAnsi" w:hAnsiTheme="minorHAnsi"/>
          <w:snapToGrid w:val="0"/>
          <w:lang w:val="en-GB"/>
        </w:rPr>
        <w:fldChar w:fldCharType="begin" w:fldLock="1"/>
      </w:r>
      <w:r w:rsidR="00516D3C">
        <w:rPr>
          <w:rFonts w:asciiTheme="minorHAnsi" w:hAnsiTheme="minorHAnsi"/>
          <w:snapToGrid w:val="0"/>
          <w:lang w:val="en-GB"/>
        </w:rPr>
        <w:instrText xml:space="preserve"> REF _Ref166441122 \h </w:instrText>
      </w:r>
      <w:r w:rsidR="00516D3C">
        <w:rPr>
          <w:rFonts w:asciiTheme="minorHAnsi" w:hAnsiTheme="minorHAnsi"/>
          <w:snapToGrid w:val="0"/>
          <w:lang w:val="en-GB"/>
        </w:rPr>
      </w:r>
      <w:r w:rsidR="00516D3C">
        <w:rPr>
          <w:rFonts w:asciiTheme="minorHAnsi" w:hAnsiTheme="minorHAnsi"/>
          <w:snapToGrid w:val="0"/>
          <w:lang w:val="en-GB"/>
        </w:rPr>
        <w:fldChar w:fldCharType="separate"/>
      </w:r>
      <w:r w:rsidR="00437B51" w:rsidRPr="0049394D">
        <w:t xml:space="preserve">Table </w:t>
      </w:r>
      <w:r w:rsidR="00437B51">
        <w:rPr>
          <w:noProof/>
        </w:rPr>
        <w:t>3</w:t>
      </w:r>
      <w:r w:rsidR="00516D3C">
        <w:rPr>
          <w:rFonts w:asciiTheme="minorHAnsi" w:hAnsiTheme="minorHAnsi"/>
          <w:snapToGrid w:val="0"/>
          <w:lang w:val="en-GB"/>
        </w:rPr>
        <w:fldChar w:fldCharType="end"/>
      </w:r>
      <w:r w:rsidR="00765C94">
        <w:rPr>
          <w:rFonts w:asciiTheme="minorHAnsi" w:hAnsiTheme="minorHAnsi"/>
          <w:snapToGrid w:val="0"/>
          <w:lang w:val="en-GB"/>
        </w:rPr>
        <w:t>, above</w:t>
      </w:r>
      <w:r w:rsidR="00516D3C">
        <w:rPr>
          <w:rFonts w:asciiTheme="minorHAnsi" w:hAnsiTheme="minorHAnsi"/>
          <w:snapToGrid w:val="0"/>
          <w:lang w:val="en-GB"/>
        </w:rPr>
        <w:t xml:space="preserve">. The PBAC </w:t>
      </w:r>
      <w:r>
        <w:rPr>
          <w:rFonts w:asciiTheme="minorHAnsi" w:hAnsiTheme="minorHAnsi"/>
          <w:snapToGrid w:val="0"/>
          <w:lang w:val="en-GB"/>
        </w:rPr>
        <w:t xml:space="preserve">acknowledged the </w:t>
      </w:r>
      <w:r w:rsidRPr="0049394D">
        <w:t>lifelong</w:t>
      </w:r>
      <w:r>
        <w:rPr>
          <w:rFonts w:asciiTheme="minorHAnsi" w:hAnsiTheme="minorHAnsi"/>
          <w:snapToGrid w:val="0"/>
          <w:lang w:val="en-GB"/>
        </w:rPr>
        <w:t xml:space="preserve"> burden on </w:t>
      </w:r>
      <w:r w:rsidRPr="0049394D">
        <w:t>patients</w:t>
      </w:r>
      <w:r>
        <w:t xml:space="preserve"> and families of</w:t>
      </w:r>
      <w:r w:rsidRPr="0049394D">
        <w:t xml:space="preserve"> multiple surgeries undertaken </w:t>
      </w:r>
      <w:r w:rsidR="00AF6202">
        <w:t>for</w:t>
      </w:r>
      <w:r w:rsidRPr="0049394D">
        <w:t xml:space="preserve"> tumours with high symptom burden</w:t>
      </w:r>
      <w:r w:rsidR="00115800">
        <w:t>,</w:t>
      </w:r>
      <w:r w:rsidRPr="0049394D">
        <w:t xml:space="preserve"> or those carrying a high risk of organ dysfunction</w:t>
      </w:r>
      <w:r w:rsidR="00115800">
        <w:t>,</w:t>
      </w:r>
      <w:r w:rsidRPr="0049394D">
        <w:t xml:space="preserve"> or metastasis</w:t>
      </w:r>
      <w:r>
        <w:t>. The PBAC noted the sponsor hearing</w:t>
      </w:r>
      <w:r w:rsidR="00932C48">
        <w:t xml:space="preserve"> </w:t>
      </w:r>
      <w:r w:rsidR="009F5CF4">
        <w:t xml:space="preserve">and consumer comments were strongly supportive of the benefits of belzutifan in reducing tumour burden and surgical intervention, </w:t>
      </w:r>
      <w:r w:rsidR="00A86235">
        <w:t xml:space="preserve">including for subsequent tumours, </w:t>
      </w:r>
      <w:r w:rsidR="00516D3C">
        <w:t>which may</w:t>
      </w:r>
      <w:r w:rsidR="009F5CF4">
        <w:t xml:space="preserve"> result</w:t>
      </w:r>
      <w:r w:rsidR="00516D3C">
        <w:t xml:space="preserve"> in</w:t>
      </w:r>
      <w:r w:rsidR="009F5CF4">
        <w:t xml:space="preserve"> improvements in </w:t>
      </w:r>
      <w:r w:rsidR="00516D3C">
        <w:t xml:space="preserve">long-term morbidities, psychological well-being, and overall </w:t>
      </w:r>
      <w:r w:rsidR="009F5CF4">
        <w:t xml:space="preserve">quality of life. The PBAC considered there was high unmet clinical need for alternative medical management of VHL. </w:t>
      </w:r>
    </w:p>
    <w:p w14:paraId="5F9E8B02" w14:textId="55911E3D" w:rsidR="00A67343" w:rsidRDefault="00A67343" w:rsidP="003E71CC">
      <w:pPr>
        <w:widowControl w:val="0"/>
        <w:numPr>
          <w:ilvl w:val="1"/>
          <w:numId w:val="1"/>
        </w:numPr>
        <w:spacing w:after="120"/>
        <w:rPr>
          <w:rFonts w:asciiTheme="minorHAnsi" w:hAnsiTheme="minorHAnsi"/>
          <w:snapToGrid w:val="0"/>
          <w:lang w:val="en-GB"/>
        </w:rPr>
      </w:pPr>
      <w:bookmarkStart w:id="102" w:name="_Ref172279723"/>
      <w:r>
        <w:rPr>
          <w:rFonts w:asciiTheme="minorHAnsi" w:hAnsiTheme="minorHAnsi"/>
          <w:snapToGrid w:val="0"/>
          <w:lang w:val="en-GB"/>
        </w:rPr>
        <w:t>The PBAC noted the clinical place of belzutifan required consideration with respect to the criteria for initiati</w:t>
      </w:r>
      <w:r w:rsidR="00682C2F">
        <w:rPr>
          <w:rFonts w:asciiTheme="minorHAnsi" w:hAnsiTheme="minorHAnsi"/>
          <w:snapToGrid w:val="0"/>
          <w:lang w:val="en-GB"/>
        </w:rPr>
        <w:t>on</w:t>
      </w:r>
      <w:r>
        <w:rPr>
          <w:rFonts w:asciiTheme="minorHAnsi" w:hAnsiTheme="minorHAnsi"/>
          <w:snapToGrid w:val="0"/>
          <w:lang w:val="en-GB"/>
        </w:rPr>
        <w:t xml:space="preserve"> and recommencement of treatment</w:t>
      </w:r>
      <w:r w:rsidR="00682C2F">
        <w:rPr>
          <w:rFonts w:asciiTheme="minorHAnsi" w:hAnsiTheme="minorHAnsi"/>
          <w:snapToGrid w:val="0"/>
          <w:lang w:val="en-GB"/>
        </w:rPr>
        <w:t xml:space="preserve">, as well as permissions for continuing </w:t>
      </w:r>
      <w:r w:rsidR="00CA2CA7">
        <w:rPr>
          <w:rFonts w:asciiTheme="minorHAnsi" w:hAnsiTheme="minorHAnsi"/>
          <w:snapToGrid w:val="0"/>
          <w:lang w:val="en-GB"/>
        </w:rPr>
        <w:t>treatment</w:t>
      </w:r>
      <w:r>
        <w:rPr>
          <w:rFonts w:asciiTheme="minorHAnsi" w:hAnsiTheme="minorHAnsi"/>
          <w:snapToGrid w:val="0"/>
          <w:lang w:val="en-GB"/>
        </w:rPr>
        <w:t xml:space="preserve">. </w:t>
      </w:r>
      <w:r w:rsidR="00E837B6">
        <w:rPr>
          <w:rFonts w:asciiTheme="minorHAnsi" w:hAnsiTheme="minorHAnsi"/>
          <w:snapToGrid w:val="0"/>
          <w:lang w:val="en-GB"/>
        </w:rPr>
        <w:t>The following issues were considered by the Committee:</w:t>
      </w:r>
      <w:bookmarkEnd w:id="102"/>
    </w:p>
    <w:p w14:paraId="4755116B" w14:textId="2F79C0DD" w:rsidR="00A67343" w:rsidRDefault="00A67343"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 xml:space="preserve">The PBAC agreed with </w:t>
      </w:r>
      <w:r w:rsidR="00D838F8">
        <w:rPr>
          <w:rFonts w:asciiTheme="minorHAnsi" w:hAnsiTheme="minorHAnsi"/>
          <w:snapToGrid w:val="0"/>
          <w:lang w:val="en-GB"/>
        </w:rPr>
        <w:t xml:space="preserve">the </w:t>
      </w:r>
      <w:r>
        <w:rPr>
          <w:rFonts w:asciiTheme="minorHAnsi" w:hAnsiTheme="minorHAnsi"/>
          <w:snapToGrid w:val="0"/>
          <w:lang w:val="en-GB"/>
        </w:rPr>
        <w:t xml:space="preserve">submission’s proposed options for diagnosis of VHL, not </w:t>
      </w:r>
      <w:r w:rsidR="00E837B6">
        <w:rPr>
          <w:rFonts w:asciiTheme="minorHAnsi" w:hAnsiTheme="minorHAnsi"/>
          <w:snapToGrid w:val="0"/>
          <w:lang w:val="en-GB"/>
        </w:rPr>
        <w:t xml:space="preserve">being </w:t>
      </w:r>
      <w:r>
        <w:rPr>
          <w:rFonts w:asciiTheme="minorHAnsi" w:hAnsiTheme="minorHAnsi"/>
          <w:snapToGrid w:val="0"/>
          <w:lang w:val="en-GB"/>
        </w:rPr>
        <w:t>limited to</w:t>
      </w:r>
      <w:r w:rsidR="00DC0CE0">
        <w:rPr>
          <w:rFonts w:asciiTheme="minorHAnsi" w:hAnsiTheme="minorHAnsi"/>
          <w:snapToGrid w:val="0"/>
          <w:lang w:val="en-GB"/>
        </w:rPr>
        <w:t xml:space="preserve"> a positive</w:t>
      </w:r>
      <w:r>
        <w:rPr>
          <w:rFonts w:asciiTheme="minorHAnsi" w:hAnsiTheme="minorHAnsi"/>
          <w:snapToGrid w:val="0"/>
          <w:lang w:val="en-GB"/>
        </w:rPr>
        <w:t xml:space="preserve"> germline test,</w:t>
      </w:r>
      <w:r w:rsidRPr="00A67343">
        <w:t xml:space="preserve"> </w:t>
      </w:r>
      <w:r>
        <w:rPr>
          <w:rFonts w:asciiTheme="minorHAnsi" w:hAnsiTheme="minorHAnsi"/>
          <w:snapToGrid w:val="0"/>
          <w:lang w:val="en-GB"/>
        </w:rPr>
        <w:t xml:space="preserve">with additional explanation of disease manifestations </w:t>
      </w:r>
      <w:r w:rsidRPr="00A67343">
        <w:rPr>
          <w:rFonts w:asciiTheme="minorHAnsi" w:hAnsiTheme="minorHAnsi"/>
          <w:snapToGrid w:val="0"/>
          <w:lang w:val="en-GB"/>
        </w:rPr>
        <w:t>highly characteristic of VHL disease</w:t>
      </w:r>
      <w:r>
        <w:rPr>
          <w:rFonts w:asciiTheme="minorHAnsi" w:hAnsiTheme="minorHAnsi"/>
          <w:snapToGrid w:val="0"/>
          <w:lang w:val="en-GB"/>
        </w:rPr>
        <w:t xml:space="preserve"> to be provided in a prescriber </w:t>
      </w:r>
      <w:r w:rsidR="00E837B6">
        <w:rPr>
          <w:rFonts w:asciiTheme="minorHAnsi" w:hAnsiTheme="minorHAnsi"/>
          <w:snapToGrid w:val="0"/>
          <w:lang w:val="en-GB"/>
        </w:rPr>
        <w:t>instruction</w:t>
      </w:r>
      <w:r>
        <w:rPr>
          <w:rFonts w:asciiTheme="minorHAnsi" w:hAnsiTheme="minorHAnsi"/>
          <w:snapToGrid w:val="0"/>
          <w:lang w:val="en-GB"/>
        </w:rPr>
        <w:t xml:space="preserve">. </w:t>
      </w:r>
    </w:p>
    <w:p w14:paraId="7E476199" w14:textId="043AF675" w:rsidR="00E837B6" w:rsidRPr="009A2D03" w:rsidRDefault="00A67343"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 xml:space="preserve">The PBAC agreed with the ESC that </w:t>
      </w:r>
      <w:r w:rsidR="00E837B6">
        <w:rPr>
          <w:rFonts w:asciiTheme="minorHAnsi" w:hAnsiTheme="minorHAnsi"/>
          <w:snapToGrid w:val="0"/>
          <w:lang w:val="en-GB"/>
        </w:rPr>
        <w:t xml:space="preserve">it </w:t>
      </w:r>
      <w:r w:rsidR="00E837B6" w:rsidRPr="00D97318">
        <w:rPr>
          <w:iCs/>
        </w:rPr>
        <w:t>was reasonable to allow initiation base</w:t>
      </w:r>
      <w:r w:rsidR="00E837B6" w:rsidRPr="00E837B6">
        <w:rPr>
          <w:iCs/>
        </w:rPr>
        <w:t>d on the different tumour types specified and to allow treatment to be continued or re</w:t>
      </w:r>
      <w:r w:rsidR="00115800">
        <w:rPr>
          <w:iCs/>
        </w:rPr>
        <w:t>commenc</w:t>
      </w:r>
      <w:r w:rsidR="00E837B6" w:rsidRPr="00E837B6">
        <w:rPr>
          <w:iCs/>
        </w:rPr>
        <w:t>ed</w:t>
      </w:r>
      <w:r w:rsidR="00115800">
        <w:rPr>
          <w:iCs/>
        </w:rPr>
        <w:t xml:space="preserve">, </w:t>
      </w:r>
      <w:r w:rsidR="00E837B6" w:rsidRPr="00E837B6">
        <w:rPr>
          <w:iCs/>
        </w:rPr>
        <w:t>as appropriate</w:t>
      </w:r>
      <w:r w:rsidR="00115800">
        <w:rPr>
          <w:iCs/>
        </w:rPr>
        <w:t>,</w:t>
      </w:r>
      <w:r w:rsidR="00E837B6" w:rsidRPr="00E837B6">
        <w:rPr>
          <w:iCs/>
        </w:rPr>
        <w:t xml:space="preserve"> to avoid future surgeries</w:t>
      </w:r>
      <w:r w:rsidR="00E837B6">
        <w:rPr>
          <w:iCs/>
        </w:rPr>
        <w:t xml:space="preserve">. </w:t>
      </w:r>
    </w:p>
    <w:p w14:paraId="4FC6CCDD" w14:textId="439C840D" w:rsidR="00E837B6" w:rsidRDefault="00E837B6" w:rsidP="002621BF">
      <w:pPr>
        <w:widowControl w:val="0"/>
        <w:numPr>
          <w:ilvl w:val="1"/>
          <w:numId w:val="27"/>
        </w:numPr>
        <w:spacing w:after="120"/>
        <w:ind w:left="1134" w:hanging="426"/>
        <w:rPr>
          <w:rFonts w:asciiTheme="minorHAnsi" w:hAnsiTheme="minorHAnsi"/>
          <w:snapToGrid w:val="0"/>
          <w:lang w:val="en-GB"/>
        </w:rPr>
      </w:pPr>
      <w:r w:rsidRPr="00115800">
        <w:rPr>
          <w:rFonts w:asciiTheme="minorHAnsi" w:hAnsiTheme="minorHAnsi"/>
          <w:snapToGrid w:val="0"/>
          <w:lang w:val="en-GB"/>
        </w:rPr>
        <w:t xml:space="preserve">The PBAC noted the clinicians in the sponsor hearing discussed that the choice of </w:t>
      </w:r>
      <w:r w:rsidRPr="00115800">
        <w:rPr>
          <w:rFonts w:asciiTheme="minorHAnsi" w:hAnsiTheme="minorHAnsi"/>
          <w:snapToGrid w:val="0"/>
          <w:lang w:val="en-GB"/>
        </w:rPr>
        <w:lastRenderedPageBreak/>
        <w:t>drug therapy over surgery would depend on multidisciplinary meetings</w:t>
      </w:r>
      <w:r w:rsidR="00AF6202">
        <w:rPr>
          <w:rFonts w:asciiTheme="minorHAnsi" w:hAnsiTheme="minorHAnsi"/>
          <w:snapToGrid w:val="0"/>
          <w:lang w:val="en-GB"/>
        </w:rPr>
        <w:t>,</w:t>
      </w:r>
      <w:r w:rsidRPr="00115800">
        <w:rPr>
          <w:rFonts w:asciiTheme="minorHAnsi" w:hAnsiTheme="minorHAnsi"/>
          <w:snapToGrid w:val="0"/>
          <w:lang w:val="en-GB"/>
        </w:rPr>
        <w:t xml:space="preserve"> consideration of the tumour growth pattern and whether surgical removal would be relatively straightforward. As such, the PBAC suggested amending the criteria that ‘Patient must not require immediate surgery’ to</w:t>
      </w:r>
      <w:r w:rsidR="00A67343">
        <w:rPr>
          <w:rFonts w:asciiTheme="minorHAnsi" w:hAnsiTheme="minorHAnsi"/>
          <w:snapToGrid w:val="0"/>
          <w:lang w:val="en-GB"/>
        </w:rPr>
        <w:t xml:space="preserve"> </w:t>
      </w:r>
      <w:r>
        <w:rPr>
          <w:rFonts w:asciiTheme="minorHAnsi" w:hAnsiTheme="minorHAnsi"/>
          <w:snapToGrid w:val="0"/>
          <w:lang w:val="en-GB"/>
        </w:rPr>
        <w:t>allow the judgement of the treating clinician in the assessment of the need for ‘immediate’ surgery</w:t>
      </w:r>
      <w:r w:rsidR="00255417">
        <w:rPr>
          <w:rFonts w:asciiTheme="minorHAnsi" w:hAnsiTheme="minorHAnsi"/>
          <w:snapToGrid w:val="0"/>
          <w:lang w:val="en-GB"/>
        </w:rPr>
        <w:t xml:space="preserve">, to provide an </w:t>
      </w:r>
      <w:r w:rsidR="00255417" w:rsidRPr="00255417">
        <w:rPr>
          <w:rFonts w:asciiTheme="minorHAnsi" w:hAnsiTheme="minorHAnsi"/>
          <w:snapToGrid w:val="0"/>
          <w:lang w:val="en-GB"/>
        </w:rPr>
        <w:t>avenue for clinic</w:t>
      </w:r>
      <w:r w:rsidR="00255417">
        <w:rPr>
          <w:rFonts w:asciiTheme="minorHAnsi" w:hAnsiTheme="minorHAnsi"/>
          <w:snapToGrid w:val="0"/>
          <w:lang w:val="en-GB"/>
        </w:rPr>
        <w:t>i</w:t>
      </w:r>
      <w:r w:rsidR="00255417" w:rsidRPr="00255417">
        <w:rPr>
          <w:rFonts w:asciiTheme="minorHAnsi" w:hAnsiTheme="minorHAnsi"/>
          <w:snapToGrid w:val="0"/>
          <w:lang w:val="en-GB"/>
        </w:rPr>
        <w:t>a</w:t>
      </w:r>
      <w:r w:rsidR="00255417">
        <w:rPr>
          <w:rFonts w:asciiTheme="minorHAnsi" w:hAnsiTheme="minorHAnsi"/>
          <w:snapToGrid w:val="0"/>
          <w:lang w:val="en-GB"/>
        </w:rPr>
        <w:t>n</w:t>
      </w:r>
      <w:r w:rsidR="00255417" w:rsidRPr="00255417">
        <w:rPr>
          <w:rFonts w:asciiTheme="minorHAnsi" w:hAnsiTheme="minorHAnsi"/>
          <w:snapToGrid w:val="0"/>
          <w:lang w:val="en-GB"/>
        </w:rPr>
        <w:t>s to trial bel</w:t>
      </w:r>
      <w:r w:rsidR="00E758CC">
        <w:rPr>
          <w:rFonts w:asciiTheme="minorHAnsi" w:hAnsiTheme="minorHAnsi"/>
          <w:snapToGrid w:val="0"/>
          <w:lang w:val="en-GB"/>
        </w:rPr>
        <w:t>z</w:t>
      </w:r>
      <w:r w:rsidR="005A4EA6">
        <w:rPr>
          <w:rFonts w:asciiTheme="minorHAnsi" w:hAnsiTheme="minorHAnsi"/>
          <w:snapToGrid w:val="0"/>
          <w:lang w:val="en-GB"/>
        </w:rPr>
        <w:t>u</w:t>
      </w:r>
      <w:r w:rsidR="00255417" w:rsidRPr="00255417">
        <w:rPr>
          <w:rFonts w:asciiTheme="minorHAnsi" w:hAnsiTheme="minorHAnsi"/>
          <w:snapToGrid w:val="0"/>
          <w:lang w:val="en-GB"/>
        </w:rPr>
        <w:t>tifan first in patients who might require surgery later</w:t>
      </w:r>
      <w:r>
        <w:rPr>
          <w:rFonts w:asciiTheme="minorHAnsi" w:hAnsiTheme="minorHAnsi"/>
          <w:snapToGrid w:val="0"/>
          <w:lang w:val="en-GB"/>
        </w:rPr>
        <w:t xml:space="preserve">. </w:t>
      </w:r>
    </w:p>
    <w:p w14:paraId="12618A78" w14:textId="227D42E3" w:rsidR="00A67343" w:rsidRDefault="00E837B6"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The PBAC considered</w:t>
      </w:r>
      <w:r w:rsidR="009A2D03" w:rsidRPr="009A2D03">
        <w:rPr>
          <w:rFonts w:asciiTheme="minorHAnsi" w:hAnsiTheme="minorHAnsi"/>
          <w:snapToGrid w:val="0"/>
          <w:lang w:val="en-GB"/>
        </w:rPr>
        <w:t xml:space="preserve"> </w:t>
      </w:r>
      <w:r w:rsidR="009A2D03">
        <w:rPr>
          <w:rFonts w:asciiTheme="minorHAnsi" w:hAnsiTheme="minorHAnsi"/>
          <w:snapToGrid w:val="0"/>
          <w:lang w:val="en-GB"/>
        </w:rPr>
        <w:t xml:space="preserve">recommencement of belzutifan treatment for reasons </w:t>
      </w:r>
      <w:r w:rsidR="00A24DB3">
        <w:rPr>
          <w:rFonts w:asciiTheme="minorHAnsi" w:hAnsiTheme="minorHAnsi"/>
          <w:snapToGrid w:val="0"/>
          <w:lang w:val="en-GB"/>
        </w:rPr>
        <w:t>other than unacceptable toxicity</w:t>
      </w:r>
      <w:r w:rsidR="00896C92">
        <w:rPr>
          <w:rFonts w:asciiTheme="minorHAnsi" w:hAnsiTheme="minorHAnsi"/>
          <w:snapToGrid w:val="0"/>
          <w:lang w:val="en-GB"/>
        </w:rPr>
        <w:t>,</w:t>
      </w:r>
      <w:r w:rsidR="00A24DB3">
        <w:rPr>
          <w:rFonts w:asciiTheme="minorHAnsi" w:hAnsiTheme="minorHAnsi"/>
          <w:snapToGrid w:val="0"/>
          <w:lang w:val="en-GB"/>
        </w:rPr>
        <w:t xml:space="preserve"> </w:t>
      </w:r>
      <w:r w:rsidR="009A2D03">
        <w:rPr>
          <w:rFonts w:asciiTheme="minorHAnsi" w:hAnsiTheme="minorHAnsi"/>
          <w:snapToGrid w:val="0"/>
          <w:lang w:val="en-GB"/>
        </w:rPr>
        <w:t>such as the emergence of new or different tumour types, or following a treatment break for family planning purposes</w:t>
      </w:r>
      <w:r w:rsidR="00896C92">
        <w:rPr>
          <w:rFonts w:asciiTheme="minorHAnsi" w:hAnsiTheme="minorHAnsi"/>
          <w:snapToGrid w:val="0"/>
          <w:lang w:val="en-GB"/>
        </w:rPr>
        <w:t>, was appropriate</w:t>
      </w:r>
      <w:r w:rsidR="009A2D03">
        <w:rPr>
          <w:rFonts w:asciiTheme="minorHAnsi" w:hAnsiTheme="minorHAnsi"/>
          <w:snapToGrid w:val="0"/>
          <w:lang w:val="en-GB"/>
        </w:rPr>
        <w:t>.</w:t>
      </w:r>
    </w:p>
    <w:p w14:paraId="7F371E7E" w14:textId="2DEC9DCD" w:rsidR="00255417" w:rsidRDefault="00255417"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The PBAC considered that limiting prescribing to physicians with expertise in management of VHL associated tumours was essential to ensure appropriate use and monitoring for adverse events.</w:t>
      </w:r>
    </w:p>
    <w:p w14:paraId="02FEF00C" w14:textId="073626AB" w:rsidR="004E2202" w:rsidRDefault="004E2202"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 xml:space="preserve">The PBAC also considered treatment with belzutifan should be the sole-subsidised therapy for ‘VHL disease associated tumours’, which would ensure patients are not also being treated with </w:t>
      </w:r>
      <w:r w:rsidR="00B0461C">
        <w:rPr>
          <w:rFonts w:asciiTheme="minorHAnsi" w:hAnsiTheme="minorHAnsi"/>
          <w:snapToGrid w:val="0"/>
          <w:lang w:val="en-GB"/>
        </w:rPr>
        <w:t xml:space="preserve">PBS-subsidised </w:t>
      </w:r>
      <w:r w:rsidRPr="00115800">
        <w:rPr>
          <w:rFonts w:asciiTheme="minorHAnsi" w:hAnsiTheme="minorHAnsi"/>
          <w:snapToGrid w:val="0"/>
          <w:lang w:val="en-GB"/>
        </w:rPr>
        <w:t>antineoplastic agents</w:t>
      </w:r>
      <w:r>
        <w:rPr>
          <w:rFonts w:asciiTheme="minorHAnsi" w:hAnsiTheme="minorHAnsi"/>
          <w:snapToGrid w:val="0"/>
          <w:lang w:val="en-GB"/>
        </w:rPr>
        <w:t xml:space="preserve"> for their targeted VHL disease associated tumour. </w:t>
      </w:r>
    </w:p>
    <w:p w14:paraId="6F7E2AC3" w14:textId="5B6678C9" w:rsidR="00EA7643" w:rsidRDefault="00EA7643"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The PBAC did not expect many patients younger than 18 would be eligible/seeking access to treatment with belzutifan, nonetheless</w:t>
      </w:r>
      <w:r w:rsidR="00581941">
        <w:rPr>
          <w:rFonts w:asciiTheme="minorHAnsi" w:hAnsiTheme="minorHAnsi"/>
          <w:snapToGrid w:val="0"/>
          <w:lang w:val="en-GB"/>
        </w:rPr>
        <w:t xml:space="preserve"> it was </w:t>
      </w:r>
      <w:r>
        <w:rPr>
          <w:rFonts w:asciiTheme="minorHAnsi" w:hAnsiTheme="minorHAnsi"/>
          <w:snapToGrid w:val="0"/>
          <w:lang w:val="en-GB"/>
        </w:rPr>
        <w:t xml:space="preserve">considered appropriate </w:t>
      </w:r>
      <w:r w:rsidR="00B0461C">
        <w:rPr>
          <w:rFonts w:asciiTheme="minorHAnsi" w:hAnsiTheme="minorHAnsi"/>
          <w:snapToGrid w:val="0"/>
          <w:lang w:val="en-GB"/>
        </w:rPr>
        <w:t>for this listing to be age agnostic</w:t>
      </w:r>
      <w:r w:rsidR="00581941">
        <w:rPr>
          <w:rFonts w:asciiTheme="minorHAnsi" w:hAnsiTheme="minorHAnsi"/>
          <w:snapToGrid w:val="0"/>
          <w:lang w:val="en-GB"/>
        </w:rPr>
        <w:t>.</w:t>
      </w:r>
    </w:p>
    <w:p w14:paraId="6D62FB0D" w14:textId="57AAF76A" w:rsidR="00255417" w:rsidRDefault="00CA2CA7"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 xml:space="preserve">The PBAC considered that the continuing treatment phase specify it is for the same tumour type as treatment was initiated for, and allow continuation while patients demonstrate </w:t>
      </w:r>
      <w:r w:rsidR="00B312DD">
        <w:rPr>
          <w:rFonts w:asciiTheme="minorHAnsi" w:hAnsiTheme="minorHAnsi"/>
          <w:snapToGrid w:val="0"/>
          <w:lang w:val="en-GB"/>
        </w:rPr>
        <w:t>a</w:t>
      </w:r>
      <w:r>
        <w:rPr>
          <w:rFonts w:asciiTheme="minorHAnsi" w:hAnsiTheme="minorHAnsi"/>
          <w:snapToGrid w:val="0"/>
          <w:lang w:val="en-GB"/>
        </w:rPr>
        <w:t xml:space="preserve"> response (</w:t>
      </w:r>
      <w:r w:rsidR="00B312DD">
        <w:rPr>
          <w:rFonts w:asciiTheme="minorHAnsi" w:hAnsiTheme="minorHAnsi"/>
          <w:snapToGrid w:val="0"/>
          <w:lang w:val="en-GB"/>
        </w:rPr>
        <w:t>either clinical improvement or stabilisation of disease)</w:t>
      </w:r>
      <w:r>
        <w:rPr>
          <w:rFonts w:asciiTheme="minorHAnsi" w:hAnsiTheme="minorHAnsi"/>
          <w:snapToGrid w:val="0"/>
          <w:lang w:val="en-GB"/>
        </w:rPr>
        <w:t>, or until metastatic disease</w:t>
      </w:r>
      <w:r w:rsidR="00B312DD">
        <w:rPr>
          <w:rFonts w:asciiTheme="minorHAnsi" w:hAnsiTheme="minorHAnsi"/>
          <w:snapToGrid w:val="0"/>
          <w:lang w:val="en-GB"/>
        </w:rPr>
        <w:t>.</w:t>
      </w:r>
      <w:r w:rsidR="00B0461C" w:rsidRPr="00B0461C">
        <w:rPr>
          <w:rFonts w:asciiTheme="minorHAnsi" w:hAnsiTheme="minorHAnsi"/>
          <w:snapToGrid w:val="0"/>
          <w:lang w:val="en-GB"/>
        </w:rPr>
        <w:t xml:space="preserve"> </w:t>
      </w:r>
      <w:r w:rsidR="00B0461C">
        <w:rPr>
          <w:rFonts w:asciiTheme="minorHAnsi" w:hAnsiTheme="minorHAnsi"/>
          <w:snapToGrid w:val="0"/>
          <w:lang w:val="en-GB"/>
        </w:rPr>
        <w:t>The PBAC considered it appropriate to identify the potential situations where clinical improvement or stabilisation of disease is considered met, such as ‘</w:t>
      </w:r>
      <w:r w:rsidR="00B0461C" w:rsidRPr="00380C38">
        <w:rPr>
          <w:rFonts w:asciiTheme="minorHAnsi" w:hAnsiTheme="minorHAnsi"/>
          <w:snapToGrid w:val="0"/>
          <w:lang w:val="en-GB"/>
        </w:rPr>
        <w:t>experiencing clinical benefit in at least one of the VHL associated conditions, as determined by the treating clinician(s).</w:t>
      </w:r>
      <w:r w:rsidR="00B0461C">
        <w:rPr>
          <w:rFonts w:asciiTheme="minorHAnsi" w:hAnsiTheme="minorHAnsi"/>
          <w:snapToGrid w:val="0"/>
          <w:lang w:val="en-GB"/>
        </w:rPr>
        <w:t>’</w:t>
      </w:r>
    </w:p>
    <w:p w14:paraId="1471F428" w14:textId="2825E109" w:rsidR="00765C94" w:rsidRDefault="00765C94" w:rsidP="002621BF">
      <w:pPr>
        <w:widowControl w:val="0"/>
        <w:numPr>
          <w:ilvl w:val="1"/>
          <w:numId w:val="27"/>
        </w:numPr>
        <w:spacing w:after="120"/>
        <w:ind w:left="1134" w:hanging="426"/>
        <w:rPr>
          <w:rFonts w:asciiTheme="minorHAnsi" w:hAnsiTheme="minorHAnsi"/>
          <w:snapToGrid w:val="0"/>
          <w:lang w:val="en-GB"/>
        </w:rPr>
      </w:pPr>
      <w:r>
        <w:rPr>
          <w:rFonts w:asciiTheme="minorHAnsi" w:hAnsiTheme="minorHAnsi"/>
          <w:snapToGrid w:val="0"/>
          <w:lang w:val="en-GB"/>
        </w:rPr>
        <w:t xml:space="preserve">The </w:t>
      </w:r>
      <w:r w:rsidR="00B312DD">
        <w:rPr>
          <w:rFonts w:asciiTheme="minorHAnsi" w:hAnsiTheme="minorHAnsi"/>
          <w:snapToGrid w:val="0"/>
          <w:lang w:val="en-GB"/>
        </w:rPr>
        <w:t xml:space="preserve">PBAC noted the </w:t>
      </w:r>
      <w:r>
        <w:rPr>
          <w:rFonts w:asciiTheme="minorHAnsi" w:hAnsiTheme="minorHAnsi"/>
          <w:snapToGrid w:val="0"/>
          <w:lang w:val="en-GB"/>
        </w:rPr>
        <w:t xml:space="preserve">grandfather arrangement should be updated to reflect </w:t>
      </w:r>
      <w:r w:rsidR="00255417">
        <w:rPr>
          <w:rFonts w:asciiTheme="minorHAnsi" w:hAnsiTheme="minorHAnsi"/>
          <w:snapToGrid w:val="0"/>
          <w:lang w:val="en-GB"/>
        </w:rPr>
        <w:t>the</w:t>
      </w:r>
      <w:r w:rsidR="00115800">
        <w:rPr>
          <w:rFonts w:asciiTheme="minorHAnsi" w:hAnsiTheme="minorHAnsi"/>
          <w:snapToGrid w:val="0"/>
          <w:lang w:val="en-GB"/>
        </w:rPr>
        <w:t>se</w:t>
      </w:r>
      <w:r>
        <w:rPr>
          <w:rFonts w:asciiTheme="minorHAnsi" w:hAnsiTheme="minorHAnsi"/>
          <w:snapToGrid w:val="0"/>
          <w:lang w:val="en-GB"/>
        </w:rPr>
        <w:t xml:space="preserve"> amendments to the initial and continuing treatment restrictions. </w:t>
      </w:r>
    </w:p>
    <w:p w14:paraId="3C9A34A8" w14:textId="2466B035" w:rsidR="00DC65F5" w:rsidRPr="00AC0343" w:rsidRDefault="00DC65F5" w:rsidP="002621BF">
      <w:pPr>
        <w:widowControl w:val="0"/>
        <w:numPr>
          <w:ilvl w:val="1"/>
          <w:numId w:val="27"/>
        </w:numPr>
        <w:spacing w:after="120"/>
        <w:ind w:left="1134" w:hanging="426"/>
        <w:rPr>
          <w:rFonts w:asciiTheme="minorHAnsi" w:hAnsiTheme="minorHAnsi"/>
          <w:snapToGrid w:val="0"/>
          <w:lang w:val="en-GB"/>
        </w:rPr>
      </w:pPr>
      <w:r w:rsidRPr="00115800">
        <w:t xml:space="preserve">The PBAC confirmed that an Authority Required (telephone/online PBS Authorities system) listing was appropriate and that 6 months of supply for initial and continuing </w:t>
      </w:r>
      <w:r w:rsidR="00B0461C">
        <w:t xml:space="preserve">and grandfather </w:t>
      </w:r>
      <w:r w:rsidRPr="00115800">
        <w:t>treatment was an appropriate follow-up period, to assess</w:t>
      </w:r>
      <w:r w:rsidRPr="0049394D">
        <w:t xml:space="preserve"> patient tolerance and clinical benefit</w:t>
      </w:r>
      <w:r>
        <w:t>.</w:t>
      </w:r>
    </w:p>
    <w:p w14:paraId="7C403DAB" w14:textId="7644D687" w:rsidR="00AC0343" w:rsidRDefault="00AC0343" w:rsidP="00AC0343">
      <w:pPr>
        <w:widowControl w:val="0"/>
        <w:spacing w:after="120"/>
        <w:ind w:left="709"/>
        <w:rPr>
          <w:rFonts w:asciiTheme="minorHAnsi" w:hAnsiTheme="minorHAnsi"/>
          <w:snapToGrid w:val="0"/>
          <w:lang w:val="en-GB"/>
        </w:rPr>
      </w:pPr>
      <w:r>
        <w:rPr>
          <w:rFonts w:asciiTheme="minorHAnsi" w:hAnsiTheme="minorHAnsi"/>
          <w:snapToGrid w:val="0"/>
          <w:lang w:val="en-GB"/>
        </w:rPr>
        <w:t xml:space="preserve">The PBAC considered further input from clinicians with expertise in treating VHL was required to finalise the restriction. </w:t>
      </w:r>
    </w:p>
    <w:p w14:paraId="73B4985C" w14:textId="5F669F6B" w:rsidR="009927ED" w:rsidRPr="00CE42B4" w:rsidRDefault="009927ED" w:rsidP="0011580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ESC’s advice that</w:t>
      </w:r>
      <w:r w:rsidR="00EA7643">
        <w:rPr>
          <w:rFonts w:asciiTheme="minorHAnsi" w:hAnsiTheme="minorHAnsi"/>
          <w:snapToGrid w:val="0"/>
          <w:lang w:val="en-GB"/>
        </w:rPr>
        <w:t xml:space="preserve"> </w:t>
      </w:r>
      <w:r w:rsidR="00581941">
        <w:rPr>
          <w:rFonts w:asciiTheme="minorHAnsi" w:hAnsiTheme="minorHAnsi"/>
          <w:snapToGrid w:val="0"/>
          <w:lang w:val="en-GB"/>
        </w:rPr>
        <w:t xml:space="preserve">a restriction allowing </w:t>
      </w:r>
      <w:r w:rsidR="00EA7643">
        <w:rPr>
          <w:rFonts w:asciiTheme="minorHAnsi" w:hAnsiTheme="minorHAnsi"/>
          <w:snapToGrid w:val="0"/>
          <w:lang w:val="en-GB"/>
        </w:rPr>
        <w:t>potential</w:t>
      </w:r>
      <w:r>
        <w:rPr>
          <w:rFonts w:asciiTheme="minorHAnsi" w:hAnsiTheme="minorHAnsi"/>
          <w:snapToGrid w:val="0"/>
          <w:lang w:val="en-GB"/>
        </w:rPr>
        <w:t xml:space="preserve"> </w:t>
      </w:r>
      <w:r w:rsidR="00EA7643">
        <w:rPr>
          <w:rFonts w:asciiTheme="minorHAnsi" w:hAnsiTheme="minorHAnsi"/>
          <w:snapToGrid w:val="0"/>
          <w:lang w:val="en-GB"/>
        </w:rPr>
        <w:t xml:space="preserve">life-long </w:t>
      </w:r>
      <w:r w:rsidR="00EA7643" w:rsidRPr="00115800">
        <w:rPr>
          <w:iCs/>
        </w:rPr>
        <w:t>treatment</w:t>
      </w:r>
      <w:r w:rsidR="00EA7643">
        <w:rPr>
          <w:rFonts w:asciiTheme="minorHAnsi" w:hAnsiTheme="minorHAnsi"/>
          <w:snapToGrid w:val="0"/>
          <w:lang w:val="en-GB"/>
        </w:rPr>
        <w:t xml:space="preserve"> and retreatment were not reflected in the economic model or financial estimates. The PBAC also noted the pre-PBAC response </w:t>
      </w:r>
      <w:r w:rsidR="00115800">
        <w:rPr>
          <w:rFonts w:asciiTheme="minorHAnsi" w:hAnsiTheme="minorHAnsi"/>
          <w:snapToGrid w:val="0"/>
          <w:lang w:val="en-GB"/>
        </w:rPr>
        <w:t>included a</w:t>
      </w:r>
      <w:r w:rsidR="00724FA0">
        <w:rPr>
          <w:rFonts w:asciiTheme="minorHAnsi" w:hAnsiTheme="minorHAnsi"/>
          <w:snapToGrid w:val="0"/>
          <w:lang w:val="en-GB"/>
        </w:rPr>
        <w:t xml:space="preserve">n economic model </w:t>
      </w:r>
      <w:r w:rsidR="00724FA0">
        <w:rPr>
          <w:rFonts w:asciiTheme="minorHAnsi" w:hAnsiTheme="minorHAnsi"/>
          <w:snapToGrid w:val="0"/>
          <w:lang w:val="en-GB"/>
        </w:rPr>
        <w:lastRenderedPageBreak/>
        <w:t>scenario</w:t>
      </w:r>
      <w:r w:rsidR="006A0EA8">
        <w:rPr>
          <w:rFonts w:asciiTheme="minorHAnsi" w:hAnsiTheme="minorHAnsi"/>
          <w:snapToGrid w:val="0"/>
          <w:lang w:val="en-GB"/>
        </w:rPr>
        <w:t xml:space="preserve"> based on sensitivity analyses presented in the evaluation</w:t>
      </w:r>
      <w:r w:rsidR="00724FA0">
        <w:rPr>
          <w:rFonts w:asciiTheme="minorHAnsi" w:hAnsiTheme="minorHAnsi"/>
          <w:snapToGrid w:val="0"/>
          <w:lang w:val="en-GB"/>
        </w:rPr>
        <w:t xml:space="preserve"> in which</w:t>
      </w:r>
      <w:r w:rsidR="00EA7643">
        <w:rPr>
          <w:rFonts w:asciiTheme="minorHAnsi" w:hAnsiTheme="minorHAnsi"/>
          <w:snapToGrid w:val="0"/>
          <w:lang w:val="en-GB"/>
        </w:rPr>
        <w:t xml:space="preserve"> treatment </w:t>
      </w:r>
      <w:r w:rsidR="00724FA0">
        <w:rPr>
          <w:rFonts w:asciiTheme="minorHAnsi" w:hAnsiTheme="minorHAnsi"/>
          <w:snapToGrid w:val="0"/>
          <w:lang w:val="en-GB"/>
        </w:rPr>
        <w:t xml:space="preserve">was continued </w:t>
      </w:r>
      <w:r w:rsidR="00EA7643">
        <w:rPr>
          <w:rFonts w:asciiTheme="minorHAnsi" w:hAnsiTheme="minorHAnsi"/>
          <w:snapToGrid w:val="0"/>
          <w:lang w:val="en-GB"/>
        </w:rPr>
        <w:t xml:space="preserve">until </w:t>
      </w:r>
      <w:r w:rsidR="00724FA0">
        <w:rPr>
          <w:rFonts w:asciiTheme="minorHAnsi" w:hAnsiTheme="minorHAnsi"/>
          <w:snapToGrid w:val="0"/>
          <w:lang w:val="en-GB"/>
        </w:rPr>
        <w:t>the development of metastatic disease</w:t>
      </w:r>
      <w:r w:rsidR="00EA7643">
        <w:rPr>
          <w:rFonts w:asciiTheme="minorHAnsi" w:hAnsiTheme="minorHAnsi"/>
          <w:snapToGrid w:val="0"/>
          <w:lang w:val="en-GB"/>
        </w:rPr>
        <w:t xml:space="preserve"> and financial </w:t>
      </w:r>
      <w:r w:rsidR="00724FA0">
        <w:rPr>
          <w:rFonts w:asciiTheme="minorHAnsi" w:hAnsiTheme="minorHAnsi"/>
          <w:snapToGrid w:val="0"/>
          <w:lang w:val="en-GB"/>
        </w:rPr>
        <w:t xml:space="preserve">estimates </w:t>
      </w:r>
      <w:r w:rsidR="00C7089A">
        <w:rPr>
          <w:rFonts w:asciiTheme="minorHAnsi" w:hAnsiTheme="minorHAnsi"/>
          <w:snapToGrid w:val="0"/>
          <w:lang w:val="en-GB"/>
        </w:rPr>
        <w:t>in which all patients remained on treatment for the full</w:t>
      </w:r>
      <w:r w:rsidR="00115800">
        <w:rPr>
          <w:rFonts w:asciiTheme="minorHAnsi" w:hAnsiTheme="minorHAnsi"/>
          <w:snapToGrid w:val="0"/>
          <w:lang w:val="en-GB"/>
        </w:rPr>
        <w:t xml:space="preserve"> 6 year</w:t>
      </w:r>
      <w:r w:rsidR="00C7089A">
        <w:rPr>
          <w:rFonts w:asciiTheme="minorHAnsi" w:hAnsiTheme="minorHAnsi"/>
          <w:snapToGrid w:val="0"/>
          <w:lang w:val="en-GB"/>
        </w:rPr>
        <w:t xml:space="preserve"> period over which estimates were provided</w:t>
      </w:r>
      <w:r w:rsidR="00EA7643">
        <w:rPr>
          <w:rFonts w:asciiTheme="minorHAnsi" w:hAnsiTheme="minorHAnsi"/>
          <w:snapToGrid w:val="0"/>
          <w:lang w:val="en-GB"/>
        </w:rPr>
        <w:t xml:space="preserve">, with a </w:t>
      </w:r>
      <w:r w:rsidR="00501C36" w:rsidRPr="006F175E">
        <w:rPr>
          <w:rFonts w:asciiTheme="minorHAnsi" w:hAnsiTheme="minorHAnsi"/>
          <w:snapToGrid w:val="0"/>
          <w:color w:val="000000"/>
          <w:w w:val="15"/>
          <w:shd w:val="solid" w:color="000000" w:fill="000000"/>
          <w:fitText w:val="-20" w:id="-893683194"/>
          <w:lang w:val="en-GB"/>
          <w14:textFill>
            <w14:solidFill>
              <w14:srgbClr w14:val="000000">
                <w14:alpha w14:val="100000"/>
              </w14:srgbClr>
            </w14:solidFill>
          </w14:textFill>
        </w:rPr>
        <w:t xml:space="preserve">|  </w:t>
      </w:r>
      <w:r w:rsidR="00501C36" w:rsidRPr="006F175E">
        <w:rPr>
          <w:rFonts w:asciiTheme="minorHAnsi" w:hAnsiTheme="minorHAnsi"/>
          <w:snapToGrid w:val="0"/>
          <w:color w:val="000000"/>
          <w:spacing w:val="-69"/>
          <w:w w:val="15"/>
          <w:shd w:val="solid" w:color="000000" w:fill="000000"/>
          <w:fitText w:val="-20" w:id="-893683194"/>
          <w:lang w:val="en-GB"/>
          <w14:textFill>
            <w14:solidFill>
              <w14:srgbClr w14:val="000000">
                <w14:alpha w14:val="100000"/>
              </w14:srgbClr>
            </w14:solidFill>
          </w14:textFill>
        </w:rPr>
        <w:t>|</w:t>
      </w:r>
      <w:r w:rsidR="00EA7643">
        <w:rPr>
          <w:rFonts w:asciiTheme="minorHAnsi" w:hAnsiTheme="minorHAnsi"/>
          <w:snapToGrid w:val="0"/>
          <w:lang w:val="en-GB"/>
        </w:rPr>
        <w:t xml:space="preserve">% price reduction. The PBAC considered a further price </w:t>
      </w:r>
      <w:r w:rsidR="00EA7643" w:rsidRPr="00AF6202">
        <w:rPr>
          <w:rFonts w:asciiTheme="minorHAnsi" w:hAnsiTheme="minorHAnsi"/>
          <w:snapToGrid w:val="0"/>
          <w:lang w:val="en-GB"/>
        </w:rPr>
        <w:t xml:space="preserve">reduction </w:t>
      </w:r>
      <w:r w:rsidR="00312048" w:rsidRPr="00AF6202">
        <w:rPr>
          <w:rFonts w:asciiTheme="minorHAnsi" w:hAnsiTheme="minorHAnsi"/>
          <w:snapToGrid w:val="0"/>
          <w:lang w:val="en-GB"/>
        </w:rPr>
        <w:t xml:space="preserve">and </w:t>
      </w:r>
      <w:r w:rsidR="0049593A" w:rsidRPr="00AF6202">
        <w:rPr>
          <w:rFonts w:asciiTheme="minorHAnsi" w:hAnsiTheme="minorHAnsi"/>
          <w:snapToGrid w:val="0"/>
          <w:lang w:val="en-GB"/>
        </w:rPr>
        <w:t xml:space="preserve">more appropriate RSA </w:t>
      </w:r>
      <w:r w:rsidR="00EA7643" w:rsidRPr="00AF6202">
        <w:rPr>
          <w:rFonts w:asciiTheme="minorHAnsi" w:hAnsiTheme="minorHAnsi"/>
          <w:snapToGrid w:val="0"/>
          <w:lang w:val="en-GB"/>
        </w:rPr>
        <w:t>w</w:t>
      </w:r>
      <w:r w:rsidR="00581941" w:rsidRPr="00AF6202">
        <w:rPr>
          <w:rFonts w:asciiTheme="minorHAnsi" w:hAnsiTheme="minorHAnsi"/>
          <w:snapToGrid w:val="0"/>
          <w:lang w:val="en-GB"/>
        </w:rPr>
        <w:t>ould be</w:t>
      </w:r>
      <w:r w:rsidR="00EA7643" w:rsidRPr="00AF6202">
        <w:rPr>
          <w:rFonts w:asciiTheme="minorHAnsi" w:hAnsiTheme="minorHAnsi"/>
          <w:snapToGrid w:val="0"/>
          <w:lang w:val="en-GB"/>
        </w:rPr>
        <w:t xml:space="preserve"> required to reflect the </w:t>
      </w:r>
      <w:r w:rsidR="00115800" w:rsidRPr="00AF6202">
        <w:rPr>
          <w:rFonts w:asciiTheme="minorHAnsi" w:hAnsiTheme="minorHAnsi"/>
          <w:snapToGrid w:val="0"/>
          <w:lang w:val="en-GB"/>
        </w:rPr>
        <w:t xml:space="preserve">PBAC recommendation for </w:t>
      </w:r>
      <w:r w:rsidR="00581941" w:rsidRPr="00AF6202">
        <w:rPr>
          <w:rFonts w:asciiTheme="minorHAnsi" w:hAnsiTheme="minorHAnsi"/>
          <w:snapToGrid w:val="0"/>
          <w:lang w:val="en-GB"/>
        </w:rPr>
        <w:t>broader</w:t>
      </w:r>
      <w:r w:rsidR="00115800" w:rsidRPr="00AF6202">
        <w:rPr>
          <w:rFonts w:asciiTheme="minorHAnsi" w:hAnsiTheme="minorHAnsi"/>
          <w:snapToGrid w:val="0"/>
          <w:lang w:val="en-GB"/>
        </w:rPr>
        <w:t>, ongoing</w:t>
      </w:r>
      <w:r w:rsidR="00581941" w:rsidRPr="00AF6202">
        <w:rPr>
          <w:rFonts w:asciiTheme="minorHAnsi" w:hAnsiTheme="minorHAnsi"/>
          <w:snapToGrid w:val="0"/>
          <w:lang w:val="en-GB"/>
        </w:rPr>
        <w:t xml:space="preserve"> access to therapy for this expensive therapy.</w:t>
      </w:r>
      <w:r w:rsidR="00EA7643" w:rsidRPr="00AF6202">
        <w:rPr>
          <w:rFonts w:asciiTheme="minorHAnsi" w:hAnsiTheme="minorHAnsi"/>
          <w:snapToGrid w:val="0"/>
          <w:lang w:val="en-GB"/>
        </w:rPr>
        <w:t xml:space="preserve"> </w:t>
      </w:r>
      <w:r w:rsidR="00581941" w:rsidRPr="00AF6202">
        <w:rPr>
          <w:rFonts w:asciiTheme="minorHAnsi" w:hAnsiTheme="minorHAnsi"/>
          <w:snapToGrid w:val="0"/>
          <w:lang w:val="en-GB"/>
        </w:rPr>
        <w:t>Also see paragraph</w:t>
      </w:r>
      <w:r w:rsidR="00115800" w:rsidRPr="00AF6202">
        <w:rPr>
          <w:rFonts w:asciiTheme="minorHAnsi" w:hAnsiTheme="minorHAnsi"/>
          <w:snapToGrid w:val="0"/>
          <w:lang w:val="en-GB"/>
        </w:rPr>
        <w:t>s</w:t>
      </w:r>
      <w:r w:rsidR="00581941" w:rsidRPr="00AF6202">
        <w:rPr>
          <w:rFonts w:asciiTheme="minorHAnsi" w:hAnsiTheme="minorHAnsi"/>
          <w:snapToGrid w:val="0"/>
          <w:lang w:val="en-GB"/>
        </w:rPr>
        <w:t xml:space="preserve"> </w:t>
      </w:r>
      <w:r w:rsidR="00173ED1" w:rsidRPr="00AF6202">
        <w:rPr>
          <w:rFonts w:asciiTheme="minorHAnsi" w:hAnsiTheme="minorHAnsi"/>
          <w:snapToGrid w:val="0"/>
          <w:lang w:val="en-GB"/>
        </w:rPr>
        <w:fldChar w:fldCharType="begin" w:fldLock="1"/>
      </w:r>
      <w:r w:rsidR="00173ED1" w:rsidRPr="00AF6202">
        <w:rPr>
          <w:rFonts w:asciiTheme="minorHAnsi" w:hAnsiTheme="minorHAnsi"/>
          <w:snapToGrid w:val="0"/>
          <w:lang w:val="en-GB"/>
        </w:rPr>
        <w:instrText xml:space="preserve"> REF _Ref172277582 \r \h </w:instrText>
      </w:r>
      <w:r w:rsidR="00AF6202">
        <w:rPr>
          <w:rFonts w:asciiTheme="minorHAnsi" w:hAnsiTheme="minorHAnsi"/>
          <w:snapToGrid w:val="0"/>
          <w:lang w:val="en-GB"/>
        </w:rPr>
        <w:instrText xml:space="preserve"> \* MERGEFORMAT </w:instrText>
      </w:r>
      <w:r w:rsidR="00173ED1" w:rsidRPr="00AF6202">
        <w:rPr>
          <w:rFonts w:asciiTheme="minorHAnsi" w:hAnsiTheme="minorHAnsi"/>
          <w:snapToGrid w:val="0"/>
          <w:lang w:val="en-GB"/>
        </w:rPr>
      </w:r>
      <w:r w:rsidR="00173ED1" w:rsidRPr="00AF6202">
        <w:rPr>
          <w:rFonts w:asciiTheme="minorHAnsi" w:hAnsiTheme="minorHAnsi"/>
          <w:snapToGrid w:val="0"/>
          <w:lang w:val="en-GB"/>
        </w:rPr>
        <w:fldChar w:fldCharType="separate"/>
      </w:r>
      <w:r w:rsidR="00437B51">
        <w:rPr>
          <w:rFonts w:asciiTheme="minorHAnsi" w:hAnsiTheme="minorHAnsi"/>
          <w:snapToGrid w:val="0"/>
          <w:lang w:val="en-GB"/>
        </w:rPr>
        <w:t>7.12</w:t>
      </w:r>
      <w:r w:rsidR="00173ED1" w:rsidRPr="00AF6202">
        <w:rPr>
          <w:rFonts w:asciiTheme="minorHAnsi" w:hAnsiTheme="minorHAnsi"/>
          <w:snapToGrid w:val="0"/>
          <w:lang w:val="en-GB"/>
        </w:rPr>
        <w:fldChar w:fldCharType="end"/>
      </w:r>
      <w:r w:rsidR="00173ED1" w:rsidRPr="00AF6202">
        <w:rPr>
          <w:rFonts w:asciiTheme="minorHAnsi" w:hAnsiTheme="minorHAnsi"/>
          <w:snapToGrid w:val="0"/>
          <w:lang w:val="en-GB"/>
        </w:rPr>
        <w:t xml:space="preserve"> </w:t>
      </w:r>
      <w:r w:rsidR="00115800" w:rsidRPr="00AF6202">
        <w:rPr>
          <w:rFonts w:asciiTheme="minorHAnsi" w:hAnsiTheme="minorHAnsi"/>
          <w:snapToGrid w:val="0"/>
          <w:lang w:val="en-GB"/>
        </w:rPr>
        <w:t xml:space="preserve">and </w:t>
      </w:r>
      <w:r w:rsidR="002A5F15">
        <w:rPr>
          <w:rFonts w:asciiTheme="minorHAnsi" w:hAnsiTheme="minorHAnsi"/>
          <w:snapToGrid w:val="0"/>
          <w:lang w:val="en-GB"/>
        </w:rPr>
        <w:fldChar w:fldCharType="begin" w:fldLock="1"/>
      </w:r>
      <w:r w:rsidR="002A5F15">
        <w:rPr>
          <w:rFonts w:asciiTheme="minorHAnsi" w:hAnsiTheme="minorHAnsi"/>
          <w:snapToGrid w:val="0"/>
          <w:lang w:val="en-GB"/>
        </w:rPr>
        <w:instrText xml:space="preserve"> REF _Ref173164817 \r \h </w:instrText>
      </w:r>
      <w:r w:rsidR="002A5F15">
        <w:rPr>
          <w:rFonts w:asciiTheme="minorHAnsi" w:hAnsiTheme="minorHAnsi"/>
          <w:snapToGrid w:val="0"/>
          <w:lang w:val="en-GB"/>
        </w:rPr>
      </w:r>
      <w:r w:rsidR="002A5F15">
        <w:rPr>
          <w:rFonts w:asciiTheme="minorHAnsi" w:hAnsiTheme="minorHAnsi"/>
          <w:snapToGrid w:val="0"/>
          <w:lang w:val="en-GB"/>
        </w:rPr>
        <w:fldChar w:fldCharType="separate"/>
      </w:r>
      <w:r w:rsidR="00437B51">
        <w:rPr>
          <w:rFonts w:asciiTheme="minorHAnsi" w:hAnsiTheme="minorHAnsi"/>
          <w:snapToGrid w:val="0"/>
          <w:lang w:val="en-GB"/>
        </w:rPr>
        <w:t>7.14</w:t>
      </w:r>
      <w:r w:rsidR="002A5F15">
        <w:rPr>
          <w:rFonts w:asciiTheme="minorHAnsi" w:hAnsiTheme="minorHAnsi"/>
          <w:snapToGrid w:val="0"/>
          <w:lang w:val="en-GB"/>
        </w:rPr>
        <w:fldChar w:fldCharType="end"/>
      </w:r>
      <w:r w:rsidR="00AF6202" w:rsidRPr="00AF6202">
        <w:rPr>
          <w:rFonts w:asciiTheme="minorHAnsi" w:hAnsiTheme="minorHAnsi"/>
          <w:snapToGrid w:val="0"/>
          <w:lang w:val="en-GB"/>
        </w:rPr>
        <w:t xml:space="preserve"> </w:t>
      </w:r>
      <w:r w:rsidR="00581941" w:rsidRPr="00AF6202">
        <w:rPr>
          <w:rFonts w:asciiTheme="minorHAnsi" w:hAnsiTheme="minorHAnsi"/>
          <w:snapToGrid w:val="0"/>
          <w:lang w:val="en-GB"/>
        </w:rPr>
        <w:t>below.</w:t>
      </w:r>
    </w:p>
    <w:p w14:paraId="3E0EE1EA" w14:textId="68FF47BE" w:rsidR="001B6650" w:rsidRPr="00CE42B4" w:rsidRDefault="001B6650" w:rsidP="003E71CC">
      <w:pPr>
        <w:widowControl w:val="0"/>
        <w:numPr>
          <w:ilvl w:val="1"/>
          <w:numId w:val="1"/>
        </w:numPr>
        <w:spacing w:after="120"/>
        <w:rPr>
          <w:rFonts w:asciiTheme="minorHAnsi" w:hAnsiTheme="minorHAnsi"/>
          <w:snapToGrid w:val="0"/>
          <w:lang w:val="en-GB"/>
        </w:rPr>
      </w:pPr>
      <w:r w:rsidRPr="00BF3570">
        <w:rPr>
          <w:iCs/>
        </w:rPr>
        <w:t xml:space="preserve">The </w:t>
      </w:r>
      <w:r>
        <w:rPr>
          <w:iCs/>
        </w:rPr>
        <w:t xml:space="preserve">PBAC agreed with the </w:t>
      </w:r>
      <w:r w:rsidRPr="00BF3570">
        <w:rPr>
          <w:iCs/>
        </w:rPr>
        <w:t xml:space="preserve">ESC that active surveillance </w:t>
      </w:r>
      <w:r>
        <w:rPr>
          <w:iCs/>
        </w:rPr>
        <w:t xml:space="preserve">was the appropriate </w:t>
      </w:r>
      <w:r w:rsidR="00847109">
        <w:rPr>
          <w:iCs/>
        </w:rPr>
        <w:t>comparator,</w:t>
      </w:r>
      <w:r w:rsidR="00A86235">
        <w:rPr>
          <w:iCs/>
        </w:rPr>
        <w:t xml:space="preserve"> </w:t>
      </w:r>
      <w:r>
        <w:rPr>
          <w:iCs/>
        </w:rPr>
        <w:t xml:space="preserve">and </w:t>
      </w:r>
      <w:r w:rsidR="005453AF">
        <w:rPr>
          <w:iCs/>
        </w:rPr>
        <w:t xml:space="preserve">noted </w:t>
      </w:r>
      <w:r w:rsidR="00847109">
        <w:rPr>
          <w:iCs/>
        </w:rPr>
        <w:t xml:space="preserve">that </w:t>
      </w:r>
      <w:r w:rsidR="005453AF">
        <w:rPr>
          <w:iCs/>
        </w:rPr>
        <w:t xml:space="preserve">active surveillance </w:t>
      </w:r>
      <w:r w:rsidRPr="00BF3570">
        <w:rPr>
          <w:iCs/>
        </w:rPr>
        <w:t xml:space="preserve">would </w:t>
      </w:r>
      <w:r w:rsidR="005453AF">
        <w:rPr>
          <w:iCs/>
        </w:rPr>
        <w:t>continue following</w:t>
      </w:r>
      <w:r w:rsidRPr="00BF3570">
        <w:rPr>
          <w:iCs/>
        </w:rPr>
        <w:t xml:space="preserve"> commence</w:t>
      </w:r>
      <w:r w:rsidR="005453AF">
        <w:rPr>
          <w:iCs/>
        </w:rPr>
        <w:t>ment of</w:t>
      </w:r>
      <w:r w:rsidRPr="00BF3570">
        <w:rPr>
          <w:iCs/>
        </w:rPr>
        <w:t xml:space="preserve"> belzutifan treatment</w:t>
      </w:r>
      <w:r>
        <w:rPr>
          <w:iCs/>
        </w:rPr>
        <w:t>.</w:t>
      </w:r>
      <w:r w:rsidRPr="00CE42B4" w:rsidDel="001B6650">
        <w:rPr>
          <w:rFonts w:asciiTheme="minorHAnsi" w:hAnsiTheme="minorHAnsi"/>
          <w:snapToGrid w:val="0"/>
          <w:lang w:val="en-GB"/>
        </w:rPr>
        <w:t xml:space="preserve"> </w:t>
      </w:r>
    </w:p>
    <w:p w14:paraId="007E0432" w14:textId="1A1D5700" w:rsidR="003E71CC" w:rsidRPr="0094396A" w:rsidRDefault="00DF7CB0" w:rsidP="003E71C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6309D5">
        <w:rPr>
          <w:rFonts w:asciiTheme="minorHAnsi" w:hAnsiTheme="minorHAnsi"/>
          <w:snapToGrid w:val="0"/>
          <w:lang w:val="en-GB"/>
        </w:rPr>
        <w:t xml:space="preserve">noted the </w:t>
      </w:r>
      <w:r w:rsidR="006309D5">
        <w:t xml:space="preserve">submission was based on </w:t>
      </w:r>
      <w:r w:rsidR="006309D5" w:rsidRPr="0049394D">
        <w:t xml:space="preserve">one single-arm </w:t>
      </w:r>
      <w:r w:rsidR="0054109E">
        <w:t xml:space="preserve">phase 2 </w:t>
      </w:r>
      <w:r w:rsidR="006309D5" w:rsidRPr="0049394D">
        <w:t xml:space="preserve">study of belzutifan in patients with VHL-associated RCC who did not require immediate surgery at baseline (LS-004), and one single centre retrospective observational study designed to understand the natural history of VHL disease and to assist in interpreting the results of LS-004 (the Von Hippel-Lindau Natural History Study, VHL-NHS). </w:t>
      </w:r>
      <w:r w:rsidR="0054109E">
        <w:t xml:space="preserve">The PBAC noted LS-004 </w:t>
      </w:r>
      <w:r w:rsidR="0054109E" w:rsidRPr="0049394D">
        <w:t xml:space="preserve">included patients with other coexisting VHL-associated tumours at screening (such as CNS Hb, pNETs, and retinal Hb), but excluded patients with evidence of metastatic disease. </w:t>
      </w:r>
      <w:r w:rsidR="006309D5">
        <w:t>It was further noted</w:t>
      </w:r>
      <w:r w:rsidR="006309D5" w:rsidRPr="0049394D">
        <w:t xml:space="preserve"> the comparative effectiveness of belzutifan plus </w:t>
      </w:r>
      <w:r w:rsidR="00E4146F">
        <w:t xml:space="preserve">active </w:t>
      </w:r>
      <w:r w:rsidR="006309D5" w:rsidRPr="0049394D">
        <w:t xml:space="preserve">surveillance versus </w:t>
      </w:r>
      <w:r w:rsidR="00E4146F">
        <w:t xml:space="preserve">active </w:t>
      </w:r>
      <w:r w:rsidR="006309D5" w:rsidRPr="0049394D">
        <w:t xml:space="preserve">surveillance alone </w:t>
      </w:r>
      <w:r w:rsidR="006309D5">
        <w:t>was informed by</w:t>
      </w:r>
      <w:r w:rsidR="006309D5" w:rsidRPr="0049394D">
        <w:t xml:space="preserve"> a matching-adjusted indirect comparison (MAIC) using data from LS-004 and VHL-NHS.</w:t>
      </w:r>
      <w:r w:rsidR="0094396A">
        <w:t xml:space="preserve"> </w:t>
      </w:r>
      <w:r w:rsidR="0054109E">
        <w:t xml:space="preserve">The PBAC acknowledged </w:t>
      </w:r>
      <w:r w:rsidR="0094396A">
        <w:t>the h</w:t>
      </w:r>
      <w:r w:rsidR="0094396A" w:rsidRPr="0094396A">
        <w:t xml:space="preserve">igh risk of bias associated with the comparison of data across these two studies (regardless of </w:t>
      </w:r>
      <w:r w:rsidR="006F3B19">
        <w:t>reweighting patients in terms of</w:t>
      </w:r>
      <w:r w:rsidR="0094396A" w:rsidRPr="0094396A">
        <w:t xml:space="preserve"> </w:t>
      </w:r>
      <w:r w:rsidR="006F3B19">
        <w:t xml:space="preserve">population-level </w:t>
      </w:r>
      <w:r w:rsidR="0094396A" w:rsidRPr="0094396A">
        <w:t>baseline characteristics in the MAIC)</w:t>
      </w:r>
      <w:r w:rsidR="0094396A">
        <w:t>.</w:t>
      </w:r>
    </w:p>
    <w:p w14:paraId="7599E49A" w14:textId="4A13F6F8" w:rsidR="006309D5" w:rsidRDefault="006309D5" w:rsidP="003E71CC">
      <w:pPr>
        <w:widowControl w:val="0"/>
        <w:numPr>
          <w:ilvl w:val="1"/>
          <w:numId w:val="1"/>
        </w:numPr>
        <w:spacing w:after="120"/>
        <w:rPr>
          <w:rFonts w:asciiTheme="minorHAnsi" w:hAnsiTheme="minorHAnsi"/>
          <w:snapToGrid w:val="0"/>
          <w:lang w:val="en-GB"/>
        </w:rPr>
      </w:pPr>
      <w:bookmarkStart w:id="103" w:name="_Ref172976380"/>
      <w:r>
        <w:rPr>
          <w:rFonts w:asciiTheme="minorHAnsi" w:hAnsiTheme="minorHAnsi"/>
          <w:snapToGrid w:val="0"/>
          <w:lang w:val="en-GB"/>
        </w:rPr>
        <w:t xml:space="preserve">The PBAC considered that although LS-004 was limited to </w:t>
      </w:r>
      <w:r w:rsidR="00175165">
        <w:rPr>
          <w:rFonts w:asciiTheme="minorHAnsi" w:hAnsiTheme="minorHAnsi"/>
          <w:snapToGrid w:val="0"/>
          <w:lang w:val="en-GB"/>
        </w:rPr>
        <w:t>a median of 37.</w:t>
      </w:r>
      <w:r w:rsidR="0054125D">
        <w:rPr>
          <w:rFonts w:asciiTheme="minorHAnsi" w:hAnsiTheme="minorHAnsi"/>
          <w:snapToGrid w:val="0"/>
          <w:lang w:val="en-GB"/>
        </w:rPr>
        <w:t>7</w:t>
      </w:r>
      <w:r w:rsidR="00175165">
        <w:rPr>
          <w:rFonts w:asciiTheme="minorHAnsi" w:hAnsiTheme="minorHAnsi"/>
          <w:snapToGrid w:val="0"/>
          <w:lang w:val="en-GB"/>
        </w:rPr>
        <w:t xml:space="preserve"> months</w:t>
      </w:r>
      <w:r>
        <w:rPr>
          <w:rFonts w:asciiTheme="minorHAnsi" w:hAnsiTheme="minorHAnsi"/>
          <w:snapToGrid w:val="0"/>
          <w:lang w:val="en-GB"/>
        </w:rPr>
        <w:t xml:space="preserve"> follow up, the</w:t>
      </w:r>
      <w:r w:rsidR="00175165">
        <w:rPr>
          <w:rFonts w:asciiTheme="minorHAnsi" w:hAnsiTheme="minorHAnsi"/>
          <w:snapToGrid w:val="0"/>
          <w:lang w:val="en-GB"/>
        </w:rPr>
        <w:t xml:space="preserve">re was significant response </w:t>
      </w:r>
      <w:r w:rsidR="00FA7EDC">
        <w:rPr>
          <w:rFonts w:asciiTheme="minorHAnsi" w:hAnsiTheme="minorHAnsi"/>
          <w:snapToGrid w:val="0"/>
          <w:lang w:val="en-GB"/>
        </w:rPr>
        <w:t xml:space="preserve">demonstrated </w:t>
      </w:r>
      <w:r w:rsidR="00175165">
        <w:rPr>
          <w:rFonts w:asciiTheme="minorHAnsi" w:hAnsiTheme="minorHAnsi"/>
          <w:snapToGrid w:val="0"/>
          <w:lang w:val="en-GB"/>
        </w:rPr>
        <w:t>across tumour types</w:t>
      </w:r>
      <w:r w:rsidR="00A60993">
        <w:rPr>
          <w:rFonts w:asciiTheme="minorHAnsi" w:hAnsiTheme="minorHAnsi"/>
          <w:snapToGrid w:val="0"/>
          <w:lang w:val="en-GB"/>
        </w:rPr>
        <w:t>;</w:t>
      </w:r>
      <w:r w:rsidR="00175165">
        <w:rPr>
          <w:rFonts w:asciiTheme="minorHAnsi" w:hAnsiTheme="minorHAnsi"/>
          <w:snapToGrid w:val="0"/>
          <w:lang w:val="en-GB"/>
        </w:rPr>
        <w:t xml:space="preserve"> the </w:t>
      </w:r>
      <w:r w:rsidR="00F05795">
        <w:rPr>
          <w:rFonts w:asciiTheme="minorHAnsi" w:hAnsiTheme="minorHAnsi"/>
          <w:snapToGrid w:val="0"/>
          <w:lang w:val="en-GB"/>
        </w:rPr>
        <w:t>o</w:t>
      </w:r>
      <w:r w:rsidR="0049593A">
        <w:rPr>
          <w:rFonts w:asciiTheme="minorHAnsi" w:hAnsiTheme="minorHAnsi"/>
          <w:snapToGrid w:val="0"/>
          <w:lang w:val="en-GB"/>
        </w:rPr>
        <w:t>bjective</w:t>
      </w:r>
      <w:r w:rsidR="00175165">
        <w:rPr>
          <w:rFonts w:asciiTheme="minorHAnsi" w:hAnsiTheme="minorHAnsi"/>
          <w:snapToGrid w:val="0"/>
          <w:lang w:val="en-GB"/>
        </w:rPr>
        <w:t xml:space="preserve"> </w:t>
      </w:r>
      <w:r w:rsidR="00175165" w:rsidRPr="0049394D">
        <w:t xml:space="preserve">response rate </w:t>
      </w:r>
      <w:r w:rsidR="006F3B19">
        <w:t xml:space="preserve">(ORR) </w:t>
      </w:r>
      <w:r w:rsidR="00175165">
        <w:t>being</w:t>
      </w:r>
      <w:r w:rsidR="00175165" w:rsidRPr="0049394D">
        <w:t xml:space="preserve"> 63.9% (39/61) in RCC, 44.0% (22/50) in </w:t>
      </w:r>
      <w:r w:rsidR="007A1F39" w:rsidRPr="0049394D">
        <w:t>CN</w:t>
      </w:r>
      <w:r w:rsidR="007A1F39">
        <w:t>S</w:t>
      </w:r>
      <w:r w:rsidR="007A1F39" w:rsidRPr="0049394D">
        <w:t xml:space="preserve"> </w:t>
      </w:r>
      <w:r w:rsidR="00175165" w:rsidRPr="0049394D">
        <w:t>Hb and 90.9% (20/22) in pNETs</w:t>
      </w:r>
      <w:r w:rsidR="00175165">
        <w:t xml:space="preserve">; and </w:t>
      </w:r>
      <w:r w:rsidR="00A60993">
        <w:t>the</w:t>
      </w:r>
      <w:r w:rsidR="00175165">
        <w:t xml:space="preserve"> disease control rate </w:t>
      </w:r>
      <w:r w:rsidR="00F05795">
        <w:t>being</w:t>
      </w:r>
      <w:r w:rsidR="00175165">
        <w:t xml:space="preserve"> 98.4</w:t>
      </w:r>
      <w:r w:rsidR="00175165" w:rsidRPr="0049394D">
        <w:t>% (</w:t>
      </w:r>
      <w:r w:rsidR="00175165">
        <w:t>60</w:t>
      </w:r>
      <w:r w:rsidR="00175165" w:rsidRPr="0049394D">
        <w:t xml:space="preserve">/61) in RCC, </w:t>
      </w:r>
      <w:r w:rsidR="00175165">
        <w:t>90</w:t>
      </w:r>
      <w:r w:rsidR="00175165" w:rsidRPr="0049394D">
        <w:t>.0% (</w:t>
      </w:r>
      <w:r w:rsidR="00175165">
        <w:t>45</w:t>
      </w:r>
      <w:r w:rsidR="00175165" w:rsidRPr="0049394D">
        <w:t xml:space="preserve">/50) in </w:t>
      </w:r>
      <w:r w:rsidR="00A94F1A" w:rsidRPr="0049394D">
        <w:t>CN</w:t>
      </w:r>
      <w:r w:rsidR="00A94F1A">
        <w:t>S</w:t>
      </w:r>
      <w:r w:rsidR="00A94F1A" w:rsidRPr="0049394D">
        <w:t xml:space="preserve"> </w:t>
      </w:r>
      <w:r w:rsidR="00175165" w:rsidRPr="0049394D">
        <w:t xml:space="preserve">Hb and </w:t>
      </w:r>
      <w:r w:rsidR="00175165">
        <w:t>100</w:t>
      </w:r>
      <w:r w:rsidR="00175165" w:rsidRPr="0049394D">
        <w:t>% (2</w:t>
      </w:r>
      <w:r w:rsidR="00175165">
        <w:t>2</w:t>
      </w:r>
      <w:r w:rsidR="00175165" w:rsidRPr="0049394D">
        <w:t>/22) in pNETs</w:t>
      </w:r>
      <w:r w:rsidR="006F3B19">
        <w:t>, with 6</w:t>
      </w:r>
      <w:r w:rsidR="00294BD5">
        <w:t>2</w:t>
      </w:r>
      <w:r w:rsidR="006F3B19">
        <w:t>% of patients remaining on treatment</w:t>
      </w:r>
      <w:r w:rsidR="005453AF">
        <w:t xml:space="preserve"> at the end of the follow-up period</w:t>
      </w:r>
      <w:r w:rsidR="00175165">
        <w:t>.</w:t>
      </w:r>
      <w:r w:rsidR="00175165">
        <w:rPr>
          <w:rFonts w:asciiTheme="minorHAnsi" w:hAnsiTheme="minorHAnsi"/>
          <w:snapToGrid w:val="0"/>
          <w:lang w:val="en-GB"/>
        </w:rPr>
        <w:t xml:space="preserve"> </w:t>
      </w:r>
      <w:r w:rsidR="006F3B19">
        <w:rPr>
          <w:rFonts w:asciiTheme="minorHAnsi" w:hAnsiTheme="minorHAnsi"/>
          <w:snapToGrid w:val="0"/>
          <w:lang w:val="en-GB"/>
        </w:rPr>
        <w:t>The PBAC also noted the ORR was reported to be 67% at the 1 April 2023 IA5 data cut</w:t>
      </w:r>
      <w:r w:rsidR="00A86235">
        <w:rPr>
          <w:rFonts w:asciiTheme="minorHAnsi" w:hAnsiTheme="minorHAnsi"/>
          <w:snapToGrid w:val="0"/>
          <w:lang w:val="en-GB"/>
        </w:rPr>
        <w:t xml:space="preserve"> (</w:t>
      </w:r>
      <w:r w:rsidR="00A86235" w:rsidRPr="00A86235">
        <w:rPr>
          <w:rFonts w:asciiTheme="minorHAnsi" w:hAnsiTheme="minorHAnsi"/>
          <w:snapToGrid w:val="0"/>
          <w:lang w:val="en-GB"/>
        </w:rPr>
        <w:t>49.7 months</w:t>
      </w:r>
      <w:r w:rsidR="00A86235">
        <w:rPr>
          <w:rFonts w:asciiTheme="minorHAnsi" w:hAnsiTheme="minorHAnsi"/>
          <w:snapToGrid w:val="0"/>
          <w:lang w:val="en-GB"/>
        </w:rPr>
        <w:t xml:space="preserve"> follow up)</w:t>
      </w:r>
      <w:r w:rsidR="006F3B19">
        <w:rPr>
          <w:rFonts w:asciiTheme="minorHAnsi" w:hAnsiTheme="minorHAnsi"/>
          <w:snapToGrid w:val="0"/>
          <w:lang w:val="en-GB"/>
        </w:rPr>
        <w:t xml:space="preserve">, with 59% of patients remaining on treatment. </w:t>
      </w:r>
      <w:r w:rsidR="00F05795">
        <w:rPr>
          <w:rFonts w:asciiTheme="minorHAnsi" w:hAnsiTheme="minorHAnsi"/>
          <w:snapToGrid w:val="0"/>
          <w:lang w:val="en-GB"/>
        </w:rPr>
        <w:t xml:space="preserve">The PBAC agreed with the ESC that </w:t>
      </w:r>
      <w:r w:rsidR="00F05795" w:rsidRPr="00BF3570">
        <w:rPr>
          <w:iCs/>
        </w:rPr>
        <w:t>these data</w:t>
      </w:r>
      <w:r w:rsidR="00F05795">
        <w:rPr>
          <w:iCs/>
        </w:rPr>
        <w:t>,</w:t>
      </w:r>
      <w:r w:rsidR="00F05795" w:rsidRPr="00BF3570">
        <w:rPr>
          <w:iCs/>
        </w:rPr>
        <w:t xml:space="preserve"> in combination with the reported tumour growth data in the lead-up to belzutifan treatment </w:t>
      </w:r>
      <w:r w:rsidR="00F05795">
        <w:rPr>
          <w:iCs/>
        </w:rPr>
        <w:t xml:space="preserve">(see paragraphs </w:t>
      </w:r>
      <w:r w:rsidR="00F05795">
        <w:rPr>
          <w:iCs/>
        </w:rPr>
        <w:fldChar w:fldCharType="begin" w:fldLock="1"/>
      </w:r>
      <w:r w:rsidR="00F05795">
        <w:rPr>
          <w:iCs/>
        </w:rPr>
        <w:instrText xml:space="preserve"> REF _Ref172205388 \r \h </w:instrText>
      </w:r>
      <w:r w:rsidR="00F05795">
        <w:rPr>
          <w:iCs/>
        </w:rPr>
      </w:r>
      <w:r w:rsidR="00F05795">
        <w:rPr>
          <w:iCs/>
        </w:rPr>
        <w:fldChar w:fldCharType="separate"/>
      </w:r>
      <w:r w:rsidR="00437B51">
        <w:rPr>
          <w:iCs/>
        </w:rPr>
        <w:t>6.16</w:t>
      </w:r>
      <w:r w:rsidR="00F05795">
        <w:rPr>
          <w:iCs/>
        </w:rPr>
        <w:fldChar w:fldCharType="end"/>
      </w:r>
      <w:r w:rsidR="00315D3F">
        <w:rPr>
          <w:iCs/>
        </w:rPr>
        <w:t>,</w:t>
      </w:r>
      <w:r w:rsidR="00F05795">
        <w:rPr>
          <w:iCs/>
        </w:rPr>
        <w:t xml:space="preserve"> </w:t>
      </w:r>
      <w:r w:rsidR="00F05795">
        <w:rPr>
          <w:iCs/>
        </w:rPr>
        <w:fldChar w:fldCharType="begin" w:fldLock="1"/>
      </w:r>
      <w:r w:rsidR="00F05795">
        <w:rPr>
          <w:iCs/>
        </w:rPr>
        <w:instrText xml:space="preserve"> REF _Ref172205410 \r \h </w:instrText>
      </w:r>
      <w:r w:rsidR="00F05795">
        <w:rPr>
          <w:iCs/>
        </w:rPr>
      </w:r>
      <w:r w:rsidR="00F05795">
        <w:rPr>
          <w:iCs/>
        </w:rPr>
        <w:fldChar w:fldCharType="separate"/>
      </w:r>
      <w:r w:rsidR="00437B51">
        <w:rPr>
          <w:iCs/>
        </w:rPr>
        <w:t>6.17</w:t>
      </w:r>
      <w:r w:rsidR="00F05795">
        <w:rPr>
          <w:iCs/>
        </w:rPr>
        <w:fldChar w:fldCharType="end"/>
      </w:r>
      <w:r w:rsidR="00315D3F">
        <w:rPr>
          <w:iCs/>
        </w:rPr>
        <w:t xml:space="preserve"> and </w:t>
      </w:r>
      <w:r w:rsidR="00315D3F">
        <w:rPr>
          <w:iCs/>
        </w:rPr>
        <w:fldChar w:fldCharType="begin" w:fldLock="1"/>
      </w:r>
      <w:r w:rsidR="00315D3F">
        <w:rPr>
          <w:iCs/>
        </w:rPr>
        <w:instrText xml:space="preserve"> REF _Ref172205578 \r \h </w:instrText>
      </w:r>
      <w:r w:rsidR="00315D3F">
        <w:rPr>
          <w:iCs/>
        </w:rPr>
      </w:r>
      <w:r w:rsidR="00315D3F">
        <w:rPr>
          <w:iCs/>
        </w:rPr>
        <w:fldChar w:fldCharType="separate"/>
      </w:r>
      <w:r w:rsidR="00437B51">
        <w:rPr>
          <w:iCs/>
        </w:rPr>
        <w:t>6.20</w:t>
      </w:r>
      <w:r w:rsidR="00315D3F">
        <w:rPr>
          <w:iCs/>
        </w:rPr>
        <w:fldChar w:fldCharType="end"/>
      </w:r>
      <w:r w:rsidR="00F05795">
        <w:rPr>
          <w:iCs/>
        </w:rPr>
        <w:t xml:space="preserve">), </w:t>
      </w:r>
      <w:r w:rsidR="00F05795" w:rsidRPr="00BF3570">
        <w:rPr>
          <w:iCs/>
        </w:rPr>
        <w:t>were indicative of reduced tumour activity.</w:t>
      </w:r>
      <w:r w:rsidR="00F05795">
        <w:rPr>
          <w:iCs/>
        </w:rPr>
        <w:t xml:space="preserve"> </w:t>
      </w:r>
      <w:r w:rsidR="00175165">
        <w:rPr>
          <w:rFonts w:asciiTheme="minorHAnsi" w:hAnsiTheme="minorHAnsi"/>
          <w:snapToGrid w:val="0"/>
          <w:lang w:val="en-GB"/>
        </w:rPr>
        <w:t xml:space="preserve">The PBAC </w:t>
      </w:r>
      <w:r w:rsidR="00A60993">
        <w:rPr>
          <w:rFonts w:asciiTheme="minorHAnsi" w:hAnsiTheme="minorHAnsi"/>
          <w:snapToGrid w:val="0"/>
          <w:lang w:val="en-GB"/>
        </w:rPr>
        <w:t xml:space="preserve">also noted the </w:t>
      </w:r>
      <w:r w:rsidR="00175165">
        <w:rPr>
          <w:rFonts w:asciiTheme="minorHAnsi" w:hAnsiTheme="minorHAnsi"/>
          <w:snapToGrid w:val="0"/>
          <w:lang w:val="en-GB"/>
        </w:rPr>
        <w:t>substantial decline in the number of surgeries</w:t>
      </w:r>
      <w:r>
        <w:rPr>
          <w:rFonts w:asciiTheme="minorHAnsi" w:hAnsiTheme="minorHAnsi"/>
          <w:snapToGrid w:val="0"/>
          <w:lang w:val="en-GB"/>
        </w:rPr>
        <w:t xml:space="preserve"> </w:t>
      </w:r>
      <w:r w:rsidR="00175165">
        <w:rPr>
          <w:rFonts w:asciiTheme="minorHAnsi" w:hAnsiTheme="minorHAnsi"/>
          <w:snapToGrid w:val="0"/>
          <w:lang w:val="en-GB"/>
        </w:rPr>
        <w:t>during the trial period</w:t>
      </w:r>
      <w:r w:rsidR="00A60993">
        <w:rPr>
          <w:rFonts w:asciiTheme="minorHAnsi" w:hAnsiTheme="minorHAnsi"/>
          <w:snapToGrid w:val="0"/>
          <w:lang w:val="en-GB"/>
        </w:rPr>
        <w:t>, as presented in the before and after study</w:t>
      </w:r>
      <w:r w:rsidR="00552EB2">
        <w:rPr>
          <w:rFonts w:asciiTheme="minorHAnsi" w:hAnsiTheme="minorHAnsi"/>
          <w:snapToGrid w:val="0"/>
          <w:lang w:val="en-GB"/>
        </w:rPr>
        <w:t xml:space="preserve">, </w:t>
      </w:r>
      <w:r w:rsidR="00F05795">
        <w:rPr>
          <w:rFonts w:asciiTheme="minorHAnsi" w:hAnsiTheme="minorHAnsi"/>
          <w:snapToGrid w:val="0"/>
          <w:lang w:val="en-GB"/>
        </w:rPr>
        <w:t>see</w:t>
      </w:r>
      <w:r w:rsidR="00A60993">
        <w:rPr>
          <w:rFonts w:asciiTheme="minorHAnsi" w:hAnsiTheme="minorHAnsi"/>
          <w:snapToGrid w:val="0"/>
          <w:lang w:val="en-GB"/>
        </w:rPr>
        <w:t xml:space="preserve"> </w:t>
      </w:r>
      <w:r w:rsidR="00A60993">
        <w:rPr>
          <w:rFonts w:asciiTheme="minorHAnsi" w:hAnsiTheme="minorHAnsi"/>
          <w:snapToGrid w:val="0"/>
          <w:lang w:val="en-GB"/>
        </w:rPr>
        <w:fldChar w:fldCharType="begin" w:fldLock="1"/>
      </w:r>
      <w:r w:rsidR="00A60993">
        <w:rPr>
          <w:rFonts w:asciiTheme="minorHAnsi" w:hAnsiTheme="minorHAnsi"/>
          <w:snapToGrid w:val="0"/>
          <w:lang w:val="en-GB"/>
        </w:rPr>
        <w:instrText xml:space="preserve"> REF _Ref166486082 \h </w:instrText>
      </w:r>
      <w:r w:rsidR="00A60993">
        <w:rPr>
          <w:rFonts w:asciiTheme="minorHAnsi" w:hAnsiTheme="minorHAnsi"/>
          <w:snapToGrid w:val="0"/>
          <w:lang w:val="en-GB"/>
        </w:rPr>
      </w:r>
      <w:r w:rsidR="00A60993">
        <w:rPr>
          <w:rFonts w:asciiTheme="minorHAnsi" w:hAnsiTheme="minorHAnsi"/>
          <w:snapToGrid w:val="0"/>
          <w:lang w:val="en-GB"/>
        </w:rPr>
        <w:fldChar w:fldCharType="separate"/>
      </w:r>
      <w:r w:rsidR="00437B51" w:rsidRPr="0049394D">
        <w:t xml:space="preserve">Figure </w:t>
      </w:r>
      <w:r w:rsidR="00437B51">
        <w:rPr>
          <w:noProof/>
        </w:rPr>
        <w:t>3</w:t>
      </w:r>
      <w:r w:rsidR="00A60993">
        <w:rPr>
          <w:rFonts w:asciiTheme="minorHAnsi" w:hAnsiTheme="minorHAnsi"/>
          <w:snapToGrid w:val="0"/>
          <w:lang w:val="en-GB"/>
        </w:rPr>
        <w:fldChar w:fldCharType="end"/>
      </w:r>
      <w:r w:rsidR="00175165">
        <w:rPr>
          <w:rFonts w:asciiTheme="minorHAnsi" w:hAnsiTheme="minorHAnsi"/>
          <w:snapToGrid w:val="0"/>
          <w:lang w:val="en-GB"/>
        </w:rPr>
        <w:t>.</w:t>
      </w:r>
      <w:r>
        <w:rPr>
          <w:rFonts w:asciiTheme="minorHAnsi" w:hAnsiTheme="minorHAnsi"/>
          <w:snapToGrid w:val="0"/>
          <w:lang w:val="en-GB"/>
        </w:rPr>
        <w:t xml:space="preserve"> </w:t>
      </w:r>
      <w:r w:rsidR="003D5300" w:rsidRPr="0049394D">
        <w:t>A total of 73</w:t>
      </w:r>
      <w:r w:rsidR="002621BF">
        <w:t> </w:t>
      </w:r>
      <w:r w:rsidR="003D5300" w:rsidRPr="0049394D">
        <w:t>surgeries or procedures were conducted in 44 patients in the 3-year period before belzutifan compared to 11 surgeries or procedures performed in 9 patients in the 3</w:t>
      </w:r>
      <w:r w:rsidR="002621BF">
        <w:noBreakHyphen/>
      </w:r>
      <w:r w:rsidR="003D5300" w:rsidRPr="0049394D">
        <w:t>year period after treatment.</w:t>
      </w:r>
      <w:bookmarkEnd w:id="103"/>
    </w:p>
    <w:p w14:paraId="080D6C1F" w14:textId="4620D9AC" w:rsidR="00FA7EDC" w:rsidRDefault="00FA7EDC" w:rsidP="003E71C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acknowledged the uncertainty in the MAIC</w:t>
      </w:r>
      <w:r w:rsidR="00F66D15">
        <w:rPr>
          <w:rFonts w:asciiTheme="minorHAnsi" w:hAnsiTheme="minorHAnsi"/>
          <w:snapToGrid w:val="0"/>
          <w:lang w:val="en-GB"/>
        </w:rPr>
        <w:t xml:space="preserve">, but considered the potential benefit </w:t>
      </w:r>
      <w:r w:rsidR="003D5300">
        <w:rPr>
          <w:rFonts w:asciiTheme="minorHAnsi" w:hAnsiTheme="minorHAnsi"/>
          <w:snapToGrid w:val="0"/>
          <w:lang w:val="en-GB"/>
        </w:rPr>
        <w:t xml:space="preserve">of belzutifan treatment </w:t>
      </w:r>
      <w:r w:rsidR="00F66D15">
        <w:rPr>
          <w:rFonts w:asciiTheme="minorHAnsi" w:hAnsiTheme="minorHAnsi"/>
          <w:snapToGrid w:val="0"/>
          <w:lang w:val="en-GB"/>
        </w:rPr>
        <w:t xml:space="preserve">over the natural history data from VHL-NHS was </w:t>
      </w:r>
      <w:r w:rsidR="004C48C1">
        <w:rPr>
          <w:rFonts w:asciiTheme="minorHAnsi" w:hAnsiTheme="minorHAnsi"/>
          <w:snapToGrid w:val="0"/>
          <w:lang w:val="en-GB"/>
        </w:rPr>
        <w:t>clinically</w:t>
      </w:r>
      <w:r w:rsidR="00F66D15">
        <w:rPr>
          <w:rFonts w:asciiTheme="minorHAnsi" w:hAnsiTheme="minorHAnsi"/>
          <w:snapToGrid w:val="0"/>
          <w:lang w:val="en-GB"/>
        </w:rPr>
        <w:t xml:space="preserve"> meaningful, with</w:t>
      </w:r>
      <w:r w:rsidR="003D5300">
        <w:rPr>
          <w:rFonts w:asciiTheme="minorHAnsi" w:hAnsiTheme="minorHAnsi"/>
          <w:snapToGrid w:val="0"/>
          <w:lang w:val="en-GB"/>
        </w:rPr>
        <w:t xml:space="preserve"> an</w:t>
      </w:r>
      <w:r w:rsidR="00F66D15">
        <w:rPr>
          <w:rFonts w:asciiTheme="minorHAnsi" w:hAnsiTheme="minorHAnsi"/>
          <w:snapToGrid w:val="0"/>
          <w:lang w:val="en-GB"/>
        </w:rPr>
        <w:t xml:space="preserve"> </w:t>
      </w:r>
      <w:r w:rsidR="00F66D15">
        <w:t>approximately</w:t>
      </w:r>
      <w:r w:rsidR="00F66D15" w:rsidRPr="0049394D">
        <w:t xml:space="preserve"> 85% reduction in renal surgeries and an 88% reduction in non-RCC VHL-related </w:t>
      </w:r>
      <w:r w:rsidR="00F66D15" w:rsidRPr="004C48C1">
        <w:t>surgeries</w:t>
      </w:r>
      <w:r w:rsidR="004C48C1" w:rsidRPr="004C48C1">
        <w:t xml:space="preserve"> </w:t>
      </w:r>
      <w:r w:rsidR="00F66D15" w:rsidRPr="004C48C1">
        <w:t xml:space="preserve">(see paragraph </w:t>
      </w:r>
      <w:r w:rsidR="004C48C1" w:rsidRPr="004C48C1">
        <w:fldChar w:fldCharType="begin" w:fldLock="1"/>
      </w:r>
      <w:r w:rsidR="004C48C1" w:rsidRPr="004C48C1">
        <w:instrText xml:space="preserve"> REF _Ref172207012 \r \h </w:instrText>
      </w:r>
      <w:r w:rsidR="004C48C1">
        <w:instrText xml:space="preserve"> \* MERGEFORMAT </w:instrText>
      </w:r>
      <w:r w:rsidR="004C48C1" w:rsidRPr="004C48C1">
        <w:fldChar w:fldCharType="separate"/>
      </w:r>
      <w:r w:rsidR="00437B51">
        <w:t>6.31</w:t>
      </w:r>
      <w:r w:rsidR="004C48C1" w:rsidRPr="004C48C1">
        <w:fldChar w:fldCharType="end"/>
      </w:r>
      <w:r w:rsidR="00F66D15" w:rsidRPr="004C48C1">
        <w:t>).</w:t>
      </w:r>
      <w:r>
        <w:rPr>
          <w:rFonts w:asciiTheme="minorHAnsi" w:hAnsiTheme="minorHAnsi"/>
          <w:snapToGrid w:val="0"/>
          <w:lang w:val="en-GB"/>
        </w:rPr>
        <w:t xml:space="preserve"> </w:t>
      </w:r>
    </w:p>
    <w:p w14:paraId="717C9593" w14:textId="2CE31077" w:rsidR="004C48C1" w:rsidRPr="00CE42B4" w:rsidRDefault="004C48C1" w:rsidP="003E71C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noted the </w:t>
      </w:r>
      <w:r w:rsidR="00CD7AE5">
        <w:rPr>
          <w:rFonts w:asciiTheme="minorHAnsi" w:hAnsiTheme="minorHAnsi"/>
          <w:snapToGrid w:val="0"/>
          <w:lang w:val="en-GB"/>
        </w:rPr>
        <w:t xml:space="preserve">small number of discontinuations due to </w:t>
      </w:r>
      <w:r w:rsidR="00B428F1">
        <w:rPr>
          <w:rFonts w:asciiTheme="minorHAnsi" w:hAnsiTheme="minorHAnsi"/>
          <w:snapToGrid w:val="0"/>
          <w:lang w:val="en-GB"/>
        </w:rPr>
        <w:t>adverse events</w:t>
      </w:r>
      <w:r w:rsidR="00CD7AE5">
        <w:rPr>
          <w:rFonts w:asciiTheme="minorHAnsi" w:hAnsiTheme="minorHAnsi"/>
          <w:snapToGrid w:val="0"/>
          <w:lang w:val="en-GB"/>
        </w:rPr>
        <w:t xml:space="preserve"> and the moderate number of treatment interruptions and dose reductions to control adverse events, but considered </w:t>
      </w:r>
      <w:r w:rsidR="00CD7AE5" w:rsidRPr="00BF3570">
        <w:rPr>
          <w:iCs/>
        </w:rPr>
        <w:t>it was likely that belzutifan was relatively well tolerated</w:t>
      </w:r>
      <w:r w:rsidR="00CD7AE5">
        <w:rPr>
          <w:rFonts w:asciiTheme="minorHAnsi" w:hAnsiTheme="minorHAnsi"/>
          <w:snapToGrid w:val="0"/>
          <w:lang w:val="en-GB"/>
        </w:rPr>
        <w:t xml:space="preserve"> (see </w:t>
      </w:r>
      <w:r w:rsidR="00CD7AE5">
        <w:rPr>
          <w:rFonts w:asciiTheme="minorHAnsi" w:hAnsiTheme="minorHAnsi"/>
          <w:snapToGrid w:val="0"/>
          <w:lang w:val="en-GB"/>
        </w:rPr>
        <w:fldChar w:fldCharType="begin" w:fldLock="1"/>
      </w:r>
      <w:r w:rsidR="00CD7AE5">
        <w:rPr>
          <w:rFonts w:asciiTheme="minorHAnsi" w:hAnsiTheme="minorHAnsi"/>
          <w:snapToGrid w:val="0"/>
          <w:lang w:val="en-GB"/>
        </w:rPr>
        <w:instrText xml:space="preserve"> REF _Ref166486241 \h </w:instrText>
      </w:r>
      <w:r w:rsidR="00CD7AE5">
        <w:rPr>
          <w:rFonts w:asciiTheme="minorHAnsi" w:hAnsiTheme="minorHAnsi"/>
          <w:snapToGrid w:val="0"/>
          <w:lang w:val="en-GB"/>
        </w:rPr>
      </w:r>
      <w:r w:rsidR="00CD7AE5">
        <w:rPr>
          <w:rFonts w:asciiTheme="minorHAnsi" w:hAnsiTheme="minorHAnsi"/>
          <w:snapToGrid w:val="0"/>
          <w:lang w:val="en-GB"/>
        </w:rPr>
        <w:fldChar w:fldCharType="separate"/>
      </w:r>
      <w:r w:rsidR="00437B51" w:rsidRPr="0049394D">
        <w:t xml:space="preserve">Table </w:t>
      </w:r>
      <w:r w:rsidR="00437B51">
        <w:rPr>
          <w:noProof/>
        </w:rPr>
        <w:t>10</w:t>
      </w:r>
      <w:r w:rsidR="00CD7AE5">
        <w:rPr>
          <w:rFonts w:asciiTheme="minorHAnsi" w:hAnsiTheme="minorHAnsi"/>
          <w:snapToGrid w:val="0"/>
          <w:lang w:val="en-GB"/>
        </w:rPr>
        <w:fldChar w:fldCharType="end"/>
      </w:r>
      <w:r w:rsidR="00CD7AE5">
        <w:rPr>
          <w:rFonts w:asciiTheme="minorHAnsi" w:hAnsiTheme="minorHAnsi"/>
          <w:snapToGrid w:val="0"/>
          <w:lang w:val="en-GB"/>
        </w:rPr>
        <w:t>).</w:t>
      </w:r>
    </w:p>
    <w:p w14:paraId="7D73B4FF" w14:textId="4BB572DE" w:rsidR="003E71CC" w:rsidRPr="00CE42B4" w:rsidRDefault="004C48C1" w:rsidP="003E71C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the PBAC considered belzutifan </w:t>
      </w:r>
      <w:r w:rsidR="00E4146F">
        <w:rPr>
          <w:rFonts w:asciiTheme="minorHAnsi" w:hAnsiTheme="minorHAnsi"/>
          <w:snapToGrid w:val="0"/>
          <w:lang w:val="en-GB"/>
        </w:rPr>
        <w:t>plus</w:t>
      </w:r>
      <w:r>
        <w:rPr>
          <w:rFonts w:asciiTheme="minorHAnsi" w:hAnsiTheme="minorHAnsi"/>
          <w:snapToGrid w:val="0"/>
          <w:lang w:val="en-GB"/>
        </w:rPr>
        <w:t xml:space="preserve"> active surveillance was superior in comparative effectiveness to active surveillance </w:t>
      </w:r>
      <w:r w:rsidR="00CD7AE5">
        <w:rPr>
          <w:rFonts w:asciiTheme="minorHAnsi" w:hAnsiTheme="minorHAnsi"/>
          <w:snapToGrid w:val="0"/>
          <w:lang w:val="en-GB"/>
        </w:rPr>
        <w:t xml:space="preserve">alone, </w:t>
      </w:r>
      <w:r>
        <w:rPr>
          <w:rFonts w:asciiTheme="minorHAnsi" w:hAnsiTheme="minorHAnsi"/>
          <w:snapToGrid w:val="0"/>
          <w:lang w:val="en-GB"/>
        </w:rPr>
        <w:t xml:space="preserve">with inferior but </w:t>
      </w:r>
      <w:r w:rsidR="00B428F1">
        <w:rPr>
          <w:rFonts w:asciiTheme="minorHAnsi" w:hAnsiTheme="minorHAnsi"/>
          <w:snapToGrid w:val="0"/>
          <w:lang w:val="en-GB"/>
        </w:rPr>
        <w:t xml:space="preserve">manageable </w:t>
      </w:r>
      <w:r>
        <w:rPr>
          <w:rFonts w:asciiTheme="minorHAnsi" w:hAnsiTheme="minorHAnsi"/>
          <w:snapToGrid w:val="0"/>
          <w:lang w:val="en-GB"/>
        </w:rPr>
        <w:t>comparative safety</w:t>
      </w:r>
      <w:r w:rsidR="003E71CC" w:rsidRPr="00CE42B4">
        <w:rPr>
          <w:rFonts w:asciiTheme="minorHAnsi" w:hAnsiTheme="minorHAnsi"/>
          <w:snapToGrid w:val="0"/>
          <w:lang w:val="en-GB"/>
        </w:rPr>
        <w:t>.</w:t>
      </w:r>
    </w:p>
    <w:p w14:paraId="351403E3" w14:textId="2DBCBA8E" w:rsidR="005041E8" w:rsidRPr="00AA1EFA" w:rsidRDefault="000E36F8" w:rsidP="003E71C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s</w:t>
      </w:r>
      <w:r w:rsidRPr="000E36F8">
        <w:rPr>
          <w:rFonts w:asciiTheme="minorHAnsi" w:hAnsiTheme="minorHAnsi"/>
          <w:snapToGrid w:val="0"/>
          <w:lang w:val="en-GB"/>
        </w:rPr>
        <w:t xml:space="preserve">eparate modelled </w:t>
      </w:r>
      <w:r w:rsidR="00F71E66">
        <w:rPr>
          <w:rFonts w:asciiTheme="minorHAnsi" w:hAnsiTheme="minorHAnsi"/>
          <w:snapToGrid w:val="0"/>
          <w:lang w:val="en-GB"/>
        </w:rPr>
        <w:t xml:space="preserve">economic </w:t>
      </w:r>
      <w:r w:rsidRPr="000E36F8">
        <w:rPr>
          <w:rFonts w:asciiTheme="minorHAnsi" w:hAnsiTheme="minorHAnsi"/>
          <w:snapToGrid w:val="0"/>
          <w:lang w:val="en-GB"/>
        </w:rPr>
        <w:t>analyses</w:t>
      </w:r>
      <w:r w:rsidR="00F71E66">
        <w:rPr>
          <w:rFonts w:asciiTheme="minorHAnsi" w:hAnsiTheme="minorHAnsi"/>
          <w:snapToGrid w:val="0"/>
          <w:lang w:val="en-GB"/>
        </w:rPr>
        <w:t xml:space="preserve"> were presented</w:t>
      </w:r>
      <w:r w:rsidRPr="000E36F8">
        <w:rPr>
          <w:rFonts w:asciiTheme="minorHAnsi" w:hAnsiTheme="minorHAnsi"/>
          <w:snapToGrid w:val="0"/>
          <w:lang w:val="en-GB"/>
        </w:rPr>
        <w:t xml:space="preserve"> for each of the target tumour </w:t>
      </w:r>
      <w:r>
        <w:rPr>
          <w:rFonts w:asciiTheme="minorHAnsi" w:hAnsiTheme="minorHAnsi"/>
          <w:snapToGrid w:val="0"/>
          <w:lang w:val="en-GB"/>
        </w:rPr>
        <w:t>type</w:t>
      </w:r>
      <w:r w:rsidR="009268CB">
        <w:rPr>
          <w:rFonts w:asciiTheme="minorHAnsi" w:hAnsiTheme="minorHAnsi"/>
          <w:snapToGrid w:val="0"/>
          <w:lang w:val="en-GB"/>
        </w:rPr>
        <w:t>s</w:t>
      </w:r>
      <w:r w:rsidRPr="000E36F8">
        <w:rPr>
          <w:rFonts w:asciiTheme="minorHAnsi" w:hAnsiTheme="minorHAnsi"/>
          <w:snapToGrid w:val="0"/>
          <w:lang w:val="en-GB"/>
        </w:rPr>
        <w:t xml:space="preserve">: RCC, CNS </w:t>
      </w:r>
      <w:r>
        <w:rPr>
          <w:rFonts w:asciiTheme="minorHAnsi" w:hAnsiTheme="minorHAnsi"/>
          <w:snapToGrid w:val="0"/>
          <w:lang w:val="en-GB"/>
        </w:rPr>
        <w:t xml:space="preserve">Hb </w:t>
      </w:r>
      <w:r w:rsidRPr="000E36F8">
        <w:rPr>
          <w:rFonts w:asciiTheme="minorHAnsi" w:hAnsiTheme="minorHAnsi"/>
          <w:snapToGrid w:val="0"/>
          <w:lang w:val="en-GB"/>
        </w:rPr>
        <w:t xml:space="preserve">and pNETs. </w:t>
      </w:r>
      <w:r w:rsidR="009D2E98">
        <w:rPr>
          <w:rFonts w:asciiTheme="minorHAnsi" w:hAnsiTheme="minorHAnsi"/>
          <w:snapToGrid w:val="0"/>
          <w:lang w:val="en-GB"/>
        </w:rPr>
        <w:t xml:space="preserve">The PBAC noted each model consisted of </w:t>
      </w:r>
      <w:r w:rsidR="005041E8">
        <w:rPr>
          <w:rFonts w:asciiTheme="minorHAnsi" w:hAnsiTheme="minorHAnsi"/>
          <w:snapToGrid w:val="0"/>
          <w:lang w:val="en-GB"/>
        </w:rPr>
        <w:t>a relatively large number of health states to account for surgery, post</w:t>
      </w:r>
      <w:r w:rsidR="002232AD">
        <w:rPr>
          <w:rFonts w:asciiTheme="minorHAnsi" w:hAnsiTheme="minorHAnsi"/>
          <w:snapToGrid w:val="0"/>
          <w:lang w:val="en-GB"/>
        </w:rPr>
        <w:t>-</w:t>
      </w:r>
      <w:r w:rsidR="005041E8">
        <w:rPr>
          <w:rFonts w:asciiTheme="minorHAnsi" w:hAnsiTheme="minorHAnsi"/>
          <w:snapToGrid w:val="0"/>
          <w:lang w:val="en-GB"/>
        </w:rPr>
        <w:t>surgery and metastatic disease following 3 distinct surgical procedures (i</w:t>
      </w:r>
      <w:r w:rsidR="009B75D9">
        <w:rPr>
          <w:rFonts w:asciiTheme="minorHAnsi" w:hAnsiTheme="minorHAnsi"/>
          <w:snapToGrid w:val="0"/>
          <w:lang w:val="en-GB"/>
        </w:rPr>
        <w:t>.</w:t>
      </w:r>
      <w:r w:rsidR="005041E8">
        <w:rPr>
          <w:rFonts w:asciiTheme="minorHAnsi" w:hAnsiTheme="minorHAnsi"/>
          <w:snapToGrid w:val="0"/>
          <w:lang w:val="en-GB"/>
        </w:rPr>
        <w:t xml:space="preserve">e. </w:t>
      </w:r>
      <w:r w:rsidR="009D2E98">
        <w:rPr>
          <w:rFonts w:asciiTheme="minorHAnsi" w:hAnsiTheme="minorHAnsi"/>
          <w:snapToGrid w:val="0"/>
          <w:lang w:val="en-GB"/>
        </w:rPr>
        <w:t xml:space="preserve">19 health states </w:t>
      </w:r>
      <w:r w:rsidR="009D2E98" w:rsidRPr="009D2E98">
        <w:rPr>
          <w:rFonts w:asciiTheme="minorHAnsi" w:hAnsiTheme="minorHAnsi"/>
          <w:snapToGrid w:val="0"/>
          <w:lang w:val="en-GB"/>
        </w:rPr>
        <w:t>in the belzutifan arms</w:t>
      </w:r>
      <w:r w:rsidR="005041E8">
        <w:rPr>
          <w:rFonts w:asciiTheme="minorHAnsi" w:hAnsiTheme="minorHAnsi"/>
          <w:snapToGrid w:val="0"/>
          <w:lang w:val="en-GB"/>
        </w:rPr>
        <w:t>,</w:t>
      </w:r>
      <w:r w:rsidR="00AA1EFA">
        <w:rPr>
          <w:rFonts w:asciiTheme="minorHAnsi" w:hAnsiTheme="minorHAnsi"/>
          <w:snapToGrid w:val="0"/>
          <w:lang w:val="en-GB"/>
        </w:rPr>
        <w:t xml:space="preserve"> </w:t>
      </w:r>
      <w:r w:rsidR="001E4B35">
        <w:rPr>
          <w:rFonts w:asciiTheme="minorHAnsi" w:hAnsiTheme="minorHAnsi"/>
          <w:snapToGrid w:val="0"/>
          <w:lang w:val="en-GB"/>
        </w:rPr>
        <w:t>including on and off treatment health states</w:t>
      </w:r>
      <w:r w:rsidR="005041E8">
        <w:rPr>
          <w:rFonts w:asciiTheme="minorHAnsi" w:hAnsiTheme="minorHAnsi"/>
          <w:snapToGrid w:val="0"/>
          <w:lang w:val="en-GB"/>
        </w:rPr>
        <w:t>,</w:t>
      </w:r>
      <w:r w:rsidR="001E4B35">
        <w:rPr>
          <w:rFonts w:asciiTheme="minorHAnsi" w:hAnsiTheme="minorHAnsi"/>
          <w:snapToGrid w:val="0"/>
          <w:lang w:val="en-GB"/>
        </w:rPr>
        <w:t xml:space="preserve"> </w:t>
      </w:r>
      <w:r w:rsidR="009D2E98" w:rsidRPr="009D2E98">
        <w:rPr>
          <w:rFonts w:asciiTheme="minorHAnsi" w:hAnsiTheme="minorHAnsi"/>
          <w:snapToGrid w:val="0"/>
          <w:lang w:val="en-GB"/>
        </w:rPr>
        <w:t>and 12 health states in the active surveillance arms</w:t>
      </w:r>
      <w:r w:rsidR="005041E8">
        <w:rPr>
          <w:rFonts w:asciiTheme="minorHAnsi" w:hAnsiTheme="minorHAnsi"/>
          <w:snapToGrid w:val="0"/>
          <w:lang w:val="en-GB"/>
        </w:rPr>
        <w:t>,</w:t>
      </w:r>
      <w:r w:rsidR="009D2E98" w:rsidRPr="009D2E98">
        <w:rPr>
          <w:rFonts w:asciiTheme="minorHAnsi" w:hAnsiTheme="minorHAnsi"/>
          <w:snapToGrid w:val="0"/>
          <w:lang w:val="en-GB"/>
        </w:rPr>
        <w:t xml:space="preserve"> </w:t>
      </w:r>
      <w:r w:rsidR="009D2E98">
        <w:rPr>
          <w:rFonts w:asciiTheme="minorHAnsi" w:hAnsiTheme="minorHAnsi"/>
          <w:snapToGrid w:val="0"/>
          <w:lang w:val="en-GB"/>
        </w:rPr>
        <w:t xml:space="preserve">see </w:t>
      </w:r>
      <w:r w:rsidR="009D2E98">
        <w:rPr>
          <w:rFonts w:asciiTheme="minorHAnsi" w:hAnsiTheme="minorHAnsi"/>
          <w:snapToGrid w:val="0"/>
          <w:lang w:val="en-GB"/>
        </w:rPr>
        <w:fldChar w:fldCharType="begin" w:fldLock="1"/>
      </w:r>
      <w:r w:rsidR="009D2E98">
        <w:rPr>
          <w:rFonts w:asciiTheme="minorHAnsi" w:hAnsiTheme="minorHAnsi"/>
          <w:snapToGrid w:val="0"/>
          <w:lang w:val="en-GB"/>
        </w:rPr>
        <w:instrText xml:space="preserve"> REF _Ref166337000 \h </w:instrText>
      </w:r>
      <w:r w:rsidR="009D2E98">
        <w:rPr>
          <w:rFonts w:asciiTheme="minorHAnsi" w:hAnsiTheme="minorHAnsi"/>
          <w:snapToGrid w:val="0"/>
          <w:lang w:val="en-GB"/>
        </w:rPr>
      </w:r>
      <w:r w:rsidR="009D2E98">
        <w:rPr>
          <w:rFonts w:asciiTheme="minorHAnsi" w:hAnsiTheme="minorHAnsi"/>
          <w:snapToGrid w:val="0"/>
          <w:lang w:val="en-GB"/>
        </w:rPr>
        <w:fldChar w:fldCharType="separate"/>
      </w:r>
      <w:r w:rsidR="00437B51" w:rsidRPr="0049394D">
        <w:t xml:space="preserve">Figure </w:t>
      </w:r>
      <w:r w:rsidR="00437B51">
        <w:rPr>
          <w:noProof/>
        </w:rPr>
        <w:t>4</w:t>
      </w:r>
      <w:r w:rsidR="009D2E98">
        <w:rPr>
          <w:rFonts w:asciiTheme="minorHAnsi" w:hAnsiTheme="minorHAnsi"/>
          <w:snapToGrid w:val="0"/>
          <w:lang w:val="en-GB"/>
        </w:rPr>
        <w:fldChar w:fldCharType="end"/>
      </w:r>
      <w:r w:rsidR="009D2E98">
        <w:rPr>
          <w:rFonts w:asciiTheme="minorHAnsi" w:hAnsiTheme="minorHAnsi"/>
          <w:snapToGrid w:val="0"/>
          <w:lang w:val="en-GB"/>
        </w:rPr>
        <w:t xml:space="preserve">). </w:t>
      </w:r>
      <w:r>
        <w:rPr>
          <w:rFonts w:asciiTheme="minorHAnsi" w:hAnsiTheme="minorHAnsi"/>
          <w:snapToGrid w:val="0"/>
          <w:lang w:val="en-GB"/>
        </w:rPr>
        <w:t>The PBAC agreed with the ESC that</w:t>
      </w:r>
      <w:r w:rsidRPr="000E36F8">
        <w:rPr>
          <w:rFonts w:asciiTheme="minorHAnsi" w:hAnsiTheme="minorHAnsi"/>
          <w:snapToGrid w:val="0"/>
          <w:lang w:val="en-GB"/>
        </w:rPr>
        <w:t xml:space="preserve"> </w:t>
      </w:r>
      <w:r w:rsidRPr="00BF3570">
        <w:t>the model’s complexity, while attempting to capture important clinical features of VHL disease, led to high degree of uncertainty</w:t>
      </w:r>
      <w:r w:rsidR="009D2E98">
        <w:t xml:space="preserve"> and was overly complex given the limited data available. </w:t>
      </w:r>
      <w:r w:rsidR="00296DA3">
        <w:t xml:space="preserve">The PBAC noted the ESC’s suggestion </w:t>
      </w:r>
      <w:r w:rsidR="00B8179A">
        <w:t>that the sponsor</w:t>
      </w:r>
      <w:r w:rsidR="00296DA3">
        <w:t xml:space="preserve"> resubmit a </w:t>
      </w:r>
      <w:r w:rsidR="00053CAB" w:rsidRPr="00053CAB">
        <w:t xml:space="preserve">simplified model that possibly adopted an aggregate ‘post-surgery’ state, rather than multiple states to track the number of surgeries, </w:t>
      </w:r>
      <w:r w:rsidR="00296DA3">
        <w:t xml:space="preserve">and to include trial-based analyses </w:t>
      </w:r>
      <w:r w:rsidR="00E4146F">
        <w:t>such as</w:t>
      </w:r>
      <w:r w:rsidR="00296DA3">
        <w:t xml:space="preserve"> incremental cost/</w:t>
      </w:r>
      <w:r w:rsidR="00053CAB">
        <w:t>objective</w:t>
      </w:r>
      <w:r w:rsidR="00296DA3">
        <w:t xml:space="preserve"> response and incremental cost/surgery </w:t>
      </w:r>
      <w:r w:rsidR="00053CAB">
        <w:t>avoided</w:t>
      </w:r>
      <w:r w:rsidR="00296DA3">
        <w:t>.</w:t>
      </w:r>
      <w:r w:rsidR="00FC2CE1">
        <w:t xml:space="preserve"> </w:t>
      </w:r>
      <w:r w:rsidR="005F15F1">
        <w:t xml:space="preserve">Although this information would be potentially informative, the PBAC noted that the model results were primarily driven by </w:t>
      </w:r>
      <w:r w:rsidR="00635ED1">
        <w:t xml:space="preserve">(i) </w:t>
      </w:r>
      <w:r w:rsidR="005F15F1">
        <w:t>the increase in the time to the first surgery with belzutifan</w:t>
      </w:r>
      <w:r w:rsidR="00635ED1">
        <w:t xml:space="preserve"> (</w:t>
      </w:r>
      <w:r w:rsidR="00AA1EFA">
        <w:fldChar w:fldCharType="begin" w:fldLock="1"/>
      </w:r>
      <w:r w:rsidR="00AA1EFA">
        <w:instrText xml:space="preserve"> REF _Ref167023450 \h </w:instrText>
      </w:r>
      <w:r w:rsidR="00AA1EFA">
        <w:fldChar w:fldCharType="separate"/>
      </w:r>
      <w:r w:rsidR="00437B51" w:rsidRPr="0049394D">
        <w:t xml:space="preserve">Table </w:t>
      </w:r>
      <w:r w:rsidR="00437B51">
        <w:rPr>
          <w:noProof/>
        </w:rPr>
        <w:t>16</w:t>
      </w:r>
      <w:r w:rsidR="00AA1EFA">
        <w:fldChar w:fldCharType="end"/>
      </w:r>
      <w:r w:rsidR="00635ED1">
        <w:t xml:space="preserve">) </w:t>
      </w:r>
      <w:r w:rsidR="00031277">
        <w:t>which was</w:t>
      </w:r>
      <w:r w:rsidR="00635ED1">
        <w:t xml:space="preserve"> uncertain due to the underlying clinical data </w:t>
      </w:r>
      <w:r w:rsidR="00031277">
        <w:t xml:space="preserve">being </w:t>
      </w:r>
      <w:r w:rsidR="00635ED1">
        <w:t>a comparison of</w:t>
      </w:r>
      <w:r w:rsidR="005F15F1">
        <w:t xml:space="preserve"> </w:t>
      </w:r>
      <w:r w:rsidR="00635ED1">
        <w:t xml:space="preserve">single arm studies, </w:t>
      </w:r>
      <w:r w:rsidR="005F15F1">
        <w:t xml:space="preserve">and </w:t>
      </w:r>
      <w:r w:rsidR="00635ED1">
        <w:t xml:space="preserve">(ii) </w:t>
      </w:r>
      <w:r w:rsidR="005F15F1">
        <w:t>the cost of the belzutifan treatment (</w:t>
      </w:r>
      <w:r w:rsidR="00AA1EFA">
        <w:fldChar w:fldCharType="begin" w:fldLock="1"/>
      </w:r>
      <w:r w:rsidR="00AA1EFA">
        <w:instrText xml:space="preserve"> REF _Ref167023433 \h </w:instrText>
      </w:r>
      <w:r w:rsidR="00AA1EFA">
        <w:fldChar w:fldCharType="separate"/>
      </w:r>
      <w:r w:rsidR="00437B51" w:rsidRPr="0049394D">
        <w:t xml:space="preserve">Table </w:t>
      </w:r>
      <w:r w:rsidR="00437B51">
        <w:rPr>
          <w:noProof/>
        </w:rPr>
        <w:t>15</w:t>
      </w:r>
      <w:r w:rsidR="00AA1EFA">
        <w:fldChar w:fldCharType="end"/>
      </w:r>
      <w:r w:rsidR="005F15F1">
        <w:t>)</w:t>
      </w:r>
      <w:r w:rsidR="00635ED1">
        <w:t>, which reflected the duration of treatment and proposed price.</w:t>
      </w:r>
      <w:r w:rsidR="005F15F1">
        <w:t xml:space="preserve"> </w:t>
      </w:r>
      <w:r w:rsidR="00CC5A2B">
        <w:t>The PBAC also noted the pre-PBAC response argued that a simplified model would be no more informative given the limited data available.</w:t>
      </w:r>
      <w:r w:rsidR="00DC63F3">
        <w:t xml:space="preserve"> </w:t>
      </w:r>
      <w:r w:rsidR="009429B9">
        <w:t>Overall, the PBAC considered that, given VHL disease is a rare disease and the data to inform a</w:t>
      </w:r>
      <w:r w:rsidR="002232AD">
        <w:t>n</w:t>
      </w:r>
      <w:r w:rsidR="009429B9">
        <w:t xml:space="preserve"> </w:t>
      </w:r>
      <w:r w:rsidR="002232AD">
        <w:t>economic</w:t>
      </w:r>
      <w:r w:rsidR="009429B9">
        <w:t xml:space="preserve"> model </w:t>
      </w:r>
      <w:r w:rsidR="002232AD">
        <w:t>are</w:t>
      </w:r>
      <w:r w:rsidR="009429B9">
        <w:t xml:space="preserve"> limited, the uncertainty in the ICER </w:t>
      </w:r>
      <w:r w:rsidR="00B8179A">
        <w:t>is</w:t>
      </w:r>
      <w:r w:rsidR="009429B9">
        <w:t xml:space="preserve"> unlikely</w:t>
      </w:r>
      <w:r w:rsidR="00B8179A">
        <w:t xml:space="preserve"> to</w:t>
      </w:r>
      <w:r w:rsidR="009429B9">
        <w:t xml:space="preserve"> be adequately resolved with further revision to the model structure.</w:t>
      </w:r>
    </w:p>
    <w:p w14:paraId="4EAA85D7" w14:textId="4C5C7B58" w:rsidR="003E71CC" w:rsidRPr="006A0EA8" w:rsidRDefault="00D41F31" w:rsidP="006A0EA8">
      <w:pPr>
        <w:widowControl w:val="0"/>
        <w:numPr>
          <w:ilvl w:val="1"/>
          <w:numId w:val="1"/>
        </w:numPr>
        <w:spacing w:after="120"/>
        <w:rPr>
          <w:rFonts w:asciiTheme="minorHAnsi" w:hAnsiTheme="minorHAnsi"/>
          <w:snapToGrid w:val="0"/>
          <w:lang w:val="en-GB"/>
        </w:rPr>
      </w:pPr>
      <w:r w:rsidRPr="006A0EA8">
        <w:rPr>
          <w:rFonts w:asciiTheme="minorHAnsi" w:hAnsiTheme="minorHAnsi"/>
          <w:snapToGrid w:val="0"/>
          <w:lang w:val="en-GB"/>
        </w:rPr>
        <w:t>The PBAC noted the base case ICER</w:t>
      </w:r>
      <w:r w:rsidR="002232AD" w:rsidRPr="006A0EA8">
        <w:rPr>
          <w:rFonts w:asciiTheme="minorHAnsi" w:hAnsiTheme="minorHAnsi"/>
          <w:snapToGrid w:val="0"/>
          <w:lang w:val="en-GB"/>
        </w:rPr>
        <w:t>s</w:t>
      </w:r>
      <w:r w:rsidRPr="006A0EA8">
        <w:rPr>
          <w:rFonts w:asciiTheme="minorHAnsi" w:hAnsiTheme="minorHAnsi"/>
          <w:snapToGrid w:val="0"/>
          <w:lang w:val="en-GB"/>
        </w:rPr>
        <w:t xml:space="preserve"> using the belzutifan price proposed in</w:t>
      </w:r>
      <w:r w:rsidR="0058137C">
        <w:rPr>
          <w:rFonts w:asciiTheme="minorHAnsi" w:hAnsiTheme="minorHAnsi"/>
          <w:snapToGrid w:val="0"/>
          <w:lang w:val="en-GB"/>
        </w:rPr>
        <w:t xml:space="preserve"> the</w:t>
      </w:r>
      <w:r w:rsidRPr="006A0EA8">
        <w:rPr>
          <w:rFonts w:asciiTheme="minorHAnsi" w:hAnsiTheme="minorHAnsi"/>
          <w:snapToGrid w:val="0"/>
          <w:lang w:val="en-GB"/>
        </w:rPr>
        <w:t xml:space="preserve"> pre</w:t>
      </w:r>
      <w:r w:rsidR="00AA1EFA">
        <w:rPr>
          <w:rFonts w:asciiTheme="minorHAnsi" w:hAnsiTheme="minorHAnsi"/>
          <w:snapToGrid w:val="0"/>
          <w:lang w:val="en-GB"/>
        </w:rPr>
        <w:t>-</w:t>
      </w:r>
      <w:r w:rsidRPr="006A0EA8">
        <w:rPr>
          <w:rFonts w:asciiTheme="minorHAnsi" w:hAnsiTheme="minorHAnsi"/>
          <w:snapToGrid w:val="0"/>
          <w:lang w:val="en-GB"/>
        </w:rPr>
        <w:t xml:space="preserve">PBAC response </w:t>
      </w:r>
      <w:r w:rsidR="003020B8">
        <w:rPr>
          <w:rFonts w:asciiTheme="minorHAnsi" w:hAnsiTheme="minorHAnsi"/>
          <w:snapToGrid w:val="0"/>
          <w:lang w:val="en-GB"/>
        </w:rPr>
        <w:t>decreased to</w:t>
      </w:r>
      <w:r w:rsidR="003020B8" w:rsidRPr="006A0EA8">
        <w:rPr>
          <w:rFonts w:asciiTheme="minorHAnsi" w:hAnsiTheme="minorHAnsi"/>
          <w:snapToGrid w:val="0"/>
          <w:lang w:val="en-GB"/>
        </w:rPr>
        <w:t xml:space="preserve"> </w:t>
      </w:r>
      <w:r w:rsidR="003020B8">
        <w:rPr>
          <w:rFonts w:asciiTheme="minorHAnsi" w:hAnsiTheme="minorHAnsi"/>
          <w:snapToGrid w:val="0"/>
          <w:lang w:val="en-GB"/>
        </w:rPr>
        <w:t>$</w:t>
      </w:r>
      <w:r w:rsidR="00113655" w:rsidRPr="00113655">
        <w:rPr>
          <w:rFonts w:asciiTheme="minorHAnsi" w:hAnsiTheme="minorHAnsi"/>
          <w:snapToGrid w:val="0"/>
          <w:lang w:val="en-GB"/>
        </w:rPr>
        <w:t>155,000 to &lt; $255,000</w:t>
      </w:r>
      <w:r w:rsidR="003020B8">
        <w:rPr>
          <w:rFonts w:asciiTheme="minorHAnsi" w:hAnsiTheme="minorHAnsi"/>
          <w:snapToGrid w:val="0"/>
          <w:lang w:val="en-GB"/>
        </w:rPr>
        <w:t>/QALY</w:t>
      </w:r>
      <w:r w:rsidR="002232AD" w:rsidRPr="006A0EA8">
        <w:rPr>
          <w:rFonts w:asciiTheme="minorHAnsi" w:hAnsiTheme="minorHAnsi"/>
          <w:snapToGrid w:val="0"/>
          <w:lang w:val="en-GB"/>
        </w:rPr>
        <w:t xml:space="preserve"> for RCC</w:t>
      </w:r>
      <w:r w:rsidRPr="006A0EA8">
        <w:rPr>
          <w:rFonts w:asciiTheme="minorHAnsi" w:hAnsiTheme="minorHAnsi"/>
          <w:snapToGrid w:val="0"/>
          <w:lang w:val="en-GB"/>
        </w:rPr>
        <w:t xml:space="preserve">, </w:t>
      </w:r>
      <w:r w:rsidR="003020B8">
        <w:rPr>
          <w:rFonts w:asciiTheme="minorHAnsi" w:hAnsiTheme="minorHAnsi"/>
          <w:snapToGrid w:val="0"/>
          <w:lang w:val="en-GB"/>
        </w:rPr>
        <w:t>$</w:t>
      </w:r>
      <w:r w:rsidR="00113655" w:rsidRPr="00113655">
        <w:rPr>
          <w:rFonts w:asciiTheme="minorHAnsi" w:hAnsiTheme="minorHAnsi"/>
          <w:snapToGrid w:val="0"/>
          <w:lang w:val="en-GB"/>
        </w:rPr>
        <w:t>135,000 to &lt;</w:t>
      </w:r>
      <w:r w:rsidR="00F96C75">
        <w:rPr>
          <w:rFonts w:asciiTheme="minorHAnsi" w:hAnsiTheme="minorHAnsi"/>
          <w:snapToGrid w:val="0"/>
          <w:lang w:val="en-GB"/>
        </w:rPr>
        <w:t> </w:t>
      </w:r>
      <w:r w:rsidR="00113655" w:rsidRPr="00113655">
        <w:rPr>
          <w:rFonts w:asciiTheme="minorHAnsi" w:hAnsiTheme="minorHAnsi"/>
          <w:snapToGrid w:val="0"/>
          <w:lang w:val="en-GB"/>
        </w:rPr>
        <w:t>$155,000</w:t>
      </w:r>
      <w:r w:rsidR="003020B8">
        <w:rPr>
          <w:rFonts w:asciiTheme="minorHAnsi" w:hAnsiTheme="minorHAnsi"/>
          <w:snapToGrid w:val="0"/>
          <w:lang w:val="en-GB"/>
        </w:rPr>
        <w:t>/QALY</w:t>
      </w:r>
      <w:r w:rsidR="002232AD" w:rsidRPr="006A0EA8">
        <w:rPr>
          <w:rFonts w:asciiTheme="minorHAnsi" w:hAnsiTheme="minorHAnsi"/>
          <w:snapToGrid w:val="0"/>
          <w:lang w:val="en-GB"/>
        </w:rPr>
        <w:t xml:space="preserve"> for CNS Hb</w:t>
      </w:r>
      <w:r w:rsidRPr="006A0EA8">
        <w:rPr>
          <w:rFonts w:asciiTheme="minorHAnsi" w:hAnsiTheme="minorHAnsi"/>
          <w:snapToGrid w:val="0"/>
          <w:lang w:val="en-GB"/>
        </w:rPr>
        <w:t xml:space="preserve"> and </w:t>
      </w:r>
      <w:r w:rsidR="003020B8">
        <w:rPr>
          <w:rFonts w:asciiTheme="minorHAnsi" w:hAnsiTheme="minorHAnsi"/>
          <w:snapToGrid w:val="0"/>
          <w:lang w:val="en-GB"/>
        </w:rPr>
        <w:t>$</w:t>
      </w:r>
      <w:r w:rsidR="00113655" w:rsidRPr="00113655">
        <w:rPr>
          <w:rFonts w:asciiTheme="minorHAnsi" w:hAnsiTheme="minorHAnsi"/>
          <w:snapToGrid w:val="0"/>
        </w:rPr>
        <w:t>115,000 to &lt; $135,000</w:t>
      </w:r>
      <w:r w:rsidR="003020B8">
        <w:rPr>
          <w:rFonts w:asciiTheme="minorHAnsi" w:hAnsiTheme="minorHAnsi"/>
          <w:snapToGrid w:val="0"/>
          <w:lang w:val="en-GB"/>
        </w:rPr>
        <w:t>/QALY</w:t>
      </w:r>
      <w:r w:rsidR="002232AD" w:rsidRPr="006A0EA8">
        <w:rPr>
          <w:rFonts w:asciiTheme="minorHAnsi" w:hAnsiTheme="minorHAnsi"/>
          <w:snapToGrid w:val="0"/>
          <w:lang w:val="en-GB"/>
        </w:rPr>
        <w:t xml:space="preserve"> for pNETs</w:t>
      </w:r>
      <w:r w:rsidRPr="006A0EA8">
        <w:rPr>
          <w:rFonts w:asciiTheme="minorHAnsi" w:hAnsiTheme="minorHAnsi"/>
          <w:snapToGrid w:val="0"/>
          <w:lang w:val="en-GB"/>
        </w:rPr>
        <w:t xml:space="preserve">. </w:t>
      </w:r>
      <w:r w:rsidR="00DC63F3">
        <w:t xml:space="preserve">The PBAC noted the </w:t>
      </w:r>
      <w:r w:rsidR="002232AD">
        <w:t xml:space="preserve">ICERs increased to </w:t>
      </w:r>
      <w:r w:rsidR="00EA266D">
        <w:rPr>
          <w:iCs/>
        </w:rPr>
        <w:t>$</w:t>
      </w:r>
      <w:r w:rsidR="00113655" w:rsidRPr="00113655">
        <w:rPr>
          <w:iCs/>
        </w:rPr>
        <w:t>155,000 to &lt; $255,000</w:t>
      </w:r>
      <w:r w:rsidR="00EA266D" w:rsidRPr="00746E03">
        <w:rPr>
          <w:iCs/>
        </w:rPr>
        <w:t>/QALY</w:t>
      </w:r>
      <w:r w:rsidR="003E56A4">
        <w:rPr>
          <w:iCs/>
        </w:rPr>
        <w:t xml:space="preserve"> for RCC</w:t>
      </w:r>
      <w:r w:rsidR="00EA266D">
        <w:rPr>
          <w:iCs/>
        </w:rPr>
        <w:t xml:space="preserve">, </w:t>
      </w:r>
      <w:r w:rsidR="00EA266D" w:rsidRPr="00D1781A">
        <w:rPr>
          <w:iCs/>
        </w:rPr>
        <w:t>$</w:t>
      </w:r>
      <w:r w:rsidR="00113655" w:rsidRPr="00113655">
        <w:rPr>
          <w:iCs/>
        </w:rPr>
        <w:t>155,000 to &lt;</w:t>
      </w:r>
      <w:r w:rsidR="00F96C75">
        <w:rPr>
          <w:iCs/>
        </w:rPr>
        <w:t> </w:t>
      </w:r>
      <w:r w:rsidR="00113655" w:rsidRPr="00113655">
        <w:rPr>
          <w:iCs/>
        </w:rPr>
        <w:t>$255,000</w:t>
      </w:r>
      <w:r w:rsidR="00EA266D" w:rsidRPr="00D1781A">
        <w:rPr>
          <w:iCs/>
        </w:rPr>
        <w:t>/QALY</w:t>
      </w:r>
      <w:r w:rsidR="003E56A4">
        <w:rPr>
          <w:iCs/>
        </w:rPr>
        <w:t xml:space="preserve"> for CN</w:t>
      </w:r>
      <w:r w:rsidR="00C3767D">
        <w:rPr>
          <w:iCs/>
        </w:rPr>
        <w:t>S</w:t>
      </w:r>
      <w:r w:rsidR="003E56A4">
        <w:rPr>
          <w:iCs/>
        </w:rPr>
        <w:t xml:space="preserve"> Hb</w:t>
      </w:r>
      <w:r w:rsidR="00EA266D" w:rsidRPr="00D1781A">
        <w:rPr>
          <w:iCs/>
        </w:rPr>
        <w:t xml:space="preserve">, </w:t>
      </w:r>
      <w:r w:rsidR="003E56A4">
        <w:rPr>
          <w:iCs/>
        </w:rPr>
        <w:t>and</w:t>
      </w:r>
      <w:r w:rsidR="00EA266D" w:rsidRPr="00D1781A">
        <w:rPr>
          <w:iCs/>
        </w:rPr>
        <w:t xml:space="preserve"> $</w:t>
      </w:r>
      <w:r w:rsidR="00113655" w:rsidRPr="00113655">
        <w:rPr>
          <w:iCs/>
        </w:rPr>
        <w:t>155,000 to &lt; $255,000</w:t>
      </w:r>
      <w:r w:rsidR="00EA266D" w:rsidRPr="00D1781A">
        <w:rPr>
          <w:iCs/>
        </w:rPr>
        <w:t>/QALY</w:t>
      </w:r>
      <w:r w:rsidR="003E56A4">
        <w:rPr>
          <w:iCs/>
        </w:rPr>
        <w:t xml:space="preserve"> for pNETs</w:t>
      </w:r>
      <w:r w:rsidR="002232AD">
        <w:t xml:space="preserve"> in the </w:t>
      </w:r>
      <w:r w:rsidR="009962D0">
        <w:t>sensitivity analys</w:t>
      </w:r>
      <w:r w:rsidR="002232AD">
        <w:t>e</w:t>
      </w:r>
      <w:r w:rsidR="009962D0">
        <w:t>s w</w:t>
      </w:r>
      <w:r w:rsidR="002232AD">
        <w:t>ith</w:t>
      </w:r>
      <w:r w:rsidR="009962D0">
        <w:t xml:space="preserve"> </w:t>
      </w:r>
      <w:r w:rsidR="00DC63F3" w:rsidRPr="00DC63F3">
        <w:t>treatment contin</w:t>
      </w:r>
      <w:r w:rsidR="002232AD">
        <w:t>ued</w:t>
      </w:r>
      <w:r w:rsidR="00F34480" w:rsidRPr="00F34480">
        <w:t xml:space="preserve"> </w:t>
      </w:r>
      <w:r w:rsidR="002232AD">
        <w:t>until</w:t>
      </w:r>
      <w:r w:rsidR="00F34480">
        <w:t xml:space="preserve"> the</w:t>
      </w:r>
      <w:r w:rsidR="00F34480" w:rsidRPr="00DC63F3">
        <w:t xml:space="preserve"> develop</w:t>
      </w:r>
      <w:r w:rsidR="00F34480">
        <w:t>ment of</w:t>
      </w:r>
      <w:r w:rsidR="00F34480" w:rsidRPr="00DC63F3">
        <w:t xml:space="preserve"> metastases</w:t>
      </w:r>
      <w:r w:rsidR="002232AD">
        <w:t>, and for this analysis</w:t>
      </w:r>
      <w:r w:rsidR="00DC63F3">
        <w:t xml:space="preserve"> </w:t>
      </w:r>
      <w:r w:rsidR="00F34480">
        <w:t xml:space="preserve">the modelled time on treatment </w:t>
      </w:r>
      <w:r w:rsidR="002232AD">
        <w:t xml:space="preserve">was </w:t>
      </w:r>
      <w:r w:rsidR="00F34480">
        <w:t xml:space="preserve">between 29.9 to 32.2 years, compared </w:t>
      </w:r>
      <w:r w:rsidR="002232AD">
        <w:t xml:space="preserve">with </w:t>
      </w:r>
      <w:r w:rsidR="00F34480">
        <w:t xml:space="preserve">approximately 4.5 years in the submission base case </w:t>
      </w:r>
      <w:r w:rsidR="00E4146F">
        <w:t xml:space="preserve">(paragraph </w:t>
      </w:r>
      <w:r w:rsidR="00E4146F">
        <w:fldChar w:fldCharType="begin" w:fldLock="1"/>
      </w:r>
      <w:r w:rsidR="00E4146F">
        <w:instrText xml:space="preserve"> REF _Ref172282252 \r \h </w:instrText>
      </w:r>
      <w:r w:rsidR="00E4146F">
        <w:fldChar w:fldCharType="separate"/>
      </w:r>
      <w:r w:rsidR="00437B51">
        <w:t>6.47</w:t>
      </w:r>
      <w:r w:rsidR="00E4146F">
        <w:fldChar w:fldCharType="end"/>
      </w:r>
      <w:r w:rsidR="00E4146F">
        <w:t>)</w:t>
      </w:r>
      <w:r w:rsidR="00F34480">
        <w:t>.</w:t>
      </w:r>
      <w:r w:rsidR="00EA266D">
        <w:t xml:space="preserve"> The pre-PBAC response suggested this significantly over-estimated use and the ICERs, and the PBAC noted the evaluation likewise suggested this sensitivity analysis </w:t>
      </w:r>
      <w:r w:rsidR="00EA266D" w:rsidRPr="00BE323C">
        <w:rPr>
          <w:iCs/>
        </w:rPr>
        <w:t>likely overestimated both mean time in non-metastatic disease and time on treatment</w:t>
      </w:r>
      <w:r w:rsidR="00EA266D">
        <w:t xml:space="preserve"> (see paragraph</w:t>
      </w:r>
      <w:r w:rsidR="00505AE5">
        <w:t xml:space="preserve"> </w:t>
      </w:r>
      <w:r w:rsidR="00505AE5">
        <w:fldChar w:fldCharType="begin" w:fldLock="1"/>
      </w:r>
      <w:r w:rsidR="00505AE5">
        <w:instrText xml:space="preserve"> REF _Ref173162275 \r \h </w:instrText>
      </w:r>
      <w:r w:rsidR="00505AE5">
        <w:fldChar w:fldCharType="separate"/>
      </w:r>
      <w:r w:rsidR="00437B51">
        <w:t>6.48</w:t>
      </w:r>
      <w:r w:rsidR="00505AE5">
        <w:fldChar w:fldCharType="end"/>
      </w:r>
      <w:r w:rsidR="00EA266D">
        <w:t>)</w:t>
      </w:r>
      <w:r w:rsidR="009772FF">
        <w:t>.</w:t>
      </w:r>
      <w:r w:rsidR="00EA266D">
        <w:t xml:space="preserve"> </w:t>
      </w:r>
      <w:bookmarkStart w:id="104" w:name="_Ref172277582"/>
      <w:r w:rsidR="00753F60">
        <w:t>The PBAC acknowledged the high unmet clinical need</w:t>
      </w:r>
      <w:r w:rsidR="00C66A85">
        <w:t>,</w:t>
      </w:r>
      <w:r w:rsidR="00753F60">
        <w:t xml:space="preserve"> </w:t>
      </w:r>
      <w:r w:rsidR="0072025E">
        <w:t xml:space="preserve">the </w:t>
      </w:r>
      <w:r w:rsidR="00753F60">
        <w:t xml:space="preserve">clinically meaningful </w:t>
      </w:r>
      <w:r w:rsidR="0072025E">
        <w:t xml:space="preserve">benefits of a </w:t>
      </w:r>
      <w:r w:rsidR="00753F60">
        <w:t xml:space="preserve">reduction in surgeries and </w:t>
      </w:r>
      <w:r w:rsidR="0072025E">
        <w:t xml:space="preserve">better </w:t>
      </w:r>
      <w:r w:rsidR="00753F60">
        <w:t>tumour control</w:t>
      </w:r>
      <w:r w:rsidR="0072025E">
        <w:t>, and</w:t>
      </w:r>
      <w:r w:rsidR="0072025E" w:rsidRPr="0072025E">
        <w:t xml:space="preserve"> </w:t>
      </w:r>
      <w:r w:rsidR="0072025E">
        <w:t xml:space="preserve">the </w:t>
      </w:r>
      <w:r w:rsidR="0072025E">
        <w:lastRenderedPageBreak/>
        <w:t>potential improvement in the quality of life for carers</w:t>
      </w:r>
      <w:r w:rsidR="00753F60">
        <w:t>. The PBAC noted the ICER ranges across the tumour types were high</w:t>
      </w:r>
      <w:r w:rsidR="00022530">
        <w:t xml:space="preserve"> and uncertain</w:t>
      </w:r>
      <w:r w:rsidR="00753F60">
        <w:t xml:space="preserve">, </w:t>
      </w:r>
      <w:r w:rsidR="00C66A85">
        <w:t>but generally fell within the range of accepted ICERs for other rare diseases</w:t>
      </w:r>
      <w:r w:rsidR="00DB40D2">
        <w:t>.</w:t>
      </w:r>
      <w:r w:rsidR="00753F60">
        <w:t xml:space="preserve"> </w:t>
      </w:r>
      <w:r w:rsidR="00DB40D2">
        <w:t>The PBAC noted the cost/patient/year</w:t>
      </w:r>
      <w:r w:rsidR="00022530">
        <w:t xml:space="preserve"> </w:t>
      </w:r>
      <w:r w:rsidR="00DB40D2">
        <w:t>remained high at $</w:t>
      </w:r>
      <w:r w:rsidR="00501C36" w:rsidRPr="006F175E">
        <w:rPr>
          <w:color w:val="000000"/>
          <w:w w:val="15"/>
          <w:shd w:val="solid" w:color="000000" w:fill="000000"/>
          <w:fitText w:val="-20" w:id="-893683193"/>
          <w14:textFill>
            <w14:solidFill>
              <w14:srgbClr w14:val="000000">
                <w14:alpha w14:val="100000"/>
              </w14:srgbClr>
            </w14:solidFill>
          </w14:textFill>
        </w:rPr>
        <w:t xml:space="preserve">|  </w:t>
      </w:r>
      <w:r w:rsidR="00501C36" w:rsidRPr="006F175E">
        <w:rPr>
          <w:color w:val="000000"/>
          <w:spacing w:val="-69"/>
          <w:w w:val="15"/>
          <w:shd w:val="solid" w:color="000000" w:fill="000000"/>
          <w:fitText w:val="-20" w:id="-893683193"/>
          <w14:textFill>
            <w14:solidFill>
              <w14:srgbClr w14:val="000000">
                <w14:alpha w14:val="100000"/>
              </w14:srgbClr>
            </w14:solidFill>
          </w14:textFill>
        </w:rPr>
        <w:t>|</w:t>
      </w:r>
      <w:r w:rsidR="00DB40D2">
        <w:t xml:space="preserve"> with the revised price offered in the pre-PBAC response. The PBAC considered </w:t>
      </w:r>
      <w:r w:rsidR="0072025E">
        <w:t xml:space="preserve">in order to accept the value proposition, in the context of </w:t>
      </w:r>
      <w:r w:rsidR="00022530">
        <w:t xml:space="preserve">a high degree of </w:t>
      </w:r>
      <w:r w:rsidR="0072025E">
        <w:t>uncertainty in the</w:t>
      </w:r>
      <w:r w:rsidR="00022530">
        <w:t xml:space="preserve"> economic model and </w:t>
      </w:r>
      <w:r w:rsidR="0072025E">
        <w:t>ICER</w:t>
      </w:r>
      <w:r w:rsidR="00022530">
        <w:t>s</w:t>
      </w:r>
      <w:r w:rsidR="00844B96">
        <w:t>,</w:t>
      </w:r>
      <w:r w:rsidR="0072025E">
        <w:t xml:space="preserve"> and the potential lifetime use of belzutifan with limited long-term experience with the drug, a further price reduction would be required to achieve a cost/p</w:t>
      </w:r>
      <w:r w:rsidR="00223936">
        <w:t>atient</w:t>
      </w:r>
      <w:r w:rsidR="0072025E">
        <w:t xml:space="preserve">/year </w:t>
      </w:r>
      <w:r w:rsidR="00AA664A">
        <w:t>in the order of</w:t>
      </w:r>
      <w:r w:rsidR="0072025E">
        <w:t xml:space="preserve"> $</w:t>
      </w:r>
      <w:r w:rsidR="00501C36" w:rsidRPr="006F175E">
        <w:rPr>
          <w:color w:val="000000"/>
          <w:w w:val="15"/>
          <w:shd w:val="solid" w:color="000000" w:fill="000000"/>
          <w:fitText w:val="-20" w:id="-893683192"/>
          <w14:textFill>
            <w14:solidFill>
              <w14:srgbClr w14:val="000000">
                <w14:alpha w14:val="100000"/>
              </w14:srgbClr>
            </w14:solidFill>
          </w14:textFill>
        </w:rPr>
        <w:t xml:space="preserve">|  </w:t>
      </w:r>
      <w:r w:rsidR="00501C36" w:rsidRPr="006F175E">
        <w:rPr>
          <w:color w:val="000000"/>
          <w:spacing w:val="-69"/>
          <w:w w:val="15"/>
          <w:shd w:val="solid" w:color="000000" w:fill="000000"/>
          <w:fitText w:val="-20" w:id="-893683192"/>
          <w14:textFill>
            <w14:solidFill>
              <w14:srgbClr w14:val="000000">
                <w14:alpha w14:val="100000"/>
              </w14:srgbClr>
            </w14:solidFill>
          </w14:textFill>
        </w:rPr>
        <w:t>|</w:t>
      </w:r>
      <w:r w:rsidR="0072025E">
        <w:t>.</w:t>
      </w:r>
      <w:bookmarkEnd w:id="104"/>
      <w:r w:rsidR="00053CAB">
        <w:t xml:space="preserve"> </w:t>
      </w:r>
      <w:r w:rsidR="00844B96">
        <w:t xml:space="preserve">The PBAC noted </w:t>
      </w:r>
      <w:r w:rsidR="006A0EA8">
        <w:t xml:space="preserve">this would result in </w:t>
      </w:r>
      <w:r w:rsidR="00EB7A5D">
        <w:t xml:space="preserve">the ICERs </w:t>
      </w:r>
      <w:r w:rsidR="006A0EA8">
        <w:t xml:space="preserve">reducing by approximately the same </w:t>
      </w:r>
      <w:r w:rsidR="00EB7A5D">
        <w:t>proportion.</w:t>
      </w:r>
    </w:p>
    <w:p w14:paraId="7BD36970" w14:textId="087711D4" w:rsidR="00173ED1" w:rsidRPr="00C055FD" w:rsidRDefault="00173ED1" w:rsidP="003E71CC">
      <w:pPr>
        <w:widowControl w:val="0"/>
        <w:numPr>
          <w:ilvl w:val="1"/>
          <w:numId w:val="1"/>
        </w:numPr>
        <w:spacing w:after="120"/>
      </w:pPr>
      <w:bookmarkStart w:id="105" w:name="_Ref172886786"/>
      <w:r>
        <w:rPr>
          <w:rFonts w:asciiTheme="minorHAnsi" w:hAnsiTheme="minorHAnsi"/>
          <w:snapToGrid w:val="0"/>
          <w:lang w:val="en-GB"/>
        </w:rPr>
        <w:t xml:space="preserve">The PBAC noted the DUSC advice that the </w:t>
      </w:r>
      <w:r w:rsidR="00793255">
        <w:rPr>
          <w:rFonts w:asciiTheme="minorHAnsi" w:hAnsiTheme="minorHAnsi"/>
          <w:snapToGrid w:val="0"/>
          <w:lang w:val="en-GB"/>
        </w:rPr>
        <w:t>modelled utilisation</w:t>
      </w:r>
      <w:r>
        <w:rPr>
          <w:rFonts w:asciiTheme="minorHAnsi" w:hAnsiTheme="minorHAnsi"/>
          <w:snapToGrid w:val="0"/>
          <w:lang w:val="en-GB"/>
        </w:rPr>
        <w:t xml:space="preserve"> w</w:t>
      </w:r>
      <w:r w:rsidR="00793255">
        <w:rPr>
          <w:rFonts w:asciiTheme="minorHAnsi" w:hAnsiTheme="minorHAnsi"/>
          <w:snapToGrid w:val="0"/>
          <w:lang w:val="en-GB"/>
        </w:rPr>
        <w:t>as</w:t>
      </w:r>
      <w:r>
        <w:rPr>
          <w:rFonts w:asciiTheme="minorHAnsi" w:hAnsiTheme="minorHAnsi"/>
          <w:snapToGrid w:val="0"/>
          <w:lang w:val="en-GB"/>
        </w:rPr>
        <w:t xml:space="preserve"> underestimated. The PBAC further noted the revisions to the estimates proposed in the pre-PBAC response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_Ref172277730 \r \h </w:instrText>
      </w:r>
      <w:r>
        <w:rPr>
          <w:rFonts w:asciiTheme="minorHAnsi" w:hAnsiTheme="minorHAnsi"/>
          <w:snapToGrid w:val="0"/>
          <w:lang w:val="en-GB"/>
        </w:rPr>
      </w:r>
      <w:r>
        <w:rPr>
          <w:rFonts w:asciiTheme="minorHAnsi" w:hAnsiTheme="minorHAnsi"/>
          <w:snapToGrid w:val="0"/>
          <w:lang w:val="en-GB"/>
        </w:rPr>
        <w:fldChar w:fldCharType="separate"/>
      </w:r>
      <w:r w:rsidR="00437B51">
        <w:rPr>
          <w:rFonts w:asciiTheme="minorHAnsi" w:hAnsiTheme="minorHAnsi"/>
          <w:snapToGrid w:val="0"/>
          <w:lang w:val="en-GB"/>
        </w:rPr>
        <w:t>6.82</w:t>
      </w:r>
      <w:r>
        <w:rPr>
          <w:rFonts w:asciiTheme="minorHAnsi" w:hAnsiTheme="minorHAnsi"/>
          <w:snapToGrid w:val="0"/>
          <w:lang w:val="en-GB"/>
        </w:rPr>
        <w:fldChar w:fldCharType="end"/>
      </w:r>
      <w:r>
        <w:rPr>
          <w:rFonts w:asciiTheme="minorHAnsi" w:hAnsiTheme="minorHAnsi"/>
          <w:snapToGrid w:val="0"/>
          <w:lang w:val="en-GB"/>
        </w:rPr>
        <w:t xml:space="preserve">). The PBAC accepted </w:t>
      </w:r>
      <w:r w:rsidR="00216AA5">
        <w:rPr>
          <w:rFonts w:asciiTheme="minorHAnsi" w:hAnsiTheme="minorHAnsi"/>
          <w:snapToGrid w:val="0"/>
          <w:lang w:val="en-GB"/>
        </w:rPr>
        <w:t xml:space="preserve">the </w:t>
      </w:r>
      <w:r>
        <w:rPr>
          <w:rFonts w:asciiTheme="minorHAnsi" w:hAnsiTheme="minorHAnsi"/>
          <w:snapToGrid w:val="0"/>
          <w:lang w:val="en-GB"/>
        </w:rPr>
        <w:t xml:space="preserve">revisions proposed </w:t>
      </w:r>
      <w:r w:rsidR="00793255">
        <w:rPr>
          <w:rFonts w:asciiTheme="minorHAnsi" w:hAnsiTheme="minorHAnsi"/>
          <w:snapToGrid w:val="0"/>
          <w:lang w:val="en-GB"/>
        </w:rPr>
        <w:t xml:space="preserve">by the sponsor, </w:t>
      </w:r>
      <w:r>
        <w:rPr>
          <w:rFonts w:asciiTheme="minorHAnsi" w:hAnsiTheme="minorHAnsi"/>
          <w:snapToGrid w:val="0"/>
          <w:lang w:val="en-GB"/>
        </w:rPr>
        <w:t xml:space="preserve">however it was noted further </w:t>
      </w:r>
      <w:r w:rsidR="00AA664A">
        <w:rPr>
          <w:rFonts w:asciiTheme="minorHAnsi" w:hAnsiTheme="minorHAnsi"/>
          <w:snapToGrid w:val="0"/>
          <w:lang w:val="en-GB"/>
        </w:rPr>
        <w:t xml:space="preserve">revisions </w:t>
      </w:r>
      <w:r>
        <w:rPr>
          <w:rFonts w:asciiTheme="minorHAnsi" w:hAnsiTheme="minorHAnsi"/>
          <w:snapToGrid w:val="0"/>
          <w:lang w:val="en-GB"/>
        </w:rPr>
        <w:t>were required</w:t>
      </w:r>
      <w:r w:rsidR="00EB7A5D">
        <w:rPr>
          <w:rFonts w:asciiTheme="minorHAnsi" w:hAnsiTheme="minorHAnsi"/>
          <w:snapToGrid w:val="0"/>
          <w:lang w:val="en-GB"/>
        </w:rPr>
        <w:t xml:space="preserve"> to account for</w:t>
      </w:r>
      <w:r>
        <w:rPr>
          <w:rFonts w:asciiTheme="minorHAnsi" w:hAnsiTheme="minorHAnsi"/>
          <w:snapToGrid w:val="0"/>
          <w:lang w:val="en-GB"/>
        </w:rPr>
        <w:t>:</w:t>
      </w:r>
      <w:bookmarkEnd w:id="105"/>
      <w:r>
        <w:rPr>
          <w:rFonts w:asciiTheme="minorHAnsi" w:hAnsiTheme="minorHAnsi"/>
          <w:snapToGrid w:val="0"/>
          <w:lang w:val="en-GB"/>
        </w:rPr>
        <w:t xml:space="preserve"> </w:t>
      </w:r>
    </w:p>
    <w:p w14:paraId="7EDD5D52" w14:textId="4615B7FB" w:rsidR="003E71CC" w:rsidRDefault="00173ED1" w:rsidP="00C055FD">
      <w:pPr>
        <w:pStyle w:val="ListParagraph"/>
        <w:numPr>
          <w:ilvl w:val="0"/>
          <w:numId w:val="17"/>
        </w:numPr>
        <w:spacing w:before="120"/>
        <w:ind w:left="1134" w:hanging="357"/>
        <w:rPr>
          <w:lang w:val="en-GB"/>
        </w:rPr>
      </w:pPr>
      <w:r>
        <w:rPr>
          <w:lang w:val="en-GB"/>
        </w:rPr>
        <w:t xml:space="preserve">the time on treatment </w:t>
      </w:r>
      <w:r w:rsidR="00A43598">
        <w:rPr>
          <w:lang w:val="en-GB"/>
        </w:rPr>
        <w:t xml:space="preserve">being </w:t>
      </w:r>
      <w:r w:rsidR="00216AA5">
        <w:rPr>
          <w:lang w:val="en-GB"/>
        </w:rPr>
        <w:t>increased from 4 years</w:t>
      </w:r>
      <w:r>
        <w:rPr>
          <w:lang w:val="en-GB"/>
        </w:rPr>
        <w:t xml:space="preserve"> to 6 years</w:t>
      </w:r>
      <w:r w:rsidR="0090316A">
        <w:rPr>
          <w:lang w:val="en-GB"/>
        </w:rPr>
        <w:t xml:space="preserve"> (the maximum possible time given the forecasts are for a 6 year period)</w:t>
      </w:r>
      <w:r w:rsidR="00793255">
        <w:rPr>
          <w:lang w:val="en-GB"/>
        </w:rPr>
        <w:t xml:space="preserve"> </w:t>
      </w:r>
      <w:r w:rsidR="004B144C">
        <w:rPr>
          <w:lang w:val="en-GB"/>
        </w:rPr>
        <w:t xml:space="preserve">which </w:t>
      </w:r>
      <w:r w:rsidR="00216AA5">
        <w:rPr>
          <w:lang w:val="en-GB"/>
        </w:rPr>
        <w:t xml:space="preserve">will </w:t>
      </w:r>
      <w:r>
        <w:rPr>
          <w:lang w:val="en-GB"/>
        </w:rPr>
        <w:t>overestimate time on treatment.</w:t>
      </w:r>
      <w:r w:rsidR="0090316A">
        <w:rPr>
          <w:lang w:val="en-GB"/>
        </w:rPr>
        <w:t xml:space="preserve"> The PBAC noted a dose intensity of 92.5% was applied to treated patients.</w:t>
      </w:r>
      <w:r>
        <w:rPr>
          <w:lang w:val="en-GB"/>
        </w:rPr>
        <w:t xml:space="preserve"> </w:t>
      </w:r>
      <w:r w:rsidR="0068122C">
        <w:rPr>
          <w:lang w:val="en-GB"/>
        </w:rPr>
        <w:t xml:space="preserve">Although the PBAC considered patients may </w:t>
      </w:r>
      <w:r w:rsidR="00CC3747">
        <w:rPr>
          <w:lang w:val="en-GB"/>
        </w:rPr>
        <w:t>be</w:t>
      </w:r>
      <w:r w:rsidR="0068122C">
        <w:rPr>
          <w:lang w:val="en-GB"/>
        </w:rPr>
        <w:t xml:space="preserve"> treat</w:t>
      </w:r>
      <w:r w:rsidR="00CC3747">
        <w:rPr>
          <w:lang w:val="en-GB"/>
        </w:rPr>
        <w:t>ed with belzutifan throughout their life</w:t>
      </w:r>
      <w:r w:rsidR="004433BF">
        <w:rPr>
          <w:lang w:val="en-GB"/>
        </w:rPr>
        <w:t xml:space="preserve">time, the PBAC noted only 59% of patients </w:t>
      </w:r>
      <w:r w:rsidR="0090316A">
        <w:rPr>
          <w:lang w:val="en-GB"/>
        </w:rPr>
        <w:t>remained</w:t>
      </w:r>
      <w:r w:rsidR="004433BF">
        <w:rPr>
          <w:lang w:val="en-GB"/>
        </w:rPr>
        <w:t xml:space="preserve"> on treatment after approximately 50 months in LS-004 (paragraph </w:t>
      </w:r>
      <w:r w:rsidR="004433BF">
        <w:rPr>
          <w:lang w:val="en-GB"/>
        </w:rPr>
        <w:fldChar w:fldCharType="begin" w:fldLock="1"/>
      </w:r>
      <w:r w:rsidR="004433BF">
        <w:rPr>
          <w:lang w:val="en-GB"/>
        </w:rPr>
        <w:instrText xml:space="preserve"> REF _Ref172976380 \r \h </w:instrText>
      </w:r>
      <w:r w:rsidR="004433BF">
        <w:rPr>
          <w:lang w:val="en-GB"/>
        </w:rPr>
      </w:r>
      <w:r w:rsidR="004433BF">
        <w:rPr>
          <w:lang w:val="en-GB"/>
        </w:rPr>
        <w:fldChar w:fldCharType="separate"/>
      </w:r>
      <w:r w:rsidR="00437B51">
        <w:rPr>
          <w:lang w:val="en-GB"/>
        </w:rPr>
        <w:t>7.7</w:t>
      </w:r>
      <w:r w:rsidR="004433BF">
        <w:rPr>
          <w:lang w:val="en-GB"/>
        </w:rPr>
        <w:fldChar w:fldCharType="end"/>
      </w:r>
      <w:r w:rsidR="004433BF">
        <w:rPr>
          <w:lang w:val="en-GB"/>
        </w:rPr>
        <w:t xml:space="preserve">). </w:t>
      </w:r>
      <w:r w:rsidR="00216AA5">
        <w:rPr>
          <w:lang w:val="en-GB"/>
        </w:rPr>
        <w:t>T</w:t>
      </w:r>
      <w:r w:rsidR="004433BF">
        <w:rPr>
          <w:lang w:val="en-GB"/>
        </w:rPr>
        <w:t xml:space="preserve">he PBAC considered </w:t>
      </w:r>
      <w:r w:rsidR="0090316A">
        <w:rPr>
          <w:lang w:val="en-GB"/>
        </w:rPr>
        <w:t>if</w:t>
      </w:r>
      <w:r w:rsidR="004433BF">
        <w:rPr>
          <w:lang w:val="en-GB"/>
        </w:rPr>
        <w:t xml:space="preserve"> assuming all patients continue to be eligible for treatment, that the dose intensity over the 6 </w:t>
      </w:r>
      <w:r w:rsidR="00114912">
        <w:rPr>
          <w:lang w:val="en-GB"/>
        </w:rPr>
        <w:t xml:space="preserve">year </w:t>
      </w:r>
      <w:r w:rsidR="004433BF">
        <w:rPr>
          <w:lang w:val="en-GB"/>
        </w:rPr>
        <w:t xml:space="preserve">period of the financial estimates </w:t>
      </w:r>
      <w:r w:rsidR="0090316A">
        <w:rPr>
          <w:lang w:val="en-GB"/>
        </w:rPr>
        <w:t>would likely</w:t>
      </w:r>
      <w:r w:rsidR="004433BF">
        <w:rPr>
          <w:lang w:val="en-GB"/>
        </w:rPr>
        <w:t xml:space="preserve"> be substantially </w:t>
      </w:r>
      <w:r w:rsidR="0090316A">
        <w:rPr>
          <w:lang w:val="en-GB"/>
        </w:rPr>
        <w:t xml:space="preserve">less </w:t>
      </w:r>
      <w:r w:rsidR="004433BF">
        <w:rPr>
          <w:lang w:val="en-GB"/>
        </w:rPr>
        <w:t xml:space="preserve">than </w:t>
      </w:r>
      <w:r w:rsidR="00216AA5">
        <w:rPr>
          <w:lang w:val="en-GB"/>
        </w:rPr>
        <w:t xml:space="preserve">the 92.5% </w:t>
      </w:r>
      <w:r w:rsidR="004433BF">
        <w:rPr>
          <w:lang w:val="en-GB"/>
        </w:rPr>
        <w:t>observed in the trial</w:t>
      </w:r>
      <w:r w:rsidR="0090316A">
        <w:rPr>
          <w:lang w:val="en-GB"/>
        </w:rPr>
        <w:t xml:space="preserve">. It was noted </w:t>
      </w:r>
      <w:r w:rsidR="004433BF">
        <w:rPr>
          <w:lang w:val="en-GB"/>
        </w:rPr>
        <w:t>t</w:t>
      </w:r>
      <w:r w:rsidR="0068122C">
        <w:rPr>
          <w:lang w:val="en-GB"/>
        </w:rPr>
        <w:t xml:space="preserve">here </w:t>
      </w:r>
      <w:r w:rsidR="004433BF">
        <w:rPr>
          <w:lang w:val="en-GB"/>
        </w:rPr>
        <w:t>will</w:t>
      </w:r>
      <w:r w:rsidR="0068122C">
        <w:rPr>
          <w:lang w:val="en-GB"/>
        </w:rPr>
        <w:t xml:space="preserve"> be</w:t>
      </w:r>
      <w:r w:rsidR="00B14EE0">
        <w:rPr>
          <w:lang w:val="en-GB"/>
        </w:rPr>
        <w:t xml:space="preserve"> </w:t>
      </w:r>
      <w:r w:rsidR="00881796">
        <w:rPr>
          <w:lang w:val="en-GB"/>
        </w:rPr>
        <w:t>treatment breaks required</w:t>
      </w:r>
      <w:r w:rsidR="00B14EE0">
        <w:rPr>
          <w:lang w:val="en-GB"/>
        </w:rPr>
        <w:t xml:space="preserve"> for a number of reasons</w:t>
      </w:r>
      <w:r w:rsidR="0068122C">
        <w:rPr>
          <w:lang w:val="en-GB"/>
        </w:rPr>
        <w:t>,</w:t>
      </w:r>
      <w:r w:rsidR="00B14EE0">
        <w:rPr>
          <w:lang w:val="en-GB"/>
        </w:rPr>
        <w:t xml:space="preserve"> such as</w:t>
      </w:r>
      <w:r w:rsidR="0068122C">
        <w:rPr>
          <w:lang w:val="en-GB"/>
        </w:rPr>
        <w:t>,</w:t>
      </w:r>
      <w:r w:rsidR="00B14EE0">
        <w:rPr>
          <w:lang w:val="en-GB"/>
        </w:rPr>
        <w:t xml:space="preserve"> for </w:t>
      </w:r>
      <w:r w:rsidR="00881796">
        <w:rPr>
          <w:lang w:val="en-GB"/>
        </w:rPr>
        <w:t xml:space="preserve">family planning, </w:t>
      </w:r>
      <w:r w:rsidR="002F403C">
        <w:rPr>
          <w:lang w:val="en-GB"/>
        </w:rPr>
        <w:t xml:space="preserve">dose interruptions for managing AEs, </w:t>
      </w:r>
      <w:r w:rsidR="00B14EE0">
        <w:rPr>
          <w:lang w:val="en-GB"/>
        </w:rPr>
        <w:t>or</w:t>
      </w:r>
      <w:r w:rsidR="0068122C">
        <w:rPr>
          <w:lang w:val="en-GB"/>
        </w:rPr>
        <w:t>,</w:t>
      </w:r>
      <w:r w:rsidR="00B14EE0">
        <w:rPr>
          <w:lang w:val="en-GB"/>
        </w:rPr>
        <w:t xml:space="preserve"> </w:t>
      </w:r>
      <w:r w:rsidR="002F403C">
        <w:rPr>
          <w:lang w:val="en-GB"/>
        </w:rPr>
        <w:t>if considered clinically appropriate</w:t>
      </w:r>
      <w:r w:rsidR="0068122C">
        <w:rPr>
          <w:lang w:val="en-GB"/>
        </w:rPr>
        <w:t>,</w:t>
      </w:r>
      <w:r w:rsidR="002F403C">
        <w:rPr>
          <w:lang w:val="en-GB"/>
        </w:rPr>
        <w:t xml:space="preserve"> </w:t>
      </w:r>
      <w:r w:rsidR="00B14EE0">
        <w:rPr>
          <w:lang w:val="en-GB"/>
        </w:rPr>
        <w:t xml:space="preserve">surgery to resolve </w:t>
      </w:r>
      <w:r w:rsidR="0068122C">
        <w:rPr>
          <w:lang w:val="en-GB"/>
        </w:rPr>
        <w:t xml:space="preserve">the </w:t>
      </w:r>
      <w:r w:rsidR="00B14EE0">
        <w:rPr>
          <w:lang w:val="en-GB"/>
        </w:rPr>
        <w:t xml:space="preserve">primary tumour before recommencement </w:t>
      </w:r>
      <w:r w:rsidR="0068122C">
        <w:rPr>
          <w:lang w:val="en-GB"/>
        </w:rPr>
        <w:t xml:space="preserve">of treatment </w:t>
      </w:r>
      <w:r w:rsidR="00B14EE0">
        <w:rPr>
          <w:lang w:val="en-GB"/>
        </w:rPr>
        <w:t>for subsequent tumour</w:t>
      </w:r>
      <w:r w:rsidR="0068122C">
        <w:rPr>
          <w:lang w:val="en-GB"/>
        </w:rPr>
        <w:t>s</w:t>
      </w:r>
      <w:r w:rsidR="00793255">
        <w:rPr>
          <w:lang w:val="en-GB"/>
        </w:rPr>
        <w:t>.</w:t>
      </w:r>
    </w:p>
    <w:p w14:paraId="3BCAEC39" w14:textId="7A6EACD9" w:rsidR="004B144C" w:rsidRPr="003E56A4" w:rsidRDefault="0090316A" w:rsidP="001669BD">
      <w:pPr>
        <w:pStyle w:val="ListParagraph"/>
        <w:numPr>
          <w:ilvl w:val="0"/>
          <w:numId w:val="17"/>
        </w:numPr>
        <w:spacing w:before="120"/>
        <w:ind w:left="1134"/>
        <w:contextualSpacing/>
        <w:rPr>
          <w:lang w:val="en-GB"/>
        </w:rPr>
      </w:pPr>
      <w:r>
        <w:rPr>
          <w:lang w:val="en-GB"/>
        </w:rPr>
        <w:t>not capturing</w:t>
      </w:r>
      <w:r w:rsidR="00ED491B" w:rsidRPr="003E56A4">
        <w:rPr>
          <w:lang w:val="en-GB"/>
        </w:rPr>
        <w:t xml:space="preserve"> new</w:t>
      </w:r>
      <w:r w:rsidR="004252F1" w:rsidRPr="003E56A4">
        <w:rPr>
          <w:lang w:val="en-GB"/>
        </w:rPr>
        <w:t xml:space="preserve">ly diagnosed </w:t>
      </w:r>
      <w:r w:rsidR="00ED491B" w:rsidRPr="003E56A4">
        <w:rPr>
          <w:lang w:val="en-GB"/>
        </w:rPr>
        <w:t>patients from year 2</w:t>
      </w:r>
      <w:r w:rsidR="00EE7F8E">
        <w:rPr>
          <w:lang w:val="en-GB"/>
        </w:rPr>
        <w:t>,</w:t>
      </w:r>
      <w:r w:rsidR="002F403C" w:rsidRPr="003E56A4">
        <w:rPr>
          <w:lang w:val="en-GB"/>
        </w:rPr>
        <w:t xml:space="preserve"> noting this is </w:t>
      </w:r>
      <w:r w:rsidR="00EE7F8E">
        <w:rPr>
          <w:lang w:val="en-GB"/>
        </w:rPr>
        <w:t>a small</w:t>
      </w:r>
      <w:r w:rsidR="002F403C" w:rsidRPr="003E56A4">
        <w:rPr>
          <w:lang w:val="en-GB"/>
        </w:rPr>
        <w:t xml:space="preserve"> number based on the diagnostic rates in </w:t>
      </w:r>
      <w:r w:rsidR="002F403C" w:rsidRPr="003E56A4">
        <w:rPr>
          <w:lang w:val="en-GB"/>
        </w:rPr>
        <w:fldChar w:fldCharType="begin" w:fldLock="1"/>
      </w:r>
      <w:r w:rsidR="002F403C" w:rsidRPr="003E56A4">
        <w:rPr>
          <w:lang w:val="en-GB"/>
        </w:rPr>
        <w:instrText xml:space="preserve"> REF _Ref104805262 \h </w:instrText>
      </w:r>
      <w:r w:rsidR="002F403C" w:rsidRPr="003E56A4">
        <w:rPr>
          <w:lang w:val="en-GB"/>
        </w:rPr>
      </w:r>
      <w:r w:rsidR="002F403C" w:rsidRPr="003E56A4">
        <w:rPr>
          <w:lang w:val="en-GB"/>
        </w:rPr>
        <w:fldChar w:fldCharType="separate"/>
      </w:r>
      <w:r w:rsidR="00437B51">
        <w:t xml:space="preserve">Table </w:t>
      </w:r>
      <w:r w:rsidR="00437B51">
        <w:rPr>
          <w:noProof/>
        </w:rPr>
        <w:t>20</w:t>
      </w:r>
      <w:r w:rsidR="002F403C" w:rsidRPr="003E56A4">
        <w:rPr>
          <w:lang w:val="en-GB"/>
        </w:rPr>
        <w:fldChar w:fldCharType="end"/>
      </w:r>
      <w:r w:rsidR="004B144C" w:rsidRPr="003E56A4">
        <w:rPr>
          <w:lang w:val="en-GB"/>
        </w:rPr>
        <w:t>.</w:t>
      </w:r>
      <w:r w:rsidR="00ED491B" w:rsidRPr="003E56A4">
        <w:rPr>
          <w:lang w:val="en-GB"/>
        </w:rPr>
        <w:t xml:space="preserve"> </w:t>
      </w:r>
    </w:p>
    <w:p w14:paraId="390350B4" w14:textId="04CF0E2B" w:rsidR="0068122C" w:rsidRPr="003E56A4" w:rsidRDefault="00ED491B" w:rsidP="003E56A4">
      <w:pPr>
        <w:widowControl w:val="0"/>
        <w:spacing w:after="120"/>
        <w:ind w:left="720"/>
        <w:rPr>
          <w:lang w:val="en-GB"/>
        </w:rPr>
      </w:pPr>
      <w:bookmarkStart w:id="106" w:name="_Ref172885635"/>
      <w:r w:rsidRPr="004B144C">
        <w:rPr>
          <w:lang w:val="en-GB"/>
        </w:rPr>
        <w:t>The PBAC considered adjustments to</w:t>
      </w:r>
      <w:r w:rsidR="004B144C" w:rsidRPr="004B144C">
        <w:rPr>
          <w:lang w:val="en-GB"/>
        </w:rPr>
        <w:t xml:space="preserve"> correct for these issues </w:t>
      </w:r>
      <w:r w:rsidR="004B144C" w:rsidRPr="00C055FD">
        <w:rPr>
          <w:rFonts w:asciiTheme="minorHAnsi" w:hAnsiTheme="minorHAnsi"/>
          <w:snapToGrid w:val="0"/>
          <w:lang w:val="en-GB"/>
        </w:rPr>
        <w:t>would</w:t>
      </w:r>
      <w:r w:rsidR="004B144C" w:rsidRPr="004B144C">
        <w:rPr>
          <w:lang w:val="en-GB"/>
        </w:rPr>
        <w:t xml:space="preserve"> </w:t>
      </w:r>
      <w:r w:rsidR="004B144C">
        <w:rPr>
          <w:lang w:val="en-GB"/>
        </w:rPr>
        <w:t xml:space="preserve">be </w:t>
      </w:r>
      <w:r w:rsidR="002F403C">
        <w:rPr>
          <w:lang w:val="en-GB"/>
        </w:rPr>
        <w:t>required</w:t>
      </w:r>
      <w:r w:rsidR="0068122C">
        <w:t>.</w:t>
      </w:r>
      <w:bookmarkEnd w:id="106"/>
      <w:r w:rsidR="0068122C">
        <w:t xml:space="preserve"> </w:t>
      </w:r>
    </w:p>
    <w:p w14:paraId="25A4CE18" w14:textId="78C7F78E" w:rsidR="004B144C" w:rsidRDefault="0068122C" w:rsidP="00EE7F8E">
      <w:pPr>
        <w:widowControl w:val="0"/>
        <w:numPr>
          <w:ilvl w:val="1"/>
          <w:numId w:val="1"/>
        </w:numPr>
        <w:spacing w:after="120"/>
        <w:rPr>
          <w:lang w:val="en-GB"/>
        </w:rPr>
      </w:pPr>
      <w:bookmarkStart w:id="107" w:name="_Ref173164817"/>
      <w:r w:rsidRPr="004B144C">
        <w:rPr>
          <w:lang w:val="en-GB"/>
        </w:rPr>
        <w:t>The PBAC noted the RSA proposed in the pre-PBAC response</w:t>
      </w:r>
      <w:r>
        <w:rPr>
          <w:lang w:val="en-GB"/>
        </w:rPr>
        <w:t xml:space="preserve"> (see paragraph </w:t>
      </w:r>
      <w:r>
        <w:rPr>
          <w:lang w:val="en-GB"/>
        </w:rPr>
        <w:fldChar w:fldCharType="begin" w:fldLock="1"/>
      </w:r>
      <w:r>
        <w:rPr>
          <w:lang w:val="en-GB"/>
        </w:rPr>
        <w:instrText xml:space="preserve"> REF _Ref172279636 \r \h </w:instrText>
      </w:r>
      <w:r>
        <w:rPr>
          <w:lang w:val="en-GB"/>
        </w:rPr>
      </w:r>
      <w:r>
        <w:rPr>
          <w:lang w:val="en-GB"/>
        </w:rPr>
        <w:fldChar w:fldCharType="separate"/>
      </w:r>
      <w:r w:rsidR="00437B51">
        <w:rPr>
          <w:lang w:val="en-GB"/>
        </w:rPr>
        <w:t>6.85</w:t>
      </w:r>
      <w:r>
        <w:rPr>
          <w:lang w:val="en-GB"/>
        </w:rPr>
        <w:fldChar w:fldCharType="end"/>
      </w:r>
      <w:r>
        <w:rPr>
          <w:lang w:val="en-GB"/>
        </w:rPr>
        <w:t xml:space="preserve">). The PBAC considered the proposed </w:t>
      </w:r>
      <w:r w:rsidR="00501C36" w:rsidRPr="006F175E">
        <w:rPr>
          <w:color w:val="000000"/>
          <w:w w:val="15"/>
          <w:shd w:val="solid" w:color="000000" w:fill="000000"/>
          <w:fitText w:val="-20" w:id="-893683191"/>
          <w:lang w:val="en-GB"/>
          <w14:textFill>
            <w14:solidFill>
              <w14:srgbClr w14:val="000000">
                <w14:alpha w14:val="100000"/>
              </w14:srgbClr>
            </w14:solidFill>
          </w14:textFill>
        </w:rPr>
        <w:t xml:space="preserve">|  </w:t>
      </w:r>
      <w:r w:rsidR="00501C36" w:rsidRPr="006F175E">
        <w:rPr>
          <w:color w:val="000000"/>
          <w:spacing w:val="-69"/>
          <w:w w:val="15"/>
          <w:shd w:val="solid" w:color="000000" w:fill="000000"/>
          <w:fitText w:val="-20" w:id="-893683191"/>
          <w:lang w:val="en-GB"/>
          <w14:textFill>
            <w14:solidFill>
              <w14:srgbClr w14:val="000000">
                <w14:alpha w14:val="100000"/>
              </w14:srgbClr>
            </w14:solidFill>
          </w14:textFill>
        </w:rPr>
        <w:t>|</w:t>
      </w:r>
      <w:r w:rsidR="00B83E45">
        <w:rPr>
          <w:lang w:val="en-GB"/>
        </w:rPr>
        <w:t>% rebate for expenditure above the subsidisation caps insufficiently addressed</w:t>
      </w:r>
      <w:r>
        <w:rPr>
          <w:lang w:val="en-GB"/>
        </w:rPr>
        <w:t xml:space="preserve"> risk to the Australian Government</w:t>
      </w:r>
      <w:r w:rsidRPr="004B144C">
        <w:rPr>
          <w:lang w:val="en-GB"/>
        </w:rPr>
        <w:t xml:space="preserve"> </w:t>
      </w:r>
      <w:r>
        <w:rPr>
          <w:lang w:val="en-GB"/>
        </w:rPr>
        <w:t xml:space="preserve">for a high cost drug with uncertain long-term value and utilisation. </w:t>
      </w:r>
      <w:r>
        <w:t xml:space="preserve">The </w:t>
      </w:r>
      <w:r w:rsidR="00EE7F8E">
        <w:t xml:space="preserve">PBAC considered the rebate level should be a minimum of </w:t>
      </w:r>
      <w:r w:rsidR="00501C36" w:rsidRPr="006F175E">
        <w:rPr>
          <w:color w:val="000000"/>
          <w:w w:val="15"/>
          <w:shd w:val="solid" w:color="000000" w:fill="000000"/>
          <w:fitText w:val="-20" w:id="-893683190"/>
          <w14:textFill>
            <w14:solidFill>
              <w14:srgbClr w14:val="000000">
                <w14:alpha w14:val="100000"/>
              </w14:srgbClr>
            </w14:solidFill>
          </w14:textFill>
        </w:rPr>
        <w:t xml:space="preserve">|  </w:t>
      </w:r>
      <w:r w:rsidR="00501C36" w:rsidRPr="006F175E">
        <w:rPr>
          <w:color w:val="000000"/>
          <w:spacing w:val="-69"/>
          <w:w w:val="15"/>
          <w:shd w:val="solid" w:color="000000" w:fill="000000"/>
          <w:fitText w:val="-20" w:id="-893683190"/>
          <w14:textFill>
            <w14:solidFill>
              <w14:srgbClr w14:val="000000">
                <w14:alpha w14:val="100000"/>
              </w14:srgbClr>
            </w14:solidFill>
          </w14:textFill>
        </w:rPr>
        <w:t>|</w:t>
      </w:r>
      <w:r w:rsidR="00EE7F8E">
        <w:t>%, and unless the adjustment to the dose intensity as outline</w:t>
      </w:r>
      <w:r w:rsidR="00334B96">
        <w:t>d</w:t>
      </w:r>
      <w:r w:rsidR="00EE7F8E">
        <w:t xml:space="preserve"> in paragraph </w:t>
      </w:r>
      <w:r w:rsidR="00EE7F8E">
        <w:fldChar w:fldCharType="begin" w:fldLock="1"/>
      </w:r>
      <w:r w:rsidR="00EE7F8E">
        <w:instrText xml:space="preserve"> REF _Ref172886786 \r \h </w:instrText>
      </w:r>
      <w:r w:rsidR="00EE7F8E">
        <w:fldChar w:fldCharType="separate"/>
      </w:r>
      <w:r w:rsidR="00437B51">
        <w:t>7.13</w:t>
      </w:r>
      <w:r w:rsidR="00EE7F8E">
        <w:fldChar w:fldCharType="end"/>
      </w:r>
      <w:r w:rsidR="00EE7F8E">
        <w:t xml:space="preserve"> was substantive</w:t>
      </w:r>
      <w:r w:rsidR="0078235F">
        <w:t xml:space="preserve"> and consistent with the use observed in LS-004 (59% on treatment at 50 months with 92.5% compliance)</w:t>
      </w:r>
      <w:r w:rsidR="00EE7F8E">
        <w:t xml:space="preserve">, that </w:t>
      </w:r>
      <w:r>
        <w:t xml:space="preserve">the rebate level </w:t>
      </w:r>
      <w:r w:rsidR="00EE7F8E">
        <w:t>sh</w:t>
      </w:r>
      <w:r>
        <w:t xml:space="preserve">ould be close to </w:t>
      </w:r>
      <w:r w:rsidR="00501C36" w:rsidRPr="006F175E">
        <w:rPr>
          <w:color w:val="000000"/>
          <w:w w:val="15"/>
          <w:shd w:val="solid" w:color="000000" w:fill="000000"/>
          <w:fitText w:val="-20" w:id="-893683189"/>
          <w14:textFill>
            <w14:solidFill>
              <w14:srgbClr w14:val="000000">
                <w14:alpha w14:val="100000"/>
              </w14:srgbClr>
            </w14:solidFill>
          </w14:textFill>
        </w:rPr>
        <w:t xml:space="preserve">|  </w:t>
      </w:r>
      <w:r w:rsidR="00501C36" w:rsidRPr="006F175E">
        <w:rPr>
          <w:color w:val="000000"/>
          <w:spacing w:val="-69"/>
          <w:w w:val="15"/>
          <w:shd w:val="solid" w:color="000000" w:fill="000000"/>
          <w:fitText w:val="-20" w:id="-893683189"/>
          <w14:textFill>
            <w14:solidFill>
              <w14:srgbClr w14:val="000000">
                <w14:alpha w14:val="100000"/>
              </w14:srgbClr>
            </w14:solidFill>
          </w14:textFill>
        </w:rPr>
        <w:t>|</w:t>
      </w:r>
      <w:r>
        <w:t>%.</w:t>
      </w:r>
      <w:r w:rsidR="004B144C">
        <w:rPr>
          <w:lang w:val="en-GB"/>
        </w:rPr>
        <w:t xml:space="preserve"> </w:t>
      </w:r>
      <w:bookmarkEnd w:id="107"/>
    </w:p>
    <w:p w14:paraId="4A0F502B" w14:textId="6522946E" w:rsidR="004B144C" w:rsidRPr="004B144C" w:rsidRDefault="004B144C" w:rsidP="004B144C">
      <w:pPr>
        <w:widowControl w:val="0"/>
        <w:numPr>
          <w:ilvl w:val="1"/>
          <w:numId w:val="1"/>
        </w:numPr>
        <w:spacing w:after="120"/>
        <w:rPr>
          <w:lang w:val="en-GB"/>
        </w:rPr>
      </w:pPr>
      <w:bookmarkStart w:id="108" w:name="_Ref172281964"/>
      <w:r>
        <w:rPr>
          <w:lang w:val="en-GB"/>
        </w:rPr>
        <w:t xml:space="preserve">It was </w:t>
      </w:r>
      <w:r w:rsidR="004036A9">
        <w:rPr>
          <w:lang w:val="en-GB"/>
        </w:rPr>
        <w:t xml:space="preserve">advised </w:t>
      </w:r>
      <w:r>
        <w:rPr>
          <w:lang w:val="en-GB"/>
        </w:rPr>
        <w:t xml:space="preserve">by </w:t>
      </w:r>
      <w:r w:rsidR="004A7AA3">
        <w:rPr>
          <w:lang w:val="en-GB"/>
        </w:rPr>
        <w:t xml:space="preserve">the </w:t>
      </w:r>
      <w:r>
        <w:rPr>
          <w:lang w:val="en-GB"/>
        </w:rPr>
        <w:t xml:space="preserve">PBAC that </w:t>
      </w:r>
      <w:r w:rsidR="00876081">
        <w:rPr>
          <w:lang w:val="en-GB"/>
        </w:rPr>
        <w:t xml:space="preserve">the restriction should not be used to control costs, as the flexibility in the restriction as described in paragraph </w:t>
      </w:r>
      <w:r w:rsidR="00876081">
        <w:rPr>
          <w:lang w:val="en-GB"/>
        </w:rPr>
        <w:fldChar w:fldCharType="begin" w:fldLock="1"/>
      </w:r>
      <w:r w:rsidR="00876081">
        <w:rPr>
          <w:lang w:val="en-GB"/>
        </w:rPr>
        <w:instrText xml:space="preserve"> REF _Ref172279723 \r \h </w:instrText>
      </w:r>
      <w:r w:rsidR="00876081">
        <w:rPr>
          <w:lang w:val="en-GB"/>
        </w:rPr>
      </w:r>
      <w:r w:rsidR="00876081">
        <w:rPr>
          <w:lang w:val="en-GB"/>
        </w:rPr>
        <w:fldChar w:fldCharType="separate"/>
      </w:r>
      <w:r w:rsidR="00437B51">
        <w:rPr>
          <w:lang w:val="en-GB"/>
        </w:rPr>
        <w:t>7.3</w:t>
      </w:r>
      <w:r w:rsidR="00876081">
        <w:rPr>
          <w:lang w:val="en-GB"/>
        </w:rPr>
        <w:fldChar w:fldCharType="end"/>
      </w:r>
      <w:r w:rsidR="00876081">
        <w:rPr>
          <w:lang w:val="en-GB"/>
        </w:rPr>
        <w:t xml:space="preserve"> was more clinically appropriate</w:t>
      </w:r>
      <w:r>
        <w:rPr>
          <w:lang w:val="en-GB"/>
        </w:rPr>
        <w:t>.</w:t>
      </w:r>
      <w:bookmarkEnd w:id="108"/>
    </w:p>
    <w:p w14:paraId="6201B753" w14:textId="19486BA4" w:rsidR="003E71CC" w:rsidRPr="00525B39" w:rsidRDefault="003E71CC" w:rsidP="00876081">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lastRenderedPageBreak/>
        <w:t xml:space="preserve">The PBAC recommended that </w:t>
      </w:r>
      <w:r w:rsidR="00752BF3">
        <w:rPr>
          <w:rFonts w:asciiTheme="minorHAnsi" w:hAnsiTheme="minorHAnsi"/>
          <w:bCs/>
          <w:snapToGrid w:val="0"/>
          <w:lang w:val="en-GB"/>
        </w:rPr>
        <w:t>belzutifan</w:t>
      </w:r>
      <w:r w:rsidRPr="00525B39">
        <w:rPr>
          <w:rFonts w:asciiTheme="minorHAnsi" w:hAnsiTheme="minorHAnsi"/>
          <w:bCs/>
          <w:snapToGrid w:val="0"/>
          <w:lang w:val="en-GB"/>
        </w:rPr>
        <w:t xml:space="preserve"> should not be treated as interchangeable with any other drugs.</w:t>
      </w:r>
    </w:p>
    <w:p w14:paraId="7310B043" w14:textId="3CE448DC" w:rsidR="001B1274" w:rsidRDefault="001B1274" w:rsidP="001B1274">
      <w:pPr>
        <w:pStyle w:val="3-BodyText"/>
      </w:pPr>
      <w:r>
        <w:t>The PBAC advised that belzutifan is not suitable for prescribing by nurse practitioners.</w:t>
      </w:r>
    </w:p>
    <w:p w14:paraId="6246F333" w14:textId="77777777" w:rsidR="001B1274" w:rsidRDefault="001B1274" w:rsidP="001B1274">
      <w:pPr>
        <w:pStyle w:val="3-BodyText"/>
      </w:pPr>
      <w:r>
        <w:t xml:space="preserve">The PBAC recommended that the Early Supply Rule should not apply. </w:t>
      </w:r>
    </w:p>
    <w:p w14:paraId="723FA59D" w14:textId="09CAED74" w:rsidR="003E71CC" w:rsidRPr="001B1274" w:rsidRDefault="003E71CC" w:rsidP="001B1274">
      <w:pPr>
        <w:widowControl w:val="0"/>
        <w:numPr>
          <w:ilvl w:val="1"/>
          <w:numId w:val="1"/>
        </w:numPr>
        <w:spacing w:after="120"/>
        <w:rPr>
          <w:rFonts w:asciiTheme="minorHAnsi" w:hAnsiTheme="minorHAnsi" w:cstheme="minorHAnsi"/>
          <w:b/>
          <w:lang w:val="en-GB"/>
        </w:rPr>
      </w:pPr>
      <w:r w:rsidRPr="001B1274">
        <w:rPr>
          <w:rFonts w:asciiTheme="minorHAnsi" w:hAnsiTheme="minorHAnsi" w:cstheme="minorHAnsi"/>
          <w:lang w:val="en-GB"/>
        </w:rPr>
        <w:t xml:space="preserve">The PBAC found that the criteria prescribed by the </w:t>
      </w:r>
      <w:r w:rsidRPr="001B1274">
        <w:rPr>
          <w:rFonts w:asciiTheme="minorHAnsi" w:hAnsiTheme="minorHAnsi" w:cstheme="minorHAnsi"/>
          <w:i/>
          <w:lang w:val="en-GB"/>
        </w:rPr>
        <w:t>National Health (Pharmaceuticals and Vaccines – Cost Recovery) Regulations 2022</w:t>
      </w:r>
      <w:r w:rsidRPr="001B1274">
        <w:rPr>
          <w:rFonts w:asciiTheme="minorHAnsi" w:hAnsiTheme="minorHAnsi" w:cstheme="minorHAnsi"/>
          <w:lang w:val="en-GB"/>
        </w:rPr>
        <w:t xml:space="preserve"> for Pricing Pathway A were met. Specifically the PBAC found that in the circumstances of its recommendation for </w:t>
      </w:r>
      <w:r w:rsidR="001B1274" w:rsidRPr="001B1274">
        <w:rPr>
          <w:rFonts w:asciiTheme="minorHAnsi" w:hAnsiTheme="minorHAnsi" w:cstheme="minorHAnsi"/>
          <w:lang w:val="en-GB"/>
        </w:rPr>
        <w:t>belzutifan</w:t>
      </w:r>
      <w:r w:rsidRPr="001B1274">
        <w:rPr>
          <w:rFonts w:asciiTheme="minorHAnsi" w:hAnsiTheme="minorHAnsi" w:cstheme="minorHAnsi"/>
          <w:lang w:val="en-GB"/>
        </w:rPr>
        <w:t>:</w:t>
      </w:r>
    </w:p>
    <w:p w14:paraId="0EC17924" w14:textId="0E077288" w:rsidR="003E71CC" w:rsidRPr="00763DFB" w:rsidRDefault="003E71CC" w:rsidP="00CE5408">
      <w:pPr>
        <w:widowControl w:val="0"/>
        <w:numPr>
          <w:ilvl w:val="1"/>
          <w:numId w:val="26"/>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sidR="001B1274">
        <w:rPr>
          <w:rFonts w:asciiTheme="minorHAnsi" w:hAnsiTheme="minorHAnsi" w:cstheme="minorHAnsi"/>
          <w:lang w:val="en-GB"/>
        </w:rPr>
        <w:t xml:space="preserve"> </w:t>
      </w:r>
      <w:r w:rsidRPr="00763DFB">
        <w:rPr>
          <w:rFonts w:asciiTheme="minorHAnsi" w:hAnsiTheme="minorHAnsi" w:cstheme="minorHAnsi"/>
          <w:lang w:val="en-GB"/>
        </w:rPr>
        <w:t xml:space="preserve">expected to provide a substantial and clinically relevant improvement in efficacy over </w:t>
      </w:r>
      <w:r w:rsidR="001B1274">
        <w:rPr>
          <w:rFonts w:asciiTheme="minorHAnsi" w:hAnsiTheme="minorHAnsi" w:cstheme="minorHAnsi"/>
          <w:lang w:val="en-GB"/>
        </w:rPr>
        <w:t xml:space="preserve">active surveillance, by </w:t>
      </w:r>
      <w:r w:rsidR="001B1274" w:rsidRPr="00452F1F">
        <w:t xml:space="preserve">reducing tumour activity and the </w:t>
      </w:r>
      <w:r w:rsidR="001B1274">
        <w:t>frequency</w:t>
      </w:r>
      <w:r w:rsidR="001B1274" w:rsidRPr="00452F1F">
        <w:t xml:space="preserve"> of surgeries</w:t>
      </w:r>
      <w:r w:rsidR="001B1274">
        <w:t xml:space="preserve"> for patients</w:t>
      </w:r>
      <w:r w:rsidR="001B1274">
        <w:rPr>
          <w:rFonts w:asciiTheme="minorHAnsi" w:hAnsiTheme="minorHAnsi" w:cstheme="minorHAnsi"/>
          <w:lang w:val="en-GB"/>
        </w:rPr>
        <w:t xml:space="preserve"> with VHL-disease</w:t>
      </w:r>
      <w:r w:rsidRPr="00763DFB">
        <w:rPr>
          <w:rFonts w:asciiTheme="minorHAnsi" w:hAnsiTheme="minorHAnsi" w:cstheme="minorHAnsi"/>
          <w:lang w:val="en-GB"/>
        </w:rPr>
        <w:t xml:space="preserve">; </w:t>
      </w:r>
    </w:p>
    <w:p w14:paraId="2F510C5B" w14:textId="60E7F641" w:rsidR="003E71CC" w:rsidRDefault="003E71CC" w:rsidP="00CE5408">
      <w:pPr>
        <w:widowControl w:val="0"/>
        <w:numPr>
          <w:ilvl w:val="1"/>
          <w:numId w:val="26"/>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sidR="001B1274">
        <w:rPr>
          <w:rFonts w:asciiTheme="minorHAnsi" w:hAnsiTheme="minorHAnsi" w:cstheme="minorHAnsi"/>
          <w:lang w:val="en-GB"/>
        </w:rPr>
        <w:t xml:space="preserve"> </w:t>
      </w:r>
      <w:r w:rsidRPr="00763DFB">
        <w:rPr>
          <w:rFonts w:asciiTheme="minorHAnsi" w:hAnsiTheme="minorHAnsi" w:cstheme="minorHAnsi"/>
          <w:lang w:val="en-GB"/>
        </w:rPr>
        <w:t>expected to address a high and urgent unmet clinical need</w:t>
      </w:r>
      <w:r w:rsidR="001B1274">
        <w:rPr>
          <w:rFonts w:asciiTheme="minorHAnsi" w:hAnsiTheme="minorHAnsi" w:cstheme="minorHAnsi"/>
          <w:lang w:val="en-GB"/>
        </w:rPr>
        <w:t xml:space="preserve"> as there are currently no therapeutic alternatives other than surgical intervention</w:t>
      </w:r>
      <w:r w:rsidRPr="00763DFB">
        <w:rPr>
          <w:rFonts w:asciiTheme="minorHAnsi" w:hAnsiTheme="minorHAnsi" w:cstheme="minorHAnsi"/>
          <w:lang w:val="en-GB"/>
        </w:rPr>
        <w:t>;</w:t>
      </w:r>
    </w:p>
    <w:p w14:paraId="5FBCEE95" w14:textId="77777777" w:rsidR="0022641D" w:rsidRDefault="0022641D" w:rsidP="00CE5408">
      <w:pPr>
        <w:widowControl w:val="0"/>
        <w:numPr>
          <w:ilvl w:val="1"/>
          <w:numId w:val="26"/>
        </w:numPr>
        <w:spacing w:after="120"/>
        <w:ind w:left="1134"/>
        <w:rPr>
          <w:rFonts w:asciiTheme="minorHAnsi" w:hAnsiTheme="minorHAnsi" w:cstheme="minorHAnsi"/>
        </w:rPr>
      </w:pPr>
      <w:r>
        <w:rPr>
          <w:rFonts w:asciiTheme="minorHAnsi" w:hAnsiTheme="minorHAnsi" w:cstheme="minorHAnsi"/>
        </w:rPr>
        <w:t xml:space="preserve">It would be in the public interest for the subsequent pricing application to be progressed under Pricing Pathway A on the basis of the preceding findings. </w:t>
      </w:r>
    </w:p>
    <w:p w14:paraId="6CED5B0B" w14:textId="77777777" w:rsidR="0022641D" w:rsidRDefault="0022641D" w:rsidP="0045023C">
      <w:pPr>
        <w:pStyle w:val="3-BodyText"/>
      </w:pPr>
      <w:r>
        <w:t>The PBAC advised that this submission would not meet the criteria for an Independent Review as received a positive PBAC recommendation.</w:t>
      </w:r>
    </w:p>
    <w:p w14:paraId="64066773" w14:textId="77777777" w:rsidR="003E71CC" w:rsidRPr="00525B39" w:rsidRDefault="003E71CC" w:rsidP="003E71C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4BB9153" w14:textId="47AA62ED" w:rsidR="003E71CC" w:rsidRPr="00525B39" w:rsidRDefault="003E71CC" w:rsidP="003E71CC">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99"/>
    <w:p w14:paraId="74462A11" w14:textId="77777777" w:rsidR="003E71CC" w:rsidRPr="00907671" w:rsidRDefault="003E71CC" w:rsidP="003E71CC">
      <w:pPr>
        <w:pStyle w:val="2-SectionHeading"/>
        <w:numPr>
          <w:ilvl w:val="0"/>
          <w:numId w:val="1"/>
        </w:numPr>
      </w:pPr>
      <w:r w:rsidRPr="00907671">
        <w:t>Recommended listing</w:t>
      </w:r>
    </w:p>
    <w:bookmarkEnd w:id="100"/>
    <w:p w14:paraId="4AF2B228" w14:textId="22C8D66F" w:rsidR="0048287B" w:rsidRPr="00416586" w:rsidRDefault="00232A1D" w:rsidP="00416586">
      <w:pPr>
        <w:contextualSpacing/>
        <w:rPr>
          <w:i/>
          <w:iCs/>
        </w:rPr>
      </w:pPr>
      <w:r w:rsidRPr="00416586">
        <w:rPr>
          <w:i/>
          <w:iCs/>
        </w:rPr>
        <w:t>This restriction is in the process of being finalised. The sponsor will be notified of the final restriction</w:t>
      </w:r>
      <w:r>
        <w:rPr>
          <w:i/>
          <w:iCs/>
        </w:rPr>
        <w:t>.</w:t>
      </w:r>
      <w:bookmarkStart w:id="109" w:name="_Hlk175730821"/>
    </w:p>
    <w:p w14:paraId="304ED9D4" w14:textId="4525EA05" w:rsidR="00B23C47" w:rsidRPr="006E4C46" w:rsidRDefault="00B23C47" w:rsidP="00B23C47">
      <w:pPr>
        <w:pStyle w:val="2-SectionHeading"/>
        <w:numPr>
          <w:ilvl w:val="0"/>
          <w:numId w:val="1"/>
        </w:numPr>
        <w:rPr>
          <w:bCs/>
          <w:lang w:val="en-GB"/>
        </w:rPr>
      </w:pPr>
      <w:r w:rsidRPr="006E4C46">
        <w:rPr>
          <w:bCs/>
        </w:rPr>
        <w:t>Context for Decision</w:t>
      </w:r>
    </w:p>
    <w:p w14:paraId="5C07799F" w14:textId="77777777" w:rsidR="00B23C47" w:rsidRPr="006E4C46" w:rsidRDefault="00B23C47" w:rsidP="00B23C47">
      <w:pPr>
        <w:spacing w:after="120"/>
        <w:ind w:left="720"/>
        <w:rPr>
          <w:rFonts w:asciiTheme="minorHAnsi" w:hAnsiTheme="minorHAnsi"/>
          <w:bCs/>
          <w:lang w:val="en-GB"/>
        </w:rPr>
      </w:pPr>
      <w:r w:rsidRPr="006E4C46">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5D1C046" w14:textId="77777777" w:rsidR="00B23C47" w:rsidRPr="006E4C46" w:rsidRDefault="00B23C47" w:rsidP="00B23C47">
      <w:pPr>
        <w:pStyle w:val="2-SectionHeading"/>
        <w:numPr>
          <w:ilvl w:val="0"/>
          <w:numId w:val="1"/>
        </w:numPr>
      </w:pPr>
      <w:r w:rsidRPr="006E4C46">
        <w:t>Sponsor’s Comment</w:t>
      </w:r>
    </w:p>
    <w:p w14:paraId="324081A8" w14:textId="77777777" w:rsidR="0087651F" w:rsidRPr="0087651F" w:rsidRDefault="0087651F" w:rsidP="00376951">
      <w:pPr>
        <w:ind w:left="720"/>
        <w:rPr>
          <w:rFonts w:asciiTheme="minorHAnsi" w:eastAsiaTheme="minorHAnsi" w:hAnsiTheme="minorHAnsi"/>
          <w:bCs/>
          <w:szCs w:val="22"/>
          <w:lang w:val="en-GB" w:eastAsia="en-US"/>
        </w:rPr>
      </w:pPr>
      <w:r w:rsidRPr="0087651F">
        <w:rPr>
          <w:rFonts w:asciiTheme="minorHAnsi" w:eastAsiaTheme="minorHAnsi" w:hAnsiTheme="minorHAnsi"/>
          <w:bCs/>
          <w:szCs w:val="22"/>
          <w:lang w:val="en-GB" w:eastAsia="en-US"/>
        </w:rPr>
        <w:t>MSD welcomes the positive recommendation made by the PBAC and is working</w:t>
      </w:r>
    </w:p>
    <w:p w14:paraId="6FBAE032" w14:textId="1AE4CE34" w:rsidR="0087651F" w:rsidRPr="0087651F" w:rsidRDefault="0087651F" w:rsidP="00376951">
      <w:pPr>
        <w:ind w:left="720"/>
        <w:rPr>
          <w:rFonts w:asciiTheme="minorHAnsi" w:eastAsiaTheme="minorHAnsi" w:hAnsiTheme="minorHAnsi"/>
          <w:bCs/>
          <w:szCs w:val="22"/>
          <w:lang w:val="en-GB" w:eastAsia="en-US"/>
        </w:rPr>
      </w:pPr>
      <w:r w:rsidRPr="0087651F">
        <w:rPr>
          <w:rFonts w:asciiTheme="minorHAnsi" w:eastAsiaTheme="minorHAnsi" w:hAnsiTheme="minorHAnsi"/>
          <w:bCs/>
          <w:szCs w:val="22"/>
          <w:lang w:val="en-GB" w:eastAsia="en-US"/>
        </w:rPr>
        <w:t xml:space="preserve">closely with the Department of Health and Aged Care to ensure that </w:t>
      </w:r>
      <w:r>
        <w:rPr>
          <w:rFonts w:asciiTheme="minorHAnsi" w:eastAsiaTheme="minorHAnsi" w:hAnsiTheme="minorHAnsi"/>
          <w:bCs/>
          <w:szCs w:val="22"/>
          <w:lang w:val="en-GB" w:eastAsia="en-US"/>
        </w:rPr>
        <w:t>belzutifan</w:t>
      </w:r>
    </w:p>
    <w:p w14:paraId="46EF28A2" w14:textId="72A2DC4F" w:rsidR="00753B29" w:rsidRDefault="0087651F" w:rsidP="007E7F19">
      <w:pPr>
        <w:spacing w:line="276" w:lineRule="auto"/>
        <w:ind w:left="720"/>
        <w:rPr>
          <w:rFonts w:asciiTheme="minorHAnsi" w:eastAsiaTheme="minorHAnsi" w:hAnsiTheme="minorHAnsi"/>
          <w:bCs/>
          <w:szCs w:val="22"/>
          <w:lang w:val="en-GB" w:eastAsia="en-US"/>
        </w:rPr>
      </w:pPr>
      <w:r w:rsidRPr="0087651F">
        <w:rPr>
          <w:rFonts w:asciiTheme="minorHAnsi" w:eastAsiaTheme="minorHAnsi" w:hAnsiTheme="minorHAnsi"/>
          <w:bCs/>
          <w:szCs w:val="22"/>
          <w:lang w:val="en-GB" w:eastAsia="en-US"/>
        </w:rPr>
        <w:t xml:space="preserve">is available to Australian </w:t>
      </w:r>
      <w:r>
        <w:rPr>
          <w:rFonts w:asciiTheme="minorHAnsi" w:eastAsiaTheme="minorHAnsi" w:hAnsiTheme="minorHAnsi"/>
          <w:bCs/>
          <w:szCs w:val="22"/>
          <w:lang w:val="en-GB" w:eastAsia="en-US"/>
        </w:rPr>
        <w:t xml:space="preserve">VHL-disease </w:t>
      </w:r>
      <w:r w:rsidRPr="0087651F">
        <w:rPr>
          <w:rFonts w:asciiTheme="minorHAnsi" w:eastAsiaTheme="minorHAnsi" w:hAnsiTheme="minorHAnsi"/>
          <w:bCs/>
          <w:szCs w:val="22"/>
          <w:lang w:val="en-GB" w:eastAsia="en-US"/>
        </w:rPr>
        <w:t>patients as soon as</w:t>
      </w:r>
      <w:r>
        <w:rPr>
          <w:rFonts w:asciiTheme="minorHAnsi" w:eastAsiaTheme="minorHAnsi" w:hAnsiTheme="minorHAnsi"/>
          <w:bCs/>
          <w:szCs w:val="22"/>
          <w:lang w:val="en-GB" w:eastAsia="en-US"/>
        </w:rPr>
        <w:t xml:space="preserve"> </w:t>
      </w:r>
      <w:r w:rsidRPr="0087651F">
        <w:rPr>
          <w:rFonts w:asciiTheme="minorHAnsi" w:eastAsiaTheme="minorHAnsi" w:hAnsiTheme="minorHAnsi"/>
          <w:bCs/>
          <w:szCs w:val="22"/>
          <w:lang w:val="en-GB" w:eastAsia="en-US"/>
        </w:rPr>
        <w:t>possible.</w:t>
      </w:r>
      <w:bookmarkEnd w:id="109"/>
    </w:p>
    <w:p w14:paraId="7911AFCF" w14:textId="77777777" w:rsidR="006F175E" w:rsidRPr="009014C1" w:rsidRDefault="006F175E" w:rsidP="006F175E">
      <w:pPr>
        <w:pStyle w:val="2-SectionHeading"/>
        <w:rPr>
          <w:rFonts w:eastAsia="Calibri"/>
          <w:lang w:eastAsia="en-US"/>
        </w:rPr>
      </w:pPr>
      <w:r w:rsidRPr="009014C1">
        <w:rPr>
          <w:rFonts w:eastAsia="Calibri"/>
          <w:lang w:eastAsia="en-US"/>
        </w:rPr>
        <w:lastRenderedPageBreak/>
        <w:t xml:space="preserve">Corrigendum </w:t>
      </w:r>
    </w:p>
    <w:p w14:paraId="36929E66" w14:textId="77777777" w:rsidR="006F175E" w:rsidRPr="000254E1" w:rsidRDefault="006F175E" w:rsidP="006F175E">
      <w:pPr>
        <w:spacing w:after="120"/>
        <w:rPr>
          <w:rFonts w:eastAsia="Calibri" w:cstheme="minorHAnsi"/>
          <w:lang w:eastAsia="en-US"/>
        </w:rPr>
      </w:pPr>
      <w:r w:rsidRPr="000254E1">
        <w:rPr>
          <w:rFonts w:eastAsia="Calibri" w:cstheme="minorHAnsi"/>
          <w:lang w:eastAsia="en-US"/>
        </w:rPr>
        <w:t xml:space="preserve">The following changes were made: </w:t>
      </w:r>
    </w:p>
    <w:tbl>
      <w:tblPr>
        <w:tblStyle w:val="TableGrid"/>
        <w:tblW w:w="5000" w:type="pct"/>
        <w:tblLook w:val="04A0" w:firstRow="1" w:lastRow="0" w:firstColumn="1" w:lastColumn="0" w:noHBand="0" w:noVBand="1"/>
      </w:tblPr>
      <w:tblGrid>
        <w:gridCol w:w="6799"/>
        <w:gridCol w:w="2218"/>
      </w:tblGrid>
      <w:tr w:rsidR="006F175E" w:rsidRPr="006F175E" w14:paraId="2743C983" w14:textId="77777777" w:rsidTr="006F175E">
        <w:trPr>
          <w:trHeight w:val="510"/>
        </w:trPr>
        <w:tc>
          <w:tcPr>
            <w:tcW w:w="3770" w:type="pct"/>
            <w:vAlign w:val="center"/>
          </w:tcPr>
          <w:p w14:paraId="31D36ED2" w14:textId="77777777" w:rsidR="006F175E" w:rsidRPr="006F175E" w:rsidRDefault="006F175E" w:rsidP="00E45DB1">
            <w:pPr>
              <w:ind w:left="33"/>
              <w:jc w:val="left"/>
              <w:rPr>
                <w:rFonts w:ascii="Arial Narrow" w:eastAsia="Calibri" w:hAnsi="Arial Narrow" w:cstheme="minorHAnsi"/>
                <w:b/>
                <w:lang w:eastAsia="en-US"/>
              </w:rPr>
            </w:pPr>
            <w:r w:rsidRPr="006F175E">
              <w:rPr>
                <w:rFonts w:ascii="Arial Narrow" w:eastAsia="Calibri" w:hAnsi="Arial Narrow" w:cstheme="minorHAnsi"/>
                <w:b/>
                <w:lang w:eastAsia="en-US"/>
              </w:rPr>
              <w:t>Change made</w:t>
            </w:r>
          </w:p>
        </w:tc>
        <w:tc>
          <w:tcPr>
            <w:tcW w:w="1230" w:type="pct"/>
            <w:vAlign w:val="center"/>
          </w:tcPr>
          <w:p w14:paraId="174F37DF" w14:textId="77777777" w:rsidR="006F175E" w:rsidRPr="006F175E" w:rsidRDefault="006F175E" w:rsidP="00E45DB1">
            <w:pPr>
              <w:ind w:left="33"/>
              <w:jc w:val="left"/>
              <w:rPr>
                <w:rFonts w:ascii="Arial Narrow" w:eastAsia="Calibri" w:hAnsi="Arial Narrow" w:cstheme="minorHAnsi"/>
                <w:b/>
                <w:lang w:eastAsia="en-US"/>
              </w:rPr>
            </w:pPr>
            <w:r w:rsidRPr="006F175E">
              <w:rPr>
                <w:rFonts w:ascii="Arial Narrow" w:eastAsia="Calibri" w:hAnsi="Arial Narrow" w:cstheme="minorHAnsi"/>
                <w:b/>
                <w:lang w:eastAsia="en-US"/>
              </w:rPr>
              <w:t>Date of revision</w:t>
            </w:r>
          </w:p>
        </w:tc>
      </w:tr>
      <w:tr w:rsidR="006F175E" w:rsidRPr="006F175E" w14:paraId="4DBFC1B1" w14:textId="77777777" w:rsidTr="006F175E">
        <w:trPr>
          <w:trHeight w:val="624"/>
        </w:trPr>
        <w:tc>
          <w:tcPr>
            <w:tcW w:w="3770" w:type="pct"/>
            <w:vAlign w:val="center"/>
          </w:tcPr>
          <w:p w14:paraId="6E96703E" w14:textId="77777777" w:rsidR="006F175E" w:rsidRPr="006F175E" w:rsidRDefault="006F175E" w:rsidP="00E45DB1">
            <w:pPr>
              <w:ind w:left="33"/>
              <w:jc w:val="left"/>
              <w:rPr>
                <w:rFonts w:ascii="Arial Narrow" w:eastAsia="Calibri" w:hAnsi="Arial Narrow"/>
                <w:lang w:eastAsia="en-US"/>
              </w:rPr>
            </w:pPr>
            <w:r w:rsidRPr="006F175E">
              <w:rPr>
                <w:rFonts w:ascii="Arial Narrow" w:eastAsia="Calibri" w:hAnsi="Arial Narrow"/>
                <w:lang w:eastAsia="en-US"/>
              </w:rPr>
              <w:t xml:space="preserve">Paragraph 6.4: Replaced “International Neuroendocrine Cancer Alliance (INCA)” with “Neuroendocrine Cancer Australia (NECA)” </w:t>
            </w:r>
          </w:p>
        </w:tc>
        <w:tc>
          <w:tcPr>
            <w:tcW w:w="1230" w:type="pct"/>
            <w:vAlign w:val="center"/>
          </w:tcPr>
          <w:p w14:paraId="1C5CE992" w14:textId="77777777" w:rsidR="006F175E" w:rsidRPr="006F175E" w:rsidRDefault="006F175E" w:rsidP="00E45DB1">
            <w:pPr>
              <w:ind w:left="33"/>
              <w:jc w:val="left"/>
              <w:rPr>
                <w:rFonts w:ascii="Arial Narrow" w:eastAsia="Calibri" w:hAnsi="Arial Narrow"/>
                <w:lang w:eastAsia="en-US"/>
              </w:rPr>
            </w:pPr>
            <w:r w:rsidRPr="006F175E">
              <w:rPr>
                <w:rFonts w:ascii="Arial Narrow" w:eastAsia="Calibri" w:hAnsi="Arial Narrow"/>
                <w:lang w:eastAsia="en-US"/>
              </w:rPr>
              <w:t>5 December 2024</w:t>
            </w:r>
          </w:p>
        </w:tc>
      </w:tr>
    </w:tbl>
    <w:p w14:paraId="6A1EF7EC" w14:textId="77777777" w:rsidR="006F175E" w:rsidRPr="0049394D" w:rsidRDefault="006F175E" w:rsidP="007E7F19">
      <w:pPr>
        <w:spacing w:line="276" w:lineRule="auto"/>
        <w:ind w:left="720"/>
        <w:rPr>
          <w:rFonts w:asciiTheme="minorHAnsi" w:hAnsiTheme="minorHAnsi"/>
          <w:b/>
          <w:snapToGrid w:val="0"/>
          <w:sz w:val="32"/>
          <w:szCs w:val="32"/>
        </w:rPr>
      </w:pPr>
    </w:p>
    <w:sectPr w:rsidR="006F175E" w:rsidRPr="0049394D" w:rsidSect="00F30D23">
      <w:headerReference w:type="default" r:id="rId31"/>
      <w:footerReference w:type="default" r:id="rId3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48151" w14:textId="77777777" w:rsidR="00F32659" w:rsidRDefault="00F32659" w:rsidP="00124A51">
      <w:r>
        <w:separator/>
      </w:r>
    </w:p>
    <w:p w14:paraId="6FE1D970" w14:textId="77777777" w:rsidR="00F32659" w:rsidRDefault="00F32659"/>
  </w:endnote>
  <w:endnote w:type="continuationSeparator" w:id="0">
    <w:p w14:paraId="5C02938A" w14:textId="77777777" w:rsidR="00F32659" w:rsidRDefault="00F32659" w:rsidP="00124A51">
      <w:r>
        <w:continuationSeparator/>
      </w:r>
    </w:p>
    <w:p w14:paraId="69E30C91" w14:textId="77777777" w:rsidR="00F32659" w:rsidRDefault="00F32659"/>
  </w:endnote>
  <w:endnote w:type="continuationNotice" w:id="1">
    <w:p w14:paraId="52DC6630" w14:textId="77777777" w:rsidR="00F32659" w:rsidRDefault="00F32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63511" w14:textId="77777777" w:rsidR="00854496" w:rsidRDefault="00854496" w:rsidP="00753B29">
    <w:pPr>
      <w:pStyle w:val="Footer"/>
      <w:jc w:val="center"/>
    </w:pPr>
  </w:p>
  <w:bookmarkStart w:id="111" w:name="_Hlk76375156"/>
  <w:p w14:paraId="37484CD3" w14:textId="3281B95D" w:rsidR="00854496" w:rsidRPr="00BF3570" w:rsidRDefault="00854496" w:rsidP="00BF3570">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1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3F086" w14:textId="77777777" w:rsidR="00F32659" w:rsidRDefault="00F32659" w:rsidP="00124A51">
      <w:r>
        <w:separator/>
      </w:r>
    </w:p>
    <w:p w14:paraId="1EAF1F7F" w14:textId="77777777" w:rsidR="00F32659" w:rsidRDefault="00F32659"/>
  </w:footnote>
  <w:footnote w:type="continuationSeparator" w:id="0">
    <w:p w14:paraId="2EAA14E1" w14:textId="77777777" w:rsidR="00F32659" w:rsidRDefault="00F32659" w:rsidP="00124A51">
      <w:r>
        <w:continuationSeparator/>
      </w:r>
    </w:p>
    <w:p w14:paraId="4DEFCED5" w14:textId="77777777" w:rsidR="00F32659" w:rsidRDefault="00F32659"/>
  </w:footnote>
  <w:footnote w:type="continuationNotice" w:id="1">
    <w:p w14:paraId="107C47EC" w14:textId="77777777" w:rsidR="00F32659" w:rsidRDefault="00F32659"/>
  </w:footnote>
  <w:footnote w:id="2">
    <w:p w14:paraId="672A2072" w14:textId="0AE0C1E3" w:rsidR="00854496" w:rsidRPr="00D95A38" w:rsidRDefault="00854496" w:rsidP="00826C17">
      <w:pPr>
        <w:pStyle w:val="FootnoteText"/>
        <w:rPr>
          <w:rFonts w:ascii="Arial Narrow" w:hAnsi="Arial Narrow"/>
        </w:rPr>
      </w:pPr>
      <w:r w:rsidRPr="00D95A38">
        <w:rPr>
          <w:rStyle w:val="FootnoteReference"/>
          <w:rFonts w:ascii="Arial Narrow" w:hAnsi="Arial Narrow"/>
          <w:sz w:val="18"/>
        </w:rPr>
        <w:footnoteRef/>
      </w:r>
      <w:r w:rsidRPr="00D95A38">
        <w:rPr>
          <w:rFonts w:ascii="Arial Narrow" w:hAnsi="Arial Narrow"/>
          <w:sz w:val="18"/>
        </w:rPr>
        <w:t xml:space="preserve"> Daniels AB, et al. Guidelines for surveillance of patients with von Hippel</w:t>
      </w:r>
      <w:r w:rsidRPr="00D95A38">
        <w:rPr>
          <w:rFonts w:ascii="Cambria Math" w:hAnsi="Cambria Math" w:cs="Cambria Math"/>
          <w:sz w:val="18"/>
        </w:rPr>
        <w:t>‐</w:t>
      </w:r>
      <w:r w:rsidRPr="00D95A38">
        <w:rPr>
          <w:rFonts w:ascii="Arial Narrow" w:hAnsi="Arial Narrow"/>
          <w:sz w:val="18"/>
        </w:rPr>
        <w:t xml:space="preserve"> Lindau disease: consensus statement of the International VHL Surveillance Guidelines Consortium and VHL Alliance. Cancer. 2023;129(19):2927</w:t>
      </w:r>
      <w:r w:rsidRPr="00D95A38">
        <w:rPr>
          <w:rFonts w:ascii="Cambria Math" w:hAnsi="Cambria Math" w:cs="Cambria Math"/>
          <w:sz w:val="18"/>
        </w:rPr>
        <w:t>‐</w:t>
      </w:r>
      <w:r w:rsidRPr="00D95A38">
        <w:rPr>
          <w:rFonts w:ascii="Arial Narrow" w:hAnsi="Arial Narrow"/>
          <w:sz w:val="18"/>
        </w:rPr>
        <w:t>2940. doi:10.1002/cncr.34896</w:t>
      </w:r>
    </w:p>
  </w:footnote>
  <w:footnote w:id="3">
    <w:p w14:paraId="4ED5DEFC" w14:textId="77777777" w:rsidR="00854496" w:rsidRPr="00D1381D" w:rsidRDefault="00854496" w:rsidP="0088249D">
      <w:pPr>
        <w:pStyle w:val="FootnoteText"/>
        <w:rPr>
          <w:rFonts w:ascii="Arial Narrow" w:hAnsi="Arial Narrow"/>
          <w:lang w:val="en-US"/>
        </w:rPr>
      </w:pPr>
      <w:r w:rsidRPr="00D1381D">
        <w:rPr>
          <w:rStyle w:val="FootnoteReference"/>
          <w:rFonts w:ascii="Arial Narrow" w:hAnsi="Arial Narrow"/>
          <w:sz w:val="18"/>
        </w:rPr>
        <w:footnoteRef/>
      </w:r>
      <w:r w:rsidRPr="00D1381D">
        <w:rPr>
          <w:rFonts w:ascii="Arial Narrow" w:hAnsi="Arial Narrow"/>
          <w:sz w:val="18"/>
        </w:rPr>
        <w:t xml:space="preserve"> Nielsen SM et al., Von Hippel-Lindau Disease: Genetics and Role of Genetic Counseling in a Multiple Neoplasia Syndrome. JCO 34, 2172-2181(2016). doi:10.1200/JCO.2015.65.6140</w:t>
      </w:r>
    </w:p>
  </w:footnote>
  <w:footnote w:id="4">
    <w:p w14:paraId="7DD84854" w14:textId="77777777" w:rsidR="00854496" w:rsidRPr="00CF58AA" w:rsidRDefault="00854496" w:rsidP="0088249D">
      <w:pPr>
        <w:pStyle w:val="FootnoteText"/>
        <w:rPr>
          <w:rFonts w:ascii="Arial Narrow" w:hAnsi="Arial Narrow"/>
          <w:lang w:val="en-US"/>
        </w:rPr>
      </w:pPr>
      <w:r w:rsidRPr="00CF58AA">
        <w:rPr>
          <w:rStyle w:val="FootnoteReference"/>
          <w:rFonts w:ascii="Arial Narrow" w:hAnsi="Arial Narrow"/>
          <w:sz w:val="18"/>
        </w:rPr>
        <w:footnoteRef/>
      </w:r>
      <w:r w:rsidRPr="00CF58AA">
        <w:rPr>
          <w:rFonts w:ascii="Arial Narrow" w:hAnsi="Arial Narrow"/>
          <w:sz w:val="18"/>
        </w:rPr>
        <w:t xml:space="preserve"> Binderup ML, </w:t>
      </w:r>
      <w:r>
        <w:rPr>
          <w:rFonts w:ascii="Arial Narrow" w:hAnsi="Arial Narrow"/>
          <w:sz w:val="18"/>
        </w:rPr>
        <w:t>et al</w:t>
      </w:r>
      <w:r w:rsidRPr="00CF58AA">
        <w:rPr>
          <w:rFonts w:ascii="Arial Narrow" w:hAnsi="Arial Narrow"/>
          <w:sz w:val="18"/>
        </w:rPr>
        <w:t>. Survival and causes of death in patients with von Hippel-Lindau disease. J Med Genet. 2017 Jan;54(1):11-18. doi: 10.1136/jmedgenet-2016-104058.</w:t>
      </w:r>
    </w:p>
  </w:footnote>
  <w:footnote w:id="5">
    <w:p w14:paraId="6D5BB619" w14:textId="77777777" w:rsidR="00854496" w:rsidRPr="007F0D97" w:rsidRDefault="00854496" w:rsidP="0088249D">
      <w:pPr>
        <w:pStyle w:val="FootnoteText"/>
        <w:rPr>
          <w:rFonts w:ascii="Arial Narrow" w:hAnsi="Arial Narrow"/>
          <w:lang w:val="en-US"/>
        </w:rPr>
      </w:pPr>
      <w:r w:rsidRPr="007F0D97">
        <w:rPr>
          <w:rStyle w:val="FootnoteReference"/>
          <w:rFonts w:ascii="Arial Narrow" w:hAnsi="Arial Narrow"/>
          <w:sz w:val="18"/>
        </w:rPr>
        <w:footnoteRef/>
      </w:r>
      <w:r w:rsidRPr="007F0D97">
        <w:rPr>
          <w:rFonts w:ascii="Arial Narrow" w:hAnsi="Arial Narrow"/>
          <w:sz w:val="18"/>
        </w:rPr>
        <w:t xml:space="preserve"> Chahoud J, </w:t>
      </w:r>
      <w:r>
        <w:rPr>
          <w:rFonts w:ascii="Arial Narrow" w:hAnsi="Arial Narrow"/>
          <w:sz w:val="18"/>
        </w:rPr>
        <w:t>et al</w:t>
      </w:r>
      <w:r w:rsidRPr="007F0D97">
        <w:rPr>
          <w:rFonts w:ascii="Arial Narrow" w:hAnsi="Arial Narrow"/>
          <w:sz w:val="18"/>
        </w:rPr>
        <w:t>. Evaluation, diagnosis and surveillance of renal masses in the setting of VHL disease. World J Urol. 2021 Jul;39(7):2409-2415. doi: 10.1007/s00345-020-03441-3.</w:t>
      </w:r>
    </w:p>
  </w:footnote>
  <w:footnote w:id="6">
    <w:p w14:paraId="57F1F9E8" w14:textId="1787A232" w:rsidR="00854496" w:rsidRPr="00D95A38" w:rsidRDefault="00854496">
      <w:pPr>
        <w:pStyle w:val="FootnoteText"/>
        <w:rPr>
          <w:rFonts w:ascii="Arial Narrow" w:hAnsi="Arial Narrow"/>
        </w:rPr>
      </w:pPr>
      <w:r w:rsidRPr="00D95A38">
        <w:rPr>
          <w:rStyle w:val="FootnoteReference"/>
          <w:rFonts w:ascii="Arial Narrow" w:hAnsi="Arial Narrow"/>
          <w:sz w:val="18"/>
        </w:rPr>
        <w:footnoteRef/>
      </w:r>
      <w:r w:rsidRPr="00D95A38">
        <w:rPr>
          <w:rFonts w:ascii="Arial Narrow" w:hAnsi="Arial Narrow"/>
          <w:sz w:val="18"/>
        </w:rPr>
        <w:t xml:space="preserve"> Tong</w:t>
      </w:r>
      <w:r>
        <w:rPr>
          <w:rFonts w:ascii="Arial Narrow" w:hAnsi="Arial Narrow"/>
          <w:sz w:val="18"/>
        </w:rPr>
        <w:t xml:space="preserve"> A</w:t>
      </w:r>
      <w:r w:rsidRPr="00D95A38">
        <w:rPr>
          <w:rFonts w:ascii="Arial Narrow" w:hAnsi="Arial Narrow"/>
          <w:sz w:val="18"/>
        </w:rPr>
        <w:t xml:space="preserve">, </w:t>
      </w:r>
      <w:r>
        <w:rPr>
          <w:rFonts w:ascii="Arial Narrow" w:hAnsi="Arial Narrow"/>
          <w:sz w:val="18"/>
        </w:rPr>
        <w:t>et al.</w:t>
      </w:r>
      <w:r w:rsidRPr="00D95A38">
        <w:rPr>
          <w:rFonts w:ascii="Arial Narrow" w:hAnsi="Arial Narrow"/>
          <w:sz w:val="18"/>
        </w:rPr>
        <w:t xml:space="preserve"> Consolidated criteria for reporting qualitative research (COREQ): a 32-item checklist for interviews and focus groups, International Journal for Quality in Health Care, Volume 19, Issue 6, December 2007, Pages 349–357</w:t>
      </w:r>
    </w:p>
  </w:footnote>
  <w:footnote w:id="7">
    <w:p w14:paraId="7265D963" w14:textId="5B75BF13" w:rsidR="00854496" w:rsidRPr="003B0ECB" w:rsidRDefault="00854496" w:rsidP="0088249D">
      <w:pPr>
        <w:pStyle w:val="FootnoteText"/>
        <w:rPr>
          <w:rFonts w:ascii="Arial Narrow" w:hAnsi="Arial Narrow"/>
          <w:lang w:val="en-US"/>
        </w:rPr>
      </w:pPr>
      <w:r w:rsidRPr="003B0ECB">
        <w:rPr>
          <w:rStyle w:val="FootnoteReference"/>
          <w:rFonts w:ascii="Arial Narrow" w:hAnsi="Arial Narrow"/>
          <w:sz w:val="18"/>
        </w:rPr>
        <w:footnoteRef/>
      </w:r>
      <w:r w:rsidRPr="003B0ECB">
        <w:rPr>
          <w:rFonts w:ascii="Arial Narrow" w:hAnsi="Arial Narrow"/>
          <w:sz w:val="18"/>
        </w:rPr>
        <w:t xml:space="preserve"> Lonser RR, </w:t>
      </w:r>
      <w:r>
        <w:rPr>
          <w:rFonts w:ascii="Arial Narrow" w:hAnsi="Arial Narrow"/>
          <w:sz w:val="18"/>
        </w:rPr>
        <w:t>et al</w:t>
      </w:r>
      <w:r w:rsidRPr="003B0ECB">
        <w:rPr>
          <w:rFonts w:ascii="Arial Narrow" w:hAnsi="Arial Narrow"/>
          <w:sz w:val="18"/>
        </w:rPr>
        <w:t>. von Hippel-Lindau disease. Lancet. 2003 Jun 14;361(9374):2059-67. doi: 10.1016/S0140-6736(03)13643-4</w:t>
      </w:r>
    </w:p>
  </w:footnote>
  <w:footnote w:id="8">
    <w:p w14:paraId="1FA59AD4" w14:textId="77777777" w:rsidR="00854496" w:rsidRPr="006072C8" w:rsidRDefault="00854496" w:rsidP="0024083E">
      <w:pPr>
        <w:pStyle w:val="FootnoteText"/>
        <w:rPr>
          <w:rFonts w:ascii="Arial Narrow" w:hAnsi="Arial Narrow"/>
          <w:sz w:val="18"/>
        </w:rPr>
      </w:pPr>
      <w:r w:rsidRPr="006072C8">
        <w:rPr>
          <w:rStyle w:val="FootnoteReference"/>
          <w:rFonts w:ascii="Arial Narrow" w:hAnsi="Arial Narrow"/>
          <w:sz w:val="18"/>
        </w:rPr>
        <w:footnoteRef/>
      </w:r>
      <w:r w:rsidRPr="006072C8">
        <w:rPr>
          <w:rFonts w:ascii="Arial Narrow" w:hAnsi="Arial Narrow"/>
          <w:sz w:val="18"/>
        </w:rPr>
        <w:t xml:space="preserve"> Phillippo, DM, et al. NICE DSU Technical Support Document 18: Methods for population-adjusted indirect comparisons in submission to NICE. 2016.</w:t>
      </w:r>
    </w:p>
  </w:footnote>
  <w:footnote w:id="9">
    <w:p w14:paraId="2F318BD6" w14:textId="77777777" w:rsidR="00854496" w:rsidRDefault="00854496" w:rsidP="0024083E">
      <w:pPr>
        <w:pStyle w:val="FootnoteText"/>
      </w:pPr>
      <w:r w:rsidRPr="006072C8">
        <w:rPr>
          <w:rStyle w:val="FootnoteReference"/>
          <w:rFonts w:ascii="Arial Narrow" w:hAnsi="Arial Narrow"/>
          <w:sz w:val="18"/>
        </w:rPr>
        <w:footnoteRef/>
      </w:r>
      <w:r w:rsidRPr="006072C8">
        <w:rPr>
          <w:rFonts w:ascii="Arial Narrow" w:hAnsi="Arial Narrow"/>
          <w:sz w:val="18"/>
        </w:rPr>
        <w:t xml:space="preserve"> Phillippo DM, et al. Methods for Population-Adjusted Indirect Comparisons in Health Technology Appraisal. Med Decis Making. 2018;38(2):200-211.</w:t>
      </w:r>
      <w:r w:rsidRPr="006072C8">
        <w:rPr>
          <w:sz w:val="18"/>
        </w:rPr>
        <w:t xml:space="preserve"> </w:t>
      </w:r>
    </w:p>
  </w:footnote>
  <w:footnote w:id="10">
    <w:p w14:paraId="39456215" w14:textId="23077B63" w:rsidR="00854496" w:rsidRPr="006072C8" w:rsidRDefault="00854496">
      <w:pPr>
        <w:pStyle w:val="FootnoteText"/>
        <w:rPr>
          <w:rFonts w:ascii="Arial Narrow" w:hAnsi="Arial Narrow"/>
          <w:lang w:val="en-US"/>
        </w:rPr>
      </w:pPr>
      <w:r w:rsidRPr="006072C8">
        <w:rPr>
          <w:rStyle w:val="FootnoteReference"/>
          <w:rFonts w:ascii="Arial Narrow" w:hAnsi="Arial Narrow"/>
          <w:sz w:val="18"/>
        </w:rPr>
        <w:footnoteRef/>
      </w:r>
      <w:r w:rsidRPr="006072C8">
        <w:rPr>
          <w:rFonts w:ascii="Arial Narrow" w:hAnsi="Arial Narrow"/>
          <w:sz w:val="18"/>
        </w:rPr>
        <w:t xml:space="preserve"> Wang L, </w:t>
      </w:r>
      <w:r>
        <w:rPr>
          <w:rFonts w:ascii="Arial Narrow" w:hAnsi="Arial Narrow"/>
          <w:sz w:val="18"/>
        </w:rPr>
        <w:t>et al.</w:t>
      </w:r>
      <w:r w:rsidRPr="006072C8">
        <w:rPr>
          <w:rFonts w:ascii="Arial Narrow" w:hAnsi="Arial Narrow"/>
          <w:sz w:val="18"/>
        </w:rPr>
        <w:t xml:space="preserve"> </w:t>
      </w:r>
      <w:r>
        <w:rPr>
          <w:rFonts w:ascii="Arial Narrow" w:hAnsi="Arial Narrow"/>
          <w:sz w:val="18"/>
        </w:rPr>
        <w:t xml:space="preserve">(2023). </w:t>
      </w:r>
      <w:r w:rsidRPr="006072C8">
        <w:rPr>
          <w:rFonts w:ascii="Arial Narrow" w:hAnsi="Arial Narrow"/>
          <w:sz w:val="18"/>
        </w:rPr>
        <w:t xml:space="preserve">Burden of surgeries and surgical complications in patients with Von Hippel Lindau (VHL) disease before and after treatment with </w:t>
      </w:r>
      <w:r w:rsidR="00C3249B" w:rsidRPr="006072C8">
        <w:rPr>
          <w:rFonts w:ascii="Arial Narrow" w:hAnsi="Arial Narrow"/>
          <w:sz w:val="18"/>
        </w:rPr>
        <w:t>belzutifan.</w:t>
      </w:r>
      <w:r w:rsidRPr="006072C8">
        <w:rPr>
          <w:rFonts w:ascii="Arial Narrow" w:hAnsi="Arial Narrow"/>
          <w:sz w:val="18"/>
        </w:rPr>
        <w:t xml:space="preserve"> JCO 41, 733-733</w:t>
      </w:r>
      <w:r>
        <w:rPr>
          <w:rFonts w:ascii="Arial Narrow" w:hAnsi="Arial Narrow"/>
          <w:sz w:val="18"/>
        </w:rPr>
        <w:t>.</w:t>
      </w:r>
    </w:p>
  </w:footnote>
  <w:footnote w:id="11">
    <w:p w14:paraId="7BFFC3C4" w14:textId="0FA09E07" w:rsidR="00854496" w:rsidRPr="006072C8" w:rsidRDefault="00854496" w:rsidP="008F5385">
      <w:pPr>
        <w:pStyle w:val="FootnoteText"/>
        <w:rPr>
          <w:rFonts w:ascii="Arial Narrow" w:hAnsi="Arial Narrow"/>
          <w:sz w:val="18"/>
          <w:lang w:val="en-US"/>
        </w:rPr>
      </w:pPr>
      <w:r w:rsidRPr="006072C8">
        <w:rPr>
          <w:rStyle w:val="FootnoteReference"/>
          <w:rFonts w:ascii="Arial Narrow" w:hAnsi="Arial Narrow"/>
          <w:sz w:val="18"/>
        </w:rPr>
        <w:footnoteRef/>
      </w:r>
      <w:r w:rsidRPr="006072C8">
        <w:rPr>
          <w:rFonts w:ascii="Arial Narrow" w:hAnsi="Arial Narrow"/>
          <w:sz w:val="18"/>
        </w:rPr>
        <w:t xml:space="preserve"> Johnson A, </w:t>
      </w:r>
      <w:r>
        <w:rPr>
          <w:rFonts w:ascii="Arial Narrow" w:hAnsi="Arial Narrow"/>
          <w:sz w:val="18"/>
        </w:rPr>
        <w:t>et al</w:t>
      </w:r>
      <w:r w:rsidRPr="006072C8">
        <w:rPr>
          <w:rFonts w:ascii="Arial Narrow" w:hAnsi="Arial Narrow"/>
          <w:sz w:val="18"/>
        </w:rPr>
        <w:t xml:space="preserve">. Feasibility and outcomes of repeat partial nephrectomy. J Urol. 2008 Jul;180(1):89-93; discussion 93. </w:t>
      </w:r>
    </w:p>
  </w:footnote>
  <w:footnote w:id="12">
    <w:p w14:paraId="1E062AA5" w14:textId="13B347B1" w:rsidR="00854496" w:rsidRPr="006072C8" w:rsidRDefault="00854496" w:rsidP="008F5385">
      <w:pPr>
        <w:pStyle w:val="FootnoteText"/>
        <w:rPr>
          <w:rFonts w:ascii="Arial Narrow" w:hAnsi="Arial Narrow"/>
          <w:sz w:val="18"/>
          <w:lang w:val="en-US"/>
        </w:rPr>
      </w:pPr>
      <w:r w:rsidRPr="006072C8">
        <w:rPr>
          <w:rStyle w:val="FootnoteReference"/>
          <w:rFonts w:ascii="Arial Narrow" w:hAnsi="Arial Narrow"/>
          <w:sz w:val="18"/>
        </w:rPr>
        <w:footnoteRef/>
      </w:r>
      <w:r w:rsidRPr="006072C8">
        <w:rPr>
          <w:rFonts w:ascii="Arial Narrow" w:hAnsi="Arial Narrow"/>
          <w:sz w:val="18"/>
        </w:rPr>
        <w:t xml:space="preserve"> Lonser RR, </w:t>
      </w:r>
      <w:r>
        <w:rPr>
          <w:rFonts w:ascii="Arial Narrow" w:hAnsi="Arial Narrow"/>
          <w:sz w:val="18"/>
        </w:rPr>
        <w:t>et al</w:t>
      </w:r>
      <w:r w:rsidRPr="006072C8">
        <w:rPr>
          <w:rFonts w:ascii="Arial Narrow" w:hAnsi="Arial Narrow"/>
          <w:sz w:val="18"/>
        </w:rPr>
        <w:t xml:space="preserve">. Surgical management of spinal cord hemangioblastomas in patients with von Hippel-Lindau disease. J Neurosurg. 2003 Jan;98(1):106-16. </w:t>
      </w:r>
    </w:p>
  </w:footnote>
  <w:footnote w:id="13">
    <w:p w14:paraId="6D9EB9E8" w14:textId="0A748B7D" w:rsidR="00854496" w:rsidRPr="00902212" w:rsidRDefault="00854496" w:rsidP="008F5385">
      <w:pPr>
        <w:pStyle w:val="FootnoteText"/>
        <w:rPr>
          <w:lang w:val="en-US"/>
        </w:rPr>
      </w:pPr>
      <w:r w:rsidRPr="006072C8">
        <w:rPr>
          <w:rStyle w:val="FootnoteReference"/>
          <w:rFonts w:ascii="Arial Narrow" w:hAnsi="Arial Narrow"/>
          <w:sz w:val="18"/>
        </w:rPr>
        <w:footnoteRef/>
      </w:r>
      <w:r w:rsidRPr="006072C8">
        <w:rPr>
          <w:rFonts w:ascii="Arial Narrow" w:hAnsi="Arial Narrow"/>
          <w:sz w:val="18"/>
        </w:rPr>
        <w:t xml:space="preserve"> Krauss T, </w:t>
      </w:r>
      <w:r>
        <w:rPr>
          <w:rFonts w:ascii="Arial Narrow" w:hAnsi="Arial Narrow"/>
          <w:sz w:val="18"/>
        </w:rPr>
        <w:t>et al</w:t>
      </w:r>
      <w:r w:rsidRPr="006072C8">
        <w:rPr>
          <w:rFonts w:ascii="Arial Narrow" w:hAnsi="Arial Narrow"/>
          <w:sz w:val="18"/>
        </w:rPr>
        <w:t>. Preventive medicine of von Hippel-Lindau disease-associated pancreatic neuroendocrine tumors. Endocr Relat Cancer. 2018 Sep;25(9):783-793.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E204" w14:textId="25ED0E0D" w:rsidR="00854496" w:rsidRPr="00195452" w:rsidRDefault="00655B81" w:rsidP="00D822E2">
    <w:pPr>
      <w:pStyle w:val="Header"/>
      <w:rPr>
        <w:rFonts w:asciiTheme="minorHAnsi" w:hAnsiTheme="minorHAnsi"/>
        <w:i/>
        <w:color w:val="808080"/>
      </w:rPr>
    </w:pPr>
    <w:bookmarkStart w:id="110" w:name="_Hlk175733429"/>
    <w:r>
      <w:rPr>
        <w:rFonts w:asciiTheme="minorHAnsi" w:hAnsiTheme="minorHAnsi"/>
        <w:i/>
        <w:color w:val="808080"/>
      </w:rPr>
      <w:t>Public Summary Document</w:t>
    </w:r>
    <w:r w:rsidR="00854496">
      <w:rPr>
        <w:rFonts w:asciiTheme="minorHAnsi" w:hAnsiTheme="minorHAnsi"/>
        <w:i/>
        <w:color w:val="808080"/>
      </w:rPr>
      <w:t xml:space="preserve"> </w:t>
    </w:r>
    <w:bookmarkEnd w:id="110"/>
    <w:r w:rsidR="00854496">
      <w:rPr>
        <w:rFonts w:asciiTheme="minorHAnsi" w:hAnsiTheme="minorHAnsi" w:cstheme="minorHAnsi"/>
        <w:i/>
        <w:color w:val="808080"/>
      </w:rPr>
      <w:t xml:space="preserve">− </w:t>
    </w:r>
    <w:r w:rsidR="00854496">
      <w:rPr>
        <w:rFonts w:asciiTheme="minorHAnsi" w:hAnsiTheme="minorHAnsi"/>
        <w:i/>
        <w:color w:val="808080"/>
      </w:rPr>
      <w:t xml:space="preserve">July 2024 </w:t>
    </w:r>
    <w:r w:rsidR="00854496" w:rsidRPr="00195452">
      <w:rPr>
        <w:rFonts w:asciiTheme="minorHAnsi" w:hAnsiTheme="minorHAnsi"/>
        <w:i/>
        <w:color w:val="808080"/>
      </w:rPr>
      <w:t>PBAC Meeting</w:t>
    </w:r>
  </w:p>
  <w:p w14:paraId="03AF943B" w14:textId="77777777" w:rsidR="00854496" w:rsidRPr="008C7ECB" w:rsidRDefault="00854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F9691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4616E2"/>
    <w:multiLevelType w:val="hybridMultilevel"/>
    <w:tmpl w:val="15FA9C28"/>
    <w:lvl w:ilvl="0" w:tplc="0C090001">
      <w:start w:val="1"/>
      <w:numFmt w:val="bullet"/>
      <w:lvlText w:val=""/>
      <w:lvlJc w:val="left"/>
      <w:pPr>
        <w:ind w:left="1492" w:hanging="360"/>
      </w:pPr>
      <w:rPr>
        <w:rFonts w:ascii="Symbol" w:hAnsi="Symbol" w:hint="default"/>
      </w:rPr>
    </w:lvl>
    <w:lvl w:ilvl="1" w:tplc="0C090003">
      <w:start w:val="1"/>
      <w:numFmt w:val="bullet"/>
      <w:lvlText w:val="o"/>
      <w:lvlJc w:val="left"/>
      <w:pPr>
        <w:ind w:left="2212" w:hanging="360"/>
      </w:pPr>
      <w:rPr>
        <w:rFonts w:ascii="Courier New" w:hAnsi="Courier New" w:cs="Courier New" w:hint="default"/>
      </w:rPr>
    </w:lvl>
    <w:lvl w:ilvl="2" w:tplc="0C090005" w:tentative="1">
      <w:start w:val="1"/>
      <w:numFmt w:val="bullet"/>
      <w:lvlText w:val=""/>
      <w:lvlJc w:val="left"/>
      <w:pPr>
        <w:ind w:left="2932" w:hanging="360"/>
      </w:pPr>
      <w:rPr>
        <w:rFonts w:ascii="Wingdings" w:hAnsi="Wingdings" w:hint="default"/>
      </w:rPr>
    </w:lvl>
    <w:lvl w:ilvl="3" w:tplc="0C090001" w:tentative="1">
      <w:start w:val="1"/>
      <w:numFmt w:val="bullet"/>
      <w:lvlText w:val=""/>
      <w:lvlJc w:val="left"/>
      <w:pPr>
        <w:ind w:left="3652" w:hanging="360"/>
      </w:pPr>
      <w:rPr>
        <w:rFonts w:ascii="Symbol" w:hAnsi="Symbol" w:hint="default"/>
      </w:rPr>
    </w:lvl>
    <w:lvl w:ilvl="4" w:tplc="0C090003" w:tentative="1">
      <w:start w:val="1"/>
      <w:numFmt w:val="bullet"/>
      <w:lvlText w:val="o"/>
      <w:lvlJc w:val="left"/>
      <w:pPr>
        <w:ind w:left="4372" w:hanging="360"/>
      </w:pPr>
      <w:rPr>
        <w:rFonts w:ascii="Courier New" w:hAnsi="Courier New" w:cs="Courier New" w:hint="default"/>
      </w:rPr>
    </w:lvl>
    <w:lvl w:ilvl="5" w:tplc="0C090005" w:tentative="1">
      <w:start w:val="1"/>
      <w:numFmt w:val="bullet"/>
      <w:lvlText w:val=""/>
      <w:lvlJc w:val="left"/>
      <w:pPr>
        <w:ind w:left="5092" w:hanging="360"/>
      </w:pPr>
      <w:rPr>
        <w:rFonts w:ascii="Wingdings" w:hAnsi="Wingdings" w:hint="default"/>
      </w:rPr>
    </w:lvl>
    <w:lvl w:ilvl="6" w:tplc="0C090001" w:tentative="1">
      <w:start w:val="1"/>
      <w:numFmt w:val="bullet"/>
      <w:lvlText w:val=""/>
      <w:lvlJc w:val="left"/>
      <w:pPr>
        <w:ind w:left="5812" w:hanging="360"/>
      </w:pPr>
      <w:rPr>
        <w:rFonts w:ascii="Symbol" w:hAnsi="Symbol" w:hint="default"/>
      </w:rPr>
    </w:lvl>
    <w:lvl w:ilvl="7" w:tplc="0C090003" w:tentative="1">
      <w:start w:val="1"/>
      <w:numFmt w:val="bullet"/>
      <w:lvlText w:val="o"/>
      <w:lvlJc w:val="left"/>
      <w:pPr>
        <w:ind w:left="6532" w:hanging="360"/>
      </w:pPr>
      <w:rPr>
        <w:rFonts w:ascii="Courier New" w:hAnsi="Courier New" w:cs="Courier New" w:hint="default"/>
      </w:rPr>
    </w:lvl>
    <w:lvl w:ilvl="8" w:tplc="0C090005" w:tentative="1">
      <w:start w:val="1"/>
      <w:numFmt w:val="bullet"/>
      <w:lvlText w:val=""/>
      <w:lvlJc w:val="left"/>
      <w:pPr>
        <w:ind w:left="7252"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ED6299"/>
    <w:multiLevelType w:val="hybridMultilevel"/>
    <w:tmpl w:val="0E9278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5206140C"/>
    <w:lvl w:ilvl="0" w:tplc="551EBE78">
      <w:start w:val="1"/>
      <w:numFmt w:val="decimal"/>
      <w:lvlText w:val="%1."/>
      <w:lvlJc w:val="left"/>
      <w:pPr>
        <w:ind w:left="840" w:hanging="360"/>
      </w:pPr>
      <w:rPr>
        <w:rFonts w:hint="default"/>
        <w:b w:val="0"/>
        <w:bCs/>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1C92DE5"/>
    <w:multiLevelType w:val="multilevel"/>
    <w:tmpl w:val="252A41F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C038FF"/>
    <w:multiLevelType w:val="multilevel"/>
    <w:tmpl w:val="F00C9FE2"/>
    <w:lvl w:ilvl="0">
      <w:start w:val="1"/>
      <w:numFmt w:val="decimal"/>
      <w:lvlText w:val="%1"/>
      <w:lvlJc w:val="left"/>
      <w:pPr>
        <w:ind w:left="720" w:hanging="720"/>
      </w:pPr>
      <w:rPr>
        <w:rFonts w:hint="default"/>
        <w:b/>
      </w:rPr>
    </w:lvl>
    <w:lvl w:ilvl="1">
      <w:numFmt w:val="bullet"/>
      <w:lvlText w:val="-"/>
      <w:lvlJc w:val="left"/>
      <w:pPr>
        <w:ind w:left="360" w:hanging="360"/>
      </w:pPr>
      <w:rPr>
        <w:rFonts w:ascii="Arial Narrow" w:eastAsia="Times New Roman" w:hAnsi="Arial Narrow"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66D1E87"/>
    <w:multiLevelType w:val="hybridMultilevel"/>
    <w:tmpl w:val="9BB61EE8"/>
    <w:lvl w:ilvl="0" w:tplc="399A3B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1605E1"/>
    <w:multiLevelType w:val="hybridMultilevel"/>
    <w:tmpl w:val="7F4AAB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AF22442"/>
    <w:multiLevelType w:val="hybridMultilevel"/>
    <w:tmpl w:val="0B1474F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AFA3C06"/>
    <w:multiLevelType w:val="hybridMultilevel"/>
    <w:tmpl w:val="F41095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EC272B"/>
    <w:multiLevelType w:val="hybridMultilevel"/>
    <w:tmpl w:val="7A6E4108"/>
    <w:lvl w:ilvl="0" w:tplc="A8F07862">
      <w:start w:val="1"/>
      <w:numFmt w:val="bullet"/>
      <w:lvlText w:val=""/>
      <w:lvlJc w:val="left"/>
      <w:pPr>
        <w:ind w:left="360" w:hanging="360"/>
      </w:pPr>
      <w:rPr>
        <w:rFonts w:ascii="Symbol" w:hAnsi="Symbol" w:hint="default"/>
        <w:color w:val="auto"/>
      </w:rPr>
    </w:lvl>
    <w:lvl w:ilvl="1" w:tplc="0AC6876E">
      <w:numFmt w:val="bullet"/>
      <w:lvlText w:val="-"/>
      <w:lvlJc w:val="left"/>
      <w:pPr>
        <w:ind w:left="1080" w:hanging="360"/>
      </w:pPr>
      <w:rPr>
        <w:rFonts w:ascii="Arial Narrow" w:eastAsia="Times New Roman" w:hAnsi="Arial Narrow"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A7768E0"/>
    <w:multiLevelType w:val="hybridMultilevel"/>
    <w:tmpl w:val="6DBAFE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E846614"/>
    <w:multiLevelType w:val="hybridMultilevel"/>
    <w:tmpl w:val="BF68A6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751926347">
    <w:abstractNumId w:val="22"/>
  </w:num>
  <w:num w:numId="2" w16cid:durableId="481236833">
    <w:abstractNumId w:val="9"/>
  </w:num>
  <w:num w:numId="3" w16cid:durableId="402917052">
    <w:abstractNumId w:val="10"/>
  </w:num>
  <w:num w:numId="4" w16cid:durableId="186910487">
    <w:abstractNumId w:val="0"/>
  </w:num>
  <w:num w:numId="5" w16cid:durableId="266885861">
    <w:abstractNumId w:val="22"/>
  </w:num>
  <w:num w:numId="6" w16cid:durableId="413623380">
    <w:abstractNumId w:val="23"/>
  </w:num>
  <w:num w:numId="7" w16cid:durableId="1333604630">
    <w:abstractNumId w:val="16"/>
  </w:num>
  <w:num w:numId="8" w16cid:durableId="1100636292">
    <w:abstractNumId w:val="25"/>
  </w:num>
  <w:num w:numId="9" w16cid:durableId="1060788422">
    <w:abstractNumId w:val="18"/>
  </w:num>
  <w:num w:numId="10" w16cid:durableId="129134523">
    <w:abstractNumId w:val="24"/>
  </w:num>
  <w:num w:numId="11" w16cid:durableId="1231312548">
    <w:abstractNumId w:val="2"/>
  </w:num>
  <w:num w:numId="12" w16cid:durableId="1347246981">
    <w:abstractNumId w:val="17"/>
  </w:num>
  <w:num w:numId="13" w16cid:durableId="306057585">
    <w:abstractNumId w:val="4"/>
  </w:num>
  <w:num w:numId="14" w16cid:durableId="1051805962">
    <w:abstractNumId w:val="6"/>
  </w:num>
  <w:num w:numId="15" w16cid:durableId="1862666532">
    <w:abstractNumId w:val="26"/>
  </w:num>
  <w:num w:numId="16" w16cid:durableId="1427309373">
    <w:abstractNumId w:val="19"/>
  </w:num>
  <w:num w:numId="17" w16cid:durableId="1784030952">
    <w:abstractNumId w:val="20"/>
  </w:num>
  <w:num w:numId="18" w16cid:durableId="966617545">
    <w:abstractNumId w:val="11"/>
  </w:num>
  <w:num w:numId="19" w16cid:durableId="1959068963">
    <w:abstractNumId w:val="12"/>
  </w:num>
  <w:num w:numId="20" w16cid:durableId="1747418911">
    <w:abstractNumId w:val="3"/>
  </w:num>
  <w:num w:numId="21" w16cid:durableId="1412041887">
    <w:abstractNumId w:val="1"/>
  </w:num>
  <w:num w:numId="22" w16cid:durableId="463616380">
    <w:abstractNumId w:val="7"/>
  </w:num>
  <w:num w:numId="23" w16cid:durableId="1937588275">
    <w:abstractNumId w:val="8"/>
  </w:num>
  <w:num w:numId="24" w16cid:durableId="1645086317">
    <w:abstractNumId w:val="5"/>
  </w:num>
  <w:num w:numId="25" w16cid:durableId="29807413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2457733">
    <w:abstractNumId w:val="21"/>
  </w:num>
  <w:num w:numId="27" w16cid:durableId="115293305">
    <w:abstractNumId w:val="14"/>
  </w:num>
  <w:num w:numId="28" w16cid:durableId="775518872">
    <w:abstractNumId w:val="15"/>
  </w:num>
  <w:num w:numId="29" w16cid:durableId="1131291963">
    <w:abstractNumId w:val="22"/>
  </w:num>
  <w:num w:numId="30" w16cid:durableId="1092824543">
    <w:abstractNumId w:val="22"/>
  </w:num>
  <w:num w:numId="31" w16cid:durableId="2000696757">
    <w:abstractNumId w:val="22"/>
  </w:num>
  <w:num w:numId="32" w16cid:durableId="172498231">
    <w:abstractNumId w:val="10"/>
  </w:num>
  <w:num w:numId="33" w16cid:durableId="799689981">
    <w:abstractNumId w:val="10"/>
  </w:num>
  <w:num w:numId="34" w16cid:durableId="911046771">
    <w:abstractNumId w:val="10"/>
  </w:num>
  <w:num w:numId="35" w16cid:durableId="998314182">
    <w:abstractNumId w:val="10"/>
  </w:num>
  <w:num w:numId="36" w16cid:durableId="658535360">
    <w:abstractNumId w:val="10"/>
  </w:num>
  <w:num w:numId="37" w16cid:durableId="1601214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20226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1739245">
    <w:abstractNumId w:val="22"/>
  </w:num>
  <w:num w:numId="40" w16cid:durableId="2076707033">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2B26"/>
    <w:rsid w:val="00002BAF"/>
    <w:rsid w:val="00003499"/>
    <w:rsid w:val="000039B7"/>
    <w:rsid w:val="00003A0B"/>
    <w:rsid w:val="000051DE"/>
    <w:rsid w:val="0000549C"/>
    <w:rsid w:val="000056B9"/>
    <w:rsid w:val="0000639A"/>
    <w:rsid w:val="00007FC8"/>
    <w:rsid w:val="000125D3"/>
    <w:rsid w:val="0001287D"/>
    <w:rsid w:val="00013247"/>
    <w:rsid w:val="00015886"/>
    <w:rsid w:val="000162EF"/>
    <w:rsid w:val="0001719D"/>
    <w:rsid w:val="000174D3"/>
    <w:rsid w:val="000207C9"/>
    <w:rsid w:val="00021506"/>
    <w:rsid w:val="0002225F"/>
    <w:rsid w:val="00022471"/>
    <w:rsid w:val="00022530"/>
    <w:rsid w:val="00022BE1"/>
    <w:rsid w:val="00023763"/>
    <w:rsid w:val="00024EB5"/>
    <w:rsid w:val="00025491"/>
    <w:rsid w:val="00025CBC"/>
    <w:rsid w:val="000274B8"/>
    <w:rsid w:val="0002788B"/>
    <w:rsid w:val="00027F43"/>
    <w:rsid w:val="00031277"/>
    <w:rsid w:val="00031340"/>
    <w:rsid w:val="0003157A"/>
    <w:rsid w:val="00032ED6"/>
    <w:rsid w:val="00033863"/>
    <w:rsid w:val="00034118"/>
    <w:rsid w:val="000358BF"/>
    <w:rsid w:val="00035DC0"/>
    <w:rsid w:val="000366AF"/>
    <w:rsid w:val="00036829"/>
    <w:rsid w:val="00036C9D"/>
    <w:rsid w:val="0004033C"/>
    <w:rsid w:val="00040895"/>
    <w:rsid w:val="00040B2A"/>
    <w:rsid w:val="000410A0"/>
    <w:rsid w:val="0004198F"/>
    <w:rsid w:val="000435EE"/>
    <w:rsid w:val="00043C37"/>
    <w:rsid w:val="00045017"/>
    <w:rsid w:val="0004570C"/>
    <w:rsid w:val="00045A2B"/>
    <w:rsid w:val="00045F79"/>
    <w:rsid w:val="0004698F"/>
    <w:rsid w:val="00046D64"/>
    <w:rsid w:val="00047D3D"/>
    <w:rsid w:val="000508C2"/>
    <w:rsid w:val="00051DC8"/>
    <w:rsid w:val="00052468"/>
    <w:rsid w:val="00052627"/>
    <w:rsid w:val="0005359D"/>
    <w:rsid w:val="000539D0"/>
    <w:rsid w:val="00053CAB"/>
    <w:rsid w:val="00054621"/>
    <w:rsid w:val="000546D7"/>
    <w:rsid w:val="00054A8D"/>
    <w:rsid w:val="00055248"/>
    <w:rsid w:val="000552AD"/>
    <w:rsid w:val="00056ECF"/>
    <w:rsid w:val="00057881"/>
    <w:rsid w:val="0005790E"/>
    <w:rsid w:val="000604DF"/>
    <w:rsid w:val="0006190C"/>
    <w:rsid w:val="00062B4E"/>
    <w:rsid w:val="00062B80"/>
    <w:rsid w:val="0006488F"/>
    <w:rsid w:val="000653B5"/>
    <w:rsid w:val="000660F5"/>
    <w:rsid w:val="00066360"/>
    <w:rsid w:val="00066AF8"/>
    <w:rsid w:val="00067272"/>
    <w:rsid w:val="00067B6B"/>
    <w:rsid w:val="00070527"/>
    <w:rsid w:val="000705E7"/>
    <w:rsid w:val="00070A03"/>
    <w:rsid w:val="00071248"/>
    <w:rsid w:val="00071548"/>
    <w:rsid w:val="000720B9"/>
    <w:rsid w:val="000737F7"/>
    <w:rsid w:val="0007448D"/>
    <w:rsid w:val="00076282"/>
    <w:rsid w:val="000763E9"/>
    <w:rsid w:val="0007672F"/>
    <w:rsid w:val="00076B54"/>
    <w:rsid w:val="000774F0"/>
    <w:rsid w:val="00080909"/>
    <w:rsid w:val="000812CA"/>
    <w:rsid w:val="00081833"/>
    <w:rsid w:val="00081E63"/>
    <w:rsid w:val="0008258D"/>
    <w:rsid w:val="00083E0D"/>
    <w:rsid w:val="00083E99"/>
    <w:rsid w:val="00084CAF"/>
    <w:rsid w:val="00084FA8"/>
    <w:rsid w:val="000856C5"/>
    <w:rsid w:val="00085C31"/>
    <w:rsid w:val="000902D9"/>
    <w:rsid w:val="0009066F"/>
    <w:rsid w:val="000909D1"/>
    <w:rsid w:val="00090AEB"/>
    <w:rsid w:val="00090C7E"/>
    <w:rsid w:val="000911AC"/>
    <w:rsid w:val="00092600"/>
    <w:rsid w:val="0009262B"/>
    <w:rsid w:val="00092C87"/>
    <w:rsid w:val="00093310"/>
    <w:rsid w:val="00093E39"/>
    <w:rsid w:val="0009445C"/>
    <w:rsid w:val="00094D79"/>
    <w:rsid w:val="00095200"/>
    <w:rsid w:val="000955FC"/>
    <w:rsid w:val="00095A36"/>
    <w:rsid w:val="00095FE5"/>
    <w:rsid w:val="00096284"/>
    <w:rsid w:val="0009763E"/>
    <w:rsid w:val="000979F7"/>
    <w:rsid w:val="000A0475"/>
    <w:rsid w:val="000A089A"/>
    <w:rsid w:val="000A0BED"/>
    <w:rsid w:val="000A1A2B"/>
    <w:rsid w:val="000A1BC0"/>
    <w:rsid w:val="000A29B7"/>
    <w:rsid w:val="000A2F9E"/>
    <w:rsid w:val="000A3E47"/>
    <w:rsid w:val="000A4A48"/>
    <w:rsid w:val="000A522B"/>
    <w:rsid w:val="000A583C"/>
    <w:rsid w:val="000A6039"/>
    <w:rsid w:val="000A6F08"/>
    <w:rsid w:val="000A7453"/>
    <w:rsid w:val="000A7D08"/>
    <w:rsid w:val="000B0121"/>
    <w:rsid w:val="000B0670"/>
    <w:rsid w:val="000B0E75"/>
    <w:rsid w:val="000B11C8"/>
    <w:rsid w:val="000B27C3"/>
    <w:rsid w:val="000B2DCB"/>
    <w:rsid w:val="000B36E0"/>
    <w:rsid w:val="000B4287"/>
    <w:rsid w:val="000B5176"/>
    <w:rsid w:val="000B5CE0"/>
    <w:rsid w:val="000B6CAC"/>
    <w:rsid w:val="000B74CF"/>
    <w:rsid w:val="000B7612"/>
    <w:rsid w:val="000B78AE"/>
    <w:rsid w:val="000C058A"/>
    <w:rsid w:val="000C1D58"/>
    <w:rsid w:val="000C3DF9"/>
    <w:rsid w:val="000C4CF2"/>
    <w:rsid w:val="000C5911"/>
    <w:rsid w:val="000C6713"/>
    <w:rsid w:val="000C6CC9"/>
    <w:rsid w:val="000C6E8C"/>
    <w:rsid w:val="000D0D6B"/>
    <w:rsid w:val="000D128B"/>
    <w:rsid w:val="000D13DF"/>
    <w:rsid w:val="000D1BFC"/>
    <w:rsid w:val="000D1D5D"/>
    <w:rsid w:val="000D281A"/>
    <w:rsid w:val="000D2848"/>
    <w:rsid w:val="000D326A"/>
    <w:rsid w:val="000D39FA"/>
    <w:rsid w:val="000D3AA5"/>
    <w:rsid w:val="000D51FB"/>
    <w:rsid w:val="000D52A7"/>
    <w:rsid w:val="000E0640"/>
    <w:rsid w:val="000E0BA3"/>
    <w:rsid w:val="000E135D"/>
    <w:rsid w:val="000E232E"/>
    <w:rsid w:val="000E3352"/>
    <w:rsid w:val="000E33CA"/>
    <w:rsid w:val="000E36F8"/>
    <w:rsid w:val="000E43ED"/>
    <w:rsid w:val="000E4C4D"/>
    <w:rsid w:val="000E53E6"/>
    <w:rsid w:val="000F00BA"/>
    <w:rsid w:val="000F01A5"/>
    <w:rsid w:val="000F1844"/>
    <w:rsid w:val="000F316A"/>
    <w:rsid w:val="000F39EE"/>
    <w:rsid w:val="000F3C74"/>
    <w:rsid w:val="000F3CAF"/>
    <w:rsid w:val="000F44F6"/>
    <w:rsid w:val="000F4BB8"/>
    <w:rsid w:val="000F4FA9"/>
    <w:rsid w:val="000F53FB"/>
    <w:rsid w:val="000F7127"/>
    <w:rsid w:val="000F7ACB"/>
    <w:rsid w:val="000F7B54"/>
    <w:rsid w:val="001000B3"/>
    <w:rsid w:val="0010042A"/>
    <w:rsid w:val="00100BF8"/>
    <w:rsid w:val="00100E4B"/>
    <w:rsid w:val="00100F8A"/>
    <w:rsid w:val="0010145F"/>
    <w:rsid w:val="00102FE9"/>
    <w:rsid w:val="0010452E"/>
    <w:rsid w:val="00105ACE"/>
    <w:rsid w:val="00105AE2"/>
    <w:rsid w:val="00105C3E"/>
    <w:rsid w:val="001060C6"/>
    <w:rsid w:val="00106B80"/>
    <w:rsid w:val="00106E85"/>
    <w:rsid w:val="0011032E"/>
    <w:rsid w:val="001103E9"/>
    <w:rsid w:val="001133BB"/>
    <w:rsid w:val="0011348B"/>
    <w:rsid w:val="00113655"/>
    <w:rsid w:val="00114912"/>
    <w:rsid w:val="00115800"/>
    <w:rsid w:val="00115982"/>
    <w:rsid w:val="00115F4E"/>
    <w:rsid w:val="00116C53"/>
    <w:rsid w:val="0011700D"/>
    <w:rsid w:val="00117C0D"/>
    <w:rsid w:val="00121799"/>
    <w:rsid w:val="001222FC"/>
    <w:rsid w:val="00123902"/>
    <w:rsid w:val="00124A51"/>
    <w:rsid w:val="00125F23"/>
    <w:rsid w:val="001265A3"/>
    <w:rsid w:val="00126621"/>
    <w:rsid w:val="00126B1D"/>
    <w:rsid w:val="00126C57"/>
    <w:rsid w:val="001301E9"/>
    <w:rsid w:val="00130D75"/>
    <w:rsid w:val="00130FBD"/>
    <w:rsid w:val="00131422"/>
    <w:rsid w:val="00131CFA"/>
    <w:rsid w:val="00131D82"/>
    <w:rsid w:val="00132B22"/>
    <w:rsid w:val="00133D36"/>
    <w:rsid w:val="0013412A"/>
    <w:rsid w:val="001372CB"/>
    <w:rsid w:val="00137645"/>
    <w:rsid w:val="001376B8"/>
    <w:rsid w:val="001376C3"/>
    <w:rsid w:val="0014015A"/>
    <w:rsid w:val="00140BD6"/>
    <w:rsid w:val="00140E99"/>
    <w:rsid w:val="001430C4"/>
    <w:rsid w:val="00143557"/>
    <w:rsid w:val="00143D2B"/>
    <w:rsid w:val="00143F67"/>
    <w:rsid w:val="001449BE"/>
    <w:rsid w:val="00145234"/>
    <w:rsid w:val="00145540"/>
    <w:rsid w:val="001456B0"/>
    <w:rsid w:val="00146743"/>
    <w:rsid w:val="001532DC"/>
    <w:rsid w:val="00153D1B"/>
    <w:rsid w:val="00153F82"/>
    <w:rsid w:val="001547AB"/>
    <w:rsid w:val="001565C6"/>
    <w:rsid w:val="00156F8F"/>
    <w:rsid w:val="00157130"/>
    <w:rsid w:val="001576B1"/>
    <w:rsid w:val="0016047B"/>
    <w:rsid w:val="00160A4C"/>
    <w:rsid w:val="00160D9F"/>
    <w:rsid w:val="00162913"/>
    <w:rsid w:val="00163A5D"/>
    <w:rsid w:val="00163EFF"/>
    <w:rsid w:val="00163F66"/>
    <w:rsid w:val="0016478E"/>
    <w:rsid w:val="00165EC4"/>
    <w:rsid w:val="001661CF"/>
    <w:rsid w:val="001661FB"/>
    <w:rsid w:val="00166694"/>
    <w:rsid w:val="001669BD"/>
    <w:rsid w:val="001671A0"/>
    <w:rsid w:val="0016767F"/>
    <w:rsid w:val="00170096"/>
    <w:rsid w:val="00171BE9"/>
    <w:rsid w:val="00173565"/>
    <w:rsid w:val="00173B07"/>
    <w:rsid w:val="00173ED1"/>
    <w:rsid w:val="00175165"/>
    <w:rsid w:val="001751FA"/>
    <w:rsid w:val="00176BE9"/>
    <w:rsid w:val="00180683"/>
    <w:rsid w:val="00181250"/>
    <w:rsid w:val="00181C10"/>
    <w:rsid w:val="00181C8A"/>
    <w:rsid w:val="00181D9C"/>
    <w:rsid w:val="00182DD8"/>
    <w:rsid w:val="001837FF"/>
    <w:rsid w:val="00184B0E"/>
    <w:rsid w:val="00185803"/>
    <w:rsid w:val="00185F02"/>
    <w:rsid w:val="00186424"/>
    <w:rsid w:val="001870E9"/>
    <w:rsid w:val="0018752F"/>
    <w:rsid w:val="001877E8"/>
    <w:rsid w:val="00191C86"/>
    <w:rsid w:val="00192FF1"/>
    <w:rsid w:val="00193838"/>
    <w:rsid w:val="00194AD8"/>
    <w:rsid w:val="00194F04"/>
    <w:rsid w:val="00195222"/>
    <w:rsid w:val="00195452"/>
    <w:rsid w:val="00196E46"/>
    <w:rsid w:val="001975D8"/>
    <w:rsid w:val="00197EE2"/>
    <w:rsid w:val="001A178E"/>
    <w:rsid w:val="001A1BA1"/>
    <w:rsid w:val="001A43FA"/>
    <w:rsid w:val="001A47C5"/>
    <w:rsid w:val="001A5893"/>
    <w:rsid w:val="001A59FB"/>
    <w:rsid w:val="001A5DE2"/>
    <w:rsid w:val="001A5E9E"/>
    <w:rsid w:val="001A6354"/>
    <w:rsid w:val="001A6366"/>
    <w:rsid w:val="001A76CE"/>
    <w:rsid w:val="001A7AE8"/>
    <w:rsid w:val="001B07CF"/>
    <w:rsid w:val="001B0A7C"/>
    <w:rsid w:val="001B1274"/>
    <w:rsid w:val="001B204E"/>
    <w:rsid w:val="001B22F4"/>
    <w:rsid w:val="001B2372"/>
    <w:rsid w:val="001B2554"/>
    <w:rsid w:val="001B3443"/>
    <w:rsid w:val="001B3FC2"/>
    <w:rsid w:val="001B4D20"/>
    <w:rsid w:val="001B60C9"/>
    <w:rsid w:val="001B655F"/>
    <w:rsid w:val="001B6650"/>
    <w:rsid w:val="001B7F84"/>
    <w:rsid w:val="001C052B"/>
    <w:rsid w:val="001C1FD5"/>
    <w:rsid w:val="001C2A9B"/>
    <w:rsid w:val="001C33BF"/>
    <w:rsid w:val="001C3DD6"/>
    <w:rsid w:val="001C4299"/>
    <w:rsid w:val="001C4874"/>
    <w:rsid w:val="001C5F94"/>
    <w:rsid w:val="001C600D"/>
    <w:rsid w:val="001C640B"/>
    <w:rsid w:val="001C6E66"/>
    <w:rsid w:val="001D04B1"/>
    <w:rsid w:val="001D06FD"/>
    <w:rsid w:val="001D0EA6"/>
    <w:rsid w:val="001D1100"/>
    <w:rsid w:val="001D1391"/>
    <w:rsid w:val="001D176C"/>
    <w:rsid w:val="001D25D7"/>
    <w:rsid w:val="001D4089"/>
    <w:rsid w:val="001D4330"/>
    <w:rsid w:val="001D4640"/>
    <w:rsid w:val="001D4DD7"/>
    <w:rsid w:val="001D50B2"/>
    <w:rsid w:val="001D5BD8"/>
    <w:rsid w:val="001D71F4"/>
    <w:rsid w:val="001D7645"/>
    <w:rsid w:val="001E1424"/>
    <w:rsid w:val="001E1B7E"/>
    <w:rsid w:val="001E1CFD"/>
    <w:rsid w:val="001E1E86"/>
    <w:rsid w:val="001E238E"/>
    <w:rsid w:val="001E2483"/>
    <w:rsid w:val="001E29A0"/>
    <w:rsid w:val="001E2B1E"/>
    <w:rsid w:val="001E2CFF"/>
    <w:rsid w:val="001E2F24"/>
    <w:rsid w:val="001E30D4"/>
    <w:rsid w:val="001E34DF"/>
    <w:rsid w:val="001E370A"/>
    <w:rsid w:val="001E4B35"/>
    <w:rsid w:val="001E52EB"/>
    <w:rsid w:val="001E5F20"/>
    <w:rsid w:val="001E61D2"/>
    <w:rsid w:val="001E63FD"/>
    <w:rsid w:val="001E740C"/>
    <w:rsid w:val="001E7551"/>
    <w:rsid w:val="001F1235"/>
    <w:rsid w:val="001F1CB3"/>
    <w:rsid w:val="001F2B1D"/>
    <w:rsid w:val="001F38B5"/>
    <w:rsid w:val="001F4081"/>
    <w:rsid w:val="001F5CFF"/>
    <w:rsid w:val="001F5EC6"/>
    <w:rsid w:val="001F7361"/>
    <w:rsid w:val="001F7D2F"/>
    <w:rsid w:val="002011B0"/>
    <w:rsid w:val="0020305B"/>
    <w:rsid w:val="00203181"/>
    <w:rsid w:val="00203783"/>
    <w:rsid w:val="0020385F"/>
    <w:rsid w:val="00205197"/>
    <w:rsid w:val="002068A0"/>
    <w:rsid w:val="00206B0F"/>
    <w:rsid w:val="00206C39"/>
    <w:rsid w:val="00206E98"/>
    <w:rsid w:val="00207021"/>
    <w:rsid w:val="0020732F"/>
    <w:rsid w:val="00207D00"/>
    <w:rsid w:val="002105C1"/>
    <w:rsid w:val="0021079F"/>
    <w:rsid w:val="002116FD"/>
    <w:rsid w:val="00212971"/>
    <w:rsid w:val="00213EF5"/>
    <w:rsid w:val="002156F2"/>
    <w:rsid w:val="00216AA5"/>
    <w:rsid w:val="00216BF5"/>
    <w:rsid w:val="00217EFE"/>
    <w:rsid w:val="0022138D"/>
    <w:rsid w:val="00222540"/>
    <w:rsid w:val="0022283E"/>
    <w:rsid w:val="002232AD"/>
    <w:rsid w:val="00223936"/>
    <w:rsid w:val="00223B49"/>
    <w:rsid w:val="00223D5A"/>
    <w:rsid w:val="00224790"/>
    <w:rsid w:val="00224DD4"/>
    <w:rsid w:val="00224E2A"/>
    <w:rsid w:val="00225E9A"/>
    <w:rsid w:val="0022637C"/>
    <w:rsid w:val="0022641D"/>
    <w:rsid w:val="00226452"/>
    <w:rsid w:val="002278A0"/>
    <w:rsid w:val="002305B0"/>
    <w:rsid w:val="002309CC"/>
    <w:rsid w:val="002319E7"/>
    <w:rsid w:val="00231BA9"/>
    <w:rsid w:val="0023209F"/>
    <w:rsid w:val="00232695"/>
    <w:rsid w:val="00232A1D"/>
    <w:rsid w:val="00233555"/>
    <w:rsid w:val="00233582"/>
    <w:rsid w:val="00233C01"/>
    <w:rsid w:val="00233FAB"/>
    <w:rsid w:val="0023413C"/>
    <w:rsid w:val="002346F0"/>
    <w:rsid w:val="00234E6C"/>
    <w:rsid w:val="00235FCB"/>
    <w:rsid w:val="0023629D"/>
    <w:rsid w:val="00237255"/>
    <w:rsid w:val="0024083E"/>
    <w:rsid w:val="00240F64"/>
    <w:rsid w:val="00241194"/>
    <w:rsid w:val="002424AF"/>
    <w:rsid w:val="00242CB1"/>
    <w:rsid w:val="002439DC"/>
    <w:rsid w:val="00243D28"/>
    <w:rsid w:val="002441D2"/>
    <w:rsid w:val="00244DC8"/>
    <w:rsid w:val="002458BA"/>
    <w:rsid w:val="002459E1"/>
    <w:rsid w:val="00245CE9"/>
    <w:rsid w:val="0024636C"/>
    <w:rsid w:val="00247925"/>
    <w:rsid w:val="00251006"/>
    <w:rsid w:val="0025147A"/>
    <w:rsid w:val="002524D5"/>
    <w:rsid w:val="002530EF"/>
    <w:rsid w:val="0025390D"/>
    <w:rsid w:val="00253B1D"/>
    <w:rsid w:val="002548F7"/>
    <w:rsid w:val="00254DCF"/>
    <w:rsid w:val="0025534B"/>
    <w:rsid w:val="002553C4"/>
    <w:rsid w:val="00255417"/>
    <w:rsid w:val="00255BB7"/>
    <w:rsid w:val="00256484"/>
    <w:rsid w:val="00257541"/>
    <w:rsid w:val="00257A39"/>
    <w:rsid w:val="00257AC4"/>
    <w:rsid w:val="00257BBE"/>
    <w:rsid w:val="0026190C"/>
    <w:rsid w:val="00261EEF"/>
    <w:rsid w:val="002621BF"/>
    <w:rsid w:val="00262A1A"/>
    <w:rsid w:val="00262A87"/>
    <w:rsid w:val="00262AFB"/>
    <w:rsid w:val="002630B0"/>
    <w:rsid w:val="00264653"/>
    <w:rsid w:val="00264D26"/>
    <w:rsid w:val="00265045"/>
    <w:rsid w:val="00265EB8"/>
    <w:rsid w:val="00266BBD"/>
    <w:rsid w:val="00267642"/>
    <w:rsid w:val="00267AEA"/>
    <w:rsid w:val="00267FAD"/>
    <w:rsid w:val="002700E6"/>
    <w:rsid w:val="002712A7"/>
    <w:rsid w:val="00271A1C"/>
    <w:rsid w:val="0027294B"/>
    <w:rsid w:val="00273EB4"/>
    <w:rsid w:val="00274682"/>
    <w:rsid w:val="00275158"/>
    <w:rsid w:val="002757C9"/>
    <w:rsid w:val="00275C5A"/>
    <w:rsid w:val="002764E5"/>
    <w:rsid w:val="0027781F"/>
    <w:rsid w:val="00277B96"/>
    <w:rsid w:val="00277BC1"/>
    <w:rsid w:val="00277F8D"/>
    <w:rsid w:val="00280FD7"/>
    <w:rsid w:val="00281014"/>
    <w:rsid w:val="00281620"/>
    <w:rsid w:val="00282F0D"/>
    <w:rsid w:val="0028405F"/>
    <w:rsid w:val="002857FF"/>
    <w:rsid w:val="00285A89"/>
    <w:rsid w:val="00285BCE"/>
    <w:rsid w:val="0028665D"/>
    <w:rsid w:val="00290BFB"/>
    <w:rsid w:val="00292AF5"/>
    <w:rsid w:val="00293513"/>
    <w:rsid w:val="00294461"/>
    <w:rsid w:val="00294BD5"/>
    <w:rsid w:val="0029697D"/>
    <w:rsid w:val="00296DA3"/>
    <w:rsid w:val="002A03B9"/>
    <w:rsid w:val="002A09B1"/>
    <w:rsid w:val="002A14AB"/>
    <w:rsid w:val="002A20B0"/>
    <w:rsid w:val="002A2ADE"/>
    <w:rsid w:val="002A2F50"/>
    <w:rsid w:val="002A3352"/>
    <w:rsid w:val="002A35D9"/>
    <w:rsid w:val="002A4DB2"/>
    <w:rsid w:val="002A5F15"/>
    <w:rsid w:val="002A7943"/>
    <w:rsid w:val="002A7E63"/>
    <w:rsid w:val="002B05A1"/>
    <w:rsid w:val="002B09A4"/>
    <w:rsid w:val="002B1098"/>
    <w:rsid w:val="002B1C1F"/>
    <w:rsid w:val="002B23E3"/>
    <w:rsid w:val="002B344B"/>
    <w:rsid w:val="002B432F"/>
    <w:rsid w:val="002B5641"/>
    <w:rsid w:val="002B5EB8"/>
    <w:rsid w:val="002B62B3"/>
    <w:rsid w:val="002B654A"/>
    <w:rsid w:val="002B6754"/>
    <w:rsid w:val="002B6CCE"/>
    <w:rsid w:val="002C15F4"/>
    <w:rsid w:val="002C1B70"/>
    <w:rsid w:val="002C2510"/>
    <w:rsid w:val="002C2775"/>
    <w:rsid w:val="002C27C1"/>
    <w:rsid w:val="002C36E3"/>
    <w:rsid w:val="002C378E"/>
    <w:rsid w:val="002C3C0B"/>
    <w:rsid w:val="002C406B"/>
    <w:rsid w:val="002C4396"/>
    <w:rsid w:val="002C4F3B"/>
    <w:rsid w:val="002C5099"/>
    <w:rsid w:val="002C5149"/>
    <w:rsid w:val="002C5889"/>
    <w:rsid w:val="002C5B13"/>
    <w:rsid w:val="002C5FB1"/>
    <w:rsid w:val="002C71CE"/>
    <w:rsid w:val="002D08F8"/>
    <w:rsid w:val="002D2FD8"/>
    <w:rsid w:val="002D459C"/>
    <w:rsid w:val="002D4D0E"/>
    <w:rsid w:val="002D4FDF"/>
    <w:rsid w:val="002D5740"/>
    <w:rsid w:val="002D577C"/>
    <w:rsid w:val="002D5B05"/>
    <w:rsid w:val="002D695F"/>
    <w:rsid w:val="002D737A"/>
    <w:rsid w:val="002D7832"/>
    <w:rsid w:val="002E1071"/>
    <w:rsid w:val="002E15B9"/>
    <w:rsid w:val="002E17A1"/>
    <w:rsid w:val="002E2158"/>
    <w:rsid w:val="002E2D07"/>
    <w:rsid w:val="002E3AFE"/>
    <w:rsid w:val="002E47B6"/>
    <w:rsid w:val="002E4F02"/>
    <w:rsid w:val="002E4FB7"/>
    <w:rsid w:val="002E5C8A"/>
    <w:rsid w:val="002E648F"/>
    <w:rsid w:val="002E71F8"/>
    <w:rsid w:val="002E7722"/>
    <w:rsid w:val="002E7D0B"/>
    <w:rsid w:val="002F07BA"/>
    <w:rsid w:val="002F0DA9"/>
    <w:rsid w:val="002F1014"/>
    <w:rsid w:val="002F1E3B"/>
    <w:rsid w:val="002F265D"/>
    <w:rsid w:val="002F403C"/>
    <w:rsid w:val="002F4A2A"/>
    <w:rsid w:val="002F62B0"/>
    <w:rsid w:val="002F643C"/>
    <w:rsid w:val="002F6EE8"/>
    <w:rsid w:val="002F71C0"/>
    <w:rsid w:val="002F74F1"/>
    <w:rsid w:val="00300C95"/>
    <w:rsid w:val="00301017"/>
    <w:rsid w:val="0030155F"/>
    <w:rsid w:val="00301D92"/>
    <w:rsid w:val="003020B8"/>
    <w:rsid w:val="00302638"/>
    <w:rsid w:val="0030336C"/>
    <w:rsid w:val="0030575F"/>
    <w:rsid w:val="0030587B"/>
    <w:rsid w:val="00306AAC"/>
    <w:rsid w:val="00306BED"/>
    <w:rsid w:val="00306D98"/>
    <w:rsid w:val="0030786C"/>
    <w:rsid w:val="0031031A"/>
    <w:rsid w:val="00310981"/>
    <w:rsid w:val="00311D9B"/>
    <w:rsid w:val="00312048"/>
    <w:rsid w:val="003124D9"/>
    <w:rsid w:val="00312542"/>
    <w:rsid w:val="00312594"/>
    <w:rsid w:val="00312ADD"/>
    <w:rsid w:val="00313275"/>
    <w:rsid w:val="003134C6"/>
    <w:rsid w:val="00315498"/>
    <w:rsid w:val="00315D3F"/>
    <w:rsid w:val="00316474"/>
    <w:rsid w:val="00316621"/>
    <w:rsid w:val="00316A59"/>
    <w:rsid w:val="0032001F"/>
    <w:rsid w:val="003208ED"/>
    <w:rsid w:val="00322107"/>
    <w:rsid w:val="00322355"/>
    <w:rsid w:val="00322846"/>
    <w:rsid w:val="00325A64"/>
    <w:rsid w:val="003260EC"/>
    <w:rsid w:val="003261FE"/>
    <w:rsid w:val="00326D41"/>
    <w:rsid w:val="00326DA7"/>
    <w:rsid w:val="003270E4"/>
    <w:rsid w:val="0032794D"/>
    <w:rsid w:val="00330DAA"/>
    <w:rsid w:val="00330F5C"/>
    <w:rsid w:val="00334B96"/>
    <w:rsid w:val="003366C9"/>
    <w:rsid w:val="00336A24"/>
    <w:rsid w:val="003371B0"/>
    <w:rsid w:val="00337C1F"/>
    <w:rsid w:val="00340DF1"/>
    <w:rsid w:val="00341769"/>
    <w:rsid w:val="003458F3"/>
    <w:rsid w:val="00345F04"/>
    <w:rsid w:val="00350561"/>
    <w:rsid w:val="003517F9"/>
    <w:rsid w:val="00351BA9"/>
    <w:rsid w:val="00352F20"/>
    <w:rsid w:val="00352F5C"/>
    <w:rsid w:val="00354623"/>
    <w:rsid w:val="00354F64"/>
    <w:rsid w:val="00355BF3"/>
    <w:rsid w:val="00355DD6"/>
    <w:rsid w:val="0035620E"/>
    <w:rsid w:val="0035742E"/>
    <w:rsid w:val="003575BE"/>
    <w:rsid w:val="00360345"/>
    <w:rsid w:val="00360F05"/>
    <w:rsid w:val="00361A05"/>
    <w:rsid w:val="00361B95"/>
    <w:rsid w:val="003624C4"/>
    <w:rsid w:val="00363B00"/>
    <w:rsid w:val="003654AC"/>
    <w:rsid w:val="003661BE"/>
    <w:rsid w:val="003679F0"/>
    <w:rsid w:val="003710CF"/>
    <w:rsid w:val="003710FB"/>
    <w:rsid w:val="00372A9F"/>
    <w:rsid w:val="00372E96"/>
    <w:rsid w:val="003730F0"/>
    <w:rsid w:val="0037358A"/>
    <w:rsid w:val="003750F6"/>
    <w:rsid w:val="00375650"/>
    <w:rsid w:val="0037598A"/>
    <w:rsid w:val="003760FC"/>
    <w:rsid w:val="00376951"/>
    <w:rsid w:val="00376962"/>
    <w:rsid w:val="00376AA5"/>
    <w:rsid w:val="00376D74"/>
    <w:rsid w:val="00376E63"/>
    <w:rsid w:val="00377CB8"/>
    <w:rsid w:val="00380517"/>
    <w:rsid w:val="00380B7A"/>
    <w:rsid w:val="00380F95"/>
    <w:rsid w:val="00381B8A"/>
    <w:rsid w:val="0038258C"/>
    <w:rsid w:val="003830DD"/>
    <w:rsid w:val="0038365C"/>
    <w:rsid w:val="0038369B"/>
    <w:rsid w:val="00383B78"/>
    <w:rsid w:val="0038457B"/>
    <w:rsid w:val="00385513"/>
    <w:rsid w:val="00385736"/>
    <w:rsid w:val="00385A9D"/>
    <w:rsid w:val="00385B88"/>
    <w:rsid w:val="00385C02"/>
    <w:rsid w:val="00386411"/>
    <w:rsid w:val="00386EBA"/>
    <w:rsid w:val="00387121"/>
    <w:rsid w:val="00387F57"/>
    <w:rsid w:val="003902B1"/>
    <w:rsid w:val="0039179C"/>
    <w:rsid w:val="003921E8"/>
    <w:rsid w:val="003934C4"/>
    <w:rsid w:val="00395028"/>
    <w:rsid w:val="00396896"/>
    <w:rsid w:val="00396FD0"/>
    <w:rsid w:val="00397041"/>
    <w:rsid w:val="00397308"/>
    <w:rsid w:val="003A1273"/>
    <w:rsid w:val="003A1344"/>
    <w:rsid w:val="003A1938"/>
    <w:rsid w:val="003A1A7A"/>
    <w:rsid w:val="003A2392"/>
    <w:rsid w:val="003A2831"/>
    <w:rsid w:val="003A3CB6"/>
    <w:rsid w:val="003A3ED1"/>
    <w:rsid w:val="003A44DB"/>
    <w:rsid w:val="003A4C14"/>
    <w:rsid w:val="003A7DDA"/>
    <w:rsid w:val="003A7FF1"/>
    <w:rsid w:val="003B1002"/>
    <w:rsid w:val="003B3939"/>
    <w:rsid w:val="003B3971"/>
    <w:rsid w:val="003B55D1"/>
    <w:rsid w:val="003B5B61"/>
    <w:rsid w:val="003C0DAE"/>
    <w:rsid w:val="003C1654"/>
    <w:rsid w:val="003C16B0"/>
    <w:rsid w:val="003C16C6"/>
    <w:rsid w:val="003C284D"/>
    <w:rsid w:val="003C29E8"/>
    <w:rsid w:val="003C2BCD"/>
    <w:rsid w:val="003C4D97"/>
    <w:rsid w:val="003C5542"/>
    <w:rsid w:val="003C6B24"/>
    <w:rsid w:val="003C7C15"/>
    <w:rsid w:val="003C7D19"/>
    <w:rsid w:val="003C7D2F"/>
    <w:rsid w:val="003D0C5A"/>
    <w:rsid w:val="003D13DF"/>
    <w:rsid w:val="003D1437"/>
    <w:rsid w:val="003D1828"/>
    <w:rsid w:val="003D1DE4"/>
    <w:rsid w:val="003D1E9A"/>
    <w:rsid w:val="003D2422"/>
    <w:rsid w:val="003D2809"/>
    <w:rsid w:val="003D3631"/>
    <w:rsid w:val="003D39A1"/>
    <w:rsid w:val="003D3C50"/>
    <w:rsid w:val="003D3FBF"/>
    <w:rsid w:val="003D4A30"/>
    <w:rsid w:val="003D5300"/>
    <w:rsid w:val="003D5E81"/>
    <w:rsid w:val="003D7452"/>
    <w:rsid w:val="003D79BB"/>
    <w:rsid w:val="003D7C98"/>
    <w:rsid w:val="003D7D9D"/>
    <w:rsid w:val="003E0543"/>
    <w:rsid w:val="003E1D9D"/>
    <w:rsid w:val="003E2FF6"/>
    <w:rsid w:val="003E3AA8"/>
    <w:rsid w:val="003E44A2"/>
    <w:rsid w:val="003E5603"/>
    <w:rsid w:val="003E56A4"/>
    <w:rsid w:val="003E6551"/>
    <w:rsid w:val="003E71CC"/>
    <w:rsid w:val="003E749E"/>
    <w:rsid w:val="003E7A9A"/>
    <w:rsid w:val="003E7EE6"/>
    <w:rsid w:val="003F2079"/>
    <w:rsid w:val="003F2EE0"/>
    <w:rsid w:val="003F3BD3"/>
    <w:rsid w:val="003F4156"/>
    <w:rsid w:val="003F45A4"/>
    <w:rsid w:val="003F4B5F"/>
    <w:rsid w:val="003F5833"/>
    <w:rsid w:val="003F5ADF"/>
    <w:rsid w:val="003F7024"/>
    <w:rsid w:val="003F7218"/>
    <w:rsid w:val="003F7A5A"/>
    <w:rsid w:val="00400749"/>
    <w:rsid w:val="00400B29"/>
    <w:rsid w:val="00402812"/>
    <w:rsid w:val="004036A9"/>
    <w:rsid w:val="00403AEA"/>
    <w:rsid w:val="00404029"/>
    <w:rsid w:val="0040504B"/>
    <w:rsid w:val="004059F4"/>
    <w:rsid w:val="004072E8"/>
    <w:rsid w:val="00407FE5"/>
    <w:rsid w:val="004101B0"/>
    <w:rsid w:val="00410326"/>
    <w:rsid w:val="00410708"/>
    <w:rsid w:val="00410EC7"/>
    <w:rsid w:val="004119B1"/>
    <w:rsid w:val="00411B39"/>
    <w:rsid w:val="004127A7"/>
    <w:rsid w:val="00412A45"/>
    <w:rsid w:val="00413A1E"/>
    <w:rsid w:val="00413CF0"/>
    <w:rsid w:val="00414192"/>
    <w:rsid w:val="00414476"/>
    <w:rsid w:val="00414956"/>
    <w:rsid w:val="00414C2E"/>
    <w:rsid w:val="004151CF"/>
    <w:rsid w:val="00416364"/>
    <w:rsid w:val="00416586"/>
    <w:rsid w:val="00416793"/>
    <w:rsid w:val="00417596"/>
    <w:rsid w:val="0042047F"/>
    <w:rsid w:val="00420981"/>
    <w:rsid w:val="00420AA6"/>
    <w:rsid w:val="00420B9F"/>
    <w:rsid w:val="0042192C"/>
    <w:rsid w:val="004219B0"/>
    <w:rsid w:val="00422260"/>
    <w:rsid w:val="00423B6C"/>
    <w:rsid w:val="0042413F"/>
    <w:rsid w:val="004252F1"/>
    <w:rsid w:val="0042548A"/>
    <w:rsid w:val="00425EB5"/>
    <w:rsid w:val="004276C3"/>
    <w:rsid w:val="0042770B"/>
    <w:rsid w:val="00427F54"/>
    <w:rsid w:val="0043014F"/>
    <w:rsid w:val="00430940"/>
    <w:rsid w:val="004319F8"/>
    <w:rsid w:val="00431C28"/>
    <w:rsid w:val="00431E55"/>
    <w:rsid w:val="00431FB7"/>
    <w:rsid w:val="004321F6"/>
    <w:rsid w:val="0043261E"/>
    <w:rsid w:val="00433044"/>
    <w:rsid w:val="00434088"/>
    <w:rsid w:val="004359C3"/>
    <w:rsid w:val="00436191"/>
    <w:rsid w:val="004375B9"/>
    <w:rsid w:val="00437B51"/>
    <w:rsid w:val="00440313"/>
    <w:rsid w:val="004413BC"/>
    <w:rsid w:val="00441BD7"/>
    <w:rsid w:val="004428D0"/>
    <w:rsid w:val="00442BD6"/>
    <w:rsid w:val="004433BF"/>
    <w:rsid w:val="004433EE"/>
    <w:rsid w:val="00443D61"/>
    <w:rsid w:val="00444155"/>
    <w:rsid w:val="00444185"/>
    <w:rsid w:val="004443A7"/>
    <w:rsid w:val="0044442C"/>
    <w:rsid w:val="00444B70"/>
    <w:rsid w:val="00445941"/>
    <w:rsid w:val="004462A3"/>
    <w:rsid w:val="00446415"/>
    <w:rsid w:val="004464EB"/>
    <w:rsid w:val="00447C61"/>
    <w:rsid w:val="00447D26"/>
    <w:rsid w:val="00447DFC"/>
    <w:rsid w:val="0045023C"/>
    <w:rsid w:val="00452F1F"/>
    <w:rsid w:val="004541EB"/>
    <w:rsid w:val="00454328"/>
    <w:rsid w:val="00454B2B"/>
    <w:rsid w:val="00454CDF"/>
    <w:rsid w:val="0045518A"/>
    <w:rsid w:val="004555A6"/>
    <w:rsid w:val="00455D45"/>
    <w:rsid w:val="00460534"/>
    <w:rsid w:val="004610BF"/>
    <w:rsid w:val="00462741"/>
    <w:rsid w:val="0046380A"/>
    <w:rsid w:val="00464595"/>
    <w:rsid w:val="00465819"/>
    <w:rsid w:val="004658B5"/>
    <w:rsid w:val="00465B20"/>
    <w:rsid w:val="00466CD0"/>
    <w:rsid w:val="00467C15"/>
    <w:rsid w:val="00467DA1"/>
    <w:rsid w:val="00471725"/>
    <w:rsid w:val="00471EA5"/>
    <w:rsid w:val="004726F8"/>
    <w:rsid w:val="00472A79"/>
    <w:rsid w:val="00473736"/>
    <w:rsid w:val="00473F19"/>
    <w:rsid w:val="0047475F"/>
    <w:rsid w:val="00474996"/>
    <w:rsid w:val="00475E15"/>
    <w:rsid w:val="00475E22"/>
    <w:rsid w:val="00476824"/>
    <w:rsid w:val="0048088E"/>
    <w:rsid w:val="00480F2B"/>
    <w:rsid w:val="00482720"/>
    <w:rsid w:val="0048287B"/>
    <w:rsid w:val="004831FD"/>
    <w:rsid w:val="004835E7"/>
    <w:rsid w:val="004857DB"/>
    <w:rsid w:val="004859E1"/>
    <w:rsid w:val="0048600E"/>
    <w:rsid w:val="00486497"/>
    <w:rsid w:val="004867E2"/>
    <w:rsid w:val="00486ACA"/>
    <w:rsid w:val="00490B17"/>
    <w:rsid w:val="00490B5E"/>
    <w:rsid w:val="004911C5"/>
    <w:rsid w:val="00491744"/>
    <w:rsid w:val="00491B3A"/>
    <w:rsid w:val="004924B5"/>
    <w:rsid w:val="00492CFD"/>
    <w:rsid w:val="0049394D"/>
    <w:rsid w:val="00494207"/>
    <w:rsid w:val="00494ADD"/>
    <w:rsid w:val="00494DD5"/>
    <w:rsid w:val="0049593A"/>
    <w:rsid w:val="00495AAD"/>
    <w:rsid w:val="004962D2"/>
    <w:rsid w:val="00497773"/>
    <w:rsid w:val="00497C78"/>
    <w:rsid w:val="004A0DA1"/>
    <w:rsid w:val="004A13D6"/>
    <w:rsid w:val="004A1918"/>
    <w:rsid w:val="004A2058"/>
    <w:rsid w:val="004A2D92"/>
    <w:rsid w:val="004A3669"/>
    <w:rsid w:val="004A3884"/>
    <w:rsid w:val="004A3985"/>
    <w:rsid w:val="004A3C66"/>
    <w:rsid w:val="004A44A0"/>
    <w:rsid w:val="004A52E9"/>
    <w:rsid w:val="004A6040"/>
    <w:rsid w:val="004A6597"/>
    <w:rsid w:val="004A74DB"/>
    <w:rsid w:val="004A7848"/>
    <w:rsid w:val="004A793B"/>
    <w:rsid w:val="004A7AA3"/>
    <w:rsid w:val="004B0C59"/>
    <w:rsid w:val="004B144C"/>
    <w:rsid w:val="004B1CB4"/>
    <w:rsid w:val="004B2F18"/>
    <w:rsid w:val="004B3518"/>
    <w:rsid w:val="004B3806"/>
    <w:rsid w:val="004B3DDB"/>
    <w:rsid w:val="004B44FD"/>
    <w:rsid w:val="004B5CFC"/>
    <w:rsid w:val="004B652E"/>
    <w:rsid w:val="004B67E9"/>
    <w:rsid w:val="004B6F79"/>
    <w:rsid w:val="004B774D"/>
    <w:rsid w:val="004B777A"/>
    <w:rsid w:val="004C290F"/>
    <w:rsid w:val="004C2AC2"/>
    <w:rsid w:val="004C33B0"/>
    <w:rsid w:val="004C48C1"/>
    <w:rsid w:val="004C4AED"/>
    <w:rsid w:val="004C4B61"/>
    <w:rsid w:val="004D04E6"/>
    <w:rsid w:val="004D1F9E"/>
    <w:rsid w:val="004D2C2D"/>
    <w:rsid w:val="004D697D"/>
    <w:rsid w:val="004D69B5"/>
    <w:rsid w:val="004D7227"/>
    <w:rsid w:val="004D72CC"/>
    <w:rsid w:val="004D7B5E"/>
    <w:rsid w:val="004E069C"/>
    <w:rsid w:val="004E0E7F"/>
    <w:rsid w:val="004E0EB8"/>
    <w:rsid w:val="004E18E9"/>
    <w:rsid w:val="004E2202"/>
    <w:rsid w:val="004E2ADC"/>
    <w:rsid w:val="004E2D98"/>
    <w:rsid w:val="004E38D4"/>
    <w:rsid w:val="004E3913"/>
    <w:rsid w:val="004E3FB5"/>
    <w:rsid w:val="004E43B2"/>
    <w:rsid w:val="004E5512"/>
    <w:rsid w:val="004F0647"/>
    <w:rsid w:val="004F1D02"/>
    <w:rsid w:val="004F2679"/>
    <w:rsid w:val="004F2BFE"/>
    <w:rsid w:val="004F2F21"/>
    <w:rsid w:val="004F388F"/>
    <w:rsid w:val="004F3DE5"/>
    <w:rsid w:val="004F4715"/>
    <w:rsid w:val="004F4BE0"/>
    <w:rsid w:val="004F67DE"/>
    <w:rsid w:val="004F6913"/>
    <w:rsid w:val="004F7865"/>
    <w:rsid w:val="00501004"/>
    <w:rsid w:val="0050172B"/>
    <w:rsid w:val="0050174E"/>
    <w:rsid w:val="00501854"/>
    <w:rsid w:val="00501C36"/>
    <w:rsid w:val="0050219B"/>
    <w:rsid w:val="00502691"/>
    <w:rsid w:val="00503F17"/>
    <w:rsid w:val="00503F3A"/>
    <w:rsid w:val="005041E8"/>
    <w:rsid w:val="00505AE5"/>
    <w:rsid w:val="0050616F"/>
    <w:rsid w:val="00506928"/>
    <w:rsid w:val="005077EF"/>
    <w:rsid w:val="00507E42"/>
    <w:rsid w:val="00510C04"/>
    <w:rsid w:val="00511AD5"/>
    <w:rsid w:val="00511DC7"/>
    <w:rsid w:val="005142C5"/>
    <w:rsid w:val="0051501B"/>
    <w:rsid w:val="005152B5"/>
    <w:rsid w:val="00515886"/>
    <w:rsid w:val="00516118"/>
    <w:rsid w:val="00516D3C"/>
    <w:rsid w:val="00517F3F"/>
    <w:rsid w:val="0052123C"/>
    <w:rsid w:val="00521250"/>
    <w:rsid w:val="00521319"/>
    <w:rsid w:val="00521769"/>
    <w:rsid w:val="00522BC8"/>
    <w:rsid w:val="0052359D"/>
    <w:rsid w:val="005236C4"/>
    <w:rsid w:val="00523739"/>
    <w:rsid w:val="00523C28"/>
    <w:rsid w:val="005243DB"/>
    <w:rsid w:val="00525DD4"/>
    <w:rsid w:val="00526D4C"/>
    <w:rsid w:val="00530C84"/>
    <w:rsid w:val="0053176B"/>
    <w:rsid w:val="00532F91"/>
    <w:rsid w:val="005339E6"/>
    <w:rsid w:val="00533C97"/>
    <w:rsid w:val="005341B3"/>
    <w:rsid w:val="00534CB8"/>
    <w:rsid w:val="0053614B"/>
    <w:rsid w:val="00536F42"/>
    <w:rsid w:val="00537182"/>
    <w:rsid w:val="00540C62"/>
    <w:rsid w:val="00540CA9"/>
    <w:rsid w:val="00541081"/>
    <w:rsid w:val="0054109E"/>
    <w:rsid w:val="0054125D"/>
    <w:rsid w:val="00541EDD"/>
    <w:rsid w:val="00542743"/>
    <w:rsid w:val="00542C2D"/>
    <w:rsid w:val="0054514D"/>
    <w:rsid w:val="005453AF"/>
    <w:rsid w:val="00546BAB"/>
    <w:rsid w:val="005478BD"/>
    <w:rsid w:val="005479E3"/>
    <w:rsid w:val="00551133"/>
    <w:rsid w:val="00551985"/>
    <w:rsid w:val="00552BD3"/>
    <w:rsid w:val="00552EB2"/>
    <w:rsid w:val="005532A0"/>
    <w:rsid w:val="00553A31"/>
    <w:rsid w:val="00553ED7"/>
    <w:rsid w:val="00555109"/>
    <w:rsid w:val="005557A6"/>
    <w:rsid w:val="00555EFB"/>
    <w:rsid w:val="0055657C"/>
    <w:rsid w:val="00556833"/>
    <w:rsid w:val="00556B35"/>
    <w:rsid w:val="00556B4E"/>
    <w:rsid w:val="0055741A"/>
    <w:rsid w:val="005600B9"/>
    <w:rsid w:val="005611B7"/>
    <w:rsid w:val="005618D4"/>
    <w:rsid w:val="00561E58"/>
    <w:rsid w:val="0056239F"/>
    <w:rsid w:val="00564087"/>
    <w:rsid w:val="00564867"/>
    <w:rsid w:val="00565773"/>
    <w:rsid w:val="00565C79"/>
    <w:rsid w:val="00565DF0"/>
    <w:rsid w:val="0056696F"/>
    <w:rsid w:val="00570E74"/>
    <w:rsid w:val="00572269"/>
    <w:rsid w:val="0057244A"/>
    <w:rsid w:val="00572F26"/>
    <w:rsid w:val="00573886"/>
    <w:rsid w:val="005748FD"/>
    <w:rsid w:val="005750C5"/>
    <w:rsid w:val="005752DE"/>
    <w:rsid w:val="00575D60"/>
    <w:rsid w:val="00575D8D"/>
    <w:rsid w:val="00576972"/>
    <w:rsid w:val="00577248"/>
    <w:rsid w:val="00580061"/>
    <w:rsid w:val="00580157"/>
    <w:rsid w:val="0058085A"/>
    <w:rsid w:val="00580AE5"/>
    <w:rsid w:val="005811ED"/>
    <w:rsid w:val="0058137C"/>
    <w:rsid w:val="00581941"/>
    <w:rsid w:val="00583699"/>
    <w:rsid w:val="00584A1F"/>
    <w:rsid w:val="00585CDD"/>
    <w:rsid w:val="00587058"/>
    <w:rsid w:val="005872E7"/>
    <w:rsid w:val="00587A84"/>
    <w:rsid w:val="00587DB6"/>
    <w:rsid w:val="005901CE"/>
    <w:rsid w:val="005906BF"/>
    <w:rsid w:val="00591957"/>
    <w:rsid w:val="00591EAB"/>
    <w:rsid w:val="005935F8"/>
    <w:rsid w:val="00595408"/>
    <w:rsid w:val="005976B3"/>
    <w:rsid w:val="00597BF9"/>
    <w:rsid w:val="005A0C11"/>
    <w:rsid w:val="005A0DAE"/>
    <w:rsid w:val="005A309A"/>
    <w:rsid w:val="005A373D"/>
    <w:rsid w:val="005A3E0D"/>
    <w:rsid w:val="005A4289"/>
    <w:rsid w:val="005A462A"/>
    <w:rsid w:val="005A4EA6"/>
    <w:rsid w:val="005A500E"/>
    <w:rsid w:val="005A5FBA"/>
    <w:rsid w:val="005B033C"/>
    <w:rsid w:val="005B0B58"/>
    <w:rsid w:val="005B1B9F"/>
    <w:rsid w:val="005B239A"/>
    <w:rsid w:val="005B414B"/>
    <w:rsid w:val="005B4E53"/>
    <w:rsid w:val="005B5857"/>
    <w:rsid w:val="005B5FC6"/>
    <w:rsid w:val="005B69CC"/>
    <w:rsid w:val="005B6C8F"/>
    <w:rsid w:val="005B77F3"/>
    <w:rsid w:val="005C19C4"/>
    <w:rsid w:val="005C19E6"/>
    <w:rsid w:val="005C1B83"/>
    <w:rsid w:val="005C1EC0"/>
    <w:rsid w:val="005C25FF"/>
    <w:rsid w:val="005C2D55"/>
    <w:rsid w:val="005C346B"/>
    <w:rsid w:val="005C431C"/>
    <w:rsid w:val="005C4E76"/>
    <w:rsid w:val="005C5ABC"/>
    <w:rsid w:val="005C7888"/>
    <w:rsid w:val="005D044D"/>
    <w:rsid w:val="005D0ABD"/>
    <w:rsid w:val="005D108C"/>
    <w:rsid w:val="005D18AD"/>
    <w:rsid w:val="005D1C74"/>
    <w:rsid w:val="005D2169"/>
    <w:rsid w:val="005D26B4"/>
    <w:rsid w:val="005D5B2B"/>
    <w:rsid w:val="005D6325"/>
    <w:rsid w:val="005E0570"/>
    <w:rsid w:val="005E16D1"/>
    <w:rsid w:val="005E1995"/>
    <w:rsid w:val="005E22EA"/>
    <w:rsid w:val="005E32EB"/>
    <w:rsid w:val="005E3969"/>
    <w:rsid w:val="005E5CAA"/>
    <w:rsid w:val="005E621B"/>
    <w:rsid w:val="005E6CBC"/>
    <w:rsid w:val="005E6E66"/>
    <w:rsid w:val="005E72FF"/>
    <w:rsid w:val="005E73C0"/>
    <w:rsid w:val="005F0642"/>
    <w:rsid w:val="005F07ED"/>
    <w:rsid w:val="005F15F1"/>
    <w:rsid w:val="005F2706"/>
    <w:rsid w:val="005F5604"/>
    <w:rsid w:val="005F564B"/>
    <w:rsid w:val="005F5C4E"/>
    <w:rsid w:val="005F6A8F"/>
    <w:rsid w:val="005F6BB7"/>
    <w:rsid w:val="005F7588"/>
    <w:rsid w:val="005F7B43"/>
    <w:rsid w:val="00601261"/>
    <w:rsid w:val="00603190"/>
    <w:rsid w:val="006033EE"/>
    <w:rsid w:val="00603DB9"/>
    <w:rsid w:val="006048A6"/>
    <w:rsid w:val="00606FBA"/>
    <w:rsid w:val="006072C8"/>
    <w:rsid w:val="00607669"/>
    <w:rsid w:val="006076ED"/>
    <w:rsid w:val="006076F4"/>
    <w:rsid w:val="00607AFD"/>
    <w:rsid w:val="00610C10"/>
    <w:rsid w:val="00611B12"/>
    <w:rsid w:val="00611B25"/>
    <w:rsid w:val="00612F97"/>
    <w:rsid w:val="006133EB"/>
    <w:rsid w:val="0061345D"/>
    <w:rsid w:val="00614F38"/>
    <w:rsid w:val="0061549B"/>
    <w:rsid w:val="00616802"/>
    <w:rsid w:val="006171C7"/>
    <w:rsid w:val="00617E12"/>
    <w:rsid w:val="00617EEF"/>
    <w:rsid w:val="00620C25"/>
    <w:rsid w:val="00621477"/>
    <w:rsid w:val="00621ADA"/>
    <w:rsid w:val="00623094"/>
    <w:rsid w:val="00623F7B"/>
    <w:rsid w:val="00624334"/>
    <w:rsid w:val="00624496"/>
    <w:rsid w:val="006248C6"/>
    <w:rsid w:val="00624BD4"/>
    <w:rsid w:val="00625EDE"/>
    <w:rsid w:val="00626275"/>
    <w:rsid w:val="00626331"/>
    <w:rsid w:val="0062640D"/>
    <w:rsid w:val="0062721E"/>
    <w:rsid w:val="006276CF"/>
    <w:rsid w:val="006309D5"/>
    <w:rsid w:val="0063158F"/>
    <w:rsid w:val="00631D6B"/>
    <w:rsid w:val="00632183"/>
    <w:rsid w:val="006325F4"/>
    <w:rsid w:val="006330A1"/>
    <w:rsid w:val="00634527"/>
    <w:rsid w:val="0063452D"/>
    <w:rsid w:val="0063479F"/>
    <w:rsid w:val="00634F9C"/>
    <w:rsid w:val="006353F0"/>
    <w:rsid w:val="006357B5"/>
    <w:rsid w:val="00635ED1"/>
    <w:rsid w:val="0063628E"/>
    <w:rsid w:val="006364A1"/>
    <w:rsid w:val="0063678E"/>
    <w:rsid w:val="00637B66"/>
    <w:rsid w:val="00637BFD"/>
    <w:rsid w:val="00637C5C"/>
    <w:rsid w:val="006412A2"/>
    <w:rsid w:val="00641419"/>
    <w:rsid w:val="00641C4E"/>
    <w:rsid w:val="00641FB3"/>
    <w:rsid w:val="0064434C"/>
    <w:rsid w:val="006471CC"/>
    <w:rsid w:val="006472FE"/>
    <w:rsid w:val="0064768A"/>
    <w:rsid w:val="00647A29"/>
    <w:rsid w:val="00647A6E"/>
    <w:rsid w:val="00650686"/>
    <w:rsid w:val="0065079F"/>
    <w:rsid w:val="006512C9"/>
    <w:rsid w:val="00652A28"/>
    <w:rsid w:val="00652CD6"/>
    <w:rsid w:val="006534F9"/>
    <w:rsid w:val="0065379F"/>
    <w:rsid w:val="00653886"/>
    <w:rsid w:val="00654A9A"/>
    <w:rsid w:val="0065536C"/>
    <w:rsid w:val="00655B81"/>
    <w:rsid w:val="00656188"/>
    <w:rsid w:val="00656FEC"/>
    <w:rsid w:val="0065715A"/>
    <w:rsid w:val="00660C58"/>
    <w:rsid w:val="006610F1"/>
    <w:rsid w:val="00661C6B"/>
    <w:rsid w:val="006629C7"/>
    <w:rsid w:val="00662D3E"/>
    <w:rsid w:val="00666642"/>
    <w:rsid w:val="00667BE3"/>
    <w:rsid w:val="006700C0"/>
    <w:rsid w:val="0067052E"/>
    <w:rsid w:val="00671004"/>
    <w:rsid w:val="006715A9"/>
    <w:rsid w:val="006715DF"/>
    <w:rsid w:val="0067252D"/>
    <w:rsid w:val="0067259A"/>
    <w:rsid w:val="00672646"/>
    <w:rsid w:val="00673A1B"/>
    <w:rsid w:val="00673E59"/>
    <w:rsid w:val="00674E42"/>
    <w:rsid w:val="006751BB"/>
    <w:rsid w:val="0067576E"/>
    <w:rsid w:val="00676563"/>
    <w:rsid w:val="00677002"/>
    <w:rsid w:val="0067795A"/>
    <w:rsid w:val="00680021"/>
    <w:rsid w:val="00680811"/>
    <w:rsid w:val="0068122C"/>
    <w:rsid w:val="006813F8"/>
    <w:rsid w:val="00682112"/>
    <w:rsid w:val="00682392"/>
    <w:rsid w:val="00682730"/>
    <w:rsid w:val="00682BA6"/>
    <w:rsid w:val="00682C2F"/>
    <w:rsid w:val="00683CCD"/>
    <w:rsid w:val="00686957"/>
    <w:rsid w:val="006872BA"/>
    <w:rsid w:val="006872DD"/>
    <w:rsid w:val="00690795"/>
    <w:rsid w:val="00691648"/>
    <w:rsid w:val="006917D7"/>
    <w:rsid w:val="0069434C"/>
    <w:rsid w:val="00694F44"/>
    <w:rsid w:val="00696AAF"/>
    <w:rsid w:val="00696EF9"/>
    <w:rsid w:val="00696F51"/>
    <w:rsid w:val="00697741"/>
    <w:rsid w:val="006979A5"/>
    <w:rsid w:val="006A016F"/>
    <w:rsid w:val="006A0482"/>
    <w:rsid w:val="006A0DF7"/>
    <w:rsid w:val="006A0EA8"/>
    <w:rsid w:val="006A4321"/>
    <w:rsid w:val="006A43D9"/>
    <w:rsid w:val="006A5086"/>
    <w:rsid w:val="006A5A3C"/>
    <w:rsid w:val="006A6B99"/>
    <w:rsid w:val="006A77C6"/>
    <w:rsid w:val="006A7B50"/>
    <w:rsid w:val="006A7E5F"/>
    <w:rsid w:val="006B261B"/>
    <w:rsid w:val="006B2C90"/>
    <w:rsid w:val="006B35E6"/>
    <w:rsid w:val="006B465A"/>
    <w:rsid w:val="006B4D34"/>
    <w:rsid w:val="006B4D98"/>
    <w:rsid w:val="006B55B7"/>
    <w:rsid w:val="006B6B21"/>
    <w:rsid w:val="006B6C6E"/>
    <w:rsid w:val="006B6DD0"/>
    <w:rsid w:val="006C001B"/>
    <w:rsid w:val="006C0399"/>
    <w:rsid w:val="006C092B"/>
    <w:rsid w:val="006C0A10"/>
    <w:rsid w:val="006C225C"/>
    <w:rsid w:val="006C2A8E"/>
    <w:rsid w:val="006C2FA1"/>
    <w:rsid w:val="006C3255"/>
    <w:rsid w:val="006C3F26"/>
    <w:rsid w:val="006C460E"/>
    <w:rsid w:val="006C53DE"/>
    <w:rsid w:val="006C721A"/>
    <w:rsid w:val="006C7FB0"/>
    <w:rsid w:val="006D01F5"/>
    <w:rsid w:val="006D0D17"/>
    <w:rsid w:val="006D3A49"/>
    <w:rsid w:val="006D3C7D"/>
    <w:rsid w:val="006D4252"/>
    <w:rsid w:val="006D4659"/>
    <w:rsid w:val="006D5177"/>
    <w:rsid w:val="006D5D5F"/>
    <w:rsid w:val="006D670D"/>
    <w:rsid w:val="006D68FB"/>
    <w:rsid w:val="006D729C"/>
    <w:rsid w:val="006D7762"/>
    <w:rsid w:val="006E0DFB"/>
    <w:rsid w:val="006E2868"/>
    <w:rsid w:val="006E36E1"/>
    <w:rsid w:val="006E46EB"/>
    <w:rsid w:val="006E7D40"/>
    <w:rsid w:val="006F175E"/>
    <w:rsid w:val="006F1E94"/>
    <w:rsid w:val="006F306C"/>
    <w:rsid w:val="006F31E0"/>
    <w:rsid w:val="006F3B19"/>
    <w:rsid w:val="006F63A5"/>
    <w:rsid w:val="006F6D93"/>
    <w:rsid w:val="007000AC"/>
    <w:rsid w:val="00701038"/>
    <w:rsid w:val="0070142B"/>
    <w:rsid w:val="0070276E"/>
    <w:rsid w:val="00702989"/>
    <w:rsid w:val="00702EB6"/>
    <w:rsid w:val="00702F8F"/>
    <w:rsid w:val="0070316F"/>
    <w:rsid w:val="00703CE7"/>
    <w:rsid w:val="00707084"/>
    <w:rsid w:val="007079FC"/>
    <w:rsid w:val="00711A36"/>
    <w:rsid w:val="007125D3"/>
    <w:rsid w:val="00712E46"/>
    <w:rsid w:val="0071364A"/>
    <w:rsid w:val="00713DE1"/>
    <w:rsid w:val="00714C26"/>
    <w:rsid w:val="0071529C"/>
    <w:rsid w:val="00716C5B"/>
    <w:rsid w:val="007170DA"/>
    <w:rsid w:val="007172AD"/>
    <w:rsid w:val="00717546"/>
    <w:rsid w:val="0072025E"/>
    <w:rsid w:val="00720801"/>
    <w:rsid w:val="00720F8B"/>
    <w:rsid w:val="00722B1B"/>
    <w:rsid w:val="0072416F"/>
    <w:rsid w:val="00724FA0"/>
    <w:rsid w:val="00726744"/>
    <w:rsid w:val="00727260"/>
    <w:rsid w:val="00727C94"/>
    <w:rsid w:val="0073173A"/>
    <w:rsid w:val="00731AC3"/>
    <w:rsid w:val="00731B0A"/>
    <w:rsid w:val="00731EAE"/>
    <w:rsid w:val="00733073"/>
    <w:rsid w:val="00735033"/>
    <w:rsid w:val="00735328"/>
    <w:rsid w:val="0073660C"/>
    <w:rsid w:val="0073685B"/>
    <w:rsid w:val="007368AA"/>
    <w:rsid w:val="007379EC"/>
    <w:rsid w:val="007401D2"/>
    <w:rsid w:val="00741B9F"/>
    <w:rsid w:val="007449BF"/>
    <w:rsid w:val="00744DCE"/>
    <w:rsid w:val="00744FDA"/>
    <w:rsid w:val="007463FE"/>
    <w:rsid w:val="00746BC0"/>
    <w:rsid w:val="00746E03"/>
    <w:rsid w:val="007510B4"/>
    <w:rsid w:val="00751DCD"/>
    <w:rsid w:val="00752142"/>
    <w:rsid w:val="007523F9"/>
    <w:rsid w:val="00752BF3"/>
    <w:rsid w:val="0075330E"/>
    <w:rsid w:val="007533FA"/>
    <w:rsid w:val="0075357E"/>
    <w:rsid w:val="00753B29"/>
    <w:rsid w:val="00753F60"/>
    <w:rsid w:val="00754482"/>
    <w:rsid w:val="0075528C"/>
    <w:rsid w:val="0075582F"/>
    <w:rsid w:val="00756116"/>
    <w:rsid w:val="007573E8"/>
    <w:rsid w:val="0076006B"/>
    <w:rsid w:val="00760C4E"/>
    <w:rsid w:val="00760F4C"/>
    <w:rsid w:val="00760F9E"/>
    <w:rsid w:val="007616E6"/>
    <w:rsid w:val="00761B55"/>
    <w:rsid w:val="007627BE"/>
    <w:rsid w:val="00763493"/>
    <w:rsid w:val="00764F03"/>
    <w:rsid w:val="00765B1A"/>
    <w:rsid w:val="00765C94"/>
    <w:rsid w:val="00765DC1"/>
    <w:rsid w:val="007676AF"/>
    <w:rsid w:val="00770FB0"/>
    <w:rsid w:val="00773BC1"/>
    <w:rsid w:val="00775A0C"/>
    <w:rsid w:val="00776404"/>
    <w:rsid w:val="00777335"/>
    <w:rsid w:val="007779A2"/>
    <w:rsid w:val="00780C8B"/>
    <w:rsid w:val="0078235F"/>
    <w:rsid w:val="007843F2"/>
    <w:rsid w:val="007846FA"/>
    <w:rsid w:val="00785A9F"/>
    <w:rsid w:val="00785D7F"/>
    <w:rsid w:val="00790F92"/>
    <w:rsid w:val="007925DF"/>
    <w:rsid w:val="00792FDD"/>
    <w:rsid w:val="00793255"/>
    <w:rsid w:val="00794C8C"/>
    <w:rsid w:val="007A08AA"/>
    <w:rsid w:val="007A0A12"/>
    <w:rsid w:val="007A0A5F"/>
    <w:rsid w:val="007A132D"/>
    <w:rsid w:val="007A1345"/>
    <w:rsid w:val="007A16CF"/>
    <w:rsid w:val="007A1F39"/>
    <w:rsid w:val="007A2257"/>
    <w:rsid w:val="007A2273"/>
    <w:rsid w:val="007A2DDB"/>
    <w:rsid w:val="007A4125"/>
    <w:rsid w:val="007A4F2B"/>
    <w:rsid w:val="007A5EFB"/>
    <w:rsid w:val="007A623E"/>
    <w:rsid w:val="007A6E01"/>
    <w:rsid w:val="007A70BA"/>
    <w:rsid w:val="007A7F88"/>
    <w:rsid w:val="007B0BD3"/>
    <w:rsid w:val="007B0D68"/>
    <w:rsid w:val="007B0FF2"/>
    <w:rsid w:val="007B1AD0"/>
    <w:rsid w:val="007B1EE3"/>
    <w:rsid w:val="007B251D"/>
    <w:rsid w:val="007B3533"/>
    <w:rsid w:val="007B4F58"/>
    <w:rsid w:val="007B528D"/>
    <w:rsid w:val="007B5EE5"/>
    <w:rsid w:val="007B63CA"/>
    <w:rsid w:val="007B684C"/>
    <w:rsid w:val="007B77D1"/>
    <w:rsid w:val="007B7BFC"/>
    <w:rsid w:val="007C05A0"/>
    <w:rsid w:val="007C07C7"/>
    <w:rsid w:val="007C08E7"/>
    <w:rsid w:val="007C0AE2"/>
    <w:rsid w:val="007C1B17"/>
    <w:rsid w:val="007C1CD9"/>
    <w:rsid w:val="007C32EF"/>
    <w:rsid w:val="007C361D"/>
    <w:rsid w:val="007C4B84"/>
    <w:rsid w:val="007C53CF"/>
    <w:rsid w:val="007C632E"/>
    <w:rsid w:val="007C662F"/>
    <w:rsid w:val="007C70FF"/>
    <w:rsid w:val="007C7610"/>
    <w:rsid w:val="007C7C25"/>
    <w:rsid w:val="007D004F"/>
    <w:rsid w:val="007D035F"/>
    <w:rsid w:val="007D04C3"/>
    <w:rsid w:val="007D06B2"/>
    <w:rsid w:val="007D0B38"/>
    <w:rsid w:val="007D145A"/>
    <w:rsid w:val="007D1A89"/>
    <w:rsid w:val="007D5440"/>
    <w:rsid w:val="007D5F87"/>
    <w:rsid w:val="007D69EB"/>
    <w:rsid w:val="007D7695"/>
    <w:rsid w:val="007E128F"/>
    <w:rsid w:val="007E1759"/>
    <w:rsid w:val="007E21A4"/>
    <w:rsid w:val="007E279D"/>
    <w:rsid w:val="007E3539"/>
    <w:rsid w:val="007E7F19"/>
    <w:rsid w:val="007F1017"/>
    <w:rsid w:val="007F13A5"/>
    <w:rsid w:val="007F2710"/>
    <w:rsid w:val="007F37B8"/>
    <w:rsid w:val="007F4A3F"/>
    <w:rsid w:val="007F4A61"/>
    <w:rsid w:val="007F50D1"/>
    <w:rsid w:val="007F51C5"/>
    <w:rsid w:val="007F5255"/>
    <w:rsid w:val="007F56CC"/>
    <w:rsid w:val="007F58EB"/>
    <w:rsid w:val="007F61C2"/>
    <w:rsid w:val="007F6CE0"/>
    <w:rsid w:val="007F75F6"/>
    <w:rsid w:val="008014EF"/>
    <w:rsid w:val="0080264F"/>
    <w:rsid w:val="00805142"/>
    <w:rsid w:val="00805FCE"/>
    <w:rsid w:val="00807434"/>
    <w:rsid w:val="00807506"/>
    <w:rsid w:val="00807A8B"/>
    <w:rsid w:val="008107D5"/>
    <w:rsid w:val="00811383"/>
    <w:rsid w:val="00812149"/>
    <w:rsid w:val="00812CAC"/>
    <w:rsid w:val="00813B2D"/>
    <w:rsid w:val="008142AA"/>
    <w:rsid w:val="00814341"/>
    <w:rsid w:val="00815B09"/>
    <w:rsid w:val="00816361"/>
    <w:rsid w:val="008166EF"/>
    <w:rsid w:val="00816900"/>
    <w:rsid w:val="00816BB1"/>
    <w:rsid w:val="00816FEF"/>
    <w:rsid w:val="008171D3"/>
    <w:rsid w:val="00820A8C"/>
    <w:rsid w:val="008215FB"/>
    <w:rsid w:val="008220CC"/>
    <w:rsid w:val="00823174"/>
    <w:rsid w:val="0082385A"/>
    <w:rsid w:val="00825751"/>
    <w:rsid w:val="00825F67"/>
    <w:rsid w:val="008264EB"/>
    <w:rsid w:val="008268CE"/>
    <w:rsid w:val="00826C17"/>
    <w:rsid w:val="00827339"/>
    <w:rsid w:val="00827BD3"/>
    <w:rsid w:val="00827C23"/>
    <w:rsid w:val="00830F56"/>
    <w:rsid w:val="008311F5"/>
    <w:rsid w:val="0083207B"/>
    <w:rsid w:val="0083277B"/>
    <w:rsid w:val="008336DF"/>
    <w:rsid w:val="00833B05"/>
    <w:rsid w:val="008362B4"/>
    <w:rsid w:val="00840801"/>
    <w:rsid w:val="00840CA2"/>
    <w:rsid w:val="0084179D"/>
    <w:rsid w:val="0084182A"/>
    <w:rsid w:val="008421BD"/>
    <w:rsid w:val="00843096"/>
    <w:rsid w:val="0084374F"/>
    <w:rsid w:val="008449E8"/>
    <w:rsid w:val="00844A22"/>
    <w:rsid w:val="00844B96"/>
    <w:rsid w:val="00847109"/>
    <w:rsid w:val="00847703"/>
    <w:rsid w:val="00847DF5"/>
    <w:rsid w:val="0085030E"/>
    <w:rsid w:val="00850871"/>
    <w:rsid w:val="0085125A"/>
    <w:rsid w:val="00852800"/>
    <w:rsid w:val="0085309D"/>
    <w:rsid w:val="00854496"/>
    <w:rsid w:val="00855EAE"/>
    <w:rsid w:val="008561E9"/>
    <w:rsid w:val="00856897"/>
    <w:rsid w:val="00856E9A"/>
    <w:rsid w:val="008573AB"/>
    <w:rsid w:val="008576FE"/>
    <w:rsid w:val="0086075D"/>
    <w:rsid w:val="00861B44"/>
    <w:rsid w:val="00862502"/>
    <w:rsid w:val="00862CC1"/>
    <w:rsid w:val="008642A7"/>
    <w:rsid w:val="00864752"/>
    <w:rsid w:val="00865222"/>
    <w:rsid w:val="00865CAD"/>
    <w:rsid w:val="008660D4"/>
    <w:rsid w:val="008674C1"/>
    <w:rsid w:val="008679A4"/>
    <w:rsid w:val="00871FA9"/>
    <w:rsid w:val="008728E9"/>
    <w:rsid w:val="00873FD5"/>
    <w:rsid w:val="00875CC8"/>
    <w:rsid w:val="00876081"/>
    <w:rsid w:val="0087651F"/>
    <w:rsid w:val="0087672F"/>
    <w:rsid w:val="00881796"/>
    <w:rsid w:val="008823C7"/>
    <w:rsid w:val="0088249D"/>
    <w:rsid w:val="00882874"/>
    <w:rsid w:val="00882E3C"/>
    <w:rsid w:val="0088308A"/>
    <w:rsid w:val="0088348B"/>
    <w:rsid w:val="00883787"/>
    <w:rsid w:val="008844E5"/>
    <w:rsid w:val="00884A10"/>
    <w:rsid w:val="008855E4"/>
    <w:rsid w:val="0088562B"/>
    <w:rsid w:val="00885CDA"/>
    <w:rsid w:val="00886629"/>
    <w:rsid w:val="00886CD2"/>
    <w:rsid w:val="00887C73"/>
    <w:rsid w:val="00887E2A"/>
    <w:rsid w:val="00891D5C"/>
    <w:rsid w:val="00891E6F"/>
    <w:rsid w:val="00892459"/>
    <w:rsid w:val="0089275D"/>
    <w:rsid w:val="00892A36"/>
    <w:rsid w:val="008930FD"/>
    <w:rsid w:val="00893239"/>
    <w:rsid w:val="00893CBE"/>
    <w:rsid w:val="00894489"/>
    <w:rsid w:val="00894CD6"/>
    <w:rsid w:val="00895726"/>
    <w:rsid w:val="008963A5"/>
    <w:rsid w:val="0089691C"/>
    <w:rsid w:val="00896C92"/>
    <w:rsid w:val="00896D5D"/>
    <w:rsid w:val="00897010"/>
    <w:rsid w:val="008A0BE7"/>
    <w:rsid w:val="008A0DBF"/>
    <w:rsid w:val="008A2580"/>
    <w:rsid w:val="008A3158"/>
    <w:rsid w:val="008A3363"/>
    <w:rsid w:val="008A3371"/>
    <w:rsid w:val="008A3C3E"/>
    <w:rsid w:val="008A3CD5"/>
    <w:rsid w:val="008A46F0"/>
    <w:rsid w:val="008A6DE2"/>
    <w:rsid w:val="008A79DE"/>
    <w:rsid w:val="008B0B43"/>
    <w:rsid w:val="008B124A"/>
    <w:rsid w:val="008B1757"/>
    <w:rsid w:val="008B1C33"/>
    <w:rsid w:val="008B254F"/>
    <w:rsid w:val="008B25F3"/>
    <w:rsid w:val="008B2FA7"/>
    <w:rsid w:val="008B34DB"/>
    <w:rsid w:val="008B3BB1"/>
    <w:rsid w:val="008B3F48"/>
    <w:rsid w:val="008B3F86"/>
    <w:rsid w:val="008B44E7"/>
    <w:rsid w:val="008B48AC"/>
    <w:rsid w:val="008B4B6F"/>
    <w:rsid w:val="008B6054"/>
    <w:rsid w:val="008B6A52"/>
    <w:rsid w:val="008B7992"/>
    <w:rsid w:val="008B7D7E"/>
    <w:rsid w:val="008C014B"/>
    <w:rsid w:val="008C0366"/>
    <w:rsid w:val="008C077D"/>
    <w:rsid w:val="008C28B6"/>
    <w:rsid w:val="008C3277"/>
    <w:rsid w:val="008C3F00"/>
    <w:rsid w:val="008C5610"/>
    <w:rsid w:val="008C5739"/>
    <w:rsid w:val="008C6711"/>
    <w:rsid w:val="008C68E8"/>
    <w:rsid w:val="008C6F52"/>
    <w:rsid w:val="008C716C"/>
    <w:rsid w:val="008C7282"/>
    <w:rsid w:val="008C7ECB"/>
    <w:rsid w:val="008D0D10"/>
    <w:rsid w:val="008D29E8"/>
    <w:rsid w:val="008D3B86"/>
    <w:rsid w:val="008D4063"/>
    <w:rsid w:val="008D43FD"/>
    <w:rsid w:val="008D4755"/>
    <w:rsid w:val="008D4C3D"/>
    <w:rsid w:val="008D4D52"/>
    <w:rsid w:val="008D65DE"/>
    <w:rsid w:val="008D743C"/>
    <w:rsid w:val="008E0D3C"/>
    <w:rsid w:val="008E1914"/>
    <w:rsid w:val="008E1B5D"/>
    <w:rsid w:val="008E1B9E"/>
    <w:rsid w:val="008E493A"/>
    <w:rsid w:val="008E4F00"/>
    <w:rsid w:val="008E55AB"/>
    <w:rsid w:val="008F120A"/>
    <w:rsid w:val="008F27E0"/>
    <w:rsid w:val="008F362B"/>
    <w:rsid w:val="008F48EB"/>
    <w:rsid w:val="008F4F0B"/>
    <w:rsid w:val="008F5385"/>
    <w:rsid w:val="008F591F"/>
    <w:rsid w:val="008F5F48"/>
    <w:rsid w:val="008F7333"/>
    <w:rsid w:val="008F7510"/>
    <w:rsid w:val="00901866"/>
    <w:rsid w:val="0090316A"/>
    <w:rsid w:val="00903283"/>
    <w:rsid w:val="009046C4"/>
    <w:rsid w:val="009053DD"/>
    <w:rsid w:val="00905D55"/>
    <w:rsid w:val="009061C7"/>
    <w:rsid w:val="009062A5"/>
    <w:rsid w:val="00907699"/>
    <w:rsid w:val="00910FA7"/>
    <w:rsid w:val="00911272"/>
    <w:rsid w:val="00911339"/>
    <w:rsid w:val="009114DF"/>
    <w:rsid w:val="00911891"/>
    <w:rsid w:val="009123D0"/>
    <w:rsid w:val="009128C1"/>
    <w:rsid w:val="00912D74"/>
    <w:rsid w:val="009135D6"/>
    <w:rsid w:val="009143E6"/>
    <w:rsid w:val="00914C77"/>
    <w:rsid w:val="00916985"/>
    <w:rsid w:val="00917EB6"/>
    <w:rsid w:val="00921ACB"/>
    <w:rsid w:val="00921C24"/>
    <w:rsid w:val="0092369B"/>
    <w:rsid w:val="0092376D"/>
    <w:rsid w:val="00924321"/>
    <w:rsid w:val="0092437D"/>
    <w:rsid w:val="00924468"/>
    <w:rsid w:val="0092469F"/>
    <w:rsid w:val="00924A94"/>
    <w:rsid w:val="0092530C"/>
    <w:rsid w:val="0092608C"/>
    <w:rsid w:val="009268C0"/>
    <w:rsid w:val="009268CB"/>
    <w:rsid w:val="009274F1"/>
    <w:rsid w:val="00930CA4"/>
    <w:rsid w:val="009310F0"/>
    <w:rsid w:val="00932C48"/>
    <w:rsid w:val="0093402D"/>
    <w:rsid w:val="00934988"/>
    <w:rsid w:val="009357F5"/>
    <w:rsid w:val="00937089"/>
    <w:rsid w:val="00937677"/>
    <w:rsid w:val="0094188F"/>
    <w:rsid w:val="00942159"/>
    <w:rsid w:val="009423D7"/>
    <w:rsid w:val="0094269D"/>
    <w:rsid w:val="009429B9"/>
    <w:rsid w:val="0094396A"/>
    <w:rsid w:val="00944F8A"/>
    <w:rsid w:val="00944F9E"/>
    <w:rsid w:val="00947655"/>
    <w:rsid w:val="00950165"/>
    <w:rsid w:val="00950861"/>
    <w:rsid w:val="009510A2"/>
    <w:rsid w:val="009527E9"/>
    <w:rsid w:val="00953257"/>
    <w:rsid w:val="00953492"/>
    <w:rsid w:val="009536F3"/>
    <w:rsid w:val="0095474C"/>
    <w:rsid w:val="009548E6"/>
    <w:rsid w:val="00955933"/>
    <w:rsid w:val="00957D92"/>
    <w:rsid w:val="009608ED"/>
    <w:rsid w:val="00962CB9"/>
    <w:rsid w:val="00964312"/>
    <w:rsid w:val="00964932"/>
    <w:rsid w:val="00965B8A"/>
    <w:rsid w:val="009661E6"/>
    <w:rsid w:val="00967271"/>
    <w:rsid w:val="0097071F"/>
    <w:rsid w:val="009717AC"/>
    <w:rsid w:val="009724E9"/>
    <w:rsid w:val="00974691"/>
    <w:rsid w:val="009751C1"/>
    <w:rsid w:val="009760E3"/>
    <w:rsid w:val="00976343"/>
    <w:rsid w:val="009772FF"/>
    <w:rsid w:val="009811F1"/>
    <w:rsid w:val="00983E57"/>
    <w:rsid w:val="00985DE2"/>
    <w:rsid w:val="009866DF"/>
    <w:rsid w:val="0098675D"/>
    <w:rsid w:val="009869E1"/>
    <w:rsid w:val="00986E53"/>
    <w:rsid w:val="00987BA4"/>
    <w:rsid w:val="00987C0C"/>
    <w:rsid w:val="009911B3"/>
    <w:rsid w:val="00991AD3"/>
    <w:rsid w:val="00992084"/>
    <w:rsid w:val="009926E0"/>
    <w:rsid w:val="009927ED"/>
    <w:rsid w:val="0099308A"/>
    <w:rsid w:val="00994467"/>
    <w:rsid w:val="0099451E"/>
    <w:rsid w:val="009962D0"/>
    <w:rsid w:val="00996B1A"/>
    <w:rsid w:val="00997EE8"/>
    <w:rsid w:val="009A1353"/>
    <w:rsid w:val="009A18F6"/>
    <w:rsid w:val="009A2D03"/>
    <w:rsid w:val="009A2DCC"/>
    <w:rsid w:val="009A33C8"/>
    <w:rsid w:val="009A3DD1"/>
    <w:rsid w:val="009A4F6F"/>
    <w:rsid w:val="009A5ABC"/>
    <w:rsid w:val="009A5E26"/>
    <w:rsid w:val="009A7631"/>
    <w:rsid w:val="009A7F10"/>
    <w:rsid w:val="009B3B6E"/>
    <w:rsid w:val="009B3E26"/>
    <w:rsid w:val="009B451E"/>
    <w:rsid w:val="009B6642"/>
    <w:rsid w:val="009B68FC"/>
    <w:rsid w:val="009B75D9"/>
    <w:rsid w:val="009C1271"/>
    <w:rsid w:val="009C20B2"/>
    <w:rsid w:val="009C2CFB"/>
    <w:rsid w:val="009C3706"/>
    <w:rsid w:val="009C3A3A"/>
    <w:rsid w:val="009C3E51"/>
    <w:rsid w:val="009C4698"/>
    <w:rsid w:val="009C54B7"/>
    <w:rsid w:val="009C679A"/>
    <w:rsid w:val="009C6CEA"/>
    <w:rsid w:val="009C7B85"/>
    <w:rsid w:val="009C7DBD"/>
    <w:rsid w:val="009D0254"/>
    <w:rsid w:val="009D0783"/>
    <w:rsid w:val="009D0F14"/>
    <w:rsid w:val="009D1A64"/>
    <w:rsid w:val="009D2AC9"/>
    <w:rsid w:val="009D2E98"/>
    <w:rsid w:val="009D4518"/>
    <w:rsid w:val="009D4DEE"/>
    <w:rsid w:val="009D5B91"/>
    <w:rsid w:val="009D761A"/>
    <w:rsid w:val="009D765C"/>
    <w:rsid w:val="009D792E"/>
    <w:rsid w:val="009E0DFE"/>
    <w:rsid w:val="009E12AA"/>
    <w:rsid w:val="009E25B9"/>
    <w:rsid w:val="009E2A68"/>
    <w:rsid w:val="009E31F6"/>
    <w:rsid w:val="009E4315"/>
    <w:rsid w:val="009E45E4"/>
    <w:rsid w:val="009E488F"/>
    <w:rsid w:val="009E4C07"/>
    <w:rsid w:val="009E5930"/>
    <w:rsid w:val="009E6587"/>
    <w:rsid w:val="009E777F"/>
    <w:rsid w:val="009F0C8C"/>
    <w:rsid w:val="009F3FC7"/>
    <w:rsid w:val="009F5CF4"/>
    <w:rsid w:val="009F6120"/>
    <w:rsid w:val="009F6BA8"/>
    <w:rsid w:val="009F6D18"/>
    <w:rsid w:val="009F7112"/>
    <w:rsid w:val="009F725C"/>
    <w:rsid w:val="00A00550"/>
    <w:rsid w:val="00A009FF"/>
    <w:rsid w:val="00A00D76"/>
    <w:rsid w:val="00A01061"/>
    <w:rsid w:val="00A01184"/>
    <w:rsid w:val="00A01449"/>
    <w:rsid w:val="00A01C41"/>
    <w:rsid w:val="00A037C2"/>
    <w:rsid w:val="00A03D43"/>
    <w:rsid w:val="00A04380"/>
    <w:rsid w:val="00A0450A"/>
    <w:rsid w:val="00A04786"/>
    <w:rsid w:val="00A05472"/>
    <w:rsid w:val="00A05717"/>
    <w:rsid w:val="00A05C32"/>
    <w:rsid w:val="00A06233"/>
    <w:rsid w:val="00A0653F"/>
    <w:rsid w:val="00A06A82"/>
    <w:rsid w:val="00A06E96"/>
    <w:rsid w:val="00A07F88"/>
    <w:rsid w:val="00A101F0"/>
    <w:rsid w:val="00A107BF"/>
    <w:rsid w:val="00A11377"/>
    <w:rsid w:val="00A11CD0"/>
    <w:rsid w:val="00A12CBD"/>
    <w:rsid w:val="00A13553"/>
    <w:rsid w:val="00A13948"/>
    <w:rsid w:val="00A14FD5"/>
    <w:rsid w:val="00A1555B"/>
    <w:rsid w:val="00A155C5"/>
    <w:rsid w:val="00A16AD8"/>
    <w:rsid w:val="00A2021E"/>
    <w:rsid w:val="00A209D0"/>
    <w:rsid w:val="00A21C95"/>
    <w:rsid w:val="00A21CF3"/>
    <w:rsid w:val="00A24813"/>
    <w:rsid w:val="00A24DB3"/>
    <w:rsid w:val="00A25E15"/>
    <w:rsid w:val="00A27AEC"/>
    <w:rsid w:val="00A27B10"/>
    <w:rsid w:val="00A309C6"/>
    <w:rsid w:val="00A30EB2"/>
    <w:rsid w:val="00A30FE6"/>
    <w:rsid w:val="00A320DB"/>
    <w:rsid w:val="00A33BF4"/>
    <w:rsid w:val="00A3473B"/>
    <w:rsid w:val="00A35085"/>
    <w:rsid w:val="00A35D16"/>
    <w:rsid w:val="00A3694A"/>
    <w:rsid w:val="00A36BDE"/>
    <w:rsid w:val="00A37233"/>
    <w:rsid w:val="00A37BCD"/>
    <w:rsid w:val="00A415E7"/>
    <w:rsid w:val="00A41689"/>
    <w:rsid w:val="00A423A2"/>
    <w:rsid w:val="00A42592"/>
    <w:rsid w:val="00A4302A"/>
    <w:rsid w:val="00A43598"/>
    <w:rsid w:val="00A43C59"/>
    <w:rsid w:val="00A44034"/>
    <w:rsid w:val="00A44974"/>
    <w:rsid w:val="00A44CF5"/>
    <w:rsid w:val="00A4615F"/>
    <w:rsid w:val="00A50ECD"/>
    <w:rsid w:val="00A518F3"/>
    <w:rsid w:val="00A5209D"/>
    <w:rsid w:val="00A52729"/>
    <w:rsid w:val="00A5310C"/>
    <w:rsid w:val="00A53675"/>
    <w:rsid w:val="00A549A4"/>
    <w:rsid w:val="00A5552F"/>
    <w:rsid w:val="00A55A5E"/>
    <w:rsid w:val="00A564D7"/>
    <w:rsid w:val="00A56B6A"/>
    <w:rsid w:val="00A578DC"/>
    <w:rsid w:val="00A600BD"/>
    <w:rsid w:val="00A60993"/>
    <w:rsid w:val="00A632C0"/>
    <w:rsid w:val="00A63384"/>
    <w:rsid w:val="00A63742"/>
    <w:rsid w:val="00A640E2"/>
    <w:rsid w:val="00A64D65"/>
    <w:rsid w:val="00A6725B"/>
    <w:rsid w:val="00A67343"/>
    <w:rsid w:val="00A70605"/>
    <w:rsid w:val="00A73134"/>
    <w:rsid w:val="00A7332A"/>
    <w:rsid w:val="00A7365A"/>
    <w:rsid w:val="00A75967"/>
    <w:rsid w:val="00A76001"/>
    <w:rsid w:val="00A7606E"/>
    <w:rsid w:val="00A777B2"/>
    <w:rsid w:val="00A800A7"/>
    <w:rsid w:val="00A81551"/>
    <w:rsid w:val="00A825D4"/>
    <w:rsid w:val="00A828F6"/>
    <w:rsid w:val="00A82904"/>
    <w:rsid w:val="00A82B73"/>
    <w:rsid w:val="00A8467F"/>
    <w:rsid w:val="00A855D4"/>
    <w:rsid w:val="00A85958"/>
    <w:rsid w:val="00A85BCB"/>
    <w:rsid w:val="00A85CD2"/>
    <w:rsid w:val="00A85E1A"/>
    <w:rsid w:val="00A86235"/>
    <w:rsid w:val="00A86E8B"/>
    <w:rsid w:val="00A87164"/>
    <w:rsid w:val="00A90167"/>
    <w:rsid w:val="00A90329"/>
    <w:rsid w:val="00A91F14"/>
    <w:rsid w:val="00A92385"/>
    <w:rsid w:val="00A92510"/>
    <w:rsid w:val="00A9270A"/>
    <w:rsid w:val="00A929D4"/>
    <w:rsid w:val="00A93072"/>
    <w:rsid w:val="00A938BD"/>
    <w:rsid w:val="00A93953"/>
    <w:rsid w:val="00A93AC9"/>
    <w:rsid w:val="00A93B15"/>
    <w:rsid w:val="00A9457C"/>
    <w:rsid w:val="00A94F1A"/>
    <w:rsid w:val="00A9590E"/>
    <w:rsid w:val="00A959D8"/>
    <w:rsid w:val="00A97794"/>
    <w:rsid w:val="00A97C06"/>
    <w:rsid w:val="00AA113D"/>
    <w:rsid w:val="00AA16C5"/>
    <w:rsid w:val="00AA1A34"/>
    <w:rsid w:val="00AA1EFA"/>
    <w:rsid w:val="00AA1F66"/>
    <w:rsid w:val="00AA41F1"/>
    <w:rsid w:val="00AA5D2B"/>
    <w:rsid w:val="00AA664A"/>
    <w:rsid w:val="00AA6BD5"/>
    <w:rsid w:val="00AA6BD8"/>
    <w:rsid w:val="00AA6C7D"/>
    <w:rsid w:val="00AA6F90"/>
    <w:rsid w:val="00AA7412"/>
    <w:rsid w:val="00AA7A2D"/>
    <w:rsid w:val="00AA7FD6"/>
    <w:rsid w:val="00AB021C"/>
    <w:rsid w:val="00AB042A"/>
    <w:rsid w:val="00AB11AD"/>
    <w:rsid w:val="00AB19EF"/>
    <w:rsid w:val="00AB2495"/>
    <w:rsid w:val="00AB25BA"/>
    <w:rsid w:val="00AB2D34"/>
    <w:rsid w:val="00AB3430"/>
    <w:rsid w:val="00AB3567"/>
    <w:rsid w:val="00AB367C"/>
    <w:rsid w:val="00AB37B9"/>
    <w:rsid w:val="00AB4AD1"/>
    <w:rsid w:val="00AB5393"/>
    <w:rsid w:val="00AB53B3"/>
    <w:rsid w:val="00AB5E07"/>
    <w:rsid w:val="00AB6D0A"/>
    <w:rsid w:val="00AB6D29"/>
    <w:rsid w:val="00AB7CFA"/>
    <w:rsid w:val="00AC00A1"/>
    <w:rsid w:val="00AC00D2"/>
    <w:rsid w:val="00AC0343"/>
    <w:rsid w:val="00AC1079"/>
    <w:rsid w:val="00AC1141"/>
    <w:rsid w:val="00AC16BD"/>
    <w:rsid w:val="00AC294F"/>
    <w:rsid w:val="00AC3386"/>
    <w:rsid w:val="00AC5757"/>
    <w:rsid w:val="00AC5B42"/>
    <w:rsid w:val="00AC5B48"/>
    <w:rsid w:val="00AC7B38"/>
    <w:rsid w:val="00AD1450"/>
    <w:rsid w:val="00AD15E8"/>
    <w:rsid w:val="00AD19F9"/>
    <w:rsid w:val="00AD356D"/>
    <w:rsid w:val="00AD3EF9"/>
    <w:rsid w:val="00AD6502"/>
    <w:rsid w:val="00AD69AC"/>
    <w:rsid w:val="00AE0695"/>
    <w:rsid w:val="00AE1664"/>
    <w:rsid w:val="00AE25FB"/>
    <w:rsid w:val="00AE27A4"/>
    <w:rsid w:val="00AE38C6"/>
    <w:rsid w:val="00AE3E7E"/>
    <w:rsid w:val="00AE4969"/>
    <w:rsid w:val="00AE4F1B"/>
    <w:rsid w:val="00AE4F4A"/>
    <w:rsid w:val="00AE740F"/>
    <w:rsid w:val="00AE7E53"/>
    <w:rsid w:val="00AF0017"/>
    <w:rsid w:val="00AF0596"/>
    <w:rsid w:val="00AF1315"/>
    <w:rsid w:val="00AF19BF"/>
    <w:rsid w:val="00AF1B19"/>
    <w:rsid w:val="00AF2269"/>
    <w:rsid w:val="00AF2DC3"/>
    <w:rsid w:val="00AF35A0"/>
    <w:rsid w:val="00AF5995"/>
    <w:rsid w:val="00AF6202"/>
    <w:rsid w:val="00AF69AF"/>
    <w:rsid w:val="00AF7B1B"/>
    <w:rsid w:val="00B00534"/>
    <w:rsid w:val="00B018F3"/>
    <w:rsid w:val="00B033E5"/>
    <w:rsid w:val="00B03A63"/>
    <w:rsid w:val="00B0461C"/>
    <w:rsid w:val="00B05F5B"/>
    <w:rsid w:val="00B06EF7"/>
    <w:rsid w:val="00B074E8"/>
    <w:rsid w:val="00B10A0B"/>
    <w:rsid w:val="00B117FD"/>
    <w:rsid w:val="00B120D1"/>
    <w:rsid w:val="00B129A4"/>
    <w:rsid w:val="00B1329F"/>
    <w:rsid w:val="00B14968"/>
    <w:rsid w:val="00B14E0C"/>
    <w:rsid w:val="00B14EE0"/>
    <w:rsid w:val="00B1559E"/>
    <w:rsid w:val="00B16D8D"/>
    <w:rsid w:val="00B201A4"/>
    <w:rsid w:val="00B201D1"/>
    <w:rsid w:val="00B213A6"/>
    <w:rsid w:val="00B235B0"/>
    <w:rsid w:val="00B23C47"/>
    <w:rsid w:val="00B248BF"/>
    <w:rsid w:val="00B24DF6"/>
    <w:rsid w:val="00B25F2A"/>
    <w:rsid w:val="00B2769E"/>
    <w:rsid w:val="00B27748"/>
    <w:rsid w:val="00B27A61"/>
    <w:rsid w:val="00B30E37"/>
    <w:rsid w:val="00B312DD"/>
    <w:rsid w:val="00B32FC0"/>
    <w:rsid w:val="00B33380"/>
    <w:rsid w:val="00B34339"/>
    <w:rsid w:val="00B345E2"/>
    <w:rsid w:val="00B34618"/>
    <w:rsid w:val="00B34A6A"/>
    <w:rsid w:val="00B34FE2"/>
    <w:rsid w:val="00B35166"/>
    <w:rsid w:val="00B357D8"/>
    <w:rsid w:val="00B360F4"/>
    <w:rsid w:val="00B36A00"/>
    <w:rsid w:val="00B3792B"/>
    <w:rsid w:val="00B37BFC"/>
    <w:rsid w:val="00B40358"/>
    <w:rsid w:val="00B41614"/>
    <w:rsid w:val="00B42851"/>
    <w:rsid w:val="00B428F1"/>
    <w:rsid w:val="00B42F80"/>
    <w:rsid w:val="00B435CB"/>
    <w:rsid w:val="00B4492D"/>
    <w:rsid w:val="00B4602F"/>
    <w:rsid w:val="00B4636A"/>
    <w:rsid w:val="00B465EC"/>
    <w:rsid w:val="00B4705C"/>
    <w:rsid w:val="00B505C8"/>
    <w:rsid w:val="00B50DB8"/>
    <w:rsid w:val="00B52843"/>
    <w:rsid w:val="00B53654"/>
    <w:rsid w:val="00B53905"/>
    <w:rsid w:val="00B53DD3"/>
    <w:rsid w:val="00B546DB"/>
    <w:rsid w:val="00B54B5B"/>
    <w:rsid w:val="00B54DFD"/>
    <w:rsid w:val="00B5562E"/>
    <w:rsid w:val="00B55862"/>
    <w:rsid w:val="00B55D65"/>
    <w:rsid w:val="00B56305"/>
    <w:rsid w:val="00B57000"/>
    <w:rsid w:val="00B57353"/>
    <w:rsid w:val="00B60939"/>
    <w:rsid w:val="00B60AFD"/>
    <w:rsid w:val="00B610D6"/>
    <w:rsid w:val="00B61591"/>
    <w:rsid w:val="00B61CF7"/>
    <w:rsid w:val="00B625B5"/>
    <w:rsid w:val="00B62715"/>
    <w:rsid w:val="00B641C9"/>
    <w:rsid w:val="00B65611"/>
    <w:rsid w:val="00B66EE2"/>
    <w:rsid w:val="00B6747F"/>
    <w:rsid w:val="00B677D8"/>
    <w:rsid w:val="00B67A6C"/>
    <w:rsid w:val="00B70081"/>
    <w:rsid w:val="00B705FD"/>
    <w:rsid w:val="00B70E8E"/>
    <w:rsid w:val="00B7119C"/>
    <w:rsid w:val="00B73A1C"/>
    <w:rsid w:val="00B73C05"/>
    <w:rsid w:val="00B74B71"/>
    <w:rsid w:val="00B76C92"/>
    <w:rsid w:val="00B76F97"/>
    <w:rsid w:val="00B7789E"/>
    <w:rsid w:val="00B77B27"/>
    <w:rsid w:val="00B80EFD"/>
    <w:rsid w:val="00B8179A"/>
    <w:rsid w:val="00B818A4"/>
    <w:rsid w:val="00B819AA"/>
    <w:rsid w:val="00B81C71"/>
    <w:rsid w:val="00B81CBD"/>
    <w:rsid w:val="00B83739"/>
    <w:rsid w:val="00B83E45"/>
    <w:rsid w:val="00B84117"/>
    <w:rsid w:val="00B842AB"/>
    <w:rsid w:val="00B845A6"/>
    <w:rsid w:val="00B84CDC"/>
    <w:rsid w:val="00B85511"/>
    <w:rsid w:val="00B858F0"/>
    <w:rsid w:val="00B85AA2"/>
    <w:rsid w:val="00B8649C"/>
    <w:rsid w:val="00B8695D"/>
    <w:rsid w:val="00B86987"/>
    <w:rsid w:val="00B87409"/>
    <w:rsid w:val="00B87BF0"/>
    <w:rsid w:val="00B87F0A"/>
    <w:rsid w:val="00B91DCE"/>
    <w:rsid w:val="00B92B8F"/>
    <w:rsid w:val="00B92D0B"/>
    <w:rsid w:val="00B941DD"/>
    <w:rsid w:val="00B945BF"/>
    <w:rsid w:val="00B94945"/>
    <w:rsid w:val="00B94DD6"/>
    <w:rsid w:val="00B95BF0"/>
    <w:rsid w:val="00BA1B42"/>
    <w:rsid w:val="00BA322D"/>
    <w:rsid w:val="00BA39F4"/>
    <w:rsid w:val="00BA422B"/>
    <w:rsid w:val="00BA4F68"/>
    <w:rsid w:val="00BA63FA"/>
    <w:rsid w:val="00BA671A"/>
    <w:rsid w:val="00BA678E"/>
    <w:rsid w:val="00BA738F"/>
    <w:rsid w:val="00BA7451"/>
    <w:rsid w:val="00BB00B3"/>
    <w:rsid w:val="00BB0BDD"/>
    <w:rsid w:val="00BB0C3B"/>
    <w:rsid w:val="00BB1467"/>
    <w:rsid w:val="00BB176C"/>
    <w:rsid w:val="00BB19CF"/>
    <w:rsid w:val="00BB1C10"/>
    <w:rsid w:val="00BB1DE0"/>
    <w:rsid w:val="00BB2A73"/>
    <w:rsid w:val="00BB3A45"/>
    <w:rsid w:val="00BB41D4"/>
    <w:rsid w:val="00BB4ACC"/>
    <w:rsid w:val="00BB6289"/>
    <w:rsid w:val="00BB703E"/>
    <w:rsid w:val="00BB732D"/>
    <w:rsid w:val="00BB7405"/>
    <w:rsid w:val="00BC0AA0"/>
    <w:rsid w:val="00BC3631"/>
    <w:rsid w:val="00BC37F7"/>
    <w:rsid w:val="00BC4A73"/>
    <w:rsid w:val="00BC5608"/>
    <w:rsid w:val="00BC591F"/>
    <w:rsid w:val="00BC595E"/>
    <w:rsid w:val="00BC7D1F"/>
    <w:rsid w:val="00BC7D6D"/>
    <w:rsid w:val="00BC7D84"/>
    <w:rsid w:val="00BD2108"/>
    <w:rsid w:val="00BD23F6"/>
    <w:rsid w:val="00BD283B"/>
    <w:rsid w:val="00BD54AE"/>
    <w:rsid w:val="00BD5F22"/>
    <w:rsid w:val="00BD68A3"/>
    <w:rsid w:val="00BD6938"/>
    <w:rsid w:val="00BD6CF3"/>
    <w:rsid w:val="00BD7F72"/>
    <w:rsid w:val="00BE0ECA"/>
    <w:rsid w:val="00BE0F0C"/>
    <w:rsid w:val="00BE17D3"/>
    <w:rsid w:val="00BE2180"/>
    <w:rsid w:val="00BE21F2"/>
    <w:rsid w:val="00BE323C"/>
    <w:rsid w:val="00BE35EA"/>
    <w:rsid w:val="00BE4275"/>
    <w:rsid w:val="00BE7863"/>
    <w:rsid w:val="00BE7BDE"/>
    <w:rsid w:val="00BF06AE"/>
    <w:rsid w:val="00BF0F95"/>
    <w:rsid w:val="00BF1859"/>
    <w:rsid w:val="00BF1AAD"/>
    <w:rsid w:val="00BF2433"/>
    <w:rsid w:val="00BF2E6E"/>
    <w:rsid w:val="00BF2F91"/>
    <w:rsid w:val="00BF3570"/>
    <w:rsid w:val="00BF49D7"/>
    <w:rsid w:val="00BF53E1"/>
    <w:rsid w:val="00BF61C9"/>
    <w:rsid w:val="00BF6C94"/>
    <w:rsid w:val="00C00424"/>
    <w:rsid w:val="00C00BB0"/>
    <w:rsid w:val="00C04406"/>
    <w:rsid w:val="00C04956"/>
    <w:rsid w:val="00C055FD"/>
    <w:rsid w:val="00C057AB"/>
    <w:rsid w:val="00C05EE4"/>
    <w:rsid w:val="00C10352"/>
    <w:rsid w:val="00C10786"/>
    <w:rsid w:val="00C1103E"/>
    <w:rsid w:val="00C1179F"/>
    <w:rsid w:val="00C12286"/>
    <w:rsid w:val="00C126DB"/>
    <w:rsid w:val="00C127B9"/>
    <w:rsid w:val="00C128FA"/>
    <w:rsid w:val="00C12B73"/>
    <w:rsid w:val="00C12C14"/>
    <w:rsid w:val="00C131D2"/>
    <w:rsid w:val="00C15144"/>
    <w:rsid w:val="00C15F04"/>
    <w:rsid w:val="00C16B99"/>
    <w:rsid w:val="00C179B3"/>
    <w:rsid w:val="00C17E3F"/>
    <w:rsid w:val="00C200AA"/>
    <w:rsid w:val="00C20F3F"/>
    <w:rsid w:val="00C2117C"/>
    <w:rsid w:val="00C229D2"/>
    <w:rsid w:val="00C237ED"/>
    <w:rsid w:val="00C24632"/>
    <w:rsid w:val="00C25418"/>
    <w:rsid w:val="00C25D9C"/>
    <w:rsid w:val="00C272FE"/>
    <w:rsid w:val="00C2778B"/>
    <w:rsid w:val="00C30814"/>
    <w:rsid w:val="00C31649"/>
    <w:rsid w:val="00C3249B"/>
    <w:rsid w:val="00C325FB"/>
    <w:rsid w:val="00C3434C"/>
    <w:rsid w:val="00C35304"/>
    <w:rsid w:val="00C375DA"/>
    <w:rsid w:val="00C3767D"/>
    <w:rsid w:val="00C400EC"/>
    <w:rsid w:val="00C40385"/>
    <w:rsid w:val="00C410C9"/>
    <w:rsid w:val="00C4137B"/>
    <w:rsid w:val="00C41768"/>
    <w:rsid w:val="00C4460A"/>
    <w:rsid w:val="00C475AA"/>
    <w:rsid w:val="00C47A25"/>
    <w:rsid w:val="00C522F2"/>
    <w:rsid w:val="00C524C8"/>
    <w:rsid w:val="00C527C7"/>
    <w:rsid w:val="00C53C98"/>
    <w:rsid w:val="00C543EA"/>
    <w:rsid w:val="00C56FCF"/>
    <w:rsid w:val="00C5783E"/>
    <w:rsid w:val="00C57B6C"/>
    <w:rsid w:val="00C61A59"/>
    <w:rsid w:val="00C61A6B"/>
    <w:rsid w:val="00C628A6"/>
    <w:rsid w:val="00C63277"/>
    <w:rsid w:val="00C64344"/>
    <w:rsid w:val="00C65108"/>
    <w:rsid w:val="00C65576"/>
    <w:rsid w:val="00C66165"/>
    <w:rsid w:val="00C66A85"/>
    <w:rsid w:val="00C66D24"/>
    <w:rsid w:val="00C7060A"/>
    <w:rsid w:val="00C7089A"/>
    <w:rsid w:val="00C7151A"/>
    <w:rsid w:val="00C717E3"/>
    <w:rsid w:val="00C71F60"/>
    <w:rsid w:val="00C72241"/>
    <w:rsid w:val="00C735E4"/>
    <w:rsid w:val="00C739A4"/>
    <w:rsid w:val="00C750C8"/>
    <w:rsid w:val="00C7560F"/>
    <w:rsid w:val="00C7733C"/>
    <w:rsid w:val="00C77630"/>
    <w:rsid w:val="00C80A0E"/>
    <w:rsid w:val="00C81C06"/>
    <w:rsid w:val="00C8213F"/>
    <w:rsid w:val="00C8254E"/>
    <w:rsid w:val="00C8303F"/>
    <w:rsid w:val="00C83CF1"/>
    <w:rsid w:val="00C8416D"/>
    <w:rsid w:val="00C849C4"/>
    <w:rsid w:val="00C84EF4"/>
    <w:rsid w:val="00C85154"/>
    <w:rsid w:val="00C854B7"/>
    <w:rsid w:val="00C85A70"/>
    <w:rsid w:val="00C86939"/>
    <w:rsid w:val="00C8797A"/>
    <w:rsid w:val="00C900B2"/>
    <w:rsid w:val="00C900B8"/>
    <w:rsid w:val="00C90197"/>
    <w:rsid w:val="00C9085D"/>
    <w:rsid w:val="00C90C71"/>
    <w:rsid w:val="00C91FD1"/>
    <w:rsid w:val="00C931CF"/>
    <w:rsid w:val="00C938CF"/>
    <w:rsid w:val="00C94053"/>
    <w:rsid w:val="00C941DC"/>
    <w:rsid w:val="00C9458A"/>
    <w:rsid w:val="00C961BF"/>
    <w:rsid w:val="00C9624D"/>
    <w:rsid w:val="00C969DA"/>
    <w:rsid w:val="00C979EC"/>
    <w:rsid w:val="00CA0756"/>
    <w:rsid w:val="00CA0BDB"/>
    <w:rsid w:val="00CA15FD"/>
    <w:rsid w:val="00CA1E4D"/>
    <w:rsid w:val="00CA2A41"/>
    <w:rsid w:val="00CA2BF5"/>
    <w:rsid w:val="00CA2C77"/>
    <w:rsid w:val="00CA2CA7"/>
    <w:rsid w:val="00CA444F"/>
    <w:rsid w:val="00CA455D"/>
    <w:rsid w:val="00CA5245"/>
    <w:rsid w:val="00CA672B"/>
    <w:rsid w:val="00CA7157"/>
    <w:rsid w:val="00CA71F4"/>
    <w:rsid w:val="00CA7B09"/>
    <w:rsid w:val="00CA7D6B"/>
    <w:rsid w:val="00CA7DDC"/>
    <w:rsid w:val="00CA7E1E"/>
    <w:rsid w:val="00CB0102"/>
    <w:rsid w:val="00CB0F0D"/>
    <w:rsid w:val="00CB12A5"/>
    <w:rsid w:val="00CB1CAC"/>
    <w:rsid w:val="00CB245C"/>
    <w:rsid w:val="00CB2F2A"/>
    <w:rsid w:val="00CB364B"/>
    <w:rsid w:val="00CB51D0"/>
    <w:rsid w:val="00CB5B1A"/>
    <w:rsid w:val="00CB5C94"/>
    <w:rsid w:val="00CB6B22"/>
    <w:rsid w:val="00CB7F5F"/>
    <w:rsid w:val="00CC0479"/>
    <w:rsid w:val="00CC1B39"/>
    <w:rsid w:val="00CC1BFA"/>
    <w:rsid w:val="00CC1C3A"/>
    <w:rsid w:val="00CC26EF"/>
    <w:rsid w:val="00CC2E9F"/>
    <w:rsid w:val="00CC35EA"/>
    <w:rsid w:val="00CC3747"/>
    <w:rsid w:val="00CC3848"/>
    <w:rsid w:val="00CC5A2B"/>
    <w:rsid w:val="00CC6D5E"/>
    <w:rsid w:val="00CC72AE"/>
    <w:rsid w:val="00CD0200"/>
    <w:rsid w:val="00CD062D"/>
    <w:rsid w:val="00CD13D6"/>
    <w:rsid w:val="00CD1963"/>
    <w:rsid w:val="00CD1A2E"/>
    <w:rsid w:val="00CD214D"/>
    <w:rsid w:val="00CD3F0B"/>
    <w:rsid w:val="00CD3F77"/>
    <w:rsid w:val="00CD5C1E"/>
    <w:rsid w:val="00CD6028"/>
    <w:rsid w:val="00CD6912"/>
    <w:rsid w:val="00CD6ADC"/>
    <w:rsid w:val="00CD7182"/>
    <w:rsid w:val="00CD7193"/>
    <w:rsid w:val="00CD7A90"/>
    <w:rsid w:val="00CD7AE5"/>
    <w:rsid w:val="00CE1702"/>
    <w:rsid w:val="00CE3336"/>
    <w:rsid w:val="00CE38C8"/>
    <w:rsid w:val="00CE3948"/>
    <w:rsid w:val="00CE469D"/>
    <w:rsid w:val="00CE49B3"/>
    <w:rsid w:val="00CE524F"/>
    <w:rsid w:val="00CE5408"/>
    <w:rsid w:val="00CE58CC"/>
    <w:rsid w:val="00CE6274"/>
    <w:rsid w:val="00CE77B6"/>
    <w:rsid w:val="00CE78D1"/>
    <w:rsid w:val="00CF015C"/>
    <w:rsid w:val="00CF2B8D"/>
    <w:rsid w:val="00CF3A1B"/>
    <w:rsid w:val="00CF456B"/>
    <w:rsid w:val="00CF4ED4"/>
    <w:rsid w:val="00CF5139"/>
    <w:rsid w:val="00CF5A22"/>
    <w:rsid w:val="00CF6896"/>
    <w:rsid w:val="00D0262E"/>
    <w:rsid w:val="00D03679"/>
    <w:rsid w:val="00D04352"/>
    <w:rsid w:val="00D0471D"/>
    <w:rsid w:val="00D05E3D"/>
    <w:rsid w:val="00D05ED9"/>
    <w:rsid w:val="00D060DA"/>
    <w:rsid w:val="00D06139"/>
    <w:rsid w:val="00D07157"/>
    <w:rsid w:val="00D07801"/>
    <w:rsid w:val="00D110BD"/>
    <w:rsid w:val="00D11B16"/>
    <w:rsid w:val="00D11F62"/>
    <w:rsid w:val="00D1216F"/>
    <w:rsid w:val="00D12180"/>
    <w:rsid w:val="00D123EC"/>
    <w:rsid w:val="00D12BAA"/>
    <w:rsid w:val="00D13675"/>
    <w:rsid w:val="00D141E1"/>
    <w:rsid w:val="00D15314"/>
    <w:rsid w:val="00D15B21"/>
    <w:rsid w:val="00D15B48"/>
    <w:rsid w:val="00D16272"/>
    <w:rsid w:val="00D16943"/>
    <w:rsid w:val="00D1781A"/>
    <w:rsid w:val="00D17D6C"/>
    <w:rsid w:val="00D205F9"/>
    <w:rsid w:val="00D206EF"/>
    <w:rsid w:val="00D2155B"/>
    <w:rsid w:val="00D237A3"/>
    <w:rsid w:val="00D23D11"/>
    <w:rsid w:val="00D244B6"/>
    <w:rsid w:val="00D261D2"/>
    <w:rsid w:val="00D2754D"/>
    <w:rsid w:val="00D27B27"/>
    <w:rsid w:val="00D30D5B"/>
    <w:rsid w:val="00D30D89"/>
    <w:rsid w:val="00D32D91"/>
    <w:rsid w:val="00D33B6B"/>
    <w:rsid w:val="00D33BE9"/>
    <w:rsid w:val="00D33F93"/>
    <w:rsid w:val="00D340F4"/>
    <w:rsid w:val="00D35117"/>
    <w:rsid w:val="00D357FF"/>
    <w:rsid w:val="00D3597A"/>
    <w:rsid w:val="00D360D6"/>
    <w:rsid w:val="00D41F31"/>
    <w:rsid w:val="00D42439"/>
    <w:rsid w:val="00D424C7"/>
    <w:rsid w:val="00D43B2A"/>
    <w:rsid w:val="00D43CF1"/>
    <w:rsid w:val="00D43D83"/>
    <w:rsid w:val="00D43FF1"/>
    <w:rsid w:val="00D4413E"/>
    <w:rsid w:val="00D44ABF"/>
    <w:rsid w:val="00D46FAC"/>
    <w:rsid w:val="00D47575"/>
    <w:rsid w:val="00D4789D"/>
    <w:rsid w:val="00D47FAF"/>
    <w:rsid w:val="00D502B5"/>
    <w:rsid w:val="00D5062C"/>
    <w:rsid w:val="00D511EB"/>
    <w:rsid w:val="00D5243B"/>
    <w:rsid w:val="00D533EC"/>
    <w:rsid w:val="00D5639E"/>
    <w:rsid w:val="00D56A95"/>
    <w:rsid w:val="00D60449"/>
    <w:rsid w:val="00D6076E"/>
    <w:rsid w:val="00D64C15"/>
    <w:rsid w:val="00D6546D"/>
    <w:rsid w:val="00D66CD4"/>
    <w:rsid w:val="00D67A89"/>
    <w:rsid w:val="00D70F16"/>
    <w:rsid w:val="00D7109A"/>
    <w:rsid w:val="00D72617"/>
    <w:rsid w:val="00D72F57"/>
    <w:rsid w:val="00D7339F"/>
    <w:rsid w:val="00D749EA"/>
    <w:rsid w:val="00D7669E"/>
    <w:rsid w:val="00D76A44"/>
    <w:rsid w:val="00D76A80"/>
    <w:rsid w:val="00D815EF"/>
    <w:rsid w:val="00D81949"/>
    <w:rsid w:val="00D81F26"/>
    <w:rsid w:val="00D822E2"/>
    <w:rsid w:val="00D82974"/>
    <w:rsid w:val="00D83464"/>
    <w:rsid w:val="00D838F8"/>
    <w:rsid w:val="00D843F2"/>
    <w:rsid w:val="00D856C2"/>
    <w:rsid w:val="00D85FC7"/>
    <w:rsid w:val="00D86231"/>
    <w:rsid w:val="00D871B5"/>
    <w:rsid w:val="00D87A02"/>
    <w:rsid w:val="00D912AB"/>
    <w:rsid w:val="00D91923"/>
    <w:rsid w:val="00D93753"/>
    <w:rsid w:val="00D94639"/>
    <w:rsid w:val="00D9491D"/>
    <w:rsid w:val="00D95A38"/>
    <w:rsid w:val="00DA1877"/>
    <w:rsid w:val="00DA3167"/>
    <w:rsid w:val="00DA4A72"/>
    <w:rsid w:val="00DA4DC3"/>
    <w:rsid w:val="00DA58E6"/>
    <w:rsid w:val="00DA77A5"/>
    <w:rsid w:val="00DB0D42"/>
    <w:rsid w:val="00DB0D74"/>
    <w:rsid w:val="00DB0E36"/>
    <w:rsid w:val="00DB1BE1"/>
    <w:rsid w:val="00DB23B5"/>
    <w:rsid w:val="00DB3DBF"/>
    <w:rsid w:val="00DB40D2"/>
    <w:rsid w:val="00DB484F"/>
    <w:rsid w:val="00DB5751"/>
    <w:rsid w:val="00DB5F03"/>
    <w:rsid w:val="00DB671C"/>
    <w:rsid w:val="00DB7F29"/>
    <w:rsid w:val="00DC031E"/>
    <w:rsid w:val="00DC04F6"/>
    <w:rsid w:val="00DC0690"/>
    <w:rsid w:val="00DC0CE0"/>
    <w:rsid w:val="00DC1D65"/>
    <w:rsid w:val="00DC28BF"/>
    <w:rsid w:val="00DC3821"/>
    <w:rsid w:val="00DC3C57"/>
    <w:rsid w:val="00DC4440"/>
    <w:rsid w:val="00DC4979"/>
    <w:rsid w:val="00DC4DF6"/>
    <w:rsid w:val="00DC5501"/>
    <w:rsid w:val="00DC5A95"/>
    <w:rsid w:val="00DC5DE4"/>
    <w:rsid w:val="00DC631E"/>
    <w:rsid w:val="00DC63F3"/>
    <w:rsid w:val="00DC659E"/>
    <w:rsid w:val="00DC65F5"/>
    <w:rsid w:val="00DC6C4E"/>
    <w:rsid w:val="00DC7154"/>
    <w:rsid w:val="00DC7E8A"/>
    <w:rsid w:val="00DD0BC7"/>
    <w:rsid w:val="00DD0F78"/>
    <w:rsid w:val="00DD1674"/>
    <w:rsid w:val="00DD273C"/>
    <w:rsid w:val="00DD3F28"/>
    <w:rsid w:val="00DD4446"/>
    <w:rsid w:val="00DD4537"/>
    <w:rsid w:val="00DD45CB"/>
    <w:rsid w:val="00DD4E15"/>
    <w:rsid w:val="00DD4ECB"/>
    <w:rsid w:val="00DD589D"/>
    <w:rsid w:val="00DD5EB4"/>
    <w:rsid w:val="00DD7BB7"/>
    <w:rsid w:val="00DE1F29"/>
    <w:rsid w:val="00DE22CE"/>
    <w:rsid w:val="00DE2304"/>
    <w:rsid w:val="00DE2677"/>
    <w:rsid w:val="00DE288F"/>
    <w:rsid w:val="00DE3138"/>
    <w:rsid w:val="00DE3420"/>
    <w:rsid w:val="00DE37A6"/>
    <w:rsid w:val="00DE37F8"/>
    <w:rsid w:val="00DE3FDB"/>
    <w:rsid w:val="00DE4033"/>
    <w:rsid w:val="00DE4273"/>
    <w:rsid w:val="00DE4FCB"/>
    <w:rsid w:val="00DE5D07"/>
    <w:rsid w:val="00DE6B07"/>
    <w:rsid w:val="00DE72A7"/>
    <w:rsid w:val="00DE7832"/>
    <w:rsid w:val="00DF18FC"/>
    <w:rsid w:val="00DF42BE"/>
    <w:rsid w:val="00DF4356"/>
    <w:rsid w:val="00DF5595"/>
    <w:rsid w:val="00DF5C89"/>
    <w:rsid w:val="00DF5D2B"/>
    <w:rsid w:val="00DF6341"/>
    <w:rsid w:val="00DF7BDB"/>
    <w:rsid w:val="00DF7CB0"/>
    <w:rsid w:val="00E00E8E"/>
    <w:rsid w:val="00E023AC"/>
    <w:rsid w:val="00E026A0"/>
    <w:rsid w:val="00E05630"/>
    <w:rsid w:val="00E0666D"/>
    <w:rsid w:val="00E067E8"/>
    <w:rsid w:val="00E06B3B"/>
    <w:rsid w:val="00E06BC9"/>
    <w:rsid w:val="00E06DBB"/>
    <w:rsid w:val="00E10149"/>
    <w:rsid w:val="00E1060A"/>
    <w:rsid w:val="00E111A8"/>
    <w:rsid w:val="00E11340"/>
    <w:rsid w:val="00E122A1"/>
    <w:rsid w:val="00E1294B"/>
    <w:rsid w:val="00E15310"/>
    <w:rsid w:val="00E16224"/>
    <w:rsid w:val="00E16372"/>
    <w:rsid w:val="00E16AD8"/>
    <w:rsid w:val="00E16CF9"/>
    <w:rsid w:val="00E16DEB"/>
    <w:rsid w:val="00E17102"/>
    <w:rsid w:val="00E17C7A"/>
    <w:rsid w:val="00E17FFA"/>
    <w:rsid w:val="00E20E4D"/>
    <w:rsid w:val="00E20ED6"/>
    <w:rsid w:val="00E20F5E"/>
    <w:rsid w:val="00E21358"/>
    <w:rsid w:val="00E2249B"/>
    <w:rsid w:val="00E22A0D"/>
    <w:rsid w:val="00E23752"/>
    <w:rsid w:val="00E23B11"/>
    <w:rsid w:val="00E24045"/>
    <w:rsid w:val="00E244F6"/>
    <w:rsid w:val="00E258DB"/>
    <w:rsid w:val="00E2682D"/>
    <w:rsid w:val="00E2771E"/>
    <w:rsid w:val="00E311EF"/>
    <w:rsid w:val="00E3142F"/>
    <w:rsid w:val="00E32180"/>
    <w:rsid w:val="00E3359C"/>
    <w:rsid w:val="00E33823"/>
    <w:rsid w:val="00E33867"/>
    <w:rsid w:val="00E34948"/>
    <w:rsid w:val="00E35187"/>
    <w:rsid w:val="00E3560E"/>
    <w:rsid w:val="00E35C91"/>
    <w:rsid w:val="00E36045"/>
    <w:rsid w:val="00E36A92"/>
    <w:rsid w:val="00E37569"/>
    <w:rsid w:val="00E401B2"/>
    <w:rsid w:val="00E4146F"/>
    <w:rsid w:val="00E41D5E"/>
    <w:rsid w:val="00E41E30"/>
    <w:rsid w:val="00E42F73"/>
    <w:rsid w:val="00E434DE"/>
    <w:rsid w:val="00E43D70"/>
    <w:rsid w:val="00E4471B"/>
    <w:rsid w:val="00E44A11"/>
    <w:rsid w:val="00E45C86"/>
    <w:rsid w:val="00E466F3"/>
    <w:rsid w:val="00E47776"/>
    <w:rsid w:val="00E47B2C"/>
    <w:rsid w:val="00E47DB9"/>
    <w:rsid w:val="00E51560"/>
    <w:rsid w:val="00E51821"/>
    <w:rsid w:val="00E519D5"/>
    <w:rsid w:val="00E5207E"/>
    <w:rsid w:val="00E52EDE"/>
    <w:rsid w:val="00E53FC8"/>
    <w:rsid w:val="00E54347"/>
    <w:rsid w:val="00E54F47"/>
    <w:rsid w:val="00E55424"/>
    <w:rsid w:val="00E55455"/>
    <w:rsid w:val="00E55915"/>
    <w:rsid w:val="00E55BB5"/>
    <w:rsid w:val="00E55F5C"/>
    <w:rsid w:val="00E56E4E"/>
    <w:rsid w:val="00E611DF"/>
    <w:rsid w:val="00E62DCC"/>
    <w:rsid w:val="00E63365"/>
    <w:rsid w:val="00E640CD"/>
    <w:rsid w:val="00E65E79"/>
    <w:rsid w:val="00E66BA2"/>
    <w:rsid w:val="00E66E25"/>
    <w:rsid w:val="00E67128"/>
    <w:rsid w:val="00E67403"/>
    <w:rsid w:val="00E67416"/>
    <w:rsid w:val="00E70584"/>
    <w:rsid w:val="00E70889"/>
    <w:rsid w:val="00E710E7"/>
    <w:rsid w:val="00E718B6"/>
    <w:rsid w:val="00E71C55"/>
    <w:rsid w:val="00E71ECF"/>
    <w:rsid w:val="00E723BA"/>
    <w:rsid w:val="00E72432"/>
    <w:rsid w:val="00E725DF"/>
    <w:rsid w:val="00E732D7"/>
    <w:rsid w:val="00E73581"/>
    <w:rsid w:val="00E7381F"/>
    <w:rsid w:val="00E758CC"/>
    <w:rsid w:val="00E75B36"/>
    <w:rsid w:val="00E7608A"/>
    <w:rsid w:val="00E767CF"/>
    <w:rsid w:val="00E76E56"/>
    <w:rsid w:val="00E773CD"/>
    <w:rsid w:val="00E808D6"/>
    <w:rsid w:val="00E833F7"/>
    <w:rsid w:val="00E837B6"/>
    <w:rsid w:val="00E83BDF"/>
    <w:rsid w:val="00E84143"/>
    <w:rsid w:val="00E84911"/>
    <w:rsid w:val="00E8554B"/>
    <w:rsid w:val="00E86FCC"/>
    <w:rsid w:val="00E87A1D"/>
    <w:rsid w:val="00E9035F"/>
    <w:rsid w:val="00E90390"/>
    <w:rsid w:val="00E9045E"/>
    <w:rsid w:val="00E9056C"/>
    <w:rsid w:val="00E9094A"/>
    <w:rsid w:val="00E911A6"/>
    <w:rsid w:val="00E91D35"/>
    <w:rsid w:val="00E926A5"/>
    <w:rsid w:val="00E935D6"/>
    <w:rsid w:val="00E941BF"/>
    <w:rsid w:val="00E94570"/>
    <w:rsid w:val="00E95434"/>
    <w:rsid w:val="00E958A6"/>
    <w:rsid w:val="00E95BBD"/>
    <w:rsid w:val="00E962CC"/>
    <w:rsid w:val="00EA040D"/>
    <w:rsid w:val="00EA17C3"/>
    <w:rsid w:val="00EA266D"/>
    <w:rsid w:val="00EA2A38"/>
    <w:rsid w:val="00EA2CAA"/>
    <w:rsid w:val="00EA3864"/>
    <w:rsid w:val="00EA4CF1"/>
    <w:rsid w:val="00EA5D91"/>
    <w:rsid w:val="00EA7643"/>
    <w:rsid w:val="00EA7AC6"/>
    <w:rsid w:val="00EA7F1C"/>
    <w:rsid w:val="00EB15B6"/>
    <w:rsid w:val="00EB1E78"/>
    <w:rsid w:val="00EB2436"/>
    <w:rsid w:val="00EB26CC"/>
    <w:rsid w:val="00EB3D06"/>
    <w:rsid w:val="00EB4916"/>
    <w:rsid w:val="00EB5614"/>
    <w:rsid w:val="00EB62E7"/>
    <w:rsid w:val="00EB7A5D"/>
    <w:rsid w:val="00EB7F58"/>
    <w:rsid w:val="00EC00C9"/>
    <w:rsid w:val="00EC0C70"/>
    <w:rsid w:val="00EC0DD9"/>
    <w:rsid w:val="00EC2649"/>
    <w:rsid w:val="00EC31ED"/>
    <w:rsid w:val="00EC43B4"/>
    <w:rsid w:val="00EC46C1"/>
    <w:rsid w:val="00EC4AE3"/>
    <w:rsid w:val="00EC5836"/>
    <w:rsid w:val="00EC688C"/>
    <w:rsid w:val="00EC7185"/>
    <w:rsid w:val="00EC75D8"/>
    <w:rsid w:val="00EC7951"/>
    <w:rsid w:val="00ED0E16"/>
    <w:rsid w:val="00ED12E3"/>
    <w:rsid w:val="00ED3B5C"/>
    <w:rsid w:val="00ED491B"/>
    <w:rsid w:val="00ED4B04"/>
    <w:rsid w:val="00ED4F76"/>
    <w:rsid w:val="00ED57EA"/>
    <w:rsid w:val="00ED5BD4"/>
    <w:rsid w:val="00ED611D"/>
    <w:rsid w:val="00ED6C09"/>
    <w:rsid w:val="00ED76B1"/>
    <w:rsid w:val="00ED7866"/>
    <w:rsid w:val="00EE07D3"/>
    <w:rsid w:val="00EE0C33"/>
    <w:rsid w:val="00EE1160"/>
    <w:rsid w:val="00EE1996"/>
    <w:rsid w:val="00EE1C01"/>
    <w:rsid w:val="00EE22AF"/>
    <w:rsid w:val="00EE3CCF"/>
    <w:rsid w:val="00EE5288"/>
    <w:rsid w:val="00EE5627"/>
    <w:rsid w:val="00EE5DED"/>
    <w:rsid w:val="00EE67F0"/>
    <w:rsid w:val="00EE7F8E"/>
    <w:rsid w:val="00EF0171"/>
    <w:rsid w:val="00EF1B25"/>
    <w:rsid w:val="00EF1C28"/>
    <w:rsid w:val="00EF1CA1"/>
    <w:rsid w:val="00EF1DA0"/>
    <w:rsid w:val="00EF4041"/>
    <w:rsid w:val="00EF4747"/>
    <w:rsid w:val="00EF4BF8"/>
    <w:rsid w:val="00EF532A"/>
    <w:rsid w:val="00EF6B11"/>
    <w:rsid w:val="00EF6C9D"/>
    <w:rsid w:val="00F01ABB"/>
    <w:rsid w:val="00F02253"/>
    <w:rsid w:val="00F03C2E"/>
    <w:rsid w:val="00F04353"/>
    <w:rsid w:val="00F04A66"/>
    <w:rsid w:val="00F04B4B"/>
    <w:rsid w:val="00F0516C"/>
    <w:rsid w:val="00F052DF"/>
    <w:rsid w:val="00F05795"/>
    <w:rsid w:val="00F067A2"/>
    <w:rsid w:val="00F07B9E"/>
    <w:rsid w:val="00F10B70"/>
    <w:rsid w:val="00F1116F"/>
    <w:rsid w:val="00F11B0A"/>
    <w:rsid w:val="00F1263A"/>
    <w:rsid w:val="00F139C5"/>
    <w:rsid w:val="00F13D16"/>
    <w:rsid w:val="00F15B77"/>
    <w:rsid w:val="00F177D9"/>
    <w:rsid w:val="00F17CF9"/>
    <w:rsid w:val="00F20211"/>
    <w:rsid w:val="00F21236"/>
    <w:rsid w:val="00F22E10"/>
    <w:rsid w:val="00F2389B"/>
    <w:rsid w:val="00F23B32"/>
    <w:rsid w:val="00F24837"/>
    <w:rsid w:val="00F2575F"/>
    <w:rsid w:val="00F26319"/>
    <w:rsid w:val="00F266D8"/>
    <w:rsid w:val="00F27565"/>
    <w:rsid w:val="00F30D23"/>
    <w:rsid w:val="00F310D4"/>
    <w:rsid w:val="00F31D5A"/>
    <w:rsid w:val="00F32659"/>
    <w:rsid w:val="00F33975"/>
    <w:rsid w:val="00F33DE9"/>
    <w:rsid w:val="00F34480"/>
    <w:rsid w:val="00F349E2"/>
    <w:rsid w:val="00F354C9"/>
    <w:rsid w:val="00F35616"/>
    <w:rsid w:val="00F35BF0"/>
    <w:rsid w:val="00F35E6D"/>
    <w:rsid w:val="00F35EF4"/>
    <w:rsid w:val="00F35FBC"/>
    <w:rsid w:val="00F3619A"/>
    <w:rsid w:val="00F36B40"/>
    <w:rsid w:val="00F36D49"/>
    <w:rsid w:val="00F36DFF"/>
    <w:rsid w:val="00F3737F"/>
    <w:rsid w:val="00F373D1"/>
    <w:rsid w:val="00F40AAA"/>
    <w:rsid w:val="00F40BA7"/>
    <w:rsid w:val="00F40F9D"/>
    <w:rsid w:val="00F41ACD"/>
    <w:rsid w:val="00F42695"/>
    <w:rsid w:val="00F43075"/>
    <w:rsid w:val="00F43FD7"/>
    <w:rsid w:val="00F46C8C"/>
    <w:rsid w:val="00F46CB6"/>
    <w:rsid w:val="00F4756D"/>
    <w:rsid w:val="00F475ED"/>
    <w:rsid w:val="00F47DE8"/>
    <w:rsid w:val="00F53ADB"/>
    <w:rsid w:val="00F53DFD"/>
    <w:rsid w:val="00F542C1"/>
    <w:rsid w:val="00F550E3"/>
    <w:rsid w:val="00F556A8"/>
    <w:rsid w:val="00F55E73"/>
    <w:rsid w:val="00F55EDA"/>
    <w:rsid w:val="00F56C80"/>
    <w:rsid w:val="00F56CB0"/>
    <w:rsid w:val="00F572B2"/>
    <w:rsid w:val="00F5785C"/>
    <w:rsid w:val="00F6005E"/>
    <w:rsid w:val="00F60092"/>
    <w:rsid w:val="00F61C18"/>
    <w:rsid w:val="00F65F4B"/>
    <w:rsid w:val="00F65FA0"/>
    <w:rsid w:val="00F66D15"/>
    <w:rsid w:val="00F67A69"/>
    <w:rsid w:val="00F703ED"/>
    <w:rsid w:val="00F70AEC"/>
    <w:rsid w:val="00F70BFF"/>
    <w:rsid w:val="00F70C9D"/>
    <w:rsid w:val="00F71E66"/>
    <w:rsid w:val="00F720C4"/>
    <w:rsid w:val="00F73E08"/>
    <w:rsid w:val="00F745EA"/>
    <w:rsid w:val="00F74CD9"/>
    <w:rsid w:val="00F75922"/>
    <w:rsid w:val="00F75DCD"/>
    <w:rsid w:val="00F76893"/>
    <w:rsid w:val="00F80A7B"/>
    <w:rsid w:val="00F80E5D"/>
    <w:rsid w:val="00F81027"/>
    <w:rsid w:val="00F81E78"/>
    <w:rsid w:val="00F83916"/>
    <w:rsid w:val="00F851CE"/>
    <w:rsid w:val="00F855D9"/>
    <w:rsid w:val="00F866B9"/>
    <w:rsid w:val="00F8710E"/>
    <w:rsid w:val="00F87339"/>
    <w:rsid w:val="00F87712"/>
    <w:rsid w:val="00F91219"/>
    <w:rsid w:val="00F91596"/>
    <w:rsid w:val="00F91BF7"/>
    <w:rsid w:val="00F91F5D"/>
    <w:rsid w:val="00F92444"/>
    <w:rsid w:val="00F9393E"/>
    <w:rsid w:val="00F93F1F"/>
    <w:rsid w:val="00F956A6"/>
    <w:rsid w:val="00F96BB4"/>
    <w:rsid w:val="00F96C75"/>
    <w:rsid w:val="00F96E3E"/>
    <w:rsid w:val="00F96FD0"/>
    <w:rsid w:val="00F97A78"/>
    <w:rsid w:val="00FA0661"/>
    <w:rsid w:val="00FA0B20"/>
    <w:rsid w:val="00FA10E6"/>
    <w:rsid w:val="00FA24E7"/>
    <w:rsid w:val="00FA39D8"/>
    <w:rsid w:val="00FA420C"/>
    <w:rsid w:val="00FA4723"/>
    <w:rsid w:val="00FA4D25"/>
    <w:rsid w:val="00FA5EE6"/>
    <w:rsid w:val="00FA7956"/>
    <w:rsid w:val="00FA7EDC"/>
    <w:rsid w:val="00FB0824"/>
    <w:rsid w:val="00FB1526"/>
    <w:rsid w:val="00FB2FCB"/>
    <w:rsid w:val="00FB384F"/>
    <w:rsid w:val="00FB4C9C"/>
    <w:rsid w:val="00FB5899"/>
    <w:rsid w:val="00FB68B7"/>
    <w:rsid w:val="00FB78E8"/>
    <w:rsid w:val="00FB7C55"/>
    <w:rsid w:val="00FC1074"/>
    <w:rsid w:val="00FC129D"/>
    <w:rsid w:val="00FC1884"/>
    <w:rsid w:val="00FC23CE"/>
    <w:rsid w:val="00FC2430"/>
    <w:rsid w:val="00FC2CE1"/>
    <w:rsid w:val="00FC3686"/>
    <w:rsid w:val="00FC371D"/>
    <w:rsid w:val="00FC3822"/>
    <w:rsid w:val="00FC42C1"/>
    <w:rsid w:val="00FC54DB"/>
    <w:rsid w:val="00FC5C4C"/>
    <w:rsid w:val="00FC5F0B"/>
    <w:rsid w:val="00FD2100"/>
    <w:rsid w:val="00FD3320"/>
    <w:rsid w:val="00FD436C"/>
    <w:rsid w:val="00FD446D"/>
    <w:rsid w:val="00FD4F2C"/>
    <w:rsid w:val="00FD5743"/>
    <w:rsid w:val="00FD5F91"/>
    <w:rsid w:val="00FD627A"/>
    <w:rsid w:val="00FD6394"/>
    <w:rsid w:val="00FE090C"/>
    <w:rsid w:val="00FE0E6C"/>
    <w:rsid w:val="00FE1CDC"/>
    <w:rsid w:val="00FE2839"/>
    <w:rsid w:val="00FE2C41"/>
    <w:rsid w:val="00FE3F62"/>
    <w:rsid w:val="00FE42EC"/>
    <w:rsid w:val="00FE6B89"/>
    <w:rsid w:val="00FE6BE4"/>
    <w:rsid w:val="00FE6DAC"/>
    <w:rsid w:val="00FE70C3"/>
    <w:rsid w:val="00FE78BD"/>
    <w:rsid w:val="00FE7A5C"/>
    <w:rsid w:val="00FF031F"/>
    <w:rsid w:val="00FF1A8B"/>
    <w:rsid w:val="00FF272F"/>
    <w:rsid w:val="00FF2AD9"/>
    <w:rsid w:val="00FF34D7"/>
    <w:rsid w:val="00FF359F"/>
    <w:rsid w:val="00FF3DCF"/>
    <w:rsid w:val="00FF492C"/>
    <w:rsid w:val="00FF4A21"/>
    <w:rsid w:val="00FF5AA3"/>
    <w:rsid w:val="00FF5AD8"/>
    <w:rsid w:val="00FF7215"/>
    <w:rsid w:val="03743BC7"/>
    <w:rsid w:val="122DE428"/>
    <w:rsid w:val="18AED328"/>
    <w:rsid w:val="1BABCBD3"/>
    <w:rsid w:val="1C2FE5C3"/>
    <w:rsid w:val="1C376CB3"/>
    <w:rsid w:val="1F80EAE8"/>
    <w:rsid w:val="23683F4F"/>
    <w:rsid w:val="28CE139C"/>
    <w:rsid w:val="3456F16E"/>
    <w:rsid w:val="3B162D10"/>
    <w:rsid w:val="3D2B43FC"/>
    <w:rsid w:val="4266294F"/>
    <w:rsid w:val="42B1B297"/>
    <w:rsid w:val="4CC6805B"/>
    <w:rsid w:val="501BA935"/>
    <w:rsid w:val="506B152F"/>
    <w:rsid w:val="5532B506"/>
    <w:rsid w:val="56012FAC"/>
    <w:rsid w:val="5B472CB8"/>
    <w:rsid w:val="5F96E3C2"/>
    <w:rsid w:val="6C68756A"/>
    <w:rsid w:val="6DA06503"/>
    <w:rsid w:val="780D1D4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5" w:qFormat="1"/>
    <w:lsdException w:name="heading 6"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5F7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RTI AMCP Table"/>
    <w:basedOn w:val="TableNormal"/>
    <w:uiPriority w:val="59"/>
    <w:qFormat/>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1565C6"/>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basedOn w:val="Normal"/>
    <w:link w:val="FootnoteTextChar"/>
    <w:semiHidden/>
    <w:unhideWhenUsed/>
    <w:rsid w:val="0088249D"/>
    <w:rPr>
      <w:sz w:val="20"/>
      <w:szCs w:val="20"/>
    </w:rPr>
  </w:style>
  <w:style w:type="character" w:customStyle="1" w:styleId="FootnoteTextChar">
    <w:name w:val="Footnote Text Char"/>
    <w:basedOn w:val="DefaultParagraphFont"/>
    <w:link w:val="FootnoteText"/>
    <w:semiHidden/>
    <w:rsid w:val="0088249D"/>
    <w:rPr>
      <w:rFonts w:ascii="Calibri" w:hAnsi="Calibri" w:cs="Arial"/>
    </w:rPr>
  </w:style>
  <w:style w:type="character" w:styleId="FootnoteReference">
    <w:name w:val="footnote reference"/>
    <w:basedOn w:val="DefaultParagraphFont"/>
    <w:semiHidden/>
    <w:unhideWhenUsed/>
    <w:rsid w:val="0088249D"/>
    <w:rPr>
      <w:vertAlign w:val="superscript"/>
    </w:rPr>
  </w:style>
  <w:style w:type="table" w:styleId="ColorfulGrid-Accent5">
    <w:name w:val="Colorful Grid Accent 5"/>
    <w:basedOn w:val="TableNormal"/>
    <w:uiPriority w:val="73"/>
    <w:rsid w:val="0024083E"/>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Strong">
    <w:name w:val="Strong"/>
    <w:basedOn w:val="DefaultParagraphFont"/>
    <w:uiPriority w:val="22"/>
    <w:qFormat/>
    <w:rsid w:val="0024083E"/>
    <w:rPr>
      <w:b/>
      <w:bCs/>
      <w:noProof w:val="0"/>
      <w:lang w:val="en-AU"/>
    </w:rPr>
  </w:style>
  <w:style w:type="character" w:styleId="UnresolvedMention">
    <w:name w:val="Unresolved Mention"/>
    <w:basedOn w:val="DefaultParagraphFont"/>
    <w:uiPriority w:val="99"/>
    <w:semiHidden/>
    <w:unhideWhenUsed/>
    <w:rsid w:val="0024083E"/>
    <w:rPr>
      <w:color w:val="605E5C"/>
      <w:shd w:val="clear" w:color="auto" w:fill="E1DFDD"/>
    </w:rPr>
  </w:style>
  <w:style w:type="paragraph" w:customStyle="1" w:styleId="Source">
    <w:name w:val="Source"/>
    <w:basedOn w:val="Normal"/>
    <w:uiPriority w:val="35"/>
    <w:rsid w:val="005B69CC"/>
    <w:pPr>
      <w:tabs>
        <w:tab w:val="left" w:pos="284"/>
      </w:tabs>
      <w:spacing w:before="60" w:after="240" w:line="360" w:lineRule="auto"/>
      <w:contextualSpacing/>
      <w:jc w:val="left"/>
    </w:pPr>
    <w:rPr>
      <w:rFonts w:ascii="Arial" w:eastAsiaTheme="minorHAnsi" w:hAnsi="Arial" w:cstheme="minorBidi"/>
      <w:sz w:val="18"/>
      <w:szCs w:val="20"/>
      <w:lang w:eastAsia="en-US"/>
    </w:rPr>
  </w:style>
  <w:style w:type="character" w:customStyle="1" w:styleId="normaltextrun">
    <w:name w:val="normaltextrun"/>
    <w:basedOn w:val="DefaultParagraphFont"/>
    <w:rsid w:val="005B69CC"/>
  </w:style>
  <w:style w:type="character" w:customStyle="1" w:styleId="Heading5Char">
    <w:name w:val="Heading 5 Char"/>
    <w:basedOn w:val="DefaultParagraphFont"/>
    <w:link w:val="Heading5"/>
    <w:rsid w:val="005B69CC"/>
    <w:rPr>
      <w:rFonts w:ascii="Calibri" w:hAnsi="Calibri" w:cs="Arial"/>
      <w:b/>
      <w:bCs/>
      <w:iCs/>
      <w:sz w:val="26"/>
      <w:szCs w:val="26"/>
    </w:rPr>
  </w:style>
  <w:style w:type="character" w:customStyle="1" w:styleId="Heading6Char">
    <w:name w:val="Heading 6 Char"/>
    <w:basedOn w:val="DefaultParagraphFont"/>
    <w:link w:val="Heading6"/>
    <w:rsid w:val="005B69CC"/>
    <w:rPr>
      <w:rFonts w:ascii="Calibri" w:hAnsi="Calibri" w:cs="Arial"/>
      <w:b/>
      <w:bCs/>
      <w:i/>
      <w:sz w:val="24"/>
      <w:szCs w:val="24"/>
    </w:rPr>
  </w:style>
  <w:style w:type="table" w:customStyle="1" w:styleId="ASDTable2">
    <w:name w:val="ASD Table2"/>
    <w:basedOn w:val="TableNormal"/>
    <w:next w:val="TableGrid"/>
    <w:uiPriority w:val="39"/>
    <w:rsid w:val="00AB6D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779A2"/>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65536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5536C"/>
    <w:rPr>
      <w:rFonts w:asciiTheme="minorHAnsi" w:eastAsiaTheme="majorEastAsia" w:hAnsiTheme="minorHAnsi" w:cstheme="majorBidi"/>
      <w:b/>
      <w:i/>
      <w:snapToGrid/>
      <w:spacing w:val="5"/>
      <w:kern w:val="28"/>
      <w:sz w:val="28"/>
      <w:szCs w:val="36"/>
      <w:lang w:eastAsia="en-US"/>
    </w:rPr>
  </w:style>
  <w:style w:type="table" w:customStyle="1" w:styleId="HTAtableplain1">
    <w:name w:val="HTAtableplain1"/>
    <w:basedOn w:val="TableNormal"/>
    <w:next w:val="TableGrid"/>
    <w:uiPriority w:val="59"/>
    <w:rsid w:val="00F354C9"/>
    <w:pPr>
      <w:spacing w:after="120" w:line="360" w:lineRule="auto"/>
      <w:ind w:right="57"/>
    </w:pPr>
    <w:rPr>
      <w:rFonts w:ascii="Arial" w:eastAsia="Arial" w:hAnsi="Arial" w:cs="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768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5210611">
      <w:bodyDiv w:val="1"/>
      <w:marLeft w:val="0"/>
      <w:marRight w:val="0"/>
      <w:marTop w:val="0"/>
      <w:marBottom w:val="0"/>
      <w:divBdr>
        <w:top w:val="none" w:sz="0" w:space="0" w:color="auto"/>
        <w:left w:val="none" w:sz="0" w:space="0" w:color="auto"/>
        <w:bottom w:val="none" w:sz="0" w:space="0" w:color="auto"/>
        <w:right w:val="none" w:sz="0" w:space="0" w:color="auto"/>
      </w:divBdr>
    </w:div>
    <w:div w:id="329068315">
      <w:bodyDiv w:val="1"/>
      <w:marLeft w:val="0"/>
      <w:marRight w:val="0"/>
      <w:marTop w:val="0"/>
      <w:marBottom w:val="0"/>
      <w:divBdr>
        <w:top w:val="none" w:sz="0" w:space="0" w:color="auto"/>
        <w:left w:val="none" w:sz="0" w:space="0" w:color="auto"/>
        <w:bottom w:val="none" w:sz="0" w:space="0" w:color="auto"/>
        <w:right w:val="none" w:sz="0" w:space="0" w:color="auto"/>
      </w:divBdr>
    </w:div>
    <w:div w:id="544633822">
      <w:bodyDiv w:val="1"/>
      <w:marLeft w:val="0"/>
      <w:marRight w:val="0"/>
      <w:marTop w:val="0"/>
      <w:marBottom w:val="0"/>
      <w:divBdr>
        <w:top w:val="none" w:sz="0" w:space="0" w:color="auto"/>
        <w:left w:val="none" w:sz="0" w:space="0" w:color="auto"/>
        <w:bottom w:val="none" w:sz="0" w:space="0" w:color="auto"/>
        <w:right w:val="none" w:sz="0" w:space="0" w:color="auto"/>
      </w:divBdr>
    </w:div>
    <w:div w:id="64246544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0555490">
      <w:bodyDiv w:val="1"/>
      <w:marLeft w:val="0"/>
      <w:marRight w:val="0"/>
      <w:marTop w:val="0"/>
      <w:marBottom w:val="0"/>
      <w:divBdr>
        <w:top w:val="none" w:sz="0" w:space="0" w:color="auto"/>
        <w:left w:val="none" w:sz="0" w:space="0" w:color="auto"/>
        <w:bottom w:val="none" w:sz="0" w:space="0" w:color="auto"/>
        <w:right w:val="none" w:sz="0" w:space="0" w:color="auto"/>
      </w:divBdr>
    </w:div>
    <w:div w:id="10098674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6355945">
      <w:bodyDiv w:val="1"/>
      <w:marLeft w:val="0"/>
      <w:marRight w:val="0"/>
      <w:marTop w:val="0"/>
      <w:marBottom w:val="0"/>
      <w:divBdr>
        <w:top w:val="none" w:sz="0" w:space="0" w:color="auto"/>
        <w:left w:val="none" w:sz="0" w:space="0" w:color="auto"/>
        <w:bottom w:val="none" w:sz="0" w:space="0" w:color="auto"/>
        <w:right w:val="none" w:sz="0" w:space="0" w:color="auto"/>
      </w:divBdr>
    </w:div>
    <w:div w:id="1296445195">
      <w:bodyDiv w:val="1"/>
      <w:marLeft w:val="0"/>
      <w:marRight w:val="0"/>
      <w:marTop w:val="0"/>
      <w:marBottom w:val="0"/>
      <w:divBdr>
        <w:top w:val="none" w:sz="0" w:space="0" w:color="auto"/>
        <w:left w:val="none" w:sz="0" w:space="0" w:color="auto"/>
        <w:bottom w:val="none" w:sz="0" w:space="0" w:color="auto"/>
        <w:right w:val="none" w:sz="0" w:space="0" w:color="auto"/>
      </w:divBdr>
      <w:divsChild>
        <w:div w:id="520822047">
          <w:marLeft w:val="360"/>
          <w:marRight w:val="0"/>
          <w:marTop w:val="200"/>
          <w:marBottom w:val="0"/>
          <w:divBdr>
            <w:top w:val="none" w:sz="0" w:space="0" w:color="auto"/>
            <w:left w:val="none" w:sz="0" w:space="0" w:color="auto"/>
            <w:bottom w:val="none" w:sz="0" w:space="0" w:color="auto"/>
            <w:right w:val="none" w:sz="0" w:space="0" w:color="auto"/>
          </w:divBdr>
        </w:div>
      </w:divsChild>
    </w:div>
    <w:div w:id="1469711353">
      <w:bodyDiv w:val="1"/>
      <w:marLeft w:val="0"/>
      <w:marRight w:val="0"/>
      <w:marTop w:val="0"/>
      <w:marBottom w:val="0"/>
      <w:divBdr>
        <w:top w:val="none" w:sz="0" w:space="0" w:color="auto"/>
        <w:left w:val="none" w:sz="0" w:space="0" w:color="auto"/>
        <w:bottom w:val="none" w:sz="0" w:space="0" w:color="auto"/>
        <w:right w:val="none" w:sz="0" w:space="0" w:color="auto"/>
      </w:divBdr>
    </w:div>
    <w:div w:id="1697193907">
      <w:bodyDiv w:val="1"/>
      <w:marLeft w:val="0"/>
      <w:marRight w:val="0"/>
      <w:marTop w:val="0"/>
      <w:marBottom w:val="0"/>
      <w:divBdr>
        <w:top w:val="none" w:sz="0" w:space="0" w:color="auto"/>
        <w:left w:val="none" w:sz="0" w:space="0" w:color="auto"/>
        <w:bottom w:val="none" w:sz="0" w:space="0" w:color="auto"/>
        <w:right w:val="none" w:sz="0" w:space="0" w:color="auto"/>
      </w:divBdr>
    </w:div>
    <w:div w:id="179459481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iq.org.au/cancer-genetics/consumer-information/3444-facts-for-people-and-families-with-von-hippe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16741-1269-40E3-9BBC-E435C9DD9296}">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75</Pages>
  <Words>29562</Words>
  <Characters>168509</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197676</CharactersWithSpaces>
  <SharedDoc>false</SharedDoc>
  <HLinks>
    <vt:vector size="420" baseType="variant">
      <vt:variant>
        <vt:i4>4587578</vt:i4>
      </vt:variant>
      <vt:variant>
        <vt:i4>600</vt:i4>
      </vt:variant>
      <vt:variant>
        <vt:i4>0</vt:i4>
      </vt:variant>
      <vt:variant>
        <vt:i4>5</vt:i4>
      </vt:variant>
      <vt:variant>
        <vt:lpwstr>http://www.reillyassociates.net/WPAI_General.html</vt:lpwstr>
      </vt:variant>
      <vt:variant>
        <vt:lpwstr/>
      </vt:variant>
      <vt:variant>
        <vt:i4>1048627</vt:i4>
      </vt:variant>
      <vt:variant>
        <vt:i4>410</vt:i4>
      </vt:variant>
      <vt:variant>
        <vt:i4>0</vt:i4>
      </vt:variant>
      <vt:variant>
        <vt:i4>5</vt:i4>
      </vt:variant>
      <vt:variant>
        <vt:lpwstr/>
      </vt:variant>
      <vt:variant>
        <vt:lpwstr>_Toc166507437</vt:lpwstr>
      </vt:variant>
      <vt:variant>
        <vt:i4>1048627</vt:i4>
      </vt:variant>
      <vt:variant>
        <vt:i4>404</vt:i4>
      </vt:variant>
      <vt:variant>
        <vt:i4>0</vt:i4>
      </vt:variant>
      <vt:variant>
        <vt:i4>5</vt:i4>
      </vt:variant>
      <vt:variant>
        <vt:lpwstr/>
      </vt:variant>
      <vt:variant>
        <vt:lpwstr>_Toc166507436</vt:lpwstr>
      </vt:variant>
      <vt:variant>
        <vt:i4>1048627</vt:i4>
      </vt:variant>
      <vt:variant>
        <vt:i4>398</vt:i4>
      </vt:variant>
      <vt:variant>
        <vt:i4>0</vt:i4>
      </vt:variant>
      <vt:variant>
        <vt:i4>5</vt:i4>
      </vt:variant>
      <vt:variant>
        <vt:lpwstr/>
      </vt:variant>
      <vt:variant>
        <vt:lpwstr>_Toc166507435</vt:lpwstr>
      </vt:variant>
      <vt:variant>
        <vt:i4>1048627</vt:i4>
      </vt:variant>
      <vt:variant>
        <vt:i4>392</vt:i4>
      </vt:variant>
      <vt:variant>
        <vt:i4>0</vt:i4>
      </vt:variant>
      <vt:variant>
        <vt:i4>5</vt:i4>
      </vt:variant>
      <vt:variant>
        <vt:lpwstr/>
      </vt:variant>
      <vt:variant>
        <vt:lpwstr>_Toc166507434</vt:lpwstr>
      </vt:variant>
      <vt:variant>
        <vt:i4>1048627</vt:i4>
      </vt:variant>
      <vt:variant>
        <vt:i4>386</vt:i4>
      </vt:variant>
      <vt:variant>
        <vt:i4>0</vt:i4>
      </vt:variant>
      <vt:variant>
        <vt:i4>5</vt:i4>
      </vt:variant>
      <vt:variant>
        <vt:lpwstr/>
      </vt:variant>
      <vt:variant>
        <vt:lpwstr>_Toc166507433</vt:lpwstr>
      </vt:variant>
      <vt:variant>
        <vt:i4>1048627</vt:i4>
      </vt:variant>
      <vt:variant>
        <vt:i4>380</vt:i4>
      </vt:variant>
      <vt:variant>
        <vt:i4>0</vt:i4>
      </vt:variant>
      <vt:variant>
        <vt:i4>5</vt:i4>
      </vt:variant>
      <vt:variant>
        <vt:lpwstr/>
      </vt:variant>
      <vt:variant>
        <vt:lpwstr>_Toc166507432</vt:lpwstr>
      </vt:variant>
      <vt:variant>
        <vt:i4>1048627</vt:i4>
      </vt:variant>
      <vt:variant>
        <vt:i4>374</vt:i4>
      </vt:variant>
      <vt:variant>
        <vt:i4>0</vt:i4>
      </vt:variant>
      <vt:variant>
        <vt:i4>5</vt:i4>
      </vt:variant>
      <vt:variant>
        <vt:lpwstr/>
      </vt:variant>
      <vt:variant>
        <vt:lpwstr>_Toc166507431</vt:lpwstr>
      </vt:variant>
      <vt:variant>
        <vt:i4>1048627</vt:i4>
      </vt:variant>
      <vt:variant>
        <vt:i4>368</vt:i4>
      </vt:variant>
      <vt:variant>
        <vt:i4>0</vt:i4>
      </vt:variant>
      <vt:variant>
        <vt:i4>5</vt:i4>
      </vt:variant>
      <vt:variant>
        <vt:lpwstr/>
      </vt:variant>
      <vt:variant>
        <vt:lpwstr>_Toc166507430</vt:lpwstr>
      </vt:variant>
      <vt:variant>
        <vt:i4>1114163</vt:i4>
      </vt:variant>
      <vt:variant>
        <vt:i4>362</vt:i4>
      </vt:variant>
      <vt:variant>
        <vt:i4>0</vt:i4>
      </vt:variant>
      <vt:variant>
        <vt:i4>5</vt:i4>
      </vt:variant>
      <vt:variant>
        <vt:lpwstr/>
      </vt:variant>
      <vt:variant>
        <vt:lpwstr>_Toc166507429</vt:lpwstr>
      </vt:variant>
      <vt:variant>
        <vt:i4>1114163</vt:i4>
      </vt:variant>
      <vt:variant>
        <vt:i4>356</vt:i4>
      </vt:variant>
      <vt:variant>
        <vt:i4>0</vt:i4>
      </vt:variant>
      <vt:variant>
        <vt:i4>5</vt:i4>
      </vt:variant>
      <vt:variant>
        <vt:lpwstr/>
      </vt:variant>
      <vt:variant>
        <vt:lpwstr>_Toc166507428</vt:lpwstr>
      </vt:variant>
      <vt:variant>
        <vt:i4>1114163</vt:i4>
      </vt:variant>
      <vt:variant>
        <vt:i4>350</vt:i4>
      </vt:variant>
      <vt:variant>
        <vt:i4>0</vt:i4>
      </vt:variant>
      <vt:variant>
        <vt:i4>5</vt:i4>
      </vt:variant>
      <vt:variant>
        <vt:lpwstr/>
      </vt:variant>
      <vt:variant>
        <vt:lpwstr>_Toc166507427</vt:lpwstr>
      </vt:variant>
      <vt:variant>
        <vt:i4>1114163</vt:i4>
      </vt:variant>
      <vt:variant>
        <vt:i4>344</vt:i4>
      </vt:variant>
      <vt:variant>
        <vt:i4>0</vt:i4>
      </vt:variant>
      <vt:variant>
        <vt:i4>5</vt:i4>
      </vt:variant>
      <vt:variant>
        <vt:lpwstr/>
      </vt:variant>
      <vt:variant>
        <vt:lpwstr>_Toc166507426</vt:lpwstr>
      </vt:variant>
      <vt:variant>
        <vt:i4>1114163</vt:i4>
      </vt:variant>
      <vt:variant>
        <vt:i4>338</vt:i4>
      </vt:variant>
      <vt:variant>
        <vt:i4>0</vt:i4>
      </vt:variant>
      <vt:variant>
        <vt:i4>5</vt:i4>
      </vt:variant>
      <vt:variant>
        <vt:lpwstr/>
      </vt:variant>
      <vt:variant>
        <vt:lpwstr>_Toc166507425</vt:lpwstr>
      </vt:variant>
      <vt:variant>
        <vt:i4>1114163</vt:i4>
      </vt:variant>
      <vt:variant>
        <vt:i4>332</vt:i4>
      </vt:variant>
      <vt:variant>
        <vt:i4>0</vt:i4>
      </vt:variant>
      <vt:variant>
        <vt:i4>5</vt:i4>
      </vt:variant>
      <vt:variant>
        <vt:lpwstr/>
      </vt:variant>
      <vt:variant>
        <vt:lpwstr>_Toc166507424</vt:lpwstr>
      </vt:variant>
      <vt:variant>
        <vt:i4>1114163</vt:i4>
      </vt:variant>
      <vt:variant>
        <vt:i4>326</vt:i4>
      </vt:variant>
      <vt:variant>
        <vt:i4>0</vt:i4>
      </vt:variant>
      <vt:variant>
        <vt:i4>5</vt:i4>
      </vt:variant>
      <vt:variant>
        <vt:lpwstr/>
      </vt:variant>
      <vt:variant>
        <vt:lpwstr>_Toc166507423</vt:lpwstr>
      </vt:variant>
      <vt:variant>
        <vt:i4>1114163</vt:i4>
      </vt:variant>
      <vt:variant>
        <vt:i4>320</vt:i4>
      </vt:variant>
      <vt:variant>
        <vt:i4>0</vt:i4>
      </vt:variant>
      <vt:variant>
        <vt:i4>5</vt:i4>
      </vt:variant>
      <vt:variant>
        <vt:lpwstr/>
      </vt:variant>
      <vt:variant>
        <vt:lpwstr>_Toc166507422</vt:lpwstr>
      </vt:variant>
      <vt:variant>
        <vt:i4>1114163</vt:i4>
      </vt:variant>
      <vt:variant>
        <vt:i4>314</vt:i4>
      </vt:variant>
      <vt:variant>
        <vt:i4>0</vt:i4>
      </vt:variant>
      <vt:variant>
        <vt:i4>5</vt:i4>
      </vt:variant>
      <vt:variant>
        <vt:lpwstr/>
      </vt:variant>
      <vt:variant>
        <vt:lpwstr>_Toc166507421</vt:lpwstr>
      </vt:variant>
      <vt:variant>
        <vt:i4>1114163</vt:i4>
      </vt:variant>
      <vt:variant>
        <vt:i4>308</vt:i4>
      </vt:variant>
      <vt:variant>
        <vt:i4>0</vt:i4>
      </vt:variant>
      <vt:variant>
        <vt:i4>5</vt:i4>
      </vt:variant>
      <vt:variant>
        <vt:lpwstr/>
      </vt:variant>
      <vt:variant>
        <vt:lpwstr>_Toc166507420</vt:lpwstr>
      </vt:variant>
      <vt:variant>
        <vt:i4>1179699</vt:i4>
      </vt:variant>
      <vt:variant>
        <vt:i4>302</vt:i4>
      </vt:variant>
      <vt:variant>
        <vt:i4>0</vt:i4>
      </vt:variant>
      <vt:variant>
        <vt:i4>5</vt:i4>
      </vt:variant>
      <vt:variant>
        <vt:lpwstr/>
      </vt:variant>
      <vt:variant>
        <vt:lpwstr>_Toc166507419</vt:lpwstr>
      </vt:variant>
      <vt:variant>
        <vt:i4>1179699</vt:i4>
      </vt:variant>
      <vt:variant>
        <vt:i4>296</vt:i4>
      </vt:variant>
      <vt:variant>
        <vt:i4>0</vt:i4>
      </vt:variant>
      <vt:variant>
        <vt:i4>5</vt:i4>
      </vt:variant>
      <vt:variant>
        <vt:lpwstr/>
      </vt:variant>
      <vt:variant>
        <vt:lpwstr>_Toc166507418</vt:lpwstr>
      </vt:variant>
      <vt:variant>
        <vt:i4>1179699</vt:i4>
      </vt:variant>
      <vt:variant>
        <vt:i4>290</vt:i4>
      </vt:variant>
      <vt:variant>
        <vt:i4>0</vt:i4>
      </vt:variant>
      <vt:variant>
        <vt:i4>5</vt:i4>
      </vt:variant>
      <vt:variant>
        <vt:lpwstr/>
      </vt:variant>
      <vt:variant>
        <vt:lpwstr>_Toc166507417</vt:lpwstr>
      </vt:variant>
      <vt:variant>
        <vt:i4>1179699</vt:i4>
      </vt:variant>
      <vt:variant>
        <vt:i4>284</vt:i4>
      </vt:variant>
      <vt:variant>
        <vt:i4>0</vt:i4>
      </vt:variant>
      <vt:variant>
        <vt:i4>5</vt:i4>
      </vt:variant>
      <vt:variant>
        <vt:lpwstr/>
      </vt:variant>
      <vt:variant>
        <vt:lpwstr>_Toc166507416</vt:lpwstr>
      </vt:variant>
      <vt:variant>
        <vt:i4>1179699</vt:i4>
      </vt:variant>
      <vt:variant>
        <vt:i4>278</vt:i4>
      </vt:variant>
      <vt:variant>
        <vt:i4>0</vt:i4>
      </vt:variant>
      <vt:variant>
        <vt:i4>5</vt:i4>
      </vt:variant>
      <vt:variant>
        <vt:lpwstr/>
      </vt:variant>
      <vt:variant>
        <vt:lpwstr>_Toc166507415</vt:lpwstr>
      </vt:variant>
      <vt:variant>
        <vt:i4>1179699</vt:i4>
      </vt:variant>
      <vt:variant>
        <vt:i4>272</vt:i4>
      </vt:variant>
      <vt:variant>
        <vt:i4>0</vt:i4>
      </vt:variant>
      <vt:variant>
        <vt:i4>5</vt:i4>
      </vt:variant>
      <vt:variant>
        <vt:lpwstr/>
      </vt:variant>
      <vt:variant>
        <vt:lpwstr>_Toc166507414</vt:lpwstr>
      </vt:variant>
      <vt:variant>
        <vt:i4>1179699</vt:i4>
      </vt:variant>
      <vt:variant>
        <vt:i4>266</vt:i4>
      </vt:variant>
      <vt:variant>
        <vt:i4>0</vt:i4>
      </vt:variant>
      <vt:variant>
        <vt:i4>5</vt:i4>
      </vt:variant>
      <vt:variant>
        <vt:lpwstr/>
      </vt:variant>
      <vt:variant>
        <vt:lpwstr>_Toc166507413</vt:lpwstr>
      </vt:variant>
      <vt:variant>
        <vt:i4>1179699</vt:i4>
      </vt:variant>
      <vt:variant>
        <vt:i4>260</vt:i4>
      </vt:variant>
      <vt:variant>
        <vt:i4>0</vt:i4>
      </vt:variant>
      <vt:variant>
        <vt:i4>5</vt:i4>
      </vt:variant>
      <vt:variant>
        <vt:lpwstr/>
      </vt:variant>
      <vt:variant>
        <vt:lpwstr>_Toc166507412</vt:lpwstr>
      </vt:variant>
      <vt:variant>
        <vt:i4>1179699</vt:i4>
      </vt:variant>
      <vt:variant>
        <vt:i4>254</vt:i4>
      </vt:variant>
      <vt:variant>
        <vt:i4>0</vt:i4>
      </vt:variant>
      <vt:variant>
        <vt:i4>5</vt:i4>
      </vt:variant>
      <vt:variant>
        <vt:lpwstr/>
      </vt:variant>
      <vt:variant>
        <vt:lpwstr>_Toc166507411</vt:lpwstr>
      </vt:variant>
      <vt:variant>
        <vt:i4>1179699</vt:i4>
      </vt:variant>
      <vt:variant>
        <vt:i4>248</vt:i4>
      </vt:variant>
      <vt:variant>
        <vt:i4>0</vt:i4>
      </vt:variant>
      <vt:variant>
        <vt:i4>5</vt:i4>
      </vt:variant>
      <vt:variant>
        <vt:lpwstr/>
      </vt:variant>
      <vt:variant>
        <vt:lpwstr>_Toc166507410</vt:lpwstr>
      </vt:variant>
      <vt:variant>
        <vt:i4>1245235</vt:i4>
      </vt:variant>
      <vt:variant>
        <vt:i4>242</vt:i4>
      </vt:variant>
      <vt:variant>
        <vt:i4>0</vt:i4>
      </vt:variant>
      <vt:variant>
        <vt:i4>5</vt:i4>
      </vt:variant>
      <vt:variant>
        <vt:lpwstr/>
      </vt:variant>
      <vt:variant>
        <vt:lpwstr>_Toc166507409</vt:lpwstr>
      </vt:variant>
      <vt:variant>
        <vt:i4>1245235</vt:i4>
      </vt:variant>
      <vt:variant>
        <vt:i4>236</vt:i4>
      </vt:variant>
      <vt:variant>
        <vt:i4>0</vt:i4>
      </vt:variant>
      <vt:variant>
        <vt:i4>5</vt:i4>
      </vt:variant>
      <vt:variant>
        <vt:lpwstr/>
      </vt:variant>
      <vt:variant>
        <vt:lpwstr>_Toc166507408</vt:lpwstr>
      </vt:variant>
      <vt:variant>
        <vt:i4>1245235</vt:i4>
      </vt:variant>
      <vt:variant>
        <vt:i4>230</vt:i4>
      </vt:variant>
      <vt:variant>
        <vt:i4>0</vt:i4>
      </vt:variant>
      <vt:variant>
        <vt:i4>5</vt:i4>
      </vt:variant>
      <vt:variant>
        <vt:lpwstr/>
      </vt:variant>
      <vt:variant>
        <vt:lpwstr>_Toc166507407</vt:lpwstr>
      </vt:variant>
      <vt:variant>
        <vt:i4>1245235</vt:i4>
      </vt:variant>
      <vt:variant>
        <vt:i4>224</vt:i4>
      </vt:variant>
      <vt:variant>
        <vt:i4>0</vt:i4>
      </vt:variant>
      <vt:variant>
        <vt:i4>5</vt:i4>
      </vt:variant>
      <vt:variant>
        <vt:lpwstr/>
      </vt:variant>
      <vt:variant>
        <vt:lpwstr>_Toc166507406</vt:lpwstr>
      </vt:variant>
      <vt:variant>
        <vt:i4>1245235</vt:i4>
      </vt:variant>
      <vt:variant>
        <vt:i4>218</vt:i4>
      </vt:variant>
      <vt:variant>
        <vt:i4>0</vt:i4>
      </vt:variant>
      <vt:variant>
        <vt:i4>5</vt:i4>
      </vt:variant>
      <vt:variant>
        <vt:lpwstr/>
      </vt:variant>
      <vt:variant>
        <vt:lpwstr>_Toc166507405</vt:lpwstr>
      </vt:variant>
      <vt:variant>
        <vt:i4>1245235</vt:i4>
      </vt:variant>
      <vt:variant>
        <vt:i4>212</vt:i4>
      </vt:variant>
      <vt:variant>
        <vt:i4>0</vt:i4>
      </vt:variant>
      <vt:variant>
        <vt:i4>5</vt:i4>
      </vt:variant>
      <vt:variant>
        <vt:lpwstr/>
      </vt:variant>
      <vt:variant>
        <vt:lpwstr>_Toc166507404</vt:lpwstr>
      </vt:variant>
      <vt:variant>
        <vt:i4>1245235</vt:i4>
      </vt:variant>
      <vt:variant>
        <vt:i4>206</vt:i4>
      </vt:variant>
      <vt:variant>
        <vt:i4>0</vt:i4>
      </vt:variant>
      <vt:variant>
        <vt:i4>5</vt:i4>
      </vt:variant>
      <vt:variant>
        <vt:lpwstr/>
      </vt:variant>
      <vt:variant>
        <vt:lpwstr>_Toc166507403</vt:lpwstr>
      </vt:variant>
      <vt:variant>
        <vt:i4>1245235</vt:i4>
      </vt:variant>
      <vt:variant>
        <vt:i4>200</vt:i4>
      </vt:variant>
      <vt:variant>
        <vt:i4>0</vt:i4>
      </vt:variant>
      <vt:variant>
        <vt:i4>5</vt:i4>
      </vt:variant>
      <vt:variant>
        <vt:lpwstr/>
      </vt:variant>
      <vt:variant>
        <vt:lpwstr>_Toc166507402</vt:lpwstr>
      </vt:variant>
      <vt:variant>
        <vt:i4>1245235</vt:i4>
      </vt:variant>
      <vt:variant>
        <vt:i4>194</vt:i4>
      </vt:variant>
      <vt:variant>
        <vt:i4>0</vt:i4>
      </vt:variant>
      <vt:variant>
        <vt:i4>5</vt:i4>
      </vt:variant>
      <vt:variant>
        <vt:lpwstr/>
      </vt:variant>
      <vt:variant>
        <vt:lpwstr>_Toc166507401</vt:lpwstr>
      </vt:variant>
      <vt:variant>
        <vt:i4>1245235</vt:i4>
      </vt:variant>
      <vt:variant>
        <vt:i4>188</vt:i4>
      </vt:variant>
      <vt:variant>
        <vt:i4>0</vt:i4>
      </vt:variant>
      <vt:variant>
        <vt:i4>5</vt:i4>
      </vt:variant>
      <vt:variant>
        <vt:lpwstr/>
      </vt:variant>
      <vt:variant>
        <vt:lpwstr>_Toc166507400</vt:lpwstr>
      </vt:variant>
      <vt:variant>
        <vt:i4>1703988</vt:i4>
      </vt:variant>
      <vt:variant>
        <vt:i4>182</vt:i4>
      </vt:variant>
      <vt:variant>
        <vt:i4>0</vt:i4>
      </vt:variant>
      <vt:variant>
        <vt:i4>5</vt:i4>
      </vt:variant>
      <vt:variant>
        <vt:lpwstr/>
      </vt:variant>
      <vt:variant>
        <vt:lpwstr>_Toc166507399</vt:lpwstr>
      </vt:variant>
      <vt:variant>
        <vt:i4>1703988</vt:i4>
      </vt:variant>
      <vt:variant>
        <vt:i4>176</vt:i4>
      </vt:variant>
      <vt:variant>
        <vt:i4>0</vt:i4>
      </vt:variant>
      <vt:variant>
        <vt:i4>5</vt:i4>
      </vt:variant>
      <vt:variant>
        <vt:lpwstr/>
      </vt:variant>
      <vt:variant>
        <vt:lpwstr>_Toc166507398</vt:lpwstr>
      </vt:variant>
      <vt:variant>
        <vt:i4>1703988</vt:i4>
      </vt:variant>
      <vt:variant>
        <vt:i4>170</vt:i4>
      </vt:variant>
      <vt:variant>
        <vt:i4>0</vt:i4>
      </vt:variant>
      <vt:variant>
        <vt:i4>5</vt:i4>
      </vt:variant>
      <vt:variant>
        <vt:lpwstr/>
      </vt:variant>
      <vt:variant>
        <vt:lpwstr>_Toc166507397</vt:lpwstr>
      </vt:variant>
      <vt:variant>
        <vt:i4>1703988</vt:i4>
      </vt:variant>
      <vt:variant>
        <vt:i4>164</vt:i4>
      </vt:variant>
      <vt:variant>
        <vt:i4>0</vt:i4>
      </vt:variant>
      <vt:variant>
        <vt:i4>5</vt:i4>
      </vt:variant>
      <vt:variant>
        <vt:lpwstr/>
      </vt:variant>
      <vt:variant>
        <vt:lpwstr>_Toc166507396</vt:lpwstr>
      </vt:variant>
      <vt:variant>
        <vt:i4>1703988</vt:i4>
      </vt:variant>
      <vt:variant>
        <vt:i4>158</vt:i4>
      </vt:variant>
      <vt:variant>
        <vt:i4>0</vt:i4>
      </vt:variant>
      <vt:variant>
        <vt:i4>5</vt:i4>
      </vt:variant>
      <vt:variant>
        <vt:lpwstr/>
      </vt:variant>
      <vt:variant>
        <vt:lpwstr>_Toc166507395</vt:lpwstr>
      </vt:variant>
      <vt:variant>
        <vt:i4>1703988</vt:i4>
      </vt:variant>
      <vt:variant>
        <vt:i4>152</vt:i4>
      </vt:variant>
      <vt:variant>
        <vt:i4>0</vt:i4>
      </vt:variant>
      <vt:variant>
        <vt:i4>5</vt:i4>
      </vt:variant>
      <vt:variant>
        <vt:lpwstr/>
      </vt:variant>
      <vt:variant>
        <vt:lpwstr>_Toc166507394</vt:lpwstr>
      </vt:variant>
      <vt:variant>
        <vt:i4>1703988</vt:i4>
      </vt:variant>
      <vt:variant>
        <vt:i4>146</vt:i4>
      </vt:variant>
      <vt:variant>
        <vt:i4>0</vt:i4>
      </vt:variant>
      <vt:variant>
        <vt:i4>5</vt:i4>
      </vt:variant>
      <vt:variant>
        <vt:lpwstr/>
      </vt:variant>
      <vt:variant>
        <vt:lpwstr>_Toc166507393</vt:lpwstr>
      </vt:variant>
      <vt:variant>
        <vt:i4>1703988</vt:i4>
      </vt:variant>
      <vt:variant>
        <vt:i4>140</vt:i4>
      </vt:variant>
      <vt:variant>
        <vt:i4>0</vt:i4>
      </vt:variant>
      <vt:variant>
        <vt:i4>5</vt:i4>
      </vt:variant>
      <vt:variant>
        <vt:lpwstr/>
      </vt:variant>
      <vt:variant>
        <vt:lpwstr>_Toc166507392</vt:lpwstr>
      </vt:variant>
      <vt:variant>
        <vt:i4>1703988</vt:i4>
      </vt:variant>
      <vt:variant>
        <vt:i4>134</vt:i4>
      </vt:variant>
      <vt:variant>
        <vt:i4>0</vt:i4>
      </vt:variant>
      <vt:variant>
        <vt:i4>5</vt:i4>
      </vt:variant>
      <vt:variant>
        <vt:lpwstr/>
      </vt:variant>
      <vt:variant>
        <vt:lpwstr>_Toc166507391</vt:lpwstr>
      </vt:variant>
      <vt:variant>
        <vt:i4>1703988</vt:i4>
      </vt:variant>
      <vt:variant>
        <vt:i4>128</vt:i4>
      </vt:variant>
      <vt:variant>
        <vt:i4>0</vt:i4>
      </vt:variant>
      <vt:variant>
        <vt:i4>5</vt:i4>
      </vt:variant>
      <vt:variant>
        <vt:lpwstr/>
      </vt:variant>
      <vt:variant>
        <vt:lpwstr>_Toc166507390</vt:lpwstr>
      </vt:variant>
      <vt:variant>
        <vt:i4>1769524</vt:i4>
      </vt:variant>
      <vt:variant>
        <vt:i4>122</vt:i4>
      </vt:variant>
      <vt:variant>
        <vt:i4>0</vt:i4>
      </vt:variant>
      <vt:variant>
        <vt:i4>5</vt:i4>
      </vt:variant>
      <vt:variant>
        <vt:lpwstr/>
      </vt:variant>
      <vt:variant>
        <vt:lpwstr>_Toc166507389</vt:lpwstr>
      </vt:variant>
      <vt:variant>
        <vt:i4>1769524</vt:i4>
      </vt:variant>
      <vt:variant>
        <vt:i4>116</vt:i4>
      </vt:variant>
      <vt:variant>
        <vt:i4>0</vt:i4>
      </vt:variant>
      <vt:variant>
        <vt:i4>5</vt:i4>
      </vt:variant>
      <vt:variant>
        <vt:lpwstr/>
      </vt:variant>
      <vt:variant>
        <vt:lpwstr>_Toc166507388</vt:lpwstr>
      </vt:variant>
      <vt:variant>
        <vt:i4>1769524</vt:i4>
      </vt:variant>
      <vt:variant>
        <vt:i4>110</vt:i4>
      </vt:variant>
      <vt:variant>
        <vt:i4>0</vt:i4>
      </vt:variant>
      <vt:variant>
        <vt:i4>5</vt:i4>
      </vt:variant>
      <vt:variant>
        <vt:lpwstr/>
      </vt:variant>
      <vt:variant>
        <vt:lpwstr>_Toc166507387</vt:lpwstr>
      </vt:variant>
      <vt:variant>
        <vt:i4>1769524</vt:i4>
      </vt:variant>
      <vt:variant>
        <vt:i4>104</vt:i4>
      </vt:variant>
      <vt:variant>
        <vt:i4>0</vt:i4>
      </vt:variant>
      <vt:variant>
        <vt:i4>5</vt:i4>
      </vt:variant>
      <vt:variant>
        <vt:lpwstr/>
      </vt:variant>
      <vt:variant>
        <vt:lpwstr>_Toc166507386</vt:lpwstr>
      </vt:variant>
      <vt:variant>
        <vt:i4>1769524</vt:i4>
      </vt:variant>
      <vt:variant>
        <vt:i4>98</vt:i4>
      </vt:variant>
      <vt:variant>
        <vt:i4>0</vt:i4>
      </vt:variant>
      <vt:variant>
        <vt:i4>5</vt:i4>
      </vt:variant>
      <vt:variant>
        <vt:lpwstr/>
      </vt:variant>
      <vt:variant>
        <vt:lpwstr>_Toc166507385</vt:lpwstr>
      </vt:variant>
      <vt:variant>
        <vt:i4>1769524</vt:i4>
      </vt:variant>
      <vt:variant>
        <vt:i4>92</vt:i4>
      </vt:variant>
      <vt:variant>
        <vt:i4>0</vt:i4>
      </vt:variant>
      <vt:variant>
        <vt:i4>5</vt:i4>
      </vt:variant>
      <vt:variant>
        <vt:lpwstr/>
      </vt:variant>
      <vt:variant>
        <vt:lpwstr>_Toc166507384</vt:lpwstr>
      </vt:variant>
      <vt:variant>
        <vt:i4>1769524</vt:i4>
      </vt:variant>
      <vt:variant>
        <vt:i4>86</vt:i4>
      </vt:variant>
      <vt:variant>
        <vt:i4>0</vt:i4>
      </vt:variant>
      <vt:variant>
        <vt:i4>5</vt:i4>
      </vt:variant>
      <vt:variant>
        <vt:lpwstr/>
      </vt:variant>
      <vt:variant>
        <vt:lpwstr>_Toc166507383</vt:lpwstr>
      </vt:variant>
      <vt:variant>
        <vt:i4>1769524</vt:i4>
      </vt:variant>
      <vt:variant>
        <vt:i4>80</vt:i4>
      </vt:variant>
      <vt:variant>
        <vt:i4>0</vt:i4>
      </vt:variant>
      <vt:variant>
        <vt:i4>5</vt:i4>
      </vt:variant>
      <vt:variant>
        <vt:lpwstr/>
      </vt:variant>
      <vt:variant>
        <vt:lpwstr>_Toc166507382</vt:lpwstr>
      </vt:variant>
      <vt:variant>
        <vt:i4>1769524</vt:i4>
      </vt:variant>
      <vt:variant>
        <vt:i4>74</vt:i4>
      </vt:variant>
      <vt:variant>
        <vt:i4>0</vt:i4>
      </vt:variant>
      <vt:variant>
        <vt:i4>5</vt:i4>
      </vt:variant>
      <vt:variant>
        <vt:lpwstr/>
      </vt:variant>
      <vt:variant>
        <vt:lpwstr>_Toc166507381</vt:lpwstr>
      </vt:variant>
      <vt:variant>
        <vt:i4>1769524</vt:i4>
      </vt:variant>
      <vt:variant>
        <vt:i4>68</vt:i4>
      </vt:variant>
      <vt:variant>
        <vt:i4>0</vt:i4>
      </vt:variant>
      <vt:variant>
        <vt:i4>5</vt:i4>
      </vt:variant>
      <vt:variant>
        <vt:lpwstr/>
      </vt:variant>
      <vt:variant>
        <vt:lpwstr>_Toc166507380</vt:lpwstr>
      </vt:variant>
      <vt:variant>
        <vt:i4>1310772</vt:i4>
      </vt:variant>
      <vt:variant>
        <vt:i4>62</vt:i4>
      </vt:variant>
      <vt:variant>
        <vt:i4>0</vt:i4>
      </vt:variant>
      <vt:variant>
        <vt:i4>5</vt:i4>
      </vt:variant>
      <vt:variant>
        <vt:lpwstr/>
      </vt:variant>
      <vt:variant>
        <vt:lpwstr>_Toc166507379</vt:lpwstr>
      </vt:variant>
      <vt:variant>
        <vt:i4>1310772</vt:i4>
      </vt:variant>
      <vt:variant>
        <vt:i4>56</vt:i4>
      </vt:variant>
      <vt:variant>
        <vt:i4>0</vt:i4>
      </vt:variant>
      <vt:variant>
        <vt:i4>5</vt:i4>
      </vt:variant>
      <vt:variant>
        <vt:lpwstr/>
      </vt:variant>
      <vt:variant>
        <vt:lpwstr>_Toc166507378</vt:lpwstr>
      </vt:variant>
      <vt:variant>
        <vt:i4>1310772</vt:i4>
      </vt:variant>
      <vt:variant>
        <vt:i4>50</vt:i4>
      </vt:variant>
      <vt:variant>
        <vt:i4>0</vt:i4>
      </vt:variant>
      <vt:variant>
        <vt:i4>5</vt:i4>
      </vt:variant>
      <vt:variant>
        <vt:lpwstr/>
      </vt:variant>
      <vt:variant>
        <vt:lpwstr>_Toc166507377</vt:lpwstr>
      </vt:variant>
      <vt:variant>
        <vt:i4>1310772</vt:i4>
      </vt:variant>
      <vt:variant>
        <vt:i4>44</vt:i4>
      </vt:variant>
      <vt:variant>
        <vt:i4>0</vt:i4>
      </vt:variant>
      <vt:variant>
        <vt:i4>5</vt:i4>
      </vt:variant>
      <vt:variant>
        <vt:lpwstr/>
      </vt:variant>
      <vt:variant>
        <vt:lpwstr>_Toc166507376</vt:lpwstr>
      </vt:variant>
      <vt:variant>
        <vt:i4>1310772</vt:i4>
      </vt:variant>
      <vt:variant>
        <vt:i4>38</vt:i4>
      </vt:variant>
      <vt:variant>
        <vt:i4>0</vt:i4>
      </vt:variant>
      <vt:variant>
        <vt:i4>5</vt:i4>
      </vt:variant>
      <vt:variant>
        <vt:lpwstr/>
      </vt:variant>
      <vt:variant>
        <vt:lpwstr>_Toc166507375</vt:lpwstr>
      </vt:variant>
      <vt:variant>
        <vt:i4>1310772</vt:i4>
      </vt:variant>
      <vt:variant>
        <vt:i4>32</vt:i4>
      </vt:variant>
      <vt:variant>
        <vt:i4>0</vt:i4>
      </vt:variant>
      <vt:variant>
        <vt:i4>5</vt:i4>
      </vt:variant>
      <vt:variant>
        <vt:lpwstr/>
      </vt:variant>
      <vt:variant>
        <vt:lpwstr>_Toc166507374</vt:lpwstr>
      </vt:variant>
      <vt:variant>
        <vt:i4>1310772</vt:i4>
      </vt:variant>
      <vt:variant>
        <vt:i4>26</vt:i4>
      </vt:variant>
      <vt:variant>
        <vt:i4>0</vt:i4>
      </vt:variant>
      <vt:variant>
        <vt:i4>5</vt:i4>
      </vt:variant>
      <vt:variant>
        <vt:lpwstr/>
      </vt:variant>
      <vt:variant>
        <vt:lpwstr>_Toc166507373</vt:lpwstr>
      </vt:variant>
      <vt:variant>
        <vt:i4>1310772</vt:i4>
      </vt:variant>
      <vt:variant>
        <vt:i4>20</vt:i4>
      </vt:variant>
      <vt:variant>
        <vt:i4>0</vt:i4>
      </vt:variant>
      <vt:variant>
        <vt:i4>5</vt:i4>
      </vt:variant>
      <vt:variant>
        <vt:lpwstr/>
      </vt:variant>
      <vt:variant>
        <vt:lpwstr>_Toc166507372</vt:lpwstr>
      </vt:variant>
      <vt:variant>
        <vt:i4>1310772</vt:i4>
      </vt:variant>
      <vt:variant>
        <vt:i4>14</vt:i4>
      </vt:variant>
      <vt:variant>
        <vt:i4>0</vt:i4>
      </vt:variant>
      <vt:variant>
        <vt:i4>5</vt:i4>
      </vt:variant>
      <vt:variant>
        <vt:lpwstr/>
      </vt:variant>
      <vt:variant>
        <vt:lpwstr>_Toc166507371</vt:lpwstr>
      </vt:variant>
      <vt:variant>
        <vt:i4>1310772</vt:i4>
      </vt:variant>
      <vt:variant>
        <vt:i4>8</vt:i4>
      </vt:variant>
      <vt:variant>
        <vt:i4>0</vt:i4>
      </vt:variant>
      <vt:variant>
        <vt:i4>5</vt:i4>
      </vt:variant>
      <vt:variant>
        <vt:lpwstr/>
      </vt:variant>
      <vt:variant>
        <vt:lpwstr>_Toc166507370</vt:lpwstr>
      </vt:variant>
      <vt:variant>
        <vt:i4>1376308</vt:i4>
      </vt:variant>
      <vt:variant>
        <vt:i4>2</vt:i4>
      </vt:variant>
      <vt:variant>
        <vt:i4>0</vt:i4>
      </vt:variant>
      <vt:variant>
        <vt:i4>5</vt:i4>
      </vt:variant>
      <vt:variant>
        <vt:lpwstr/>
      </vt:variant>
      <vt:variant>
        <vt:lpwstr>_Toc166507369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2024-12-11T23:50:00Z</dcterms:created>
  <dcterms:modified xsi:type="dcterms:W3CDTF">2024-12-12T00:01:00Z</dcterms:modified>
</cp:coreProperties>
</file>